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Supreme Court Act 1935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Rules of the Supreme Court 1971</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Order 1 — Application, elimination of delay and forms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_Toc129077326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 and saving</w:t>
      </w:r>
      <w:r>
        <w:tab/>
      </w:r>
      <w:r>
        <w:fldChar w:fldCharType="begin"/>
      </w:r>
      <w:r>
        <w:instrText xml:space="preserve"> PAGEREF _Toc129077327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Certain proceedings excluded</w:t>
      </w:r>
      <w:r>
        <w:tab/>
      </w:r>
      <w:r>
        <w:fldChar w:fldCharType="begin"/>
      </w:r>
      <w:r>
        <w:instrText xml:space="preserve"> PAGEREF _Toc129077328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Inherent powers not affected</w:t>
      </w:r>
      <w:r>
        <w:tab/>
      </w:r>
      <w:r>
        <w:fldChar w:fldCharType="begin"/>
      </w:r>
      <w:r>
        <w:instrText xml:space="preserve"> PAGEREF _Toc129077329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_Toc129077330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Delays, elimination of</w:t>
      </w:r>
      <w:r>
        <w:tab/>
      </w:r>
      <w:r>
        <w:fldChar w:fldCharType="begin"/>
      </w:r>
      <w:r>
        <w:instrText xml:space="preserve"> PAGEREF _Toc129077331 \h </w:instrText>
      </w:r>
      <w:r>
        <w:fldChar w:fldCharType="separate"/>
      </w:r>
      <w:r>
        <w:t>7</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Case flow management, use and objects of</w:t>
      </w:r>
      <w:r>
        <w:tab/>
      </w:r>
      <w:r>
        <w:fldChar w:fldCharType="begin"/>
      </w:r>
      <w:r>
        <w:instrText xml:space="preserve"> PAGEREF _Toc129077332 \h </w:instrText>
      </w:r>
      <w:r>
        <w:fldChar w:fldCharType="separate"/>
      </w:r>
      <w:r>
        <w:t>7</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Parties to notify settlement</w:t>
      </w:r>
      <w:r>
        <w:tab/>
      </w:r>
      <w:r>
        <w:fldChar w:fldCharType="begin"/>
      </w:r>
      <w:r>
        <w:instrText xml:space="preserve"> PAGEREF _Toc129077333 \h </w:instrText>
      </w:r>
      <w:r>
        <w:fldChar w:fldCharType="separate"/>
      </w:r>
      <w:r>
        <w:t>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Forms</w:t>
      </w:r>
      <w:r>
        <w:tab/>
      </w:r>
      <w:r>
        <w:fldChar w:fldCharType="begin"/>
      </w:r>
      <w:r>
        <w:instrText xml:space="preserve"> PAGEREF _Toc129077334 \h </w:instrText>
      </w:r>
      <w:r>
        <w:fldChar w:fldCharType="separate"/>
      </w:r>
      <w:r>
        <w:t>8</w:t>
      </w:r>
      <w:r>
        <w:fldChar w:fldCharType="end"/>
      </w:r>
    </w:p>
    <w:p>
      <w:pPr>
        <w:pStyle w:val="TOC8"/>
        <w:rPr>
          <w:rFonts w:asciiTheme="minorHAnsi" w:eastAsiaTheme="minorEastAsia" w:hAnsiTheme="minorHAnsi" w:cstheme="minorBidi"/>
          <w:szCs w:val="22"/>
        </w:rPr>
      </w:pPr>
      <w:r>
        <w:t>6A.</w:t>
      </w:r>
      <w:r>
        <w:tab/>
        <w:t xml:space="preserve">Forms under </w:t>
      </w:r>
      <w:r>
        <w:rPr>
          <w:i/>
        </w:rPr>
        <w:t>Restraining Orders Act 1997</w:t>
      </w:r>
      <w:r>
        <w:tab/>
      </w:r>
      <w:r>
        <w:fldChar w:fldCharType="begin"/>
      </w:r>
      <w:r>
        <w:instrText xml:space="preserve"> PAGEREF _Toc129077335 \h </w:instrText>
      </w:r>
      <w:r>
        <w:fldChar w:fldCharType="separate"/>
      </w:r>
      <w:r>
        <w:t>8</w:t>
      </w:r>
      <w:r>
        <w:fldChar w:fldCharType="end"/>
      </w:r>
    </w:p>
    <w:p>
      <w:pPr>
        <w:pStyle w:val="TOC8"/>
        <w:rPr>
          <w:rFonts w:asciiTheme="minorHAnsi" w:eastAsiaTheme="minorEastAsia" w:hAnsiTheme="minorHAnsi" w:cstheme="minorBidi"/>
          <w:szCs w:val="22"/>
        </w:rPr>
      </w:pPr>
      <w:r>
        <w:t>7.</w:t>
      </w:r>
      <w:r>
        <w:tab/>
        <w:t>Court fees</w:t>
      </w:r>
      <w:r>
        <w:tab/>
      </w:r>
      <w:r>
        <w:fldChar w:fldCharType="begin"/>
      </w:r>
      <w:r>
        <w:instrText xml:space="preserve"> PAGEREF _Toc129077336 \h </w:instrText>
      </w:r>
      <w:r>
        <w:fldChar w:fldCharType="separate"/>
      </w:r>
      <w:r>
        <w:t>9</w:t>
      </w:r>
      <w:r>
        <w:fldChar w:fldCharType="end"/>
      </w:r>
    </w:p>
    <w:p>
      <w:pPr>
        <w:pStyle w:val="TOC8"/>
        <w:rPr>
          <w:rFonts w:asciiTheme="minorHAnsi" w:eastAsiaTheme="minorEastAsia" w:hAnsiTheme="minorHAnsi" w:cstheme="minorBidi"/>
          <w:szCs w:val="22"/>
        </w:rPr>
      </w:pPr>
      <w:r>
        <w:t>8.</w:t>
      </w:r>
      <w:r>
        <w:tab/>
        <w:t>Documents given to authorised users or Court by means of ECMS</w:t>
      </w:r>
      <w:r>
        <w:tab/>
      </w:r>
      <w:r>
        <w:fldChar w:fldCharType="begin"/>
      </w:r>
      <w:r>
        <w:instrText xml:space="preserve"> PAGEREF _Toc129077337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Order 2 — Effect of non</w:t>
      </w:r>
      <w:r>
        <w:noBreakHyphen/>
        <w:t>compliance</w:t>
      </w:r>
    </w:p>
    <w:p>
      <w:pPr>
        <w:pStyle w:val="TOC8"/>
        <w:rPr>
          <w:rFonts w:asciiTheme="minorHAnsi" w:eastAsiaTheme="minorEastAsia" w:hAnsiTheme="minorHAnsi" w:cstheme="minorBidi"/>
          <w:szCs w:val="22"/>
        </w:rPr>
      </w:pPr>
      <w:r>
        <w:t>1</w:t>
      </w:r>
      <w:r>
        <w:rPr>
          <w:snapToGrid w:val="0"/>
        </w:rPr>
        <w:t>.</w:t>
      </w:r>
      <w:r>
        <w:rPr>
          <w:snapToGrid w:val="0"/>
        </w:rPr>
        <w:tab/>
        <w:t>Non</w:t>
      </w:r>
      <w:r>
        <w:rPr>
          <w:snapToGrid w:val="0"/>
        </w:rPr>
        <w:noBreakHyphen/>
        <w:t>compliance with rules</w:t>
      </w:r>
      <w:r>
        <w:tab/>
      </w:r>
      <w:r>
        <w:fldChar w:fldCharType="begin"/>
      </w:r>
      <w:r>
        <w:instrText xml:space="preserve"> PAGEREF _Toc129077339 \h </w:instrText>
      </w:r>
      <w:r>
        <w:fldChar w:fldCharType="separate"/>
      </w:r>
      <w:r>
        <w:t>10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to set aside for irregularity</w:t>
      </w:r>
      <w:r>
        <w:tab/>
      </w:r>
      <w:r>
        <w:fldChar w:fldCharType="begin"/>
      </w:r>
      <w:r>
        <w:instrText xml:space="preserve"> PAGEREF _Toc129077340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Order 3 — Time</w:t>
      </w:r>
    </w:p>
    <w:p>
      <w:pPr>
        <w:pStyle w:val="TOC8"/>
        <w:rPr>
          <w:rFonts w:asciiTheme="minorHAnsi" w:eastAsiaTheme="minorEastAsia" w:hAnsiTheme="minorHAnsi" w:cstheme="minorBidi"/>
          <w:szCs w:val="22"/>
        </w:rPr>
      </w:pPr>
      <w:r>
        <w:t>1</w:t>
      </w:r>
      <w:r>
        <w:rPr>
          <w:snapToGrid w:val="0"/>
        </w:rPr>
        <w:t>.</w:t>
      </w:r>
      <w:r>
        <w:rPr>
          <w:snapToGrid w:val="0"/>
        </w:rPr>
        <w:tab/>
        <w:t>Term used: month</w:t>
      </w:r>
      <w:r>
        <w:tab/>
      </w:r>
      <w:r>
        <w:fldChar w:fldCharType="begin"/>
      </w:r>
      <w:r>
        <w:instrText xml:space="preserve"> PAGEREF _Toc129077342 \h </w:instrText>
      </w:r>
      <w:r>
        <w:fldChar w:fldCharType="separate"/>
      </w:r>
      <w:r>
        <w:t>12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Reckoning periods of time</w:t>
      </w:r>
      <w:r>
        <w:tab/>
      </w:r>
      <w:r>
        <w:fldChar w:fldCharType="begin"/>
      </w:r>
      <w:r>
        <w:instrText xml:space="preserve"> PAGEREF _Toc129077343 \h </w:instrText>
      </w:r>
      <w:r>
        <w:fldChar w:fldCharType="separate"/>
      </w:r>
      <w:r>
        <w:t>12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Period between 24 Dec and 15 Jan excluded when computing time</w:t>
      </w:r>
      <w:r>
        <w:tab/>
      </w:r>
      <w:r>
        <w:fldChar w:fldCharType="begin"/>
      </w:r>
      <w:r>
        <w:instrText xml:space="preserve"> PAGEREF _Toc129077344 \h </w:instrText>
      </w:r>
      <w:r>
        <w:fldChar w:fldCharType="separate"/>
      </w:r>
      <w:r>
        <w:t>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expiring on day Central Office closed, effect of</w:t>
      </w:r>
      <w:r>
        <w:tab/>
      </w:r>
      <w:r>
        <w:fldChar w:fldCharType="begin"/>
      </w:r>
      <w:r>
        <w:instrText xml:space="preserve"> PAGEREF _Toc129077345 \h </w:instrText>
      </w:r>
      <w:r>
        <w:fldChar w:fldCharType="separate"/>
      </w:r>
      <w:r>
        <w:t>13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Extending and abridging time</w:t>
      </w:r>
      <w:r>
        <w:tab/>
      </w:r>
      <w:r>
        <w:fldChar w:fldCharType="begin"/>
      </w:r>
      <w:r>
        <w:instrText xml:space="preserve"> PAGEREF _Toc129077346 \h </w:instrText>
      </w:r>
      <w:r>
        <w:fldChar w:fldCharType="separate"/>
      </w:r>
      <w:r>
        <w:t>13</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Extension of time where security ordered</w:t>
      </w:r>
      <w:r>
        <w:tab/>
      </w:r>
      <w:r>
        <w:fldChar w:fldCharType="begin"/>
      </w:r>
      <w:r>
        <w:instrText xml:space="preserve"> PAGEREF _Toc129077347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intention to proceed after year’s delay</w:t>
      </w:r>
      <w:r>
        <w:tab/>
      </w:r>
      <w:r>
        <w:fldChar w:fldCharType="begin"/>
      </w:r>
      <w:r>
        <w:instrText xml:space="preserve"> PAGEREF _Toc129077348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Order 4A</w:t>
      </w:r>
      <w:r>
        <w:rPr>
          <w:b w:val="0"/>
        </w:rPr>
        <w:t> </w:t>
      </w:r>
      <w:r>
        <w:t>—</w:t>
      </w:r>
      <w:r>
        <w:rPr>
          <w:b w:val="0"/>
        </w:rPr>
        <w:t> </w:t>
      </w:r>
      <w:r>
        <w:t>Case management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_Toc129077351 \h </w:instrText>
      </w:r>
      <w:r>
        <w:fldChar w:fldCharType="separate"/>
      </w:r>
      <w:r>
        <w:t>15</w:t>
      </w:r>
      <w:r>
        <w:fldChar w:fldCharType="end"/>
      </w:r>
    </w:p>
    <w:p>
      <w:pPr>
        <w:pStyle w:val="TOC8"/>
        <w:rPr>
          <w:rFonts w:asciiTheme="minorHAnsi" w:eastAsiaTheme="minorEastAsia" w:hAnsiTheme="minorHAnsi" w:cstheme="minorBidi"/>
          <w:szCs w:val="22"/>
        </w:rPr>
      </w:pPr>
      <w:r>
        <w:t>2.</w:t>
      </w:r>
      <w:r>
        <w:tab/>
        <w:t>Term used: case management direction</w:t>
      </w:r>
      <w:r>
        <w:tab/>
      </w:r>
      <w:r>
        <w:fldChar w:fldCharType="begin"/>
      </w:r>
      <w:r>
        <w:instrText xml:space="preserve"> PAGEREF _Toc129077352 \h </w:instrText>
      </w:r>
      <w:r>
        <w:fldChar w:fldCharType="separate"/>
      </w:r>
      <w:r>
        <w:t>15</w:t>
      </w:r>
      <w:r>
        <w:fldChar w:fldCharType="end"/>
      </w:r>
    </w:p>
    <w:p>
      <w:pPr>
        <w:pStyle w:val="TOC8"/>
        <w:rPr>
          <w:rFonts w:asciiTheme="minorHAnsi" w:eastAsiaTheme="minorEastAsia" w:hAnsiTheme="minorHAnsi" w:cstheme="minorBidi"/>
          <w:szCs w:val="22"/>
        </w:rPr>
      </w:pPr>
      <w:r>
        <w:t>3.</w:t>
      </w:r>
      <w:r>
        <w:tab/>
        <w:t>Term used: enforcement order</w:t>
      </w:r>
      <w:r>
        <w:tab/>
      </w:r>
      <w:r>
        <w:fldChar w:fldCharType="begin"/>
      </w:r>
      <w:r>
        <w:instrText xml:space="preserve"> PAGEREF _Toc129077353 \h </w:instrText>
      </w:r>
      <w:r>
        <w:fldChar w:fldCharType="separate"/>
      </w:r>
      <w:r>
        <w:t>20</w:t>
      </w:r>
      <w:r>
        <w:fldChar w:fldCharType="end"/>
      </w:r>
    </w:p>
    <w:p>
      <w:pPr>
        <w:pStyle w:val="TOC8"/>
        <w:rPr>
          <w:rFonts w:asciiTheme="minorHAnsi" w:eastAsiaTheme="minorEastAsia" w:hAnsiTheme="minorHAnsi" w:cstheme="minorBidi"/>
          <w:szCs w:val="22"/>
        </w:rPr>
      </w:pPr>
      <w:r>
        <w:t>4.</w:t>
      </w:r>
      <w:r>
        <w:tab/>
        <w:t>Inconsistencies with other rules</w:t>
      </w:r>
      <w:r>
        <w:tab/>
      </w:r>
      <w:r>
        <w:fldChar w:fldCharType="begin"/>
      </w:r>
      <w:r>
        <w:instrText xml:space="preserve"> PAGEREF _Toc129077354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Provisions applicable to all cases</w:t>
      </w:r>
    </w:p>
    <w:p>
      <w:pPr>
        <w:pStyle w:val="TOC8"/>
        <w:rPr>
          <w:rFonts w:asciiTheme="minorHAnsi" w:eastAsiaTheme="minorEastAsia" w:hAnsiTheme="minorHAnsi" w:cstheme="minorBidi"/>
          <w:szCs w:val="22"/>
        </w:rPr>
      </w:pPr>
      <w:r>
        <w:t>4A.</w:t>
      </w:r>
      <w:r>
        <w:tab/>
        <w:t>Case management conferences</w:t>
      </w:r>
      <w:r>
        <w:tab/>
      </w:r>
      <w:r>
        <w:fldChar w:fldCharType="begin"/>
      </w:r>
      <w:r>
        <w:instrText xml:space="preserve"> PAGEREF _Toc129077356 \h </w:instrText>
      </w:r>
      <w:r>
        <w:fldChar w:fldCharType="separate"/>
      </w:r>
      <w:r>
        <w:t>20</w:t>
      </w:r>
      <w:r>
        <w:fldChar w:fldCharType="end"/>
      </w:r>
    </w:p>
    <w:p>
      <w:pPr>
        <w:pStyle w:val="TOC8"/>
        <w:rPr>
          <w:rFonts w:asciiTheme="minorHAnsi" w:eastAsiaTheme="minorEastAsia" w:hAnsiTheme="minorHAnsi" w:cstheme="minorBidi"/>
          <w:szCs w:val="22"/>
        </w:rPr>
      </w:pPr>
      <w:r>
        <w:t>5.</w:t>
      </w:r>
      <w:r>
        <w:tab/>
        <w:t>Case manager may review case at any time</w:t>
      </w:r>
      <w:r>
        <w:tab/>
      </w:r>
      <w:r>
        <w:fldChar w:fldCharType="begin"/>
      </w:r>
      <w:r>
        <w:instrText xml:space="preserve"> PAGEREF _Toc129077357 \h </w:instrText>
      </w:r>
      <w:r>
        <w:fldChar w:fldCharType="separate"/>
      </w:r>
      <w:r>
        <w:t>21</w:t>
      </w:r>
      <w:r>
        <w:fldChar w:fldCharType="end"/>
      </w:r>
    </w:p>
    <w:p>
      <w:pPr>
        <w:pStyle w:val="TOC8"/>
        <w:rPr>
          <w:rFonts w:asciiTheme="minorHAnsi" w:eastAsiaTheme="minorEastAsia" w:hAnsiTheme="minorHAnsi" w:cstheme="minorBidi"/>
          <w:szCs w:val="22"/>
        </w:rPr>
      </w:pPr>
      <w:r>
        <w:t>5A.</w:t>
      </w:r>
      <w:r>
        <w:tab/>
        <w:t>Requesting interlocutory orders and case management directions</w:t>
      </w:r>
      <w:r>
        <w:tab/>
      </w:r>
      <w:r>
        <w:fldChar w:fldCharType="begin"/>
      </w:r>
      <w:r>
        <w:instrText xml:space="preserve"> PAGEREF _Toc129077358 \h </w:instrText>
      </w:r>
      <w:r>
        <w:fldChar w:fldCharType="separate"/>
      </w:r>
      <w:r>
        <w:t>22</w:t>
      </w:r>
      <w:r>
        <w:fldChar w:fldCharType="end"/>
      </w:r>
    </w:p>
    <w:p>
      <w:pPr>
        <w:pStyle w:val="TOC8"/>
        <w:rPr>
          <w:rFonts w:asciiTheme="minorHAnsi" w:eastAsiaTheme="minorEastAsia" w:hAnsiTheme="minorHAnsi" w:cstheme="minorBidi"/>
          <w:szCs w:val="22"/>
        </w:rPr>
      </w:pPr>
      <w:r>
        <w:t>5B.</w:t>
      </w:r>
      <w:r>
        <w:tab/>
        <w:t>Request under r. 5A by letter</w:t>
      </w:r>
      <w:r>
        <w:tab/>
      </w:r>
      <w:r>
        <w:fldChar w:fldCharType="begin"/>
      </w:r>
      <w:r>
        <w:instrText xml:space="preserve"> PAGEREF _Toc129077359 \h </w:instrText>
      </w:r>
      <w:r>
        <w:fldChar w:fldCharType="separate"/>
      </w:r>
      <w:r>
        <w:t>22</w:t>
      </w:r>
      <w:r>
        <w:fldChar w:fldCharType="end"/>
      </w:r>
    </w:p>
    <w:p>
      <w:pPr>
        <w:pStyle w:val="TOC8"/>
        <w:rPr>
          <w:rFonts w:asciiTheme="minorHAnsi" w:eastAsiaTheme="minorEastAsia" w:hAnsiTheme="minorHAnsi" w:cstheme="minorBidi"/>
          <w:szCs w:val="22"/>
        </w:rPr>
      </w:pPr>
      <w:r>
        <w:t>5C.</w:t>
      </w:r>
      <w:r>
        <w:tab/>
        <w:t>Request under r. 5A at case management conference or hearing</w:t>
      </w:r>
      <w:r>
        <w:tab/>
      </w:r>
      <w:r>
        <w:fldChar w:fldCharType="begin"/>
      </w:r>
      <w:r>
        <w:instrText xml:space="preserve"> PAGEREF _Toc129077360 \h </w:instrText>
      </w:r>
      <w:r>
        <w:fldChar w:fldCharType="separate"/>
      </w:r>
      <w:r>
        <w:t>24</w:t>
      </w:r>
      <w:r>
        <w:fldChar w:fldCharType="end"/>
      </w:r>
    </w:p>
    <w:p>
      <w:pPr>
        <w:pStyle w:val="TOC8"/>
        <w:rPr>
          <w:rFonts w:asciiTheme="minorHAnsi" w:eastAsiaTheme="minorEastAsia" w:hAnsiTheme="minorHAnsi" w:cstheme="minorBidi"/>
          <w:szCs w:val="22"/>
        </w:rPr>
      </w:pPr>
      <w:r>
        <w:t>6.</w:t>
      </w:r>
      <w:r>
        <w:tab/>
        <w:t>Timetables</w:t>
      </w:r>
      <w:r>
        <w:tab/>
      </w:r>
      <w:r>
        <w:fldChar w:fldCharType="begin"/>
      </w:r>
      <w:r>
        <w:instrText xml:space="preserve"> PAGEREF _Toc129077361 \h </w:instrText>
      </w:r>
      <w:r>
        <w:fldChar w:fldCharType="separate"/>
      </w:r>
      <w:r>
        <w:t>24</w:t>
      </w:r>
      <w:r>
        <w:fldChar w:fldCharType="end"/>
      </w:r>
    </w:p>
    <w:p>
      <w:pPr>
        <w:pStyle w:val="TOC8"/>
        <w:rPr>
          <w:rFonts w:asciiTheme="minorHAnsi" w:eastAsiaTheme="minorEastAsia" w:hAnsiTheme="minorHAnsi" w:cstheme="minorBidi"/>
          <w:szCs w:val="22"/>
        </w:rPr>
      </w:pPr>
      <w:r>
        <w:t>7.</w:t>
      </w:r>
      <w:r>
        <w:tab/>
        <w:t>Attendance at proceedings under this Order</w:t>
      </w:r>
      <w:r>
        <w:tab/>
      </w:r>
      <w:r>
        <w:fldChar w:fldCharType="begin"/>
      </w:r>
      <w:r>
        <w:instrText xml:space="preserve"> PAGEREF _Toc129077362 \h </w:instrText>
      </w:r>
      <w:r>
        <w:fldChar w:fldCharType="separate"/>
      </w:r>
      <w:r>
        <w:t>25</w:t>
      </w:r>
      <w:r>
        <w:fldChar w:fldCharType="end"/>
      </w:r>
    </w:p>
    <w:p>
      <w:pPr>
        <w:pStyle w:val="TOC8"/>
        <w:rPr>
          <w:rFonts w:asciiTheme="minorHAnsi" w:eastAsiaTheme="minorEastAsia" w:hAnsiTheme="minorHAnsi" w:cstheme="minorBidi"/>
          <w:szCs w:val="22"/>
        </w:rPr>
      </w:pPr>
      <w:r>
        <w:t>8.</w:t>
      </w:r>
      <w:r>
        <w:tab/>
        <w:t>Conferences of parties with mediator</w:t>
      </w:r>
      <w:r>
        <w:tab/>
      </w:r>
      <w:r>
        <w:fldChar w:fldCharType="begin"/>
      </w:r>
      <w:r>
        <w:instrText xml:space="preserve"> PAGEREF _Toc129077363 \h </w:instrText>
      </w:r>
      <w:r>
        <w:fldChar w:fldCharType="separate"/>
      </w:r>
      <w:r>
        <w:t>26</w:t>
      </w:r>
      <w:r>
        <w:fldChar w:fldCharType="end"/>
      </w:r>
    </w:p>
    <w:p>
      <w:pPr>
        <w:pStyle w:val="TOC8"/>
        <w:rPr>
          <w:rFonts w:asciiTheme="minorHAnsi" w:eastAsiaTheme="minorEastAsia" w:hAnsiTheme="minorHAnsi" w:cstheme="minorBidi"/>
          <w:szCs w:val="22"/>
        </w:rPr>
      </w:pPr>
      <w:r>
        <w:t>9.</w:t>
      </w:r>
      <w:r>
        <w:tab/>
        <w:t>Referees</w:t>
      </w:r>
      <w:r>
        <w:tab/>
      </w:r>
      <w:r>
        <w:fldChar w:fldCharType="begin"/>
      </w:r>
      <w:r>
        <w:instrText xml:space="preserve"> PAGEREF _Toc129077364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Cases on the CMC List</w:t>
      </w:r>
    </w:p>
    <w:p>
      <w:pPr>
        <w:pStyle w:val="TOC8"/>
        <w:rPr>
          <w:rFonts w:asciiTheme="minorHAnsi" w:eastAsiaTheme="minorEastAsia" w:hAnsiTheme="minorHAnsi" w:cstheme="minorBidi"/>
          <w:szCs w:val="22"/>
        </w:rPr>
      </w:pPr>
      <w:r>
        <w:t>10.</w:t>
      </w:r>
      <w:r>
        <w:tab/>
        <w:t>Application of this Division</w:t>
      </w:r>
      <w:r>
        <w:tab/>
      </w:r>
      <w:r>
        <w:fldChar w:fldCharType="begin"/>
      </w:r>
      <w:r>
        <w:instrText xml:space="preserve"> PAGEREF _Toc129077366 \h </w:instrText>
      </w:r>
      <w:r>
        <w:fldChar w:fldCharType="separate"/>
      </w:r>
      <w:r>
        <w:t>29</w:t>
      </w:r>
      <w:r>
        <w:fldChar w:fldCharType="end"/>
      </w:r>
    </w:p>
    <w:p>
      <w:pPr>
        <w:pStyle w:val="TOC8"/>
        <w:rPr>
          <w:rFonts w:asciiTheme="minorHAnsi" w:eastAsiaTheme="minorEastAsia" w:hAnsiTheme="minorHAnsi" w:cstheme="minorBidi"/>
          <w:szCs w:val="22"/>
        </w:rPr>
      </w:pPr>
      <w:r>
        <w:t>11.</w:t>
      </w:r>
      <w:r>
        <w:tab/>
        <w:t>Cases on CMC List</w:t>
      </w:r>
      <w:r>
        <w:tab/>
      </w:r>
      <w:r>
        <w:fldChar w:fldCharType="begin"/>
      </w:r>
      <w:r>
        <w:instrText xml:space="preserve"> PAGEREF _Toc129077367 \h </w:instrText>
      </w:r>
      <w:r>
        <w:fldChar w:fldCharType="separate"/>
      </w:r>
      <w:r>
        <w:t>29</w:t>
      </w:r>
      <w:r>
        <w:fldChar w:fldCharType="end"/>
      </w:r>
    </w:p>
    <w:p>
      <w:pPr>
        <w:pStyle w:val="TOC8"/>
        <w:rPr>
          <w:rFonts w:asciiTheme="minorHAnsi" w:eastAsiaTheme="minorEastAsia" w:hAnsiTheme="minorHAnsi" w:cstheme="minorBidi"/>
          <w:szCs w:val="22"/>
        </w:rPr>
      </w:pPr>
      <w:r>
        <w:t>12.</w:t>
      </w:r>
      <w:r>
        <w:tab/>
        <w:t>Headings to documents</w:t>
      </w:r>
      <w:r>
        <w:tab/>
      </w:r>
      <w:r>
        <w:fldChar w:fldCharType="begin"/>
      </w:r>
      <w:r>
        <w:instrText xml:space="preserve"> PAGEREF _Toc129077368 \h </w:instrText>
      </w:r>
      <w:r>
        <w:fldChar w:fldCharType="separate"/>
      </w:r>
      <w:r>
        <w:t>30</w:t>
      </w:r>
      <w:r>
        <w:fldChar w:fldCharType="end"/>
      </w:r>
    </w:p>
    <w:p>
      <w:pPr>
        <w:pStyle w:val="TOC8"/>
        <w:rPr>
          <w:rFonts w:asciiTheme="minorHAnsi" w:eastAsiaTheme="minorEastAsia" w:hAnsiTheme="minorHAnsi" w:cstheme="minorBidi"/>
          <w:szCs w:val="22"/>
        </w:rPr>
      </w:pPr>
      <w:r>
        <w:t>13.</w:t>
      </w:r>
      <w:r>
        <w:tab/>
        <w:t>CMC List case manager may direct case to be on or taken off CMC List</w:t>
      </w:r>
      <w:r>
        <w:tab/>
      </w:r>
      <w:r>
        <w:fldChar w:fldCharType="begin"/>
      </w:r>
      <w:r>
        <w:instrText xml:space="preserve"> PAGEREF _Toc129077369 \h </w:instrText>
      </w:r>
      <w:r>
        <w:fldChar w:fldCharType="separate"/>
      </w:r>
      <w:r>
        <w:t>30</w:t>
      </w:r>
      <w:r>
        <w:fldChar w:fldCharType="end"/>
      </w:r>
    </w:p>
    <w:p>
      <w:pPr>
        <w:pStyle w:val="TOC8"/>
        <w:rPr>
          <w:rFonts w:asciiTheme="minorHAnsi" w:eastAsiaTheme="minorEastAsia" w:hAnsiTheme="minorHAnsi" w:cstheme="minorBidi"/>
          <w:szCs w:val="22"/>
        </w:rPr>
      </w:pPr>
      <w:r>
        <w:t>14.</w:t>
      </w:r>
      <w:r>
        <w:tab/>
        <w:t>Requesting case be put on CMC List</w:t>
      </w:r>
      <w:r>
        <w:tab/>
      </w:r>
      <w:r>
        <w:fldChar w:fldCharType="begin"/>
      </w:r>
      <w:r>
        <w:instrText xml:space="preserve"> PAGEREF _Toc129077370 \h </w:instrText>
      </w:r>
      <w:r>
        <w:fldChar w:fldCharType="separate"/>
      </w:r>
      <w:r>
        <w:t>30</w:t>
      </w:r>
      <w:r>
        <w:fldChar w:fldCharType="end"/>
      </w:r>
    </w:p>
    <w:p>
      <w:pPr>
        <w:pStyle w:val="TOC8"/>
        <w:rPr>
          <w:rFonts w:asciiTheme="minorHAnsi" w:eastAsiaTheme="minorEastAsia" w:hAnsiTheme="minorHAnsi" w:cstheme="minorBidi"/>
          <w:szCs w:val="22"/>
        </w:rPr>
      </w:pPr>
      <w:r>
        <w:t>14A.</w:t>
      </w:r>
      <w:r>
        <w:tab/>
        <w:t>Strategic conferences</w:t>
      </w:r>
      <w:r>
        <w:tab/>
      </w:r>
      <w:r>
        <w:fldChar w:fldCharType="begin"/>
      </w:r>
      <w:r>
        <w:instrText xml:space="preserve"> PAGEREF _Toc129077371 \h </w:instrText>
      </w:r>
      <w:r>
        <w:fldChar w:fldCharType="separate"/>
      </w:r>
      <w:r>
        <w:t>31</w:t>
      </w:r>
      <w:r>
        <w:fldChar w:fldCharType="end"/>
      </w:r>
    </w:p>
    <w:p>
      <w:pPr>
        <w:pStyle w:val="TOC8"/>
        <w:rPr>
          <w:rFonts w:asciiTheme="minorHAnsi" w:eastAsiaTheme="minorEastAsia" w:hAnsiTheme="minorHAnsi" w:cstheme="minorBidi"/>
          <w:szCs w:val="22"/>
        </w:rPr>
      </w:pPr>
      <w:r>
        <w:t>15.</w:t>
      </w:r>
      <w:r>
        <w:tab/>
        <w:t>Interlocutory hearings</w:t>
      </w:r>
      <w:r>
        <w:tab/>
      </w:r>
      <w:r>
        <w:fldChar w:fldCharType="begin"/>
      </w:r>
      <w:r>
        <w:instrText xml:space="preserve"> PAGEREF _Toc129077372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4 — Cases not on the CMC List</w:t>
      </w:r>
    </w:p>
    <w:p>
      <w:pPr>
        <w:pStyle w:val="TOC8"/>
        <w:rPr>
          <w:rFonts w:asciiTheme="minorHAnsi" w:eastAsiaTheme="minorEastAsia" w:hAnsiTheme="minorHAnsi" w:cstheme="minorBidi"/>
          <w:szCs w:val="22"/>
        </w:rPr>
      </w:pPr>
      <w:r>
        <w:t>16.</w:t>
      </w:r>
      <w:r>
        <w:tab/>
        <w:t>Application of this Division</w:t>
      </w:r>
      <w:r>
        <w:tab/>
      </w:r>
      <w:r>
        <w:fldChar w:fldCharType="begin"/>
      </w:r>
      <w:r>
        <w:instrText xml:space="preserve"> PAGEREF _Toc129077374 \h </w:instrText>
      </w:r>
      <w:r>
        <w:fldChar w:fldCharType="separate"/>
      </w:r>
      <w:r>
        <w:t>32</w:t>
      </w:r>
      <w:r>
        <w:fldChar w:fldCharType="end"/>
      </w:r>
    </w:p>
    <w:p>
      <w:pPr>
        <w:pStyle w:val="TOC8"/>
        <w:rPr>
          <w:rFonts w:asciiTheme="minorHAnsi" w:eastAsiaTheme="minorEastAsia" w:hAnsiTheme="minorHAnsi" w:cstheme="minorBidi"/>
          <w:szCs w:val="22"/>
        </w:rPr>
      </w:pPr>
      <w:r>
        <w:t>18.</w:t>
      </w:r>
      <w:r>
        <w:tab/>
        <w:t>Case management conferences for cases not on CMC List</w:t>
      </w:r>
      <w:r>
        <w:tab/>
      </w:r>
      <w:r>
        <w:fldChar w:fldCharType="begin"/>
      </w:r>
      <w:r>
        <w:instrText xml:space="preserve"> PAGEREF _Toc129077375 \h </w:instrText>
      </w:r>
      <w:r>
        <w:fldChar w:fldCharType="separate"/>
      </w:r>
      <w:r>
        <w:t>32</w:t>
      </w:r>
      <w:r>
        <w:fldChar w:fldCharType="end"/>
      </w:r>
    </w:p>
    <w:p>
      <w:pPr>
        <w:pStyle w:val="TOC8"/>
        <w:rPr>
          <w:rFonts w:asciiTheme="minorHAnsi" w:eastAsiaTheme="minorEastAsia" w:hAnsiTheme="minorHAnsi" w:cstheme="minorBidi"/>
          <w:szCs w:val="22"/>
        </w:rPr>
      </w:pPr>
      <w:r>
        <w:t>19.</w:t>
      </w:r>
      <w:r>
        <w:tab/>
        <w:t>Powers of case manager at case management conferences for cases not on CMC List</w:t>
      </w:r>
      <w:r>
        <w:tab/>
      </w:r>
      <w:r>
        <w:fldChar w:fldCharType="begin"/>
      </w:r>
      <w:r>
        <w:instrText xml:space="preserve"> PAGEREF _Toc129077376 \h </w:instrText>
      </w:r>
      <w:r>
        <w:fldChar w:fldCharType="separate"/>
      </w:r>
      <w:r>
        <w:t>34</w:t>
      </w:r>
      <w:r>
        <w:fldChar w:fldCharType="end"/>
      </w:r>
    </w:p>
    <w:p>
      <w:pPr>
        <w:pStyle w:val="TOC8"/>
        <w:rPr>
          <w:rFonts w:asciiTheme="minorHAnsi" w:eastAsiaTheme="minorEastAsia" w:hAnsiTheme="minorHAnsi" w:cstheme="minorBidi"/>
          <w:szCs w:val="22"/>
        </w:rPr>
      </w:pPr>
      <w:r>
        <w:t>20.</w:t>
      </w:r>
      <w:r>
        <w:tab/>
        <w:t>Listing conference</w:t>
      </w:r>
      <w:r>
        <w:tab/>
      </w:r>
      <w:r>
        <w:fldChar w:fldCharType="begin"/>
      </w:r>
      <w:r>
        <w:instrText xml:space="preserve"> PAGEREF _Toc129077377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5 — Inactive Cases List</w:t>
      </w:r>
    </w:p>
    <w:p>
      <w:pPr>
        <w:pStyle w:val="TOC8"/>
        <w:rPr>
          <w:rFonts w:asciiTheme="minorHAnsi" w:eastAsiaTheme="minorEastAsia" w:hAnsiTheme="minorHAnsi" w:cstheme="minorBidi"/>
          <w:szCs w:val="22"/>
        </w:rPr>
      </w:pPr>
      <w:r>
        <w:t>21.</w:t>
      </w:r>
      <w:r>
        <w:tab/>
        <w:t>Term used: Inactive Cases List</w:t>
      </w:r>
      <w:r>
        <w:tab/>
      </w:r>
      <w:r>
        <w:fldChar w:fldCharType="begin"/>
      </w:r>
      <w:r>
        <w:instrText xml:space="preserve"> PAGEREF _Toc129077379 \h </w:instrText>
      </w:r>
      <w:r>
        <w:fldChar w:fldCharType="separate"/>
      </w:r>
      <w:r>
        <w:t>36</w:t>
      </w:r>
      <w:r>
        <w:fldChar w:fldCharType="end"/>
      </w:r>
    </w:p>
    <w:p>
      <w:pPr>
        <w:pStyle w:val="TOC8"/>
        <w:rPr>
          <w:rFonts w:asciiTheme="minorHAnsi" w:eastAsiaTheme="minorEastAsia" w:hAnsiTheme="minorHAnsi" w:cstheme="minorBidi"/>
          <w:szCs w:val="22"/>
        </w:rPr>
      </w:pPr>
      <w:r>
        <w:lastRenderedPageBreak/>
        <w:t>22.</w:t>
      </w:r>
      <w:r>
        <w:tab/>
        <w:t>Case manager may direct party to show cause</w:t>
      </w:r>
      <w:r>
        <w:tab/>
      </w:r>
      <w:r>
        <w:fldChar w:fldCharType="begin"/>
      </w:r>
      <w:r>
        <w:instrText xml:space="preserve"> PAGEREF _Toc129077380 \h </w:instrText>
      </w:r>
      <w:r>
        <w:fldChar w:fldCharType="separate"/>
      </w:r>
      <w:r>
        <w:t>36</w:t>
      </w:r>
      <w:r>
        <w:fldChar w:fldCharType="end"/>
      </w:r>
    </w:p>
    <w:p>
      <w:pPr>
        <w:pStyle w:val="TOC8"/>
        <w:rPr>
          <w:rFonts w:asciiTheme="minorHAnsi" w:eastAsiaTheme="minorEastAsia" w:hAnsiTheme="minorHAnsi" w:cstheme="minorBidi"/>
          <w:szCs w:val="22"/>
        </w:rPr>
      </w:pPr>
      <w:r>
        <w:t>23.</w:t>
      </w:r>
      <w:r>
        <w:tab/>
        <w:t>Springing order that case be put on Inactive Cases List</w:t>
      </w:r>
      <w:r>
        <w:tab/>
      </w:r>
      <w:r>
        <w:fldChar w:fldCharType="begin"/>
      </w:r>
      <w:r>
        <w:instrText xml:space="preserve"> PAGEREF _Toc129077381 \h </w:instrText>
      </w:r>
      <w:r>
        <w:fldChar w:fldCharType="separate"/>
      </w:r>
      <w:r>
        <w:t>37</w:t>
      </w:r>
      <w:r>
        <w:fldChar w:fldCharType="end"/>
      </w:r>
    </w:p>
    <w:p>
      <w:pPr>
        <w:pStyle w:val="TOC8"/>
        <w:rPr>
          <w:rFonts w:asciiTheme="minorHAnsi" w:eastAsiaTheme="minorEastAsia" w:hAnsiTheme="minorHAnsi" w:cstheme="minorBidi"/>
          <w:szCs w:val="22"/>
        </w:rPr>
      </w:pPr>
      <w:r>
        <w:t>24.</w:t>
      </w:r>
      <w:r>
        <w:tab/>
        <w:t>Cases inactive for 12 months deemed inactive</w:t>
      </w:r>
      <w:r>
        <w:tab/>
      </w:r>
      <w:r>
        <w:fldChar w:fldCharType="begin"/>
      </w:r>
      <w:r>
        <w:instrText xml:space="preserve"> PAGEREF _Toc129077382 \h </w:instrText>
      </w:r>
      <w:r>
        <w:fldChar w:fldCharType="separate"/>
      </w:r>
      <w:r>
        <w:t>37</w:t>
      </w:r>
      <w:r>
        <w:fldChar w:fldCharType="end"/>
      </w:r>
    </w:p>
    <w:p>
      <w:pPr>
        <w:pStyle w:val="TOC8"/>
        <w:rPr>
          <w:rFonts w:asciiTheme="minorHAnsi" w:eastAsiaTheme="minorEastAsia" w:hAnsiTheme="minorHAnsi" w:cstheme="minorBidi"/>
          <w:szCs w:val="22"/>
        </w:rPr>
      </w:pPr>
      <w:r>
        <w:t>25.</w:t>
      </w:r>
      <w:r>
        <w:tab/>
        <w:t>Parties to be notified of case being on Inactive Cases List</w:t>
      </w:r>
      <w:r>
        <w:tab/>
      </w:r>
      <w:r>
        <w:fldChar w:fldCharType="begin"/>
      </w:r>
      <w:r>
        <w:instrText xml:space="preserve"> PAGEREF _Toc129077383 \h </w:instrText>
      </w:r>
      <w:r>
        <w:fldChar w:fldCharType="separate"/>
      </w:r>
      <w:r>
        <w:t>37</w:t>
      </w:r>
      <w:r>
        <w:fldChar w:fldCharType="end"/>
      </w:r>
    </w:p>
    <w:p>
      <w:pPr>
        <w:pStyle w:val="TOC8"/>
        <w:rPr>
          <w:rFonts w:asciiTheme="minorHAnsi" w:eastAsiaTheme="minorEastAsia" w:hAnsiTheme="minorHAnsi" w:cstheme="minorBidi"/>
          <w:szCs w:val="22"/>
        </w:rPr>
      </w:pPr>
      <w:r>
        <w:t>26.</w:t>
      </w:r>
      <w:r>
        <w:tab/>
        <w:t>Consequences of case being on Inactive Cases List</w:t>
      </w:r>
      <w:r>
        <w:tab/>
      </w:r>
      <w:r>
        <w:fldChar w:fldCharType="begin"/>
      </w:r>
      <w:r>
        <w:instrText xml:space="preserve"> PAGEREF _Toc129077384 \h </w:instrText>
      </w:r>
      <w:r>
        <w:fldChar w:fldCharType="separate"/>
      </w:r>
      <w:r>
        <w:t>38</w:t>
      </w:r>
      <w:r>
        <w:fldChar w:fldCharType="end"/>
      </w:r>
    </w:p>
    <w:p>
      <w:pPr>
        <w:pStyle w:val="TOC8"/>
        <w:rPr>
          <w:rFonts w:asciiTheme="minorHAnsi" w:eastAsiaTheme="minorEastAsia" w:hAnsiTheme="minorHAnsi" w:cstheme="minorBidi"/>
          <w:szCs w:val="22"/>
        </w:rPr>
      </w:pPr>
      <w:r>
        <w:t>27.</w:t>
      </w:r>
      <w:r>
        <w:tab/>
        <w:t>Removing cases from Inactive Cases List</w:t>
      </w:r>
      <w:r>
        <w:tab/>
      </w:r>
      <w:r>
        <w:fldChar w:fldCharType="begin"/>
      </w:r>
      <w:r>
        <w:instrText xml:space="preserve"> PAGEREF _Toc129077385 \h </w:instrText>
      </w:r>
      <w:r>
        <w:fldChar w:fldCharType="separate"/>
      </w:r>
      <w:r>
        <w:t>39</w:t>
      </w:r>
      <w:r>
        <w:fldChar w:fldCharType="end"/>
      </w:r>
    </w:p>
    <w:p>
      <w:pPr>
        <w:pStyle w:val="TOC8"/>
        <w:rPr>
          <w:rFonts w:asciiTheme="minorHAnsi" w:eastAsiaTheme="minorEastAsia" w:hAnsiTheme="minorHAnsi" w:cstheme="minorBidi"/>
          <w:szCs w:val="22"/>
        </w:rPr>
      </w:pPr>
      <w:r>
        <w:t>28.</w:t>
      </w:r>
      <w:r>
        <w:tab/>
        <w:t>Certain cases taken to have been dismissed</w:t>
      </w:r>
      <w:r>
        <w:tab/>
      </w:r>
      <w:r>
        <w:fldChar w:fldCharType="begin"/>
      </w:r>
      <w:r>
        <w:instrText xml:space="preserve"> PAGEREF _Toc129077386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Order 4 — Mode of commencing proceedings: applications in pending proceedings</w:t>
      </w:r>
    </w:p>
    <w:p>
      <w:pPr>
        <w:pStyle w:val="TOC8"/>
        <w:rPr>
          <w:rFonts w:asciiTheme="minorHAnsi" w:eastAsiaTheme="minorEastAsia" w:hAnsiTheme="minorHAnsi" w:cstheme="minorBidi"/>
          <w:szCs w:val="22"/>
        </w:rPr>
      </w:pPr>
      <w:r>
        <w:t>1</w:t>
      </w:r>
      <w:r>
        <w:rPr>
          <w:snapToGrid w:val="0"/>
        </w:rPr>
        <w:t>.</w:t>
      </w:r>
      <w:r>
        <w:rPr>
          <w:snapToGrid w:val="0"/>
        </w:rPr>
        <w:tab/>
        <w:t>Commencing civil proceedings</w:t>
      </w:r>
      <w:r>
        <w:tab/>
      </w:r>
      <w:r>
        <w:fldChar w:fldCharType="begin"/>
      </w:r>
      <w:r>
        <w:instrText xml:space="preserve"> PAGEREF _Toc129077388 \h </w:instrText>
      </w:r>
      <w:r>
        <w:fldChar w:fldCharType="separate"/>
      </w:r>
      <w:r>
        <w:t>41</w:t>
      </w:r>
      <w:r>
        <w:fldChar w:fldCharType="end"/>
      </w:r>
    </w:p>
    <w:p>
      <w:pPr>
        <w:pStyle w:val="TOC8"/>
        <w:rPr>
          <w:rFonts w:asciiTheme="minorHAnsi" w:eastAsiaTheme="minorEastAsia" w:hAnsiTheme="minorHAnsi" w:cstheme="minorBidi"/>
          <w:szCs w:val="22"/>
        </w:rPr>
      </w:pPr>
      <w:r>
        <w:t>2.</w:t>
      </w:r>
      <w:r>
        <w:tab/>
        <w:t>Applications in pending proceedings</w:t>
      </w:r>
      <w:r>
        <w:tab/>
      </w:r>
      <w:r>
        <w:fldChar w:fldCharType="begin"/>
      </w:r>
      <w:r>
        <w:instrText xml:space="preserve"> PAGEREF _Toc129077389 \h </w:instrText>
      </w:r>
      <w:r>
        <w:fldChar w:fldCharType="separate"/>
      </w:r>
      <w:r>
        <w:t>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Individual may act in person or by solicitor; body corporate must act by solicitor</w:t>
      </w:r>
      <w:r>
        <w:tab/>
      </w:r>
      <w:r>
        <w:fldChar w:fldCharType="begin"/>
      </w:r>
      <w:r>
        <w:instrText xml:space="preserve"> PAGEREF _Toc129077390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Order 4AA — Mortgage actions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_Toc129077392 \h </w:instrText>
      </w:r>
      <w:r>
        <w:fldChar w:fldCharType="separate"/>
      </w:r>
      <w:r>
        <w:t>42</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_Toc129077393 \h </w:instrText>
      </w:r>
      <w:r>
        <w:fldChar w:fldCharType="separate"/>
      </w:r>
      <w:r>
        <w:t>42</w:t>
      </w:r>
      <w:r>
        <w:fldChar w:fldCharType="end"/>
      </w:r>
    </w:p>
    <w:p>
      <w:pPr>
        <w:pStyle w:val="TOC8"/>
        <w:rPr>
          <w:rFonts w:asciiTheme="minorHAnsi" w:eastAsiaTheme="minorEastAsia" w:hAnsiTheme="minorHAnsi" w:cstheme="minorBidi"/>
          <w:szCs w:val="22"/>
        </w:rPr>
      </w:pPr>
      <w:r>
        <w:t>3.</w:t>
      </w:r>
      <w:r>
        <w:tab/>
        <w:t>Commencing mortgage actions</w:t>
      </w:r>
      <w:r>
        <w:tab/>
      </w:r>
      <w:r>
        <w:fldChar w:fldCharType="begin"/>
      </w:r>
      <w:r>
        <w:instrText xml:space="preserve"> PAGEREF _Toc129077394 \h </w:instrText>
      </w:r>
      <w:r>
        <w:fldChar w:fldCharType="separate"/>
      </w:r>
      <w:r>
        <w:t>43</w:t>
      </w:r>
      <w:r>
        <w:fldChar w:fldCharType="end"/>
      </w:r>
    </w:p>
    <w:p>
      <w:pPr>
        <w:pStyle w:val="TOC8"/>
        <w:rPr>
          <w:rFonts w:asciiTheme="minorHAnsi" w:eastAsiaTheme="minorEastAsia" w:hAnsiTheme="minorHAnsi" w:cstheme="minorBidi"/>
          <w:szCs w:val="22"/>
        </w:rPr>
      </w:pPr>
      <w:r>
        <w:t>4.</w:t>
      </w:r>
      <w:r>
        <w:tab/>
        <w:t>Transitional provision for former Order 62A</w:t>
      </w:r>
      <w:r>
        <w:tab/>
      </w:r>
      <w:r>
        <w:fldChar w:fldCharType="begin"/>
      </w:r>
      <w:r>
        <w:instrText xml:space="preserve"> PAGEREF _Toc129077395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Order 5 — Writs of summons</w:t>
      </w:r>
    </w:p>
    <w:p>
      <w:pPr>
        <w:pStyle w:val="TOC8"/>
        <w:rPr>
          <w:rFonts w:asciiTheme="minorHAnsi" w:eastAsiaTheme="minorEastAsia" w:hAnsiTheme="minorHAnsi" w:cstheme="minorBidi"/>
          <w:szCs w:val="22"/>
        </w:rPr>
      </w:pPr>
      <w:r>
        <w:t>1</w:t>
      </w:r>
      <w:r>
        <w:rPr>
          <w:snapToGrid w:val="0"/>
        </w:rPr>
        <w:t>.</w:t>
      </w:r>
      <w:r>
        <w:rPr>
          <w:snapToGrid w:val="0"/>
        </w:rPr>
        <w:tab/>
        <w:t>Form of writ</w:t>
      </w:r>
      <w:r>
        <w:tab/>
      </w:r>
      <w:r>
        <w:fldChar w:fldCharType="begin"/>
      </w:r>
      <w:r>
        <w:instrText xml:space="preserve"> PAGEREF _Toc129077397 \h </w:instrText>
      </w:r>
      <w:r>
        <w:fldChar w:fldCharType="separate"/>
      </w:r>
      <w:r>
        <w:t>45</w:t>
      </w:r>
      <w:r>
        <w:fldChar w:fldCharType="end"/>
      </w:r>
    </w:p>
    <w:p>
      <w:pPr>
        <w:pStyle w:val="TOC8"/>
        <w:rPr>
          <w:rFonts w:asciiTheme="minorHAnsi" w:eastAsiaTheme="minorEastAsia" w:hAnsiTheme="minorHAnsi" w:cstheme="minorBidi"/>
          <w:szCs w:val="22"/>
        </w:rPr>
      </w:pPr>
      <w:r>
        <w:t>2.</w:t>
      </w:r>
      <w:r>
        <w:tab/>
        <w:t>Writ for service outside WA, form of</w:t>
      </w:r>
      <w:r>
        <w:tab/>
      </w:r>
      <w:r>
        <w:fldChar w:fldCharType="begin"/>
      </w:r>
      <w:r>
        <w:instrText xml:space="preserve"> PAGEREF _Toc129077398 \h </w:instrText>
      </w:r>
      <w:r>
        <w:fldChar w:fldCharType="separate"/>
      </w:r>
      <w:r>
        <w:t>45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Place of trial to be shown</w:t>
      </w:r>
      <w:r>
        <w:tab/>
      </w:r>
      <w:r>
        <w:fldChar w:fldCharType="begin"/>
      </w:r>
      <w:r>
        <w:instrText xml:space="preserve"> PAGEREF _Toc129077399 \h </w:instrText>
      </w:r>
      <w:r>
        <w:fldChar w:fldCharType="separate"/>
      </w:r>
      <w:r>
        <w:t>45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Place of issue</w:t>
      </w:r>
      <w:r>
        <w:tab/>
      </w:r>
      <w:r>
        <w:fldChar w:fldCharType="begin"/>
      </w:r>
      <w:r>
        <w:instrText xml:space="preserve"> PAGEREF _Toc129077400 \h </w:instrText>
      </w:r>
      <w:r>
        <w:fldChar w:fldCharType="separate"/>
      </w:r>
      <w:r>
        <w:t>45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Preparation of writ</w:t>
      </w:r>
      <w:r>
        <w:tab/>
      </w:r>
      <w:r>
        <w:fldChar w:fldCharType="begin"/>
      </w:r>
      <w:r>
        <w:instrText xml:space="preserve"> PAGEREF _Toc129077401 \h </w:instrText>
      </w:r>
      <w:r>
        <w:fldChar w:fldCharType="separate"/>
      </w:r>
      <w:r>
        <w:t>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Sealing of writ</w:t>
      </w:r>
      <w:r>
        <w:tab/>
      </w:r>
      <w:r>
        <w:fldChar w:fldCharType="begin"/>
      </w:r>
      <w:r>
        <w:instrText xml:space="preserve"> PAGEREF _Toc129077402 \h </w:instrText>
      </w:r>
      <w:r>
        <w:fldChar w:fldCharType="separate"/>
      </w:r>
      <w:r>
        <w:t>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Copy to be left with officer</w:t>
      </w:r>
      <w:r>
        <w:tab/>
      </w:r>
      <w:r>
        <w:fldChar w:fldCharType="begin"/>
      </w:r>
      <w:r>
        <w:instrText xml:space="preserve"> PAGEREF _Toc129077403 \h </w:instrText>
      </w:r>
      <w:r>
        <w:fldChar w:fldCharType="separate"/>
      </w:r>
      <w:r>
        <w:t>45</w:t>
      </w:r>
      <w:r>
        <w:fldChar w:fldCharType="end"/>
      </w:r>
    </w:p>
    <w:p>
      <w:pPr>
        <w:pStyle w:val="TOC8"/>
        <w:rPr>
          <w:rFonts w:asciiTheme="minorHAnsi" w:eastAsiaTheme="minorEastAsia" w:hAnsiTheme="minorHAnsi" w:cstheme="minorBidi"/>
          <w:szCs w:val="22"/>
        </w:rPr>
      </w:pPr>
      <w:r>
        <w:t>8.</w:t>
      </w:r>
      <w:r>
        <w:tab/>
        <w:t>Writ to be recorded when issued</w:t>
      </w:r>
      <w:r>
        <w:tab/>
      </w:r>
      <w:r>
        <w:fldChar w:fldCharType="begin"/>
      </w:r>
      <w:r>
        <w:instrText xml:space="preserve"> PAGEREF _Toc129077404 \h </w:instrText>
      </w:r>
      <w:r>
        <w:fldChar w:fldCharType="separate"/>
      </w:r>
      <w:r>
        <w:t>46</w:t>
      </w:r>
      <w:r>
        <w:fldChar w:fldCharType="end"/>
      </w:r>
    </w:p>
    <w:p>
      <w:pPr>
        <w:pStyle w:val="TOC8"/>
        <w:rPr>
          <w:rFonts w:asciiTheme="minorHAnsi" w:eastAsiaTheme="minorEastAsia" w:hAnsiTheme="minorHAnsi" w:cstheme="minorBidi"/>
          <w:szCs w:val="22"/>
        </w:rPr>
      </w:pPr>
      <w:r>
        <w:t>9.</w:t>
      </w:r>
      <w:r>
        <w:tab/>
        <w:t>Writ for service outside Australia, leave to issue needed</w:t>
      </w:r>
      <w:r>
        <w:tab/>
      </w:r>
      <w:r>
        <w:fldChar w:fldCharType="begin"/>
      </w:r>
      <w:r>
        <w:instrText xml:space="preserve"> PAGEREF _Toc129077405 \h </w:instrText>
      </w:r>
      <w:r>
        <w:fldChar w:fldCharType="separate"/>
      </w:r>
      <w:r>
        <w:t>46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All writs to be in name of Chief Justice or Senior Puisne Judge</w:t>
      </w:r>
      <w:r>
        <w:tab/>
      </w:r>
      <w:r>
        <w:fldChar w:fldCharType="begin"/>
      </w:r>
      <w:r>
        <w:instrText xml:space="preserve"> PAGEREF _Toc129077406 \h </w:instrText>
      </w:r>
      <w:r>
        <w:fldChar w:fldCharType="separate"/>
      </w:r>
      <w:r>
        <w:t>46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Time for appearance to be stated in writ</w:t>
      </w:r>
      <w:r>
        <w:tab/>
      </w:r>
      <w:r>
        <w:fldChar w:fldCharType="begin"/>
      </w:r>
      <w:r>
        <w:instrText xml:space="preserve"> PAGEREF _Toc129077407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6 — Indorsement of claim: other indorsements</w:t>
      </w:r>
    </w:p>
    <w:p>
      <w:pPr>
        <w:pStyle w:val="TOC8"/>
        <w:rPr>
          <w:rFonts w:asciiTheme="minorHAnsi" w:eastAsiaTheme="minorEastAsia" w:hAnsiTheme="minorHAnsi" w:cstheme="minorBidi"/>
          <w:szCs w:val="22"/>
        </w:rPr>
      </w:pPr>
      <w:r>
        <w:t>1</w:t>
      </w:r>
      <w:r>
        <w:rPr>
          <w:snapToGrid w:val="0"/>
        </w:rPr>
        <w:t>.</w:t>
      </w:r>
      <w:r>
        <w:rPr>
          <w:snapToGrid w:val="0"/>
        </w:rPr>
        <w:tab/>
        <w:t>Nature of claim etc. to be indorsed on writ</w:t>
      </w:r>
      <w:r>
        <w:tab/>
      </w:r>
      <w:r>
        <w:fldChar w:fldCharType="begin"/>
      </w:r>
      <w:r>
        <w:instrText xml:space="preserve"> PAGEREF _Toc129077409 \h </w:instrText>
      </w:r>
      <w:r>
        <w:fldChar w:fldCharType="separate"/>
      </w:r>
      <w:r>
        <w:t>48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Action for defamation by publication</w:t>
      </w:r>
      <w:r>
        <w:tab/>
      </w:r>
      <w:r>
        <w:fldChar w:fldCharType="begin"/>
      </w:r>
      <w:r>
        <w:instrText xml:space="preserve"> PAGEREF _Toc129077410 \h </w:instrText>
      </w:r>
      <w:r>
        <w:fldChar w:fldCharType="separate"/>
      </w:r>
      <w:r>
        <w:t>48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Statement of claim may be indorsed on writ in some actions</w:t>
      </w:r>
      <w:r>
        <w:tab/>
      </w:r>
      <w:r>
        <w:fldChar w:fldCharType="begin"/>
      </w:r>
      <w:r>
        <w:instrText xml:space="preserve"> PAGEREF _Toc129077411 \h </w:instrText>
      </w:r>
      <w:r>
        <w:fldChar w:fldCharType="separate"/>
      </w:r>
      <w:r>
        <w:t>48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Claim for liquidated demand, indorsements required for, costs etc.</w:t>
      </w:r>
      <w:r>
        <w:tab/>
      </w:r>
      <w:r>
        <w:fldChar w:fldCharType="begin"/>
      </w:r>
      <w:r>
        <w:instrText xml:space="preserve"> PAGEREF _Toc129077412 \h </w:instrText>
      </w:r>
      <w:r>
        <w:fldChar w:fldCharType="separate"/>
      </w:r>
      <w:r>
        <w:t>48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Representative character</w:t>
      </w:r>
      <w:r>
        <w:tab/>
      </w:r>
      <w:r>
        <w:fldChar w:fldCharType="begin"/>
      </w:r>
      <w:r>
        <w:instrText xml:space="preserve"> PAGEREF _Toc129077413 \h </w:instrText>
      </w:r>
      <w:r>
        <w:fldChar w:fldCharType="separate"/>
      </w:r>
      <w:r>
        <w:t>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Claim for account</w:t>
      </w:r>
      <w:r>
        <w:tab/>
      </w:r>
      <w:r>
        <w:fldChar w:fldCharType="begin"/>
      </w:r>
      <w:r>
        <w:instrText xml:space="preserve"> PAGEREF _Toc129077414 \h </w:instrText>
      </w:r>
      <w:r>
        <w:fldChar w:fldCharType="separate"/>
      </w:r>
      <w:r>
        <w:t>49</w:t>
      </w:r>
      <w:r>
        <w:fldChar w:fldCharType="end"/>
      </w:r>
    </w:p>
    <w:p>
      <w:pPr>
        <w:pStyle w:val="TOC8"/>
        <w:rPr>
          <w:rFonts w:asciiTheme="minorHAnsi" w:eastAsiaTheme="minorEastAsia" w:hAnsiTheme="minorHAnsi" w:cstheme="minorBidi"/>
          <w:szCs w:val="22"/>
        </w:rPr>
      </w:pPr>
      <w:r>
        <w:t>7.</w:t>
      </w:r>
      <w:r>
        <w:tab/>
        <w:t>Writ etc. to state contact details</w:t>
      </w:r>
      <w:r>
        <w:tab/>
      </w:r>
      <w:r>
        <w:fldChar w:fldCharType="begin"/>
      </w:r>
      <w:r>
        <w:instrText xml:space="preserve"> PAGEREF _Toc129077415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Order 7 — Duration and renewal of writ: concurrent writs</w:t>
      </w:r>
    </w:p>
    <w:p>
      <w:pPr>
        <w:pStyle w:val="TOC8"/>
        <w:rPr>
          <w:rFonts w:asciiTheme="minorHAnsi" w:eastAsiaTheme="minorEastAsia" w:hAnsiTheme="minorHAnsi" w:cstheme="minorBidi"/>
          <w:szCs w:val="22"/>
        </w:rPr>
      </w:pPr>
      <w:r>
        <w:t>1</w:t>
      </w:r>
      <w:r>
        <w:rPr>
          <w:snapToGrid w:val="0"/>
        </w:rPr>
        <w:t>.</w:t>
      </w:r>
      <w:r>
        <w:rPr>
          <w:snapToGrid w:val="0"/>
        </w:rPr>
        <w:tab/>
        <w:t>Duration and renewal of writ</w:t>
      </w:r>
      <w:r>
        <w:tab/>
      </w:r>
      <w:r>
        <w:fldChar w:fldCharType="begin"/>
      </w:r>
      <w:r>
        <w:instrText xml:space="preserve"> PAGEREF _Toc129077417 \h </w:instrText>
      </w:r>
      <w:r>
        <w:fldChar w:fldCharType="separate"/>
      </w:r>
      <w:r>
        <w:t>50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Proof of extension of validity of writ</w:t>
      </w:r>
      <w:r>
        <w:tab/>
      </w:r>
      <w:r>
        <w:fldChar w:fldCharType="begin"/>
      </w:r>
      <w:r>
        <w:instrText xml:space="preserve"> PAGEREF _Toc129077418 \h </w:instrText>
      </w:r>
      <w:r>
        <w:fldChar w:fldCharType="separate"/>
      </w:r>
      <w:r>
        <w:t>50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Concurrent writs</w:t>
      </w:r>
      <w:r>
        <w:tab/>
      </w:r>
      <w:r>
        <w:fldChar w:fldCharType="begin"/>
      </w:r>
      <w:r>
        <w:instrText xml:space="preserve"> PAGEREF _Toc129077419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Unserved writs may be struck out</w:t>
      </w:r>
      <w:r>
        <w:tab/>
      </w:r>
      <w:r>
        <w:fldChar w:fldCharType="begin"/>
      </w:r>
      <w:r>
        <w:instrText xml:space="preserve"> PAGEREF _Toc129077420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Order 8 — Disclosure by solicitors: change of solicitors</w:t>
      </w:r>
    </w:p>
    <w:p>
      <w:pPr>
        <w:pStyle w:val="TOC8"/>
        <w:rPr>
          <w:rFonts w:asciiTheme="minorHAnsi" w:eastAsiaTheme="minorEastAsia" w:hAnsiTheme="minorHAnsi" w:cstheme="minorBidi"/>
          <w:szCs w:val="22"/>
        </w:rPr>
      </w:pPr>
      <w:r>
        <w:t>1</w:t>
      </w:r>
      <w:r>
        <w:rPr>
          <w:snapToGrid w:val="0"/>
        </w:rPr>
        <w:t>.</w:t>
      </w:r>
      <w:r>
        <w:rPr>
          <w:snapToGrid w:val="0"/>
        </w:rPr>
        <w:tab/>
        <w:t>Solicitor to declare, if required to, whether writ issued by him</w:t>
      </w:r>
      <w:r>
        <w:tab/>
      </w:r>
      <w:r>
        <w:fldChar w:fldCharType="begin"/>
      </w:r>
      <w:r>
        <w:instrText xml:space="preserve"> PAGEREF _Toc129077422 \h </w:instrText>
      </w:r>
      <w:r>
        <w:fldChar w:fldCharType="separate"/>
      </w:r>
      <w:r>
        <w:t>53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Change of solicitor</w:t>
      </w:r>
      <w:r>
        <w:tab/>
      </w:r>
      <w:r>
        <w:fldChar w:fldCharType="begin"/>
      </w:r>
      <w:r>
        <w:instrText xml:space="preserve"> PAGEREF _Toc129077423 \h </w:instrText>
      </w:r>
      <w:r>
        <w:fldChar w:fldCharType="separate"/>
      </w:r>
      <w:r>
        <w:t>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solicitor by self-represented person</w:t>
      </w:r>
      <w:r>
        <w:tab/>
      </w:r>
      <w:r>
        <w:fldChar w:fldCharType="begin"/>
      </w:r>
      <w:r>
        <w:instrText xml:space="preserve"> PAGEREF _Toc129077424 \h </w:instrText>
      </w:r>
      <w:r>
        <w:fldChar w:fldCharType="separate"/>
      </w:r>
      <w:r>
        <w:t>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Intention to act in person, notice of</w:t>
      </w:r>
      <w:r>
        <w:tab/>
      </w:r>
      <w:r>
        <w:fldChar w:fldCharType="begin"/>
      </w:r>
      <w:r>
        <w:instrText xml:space="preserve"> PAGEREF _Toc129077425 \h </w:instrText>
      </w:r>
      <w:r>
        <w:fldChar w:fldCharType="separate"/>
      </w:r>
      <w:r>
        <w:t>54</w:t>
      </w:r>
      <w:r>
        <w:fldChar w:fldCharType="end"/>
      </w:r>
    </w:p>
    <w:p>
      <w:pPr>
        <w:pStyle w:val="TOC8"/>
        <w:rPr>
          <w:rFonts w:asciiTheme="minorHAnsi" w:eastAsiaTheme="minorEastAsia" w:hAnsiTheme="minorHAnsi" w:cstheme="minorBidi"/>
          <w:szCs w:val="22"/>
        </w:rPr>
      </w:pPr>
      <w:r>
        <w:t>5A.</w:t>
      </w:r>
      <w:r>
        <w:tab/>
        <w:t>Form and content of notices</w:t>
      </w:r>
      <w:r>
        <w:tab/>
      </w:r>
      <w:r>
        <w:fldChar w:fldCharType="begin"/>
      </w:r>
      <w:r>
        <w:instrText xml:space="preserve"> PAGEREF _Toc129077426 \h </w:instrText>
      </w:r>
      <w:r>
        <w:fldChar w:fldCharType="separate"/>
      </w:r>
      <w:r>
        <w:t>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Removal of solicitor from record</w:t>
      </w:r>
      <w:r>
        <w:tab/>
      </w:r>
      <w:r>
        <w:fldChar w:fldCharType="begin"/>
      </w:r>
      <w:r>
        <w:instrText xml:space="preserve"> PAGEREF _Toc129077427 \h </w:instrText>
      </w:r>
      <w:r>
        <w:fldChar w:fldCharType="separate"/>
      </w:r>
      <w:r>
        <w:t>54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Withdrawal of solicitor who has ceased to act for party</w:t>
      </w:r>
      <w:r>
        <w:tab/>
      </w:r>
      <w:r>
        <w:fldChar w:fldCharType="begin"/>
      </w:r>
      <w:r>
        <w:instrText xml:space="preserve"> PAGEREF _Toc129077428 \h </w:instrText>
      </w:r>
      <w:r>
        <w:fldChar w:fldCharType="separate"/>
      </w:r>
      <w:r>
        <w:t>55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Effect of order made under this Order</w:t>
      </w:r>
      <w:r>
        <w:tab/>
      </w:r>
      <w:r>
        <w:fldChar w:fldCharType="begin"/>
      </w:r>
      <w:r>
        <w:instrText xml:space="preserve"> PAGEREF _Toc129077429 \h </w:instrText>
      </w:r>
      <w:r>
        <w:fldChar w:fldCharType="separate"/>
      </w:r>
      <w:r>
        <w:t>56</w:t>
      </w:r>
      <w:r>
        <w:fldChar w:fldCharType="end"/>
      </w:r>
    </w:p>
    <w:p>
      <w:pPr>
        <w:pStyle w:val="TOC8"/>
        <w:rPr>
          <w:rFonts w:asciiTheme="minorHAnsi" w:eastAsiaTheme="minorEastAsia" w:hAnsiTheme="minorHAnsi" w:cstheme="minorBidi"/>
          <w:szCs w:val="22"/>
        </w:rPr>
      </w:pPr>
      <w:r>
        <w:t>9.</w:t>
      </w:r>
      <w:r>
        <w:tab/>
        <w:t>Service details of party whose solicitor is removed</w:t>
      </w:r>
      <w:r>
        <w:tab/>
      </w:r>
      <w:r>
        <w:fldChar w:fldCharType="begin"/>
      </w:r>
      <w:r>
        <w:instrText xml:space="preserve"> PAGEREF _Toc129077430 \h </w:instrText>
      </w:r>
      <w:r>
        <w:fldChar w:fldCharType="separate"/>
      </w:r>
      <w:r>
        <w:t>56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Solicitor not to act for adverse parties</w:t>
      </w:r>
      <w:r>
        <w:tab/>
      </w:r>
      <w:r>
        <w:fldChar w:fldCharType="begin"/>
      </w:r>
      <w:r>
        <w:instrText xml:space="preserve"> PAGEREF _Toc129077431 \h </w:instrText>
      </w:r>
      <w:r>
        <w:fldChar w:fldCharType="separate"/>
      </w:r>
      <w:r>
        <w:t>57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Legal practitioner or clerk not to be security</w:t>
      </w:r>
      <w:r>
        <w:tab/>
      </w:r>
      <w:r>
        <w:fldChar w:fldCharType="begin"/>
      </w:r>
      <w:r>
        <w:instrText xml:space="preserve"> PAGEREF _Toc129077432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Order 9A — Interested non</w:t>
      </w:r>
      <w:r>
        <w:noBreakHyphen/>
        <w:t>parties</w:t>
      </w:r>
    </w:p>
    <w:p>
      <w:pPr>
        <w:pStyle w:val="TOC8"/>
        <w:rPr>
          <w:rFonts w:asciiTheme="minorHAnsi" w:eastAsiaTheme="minorEastAsia" w:hAnsiTheme="minorHAnsi" w:cstheme="minorBidi"/>
          <w:szCs w:val="22"/>
        </w:rPr>
      </w:pPr>
      <w:r>
        <w:t>1.</w:t>
      </w:r>
      <w:r>
        <w:tab/>
        <w:t>Term used: interested non</w:t>
      </w:r>
      <w:r>
        <w:noBreakHyphen/>
        <w:t>party</w:t>
      </w:r>
      <w:r>
        <w:tab/>
      </w:r>
      <w:r>
        <w:fldChar w:fldCharType="begin"/>
      </w:r>
      <w:r>
        <w:instrText xml:space="preserve"> PAGEREF _Toc129077434 \h </w:instrText>
      </w:r>
      <w:r>
        <w:fldChar w:fldCharType="separate"/>
      </w:r>
      <w:r>
        <w:t>58</w:t>
      </w:r>
      <w:r>
        <w:fldChar w:fldCharType="end"/>
      </w:r>
    </w:p>
    <w:p>
      <w:pPr>
        <w:pStyle w:val="TOC8"/>
        <w:rPr>
          <w:rFonts w:asciiTheme="minorHAnsi" w:eastAsiaTheme="minorEastAsia" w:hAnsiTheme="minorHAnsi" w:cstheme="minorBidi"/>
          <w:szCs w:val="22"/>
        </w:rPr>
      </w:pPr>
      <w:r>
        <w:t>2.</w:t>
      </w:r>
      <w:r>
        <w:tab/>
        <w:t>Parties to advise identity of interested non</w:t>
      </w:r>
      <w:r>
        <w:noBreakHyphen/>
        <w:t>parties</w:t>
      </w:r>
      <w:r>
        <w:tab/>
      </w:r>
      <w:r>
        <w:fldChar w:fldCharType="begin"/>
      </w:r>
      <w:r>
        <w:instrText xml:space="preserve"> PAGEREF _Toc129077435 \h </w:instrText>
      </w:r>
      <w:r>
        <w:fldChar w:fldCharType="separate"/>
      </w:r>
      <w:r>
        <w:t>58</w:t>
      </w:r>
      <w:r>
        <w:fldChar w:fldCharType="end"/>
      </w:r>
    </w:p>
    <w:p>
      <w:pPr>
        <w:pStyle w:val="TOC8"/>
        <w:rPr>
          <w:rFonts w:asciiTheme="minorHAnsi" w:eastAsiaTheme="minorEastAsia" w:hAnsiTheme="minorHAnsi" w:cstheme="minorBidi"/>
          <w:szCs w:val="22"/>
        </w:rPr>
      </w:pPr>
      <w:r>
        <w:lastRenderedPageBreak/>
        <w:t>3.</w:t>
      </w:r>
      <w:r>
        <w:tab/>
        <w:t>Duties of interested non</w:t>
      </w:r>
      <w:r>
        <w:noBreakHyphen/>
        <w:t>party</w:t>
      </w:r>
      <w:r>
        <w:tab/>
      </w:r>
      <w:r>
        <w:fldChar w:fldCharType="begin"/>
      </w:r>
      <w:r>
        <w:instrText xml:space="preserve"> PAGEREF _Toc129077436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Order 9 — Service of originating process: general provisions</w:t>
      </w:r>
    </w:p>
    <w:p>
      <w:pPr>
        <w:pStyle w:val="TOC8"/>
        <w:rPr>
          <w:rFonts w:asciiTheme="minorHAnsi" w:eastAsiaTheme="minorEastAsia" w:hAnsiTheme="minorHAnsi" w:cstheme="minorBidi"/>
          <w:szCs w:val="22"/>
        </w:rPr>
      </w:pPr>
      <w:r>
        <w:t>1</w:t>
      </w:r>
      <w:r>
        <w:rPr>
          <w:snapToGrid w:val="0"/>
        </w:rPr>
        <w:t>.</w:t>
      </w:r>
      <w:r>
        <w:rPr>
          <w:snapToGrid w:val="0"/>
        </w:rPr>
        <w:tab/>
        <w:t>Service of writ, general provisions</w:t>
      </w:r>
      <w:r>
        <w:tab/>
      </w:r>
      <w:r>
        <w:fldChar w:fldCharType="begin"/>
      </w:r>
      <w:r>
        <w:instrText xml:space="preserve"> PAGEREF _Toc129077438 \h </w:instrText>
      </w:r>
      <w:r>
        <w:fldChar w:fldCharType="separate"/>
      </w:r>
      <w:r>
        <w:t>60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of writ as to contract on agent of principal who is outside WA</w:t>
      </w:r>
      <w:r>
        <w:tab/>
      </w:r>
      <w:r>
        <w:fldChar w:fldCharType="begin"/>
      </w:r>
      <w:r>
        <w:instrText xml:space="preserve"> PAGEREF _Toc129077439 \h </w:instrText>
      </w:r>
      <w:r>
        <w:fldChar w:fldCharType="separate"/>
      </w:r>
      <w:r>
        <w:t>61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Serving writ in accordance with contract, effect of</w:t>
      </w:r>
      <w:r>
        <w:tab/>
      </w:r>
      <w:r>
        <w:fldChar w:fldCharType="begin"/>
      </w:r>
      <w:r>
        <w:instrText xml:space="preserve"> PAGEREF _Toc129077440 \h </w:instrText>
      </w:r>
      <w:r>
        <w:fldChar w:fldCharType="separate"/>
      </w:r>
      <w:r>
        <w:t>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Writ for possession of land where no person in possession, service of</w:t>
      </w:r>
      <w:r>
        <w:tab/>
      </w:r>
      <w:r>
        <w:fldChar w:fldCharType="begin"/>
      </w:r>
      <w:r>
        <w:instrText xml:space="preserve"> PAGEREF _Toc129077441 \h </w:instrText>
      </w:r>
      <w:r>
        <w:fldChar w:fldCharType="separate"/>
      </w:r>
      <w:r>
        <w:t>62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other originating process</w:t>
      </w:r>
      <w:r>
        <w:tab/>
      </w:r>
      <w:r>
        <w:fldChar w:fldCharType="begin"/>
      </w:r>
      <w:r>
        <w:instrText xml:space="preserve"> PAGEREF _Toc129077442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Order 10 — Service out of the jurisdiction</w:t>
      </w:r>
    </w:p>
    <w:p>
      <w:pPr>
        <w:pStyle w:val="TOC8"/>
        <w:rPr>
          <w:rFonts w:asciiTheme="minorHAnsi" w:eastAsiaTheme="minorEastAsia" w:hAnsiTheme="minorHAnsi" w:cstheme="minorBidi"/>
          <w:szCs w:val="22"/>
        </w:rPr>
      </w:pPr>
      <w:r>
        <w:t>1A.</w:t>
      </w:r>
      <w:r>
        <w:tab/>
        <w:t>When leave to serve is required; application of r. 9 to 11</w:t>
      </w:r>
      <w:r>
        <w:tab/>
      </w:r>
      <w:r>
        <w:fldChar w:fldCharType="begin"/>
      </w:r>
      <w:r>
        <w:instrText xml:space="preserve"> PAGEREF _Toc129077444 \h </w:instrText>
      </w:r>
      <w:r>
        <w:fldChar w:fldCharType="separate"/>
      </w:r>
      <w:r>
        <w:t>64</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When service out of jurisdiction is permissible</w:t>
      </w:r>
      <w:r>
        <w:tab/>
      </w:r>
      <w:r>
        <w:fldChar w:fldCharType="begin"/>
      </w:r>
      <w:r>
        <w:instrText xml:space="preserve"> PAGEREF _Toc129077445 \h </w:instrText>
      </w:r>
      <w:r>
        <w:fldChar w:fldCharType="separate"/>
      </w:r>
      <w:r>
        <w:t>64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out of jurisdiction of writ etc. as to contract</w:t>
      </w:r>
      <w:r>
        <w:tab/>
      </w:r>
      <w:r>
        <w:fldChar w:fldCharType="begin"/>
      </w:r>
      <w:r>
        <w:instrText xml:space="preserve"> PAGEREF _Toc129077446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for leave under r. 1 or 2</w:t>
      </w:r>
      <w:r>
        <w:tab/>
      </w:r>
      <w:r>
        <w:fldChar w:fldCharType="begin"/>
      </w:r>
      <w:r>
        <w:instrText xml:space="preserve"> PAGEREF _Toc129077447 \h </w:instrText>
      </w:r>
      <w:r>
        <w:fldChar w:fldCharType="separate"/>
      </w:r>
      <w:r>
        <w:t>67</w:t>
      </w:r>
      <w:r>
        <w:fldChar w:fldCharType="end"/>
      </w:r>
    </w:p>
    <w:p>
      <w:pPr>
        <w:pStyle w:val="TOC8"/>
        <w:rPr>
          <w:rFonts w:asciiTheme="minorHAnsi" w:eastAsiaTheme="minorEastAsia" w:hAnsiTheme="minorHAnsi" w:cstheme="minorBidi"/>
          <w:szCs w:val="22"/>
        </w:rPr>
      </w:pPr>
      <w:r>
        <w:t>5.</w:t>
      </w:r>
      <w:r>
        <w:tab/>
        <w:t>Time for appearance</w:t>
      </w:r>
      <w:r>
        <w:tab/>
      </w:r>
      <w:r>
        <w:fldChar w:fldCharType="begin"/>
      </w:r>
      <w:r>
        <w:instrText xml:space="preserve"> PAGEREF _Toc129077448 \h </w:instrText>
      </w:r>
      <w:r>
        <w:fldChar w:fldCharType="separate"/>
      </w:r>
      <w:r>
        <w:t>67</w:t>
      </w:r>
      <w:r>
        <w:fldChar w:fldCharType="end"/>
      </w:r>
    </w:p>
    <w:p>
      <w:pPr>
        <w:pStyle w:val="TOC8"/>
        <w:rPr>
          <w:rFonts w:asciiTheme="minorHAnsi" w:eastAsiaTheme="minorEastAsia" w:hAnsiTheme="minorHAnsi" w:cstheme="minorBidi"/>
          <w:szCs w:val="22"/>
        </w:rPr>
      </w:pPr>
      <w:r>
        <w:t>7.</w:t>
      </w:r>
      <w:r>
        <w:tab/>
        <w:t>Other documents, service of outside Australia</w:t>
      </w:r>
      <w:r>
        <w:tab/>
      </w:r>
      <w:r>
        <w:fldChar w:fldCharType="begin"/>
      </w:r>
      <w:r>
        <w:instrText xml:space="preserve"> PAGEREF _Toc129077449 \h </w:instrText>
      </w:r>
      <w:r>
        <w:fldChar w:fldCharType="separate"/>
      </w:r>
      <w:r>
        <w:t>68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 of existing practice</w:t>
      </w:r>
      <w:r>
        <w:tab/>
      </w:r>
      <w:r>
        <w:fldChar w:fldCharType="begin"/>
      </w:r>
      <w:r>
        <w:instrText xml:space="preserve"> PAGEREF _Toc129077450 \h </w:instrText>
      </w:r>
      <w:r>
        <w:fldChar w:fldCharType="separate"/>
      </w:r>
      <w:r>
        <w:t>68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Service abroad through foreign or diplomatic officials</w:t>
      </w:r>
      <w:r>
        <w:tab/>
      </w:r>
      <w:r>
        <w:fldChar w:fldCharType="begin"/>
      </w:r>
      <w:r>
        <w:instrText xml:space="preserve"> PAGEREF _Toc129077451 \h </w:instrText>
      </w:r>
      <w:r>
        <w:fldChar w:fldCharType="separate"/>
      </w:r>
      <w:r>
        <w:t>68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Service abroad, general and saving provisions</w:t>
      </w:r>
      <w:r>
        <w:tab/>
      </w:r>
      <w:r>
        <w:fldChar w:fldCharType="begin"/>
      </w:r>
      <w:r>
        <w:instrText xml:space="preserve"> PAGEREF _Toc129077452 \h </w:instrText>
      </w:r>
      <w:r>
        <w:fldChar w:fldCharType="separate"/>
      </w:r>
      <w:r>
        <w:t>70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Undertaking to pay expenses of service</w:t>
      </w:r>
      <w:r>
        <w:tab/>
      </w:r>
      <w:r>
        <w:fldChar w:fldCharType="begin"/>
      </w:r>
      <w:r>
        <w:instrText xml:space="preserve"> PAGEREF _Toc129077453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Order 11 — Service of foreign process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_Toc129077455 \h </w:instrText>
      </w:r>
      <w:r>
        <w:fldChar w:fldCharType="separate"/>
      </w:r>
      <w:r>
        <w:t>72</w:t>
      </w:r>
      <w:r>
        <w:fldChar w:fldCharType="end"/>
      </w:r>
    </w:p>
    <w:p>
      <w:pPr>
        <w:pStyle w:val="TOC8"/>
        <w:rPr>
          <w:rFonts w:asciiTheme="minorHAnsi" w:eastAsiaTheme="minorEastAsia" w:hAnsiTheme="minorHAnsi" w:cstheme="minorBidi"/>
          <w:szCs w:val="22"/>
        </w:rPr>
      </w:pPr>
      <w:r>
        <w:t>2A.</w:t>
      </w:r>
      <w:r>
        <w:tab/>
        <w:t>Application of this Order</w:t>
      </w:r>
      <w:r>
        <w:tab/>
      </w:r>
      <w:r>
        <w:fldChar w:fldCharType="begin"/>
      </w:r>
      <w:r>
        <w:instrText xml:space="preserve"> PAGEREF _Toc129077456 \h </w:instrText>
      </w:r>
      <w:r>
        <w:fldChar w:fldCharType="separate"/>
      </w:r>
      <w:r>
        <w:t>72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Service pursuant to letter of request for service</w:t>
      </w:r>
      <w:r>
        <w:tab/>
      </w:r>
      <w:r>
        <w:fldChar w:fldCharType="begin"/>
      </w:r>
      <w:r>
        <w:instrText xml:space="preserve"> PAGEREF _Toc129077457 \h </w:instrText>
      </w:r>
      <w:r>
        <w:fldChar w:fldCharType="separate"/>
      </w:r>
      <w:r>
        <w:t>72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under Convention</w:t>
      </w:r>
      <w:r>
        <w:tab/>
      </w:r>
      <w:r>
        <w:fldChar w:fldCharType="begin"/>
      </w:r>
      <w:r>
        <w:instrText xml:space="preserve"> PAGEREF _Toc129077458 \h </w:instrText>
      </w:r>
      <w:r>
        <w:fldChar w:fldCharType="separate"/>
      </w:r>
      <w:r>
        <w:t>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to be through sheriff</w:t>
      </w:r>
      <w:r>
        <w:tab/>
      </w:r>
      <w:r>
        <w:fldChar w:fldCharType="begin"/>
      </w:r>
      <w:r>
        <w:instrText xml:space="preserve"> PAGEREF _Toc129077459 \h </w:instrText>
      </w:r>
      <w:r>
        <w:fldChar w:fldCharType="separate"/>
      </w:r>
      <w:r>
        <w:t>74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Consequential orders</w:t>
      </w:r>
      <w:r>
        <w:tab/>
      </w:r>
      <w:r>
        <w:fldChar w:fldCharType="begin"/>
      </w:r>
      <w:r>
        <w:instrText xml:space="preserve"> PAGEREF _Toc129077460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11A</w:t>
      </w:r>
      <w:r>
        <w:rPr>
          <w:b w:val="0"/>
        </w:rPr>
        <w:t> </w:t>
      </w:r>
      <w:r>
        <w:t>—</w:t>
      </w:r>
      <w:r>
        <w:rPr>
          <w:b w:val="0"/>
        </w:rPr>
        <w:t> </w:t>
      </w:r>
      <w:r>
        <w:t>Service under the Hague Convention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_Toc129077463 \h </w:instrText>
      </w:r>
      <w:r>
        <w:fldChar w:fldCharType="separate"/>
      </w:r>
      <w:r>
        <w:t>76</w:t>
      </w:r>
      <w:r>
        <w:fldChar w:fldCharType="end"/>
      </w:r>
    </w:p>
    <w:p>
      <w:pPr>
        <w:pStyle w:val="TOC8"/>
        <w:rPr>
          <w:rFonts w:asciiTheme="minorHAnsi" w:eastAsiaTheme="minorEastAsia" w:hAnsiTheme="minorHAnsi" w:cstheme="minorBidi"/>
          <w:szCs w:val="22"/>
        </w:rPr>
      </w:pPr>
      <w:r>
        <w:t>2.</w:t>
      </w:r>
      <w:r>
        <w:tab/>
        <w:t>Provisions of this Order to prevail</w:t>
      </w:r>
      <w:r>
        <w:tab/>
      </w:r>
      <w:r>
        <w:fldChar w:fldCharType="begin"/>
      </w:r>
      <w:r>
        <w:instrText xml:space="preserve"> PAGEREF _Toc129077464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Division 2 — Service abroad of local judicial documents</w:t>
      </w:r>
    </w:p>
    <w:p>
      <w:pPr>
        <w:pStyle w:val="TOC8"/>
        <w:rPr>
          <w:rFonts w:asciiTheme="minorHAnsi" w:eastAsiaTheme="minorEastAsia" w:hAnsiTheme="minorHAnsi" w:cstheme="minorBidi"/>
          <w:szCs w:val="22"/>
        </w:rPr>
      </w:pPr>
      <w:r>
        <w:t>3.</w:t>
      </w:r>
      <w:r>
        <w:tab/>
        <w:t>Application of this Division</w:t>
      </w:r>
      <w:r>
        <w:tab/>
      </w:r>
      <w:r>
        <w:fldChar w:fldCharType="begin"/>
      </w:r>
      <w:r>
        <w:instrText xml:space="preserve"> PAGEREF _Toc129077466 \h </w:instrText>
      </w:r>
      <w:r>
        <w:fldChar w:fldCharType="separate"/>
      </w:r>
      <w:r>
        <w:t>78</w:t>
      </w:r>
      <w:r>
        <w:fldChar w:fldCharType="end"/>
      </w:r>
    </w:p>
    <w:p>
      <w:pPr>
        <w:pStyle w:val="TOC8"/>
        <w:rPr>
          <w:rFonts w:asciiTheme="minorHAnsi" w:eastAsiaTheme="minorEastAsia" w:hAnsiTheme="minorHAnsi" w:cstheme="minorBidi"/>
          <w:szCs w:val="22"/>
        </w:rPr>
      </w:pPr>
      <w:r>
        <w:t>4.</w:t>
      </w:r>
      <w:r>
        <w:tab/>
        <w:t>Application for request for service abroad</w:t>
      </w:r>
      <w:r>
        <w:tab/>
      </w:r>
      <w:r>
        <w:fldChar w:fldCharType="begin"/>
      </w:r>
      <w:r>
        <w:instrText xml:space="preserve"> PAGEREF _Toc129077467 \h </w:instrText>
      </w:r>
      <w:r>
        <w:fldChar w:fldCharType="separate"/>
      </w:r>
      <w:r>
        <w:t>79</w:t>
      </w:r>
      <w:r>
        <w:fldChar w:fldCharType="end"/>
      </w:r>
    </w:p>
    <w:p>
      <w:pPr>
        <w:pStyle w:val="TOC8"/>
        <w:rPr>
          <w:rFonts w:asciiTheme="minorHAnsi" w:eastAsiaTheme="minorEastAsia" w:hAnsiTheme="minorHAnsi" w:cstheme="minorBidi"/>
          <w:szCs w:val="22"/>
        </w:rPr>
      </w:pPr>
      <w:r>
        <w:t>5.</w:t>
      </w:r>
      <w:r>
        <w:tab/>
        <w:t>How application to be dealt with</w:t>
      </w:r>
      <w:r>
        <w:tab/>
      </w:r>
      <w:r>
        <w:fldChar w:fldCharType="begin"/>
      </w:r>
      <w:r>
        <w:instrText xml:space="preserve"> PAGEREF _Toc129077468 \h </w:instrText>
      </w:r>
      <w:r>
        <w:fldChar w:fldCharType="separate"/>
      </w:r>
      <w:r>
        <w:t>81</w:t>
      </w:r>
      <w:r>
        <w:fldChar w:fldCharType="end"/>
      </w:r>
    </w:p>
    <w:p>
      <w:pPr>
        <w:pStyle w:val="TOC8"/>
        <w:rPr>
          <w:rFonts w:asciiTheme="minorHAnsi" w:eastAsiaTheme="minorEastAsia" w:hAnsiTheme="minorHAnsi" w:cstheme="minorBidi"/>
          <w:szCs w:val="22"/>
        </w:rPr>
      </w:pPr>
      <w:r>
        <w:t>6.</w:t>
      </w:r>
      <w:r>
        <w:tab/>
        <w:t>Procedure on receipt of certificate of service</w:t>
      </w:r>
      <w:r>
        <w:tab/>
      </w:r>
      <w:r>
        <w:fldChar w:fldCharType="begin"/>
      </w:r>
      <w:r>
        <w:instrText xml:space="preserve"> PAGEREF _Toc129077469 \h </w:instrText>
      </w:r>
      <w:r>
        <w:fldChar w:fldCharType="separate"/>
      </w:r>
      <w:r>
        <w:t>82</w:t>
      </w:r>
      <w:r>
        <w:fldChar w:fldCharType="end"/>
      </w:r>
    </w:p>
    <w:p>
      <w:pPr>
        <w:pStyle w:val="TOC8"/>
        <w:rPr>
          <w:rFonts w:asciiTheme="minorHAnsi" w:eastAsiaTheme="minorEastAsia" w:hAnsiTheme="minorHAnsi" w:cstheme="minorBidi"/>
          <w:szCs w:val="22"/>
        </w:rPr>
      </w:pPr>
      <w:r>
        <w:t>7.</w:t>
      </w:r>
      <w:r>
        <w:tab/>
        <w:t>Payment of costs</w:t>
      </w:r>
      <w:r>
        <w:tab/>
      </w:r>
      <w:r>
        <w:fldChar w:fldCharType="begin"/>
      </w:r>
      <w:r>
        <w:instrText xml:space="preserve"> PAGEREF _Toc129077470 \h </w:instrText>
      </w:r>
      <w:r>
        <w:fldChar w:fldCharType="separate"/>
      </w:r>
      <w:r>
        <w:t>83</w:t>
      </w:r>
      <w:r>
        <w:fldChar w:fldCharType="end"/>
      </w:r>
    </w:p>
    <w:p>
      <w:pPr>
        <w:pStyle w:val="TOC8"/>
        <w:rPr>
          <w:rFonts w:asciiTheme="minorHAnsi" w:eastAsiaTheme="minorEastAsia" w:hAnsiTheme="minorHAnsi" w:cstheme="minorBidi"/>
          <w:szCs w:val="22"/>
        </w:rPr>
      </w:pPr>
      <w:r>
        <w:t>8.</w:t>
      </w:r>
      <w:r>
        <w:tab/>
        <w:t>Evidence of service</w:t>
      </w:r>
      <w:r>
        <w:tab/>
      </w:r>
      <w:r>
        <w:fldChar w:fldCharType="begin"/>
      </w:r>
      <w:r>
        <w:instrText xml:space="preserve"> PAGEREF _Toc129077471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Default judgment following service abroad of initiating process</w:t>
      </w:r>
    </w:p>
    <w:p>
      <w:pPr>
        <w:pStyle w:val="TOC8"/>
        <w:rPr>
          <w:rFonts w:asciiTheme="minorHAnsi" w:eastAsiaTheme="minorEastAsia" w:hAnsiTheme="minorHAnsi" w:cstheme="minorBidi"/>
          <w:szCs w:val="22"/>
        </w:rPr>
      </w:pPr>
      <w:r>
        <w:t>9.</w:t>
      </w:r>
      <w:r>
        <w:tab/>
        <w:t>Application of this Division</w:t>
      </w:r>
      <w:r>
        <w:tab/>
      </w:r>
      <w:r>
        <w:fldChar w:fldCharType="begin"/>
      </w:r>
      <w:r>
        <w:instrText xml:space="preserve"> PAGEREF _Toc129077473 \h </w:instrText>
      </w:r>
      <w:r>
        <w:fldChar w:fldCharType="separate"/>
      </w:r>
      <w:r>
        <w:t>84</w:t>
      </w:r>
      <w:r>
        <w:fldChar w:fldCharType="end"/>
      </w:r>
    </w:p>
    <w:p>
      <w:pPr>
        <w:pStyle w:val="TOC8"/>
        <w:rPr>
          <w:rFonts w:asciiTheme="minorHAnsi" w:eastAsiaTheme="minorEastAsia" w:hAnsiTheme="minorHAnsi" w:cstheme="minorBidi"/>
          <w:szCs w:val="22"/>
        </w:rPr>
      </w:pPr>
      <w:r>
        <w:t>10.</w:t>
      </w:r>
      <w:r>
        <w:tab/>
        <w:t>Restriction on power to enter default judgment if certificate of service filed</w:t>
      </w:r>
      <w:r>
        <w:tab/>
      </w:r>
      <w:r>
        <w:fldChar w:fldCharType="begin"/>
      </w:r>
      <w:r>
        <w:instrText xml:space="preserve"> PAGEREF _Toc129077474 \h </w:instrText>
      </w:r>
      <w:r>
        <w:fldChar w:fldCharType="separate"/>
      </w:r>
      <w:r>
        <w:t>84</w:t>
      </w:r>
      <w:r>
        <w:fldChar w:fldCharType="end"/>
      </w:r>
    </w:p>
    <w:p>
      <w:pPr>
        <w:pStyle w:val="TOC8"/>
        <w:rPr>
          <w:rFonts w:asciiTheme="minorHAnsi" w:eastAsiaTheme="minorEastAsia" w:hAnsiTheme="minorHAnsi" w:cstheme="minorBidi"/>
          <w:szCs w:val="22"/>
        </w:rPr>
      </w:pPr>
      <w:r>
        <w:t>11.</w:t>
      </w:r>
      <w:r>
        <w:tab/>
        <w:t>Restriction on power to enter default judgment if certificate of service not filed</w:t>
      </w:r>
      <w:r>
        <w:tab/>
      </w:r>
      <w:r>
        <w:fldChar w:fldCharType="begin"/>
      </w:r>
      <w:r>
        <w:instrText xml:space="preserve"> PAGEREF _Toc129077475 \h </w:instrText>
      </w:r>
      <w:r>
        <w:fldChar w:fldCharType="separate"/>
      </w:r>
      <w:r>
        <w:t>86</w:t>
      </w:r>
      <w:r>
        <w:fldChar w:fldCharType="end"/>
      </w:r>
    </w:p>
    <w:p>
      <w:pPr>
        <w:pStyle w:val="TOC8"/>
        <w:rPr>
          <w:rFonts w:asciiTheme="minorHAnsi" w:eastAsiaTheme="minorEastAsia" w:hAnsiTheme="minorHAnsi" w:cstheme="minorBidi"/>
          <w:szCs w:val="22"/>
        </w:rPr>
      </w:pPr>
      <w:r>
        <w:t>12.</w:t>
      </w:r>
      <w:r>
        <w:tab/>
        <w:t>Setting aside judgment in default of appearance</w:t>
      </w:r>
      <w:r>
        <w:tab/>
      </w:r>
      <w:r>
        <w:fldChar w:fldCharType="begin"/>
      </w:r>
      <w:r>
        <w:instrText xml:space="preserve"> PAGEREF _Toc129077476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4 — Local service of foreign judicial documents</w:t>
      </w:r>
    </w:p>
    <w:p>
      <w:pPr>
        <w:pStyle w:val="TOC8"/>
        <w:rPr>
          <w:rFonts w:asciiTheme="minorHAnsi" w:eastAsiaTheme="minorEastAsia" w:hAnsiTheme="minorHAnsi" w:cstheme="minorBidi"/>
          <w:szCs w:val="22"/>
        </w:rPr>
      </w:pPr>
      <w:r>
        <w:t>13.</w:t>
      </w:r>
      <w:r>
        <w:tab/>
        <w:t>Application of this Division</w:t>
      </w:r>
      <w:r>
        <w:tab/>
      </w:r>
      <w:r>
        <w:fldChar w:fldCharType="begin"/>
      </w:r>
      <w:r>
        <w:instrText xml:space="preserve"> PAGEREF _Toc129077478 \h </w:instrText>
      </w:r>
      <w:r>
        <w:fldChar w:fldCharType="separate"/>
      </w:r>
      <w:r>
        <w:t>87</w:t>
      </w:r>
      <w:r>
        <w:fldChar w:fldCharType="end"/>
      </w:r>
    </w:p>
    <w:p>
      <w:pPr>
        <w:pStyle w:val="TOC8"/>
        <w:rPr>
          <w:rFonts w:asciiTheme="minorHAnsi" w:eastAsiaTheme="minorEastAsia" w:hAnsiTheme="minorHAnsi" w:cstheme="minorBidi"/>
          <w:szCs w:val="22"/>
        </w:rPr>
      </w:pPr>
      <w:r>
        <w:t>14.</w:t>
      </w:r>
      <w:r>
        <w:tab/>
        <w:t>Certain documents to be referred back to Attorney</w:t>
      </w:r>
      <w:r>
        <w:noBreakHyphen/>
        <w:t>General’s Department of Commonwealth</w:t>
      </w:r>
      <w:r>
        <w:tab/>
      </w:r>
      <w:r>
        <w:fldChar w:fldCharType="begin"/>
      </w:r>
      <w:r>
        <w:instrText xml:space="preserve"> PAGEREF _Toc129077479 \h </w:instrText>
      </w:r>
      <w:r>
        <w:fldChar w:fldCharType="separate"/>
      </w:r>
      <w:r>
        <w:t>88</w:t>
      </w:r>
      <w:r>
        <w:fldChar w:fldCharType="end"/>
      </w:r>
    </w:p>
    <w:p>
      <w:pPr>
        <w:pStyle w:val="TOC8"/>
        <w:rPr>
          <w:rFonts w:asciiTheme="minorHAnsi" w:eastAsiaTheme="minorEastAsia" w:hAnsiTheme="minorHAnsi" w:cstheme="minorBidi"/>
          <w:szCs w:val="22"/>
        </w:rPr>
      </w:pPr>
      <w:r>
        <w:t>15.</w:t>
      </w:r>
      <w:r>
        <w:tab/>
        <w:t>Service</w:t>
      </w:r>
      <w:r>
        <w:tab/>
      </w:r>
      <w:r>
        <w:fldChar w:fldCharType="begin"/>
      </w:r>
      <w:r>
        <w:instrText xml:space="preserve"> PAGEREF _Toc129077480 \h </w:instrText>
      </w:r>
      <w:r>
        <w:fldChar w:fldCharType="separate"/>
      </w:r>
      <w:r>
        <w:t>89</w:t>
      </w:r>
      <w:r>
        <w:fldChar w:fldCharType="end"/>
      </w:r>
    </w:p>
    <w:p>
      <w:pPr>
        <w:pStyle w:val="TOC8"/>
        <w:rPr>
          <w:rFonts w:asciiTheme="minorHAnsi" w:eastAsiaTheme="minorEastAsia" w:hAnsiTheme="minorHAnsi" w:cstheme="minorBidi"/>
          <w:szCs w:val="22"/>
        </w:rPr>
      </w:pPr>
      <w:r>
        <w:t>16.</w:t>
      </w:r>
      <w:r>
        <w:tab/>
        <w:t>Affidavit as to service</w:t>
      </w:r>
      <w:r>
        <w:tab/>
      </w:r>
      <w:r>
        <w:fldChar w:fldCharType="begin"/>
      </w:r>
      <w:r>
        <w:instrText xml:space="preserve"> PAGEREF _Toc129077481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Order 12 — Appearance</w:t>
      </w:r>
    </w:p>
    <w:p>
      <w:pPr>
        <w:pStyle w:val="TOC8"/>
        <w:rPr>
          <w:rFonts w:asciiTheme="minorHAnsi" w:eastAsiaTheme="minorEastAsia" w:hAnsiTheme="minorHAnsi" w:cstheme="minorBidi"/>
          <w:szCs w:val="22"/>
        </w:rPr>
      </w:pPr>
      <w:r>
        <w:t>1</w:t>
      </w:r>
      <w:r>
        <w:rPr>
          <w:snapToGrid w:val="0"/>
        </w:rPr>
        <w:t>.</w:t>
      </w:r>
      <w:r>
        <w:rPr>
          <w:snapToGrid w:val="0"/>
        </w:rPr>
        <w:tab/>
        <w:t>Who may enter appearance</w:t>
      </w:r>
      <w:r>
        <w:tab/>
      </w:r>
      <w:r>
        <w:fldChar w:fldCharType="begin"/>
      </w:r>
      <w:r>
        <w:instrText xml:space="preserve"> PAGEREF _Toc129077483 \h </w:instrText>
      </w:r>
      <w:r>
        <w:fldChar w:fldCharType="separate"/>
      </w:r>
      <w:r>
        <w:t>92</w:t>
      </w:r>
      <w:r>
        <w:fldChar w:fldCharType="end"/>
      </w:r>
    </w:p>
    <w:p>
      <w:pPr>
        <w:pStyle w:val="TOC8"/>
        <w:rPr>
          <w:rFonts w:asciiTheme="minorHAnsi" w:eastAsiaTheme="minorEastAsia" w:hAnsiTheme="minorHAnsi" w:cstheme="minorBidi"/>
          <w:szCs w:val="22"/>
        </w:rPr>
      </w:pPr>
      <w:r>
        <w:t>2.</w:t>
      </w:r>
      <w:r>
        <w:tab/>
        <w:t>How to enter an appearance</w:t>
      </w:r>
      <w:r>
        <w:tab/>
      </w:r>
      <w:r>
        <w:fldChar w:fldCharType="begin"/>
      </w:r>
      <w:r>
        <w:instrText xml:space="preserve"> PAGEREF _Toc129077484 \h </w:instrText>
      </w:r>
      <w:r>
        <w:fldChar w:fldCharType="separate"/>
      </w:r>
      <w:r>
        <w:t>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Procedure on receipt of requisite documents</w:t>
      </w:r>
      <w:r>
        <w:tab/>
      </w:r>
      <w:r>
        <w:fldChar w:fldCharType="begin"/>
      </w:r>
      <w:r>
        <w:instrText xml:space="preserve"> PAGEREF _Toc129077485 \h </w:instrText>
      </w:r>
      <w:r>
        <w:fldChar w:fldCharType="separate"/>
      </w:r>
      <w:r>
        <w:t>92</w:t>
      </w:r>
      <w:r>
        <w:fldChar w:fldCharType="end"/>
      </w:r>
    </w:p>
    <w:p>
      <w:pPr>
        <w:pStyle w:val="TOC8"/>
        <w:rPr>
          <w:rFonts w:asciiTheme="minorHAnsi" w:eastAsiaTheme="minorEastAsia" w:hAnsiTheme="minorHAnsi" w:cstheme="minorBidi"/>
          <w:szCs w:val="22"/>
        </w:rPr>
      </w:pPr>
      <w:r>
        <w:t>4.</w:t>
      </w:r>
      <w:r>
        <w:tab/>
        <w:t>Appearance to be served on plaintiff</w:t>
      </w:r>
      <w:r>
        <w:tab/>
      </w:r>
      <w:r>
        <w:fldChar w:fldCharType="begin"/>
      </w:r>
      <w:r>
        <w:instrText xml:space="preserve"> PAGEREF _Toc129077486 \h </w:instrText>
      </w:r>
      <w:r>
        <w:fldChar w:fldCharType="separate"/>
      </w:r>
      <w:r>
        <w:t>93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Late appearance</w:t>
      </w:r>
      <w:r>
        <w:tab/>
      </w:r>
      <w:r>
        <w:fldChar w:fldCharType="begin"/>
      </w:r>
      <w:r>
        <w:instrText xml:space="preserve"> PAGEREF _Toc129077487 \h </w:instrText>
      </w:r>
      <w:r>
        <w:fldChar w:fldCharType="separate"/>
      </w:r>
      <w:r>
        <w:t>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Conditional appearance</w:t>
      </w:r>
      <w:r>
        <w:tab/>
      </w:r>
      <w:r>
        <w:fldChar w:fldCharType="begin"/>
      </w:r>
      <w:r>
        <w:instrText xml:space="preserve"> PAGEREF _Toc129077488 \h </w:instrText>
      </w:r>
      <w:r>
        <w:fldChar w:fldCharType="separate"/>
      </w:r>
      <w:r>
        <w:t>93</w:t>
      </w:r>
      <w:r>
        <w:fldChar w:fldCharType="end"/>
      </w:r>
    </w:p>
    <w:p>
      <w:pPr>
        <w:pStyle w:val="TOC8"/>
        <w:rPr>
          <w:rFonts w:asciiTheme="minorHAnsi" w:eastAsiaTheme="minorEastAsia" w:hAnsiTheme="minorHAnsi" w:cstheme="minorBidi"/>
          <w:szCs w:val="22"/>
        </w:rPr>
      </w:pPr>
      <w:r>
        <w:t>7.</w:t>
      </w:r>
      <w:r>
        <w:tab/>
        <w:t>Setting aside writ etc. before appearance</w:t>
      </w:r>
      <w:r>
        <w:tab/>
      </w:r>
      <w:r>
        <w:fldChar w:fldCharType="begin"/>
      </w:r>
      <w:r>
        <w:instrText xml:space="preserve"> PAGEREF _Toc129077489 \h </w:instrText>
      </w:r>
      <w:r>
        <w:fldChar w:fldCharType="separate"/>
      </w:r>
      <w:r>
        <w:t>94</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Person not named may defend action for possession of land</w:t>
      </w:r>
      <w:r>
        <w:tab/>
      </w:r>
      <w:r>
        <w:fldChar w:fldCharType="begin"/>
      </w:r>
      <w:r>
        <w:instrText xml:space="preserve"> PAGEREF _Toc129077490 \h </w:instrText>
      </w:r>
      <w:r>
        <w:fldChar w:fldCharType="separate"/>
      </w:r>
      <w:r>
        <w:t>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 appearing under r. 8 to be named as defendant</w:t>
      </w:r>
      <w:r>
        <w:tab/>
      </w:r>
      <w:r>
        <w:fldChar w:fldCharType="begin"/>
      </w:r>
      <w:r>
        <w:instrText xml:space="preserve"> PAGEREF _Toc129077491 \h </w:instrText>
      </w:r>
      <w:r>
        <w:fldChar w:fldCharType="separate"/>
      </w:r>
      <w:r>
        <w:t>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Limiting defence in action for possession of land</w:t>
      </w:r>
      <w:r>
        <w:tab/>
      </w:r>
      <w:r>
        <w:fldChar w:fldCharType="begin"/>
      </w:r>
      <w:r>
        <w:instrText xml:space="preserve"> PAGEREF _Toc129077492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Order 13 — Judgment in default of appearance to writ</w:t>
      </w:r>
    </w:p>
    <w:p>
      <w:pPr>
        <w:pStyle w:val="TOC8"/>
        <w:rPr>
          <w:rFonts w:asciiTheme="minorHAnsi" w:eastAsiaTheme="minorEastAsia" w:hAnsiTheme="minorHAnsi" w:cstheme="minorBidi"/>
          <w:szCs w:val="22"/>
        </w:rPr>
      </w:pPr>
      <w:r>
        <w:t>1.</w:t>
      </w:r>
      <w:r>
        <w:tab/>
        <w:t>Plaintiff may enter judgment if defendant fails to enter appearance</w:t>
      </w:r>
      <w:r>
        <w:tab/>
      </w:r>
      <w:r>
        <w:fldChar w:fldCharType="begin"/>
      </w:r>
      <w:r>
        <w:instrText xml:space="preserve"> PAGEREF _Toc129077494 \h </w:instrText>
      </w:r>
      <w:r>
        <w:fldChar w:fldCharType="separate"/>
      </w:r>
      <w:r>
        <w:t>96</w:t>
      </w:r>
      <w:r>
        <w:fldChar w:fldCharType="end"/>
      </w:r>
    </w:p>
    <w:p>
      <w:pPr>
        <w:pStyle w:val="TOC8"/>
        <w:rPr>
          <w:rFonts w:asciiTheme="minorHAnsi" w:eastAsiaTheme="minorEastAsia" w:hAnsiTheme="minorHAnsi" w:cstheme="minorBidi"/>
          <w:szCs w:val="22"/>
        </w:rPr>
      </w:pPr>
      <w:r>
        <w:t>2.</w:t>
      </w:r>
      <w:r>
        <w:tab/>
        <w:t>Claim for liquidated demand</w:t>
      </w:r>
      <w:r>
        <w:tab/>
      </w:r>
      <w:r>
        <w:fldChar w:fldCharType="begin"/>
      </w:r>
      <w:r>
        <w:instrText xml:space="preserve"> PAGEREF _Toc129077495 \h </w:instrText>
      </w:r>
      <w:r>
        <w:fldChar w:fldCharType="separate"/>
      </w:r>
      <w:r>
        <w:t>96</w:t>
      </w:r>
      <w:r>
        <w:fldChar w:fldCharType="end"/>
      </w:r>
    </w:p>
    <w:p>
      <w:pPr>
        <w:pStyle w:val="TOC8"/>
        <w:rPr>
          <w:rFonts w:asciiTheme="minorHAnsi" w:eastAsiaTheme="minorEastAsia" w:hAnsiTheme="minorHAnsi" w:cstheme="minorBidi"/>
          <w:szCs w:val="22"/>
        </w:rPr>
      </w:pPr>
      <w:r>
        <w:t>3.</w:t>
      </w:r>
      <w:r>
        <w:tab/>
        <w:t>Claims for unliquidated damages</w:t>
      </w:r>
      <w:r>
        <w:tab/>
      </w:r>
      <w:r>
        <w:fldChar w:fldCharType="begin"/>
      </w:r>
      <w:r>
        <w:instrText xml:space="preserve"> PAGEREF _Toc129077496 \h </w:instrText>
      </w:r>
      <w:r>
        <w:fldChar w:fldCharType="separate"/>
      </w:r>
      <w:r>
        <w:t>97</w:t>
      </w:r>
      <w:r>
        <w:fldChar w:fldCharType="end"/>
      </w:r>
    </w:p>
    <w:p>
      <w:pPr>
        <w:pStyle w:val="TOC8"/>
        <w:rPr>
          <w:rFonts w:asciiTheme="minorHAnsi" w:eastAsiaTheme="minorEastAsia" w:hAnsiTheme="minorHAnsi" w:cstheme="minorBidi"/>
          <w:szCs w:val="22"/>
        </w:rPr>
      </w:pPr>
      <w:r>
        <w:t>4.</w:t>
      </w:r>
      <w:r>
        <w:tab/>
        <w:t>Claim relating to detention of goods (excluding mortgage actions)</w:t>
      </w:r>
      <w:r>
        <w:tab/>
      </w:r>
      <w:r>
        <w:fldChar w:fldCharType="begin"/>
      </w:r>
      <w:r>
        <w:instrText xml:space="preserve"> PAGEREF _Toc129077497 \h </w:instrText>
      </w:r>
      <w:r>
        <w:fldChar w:fldCharType="separate"/>
      </w:r>
      <w:r>
        <w:t>97</w:t>
      </w:r>
      <w:r>
        <w:fldChar w:fldCharType="end"/>
      </w:r>
    </w:p>
    <w:p>
      <w:pPr>
        <w:pStyle w:val="TOC8"/>
        <w:rPr>
          <w:rFonts w:asciiTheme="minorHAnsi" w:eastAsiaTheme="minorEastAsia" w:hAnsiTheme="minorHAnsi" w:cstheme="minorBidi"/>
          <w:szCs w:val="22"/>
        </w:rPr>
      </w:pPr>
      <w:r>
        <w:t>5.</w:t>
      </w:r>
      <w:r>
        <w:tab/>
        <w:t>Claim for possession of land (excluding mortgage actions)</w:t>
      </w:r>
      <w:r>
        <w:tab/>
      </w:r>
      <w:r>
        <w:fldChar w:fldCharType="begin"/>
      </w:r>
      <w:r>
        <w:instrText xml:space="preserve"> PAGEREF _Toc129077498 \h </w:instrText>
      </w:r>
      <w:r>
        <w:fldChar w:fldCharType="separate"/>
      </w:r>
      <w:r>
        <w:t>98</w:t>
      </w:r>
      <w:r>
        <w:fldChar w:fldCharType="end"/>
      </w:r>
    </w:p>
    <w:p>
      <w:pPr>
        <w:pStyle w:val="TOC8"/>
        <w:rPr>
          <w:rFonts w:asciiTheme="minorHAnsi" w:eastAsiaTheme="minorEastAsia" w:hAnsiTheme="minorHAnsi" w:cstheme="minorBidi"/>
          <w:szCs w:val="22"/>
        </w:rPr>
      </w:pPr>
      <w:r>
        <w:t>6.</w:t>
      </w:r>
      <w:r>
        <w:tab/>
        <w:t>Mortgage actions</w:t>
      </w:r>
      <w:r>
        <w:tab/>
      </w:r>
      <w:r>
        <w:fldChar w:fldCharType="begin"/>
      </w:r>
      <w:r>
        <w:instrText xml:space="preserve"> PAGEREF _Toc129077499 \h </w:instrText>
      </w:r>
      <w:r>
        <w:fldChar w:fldCharType="separate"/>
      </w:r>
      <w:r>
        <w:t>99</w:t>
      </w:r>
      <w:r>
        <w:fldChar w:fldCharType="end"/>
      </w:r>
    </w:p>
    <w:p>
      <w:pPr>
        <w:pStyle w:val="TOC8"/>
        <w:rPr>
          <w:rFonts w:asciiTheme="minorHAnsi" w:eastAsiaTheme="minorEastAsia" w:hAnsiTheme="minorHAnsi" w:cstheme="minorBidi"/>
          <w:szCs w:val="22"/>
        </w:rPr>
      </w:pPr>
      <w:r>
        <w:t>7.</w:t>
      </w:r>
      <w:r>
        <w:tab/>
        <w:t>Content of affidavit required by r. 6(2)(b)(ii)</w:t>
      </w:r>
      <w:r>
        <w:tab/>
      </w:r>
      <w:r>
        <w:fldChar w:fldCharType="begin"/>
      </w:r>
      <w:r>
        <w:instrText xml:space="preserve"> PAGEREF _Toc129077500 \h </w:instrText>
      </w:r>
      <w:r>
        <w:fldChar w:fldCharType="separate"/>
      </w:r>
      <w:r>
        <w:t>100</w:t>
      </w:r>
      <w:r>
        <w:fldChar w:fldCharType="end"/>
      </w:r>
    </w:p>
    <w:p>
      <w:pPr>
        <w:pStyle w:val="TOC8"/>
        <w:rPr>
          <w:rFonts w:asciiTheme="minorHAnsi" w:eastAsiaTheme="minorEastAsia" w:hAnsiTheme="minorHAnsi" w:cstheme="minorBidi"/>
          <w:szCs w:val="22"/>
        </w:rPr>
      </w:pPr>
      <w:r>
        <w:t>8.</w:t>
      </w:r>
      <w:r>
        <w:tab/>
        <w:t>Writs for 2 or more claims to which r. 2 to 6 apply</w:t>
      </w:r>
      <w:r>
        <w:tab/>
      </w:r>
      <w:r>
        <w:fldChar w:fldCharType="begin"/>
      </w:r>
      <w:r>
        <w:instrText xml:space="preserve"> PAGEREF _Toc129077501 \h </w:instrText>
      </w:r>
      <w:r>
        <w:fldChar w:fldCharType="separate"/>
      </w:r>
      <w:r>
        <w:t>102</w:t>
      </w:r>
      <w:r>
        <w:fldChar w:fldCharType="end"/>
      </w:r>
    </w:p>
    <w:p>
      <w:pPr>
        <w:pStyle w:val="TOC8"/>
        <w:rPr>
          <w:rFonts w:asciiTheme="minorHAnsi" w:eastAsiaTheme="minorEastAsia" w:hAnsiTheme="minorHAnsi" w:cstheme="minorBidi"/>
          <w:szCs w:val="22"/>
        </w:rPr>
      </w:pPr>
      <w:r>
        <w:t>9.</w:t>
      </w:r>
      <w:r>
        <w:tab/>
        <w:t>Writs for other claims</w:t>
      </w:r>
      <w:r>
        <w:tab/>
      </w:r>
      <w:r>
        <w:fldChar w:fldCharType="begin"/>
      </w:r>
      <w:r>
        <w:instrText xml:space="preserve"> PAGEREF _Toc129077502 \h </w:instrText>
      </w:r>
      <w:r>
        <w:fldChar w:fldCharType="separate"/>
      </w:r>
      <w:r>
        <w:t>103</w:t>
      </w:r>
      <w:r>
        <w:fldChar w:fldCharType="end"/>
      </w:r>
    </w:p>
    <w:p>
      <w:pPr>
        <w:pStyle w:val="TOC8"/>
        <w:rPr>
          <w:rFonts w:asciiTheme="minorHAnsi" w:eastAsiaTheme="minorEastAsia" w:hAnsiTheme="minorHAnsi" w:cstheme="minorBidi"/>
          <w:szCs w:val="22"/>
        </w:rPr>
      </w:pPr>
      <w:r>
        <w:t>10.</w:t>
      </w:r>
      <w:r>
        <w:tab/>
        <w:t>Entry of judgment for costs only upon writs for other claims</w:t>
      </w:r>
      <w:r>
        <w:tab/>
      </w:r>
      <w:r>
        <w:fldChar w:fldCharType="begin"/>
      </w:r>
      <w:r>
        <w:instrText xml:space="preserve"> PAGEREF _Toc129077503 \h </w:instrText>
      </w:r>
      <w:r>
        <w:fldChar w:fldCharType="separate"/>
      </w:r>
      <w:r>
        <w:t>104</w:t>
      </w:r>
      <w:r>
        <w:fldChar w:fldCharType="end"/>
      </w:r>
    </w:p>
    <w:p>
      <w:pPr>
        <w:pStyle w:val="TOC8"/>
        <w:rPr>
          <w:rFonts w:asciiTheme="minorHAnsi" w:eastAsiaTheme="minorEastAsia" w:hAnsiTheme="minorHAnsi" w:cstheme="minorBidi"/>
          <w:szCs w:val="22"/>
        </w:rPr>
      </w:pPr>
      <w:r>
        <w:t>11.</w:t>
      </w:r>
      <w:r>
        <w:tab/>
        <w:t>Reference to Court in case of doubt or difficulty</w:t>
      </w:r>
      <w:r>
        <w:tab/>
      </w:r>
      <w:r>
        <w:fldChar w:fldCharType="begin"/>
      </w:r>
      <w:r>
        <w:instrText xml:space="preserve"> PAGEREF _Toc129077504 \h </w:instrText>
      </w:r>
      <w:r>
        <w:fldChar w:fldCharType="separate"/>
      </w:r>
      <w:r>
        <w:t>104</w:t>
      </w:r>
      <w:r>
        <w:fldChar w:fldCharType="end"/>
      </w:r>
    </w:p>
    <w:p>
      <w:pPr>
        <w:pStyle w:val="TOC8"/>
        <w:rPr>
          <w:rFonts w:asciiTheme="minorHAnsi" w:eastAsiaTheme="minorEastAsia" w:hAnsiTheme="minorHAnsi" w:cstheme="minorBidi"/>
          <w:szCs w:val="22"/>
        </w:rPr>
      </w:pPr>
      <w:r>
        <w:t>12.</w:t>
      </w:r>
      <w:r>
        <w:tab/>
        <w:t>Default judgment to inform defendant of certain matters</w:t>
      </w:r>
      <w:r>
        <w:tab/>
      </w:r>
      <w:r>
        <w:fldChar w:fldCharType="begin"/>
      </w:r>
      <w:r>
        <w:instrText xml:space="preserve"> PAGEREF _Toc129077505 \h </w:instrText>
      </w:r>
      <w:r>
        <w:fldChar w:fldCharType="separate"/>
      </w:r>
      <w:r>
        <w:t>104</w:t>
      </w:r>
      <w:r>
        <w:fldChar w:fldCharType="end"/>
      </w:r>
    </w:p>
    <w:p>
      <w:pPr>
        <w:pStyle w:val="TOC8"/>
        <w:rPr>
          <w:rFonts w:asciiTheme="minorHAnsi" w:eastAsiaTheme="minorEastAsia" w:hAnsiTheme="minorHAnsi" w:cstheme="minorBidi"/>
          <w:szCs w:val="22"/>
        </w:rPr>
      </w:pPr>
      <w:r>
        <w:t>13.</w:t>
      </w:r>
      <w:r>
        <w:tab/>
        <w:t>Service of default judgment</w:t>
      </w:r>
      <w:r>
        <w:tab/>
      </w:r>
      <w:r>
        <w:fldChar w:fldCharType="begin"/>
      </w:r>
      <w:r>
        <w:instrText xml:space="preserve"> PAGEREF _Toc129077506 \h </w:instrText>
      </w:r>
      <w:r>
        <w:fldChar w:fldCharType="separate"/>
      </w:r>
      <w:r>
        <w:t>105</w:t>
      </w:r>
      <w:r>
        <w:fldChar w:fldCharType="end"/>
      </w:r>
    </w:p>
    <w:p>
      <w:pPr>
        <w:pStyle w:val="TOC8"/>
        <w:rPr>
          <w:rFonts w:asciiTheme="minorHAnsi" w:eastAsiaTheme="minorEastAsia" w:hAnsiTheme="minorHAnsi" w:cstheme="minorBidi"/>
          <w:szCs w:val="22"/>
        </w:rPr>
      </w:pPr>
      <w:r>
        <w:t>14.</w:t>
      </w:r>
      <w:r>
        <w:tab/>
        <w:t>Setting aside or varying default judgment</w:t>
      </w:r>
      <w:r>
        <w:tab/>
      </w:r>
      <w:r>
        <w:fldChar w:fldCharType="begin"/>
      </w:r>
      <w:r>
        <w:instrText xml:space="preserve"> PAGEREF _Toc129077507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Order 14 — Summary judgment</w:t>
      </w:r>
    </w:p>
    <w:p>
      <w:pPr>
        <w:pStyle w:val="TOC8"/>
        <w:rPr>
          <w:rFonts w:asciiTheme="minorHAnsi" w:eastAsiaTheme="minorEastAsia" w:hAnsiTheme="minorHAnsi" w:cstheme="minorBidi"/>
          <w:szCs w:val="22"/>
        </w:rPr>
      </w:pPr>
      <w:r>
        <w:t>1</w:t>
      </w:r>
      <w:r>
        <w:rPr>
          <w:snapToGrid w:val="0"/>
        </w:rPr>
        <w:t>.</w:t>
      </w:r>
      <w:r>
        <w:rPr>
          <w:snapToGrid w:val="0"/>
        </w:rPr>
        <w:tab/>
        <w:t>When plaintiff may apply for summary judgment</w:t>
      </w:r>
      <w:r>
        <w:tab/>
      </w:r>
      <w:r>
        <w:fldChar w:fldCharType="begin"/>
      </w:r>
      <w:r>
        <w:instrText xml:space="preserve"> PAGEREF _Toc129077509 \h </w:instrText>
      </w:r>
      <w:r>
        <w:fldChar w:fldCharType="separate"/>
      </w:r>
      <w:r>
        <w:t>106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under r. 1, how to make</w:t>
      </w:r>
      <w:r>
        <w:tab/>
      </w:r>
      <w:r>
        <w:fldChar w:fldCharType="begin"/>
      </w:r>
      <w:r>
        <w:instrText xml:space="preserve"> PAGEREF _Toc129077510 \h </w:instrText>
      </w:r>
      <w:r>
        <w:fldChar w:fldCharType="separate"/>
      </w:r>
      <w:r>
        <w:t>106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may be given for plaintiff</w:t>
      </w:r>
      <w:r>
        <w:tab/>
      </w:r>
      <w:r>
        <w:fldChar w:fldCharType="begin"/>
      </w:r>
      <w:r>
        <w:instrText xml:space="preserve"> PAGEREF _Toc129077511 \h </w:instrText>
      </w:r>
      <w:r>
        <w:fldChar w:fldCharType="separate"/>
      </w:r>
      <w:r>
        <w:t>107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Defendant may be given leave to defend</w:t>
      </w:r>
      <w:r>
        <w:tab/>
      </w:r>
      <w:r>
        <w:fldChar w:fldCharType="begin"/>
      </w:r>
      <w:r>
        <w:instrText xml:space="preserve"> PAGEREF _Toc129077512 \h </w:instrText>
      </w:r>
      <w:r>
        <w:fldChar w:fldCharType="separate"/>
      </w:r>
      <w:r>
        <w:t>107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judgment on counterclaim</w:t>
      </w:r>
      <w:r>
        <w:tab/>
      </w:r>
      <w:r>
        <w:fldChar w:fldCharType="begin"/>
      </w:r>
      <w:r>
        <w:instrText xml:space="preserve"> PAGEREF _Toc129077513 \h </w:instrText>
      </w:r>
      <w:r>
        <w:fldChar w:fldCharType="separate"/>
      </w:r>
      <w:r>
        <w:t>108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Court’s powers if leave to defend given etc.</w:t>
      </w:r>
      <w:r>
        <w:tab/>
      </w:r>
      <w:r>
        <w:fldChar w:fldCharType="begin"/>
      </w:r>
      <w:r>
        <w:instrText xml:space="preserve"> PAGEREF _Toc129077514 \h </w:instrText>
      </w:r>
      <w:r>
        <w:fldChar w:fldCharType="separate"/>
      </w:r>
      <w:r>
        <w:t>108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_Toc129077515 \h </w:instrText>
      </w:r>
      <w:r>
        <w:fldChar w:fldCharType="separate"/>
      </w:r>
      <w:r>
        <w:t>109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Right to proceed with residue of action or counterclaim</w:t>
      </w:r>
      <w:r>
        <w:tab/>
      </w:r>
      <w:r>
        <w:fldChar w:fldCharType="begin"/>
      </w:r>
      <w:r>
        <w:instrText xml:space="preserve"> PAGEREF _Toc129077516 \h </w:instrText>
      </w:r>
      <w:r>
        <w:fldChar w:fldCharType="separate"/>
      </w:r>
      <w:r>
        <w:t>109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Judgment for delivery of specific chattel</w:t>
      </w:r>
      <w:r>
        <w:tab/>
      </w:r>
      <w:r>
        <w:fldChar w:fldCharType="begin"/>
      </w:r>
      <w:r>
        <w:instrText xml:space="preserve"> PAGEREF _Toc129077517 \h </w:instrText>
      </w:r>
      <w:r>
        <w:fldChar w:fldCharType="separate"/>
      </w:r>
      <w:r>
        <w:t>110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Relief from judgment for recovery of land</w:t>
      </w:r>
      <w:r>
        <w:tab/>
      </w:r>
      <w:r>
        <w:fldChar w:fldCharType="begin"/>
      </w:r>
      <w:r>
        <w:instrText xml:space="preserve"> PAGEREF _Toc129077518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Summary judgment against absent party may be set aside or varied</w:t>
      </w:r>
      <w:r>
        <w:tab/>
      </w:r>
      <w:r>
        <w:fldChar w:fldCharType="begin"/>
      </w:r>
      <w:r>
        <w:instrText xml:space="preserve"> PAGEREF _Toc129077519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Order 16 — Summary judgment on application of defendant</w:t>
      </w:r>
    </w:p>
    <w:p>
      <w:pPr>
        <w:pStyle w:val="TOC8"/>
        <w:rPr>
          <w:rFonts w:asciiTheme="minorHAnsi" w:eastAsiaTheme="minorEastAsia" w:hAnsiTheme="minorHAnsi" w:cstheme="minorBidi"/>
          <w:szCs w:val="22"/>
        </w:rPr>
      </w:pPr>
      <w:r>
        <w:t>1</w:t>
      </w:r>
      <w:r>
        <w:rPr>
          <w:snapToGrid w:val="0"/>
        </w:rPr>
        <w:t>.</w:t>
      </w:r>
      <w:r>
        <w:rPr>
          <w:snapToGrid w:val="0"/>
        </w:rPr>
        <w:tab/>
        <w:t>Application by defendant for summary judgment</w:t>
      </w:r>
      <w:r>
        <w:tab/>
      </w:r>
      <w:r>
        <w:fldChar w:fldCharType="begin"/>
      </w:r>
      <w:r>
        <w:instrText xml:space="preserve"> PAGEREF _Toc129077521 \h </w:instrText>
      </w:r>
      <w:r>
        <w:fldChar w:fldCharType="separate"/>
      </w:r>
      <w:r>
        <w:t>111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show cause</w:t>
      </w:r>
      <w:r>
        <w:tab/>
      </w:r>
      <w:r>
        <w:fldChar w:fldCharType="begin"/>
      </w:r>
      <w:r>
        <w:instrText xml:space="preserve"> PAGEREF _Toc129077522 \h </w:instrText>
      </w:r>
      <w:r>
        <w:fldChar w:fldCharType="separate"/>
      </w:r>
      <w:r>
        <w:t>111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Court’s powers if action to go to trial</w:t>
      </w:r>
      <w:r>
        <w:tab/>
      </w:r>
      <w:r>
        <w:fldChar w:fldCharType="begin"/>
      </w:r>
      <w:r>
        <w:instrText xml:space="preserve"> PAGEREF _Toc129077523 \h </w:instrText>
      </w:r>
      <w:r>
        <w:fldChar w:fldCharType="separate"/>
      </w:r>
      <w:r>
        <w:t>112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Summary judgment against absent party may be set aside or varied</w:t>
      </w:r>
      <w:r>
        <w:tab/>
      </w:r>
      <w:r>
        <w:fldChar w:fldCharType="begin"/>
      </w:r>
      <w:r>
        <w:instrText xml:space="preserve"> PAGEREF _Toc129077524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Order 17 — Interpleader</w:t>
      </w:r>
    </w:p>
    <w:p>
      <w:pPr>
        <w:pStyle w:val="TOC8"/>
        <w:rPr>
          <w:rFonts w:asciiTheme="minorHAnsi" w:eastAsiaTheme="minorEastAsia" w:hAnsiTheme="minorHAnsi" w:cstheme="minorBidi"/>
          <w:szCs w:val="22"/>
        </w:rPr>
      </w:pPr>
      <w:r>
        <w:t>1</w:t>
      </w:r>
      <w:r>
        <w:rPr>
          <w:snapToGrid w:val="0"/>
        </w:rPr>
        <w:t>.</w:t>
      </w:r>
      <w:r>
        <w:rPr>
          <w:snapToGrid w:val="0"/>
        </w:rPr>
        <w:tab/>
        <w:t>When interpleader relief may be granted</w:t>
      </w:r>
      <w:r>
        <w:tab/>
      </w:r>
      <w:r>
        <w:fldChar w:fldCharType="begin"/>
      </w:r>
      <w:r>
        <w:instrText xml:space="preserve"> PAGEREF _Toc129077526 \h </w:instrText>
      </w:r>
      <w:r>
        <w:fldChar w:fldCharType="separate"/>
      </w:r>
      <w:r>
        <w:t>113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How to apply for interpleader relief</w:t>
      </w:r>
      <w:r>
        <w:tab/>
      </w:r>
      <w:r>
        <w:fldChar w:fldCharType="begin"/>
      </w:r>
      <w:r>
        <w:instrText xml:space="preserve"> PAGEREF _Toc129077527 \h </w:instrText>
      </w:r>
      <w:r>
        <w:fldChar w:fldCharType="separate"/>
      </w:r>
      <w:r>
        <w:t>113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for application by defendant</w:t>
      </w:r>
      <w:r>
        <w:tab/>
      </w:r>
      <w:r>
        <w:fldChar w:fldCharType="begin"/>
      </w:r>
      <w:r>
        <w:instrText xml:space="preserve"> PAGEREF _Toc129077528 \h </w:instrText>
      </w:r>
      <w:r>
        <w:fldChar w:fldCharType="separate"/>
      </w:r>
      <w:r>
        <w:t>114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Stay of proceedings</w:t>
      </w:r>
      <w:r>
        <w:tab/>
      </w:r>
      <w:r>
        <w:fldChar w:fldCharType="begin"/>
      </w:r>
      <w:r>
        <w:instrText xml:space="preserve"> PAGEREF _Toc129077529 \h </w:instrText>
      </w:r>
      <w:r>
        <w:fldChar w:fldCharType="separate"/>
      </w:r>
      <w:r>
        <w:t>114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Court’s powers on application</w:t>
      </w:r>
      <w:r>
        <w:tab/>
      </w:r>
      <w:r>
        <w:fldChar w:fldCharType="begin"/>
      </w:r>
      <w:r>
        <w:instrText xml:space="preserve"> PAGEREF _Toc129077530 \h </w:instrText>
      </w:r>
      <w:r>
        <w:fldChar w:fldCharType="separate"/>
      </w:r>
      <w:r>
        <w:t>114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Summary determination</w:t>
      </w:r>
      <w:r>
        <w:tab/>
      </w:r>
      <w:r>
        <w:fldChar w:fldCharType="begin"/>
      </w:r>
      <w:r>
        <w:instrText xml:space="preserve"> PAGEREF _Toc129077531 \h </w:instrText>
      </w:r>
      <w:r>
        <w:fldChar w:fldCharType="separate"/>
      </w:r>
      <w:r>
        <w:t>114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Where question of law only</w:t>
      </w:r>
      <w:r>
        <w:tab/>
      </w:r>
      <w:r>
        <w:fldChar w:fldCharType="begin"/>
      </w:r>
      <w:r>
        <w:instrText xml:space="preserve"> PAGEREF _Toc129077532 \h </w:instrText>
      </w:r>
      <w:r>
        <w:fldChar w:fldCharType="separate"/>
      </w:r>
      <w:r>
        <w:t>114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Claimant failing to appear etc.</w:t>
      </w:r>
      <w:r>
        <w:tab/>
      </w:r>
      <w:r>
        <w:fldChar w:fldCharType="begin"/>
      </w:r>
      <w:r>
        <w:instrText xml:space="preserve"> PAGEREF _Toc129077533 \h </w:instrText>
      </w:r>
      <w:r>
        <w:fldChar w:fldCharType="separate"/>
      </w:r>
      <w:r>
        <w:t>115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order sale of goods</w:t>
      </w:r>
      <w:r>
        <w:tab/>
      </w:r>
      <w:r>
        <w:fldChar w:fldCharType="begin"/>
      </w:r>
      <w:r>
        <w:instrText xml:space="preserve"> PAGEREF _Toc129077534 \h </w:instrText>
      </w:r>
      <w:r>
        <w:fldChar w:fldCharType="separate"/>
      </w:r>
      <w:r>
        <w:t>115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Discovery etc. and trial</w:t>
      </w:r>
      <w:r>
        <w:tab/>
      </w:r>
      <w:r>
        <w:fldChar w:fldCharType="begin"/>
      </w:r>
      <w:r>
        <w:instrText xml:space="preserve"> PAGEREF _Toc129077535 \h </w:instrText>
      </w:r>
      <w:r>
        <w:fldChar w:fldCharType="separate"/>
      </w:r>
      <w:r>
        <w:t>115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One order where several causes pending</w:t>
      </w:r>
      <w:r>
        <w:tab/>
      </w:r>
      <w:r>
        <w:fldChar w:fldCharType="begin"/>
      </w:r>
      <w:r>
        <w:instrText xml:space="preserve"> PAGEREF _Toc129077536 \h </w:instrText>
      </w:r>
      <w:r>
        <w:fldChar w:fldCharType="separate"/>
      </w:r>
      <w:r>
        <w:t>115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Orders as to costs etc.</w:t>
      </w:r>
      <w:r>
        <w:tab/>
      </w:r>
      <w:r>
        <w:fldChar w:fldCharType="begin"/>
      </w:r>
      <w:r>
        <w:instrText xml:space="preserve"> PAGEREF _Toc129077537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Order 18 — Causes of action, counterclaims and parties</w:t>
      </w:r>
    </w:p>
    <w:p>
      <w:pPr>
        <w:pStyle w:val="TOC8"/>
        <w:rPr>
          <w:rFonts w:asciiTheme="minorHAnsi" w:eastAsiaTheme="minorEastAsia" w:hAnsiTheme="minorHAnsi" w:cstheme="minorBidi"/>
          <w:szCs w:val="22"/>
        </w:rPr>
      </w:pPr>
      <w:r>
        <w:t>1</w:t>
      </w:r>
      <w:r>
        <w:rPr>
          <w:snapToGrid w:val="0"/>
        </w:rPr>
        <w:t>.</w:t>
      </w:r>
      <w:r>
        <w:rPr>
          <w:snapToGrid w:val="0"/>
        </w:rPr>
        <w:tab/>
        <w:t>Joinder of causes of action</w:t>
      </w:r>
      <w:r>
        <w:tab/>
      </w:r>
      <w:r>
        <w:fldChar w:fldCharType="begin"/>
      </w:r>
      <w:r>
        <w:instrText xml:space="preserve"> PAGEREF _Toc129077539 \h </w:instrText>
      </w:r>
      <w:r>
        <w:fldChar w:fldCharType="separate"/>
      </w:r>
      <w:r>
        <w:t>117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Counterclaim against plaintiff</w:t>
      </w:r>
      <w:r>
        <w:tab/>
      </w:r>
      <w:r>
        <w:fldChar w:fldCharType="begin"/>
      </w:r>
      <w:r>
        <w:instrText xml:space="preserve"> PAGEREF _Toc129077540 \h </w:instrText>
      </w:r>
      <w:r>
        <w:fldChar w:fldCharType="separate"/>
      </w:r>
      <w:r>
        <w:t>117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Counterclaim against additional parties</w:t>
      </w:r>
      <w:r>
        <w:tab/>
      </w:r>
      <w:r>
        <w:fldChar w:fldCharType="begin"/>
      </w:r>
      <w:r>
        <w:instrText xml:space="preserve"> PAGEREF _Toc129077541 \h </w:instrText>
      </w:r>
      <w:r>
        <w:fldChar w:fldCharType="separate"/>
      </w:r>
      <w:r>
        <w:t>118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Joinder of parties</w:t>
      </w:r>
      <w:r>
        <w:tab/>
      </w:r>
      <w:r>
        <w:fldChar w:fldCharType="begin"/>
      </w:r>
      <w:r>
        <w:instrText xml:space="preserve"> PAGEREF _Toc129077542 \h </w:instrText>
      </w:r>
      <w:r>
        <w:fldChar w:fldCharType="separate"/>
      </w:r>
      <w:r>
        <w:t>119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order separate trials etc.</w:t>
      </w:r>
      <w:r>
        <w:tab/>
      </w:r>
      <w:r>
        <w:fldChar w:fldCharType="begin"/>
      </w:r>
      <w:r>
        <w:instrText xml:space="preserve"> PAGEREF _Toc129077543 \h </w:instrText>
      </w:r>
      <w:r>
        <w:fldChar w:fldCharType="separate"/>
      </w:r>
      <w:r>
        <w:t>120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Misjoinder and nonjoinder of parties</w:t>
      </w:r>
      <w:r>
        <w:tab/>
      </w:r>
      <w:r>
        <w:fldChar w:fldCharType="begin"/>
      </w:r>
      <w:r>
        <w:instrText xml:space="preserve"> PAGEREF _Toc129077544 \h </w:instrText>
      </w:r>
      <w:r>
        <w:fldChar w:fldCharType="separate"/>
      </w:r>
      <w:r>
        <w:t>120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Change of parties by reason of death etc.</w:t>
      </w:r>
      <w:r>
        <w:tab/>
      </w:r>
      <w:r>
        <w:fldChar w:fldCharType="begin"/>
      </w:r>
      <w:r>
        <w:instrText xml:space="preserve"> PAGEREF _Toc129077545 \h </w:instrText>
      </w:r>
      <w:r>
        <w:fldChar w:fldCharType="separate"/>
      </w:r>
      <w:r>
        <w:t>121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 made under r. 6 or 7, consequences of</w:t>
      </w:r>
      <w:r>
        <w:tab/>
      </w:r>
      <w:r>
        <w:fldChar w:fldCharType="begin"/>
      </w:r>
      <w:r>
        <w:instrText xml:space="preserve"> PAGEREF _Toc129077546 \h </w:instrText>
      </w:r>
      <w:r>
        <w:fldChar w:fldCharType="separate"/>
      </w:r>
      <w:r>
        <w:t>122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Failure to proceed after death of party</w:t>
      </w:r>
      <w:r>
        <w:tab/>
      </w:r>
      <w:r>
        <w:fldChar w:fldCharType="begin"/>
      </w:r>
      <w:r>
        <w:instrText xml:space="preserve"> PAGEREF _Toc129077547 \h </w:instrText>
      </w:r>
      <w:r>
        <w:fldChar w:fldCharType="separate"/>
      </w:r>
      <w:r>
        <w:t>123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Action for possession of land, joining non-party who is in possession</w:t>
      </w:r>
      <w:r>
        <w:tab/>
      </w:r>
      <w:r>
        <w:fldChar w:fldCharType="begin"/>
      </w:r>
      <w:r>
        <w:instrText xml:space="preserve"> PAGEREF _Toc129077548 \h </w:instrText>
      </w:r>
      <w:r>
        <w:fldChar w:fldCharType="separate"/>
      </w:r>
      <w:r>
        <w:t>124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Relator actions</w:t>
      </w:r>
      <w:r>
        <w:tab/>
      </w:r>
      <w:r>
        <w:fldChar w:fldCharType="begin"/>
      </w:r>
      <w:r>
        <w:instrText xml:space="preserve"> PAGEREF _Toc129077549 \h </w:instrText>
      </w:r>
      <w:r>
        <w:fldChar w:fldCharType="separate"/>
      </w:r>
      <w:r>
        <w:t>125</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Representative proceedings</w:t>
      </w:r>
      <w:r>
        <w:tab/>
      </w:r>
      <w:r>
        <w:fldChar w:fldCharType="begin"/>
      </w:r>
      <w:r>
        <w:instrText xml:space="preserve"> PAGEREF _Toc129077550 \h </w:instrText>
      </w:r>
      <w:r>
        <w:fldChar w:fldCharType="separate"/>
      </w:r>
      <w:r>
        <w:t>125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Representation of interested persons who cannot be ascertained etc.</w:t>
      </w:r>
      <w:r>
        <w:tab/>
      </w:r>
      <w:r>
        <w:fldChar w:fldCharType="begin"/>
      </w:r>
      <w:r>
        <w:instrText xml:space="preserve"> PAGEREF _Toc129077551 \h </w:instrText>
      </w:r>
      <w:r>
        <w:fldChar w:fldCharType="separate"/>
      </w:r>
      <w:r>
        <w:t>126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Representation of beneficiaries by trustees etc.</w:t>
      </w:r>
      <w:r>
        <w:tab/>
      </w:r>
      <w:r>
        <w:fldChar w:fldCharType="begin"/>
      </w:r>
      <w:r>
        <w:instrText xml:space="preserve"> PAGEREF _Toc129077552 \h </w:instrText>
      </w:r>
      <w:r>
        <w:fldChar w:fldCharType="separate"/>
      </w:r>
      <w:r>
        <w:t>127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Representation of deceased person interested in proceedings</w:t>
      </w:r>
      <w:r>
        <w:tab/>
      </w:r>
      <w:r>
        <w:fldChar w:fldCharType="begin"/>
      </w:r>
      <w:r>
        <w:instrText xml:space="preserve"> PAGEREF _Toc129077553 \h </w:instrText>
      </w:r>
      <w:r>
        <w:fldChar w:fldCharType="separate"/>
      </w:r>
      <w:r>
        <w:t>128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Declaratory judgment</w:t>
      </w:r>
      <w:r>
        <w:tab/>
      </w:r>
      <w:r>
        <w:fldChar w:fldCharType="begin"/>
      </w:r>
      <w:r>
        <w:instrText xml:space="preserve"> PAGEREF _Toc129077554 \h </w:instrText>
      </w:r>
      <w:r>
        <w:fldChar w:fldCharType="separate"/>
      </w:r>
      <w:r>
        <w:t>128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Conduct of proceedings</w:t>
      </w:r>
      <w:r>
        <w:tab/>
      </w:r>
      <w:r>
        <w:fldChar w:fldCharType="begin"/>
      </w:r>
      <w:r>
        <w:instrText xml:space="preserve"> PAGEREF _Toc129077555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Order 19 — Third party and similar proceedings</w:t>
      </w:r>
    </w:p>
    <w:p>
      <w:pPr>
        <w:pStyle w:val="TOC8"/>
        <w:rPr>
          <w:rFonts w:asciiTheme="minorHAnsi" w:eastAsiaTheme="minorEastAsia" w:hAnsiTheme="minorHAnsi" w:cstheme="minorBidi"/>
          <w:szCs w:val="22"/>
        </w:rPr>
      </w:pPr>
      <w:r>
        <w:t>1</w:t>
      </w:r>
      <w:r>
        <w:rPr>
          <w:snapToGrid w:val="0"/>
        </w:rPr>
        <w:t>.</w:t>
      </w:r>
      <w:r>
        <w:rPr>
          <w:snapToGrid w:val="0"/>
        </w:rPr>
        <w:tab/>
        <w:t>Third party notice</w:t>
      </w:r>
      <w:r>
        <w:tab/>
      </w:r>
      <w:r>
        <w:fldChar w:fldCharType="begin"/>
      </w:r>
      <w:r>
        <w:instrText xml:space="preserve"> PAGEREF _Toc129077557 \h </w:instrText>
      </w:r>
      <w:r>
        <w:fldChar w:fldCharType="separate"/>
      </w:r>
      <w:r>
        <w:t>130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leave to issue third party notice</w:t>
      </w:r>
      <w:r>
        <w:tab/>
      </w:r>
      <w:r>
        <w:fldChar w:fldCharType="begin"/>
      </w:r>
      <w:r>
        <w:instrText xml:space="preserve"> PAGEREF _Toc129077558 \h </w:instrText>
      </w:r>
      <w:r>
        <w:fldChar w:fldCharType="separate"/>
      </w:r>
      <w:r>
        <w:t>131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Issue and service of, and entry of appearance to, third party notice</w:t>
      </w:r>
      <w:r>
        <w:tab/>
      </w:r>
      <w:r>
        <w:fldChar w:fldCharType="begin"/>
      </w:r>
      <w:r>
        <w:instrText xml:space="preserve"> PAGEREF _Toc129077559 \h </w:instrText>
      </w:r>
      <w:r>
        <w:fldChar w:fldCharType="separate"/>
      </w:r>
      <w:r>
        <w:t>131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Third party directions</w:t>
      </w:r>
      <w:r>
        <w:tab/>
      </w:r>
      <w:r>
        <w:fldChar w:fldCharType="begin"/>
      </w:r>
      <w:r>
        <w:instrText xml:space="preserve"> PAGEREF _Toc129077560 \h </w:instrText>
      </w:r>
      <w:r>
        <w:fldChar w:fldCharType="separate"/>
      </w:r>
      <w:r>
        <w:t>132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Default of third party etc.</w:t>
      </w:r>
      <w:r>
        <w:tab/>
      </w:r>
      <w:r>
        <w:fldChar w:fldCharType="begin"/>
      </w:r>
      <w:r>
        <w:instrText xml:space="preserve"> PAGEREF _Toc129077561 \h </w:instrText>
      </w:r>
      <w:r>
        <w:fldChar w:fldCharType="separate"/>
      </w:r>
      <w:r>
        <w:t>133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Setting aside third party proceedings</w:t>
      </w:r>
      <w:r>
        <w:tab/>
      </w:r>
      <w:r>
        <w:fldChar w:fldCharType="begin"/>
      </w:r>
      <w:r>
        <w:instrText xml:space="preserve"> PAGEREF _Toc129077562 \h </w:instrText>
      </w:r>
      <w:r>
        <w:fldChar w:fldCharType="separate"/>
      </w:r>
      <w:r>
        <w:t>134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Judgment between defendant and third party</w:t>
      </w:r>
      <w:r>
        <w:tab/>
      </w:r>
      <w:r>
        <w:fldChar w:fldCharType="begin"/>
      </w:r>
      <w:r>
        <w:instrText xml:space="preserve"> PAGEREF _Toc129077563 \h </w:instrText>
      </w:r>
      <w:r>
        <w:fldChar w:fldCharType="separate"/>
      </w:r>
      <w:r>
        <w:t>134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Claims and issues between defendant and another party</w:t>
      </w:r>
      <w:r>
        <w:tab/>
      </w:r>
      <w:r>
        <w:fldChar w:fldCharType="begin"/>
      </w:r>
      <w:r>
        <w:instrText xml:space="preserve"> PAGEREF _Toc129077564 \h </w:instrText>
      </w:r>
      <w:r>
        <w:fldChar w:fldCharType="separate"/>
      </w:r>
      <w:r>
        <w:t>134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Claims by third and subsequent parties</w:t>
      </w:r>
      <w:r>
        <w:tab/>
      </w:r>
      <w:r>
        <w:fldChar w:fldCharType="begin"/>
      </w:r>
      <w:r>
        <w:instrText xml:space="preserve"> PAGEREF _Toc129077565 \h </w:instrText>
      </w:r>
      <w:r>
        <w:fldChar w:fldCharType="separate"/>
      </w:r>
      <w:r>
        <w:t>135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Offer of contribution</w:t>
      </w:r>
      <w:r>
        <w:tab/>
      </w:r>
      <w:r>
        <w:fldChar w:fldCharType="begin"/>
      </w:r>
      <w:r>
        <w:instrText xml:space="preserve"> PAGEREF _Toc129077566 \h </w:instrText>
      </w:r>
      <w:r>
        <w:fldChar w:fldCharType="separate"/>
      </w:r>
      <w:r>
        <w:t>136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Counterclaim by defendant</w:t>
      </w:r>
      <w:r>
        <w:tab/>
      </w:r>
      <w:r>
        <w:fldChar w:fldCharType="begin"/>
      </w:r>
      <w:r>
        <w:instrText xml:space="preserve"> PAGEREF _Toc129077567 \h </w:instrText>
      </w:r>
      <w:r>
        <w:fldChar w:fldCharType="separate"/>
      </w:r>
      <w:r>
        <w:t>136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Costs</w:t>
      </w:r>
      <w:r>
        <w:tab/>
      </w:r>
      <w:r>
        <w:fldChar w:fldCharType="begin"/>
      </w:r>
      <w:r>
        <w:instrText xml:space="preserve"> PAGEREF _Toc129077568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Order 20 — Pleadings</w:t>
      </w:r>
    </w:p>
    <w:p>
      <w:pPr>
        <w:pStyle w:val="TOC8"/>
        <w:rPr>
          <w:rFonts w:asciiTheme="minorHAnsi" w:eastAsiaTheme="minorEastAsia" w:hAnsiTheme="minorHAnsi" w:cstheme="minorBidi"/>
          <w:szCs w:val="22"/>
        </w:rPr>
      </w:pPr>
      <w:r>
        <w:t>1</w:t>
      </w:r>
      <w:r>
        <w:rPr>
          <w:snapToGrid w:val="0"/>
        </w:rPr>
        <w:t>.</w:t>
      </w:r>
      <w:r>
        <w:rPr>
          <w:snapToGrid w:val="0"/>
        </w:rPr>
        <w:tab/>
        <w:t>Statement of claim, service of</w:t>
      </w:r>
      <w:r>
        <w:tab/>
      </w:r>
      <w:r>
        <w:fldChar w:fldCharType="begin"/>
      </w:r>
      <w:r>
        <w:instrText xml:space="preserve"> PAGEREF _Toc129077570 \h </w:instrText>
      </w:r>
      <w:r>
        <w:fldChar w:fldCharType="separate"/>
      </w:r>
      <w:r>
        <w:t>138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Statement of claim, content of</w:t>
      </w:r>
      <w:r>
        <w:tab/>
      </w:r>
      <w:r>
        <w:fldChar w:fldCharType="begin"/>
      </w:r>
      <w:r>
        <w:instrText xml:space="preserve"> PAGEREF _Toc129077571 \h </w:instrText>
      </w:r>
      <w:r>
        <w:fldChar w:fldCharType="separate"/>
      </w:r>
      <w:r>
        <w:t>138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Pleadings etc. to be filed before service</w:t>
      </w:r>
      <w:r>
        <w:tab/>
      </w:r>
      <w:r>
        <w:fldChar w:fldCharType="begin"/>
      </w:r>
      <w:r>
        <w:instrText xml:space="preserve"> PAGEREF _Toc129077572 \h </w:instrText>
      </w:r>
      <w:r>
        <w:fldChar w:fldCharType="separate"/>
      </w:r>
      <w:r>
        <w:t>138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Defence, service of</w:t>
      </w:r>
      <w:r>
        <w:tab/>
      </w:r>
      <w:r>
        <w:fldChar w:fldCharType="begin"/>
      </w:r>
      <w:r>
        <w:instrText xml:space="preserve"> PAGEREF _Toc129077573 \h </w:instrText>
      </w:r>
      <w:r>
        <w:fldChar w:fldCharType="separate"/>
      </w:r>
      <w:r>
        <w:t>139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Reply and defence to counterclaim, service of</w:t>
      </w:r>
      <w:r>
        <w:tab/>
      </w:r>
      <w:r>
        <w:fldChar w:fldCharType="begin"/>
      </w:r>
      <w:r>
        <w:instrText xml:space="preserve"> PAGEREF _Toc129077574 \h </w:instrText>
      </w:r>
      <w:r>
        <w:fldChar w:fldCharType="separate"/>
      </w:r>
      <w:r>
        <w:t>139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Pleadings subsequent to reply etc., leave required for</w:t>
      </w:r>
      <w:r>
        <w:tab/>
      </w:r>
      <w:r>
        <w:fldChar w:fldCharType="begin"/>
      </w:r>
      <w:r>
        <w:instrText xml:space="preserve"> PAGEREF _Toc129077575 \h </w:instrText>
      </w:r>
      <w:r>
        <w:fldChar w:fldCharType="separate"/>
      </w:r>
      <w:r>
        <w:t>140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Pleadings, formal requirements of</w:t>
      </w:r>
      <w:r>
        <w:tab/>
      </w:r>
      <w:r>
        <w:fldChar w:fldCharType="begin"/>
      </w:r>
      <w:r>
        <w:instrText xml:space="preserve"> PAGEREF _Toc129077576 \h </w:instrText>
      </w:r>
      <w:r>
        <w:fldChar w:fldCharType="separate"/>
      </w:r>
      <w:r>
        <w:t>140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Facts, not evidence, to be pleaded</w:t>
      </w:r>
      <w:r>
        <w:tab/>
      </w:r>
      <w:r>
        <w:fldChar w:fldCharType="begin"/>
      </w:r>
      <w:r>
        <w:instrText xml:space="preserve"> PAGEREF _Toc129077577 \h </w:instrText>
      </w:r>
      <w:r>
        <w:fldChar w:fldCharType="separate"/>
      </w:r>
      <w:r>
        <w:t>141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which must be specifically pleaded</w:t>
      </w:r>
      <w:r>
        <w:tab/>
      </w:r>
      <w:r>
        <w:fldChar w:fldCharType="begin"/>
      </w:r>
      <w:r>
        <w:instrText xml:space="preserve"> PAGEREF _Toc129077578 \h </w:instrText>
      </w:r>
      <w:r>
        <w:fldChar w:fldCharType="separate"/>
      </w:r>
      <w:r>
        <w:t>142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Matter may be pleaded whenever arising</w:t>
      </w:r>
      <w:r>
        <w:tab/>
      </w:r>
      <w:r>
        <w:fldChar w:fldCharType="begin"/>
      </w:r>
      <w:r>
        <w:instrText xml:space="preserve"> PAGEREF _Toc129077579 \h </w:instrText>
      </w:r>
      <w:r>
        <w:fldChar w:fldCharType="separate"/>
      </w:r>
      <w:r>
        <w:t>143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Party’s pleadings to be consistent</w:t>
      </w:r>
      <w:r>
        <w:tab/>
      </w:r>
      <w:r>
        <w:fldChar w:fldCharType="begin"/>
      </w:r>
      <w:r>
        <w:instrText xml:space="preserve"> PAGEREF _Toc129077580 \h </w:instrText>
      </w:r>
      <w:r>
        <w:fldChar w:fldCharType="separate"/>
      </w:r>
      <w:r>
        <w:t>143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Points of law may be pleaded</w:t>
      </w:r>
      <w:r>
        <w:tab/>
      </w:r>
      <w:r>
        <w:fldChar w:fldCharType="begin"/>
      </w:r>
      <w:r>
        <w:instrText xml:space="preserve"> PAGEREF _Toc129077581 \h </w:instrText>
      </w:r>
      <w:r>
        <w:fldChar w:fldCharType="separate"/>
      </w:r>
      <w:r>
        <w:t>143</w:t>
      </w:r>
      <w:r>
        <w:fldChar w:fldCharType="end"/>
      </w:r>
    </w:p>
    <w:p>
      <w:pPr>
        <w:pStyle w:val="TOC8"/>
        <w:rPr>
          <w:rFonts w:asciiTheme="minorHAnsi" w:eastAsiaTheme="minorEastAsia" w:hAnsiTheme="minorHAnsi" w:cstheme="minorBidi"/>
          <w:szCs w:val="22"/>
        </w:rPr>
      </w:pPr>
      <w:r>
        <w:lastRenderedPageBreak/>
        <w:t>13</w:t>
      </w:r>
      <w:r>
        <w:rPr>
          <w:snapToGrid w:val="0"/>
        </w:rPr>
        <w:t>.</w:t>
      </w:r>
      <w:r>
        <w:rPr>
          <w:snapToGrid w:val="0"/>
        </w:rPr>
        <w:tab/>
        <w:t>Particulars of claims etc.</w:t>
      </w:r>
      <w:r>
        <w:tab/>
      </w:r>
      <w:r>
        <w:fldChar w:fldCharType="begin"/>
      </w:r>
      <w:r>
        <w:instrText xml:space="preserve"> PAGEREF _Toc129077582 \h </w:instrText>
      </w:r>
      <w:r>
        <w:fldChar w:fldCharType="separate"/>
      </w:r>
      <w:r>
        <w:t>143</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Particulars in defamation actions</w:t>
      </w:r>
      <w:r>
        <w:tab/>
      </w:r>
      <w:r>
        <w:fldChar w:fldCharType="begin"/>
      </w:r>
      <w:r>
        <w:instrText xml:space="preserve"> PAGEREF _Toc129077583 \h </w:instrText>
      </w:r>
      <w:r>
        <w:fldChar w:fldCharType="separate"/>
      </w:r>
      <w:r>
        <w:t>145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Admissions, traverses etc.</w:t>
      </w:r>
      <w:r>
        <w:tab/>
      </w:r>
      <w:r>
        <w:fldChar w:fldCharType="begin"/>
      </w:r>
      <w:r>
        <w:instrText xml:space="preserve"> PAGEREF _Toc129077584 \h </w:instrText>
      </w:r>
      <w:r>
        <w:fldChar w:fldCharType="separate"/>
      </w:r>
      <w:r>
        <w:t>146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Denial by joinder of issue</w:t>
      </w:r>
      <w:r>
        <w:tab/>
      </w:r>
      <w:r>
        <w:fldChar w:fldCharType="begin"/>
      </w:r>
      <w:r>
        <w:instrText xml:space="preserve"> PAGEREF _Toc129077585 \h </w:instrText>
      </w:r>
      <w:r>
        <w:fldChar w:fldCharType="separate"/>
      </w:r>
      <w:r>
        <w:t>146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Defence of tender not available without payment into court</w:t>
      </w:r>
      <w:r>
        <w:tab/>
      </w:r>
      <w:r>
        <w:fldChar w:fldCharType="begin"/>
      </w:r>
      <w:r>
        <w:instrText xml:space="preserve"> PAGEREF _Toc129077586 \h </w:instrText>
      </w:r>
      <w:r>
        <w:fldChar w:fldCharType="separate"/>
      </w:r>
      <w:r>
        <w:t>147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Defence of set</w:t>
      </w:r>
      <w:r>
        <w:rPr>
          <w:snapToGrid w:val="0"/>
        </w:rPr>
        <w:noBreakHyphen/>
        <w:t>off</w:t>
      </w:r>
      <w:r>
        <w:tab/>
      </w:r>
      <w:r>
        <w:fldChar w:fldCharType="begin"/>
      </w:r>
      <w:r>
        <w:instrText xml:space="preserve"> PAGEREF _Toc129077587 \h </w:instrText>
      </w:r>
      <w:r>
        <w:fldChar w:fldCharType="separate"/>
      </w:r>
      <w:r>
        <w:t>147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Counterclaim and defence to counterclaim</w:t>
      </w:r>
      <w:r>
        <w:tab/>
      </w:r>
      <w:r>
        <w:fldChar w:fldCharType="begin"/>
      </w:r>
      <w:r>
        <w:instrText xml:space="preserve"> PAGEREF _Toc129077588 \h </w:instrText>
      </w:r>
      <w:r>
        <w:fldChar w:fldCharType="separate"/>
      </w:r>
      <w:r>
        <w:t>147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Striking out pleadings etc.</w:t>
      </w:r>
      <w:r>
        <w:tab/>
      </w:r>
      <w:r>
        <w:fldChar w:fldCharType="begin"/>
      </w:r>
      <w:r>
        <w:instrText xml:space="preserve"> PAGEREF _Toc129077589 \h </w:instrText>
      </w:r>
      <w:r>
        <w:fldChar w:fldCharType="separate"/>
      </w:r>
      <w:r>
        <w:t>148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Close of pleadings</w:t>
      </w:r>
      <w:r>
        <w:tab/>
      </w:r>
      <w:r>
        <w:fldChar w:fldCharType="begin"/>
      </w:r>
      <w:r>
        <w:instrText xml:space="preserve"> PAGEREF _Toc129077590 \h </w:instrText>
      </w:r>
      <w:r>
        <w:fldChar w:fldCharType="separate"/>
      </w:r>
      <w:r>
        <w:t>149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Trial without pleadings</w:t>
      </w:r>
      <w:r>
        <w:tab/>
      </w:r>
      <w:r>
        <w:fldChar w:fldCharType="begin"/>
      </w:r>
      <w:r>
        <w:instrText xml:space="preserve"> PAGEREF _Toc129077591 \h </w:instrText>
      </w:r>
      <w:r>
        <w:fldChar w:fldCharType="separate"/>
      </w:r>
      <w:r>
        <w:t>149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Preparation of issues</w:t>
      </w:r>
      <w:r>
        <w:tab/>
      </w:r>
      <w:r>
        <w:fldChar w:fldCharType="begin"/>
      </w:r>
      <w:r>
        <w:instrText xml:space="preserve"> PAGEREF _Toc129077592 \h </w:instrText>
      </w:r>
      <w:r>
        <w:fldChar w:fldCharType="separate"/>
      </w:r>
      <w:r>
        <w:t>150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Collision between vessels, content etc. of Preliminary Act</w:t>
      </w:r>
      <w:r>
        <w:tab/>
      </w:r>
      <w:r>
        <w:fldChar w:fldCharType="begin"/>
      </w:r>
      <w:r>
        <w:instrText xml:space="preserve"> PAGEREF _Toc129077593 \h </w:instrText>
      </w:r>
      <w:r>
        <w:fldChar w:fldCharType="separate"/>
      </w:r>
      <w:r>
        <w:t>150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Failure to file Preliminary Act</w:t>
      </w:r>
      <w:r>
        <w:tab/>
      </w:r>
      <w:r>
        <w:fldChar w:fldCharType="begin"/>
      </w:r>
      <w:r>
        <w:instrText xml:space="preserve"> PAGEREF _Toc129077594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Order 21 — Amendment</w:t>
      </w:r>
    </w:p>
    <w:p>
      <w:pPr>
        <w:pStyle w:val="TOC8"/>
        <w:rPr>
          <w:rFonts w:asciiTheme="minorHAnsi" w:eastAsiaTheme="minorEastAsia" w:hAnsiTheme="minorHAnsi" w:cstheme="minorBidi"/>
          <w:szCs w:val="22"/>
        </w:rPr>
      </w:pPr>
      <w:r>
        <w:t>1</w:t>
      </w:r>
      <w:r>
        <w:rPr>
          <w:snapToGrid w:val="0"/>
        </w:rPr>
        <w:t>.</w:t>
      </w:r>
      <w:r>
        <w:rPr>
          <w:snapToGrid w:val="0"/>
        </w:rPr>
        <w:tab/>
        <w:t>Amending writ without leave</w:t>
      </w:r>
      <w:r>
        <w:tab/>
      </w:r>
      <w:r>
        <w:fldChar w:fldCharType="begin"/>
      </w:r>
      <w:r>
        <w:instrText xml:space="preserve"> PAGEREF _Toc129077596 \h </w:instrText>
      </w:r>
      <w:r>
        <w:fldChar w:fldCharType="separate"/>
      </w:r>
      <w:r>
        <w:t>154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Amending memorandum of appearance</w:t>
      </w:r>
      <w:r>
        <w:tab/>
      </w:r>
      <w:r>
        <w:fldChar w:fldCharType="begin"/>
      </w:r>
      <w:r>
        <w:instrText xml:space="preserve"> PAGEREF _Toc129077597 \h </w:instrText>
      </w:r>
      <w:r>
        <w:fldChar w:fldCharType="separate"/>
      </w:r>
      <w:r>
        <w:t>154</w:t>
      </w:r>
      <w:r>
        <w:fldChar w:fldCharType="end"/>
      </w:r>
    </w:p>
    <w:p>
      <w:pPr>
        <w:pStyle w:val="TOC8"/>
        <w:rPr>
          <w:rFonts w:asciiTheme="minorHAnsi" w:eastAsiaTheme="minorEastAsia" w:hAnsiTheme="minorHAnsi" w:cstheme="minorBidi"/>
          <w:szCs w:val="22"/>
        </w:rPr>
      </w:pPr>
      <w:r>
        <w:t>3.</w:t>
      </w:r>
      <w:r>
        <w:tab/>
        <w:t>Amending pleadings without leave</w:t>
      </w:r>
      <w:r>
        <w:tab/>
      </w:r>
      <w:r>
        <w:fldChar w:fldCharType="begin"/>
      </w:r>
      <w:r>
        <w:instrText xml:space="preserve"> PAGEREF _Toc129077598 \h </w:instrText>
      </w:r>
      <w:r>
        <w:fldChar w:fldCharType="separate"/>
      </w:r>
      <w:r>
        <w:t>154</w:t>
      </w:r>
      <w:r>
        <w:fldChar w:fldCharType="end"/>
      </w:r>
    </w:p>
    <w:p>
      <w:pPr>
        <w:pStyle w:val="TOC8"/>
        <w:rPr>
          <w:rFonts w:asciiTheme="minorHAnsi" w:eastAsiaTheme="minorEastAsia" w:hAnsiTheme="minorHAnsi" w:cstheme="minorBidi"/>
          <w:szCs w:val="22"/>
        </w:rPr>
      </w:pPr>
      <w:r>
        <w:t>5.</w:t>
      </w:r>
      <w:r>
        <w:tab/>
        <w:t>Amending writ or pleading with leave</w:t>
      </w:r>
      <w:r>
        <w:tab/>
      </w:r>
      <w:r>
        <w:fldChar w:fldCharType="begin"/>
      </w:r>
      <w:r>
        <w:instrText xml:space="preserve"> PAGEREF _Toc129077599 \h </w:instrText>
      </w:r>
      <w:r>
        <w:fldChar w:fldCharType="separate"/>
      </w:r>
      <w:r>
        <w:t>155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Amending other originating process</w:t>
      </w:r>
      <w:r>
        <w:tab/>
      </w:r>
      <w:r>
        <w:fldChar w:fldCharType="begin"/>
      </w:r>
      <w:r>
        <w:instrText xml:space="preserve"> PAGEREF _Toc129077600 \h </w:instrText>
      </w:r>
      <w:r>
        <w:fldChar w:fldCharType="separate"/>
      </w:r>
      <w:r>
        <w:t>156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Amending other documents</w:t>
      </w:r>
      <w:r>
        <w:tab/>
      </w:r>
      <w:r>
        <w:fldChar w:fldCharType="begin"/>
      </w:r>
      <w:r>
        <w:instrText xml:space="preserve"> PAGEREF _Toc129077601 \h </w:instrText>
      </w:r>
      <w:r>
        <w:fldChar w:fldCharType="separate"/>
      </w:r>
      <w:r>
        <w:t>156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amend after order</w:t>
      </w:r>
      <w:r>
        <w:tab/>
      </w:r>
      <w:r>
        <w:fldChar w:fldCharType="begin"/>
      </w:r>
      <w:r>
        <w:instrText xml:space="preserve"> PAGEREF _Toc129077602 \h </w:instrText>
      </w:r>
      <w:r>
        <w:fldChar w:fldCharType="separate"/>
      </w:r>
      <w:r>
        <w:t>156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How amendments to be made</w:t>
      </w:r>
      <w:r>
        <w:tab/>
      </w:r>
      <w:r>
        <w:fldChar w:fldCharType="begin"/>
      </w:r>
      <w:r>
        <w:instrText xml:space="preserve"> PAGEREF _Toc129077603 \h </w:instrText>
      </w:r>
      <w:r>
        <w:fldChar w:fldCharType="separate"/>
      </w:r>
      <w:r>
        <w:t>156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Clerical errors etc., correcting (slip rule)</w:t>
      </w:r>
      <w:r>
        <w:tab/>
      </w:r>
      <w:r>
        <w:fldChar w:fldCharType="begin"/>
      </w:r>
      <w:r>
        <w:instrText xml:space="preserve"> PAGEREF _Toc129077604 \h </w:instrText>
      </w:r>
      <w:r>
        <w:fldChar w:fldCharType="separate"/>
      </w:r>
      <w:r>
        <w:t>157</w:t>
      </w:r>
      <w:r>
        <w:fldChar w:fldCharType="end"/>
      </w:r>
    </w:p>
    <w:p>
      <w:pPr>
        <w:pStyle w:val="TOC8"/>
        <w:rPr>
          <w:rFonts w:asciiTheme="minorHAnsi" w:eastAsiaTheme="minorEastAsia" w:hAnsiTheme="minorHAnsi" w:cstheme="minorBidi"/>
          <w:szCs w:val="22"/>
        </w:rPr>
      </w:pPr>
      <w:r>
        <w:t>11.</w:t>
      </w:r>
      <w:r>
        <w:tab/>
        <w:t>Service of amended documents</w:t>
      </w:r>
      <w:r>
        <w:tab/>
      </w:r>
      <w:r>
        <w:fldChar w:fldCharType="begin"/>
      </w:r>
      <w:r>
        <w:instrText xml:space="preserve"> PAGEREF _Toc129077605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Order 23 — Discontinuance</w:t>
      </w:r>
    </w:p>
    <w:p>
      <w:pPr>
        <w:pStyle w:val="TOC8"/>
        <w:rPr>
          <w:rFonts w:asciiTheme="minorHAnsi" w:eastAsiaTheme="minorEastAsia" w:hAnsiTheme="minorHAnsi" w:cstheme="minorBidi"/>
          <w:szCs w:val="22"/>
        </w:rPr>
      </w:pPr>
      <w:r>
        <w:t>1</w:t>
      </w:r>
      <w:r>
        <w:rPr>
          <w:snapToGrid w:val="0"/>
        </w:rPr>
        <w:t>.</w:t>
      </w:r>
      <w:r>
        <w:rPr>
          <w:snapToGrid w:val="0"/>
        </w:rPr>
        <w:tab/>
        <w:t>Withdrawing appearance</w:t>
      </w:r>
      <w:r>
        <w:tab/>
      </w:r>
      <w:r>
        <w:fldChar w:fldCharType="begin"/>
      </w:r>
      <w:r>
        <w:instrText xml:space="preserve"> PAGEREF _Toc129077607 \h </w:instrText>
      </w:r>
      <w:r>
        <w:fldChar w:fldCharType="separate"/>
      </w:r>
      <w:r>
        <w:t>158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Plaintiff may discontinue; defence etc. may be withdrawn</w:t>
      </w:r>
      <w:r>
        <w:tab/>
      </w:r>
      <w:r>
        <w:fldChar w:fldCharType="begin"/>
      </w:r>
      <w:r>
        <w:instrText xml:space="preserve"> PAGEREF _Toc129077608 \h </w:instrText>
      </w:r>
      <w:r>
        <w:fldChar w:fldCharType="separate"/>
      </w:r>
      <w:r>
        <w:t>158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w:t>
      </w:r>
      <w:r>
        <w:tab/>
      </w:r>
      <w:r>
        <w:fldChar w:fldCharType="begin"/>
      </w:r>
      <w:r>
        <w:instrText xml:space="preserve"> PAGEREF _Toc129077609 \h </w:instrText>
      </w:r>
      <w:r>
        <w:fldChar w:fldCharType="separate"/>
      </w:r>
      <w:r>
        <w:t>159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Subsequent action stayed pending payment</w:t>
      </w:r>
      <w:r>
        <w:tab/>
      </w:r>
      <w:r>
        <w:fldChar w:fldCharType="begin"/>
      </w:r>
      <w:r>
        <w:instrText xml:space="preserve"> PAGEREF _Toc129077610 \h </w:instrText>
      </w:r>
      <w:r>
        <w:fldChar w:fldCharType="separate"/>
      </w:r>
      <w:r>
        <w:t>159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Withdrawal of summons</w:t>
      </w:r>
      <w:r>
        <w:tab/>
      </w:r>
      <w:r>
        <w:fldChar w:fldCharType="begin"/>
      </w:r>
      <w:r>
        <w:instrText xml:space="preserve"> PAGEREF _Toc129077611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24 — Payment into court — offers to consent to judgment</w:t>
      </w:r>
    </w:p>
    <w:p>
      <w:pPr>
        <w:pStyle w:val="TOC8"/>
        <w:rPr>
          <w:rFonts w:asciiTheme="minorHAnsi" w:eastAsiaTheme="minorEastAsia" w:hAnsiTheme="minorHAnsi" w:cstheme="minorBidi"/>
          <w:szCs w:val="22"/>
        </w:rPr>
      </w:pPr>
      <w:r>
        <w:t>9</w:t>
      </w:r>
      <w:r>
        <w:rPr>
          <w:snapToGrid w:val="0"/>
        </w:rPr>
        <w:t>.</w:t>
      </w:r>
      <w:r>
        <w:rPr>
          <w:snapToGrid w:val="0"/>
        </w:rPr>
        <w:tab/>
        <w:t>In certain cases no payment out without order</w:t>
      </w:r>
      <w:r>
        <w:tab/>
      </w:r>
      <w:r>
        <w:fldChar w:fldCharType="begin"/>
      </w:r>
      <w:r>
        <w:instrText xml:space="preserve"> PAGEREF _Toc129077613 \h </w:instrText>
      </w:r>
      <w:r>
        <w:fldChar w:fldCharType="separate"/>
      </w:r>
      <w:r>
        <w:t>160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Intestate’s estate, Court may direct some payments without administration</w:t>
      </w:r>
      <w:r>
        <w:tab/>
      </w:r>
      <w:r>
        <w:fldChar w:fldCharType="begin"/>
      </w:r>
      <w:r>
        <w:instrText xml:space="preserve"> PAGEREF _Toc129077614 \h </w:instrText>
      </w:r>
      <w:r>
        <w:fldChar w:fldCharType="separate"/>
      </w:r>
      <w:r>
        <w:t>160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 (Sch. 3)</w:t>
      </w:r>
      <w:r>
        <w:tab/>
      </w:r>
      <w:r>
        <w:fldChar w:fldCharType="begin"/>
      </w:r>
      <w:r>
        <w:instrText xml:space="preserve"> PAGEREF _Toc129077615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Order 24A — Offer of compromise</w:t>
      </w:r>
    </w:p>
    <w:p>
      <w:pPr>
        <w:pStyle w:val="TOC8"/>
        <w:rPr>
          <w:rFonts w:asciiTheme="minorHAnsi" w:eastAsiaTheme="minorEastAsia" w:hAnsiTheme="minorHAnsi" w:cstheme="minorBidi"/>
          <w:szCs w:val="22"/>
        </w:rPr>
      </w:pPr>
      <w:r>
        <w:t>1.</w:t>
      </w:r>
      <w:r>
        <w:tab/>
        <w:t>Parties entitled to make offer</w:t>
      </w:r>
      <w:r>
        <w:tab/>
      </w:r>
      <w:r>
        <w:fldChar w:fldCharType="begin"/>
      </w:r>
      <w:r>
        <w:instrText xml:space="preserve"> PAGEREF _Toc129077617 \h </w:instrText>
      </w:r>
      <w:r>
        <w:fldChar w:fldCharType="separate"/>
      </w:r>
      <w:r>
        <w:t>162</w:t>
      </w:r>
      <w:r>
        <w:fldChar w:fldCharType="end"/>
      </w:r>
    </w:p>
    <w:p>
      <w:pPr>
        <w:pStyle w:val="TOC8"/>
        <w:rPr>
          <w:rFonts w:asciiTheme="minorHAnsi" w:eastAsiaTheme="minorEastAsia" w:hAnsiTheme="minorHAnsi" w:cstheme="minorBidi"/>
          <w:szCs w:val="22"/>
        </w:rPr>
      </w:pPr>
      <w:r>
        <w:t>2.</w:t>
      </w:r>
      <w:r>
        <w:tab/>
        <w:t>Application of this Order to counterclaims and third party notices</w:t>
      </w:r>
      <w:r>
        <w:tab/>
      </w:r>
      <w:r>
        <w:fldChar w:fldCharType="begin"/>
      </w:r>
      <w:r>
        <w:instrText xml:space="preserve"> PAGEREF _Toc129077618 \h </w:instrText>
      </w:r>
      <w:r>
        <w:fldChar w:fldCharType="separate"/>
      </w:r>
      <w:r>
        <w:t>162</w:t>
      </w:r>
      <w:r>
        <w:fldChar w:fldCharType="end"/>
      </w:r>
    </w:p>
    <w:p>
      <w:pPr>
        <w:pStyle w:val="TOC8"/>
        <w:rPr>
          <w:rFonts w:asciiTheme="minorHAnsi" w:eastAsiaTheme="minorEastAsia" w:hAnsiTheme="minorHAnsi" w:cstheme="minorBidi"/>
          <w:szCs w:val="22"/>
        </w:rPr>
      </w:pPr>
      <w:r>
        <w:t>3A.</w:t>
      </w:r>
      <w:r>
        <w:tab/>
        <w:t>How to make offer</w:t>
      </w:r>
      <w:r>
        <w:tab/>
      </w:r>
      <w:r>
        <w:fldChar w:fldCharType="begin"/>
      </w:r>
      <w:r>
        <w:instrText xml:space="preserve"> PAGEREF _Toc129077619 \h </w:instrText>
      </w:r>
      <w:r>
        <w:fldChar w:fldCharType="separate"/>
      </w:r>
      <w:r>
        <w:t>162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Time etc. for making, accepting etc. offer</w:t>
      </w:r>
      <w:r>
        <w:tab/>
      </w:r>
      <w:r>
        <w:fldChar w:fldCharType="begin"/>
      </w:r>
      <w:r>
        <w:instrText xml:space="preserve"> PAGEREF _Toc129077620 \h </w:instrText>
      </w:r>
      <w:r>
        <w:fldChar w:fldCharType="separate"/>
      </w:r>
      <w:r>
        <w:t>162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for payment of sum offered</w:t>
      </w:r>
      <w:r>
        <w:tab/>
      </w:r>
      <w:r>
        <w:fldChar w:fldCharType="begin"/>
      </w:r>
      <w:r>
        <w:instrText xml:space="preserve"> PAGEREF _Toc129077621 \h </w:instrText>
      </w:r>
      <w:r>
        <w:fldChar w:fldCharType="separate"/>
      </w:r>
      <w:r>
        <w:t>164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Withdrawing acceptance of offer</w:t>
      </w:r>
      <w:r>
        <w:tab/>
      </w:r>
      <w:r>
        <w:fldChar w:fldCharType="begin"/>
      </w:r>
      <w:r>
        <w:instrText xml:space="preserve"> PAGEREF _Toc129077622 \h </w:instrText>
      </w:r>
      <w:r>
        <w:fldChar w:fldCharType="separate"/>
      </w:r>
      <w:r>
        <w:t>164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Offer without prejudice</w:t>
      </w:r>
      <w:r>
        <w:tab/>
      </w:r>
      <w:r>
        <w:fldChar w:fldCharType="begin"/>
      </w:r>
      <w:r>
        <w:instrText xml:space="preserve"> PAGEREF _Toc129077623 \h </w:instrText>
      </w:r>
      <w:r>
        <w:fldChar w:fldCharType="separate"/>
      </w:r>
      <w:r>
        <w:t>165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Disclosure of offer to Court</w:t>
      </w:r>
      <w:r>
        <w:tab/>
      </w:r>
      <w:r>
        <w:fldChar w:fldCharType="begin"/>
      </w:r>
      <w:r>
        <w:instrText xml:space="preserve"> PAGEREF _Toc129077624 \h </w:instrText>
      </w:r>
      <w:r>
        <w:fldChar w:fldCharType="separate"/>
      </w:r>
      <w:r>
        <w:t>165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Failure to comply with accepted offer</w:t>
      </w:r>
      <w:r>
        <w:tab/>
      </w:r>
      <w:r>
        <w:fldChar w:fldCharType="begin"/>
      </w:r>
      <w:r>
        <w:instrText xml:space="preserve"> PAGEREF _Toc129077625 \h </w:instrText>
      </w:r>
      <w:r>
        <w:fldChar w:fldCharType="separate"/>
      </w:r>
      <w:r>
        <w:t>165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Multiple defendants</w:t>
      </w:r>
      <w:r>
        <w:tab/>
      </w:r>
      <w:r>
        <w:fldChar w:fldCharType="begin"/>
      </w:r>
      <w:r>
        <w:instrText xml:space="preserve"> PAGEREF _Toc129077626 \h </w:instrText>
      </w:r>
      <w:r>
        <w:fldChar w:fldCharType="separate"/>
      </w:r>
      <w:r>
        <w:t>166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_Toc129077627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Order 25 — Security for costs</w:t>
      </w:r>
    </w:p>
    <w:p>
      <w:pPr>
        <w:pStyle w:val="TOC8"/>
        <w:rPr>
          <w:rFonts w:asciiTheme="minorHAnsi" w:eastAsiaTheme="minorEastAsia" w:hAnsiTheme="minorHAnsi" w:cstheme="minorBidi"/>
          <w:szCs w:val="22"/>
        </w:rPr>
      </w:pPr>
      <w:r>
        <w:t>1</w:t>
      </w:r>
      <w:r>
        <w:rPr>
          <w:snapToGrid w:val="0"/>
        </w:rPr>
        <w:t>.</w:t>
      </w:r>
      <w:r>
        <w:rPr>
          <w:snapToGrid w:val="0"/>
        </w:rPr>
        <w:tab/>
        <w:t>Factors that are not grounds for ordering security for costs</w:t>
      </w:r>
      <w:r>
        <w:tab/>
      </w:r>
      <w:r>
        <w:fldChar w:fldCharType="begin"/>
      </w:r>
      <w:r>
        <w:instrText xml:space="preserve"> PAGEREF _Toc129077629 \h </w:instrText>
      </w:r>
      <w:r>
        <w:fldChar w:fldCharType="separate"/>
      </w:r>
      <w:r>
        <w:t>169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Grounds for ordering security for costs</w:t>
      </w:r>
      <w:r>
        <w:tab/>
      </w:r>
      <w:r>
        <w:fldChar w:fldCharType="begin"/>
      </w:r>
      <w:r>
        <w:instrText xml:space="preserve"> PAGEREF _Toc129077630 \h </w:instrText>
      </w:r>
      <w:r>
        <w:fldChar w:fldCharType="separate"/>
      </w:r>
      <w:r>
        <w:t>169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has discretion</w:t>
      </w:r>
      <w:r>
        <w:tab/>
      </w:r>
      <w:r>
        <w:fldChar w:fldCharType="begin"/>
      </w:r>
      <w:r>
        <w:instrText xml:space="preserve"> PAGEREF _Toc129077631 \h </w:instrText>
      </w:r>
      <w:r>
        <w:fldChar w:fldCharType="separate"/>
      </w:r>
      <w:r>
        <w:t>170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 used: plaintiff</w:t>
      </w:r>
      <w:r>
        <w:tab/>
      </w:r>
      <w:r>
        <w:fldChar w:fldCharType="begin"/>
      </w:r>
      <w:r>
        <w:instrText xml:space="preserve"> PAGEREF _Toc129077632 \h </w:instrText>
      </w:r>
      <w:r>
        <w:fldChar w:fldCharType="separate"/>
      </w:r>
      <w:r>
        <w:t>170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Manner of giving security</w:t>
      </w:r>
      <w:r>
        <w:tab/>
      </w:r>
      <w:r>
        <w:fldChar w:fldCharType="begin"/>
      </w:r>
      <w:r>
        <w:instrText xml:space="preserve"> PAGEREF _Toc129077633 \h </w:instrText>
      </w:r>
      <w:r>
        <w:fldChar w:fldCharType="separate"/>
      </w:r>
      <w:r>
        <w:t>170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Action may be stayed</w:t>
      </w:r>
      <w:r>
        <w:tab/>
      </w:r>
      <w:r>
        <w:fldChar w:fldCharType="begin"/>
      </w:r>
      <w:r>
        <w:instrText xml:space="preserve"> PAGEREF _Toc129077634 \h </w:instrText>
      </w:r>
      <w:r>
        <w:fldChar w:fldCharType="separate"/>
      </w:r>
      <w:r>
        <w:t>170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Payment out</w:t>
      </w:r>
      <w:r>
        <w:tab/>
      </w:r>
      <w:r>
        <w:fldChar w:fldCharType="begin"/>
      </w:r>
      <w:r>
        <w:instrText xml:space="preserve"> PAGEREF _Toc129077635 \h </w:instrText>
      </w:r>
      <w:r>
        <w:fldChar w:fldCharType="separate"/>
      </w:r>
      <w:r>
        <w:t>170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Saving</w:t>
      </w:r>
      <w:r>
        <w:tab/>
      </w:r>
      <w:r>
        <w:fldChar w:fldCharType="begin"/>
      </w:r>
      <w:r>
        <w:instrText xml:space="preserve"> PAGEREF _Toc129077636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Order 26 — Discovery and inspection</w:t>
      </w:r>
    </w:p>
    <w:p>
      <w:pPr>
        <w:pStyle w:val="TOC8"/>
        <w:rPr>
          <w:rFonts w:asciiTheme="minorHAnsi" w:eastAsiaTheme="minorEastAsia" w:hAnsiTheme="minorHAnsi" w:cstheme="minorBidi"/>
          <w:szCs w:val="22"/>
        </w:rPr>
      </w:pPr>
      <w:r>
        <w:t>1A</w:t>
      </w:r>
      <w:r>
        <w:rPr>
          <w:snapToGrid w:val="0"/>
        </w:rPr>
        <w:t>.</w:t>
      </w:r>
      <w:r>
        <w:rPr>
          <w:snapToGrid w:val="0"/>
        </w:rPr>
        <w:tab/>
        <w:t>Terms used</w:t>
      </w:r>
      <w:r>
        <w:tab/>
      </w:r>
      <w:r>
        <w:fldChar w:fldCharType="begin"/>
      </w:r>
      <w:r>
        <w:instrText xml:space="preserve"> PAGEREF _Toc129077638 \h </w:instrText>
      </w:r>
      <w:r>
        <w:fldChar w:fldCharType="separate"/>
      </w:r>
      <w:r>
        <w:t>172</w:t>
      </w:r>
      <w:r>
        <w:fldChar w:fldCharType="end"/>
      </w:r>
    </w:p>
    <w:p>
      <w:pPr>
        <w:pStyle w:val="TOC8"/>
        <w:rPr>
          <w:rFonts w:asciiTheme="minorHAnsi" w:eastAsiaTheme="minorEastAsia" w:hAnsiTheme="minorHAnsi" w:cstheme="minorBidi"/>
          <w:szCs w:val="22"/>
        </w:rPr>
      </w:pPr>
      <w:r>
        <w:t>1B.</w:t>
      </w:r>
      <w:r>
        <w:tab/>
        <w:t>Documents not wholly discoverable</w:t>
      </w:r>
      <w:r>
        <w:tab/>
      </w:r>
      <w:r>
        <w:fldChar w:fldCharType="begin"/>
      </w:r>
      <w:r>
        <w:instrText xml:space="preserve"> PAGEREF _Toc129077639 \h </w:instrText>
      </w:r>
      <w:r>
        <w:fldChar w:fldCharType="separate"/>
      </w:r>
      <w:r>
        <w:t>172</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Discovery without order</w:t>
      </w:r>
      <w:r>
        <w:tab/>
      </w:r>
      <w:r>
        <w:fldChar w:fldCharType="begin"/>
      </w:r>
      <w:r>
        <w:instrText xml:space="preserve"> PAGEREF _Toc129077640 \h </w:instrText>
      </w:r>
      <w:r>
        <w:fldChar w:fldCharType="separate"/>
      </w:r>
      <w:r>
        <w:t>173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obligation to give discovery</w:t>
      </w:r>
      <w:r>
        <w:tab/>
      </w:r>
      <w:r>
        <w:fldChar w:fldCharType="begin"/>
      </w:r>
      <w:r>
        <w:instrText xml:space="preserve"> PAGEREF _Toc129077641 \h </w:instrText>
      </w:r>
      <w:r>
        <w:fldChar w:fldCharType="separate"/>
      </w:r>
      <w:r>
        <w:t>174</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Determination of issue relevant to right to discovery</w:t>
      </w:r>
      <w:r>
        <w:tab/>
      </w:r>
      <w:r>
        <w:fldChar w:fldCharType="begin"/>
      </w:r>
      <w:r>
        <w:instrText xml:space="preserve"> PAGEREF _Toc129077642 \h </w:instrText>
      </w:r>
      <w:r>
        <w:fldChar w:fldCharType="separate"/>
      </w:r>
      <w:r>
        <w:t>175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List of documents and verifying affidavit, form, content and making of</w:t>
      </w:r>
      <w:r>
        <w:tab/>
      </w:r>
      <w:r>
        <w:fldChar w:fldCharType="begin"/>
      </w:r>
      <w:r>
        <w:instrText xml:space="preserve"> PAGEREF _Toc129077643 \h </w:instrText>
      </w:r>
      <w:r>
        <w:fldChar w:fldCharType="separate"/>
      </w:r>
      <w:r>
        <w:t>175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_Toc129077644 \h </w:instrText>
      </w:r>
      <w:r>
        <w:fldChar w:fldCharType="separate"/>
      </w:r>
      <w:r>
        <w:t>176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information as to particular documents</w:t>
      </w:r>
      <w:r>
        <w:tab/>
      </w:r>
      <w:r>
        <w:fldChar w:fldCharType="begin"/>
      </w:r>
      <w:r>
        <w:instrText xml:space="preserve"> PAGEREF _Toc129077645 \h </w:instrText>
      </w:r>
      <w:r>
        <w:fldChar w:fldCharType="separate"/>
      </w:r>
      <w:r>
        <w:t>177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Orders as to discovery</w:t>
      </w:r>
      <w:r>
        <w:tab/>
      </w:r>
      <w:r>
        <w:fldChar w:fldCharType="begin"/>
      </w:r>
      <w:r>
        <w:instrText xml:space="preserve"> PAGEREF _Toc129077646 \h </w:instrText>
      </w:r>
      <w:r>
        <w:fldChar w:fldCharType="separate"/>
      </w:r>
      <w:r>
        <w:t>177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Inspection of documents in list</w:t>
      </w:r>
      <w:r>
        <w:tab/>
      </w:r>
      <w:r>
        <w:fldChar w:fldCharType="begin"/>
      </w:r>
      <w:r>
        <w:instrText xml:space="preserve"> PAGEREF _Toc129077647 \h </w:instrText>
      </w:r>
      <w:r>
        <w:fldChar w:fldCharType="separate"/>
      </w:r>
      <w:r>
        <w:t>178</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Procedure on discovery</w:t>
      </w:r>
      <w:r>
        <w:tab/>
      </w:r>
      <w:r>
        <w:fldChar w:fldCharType="begin"/>
      </w:r>
      <w:r>
        <w:instrText xml:space="preserve"> PAGEREF _Toc129077648 \h </w:instrText>
      </w:r>
      <w:r>
        <w:fldChar w:fldCharType="separate"/>
      </w:r>
      <w:r>
        <w:t>179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Order for inspection of documents</w:t>
      </w:r>
      <w:r>
        <w:tab/>
      </w:r>
      <w:r>
        <w:fldChar w:fldCharType="begin"/>
      </w:r>
      <w:r>
        <w:instrText xml:space="preserve"> PAGEREF _Toc129077649 \h </w:instrText>
      </w:r>
      <w:r>
        <w:fldChar w:fldCharType="separate"/>
      </w:r>
      <w:r>
        <w:t>180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 for production to Court</w:t>
      </w:r>
      <w:r>
        <w:tab/>
      </w:r>
      <w:r>
        <w:fldChar w:fldCharType="begin"/>
      </w:r>
      <w:r>
        <w:instrText xml:space="preserve"> PAGEREF _Toc129077650 \h </w:instrText>
      </w:r>
      <w:r>
        <w:fldChar w:fldCharType="separate"/>
      </w:r>
      <w:r>
        <w:t>181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Order for production etc. only if necessary</w:t>
      </w:r>
      <w:r>
        <w:tab/>
      </w:r>
      <w:r>
        <w:fldChar w:fldCharType="begin"/>
      </w:r>
      <w:r>
        <w:instrText xml:space="preserve"> PAGEREF _Toc129077651 \h </w:instrText>
      </w:r>
      <w:r>
        <w:fldChar w:fldCharType="separate"/>
      </w:r>
      <w:r>
        <w:t>181</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Costs of preparing document to facilitate inspection</w:t>
      </w:r>
      <w:r>
        <w:tab/>
      </w:r>
      <w:r>
        <w:fldChar w:fldCharType="begin"/>
      </w:r>
      <w:r>
        <w:instrText xml:space="preserve"> PAGEREF _Toc129077652 \h </w:instrText>
      </w:r>
      <w:r>
        <w:fldChar w:fldCharType="separate"/>
      </w:r>
      <w:r>
        <w:t>182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Claim of privilege</w:t>
      </w:r>
      <w:r>
        <w:tab/>
      </w:r>
      <w:r>
        <w:fldChar w:fldCharType="begin"/>
      </w:r>
      <w:r>
        <w:instrText xml:space="preserve"> PAGEREF _Toc129077653 \h </w:instrText>
      </w:r>
      <w:r>
        <w:fldChar w:fldCharType="separate"/>
      </w:r>
      <w:r>
        <w:t>182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Inspection of copies of business books</w:t>
      </w:r>
      <w:r>
        <w:tab/>
      </w:r>
      <w:r>
        <w:fldChar w:fldCharType="begin"/>
      </w:r>
      <w:r>
        <w:instrText xml:space="preserve"> PAGEREF _Toc129077654 \h </w:instrText>
      </w:r>
      <w:r>
        <w:fldChar w:fldCharType="separate"/>
      </w:r>
      <w:r>
        <w:t>182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Public interest immunity not affected</w:t>
      </w:r>
      <w:r>
        <w:tab/>
      </w:r>
      <w:r>
        <w:fldChar w:fldCharType="begin"/>
      </w:r>
      <w:r>
        <w:instrText xml:space="preserve"> PAGEREF _Toc129077655 \h </w:instrText>
      </w:r>
      <w:r>
        <w:fldChar w:fldCharType="separate"/>
      </w:r>
      <w:r>
        <w:t>183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_Toc129077656 \h </w:instrText>
      </w:r>
      <w:r>
        <w:fldChar w:fldCharType="separate"/>
      </w:r>
      <w:r>
        <w:t>183</w:t>
      </w:r>
      <w:r>
        <w:fldChar w:fldCharType="end"/>
      </w:r>
    </w:p>
    <w:p>
      <w:pPr>
        <w:pStyle w:val="TOC8"/>
        <w:rPr>
          <w:rFonts w:asciiTheme="minorHAnsi" w:eastAsiaTheme="minorEastAsia" w:hAnsiTheme="minorHAnsi" w:cstheme="minorBidi"/>
          <w:szCs w:val="22"/>
        </w:rPr>
      </w:pPr>
      <w:r>
        <w:t>16A.</w:t>
      </w:r>
      <w:r>
        <w:tab/>
        <w:t>Certificate by legal practitioner</w:t>
      </w:r>
      <w:r>
        <w:tab/>
      </w:r>
      <w:r>
        <w:fldChar w:fldCharType="begin"/>
      </w:r>
      <w:r>
        <w:instrText xml:space="preserve"> PAGEREF _Toc129077657 \h </w:instrText>
      </w:r>
      <w:r>
        <w:fldChar w:fldCharType="separate"/>
      </w:r>
      <w:r>
        <w:t>184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Revocation and variation of orders</w:t>
      </w:r>
      <w:r>
        <w:tab/>
      </w:r>
      <w:r>
        <w:fldChar w:fldCharType="begin"/>
      </w:r>
      <w:r>
        <w:instrText xml:space="preserve"> PAGEREF _Toc129077658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Order 26A — Discovery etc. from non</w:t>
      </w:r>
      <w:r>
        <w:noBreakHyphen/>
        <w:t>parties and potential parties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_Toc129077660 \h </w:instrText>
      </w:r>
      <w:r>
        <w:fldChar w:fldCharType="separate"/>
      </w:r>
      <w:r>
        <w:t>185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Public interest immunity not affected</w:t>
      </w:r>
      <w:r>
        <w:tab/>
      </w:r>
      <w:r>
        <w:fldChar w:fldCharType="begin"/>
      </w:r>
      <w:r>
        <w:instrText xml:space="preserve"> PAGEREF _Toc129077661 \h </w:instrText>
      </w:r>
      <w:r>
        <w:fldChar w:fldCharType="separate"/>
      </w:r>
      <w:r>
        <w:t>185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Discovery etc. to identify a potential party</w:t>
      </w:r>
      <w:r>
        <w:tab/>
      </w:r>
      <w:r>
        <w:fldChar w:fldCharType="begin"/>
      </w:r>
      <w:r>
        <w:instrText xml:space="preserve"> PAGEREF _Toc129077662 \h </w:instrText>
      </w:r>
      <w:r>
        <w:fldChar w:fldCharType="separate"/>
      </w:r>
      <w:r>
        <w:t>185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Discovery from potential party</w:t>
      </w:r>
      <w:r>
        <w:tab/>
      </w:r>
      <w:r>
        <w:fldChar w:fldCharType="begin"/>
      </w:r>
      <w:r>
        <w:instrText xml:space="preserve"> PAGEREF _Toc129077663 \h </w:instrText>
      </w:r>
      <w:r>
        <w:fldChar w:fldCharType="separate"/>
      </w:r>
      <w:r>
        <w:t>186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Discovery from non</w:t>
      </w:r>
      <w:r>
        <w:rPr>
          <w:snapToGrid w:val="0"/>
        </w:rPr>
        <w:noBreakHyphen/>
        <w:t>party</w:t>
      </w:r>
      <w:r>
        <w:tab/>
      </w:r>
      <w:r>
        <w:fldChar w:fldCharType="begin"/>
      </w:r>
      <w:r>
        <w:instrText xml:space="preserve"> PAGEREF _Toc129077664 \h </w:instrText>
      </w:r>
      <w:r>
        <w:fldChar w:fldCharType="separate"/>
      </w:r>
      <w:r>
        <w:t>187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26 applies to discovery ordered under this Order</w:t>
      </w:r>
      <w:r>
        <w:tab/>
      </w:r>
      <w:r>
        <w:fldChar w:fldCharType="begin"/>
      </w:r>
      <w:r>
        <w:instrText xml:space="preserve"> PAGEREF _Toc129077665 \h </w:instrText>
      </w:r>
      <w:r>
        <w:fldChar w:fldCharType="separate"/>
      </w:r>
      <w:r>
        <w:t>188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Costs</w:t>
      </w:r>
      <w:r>
        <w:tab/>
      </w:r>
      <w:r>
        <w:fldChar w:fldCharType="begin"/>
      </w:r>
      <w:r>
        <w:instrText xml:space="preserve"> PAGEREF _Toc129077666 \h </w:instrText>
      </w:r>
      <w:r>
        <w:fldChar w:fldCharType="separate"/>
      </w:r>
      <w:r>
        <w:t>188</w:t>
      </w:r>
      <w:r>
        <w:fldChar w:fldCharType="end"/>
      </w:r>
    </w:p>
    <w:p>
      <w:pPr>
        <w:pStyle w:val="TOC8"/>
        <w:rPr>
          <w:rFonts w:asciiTheme="minorHAnsi" w:eastAsiaTheme="minorEastAsia" w:hAnsiTheme="minorHAnsi" w:cstheme="minorBidi"/>
          <w:szCs w:val="22"/>
        </w:rPr>
      </w:pPr>
      <w:r>
        <w:t>8.</w:t>
      </w:r>
      <w:r>
        <w:tab/>
        <w:t>Certificate by legal practitioner for non</w:t>
      </w:r>
      <w:r>
        <w:noBreakHyphen/>
        <w:t>party or potential party</w:t>
      </w:r>
      <w:r>
        <w:tab/>
      </w:r>
      <w:r>
        <w:fldChar w:fldCharType="begin"/>
      </w:r>
      <w:r>
        <w:instrText xml:space="preserve"> PAGEREF _Toc129077667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Order 27 — Interrogatories</w:t>
      </w:r>
    </w:p>
    <w:p>
      <w:pPr>
        <w:pStyle w:val="TOC8"/>
        <w:rPr>
          <w:rFonts w:asciiTheme="minorHAnsi" w:eastAsiaTheme="minorEastAsia" w:hAnsiTheme="minorHAnsi" w:cstheme="minorBidi"/>
          <w:szCs w:val="22"/>
        </w:rPr>
      </w:pPr>
      <w:r>
        <w:t>1</w:t>
      </w:r>
      <w:r>
        <w:rPr>
          <w:snapToGrid w:val="0"/>
        </w:rPr>
        <w:t>.</w:t>
      </w:r>
      <w:r>
        <w:rPr>
          <w:snapToGrid w:val="0"/>
        </w:rPr>
        <w:tab/>
        <w:t>Notice of and answers to interrogatories</w:t>
      </w:r>
      <w:r>
        <w:tab/>
      </w:r>
      <w:r>
        <w:fldChar w:fldCharType="begin"/>
      </w:r>
      <w:r>
        <w:instrText xml:space="preserve"> PAGEREF _Toc129077669 \h </w:instrText>
      </w:r>
      <w:r>
        <w:fldChar w:fldCharType="separate"/>
      </w:r>
      <w:r>
        <w:t>190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Answers, time for and manner of giving</w:t>
      </w:r>
      <w:r>
        <w:tab/>
      </w:r>
      <w:r>
        <w:fldChar w:fldCharType="begin"/>
      </w:r>
      <w:r>
        <w:instrText xml:space="preserve"> PAGEREF _Toc129077670 \h </w:instrText>
      </w:r>
      <w:r>
        <w:fldChar w:fldCharType="separate"/>
      </w:r>
      <w:r>
        <w:t>190</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Interrogatories given to 2 or more parties etc., who has to answer</w:t>
      </w:r>
      <w:r>
        <w:tab/>
      </w:r>
      <w:r>
        <w:fldChar w:fldCharType="begin"/>
      </w:r>
      <w:r>
        <w:instrText xml:space="preserve"> PAGEREF _Toc129077671 \h </w:instrText>
      </w:r>
      <w:r>
        <w:fldChar w:fldCharType="separate"/>
      </w:r>
      <w:r>
        <w:t>190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Content of answers</w:t>
      </w:r>
      <w:r>
        <w:tab/>
      </w:r>
      <w:r>
        <w:fldChar w:fldCharType="begin"/>
      </w:r>
      <w:r>
        <w:instrText xml:space="preserve"> PAGEREF _Toc129077672 \h </w:instrText>
      </w:r>
      <w:r>
        <w:fldChar w:fldCharType="separate"/>
      </w:r>
      <w:r>
        <w:t>191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Grounds for objecting to answer</w:t>
      </w:r>
      <w:r>
        <w:tab/>
      </w:r>
      <w:r>
        <w:fldChar w:fldCharType="begin"/>
      </w:r>
      <w:r>
        <w:instrText xml:space="preserve"> PAGEREF _Toc129077673 \h </w:instrText>
      </w:r>
      <w:r>
        <w:fldChar w:fldCharType="separate"/>
      </w:r>
      <w:r>
        <w:t>191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Answers, who can make</w:t>
      </w:r>
      <w:r>
        <w:tab/>
      </w:r>
      <w:r>
        <w:fldChar w:fldCharType="begin"/>
      </w:r>
      <w:r>
        <w:instrText xml:space="preserve"> PAGEREF _Toc129077674 \h </w:instrText>
      </w:r>
      <w:r>
        <w:fldChar w:fldCharType="separate"/>
      </w:r>
      <w:r>
        <w:t>191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Failing to answer or to answer sufficiently</w:t>
      </w:r>
      <w:r>
        <w:tab/>
      </w:r>
      <w:r>
        <w:fldChar w:fldCharType="begin"/>
      </w:r>
      <w:r>
        <w:instrText xml:space="preserve"> PAGEREF _Toc129077675 \h </w:instrText>
      </w:r>
      <w:r>
        <w:fldChar w:fldCharType="separate"/>
      </w:r>
      <w:r>
        <w:t>192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_Toc129077676 \h </w:instrText>
      </w:r>
      <w:r>
        <w:fldChar w:fldCharType="separate"/>
      </w:r>
      <w:r>
        <w:t>192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Use of answers in evidence</w:t>
      </w:r>
      <w:r>
        <w:tab/>
      </w:r>
      <w:r>
        <w:fldChar w:fldCharType="begin"/>
      </w:r>
      <w:r>
        <w:instrText xml:space="preserve"> PAGEREF _Toc129077677 \h </w:instrText>
      </w:r>
      <w:r>
        <w:fldChar w:fldCharType="separate"/>
      </w:r>
      <w:r>
        <w:t>193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Revoking and varying orders</w:t>
      </w:r>
      <w:r>
        <w:tab/>
      </w:r>
      <w:r>
        <w:fldChar w:fldCharType="begin"/>
      </w:r>
      <w:r>
        <w:instrText xml:space="preserve"> PAGEREF _Toc129077678 \h </w:instrText>
      </w:r>
      <w:r>
        <w:fldChar w:fldCharType="separate"/>
      </w:r>
      <w:r>
        <w:t>193</w:t>
      </w:r>
      <w:r>
        <w:fldChar w:fldCharType="end"/>
      </w:r>
    </w:p>
    <w:p>
      <w:pPr>
        <w:pStyle w:val="TOC2"/>
        <w:tabs>
          <w:tab w:val="right" w:leader="dot" w:pos="7077"/>
        </w:tabs>
        <w:rPr>
          <w:rFonts w:asciiTheme="minorHAnsi" w:eastAsiaTheme="minorEastAsia" w:hAnsiTheme="minorHAnsi" w:cstheme="minorBidi"/>
          <w:b w:val="0"/>
          <w:sz w:val="22"/>
          <w:szCs w:val="22"/>
        </w:rPr>
      </w:pPr>
      <w:r>
        <w:t>Order 28 — Medical examination: inspection of physical objects</w:t>
      </w:r>
    </w:p>
    <w:p>
      <w:pPr>
        <w:pStyle w:val="TOC8"/>
        <w:rPr>
          <w:rFonts w:asciiTheme="minorHAnsi" w:eastAsiaTheme="minorEastAsia" w:hAnsiTheme="minorHAnsi" w:cstheme="minorBidi"/>
          <w:szCs w:val="22"/>
        </w:rPr>
      </w:pPr>
      <w:r>
        <w:t>1</w:t>
      </w:r>
      <w:r>
        <w:rPr>
          <w:snapToGrid w:val="0"/>
        </w:rPr>
        <w:t>.</w:t>
      </w:r>
      <w:r>
        <w:rPr>
          <w:snapToGrid w:val="0"/>
        </w:rPr>
        <w:tab/>
        <w:t>Medical examination of a party</w:t>
      </w:r>
      <w:r>
        <w:tab/>
      </w:r>
      <w:r>
        <w:fldChar w:fldCharType="begin"/>
      </w:r>
      <w:r>
        <w:instrText xml:space="preserve"> PAGEREF _Toc129077680 \h </w:instrText>
      </w:r>
      <w:r>
        <w:fldChar w:fldCharType="separate"/>
      </w:r>
      <w:r>
        <w:t>194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Inspection of physical objects</w:t>
      </w:r>
      <w:r>
        <w:tab/>
      </w:r>
      <w:r>
        <w:fldChar w:fldCharType="begin"/>
      </w:r>
      <w:r>
        <w:instrText xml:space="preserve"> PAGEREF _Toc129077681 \h </w:instrText>
      </w:r>
      <w:r>
        <w:fldChar w:fldCharType="separate"/>
      </w:r>
      <w:r>
        <w:t>195</w:t>
      </w:r>
      <w:r>
        <w:fldChar w:fldCharType="end"/>
      </w:r>
    </w:p>
    <w:p>
      <w:pPr>
        <w:pStyle w:val="TOC2"/>
        <w:tabs>
          <w:tab w:val="right" w:leader="dot" w:pos="7077"/>
        </w:tabs>
        <w:rPr>
          <w:rFonts w:asciiTheme="minorHAnsi" w:eastAsiaTheme="minorEastAsia" w:hAnsiTheme="minorHAnsi" w:cstheme="minorBidi"/>
          <w:b w:val="0"/>
          <w:sz w:val="22"/>
          <w:szCs w:val="22"/>
        </w:rPr>
      </w:pPr>
      <w:r>
        <w:t>Order 30 — Admissions</w:t>
      </w:r>
    </w:p>
    <w:p>
      <w:pPr>
        <w:pStyle w:val="TOC8"/>
        <w:rPr>
          <w:rFonts w:asciiTheme="minorHAnsi" w:eastAsiaTheme="minorEastAsia" w:hAnsiTheme="minorHAnsi" w:cstheme="minorBidi"/>
          <w:szCs w:val="22"/>
        </w:rPr>
      </w:pPr>
      <w:r>
        <w:t>1</w:t>
      </w:r>
      <w:r>
        <w:rPr>
          <w:snapToGrid w:val="0"/>
        </w:rPr>
        <w:t>.</w:t>
      </w:r>
      <w:r>
        <w:rPr>
          <w:snapToGrid w:val="0"/>
        </w:rPr>
        <w:tab/>
        <w:t>Admission of other party’s case</w:t>
      </w:r>
      <w:r>
        <w:tab/>
      </w:r>
      <w:r>
        <w:fldChar w:fldCharType="begin"/>
      </w:r>
      <w:r>
        <w:instrText xml:space="preserve"> PAGEREF _Toc129077683 \h </w:instrText>
      </w:r>
      <w:r>
        <w:fldChar w:fldCharType="separate"/>
      </w:r>
      <w:r>
        <w:t>197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Notice to admit facts</w:t>
      </w:r>
      <w:r>
        <w:tab/>
      </w:r>
      <w:r>
        <w:fldChar w:fldCharType="begin"/>
      </w:r>
      <w:r>
        <w:instrText xml:space="preserve"> PAGEREF _Toc129077684 \h </w:instrText>
      </w:r>
      <w:r>
        <w:fldChar w:fldCharType="separate"/>
      </w:r>
      <w:r>
        <w:t>197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Judgment on admissions</w:t>
      </w:r>
      <w:r>
        <w:tab/>
      </w:r>
      <w:r>
        <w:fldChar w:fldCharType="begin"/>
      </w:r>
      <w:r>
        <w:instrText xml:space="preserve"> PAGEREF _Toc129077685 \h </w:instrText>
      </w:r>
      <w:r>
        <w:fldChar w:fldCharType="separate"/>
      </w:r>
      <w:r>
        <w:t>197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Admissions as to and production of documents</w:t>
      </w:r>
      <w:r>
        <w:tab/>
      </w:r>
      <w:r>
        <w:fldChar w:fldCharType="begin"/>
      </w:r>
      <w:r>
        <w:instrText xml:space="preserve"> PAGEREF _Toc129077686 \h </w:instrText>
      </w:r>
      <w:r>
        <w:fldChar w:fldCharType="separate"/>
      </w:r>
      <w:r>
        <w:t>198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_Toc129077687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Order 31 — Special cases and stated cases</w:t>
      </w:r>
    </w:p>
    <w:p>
      <w:pPr>
        <w:pStyle w:val="TOC8"/>
        <w:rPr>
          <w:rFonts w:asciiTheme="minorHAnsi" w:eastAsiaTheme="minorEastAsia" w:hAnsiTheme="minorHAnsi" w:cstheme="minorBidi"/>
          <w:szCs w:val="22"/>
        </w:rPr>
      </w:pPr>
      <w:r>
        <w:t>1</w:t>
      </w:r>
      <w:r>
        <w:rPr>
          <w:snapToGrid w:val="0"/>
        </w:rPr>
        <w:t>.</w:t>
      </w:r>
      <w:r>
        <w:rPr>
          <w:snapToGrid w:val="0"/>
        </w:rPr>
        <w:tab/>
        <w:t>Questions of law, stating of in special case</w:t>
      </w:r>
      <w:r>
        <w:tab/>
      </w:r>
      <w:r>
        <w:fldChar w:fldCharType="begin"/>
      </w:r>
      <w:r>
        <w:instrText xml:space="preserve"> PAGEREF _Toc129077689 \h </w:instrText>
      </w:r>
      <w:r>
        <w:fldChar w:fldCharType="separate"/>
      </w:r>
      <w:r>
        <w:t>200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Preliminary question of law, orders as to</w:t>
      </w:r>
      <w:r>
        <w:tab/>
      </w:r>
      <w:r>
        <w:fldChar w:fldCharType="begin"/>
      </w:r>
      <w:r>
        <w:instrText xml:space="preserve"> PAGEREF _Toc129077690 \h </w:instrText>
      </w:r>
      <w:r>
        <w:fldChar w:fldCharType="separate"/>
      </w:r>
      <w:r>
        <w:t>200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Preparing special case</w:t>
      </w:r>
      <w:r>
        <w:tab/>
      </w:r>
      <w:r>
        <w:fldChar w:fldCharType="begin"/>
      </w:r>
      <w:r>
        <w:instrText xml:space="preserve"> PAGEREF _Toc129077691 \h </w:instrText>
      </w:r>
      <w:r>
        <w:fldChar w:fldCharType="separate"/>
      </w:r>
      <w:r>
        <w:t>200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case affecting person under disability, leave needed to enter for argument</w:t>
      </w:r>
      <w:r>
        <w:tab/>
      </w:r>
      <w:r>
        <w:fldChar w:fldCharType="begin"/>
      </w:r>
      <w:r>
        <w:instrText xml:space="preserve"> PAGEREF _Toc129077692 \h </w:instrText>
      </w:r>
      <w:r>
        <w:fldChar w:fldCharType="separate"/>
      </w:r>
      <w:r>
        <w:t>201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special case for argument</w:t>
      </w:r>
      <w:r>
        <w:tab/>
      </w:r>
      <w:r>
        <w:fldChar w:fldCharType="begin"/>
      </w:r>
      <w:r>
        <w:instrText xml:space="preserve"> PAGEREF _Toc129077693 \h </w:instrText>
      </w:r>
      <w:r>
        <w:fldChar w:fldCharType="separate"/>
      </w:r>
      <w:r>
        <w:t>201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Agreement as to payment of money and costs</w:t>
      </w:r>
      <w:r>
        <w:tab/>
      </w:r>
      <w:r>
        <w:fldChar w:fldCharType="begin"/>
      </w:r>
      <w:r>
        <w:instrText xml:space="preserve"> PAGEREF _Toc129077694 \h </w:instrText>
      </w:r>
      <w:r>
        <w:fldChar w:fldCharType="separate"/>
      </w:r>
      <w:r>
        <w:t>201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_Toc129077695 \h </w:instrText>
      </w:r>
      <w:r>
        <w:fldChar w:fldCharType="separate"/>
      </w:r>
      <w:r>
        <w:t>202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Cases stated to Court (not Court of Appeal) by other courts etc.</w:t>
      </w:r>
      <w:r>
        <w:tab/>
      </w:r>
      <w:r>
        <w:fldChar w:fldCharType="begin"/>
      </w:r>
      <w:r>
        <w:instrText xml:space="preserve"> PAGEREF _Toc129077696 \h </w:instrText>
      </w:r>
      <w:r>
        <w:fldChar w:fldCharType="separate"/>
      </w:r>
      <w:r>
        <w:t>202</w:t>
      </w:r>
      <w:r>
        <w:fldChar w:fldCharType="end"/>
      </w:r>
    </w:p>
    <w:p>
      <w:pPr>
        <w:pStyle w:val="TOC2"/>
        <w:tabs>
          <w:tab w:val="right" w:leader="dot" w:pos="7077"/>
        </w:tabs>
        <w:rPr>
          <w:rFonts w:asciiTheme="minorHAnsi" w:eastAsiaTheme="minorEastAsia" w:hAnsiTheme="minorHAnsi" w:cstheme="minorBidi"/>
          <w:b w:val="0"/>
          <w:sz w:val="22"/>
          <w:szCs w:val="22"/>
        </w:rPr>
      </w:pPr>
      <w:r>
        <w:t>Order 32 — Place and mode of trial</w:t>
      </w:r>
    </w:p>
    <w:p>
      <w:pPr>
        <w:pStyle w:val="TOC8"/>
        <w:rPr>
          <w:rFonts w:asciiTheme="minorHAnsi" w:eastAsiaTheme="minorEastAsia" w:hAnsiTheme="minorHAnsi" w:cstheme="minorBidi"/>
          <w:szCs w:val="22"/>
        </w:rPr>
      </w:pPr>
      <w:r>
        <w:t>1</w:t>
      </w:r>
      <w:r>
        <w:rPr>
          <w:snapToGrid w:val="0"/>
        </w:rPr>
        <w:t>.</w:t>
      </w:r>
      <w:r>
        <w:rPr>
          <w:snapToGrid w:val="0"/>
        </w:rPr>
        <w:tab/>
        <w:t>Trial in circuit town</w:t>
      </w:r>
      <w:r>
        <w:tab/>
      </w:r>
      <w:r>
        <w:fldChar w:fldCharType="begin"/>
      </w:r>
      <w:r>
        <w:instrText xml:space="preserve"> PAGEREF _Toc129077698 \h </w:instrText>
      </w:r>
      <w:r>
        <w:fldChar w:fldCharType="separate"/>
      </w:r>
      <w:r>
        <w:t>204</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Application for trial by jury</w:t>
      </w:r>
      <w:r>
        <w:tab/>
      </w:r>
      <w:r>
        <w:fldChar w:fldCharType="begin"/>
      </w:r>
      <w:r>
        <w:instrText xml:space="preserve"> PAGEREF _Toc129077699 \h </w:instrText>
      </w:r>
      <w:r>
        <w:fldChar w:fldCharType="separate"/>
      </w:r>
      <w:r>
        <w:t>204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Usual mode of trial, other modes</w:t>
      </w:r>
      <w:r>
        <w:tab/>
      </w:r>
      <w:r>
        <w:fldChar w:fldCharType="begin"/>
      </w:r>
      <w:r>
        <w:instrText xml:space="preserve"> PAGEREF _Toc129077700 \h </w:instrText>
      </w:r>
      <w:r>
        <w:fldChar w:fldCharType="separate"/>
      </w:r>
      <w:r>
        <w:t>204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trial of questions or issues</w:t>
      </w:r>
      <w:r>
        <w:tab/>
      </w:r>
      <w:r>
        <w:fldChar w:fldCharType="begin"/>
      </w:r>
      <w:r>
        <w:instrText xml:space="preserve"> PAGEREF _Toc129077701 \h </w:instrText>
      </w:r>
      <w:r>
        <w:fldChar w:fldCharType="separate"/>
      </w:r>
      <w:r>
        <w:t>204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Issues may be tried differently</w:t>
      </w:r>
      <w:r>
        <w:tab/>
      </w:r>
      <w:r>
        <w:fldChar w:fldCharType="begin"/>
      </w:r>
      <w:r>
        <w:instrText xml:space="preserve"> PAGEREF _Toc129077702 \h </w:instrText>
      </w:r>
      <w:r>
        <w:fldChar w:fldCharType="separate"/>
      </w:r>
      <w:r>
        <w:t>204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 with jury to be by single judge</w:t>
      </w:r>
      <w:r>
        <w:tab/>
      </w:r>
      <w:r>
        <w:fldChar w:fldCharType="begin"/>
      </w:r>
      <w:r>
        <w:instrText xml:space="preserve"> PAGEREF _Toc129077703 \h </w:instrText>
      </w:r>
      <w:r>
        <w:fldChar w:fldCharType="separate"/>
      </w:r>
      <w:r>
        <w:t>205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action</w:t>
      </w:r>
      <w:r>
        <w:tab/>
      </w:r>
      <w:r>
        <w:fldChar w:fldCharType="begin"/>
      </w:r>
      <w:r>
        <w:instrText xml:space="preserve"> PAGEREF _Toc129077704 \h </w:instrText>
      </w:r>
      <w:r>
        <w:fldChar w:fldCharType="separate"/>
      </w:r>
      <w:r>
        <w:t>205</w:t>
      </w:r>
      <w:r>
        <w:fldChar w:fldCharType="end"/>
      </w:r>
    </w:p>
    <w:p>
      <w:pPr>
        <w:pStyle w:val="TOC8"/>
        <w:rPr>
          <w:rFonts w:asciiTheme="minorHAnsi" w:eastAsiaTheme="minorEastAsia" w:hAnsiTheme="minorHAnsi" w:cstheme="minorBidi"/>
          <w:szCs w:val="22"/>
        </w:rPr>
      </w:pPr>
      <w:r>
        <w:t>8.</w:t>
      </w:r>
      <w:r>
        <w:tab/>
        <w:t>Trial by jury, precepts for etc.</w:t>
      </w:r>
      <w:r>
        <w:tab/>
      </w:r>
      <w:r>
        <w:fldChar w:fldCharType="begin"/>
      </w:r>
      <w:r>
        <w:instrText xml:space="preserve"> PAGEREF _Toc129077705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Order 33 — Entry for trial</w:t>
      </w:r>
    </w:p>
    <w:p>
      <w:pPr>
        <w:pStyle w:val="TOC8"/>
        <w:rPr>
          <w:rFonts w:asciiTheme="minorHAnsi" w:eastAsiaTheme="minorEastAsia" w:hAnsiTheme="minorHAnsi" w:cstheme="minorBidi"/>
          <w:szCs w:val="22"/>
        </w:rPr>
      </w:pPr>
      <w:r>
        <w:t>1.</w:t>
      </w:r>
      <w:r>
        <w:tab/>
        <w:t>Entry for trial</w:t>
      </w:r>
      <w:r>
        <w:tab/>
      </w:r>
      <w:r>
        <w:fldChar w:fldCharType="begin"/>
      </w:r>
      <w:r>
        <w:instrText xml:space="preserve"> PAGEREF _Toc129077707 \h </w:instrText>
      </w:r>
      <w:r>
        <w:fldChar w:fldCharType="separate"/>
      </w:r>
      <w:r>
        <w:t>206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Consequences of failing to enter for trial as directed</w:t>
      </w:r>
      <w:r>
        <w:tab/>
      </w:r>
      <w:r>
        <w:fldChar w:fldCharType="begin"/>
      </w:r>
      <w:r>
        <w:instrText xml:space="preserve"> PAGEREF _Toc129077708 \h </w:instrText>
      </w:r>
      <w:r>
        <w:fldChar w:fldCharType="separate"/>
      </w:r>
      <w:r>
        <w:t>206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entry</w:t>
      </w:r>
      <w:r>
        <w:tab/>
      </w:r>
      <w:r>
        <w:fldChar w:fldCharType="begin"/>
      </w:r>
      <w:r>
        <w:instrText xml:space="preserve"> PAGEREF _Toc129077709 \h </w:instrText>
      </w:r>
      <w:r>
        <w:fldChar w:fldCharType="separate"/>
      </w:r>
      <w:r>
        <w:t>207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entry for trial</w:t>
      </w:r>
      <w:r>
        <w:tab/>
      </w:r>
      <w:r>
        <w:fldChar w:fldCharType="begin"/>
      </w:r>
      <w:r>
        <w:instrText xml:space="preserve"> PAGEREF _Toc129077710 \h </w:instrText>
      </w:r>
      <w:r>
        <w:fldChar w:fldCharType="separate"/>
      </w:r>
      <w:r>
        <w:t>207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Papers for judge</w:t>
      </w:r>
      <w:r>
        <w:tab/>
      </w:r>
      <w:r>
        <w:fldChar w:fldCharType="begin"/>
      </w:r>
      <w:r>
        <w:instrText xml:space="preserve"> PAGEREF _Toc129077711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Order 34 — Proceedings at trial</w:t>
      </w:r>
    </w:p>
    <w:p>
      <w:pPr>
        <w:pStyle w:val="TOC8"/>
        <w:rPr>
          <w:rFonts w:asciiTheme="minorHAnsi" w:eastAsiaTheme="minorEastAsia" w:hAnsiTheme="minorHAnsi" w:cstheme="minorBidi"/>
          <w:szCs w:val="22"/>
        </w:rPr>
      </w:pPr>
      <w:r>
        <w:t>1A.</w:t>
      </w:r>
      <w:r>
        <w:tab/>
        <w:t>Outlines for trial</w:t>
      </w:r>
      <w:r>
        <w:tab/>
      </w:r>
      <w:r>
        <w:fldChar w:fldCharType="begin"/>
      </w:r>
      <w:r>
        <w:instrText xml:space="preserve"> PAGEREF _Toc129077713 \h </w:instrText>
      </w:r>
      <w:r>
        <w:fldChar w:fldCharType="separate"/>
      </w:r>
      <w:r>
        <w:t>209</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Absence of both parties at trial</w:t>
      </w:r>
      <w:r>
        <w:tab/>
      </w:r>
      <w:r>
        <w:fldChar w:fldCharType="begin"/>
      </w:r>
      <w:r>
        <w:instrText xml:space="preserve"> PAGEREF _Toc129077714 \h </w:instrText>
      </w:r>
      <w:r>
        <w:fldChar w:fldCharType="separate"/>
      </w:r>
      <w:r>
        <w:t>209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Absence of one party at trial</w:t>
      </w:r>
      <w:r>
        <w:tab/>
      </w:r>
      <w:r>
        <w:fldChar w:fldCharType="begin"/>
      </w:r>
      <w:r>
        <w:instrText xml:space="preserve"> PAGEREF _Toc129077715 \h </w:instrText>
      </w:r>
      <w:r>
        <w:fldChar w:fldCharType="separate"/>
      </w:r>
      <w:r>
        <w:t>209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Setting aside judgment given in absence of party</w:t>
      </w:r>
      <w:r>
        <w:tab/>
      </w:r>
      <w:r>
        <w:fldChar w:fldCharType="begin"/>
      </w:r>
      <w:r>
        <w:instrText xml:space="preserve"> PAGEREF _Toc129077716 \h </w:instrText>
      </w:r>
      <w:r>
        <w:fldChar w:fldCharType="separate"/>
      </w:r>
      <w:r>
        <w:t>209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Adjournment of trial</w:t>
      </w:r>
      <w:r>
        <w:tab/>
      </w:r>
      <w:r>
        <w:fldChar w:fldCharType="begin"/>
      </w:r>
      <w:r>
        <w:instrText xml:space="preserve"> PAGEREF _Toc129077717 \h </w:instrText>
      </w:r>
      <w:r>
        <w:fldChar w:fldCharType="separate"/>
      </w:r>
      <w:r>
        <w:t>210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Conduct of trial</w:t>
      </w:r>
      <w:r>
        <w:tab/>
      </w:r>
      <w:r>
        <w:fldChar w:fldCharType="begin"/>
      </w:r>
      <w:r>
        <w:instrText xml:space="preserve"> PAGEREF _Toc129077718 \h </w:instrText>
      </w:r>
      <w:r>
        <w:fldChar w:fldCharType="separate"/>
      </w:r>
      <w:r>
        <w:t>210</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Time etc. limits at trial</w:t>
      </w:r>
      <w:r>
        <w:tab/>
      </w:r>
      <w:r>
        <w:fldChar w:fldCharType="begin"/>
      </w:r>
      <w:r>
        <w:instrText xml:space="preserve"> PAGEREF _Toc129077719 \h </w:instrText>
      </w:r>
      <w:r>
        <w:fldChar w:fldCharType="separate"/>
      </w:r>
      <w:r>
        <w:t>211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Evidence in mitigation of damages for defamation</w:t>
      </w:r>
      <w:r>
        <w:tab/>
      </w:r>
      <w:r>
        <w:fldChar w:fldCharType="begin"/>
      </w:r>
      <w:r>
        <w:instrText xml:space="preserve"> PAGEREF _Toc129077720 \h </w:instrText>
      </w:r>
      <w:r>
        <w:fldChar w:fldCharType="separate"/>
      </w:r>
      <w:r>
        <w:t>211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Inspection by judge or jury</w:t>
      </w:r>
      <w:r>
        <w:tab/>
      </w:r>
      <w:r>
        <w:fldChar w:fldCharType="begin"/>
      </w:r>
      <w:r>
        <w:instrText xml:space="preserve"> PAGEREF _Toc129077721 \h </w:instrText>
      </w:r>
      <w:r>
        <w:fldChar w:fldCharType="separate"/>
      </w:r>
      <w:r>
        <w:t>212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Judgment at or after trial</w:t>
      </w:r>
      <w:r>
        <w:tab/>
      </w:r>
      <w:r>
        <w:fldChar w:fldCharType="begin"/>
      </w:r>
      <w:r>
        <w:instrText xml:space="preserve"> PAGEREF _Toc129077722 \h </w:instrText>
      </w:r>
      <w:r>
        <w:fldChar w:fldCharType="separate"/>
      </w:r>
      <w:r>
        <w:t>212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Record of proceedings</w:t>
      </w:r>
      <w:r>
        <w:tab/>
      </w:r>
      <w:r>
        <w:fldChar w:fldCharType="begin"/>
      </w:r>
      <w:r>
        <w:instrText xml:space="preserve"> PAGEREF _Toc129077723 \h </w:instrText>
      </w:r>
      <w:r>
        <w:fldChar w:fldCharType="separate"/>
      </w:r>
      <w:r>
        <w:t>212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Where time occupied by trial excessive</w:t>
      </w:r>
      <w:r>
        <w:tab/>
      </w:r>
      <w:r>
        <w:fldChar w:fldCharType="begin"/>
      </w:r>
      <w:r>
        <w:instrText xml:space="preserve"> PAGEREF _Toc129077724 \h </w:instrText>
      </w:r>
      <w:r>
        <w:fldChar w:fldCharType="separate"/>
      </w:r>
      <w:r>
        <w:t>213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Entry of findings of fact on trial</w:t>
      </w:r>
      <w:r>
        <w:tab/>
      </w:r>
      <w:r>
        <w:fldChar w:fldCharType="begin"/>
      </w:r>
      <w:r>
        <w:instrText xml:space="preserve"> PAGEREF _Toc129077725 \h </w:instrText>
      </w:r>
      <w:r>
        <w:fldChar w:fldCharType="separate"/>
      </w:r>
      <w:r>
        <w:t>213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Certificate for entry of judgment</w:t>
      </w:r>
      <w:r>
        <w:tab/>
      </w:r>
      <w:r>
        <w:fldChar w:fldCharType="begin"/>
      </w:r>
      <w:r>
        <w:instrText xml:space="preserve"> PAGEREF _Toc129077726 \h </w:instrText>
      </w:r>
      <w:r>
        <w:fldChar w:fldCharType="separate"/>
      </w:r>
      <w:r>
        <w:t>213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Exhibits</w:t>
      </w:r>
      <w:r>
        <w:tab/>
      </w:r>
      <w:r>
        <w:fldChar w:fldCharType="begin"/>
      </w:r>
      <w:r>
        <w:instrText xml:space="preserve"> PAGEREF _Toc129077727 \h </w:instrText>
      </w:r>
      <w:r>
        <w:fldChar w:fldCharType="separate"/>
      </w:r>
      <w:r>
        <w:t>213</w:t>
      </w:r>
      <w:r>
        <w:fldChar w:fldCharType="end"/>
      </w:r>
    </w:p>
    <w:p>
      <w:pPr>
        <w:pStyle w:val="TOC8"/>
        <w:rPr>
          <w:rFonts w:asciiTheme="minorHAnsi" w:eastAsiaTheme="minorEastAsia" w:hAnsiTheme="minorHAnsi" w:cstheme="minorBidi"/>
          <w:szCs w:val="22"/>
        </w:rPr>
      </w:pPr>
      <w:r>
        <w:t>14.</w:t>
      </w:r>
      <w:r>
        <w:tab/>
        <w:t>Return of exhibits</w:t>
      </w:r>
      <w:r>
        <w:tab/>
      </w:r>
      <w:r>
        <w:fldChar w:fldCharType="begin"/>
      </w:r>
      <w:r>
        <w:instrText xml:space="preserve"> PAGEREF _Toc129077728 \h </w:instrText>
      </w:r>
      <w:r>
        <w:fldChar w:fldCharType="separate"/>
      </w:r>
      <w:r>
        <w:t>214</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Return of document etc. to non-party who produced it under subpoena</w:t>
      </w:r>
      <w:r>
        <w:tab/>
      </w:r>
      <w:r>
        <w:fldChar w:fldCharType="begin"/>
      </w:r>
      <w:r>
        <w:instrText xml:space="preserve"> PAGEREF _Toc129077729 \h </w:instrText>
      </w:r>
      <w:r>
        <w:fldChar w:fldCharType="separate"/>
      </w:r>
      <w:r>
        <w:t>215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Death of party before judgment is given</w:t>
      </w:r>
      <w:r>
        <w:tab/>
      </w:r>
      <w:r>
        <w:fldChar w:fldCharType="begin"/>
      </w:r>
      <w:r>
        <w:instrText xml:space="preserve"> PAGEREF _Toc129077730 \h </w:instrText>
      </w:r>
      <w:r>
        <w:fldChar w:fldCharType="separate"/>
      </w:r>
      <w:r>
        <w:t>215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Impounded documents</w:t>
      </w:r>
      <w:r>
        <w:tab/>
      </w:r>
      <w:r>
        <w:fldChar w:fldCharType="begin"/>
      </w:r>
      <w:r>
        <w:instrText xml:space="preserve"> PAGEREF _Toc129077731 \h </w:instrText>
      </w:r>
      <w:r>
        <w:fldChar w:fldCharType="separate"/>
      </w:r>
      <w:r>
        <w:t>216</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Assessment of damages by master</w:t>
      </w:r>
      <w:r>
        <w:tab/>
      </w:r>
      <w:r>
        <w:fldChar w:fldCharType="begin"/>
      </w:r>
      <w:r>
        <w:instrText xml:space="preserve"> PAGEREF _Toc129077732 \h </w:instrText>
      </w:r>
      <w:r>
        <w:fldChar w:fldCharType="separate"/>
      </w:r>
      <w:r>
        <w:t>216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Damages to time of assessment</w:t>
      </w:r>
      <w:r>
        <w:tab/>
      </w:r>
      <w:r>
        <w:fldChar w:fldCharType="begin"/>
      </w:r>
      <w:r>
        <w:instrText xml:space="preserve"> PAGEREF _Toc129077733 \h </w:instrText>
      </w:r>
      <w:r>
        <w:fldChar w:fldCharType="separate"/>
      </w:r>
      <w:r>
        <w:t>216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Writ of inquiry not to be used</w:t>
      </w:r>
      <w:r>
        <w:tab/>
      </w:r>
      <w:r>
        <w:fldChar w:fldCharType="begin"/>
      </w:r>
      <w:r>
        <w:instrText xml:space="preserve"> PAGEREF _Toc129077734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35 — Assessors and referees</w:t>
      </w:r>
    </w:p>
    <w:p>
      <w:pPr>
        <w:pStyle w:val="TOC8"/>
        <w:rPr>
          <w:rFonts w:asciiTheme="minorHAnsi" w:eastAsiaTheme="minorEastAsia" w:hAnsiTheme="minorHAnsi" w:cstheme="minorBidi"/>
          <w:szCs w:val="22"/>
        </w:rPr>
      </w:pPr>
      <w:r>
        <w:t>1</w:t>
      </w:r>
      <w:r>
        <w:rPr>
          <w:snapToGrid w:val="0"/>
        </w:rPr>
        <w:t>.</w:t>
      </w:r>
      <w:r>
        <w:rPr>
          <w:snapToGrid w:val="0"/>
        </w:rPr>
        <w:tab/>
        <w:t>Trial with assessors</w:t>
      </w:r>
      <w:r>
        <w:tab/>
      </w:r>
      <w:r>
        <w:fldChar w:fldCharType="begin"/>
      </w:r>
      <w:r>
        <w:instrText xml:space="preserve"> PAGEREF _Toc129077736 \h </w:instrText>
      </w:r>
      <w:r>
        <w:fldChar w:fldCharType="separate"/>
      </w:r>
      <w:r>
        <w:t>218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Trial before referee</w:t>
      </w:r>
      <w:r>
        <w:tab/>
      </w:r>
      <w:r>
        <w:fldChar w:fldCharType="begin"/>
      </w:r>
      <w:r>
        <w:instrText xml:space="preserve"> PAGEREF _Toc129077737 \h </w:instrText>
      </w:r>
      <w:r>
        <w:fldChar w:fldCharType="separate"/>
      </w:r>
      <w:r>
        <w:t>218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before referee</w:t>
      </w:r>
      <w:r>
        <w:tab/>
      </w:r>
      <w:r>
        <w:fldChar w:fldCharType="begin"/>
      </w:r>
      <w:r>
        <w:instrText xml:space="preserve"> PAGEREF _Toc129077738 \h </w:instrText>
      </w:r>
      <w:r>
        <w:fldChar w:fldCharType="separate"/>
      </w:r>
      <w:r>
        <w:t>218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Authority of referee</w:t>
      </w:r>
      <w:r>
        <w:tab/>
      </w:r>
      <w:r>
        <w:fldChar w:fldCharType="begin"/>
      </w:r>
      <w:r>
        <w:instrText xml:space="preserve"> PAGEREF _Toc129077739 \h </w:instrText>
      </w:r>
      <w:r>
        <w:fldChar w:fldCharType="separate"/>
      </w:r>
      <w:r>
        <w:t>218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Referee cannot order imprisonment</w:t>
      </w:r>
      <w:r>
        <w:tab/>
      </w:r>
      <w:r>
        <w:fldChar w:fldCharType="begin"/>
      </w:r>
      <w:r>
        <w:instrText xml:space="preserve"> PAGEREF _Toc129077740 \h </w:instrText>
      </w:r>
      <w:r>
        <w:fldChar w:fldCharType="separate"/>
      </w:r>
      <w:r>
        <w:t>218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Referee may submit question to Court</w:t>
      </w:r>
      <w:r>
        <w:tab/>
      </w:r>
      <w:r>
        <w:fldChar w:fldCharType="begin"/>
      </w:r>
      <w:r>
        <w:instrText xml:space="preserve"> PAGEREF _Toc129077741 \h </w:instrText>
      </w:r>
      <w:r>
        <w:fldChar w:fldCharType="separate"/>
      </w:r>
      <w:r>
        <w:t>219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Notice of referee’s report</w:t>
      </w:r>
      <w:r>
        <w:tab/>
      </w:r>
      <w:r>
        <w:fldChar w:fldCharType="begin"/>
      </w:r>
      <w:r>
        <w:instrText xml:space="preserve"> PAGEREF _Toc129077742 \h </w:instrText>
      </w:r>
      <w:r>
        <w:fldChar w:fldCharType="separate"/>
      </w:r>
      <w:r>
        <w:t>219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Adoption etc. of referee’s report in adjourned case</w:t>
      </w:r>
      <w:r>
        <w:tab/>
      </w:r>
      <w:r>
        <w:fldChar w:fldCharType="begin"/>
      </w:r>
      <w:r>
        <w:instrText xml:space="preserve"> PAGEREF _Toc129077743 \h </w:instrText>
      </w:r>
      <w:r>
        <w:fldChar w:fldCharType="separate"/>
      </w:r>
      <w:r>
        <w:t>219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Adoption etc. of referee’s report where case not adjourned</w:t>
      </w:r>
      <w:r>
        <w:tab/>
      </w:r>
      <w:r>
        <w:fldChar w:fldCharType="begin"/>
      </w:r>
      <w:r>
        <w:instrText xml:space="preserve"> PAGEREF _Toc129077744 \h </w:instrText>
      </w:r>
      <w:r>
        <w:fldChar w:fldCharType="separate"/>
      </w:r>
      <w:r>
        <w:t>219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Costs</w:t>
      </w:r>
      <w:r>
        <w:tab/>
      </w:r>
      <w:r>
        <w:fldChar w:fldCharType="begin"/>
      </w:r>
      <w:r>
        <w:instrText xml:space="preserve"> PAGEREF _Toc129077745 \h </w:instrText>
      </w:r>
      <w:r>
        <w:fldChar w:fldCharType="separate"/>
      </w:r>
      <w:r>
        <w:t>220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Application of this Order to other references</w:t>
      </w:r>
      <w:r>
        <w:tab/>
      </w:r>
      <w:r>
        <w:fldChar w:fldCharType="begin"/>
      </w:r>
      <w:r>
        <w:instrText xml:space="preserve"> PAGEREF _Toc129077746 \h </w:instrText>
      </w:r>
      <w:r>
        <w:fldChar w:fldCharType="separate"/>
      </w:r>
      <w:r>
        <w:t>220</w:t>
      </w:r>
      <w:r>
        <w:fldChar w:fldCharType="end"/>
      </w:r>
    </w:p>
    <w:p>
      <w:pPr>
        <w:pStyle w:val="TOC2"/>
        <w:tabs>
          <w:tab w:val="right" w:leader="dot" w:pos="7077"/>
        </w:tabs>
        <w:rPr>
          <w:rFonts w:asciiTheme="minorHAnsi" w:eastAsiaTheme="minorEastAsia" w:hAnsiTheme="minorHAnsi" w:cstheme="minorBidi"/>
          <w:b w:val="0"/>
          <w:sz w:val="22"/>
          <w:szCs w:val="22"/>
        </w:rPr>
      </w:pPr>
      <w:r>
        <w:t>Order 36 — Evidence: general</w:t>
      </w:r>
    </w:p>
    <w:p>
      <w:pPr>
        <w:pStyle w:val="TOC8"/>
        <w:rPr>
          <w:rFonts w:asciiTheme="minorHAnsi" w:eastAsiaTheme="minorEastAsia" w:hAnsiTheme="minorHAnsi" w:cstheme="minorBidi"/>
          <w:szCs w:val="22"/>
        </w:rPr>
      </w:pPr>
      <w:r>
        <w:t>1</w:t>
      </w:r>
      <w:r>
        <w:rPr>
          <w:snapToGrid w:val="0"/>
        </w:rPr>
        <w:t>.</w:t>
      </w:r>
      <w:r>
        <w:rPr>
          <w:snapToGrid w:val="0"/>
        </w:rPr>
        <w:tab/>
        <w:t>Facts to be proved usually by oral evidence in open court</w:t>
      </w:r>
      <w:r>
        <w:tab/>
      </w:r>
      <w:r>
        <w:fldChar w:fldCharType="begin"/>
      </w:r>
      <w:r>
        <w:instrText xml:space="preserve"> PAGEREF _Toc129077748 \h </w:instrText>
      </w:r>
      <w:r>
        <w:fldChar w:fldCharType="separate"/>
      </w:r>
      <w:r>
        <w:t>221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Evidence by affidavit</w:t>
      </w:r>
      <w:r>
        <w:tab/>
      </w:r>
      <w:r>
        <w:fldChar w:fldCharType="begin"/>
      </w:r>
      <w:r>
        <w:instrText xml:space="preserve"> PAGEREF _Toc129077749 \h </w:instrText>
      </w:r>
      <w:r>
        <w:fldChar w:fldCharType="separate"/>
      </w:r>
      <w:r>
        <w:t>221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_Toc129077750 \h </w:instrText>
      </w:r>
      <w:r>
        <w:fldChar w:fldCharType="separate"/>
      </w:r>
      <w:r>
        <w:t>221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Reception of plans etc. in evidence</w:t>
      </w:r>
      <w:r>
        <w:tab/>
      </w:r>
      <w:r>
        <w:fldChar w:fldCharType="begin"/>
      </w:r>
      <w:r>
        <w:instrText xml:space="preserve"> PAGEREF _Toc129077751 \h </w:instrText>
      </w:r>
      <w:r>
        <w:fldChar w:fldCharType="separate"/>
      </w:r>
      <w:r>
        <w:t>222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r. 2 or 4 may be revoked or varied</w:t>
      </w:r>
      <w:r>
        <w:tab/>
      </w:r>
      <w:r>
        <w:fldChar w:fldCharType="begin"/>
      </w:r>
      <w:r>
        <w:instrText xml:space="preserve"> PAGEREF _Toc129077752 \h </w:instrText>
      </w:r>
      <w:r>
        <w:fldChar w:fldCharType="separate"/>
      </w:r>
      <w:r>
        <w:t>222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Trials of issues etc., evidence in</w:t>
      </w:r>
      <w:r>
        <w:tab/>
      </w:r>
      <w:r>
        <w:fldChar w:fldCharType="begin"/>
      </w:r>
      <w:r>
        <w:instrText xml:space="preserve"> PAGEREF _Toc129077753 \h </w:instrText>
      </w:r>
      <w:r>
        <w:fldChar w:fldCharType="separate"/>
      </w:r>
      <w:r>
        <w:t>222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Depositions as evidence</w:t>
      </w:r>
      <w:r>
        <w:tab/>
      </w:r>
      <w:r>
        <w:fldChar w:fldCharType="begin"/>
      </w:r>
      <w:r>
        <w:instrText xml:space="preserve"> PAGEREF _Toc129077754 \h </w:instrText>
      </w:r>
      <w:r>
        <w:fldChar w:fldCharType="separate"/>
      </w:r>
      <w:r>
        <w:t>222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Court documents admissible in evidence</w:t>
      </w:r>
      <w:r>
        <w:tab/>
      </w:r>
      <w:r>
        <w:fldChar w:fldCharType="begin"/>
      </w:r>
      <w:r>
        <w:instrText xml:space="preserve"> PAGEREF _Toc129077755 \h </w:instrText>
      </w:r>
      <w:r>
        <w:fldChar w:fldCharType="separate"/>
      </w:r>
      <w:r>
        <w:t>223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Evidence at trial may be used in subsequent proceedings</w:t>
      </w:r>
      <w:r>
        <w:tab/>
      </w:r>
      <w:r>
        <w:fldChar w:fldCharType="begin"/>
      </w:r>
      <w:r>
        <w:instrText xml:space="preserve"> PAGEREF _Toc129077756 \h </w:instrText>
      </w:r>
      <w:r>
        <w:fldChar w:fldCharType="separate"/>
      </w:r>
      <w:r>
        <w:t>223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Evidence in another cause</w:t>
      </w:r>
      <w:r>
        <w:tab/>
      </w:r>
      <w:r>
        <w:fldChar w:fldCharType="begin"/>
      </w:r>
      <w:r>
        <w:instrText xml:space="preserve"> PAGEREF _Toc129077757 \h </w:instrText>
      </w:r>
      <w:r>
        <w:fldChar w:fldCharType="separate"/>
      </w:r>
      <w:r>
        <w:t>223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Production of documents</w:t>
      </w:r>
      <w:r>
        <w:tab/>
      </w:r>
      <w:r>
        <w:fldChar w:fldCharType="begin"/>
      </w:r>
      <w:r>
        <w:instrText xml:space="preserve"> PAGEREF _Toc129077758 \h </w:instrText>
      </w:r>
      <w:r>
        <w:fldChar w:fldCharType="separate"/>
      </w:r>
      <w:r>
        <w:t>224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Interest for purposes of Act s. 32</w:t>
      </w:r>
      <w:r>
        <w:tab/>
      </w:r>
      <w:r>
        <w:fldChar w:fldCharType="begin"/>
      </w:r>
      <w:r>
        <w:instrText xml:space="preserve"> PAGEREF _Toc129077759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Order 36A — Expert evidence</w:t>
      </w:r>
    </w:p>
    <w:p>
      <w:pPr>
        <w:pStyle w:val="TOC8"/>
        <w:rPr>
          <w:rFonts w:asciiTheme="minorHAnsi" w:eastAsiaTheme="minorEastAsia" w:hAnsiTheme="minorHAnsi" w:cstheme="minorBidi"/>
          <w:szCs w:val="22"/>
        </w:rPr>
      </w:pPr>
      <w:r>
        <w:t>1.</w:t>
      </w:r>
      <w:r>
        <w:tab/>
        <w:t>Expert evidence</w:t>
      </w:r>
      <w:r>
        <w:tab/>
      </w:r>
      <w:r>
        <w:fldChar w:fldCharType="begin"/>
      </w:r>
      <w:r>
        <w:instrText xml:space="preserve"> PAGEREF _Toc129077761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Order 36B — Subpoenas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_Toc129077763 \h </w:instrText>
      </w:r>
      <w:r>
        <w:fldChar w:fldCharType="separate"/>
      </w:r>
      <w:r>
        <w:t>226</w:t>
      </w:r>
      <w:r>
        <w:fldChar w:fldCharType="end"/>
      </w:r>
    </w:p>
    <w:p>
      <w:pPr>
        <w:pStyle w:val="TOC8"/>
        <w:rPr>
          <w:rFonts w:asciiTheme="minorHAnsi" w:eastAsiaTheme="minorEastAsia" w:hAnsiTheme="minorHAnsi" w:cstheme="minorBidi"/>
          <w:szCs w:val="22"/>
        </w:rPr>
      </w:pPr>
      <w:r>
        <w:t>2.</w:t>
      </w:r>
      <w:r>
        <w:tab/>
        <w:t>Issuing subpoenas</w:t>
      </w:r>
      <w:r>
        <w:tab/>
      </w:r>
      <w:r>
        <w:fldChar w:fldCharType="begin"/>
      </w:r>
      <w:r>
        <w:instrText xml:space="preserve"> PAGEREF _Toc129077764 \h </w:instrText>
      </w:r>
      <w:r>
        <w:fldChar w:fldCharType="separate"/>
      </w:r>
      <w:r>
        <w:t>227</w:t>
      </w:r>
      <w:r>
        <w:fldChar w:fldCharType="end"/>
      </w:r>
    </w:p>
    <w:p>
      <w:pPr>
        <w:pStyle w:val="TOC8"/>
        <w:rPr>
          <w:rFonts w:asciiTheme="minorHAnsi" w:eastAsiaTheme="minorEastAsia" w:hAnsiTheme="minorHAnsi" w:cstheme="minorBidi"/>
          <w:szCs w:val="22"/>
        </w:rPr>
      </w:pPr>
      <w:r>
        <w:t>3.</w:t>
      </w:r>
      <w:r>
        <w:tab/>
        <w:t>Form of subpoena</w:t>
      </w:r>
      <w:r>
        <w:tab/>
      </w:r>
      <w:r>
        <w:fldChar w:fldCharType="begin"/>
      </w:r>
      <w:r>
        <w:instrText xml:space="preserve"> PAGEREF _Toc129077765 \h </w:instrText>
      </w:r>
      <w:r>
        <w:fldChar w:fldCharType="separate"/>
      </w:r>
      <w:r>
        <w:t>229</w:t>
      </w:r>
      <w:r>
        <w:fldChar w:fldCharType="end"/>
      </w:r>
    </w:p>
    <w:p>
      <w:pPr>
        <w:pStyle w:val="TOC8"/>
        <w:rPr>
          <w:rFonts w:asciiTheme="minorHAnsi" w:eastAsiaTheme="minorEastAsia" w:hAnsiTheme="minorHAnsi" w:cstheme="minorBidi"/>
          <w:szCs w:val="22"/>
        </w:rPr>
      </w:pPr>
      <w:r>
        <w:t>4.</w:t>
      </w:r>
      <w:r>
        <w:tab/>
        <w:t>Service of subpoenas</w:t>
      </w:r>
      <w:r>
        <w:tab/>
      </w:r>
      <w:r>
        <w:fldChar w:fldCharType="begin"/>
      </w:r>
      <w:r>
        <w:instrText xml:space="preserve"> PAGEREF _Toc129077766 \h </w:instrText>
      </w:r>
      <w:r>
        <w:fldChar w:fldCharType="separate"/>
      </w:r>
      <w:r>
        <w:t>231</w:t>
      </w:r>
      <w:r>
        <w:fldChar w:fldCharType="end"/>
      </w:r>
    </w:p>
    <w:p>
      <w:pPr>
        <w:pStyle w:val="TOC8"/>
        <w:rPr>
          <w:rFonts w:asciiTheme="minorHAnsi" w:eastAsiaTheme="minorEastAsia" w:hAnsiTheme="minorHAnsi" w:cstheme="minorBidi"/>
          <w:szCs w:val="22"/>
        </w:rPr>
      </w:pPr>
      <w:r>
        <w:lastRenderedPageBreak/>
        <w:t>5.</w:t>
      </w:r>
      <w:r>
        <w:tab/>
        <w:t>Party may request notice that subpoena to produce has been obeyed</w:t>
      </w:r>
      <w:r>
        <w:tab/>
      </w:r>
      <w:r>
        <w:fldChar w:fldCharType="begin"/>
      </w:r>
      <w:r>
        <w:instrText xml:space="preserve"> PAGEREF _Toc129077767 \h </w:instrText>
      </w:r>
      <w:r>
        <w:fldChar w:fldCharType="separate"/>
      </w:r>
      <w:r>
        <w:t>231</w:t>
      </w:r>
      <w:r>
        <w:fldChar w:fldCharType="end"/>
      </w:r>
    </w:p>
    <w:p>
      <w:pPr>
        <w:pStyle w:val="TOC8"/>
        <w:rPr>
          <w:rFonts w:asciiTheme="minorHAnsi" w:eastAsiaTheme="minorEastAsia" w:hAnsiTheme="minorHAnsi" w:cstheme="minorBidi"/>
          <w:szCs w:val="22"/>
        </w:rPr>
      </w:pPr>
      <w:r>
        <w:t>5A.</w:t>
      </w:r>
      <w:r>
        <w:tab/>
        <w:t>Altering date for attendance or production</w:t>
      </w:r>
      <w:r>
        <w:tab/>
      </w:r>
      <w:r>
        <w:fldChar w:fldCharType="begin"/>
      </w:r>
      <w:r>
        <w:instrText xml:space="preserve"> PAGEREF _Toc129077768 \h </w:instrText>
      </w:r>
      <w:r>
        <w:fldChar w:fldCharType="separate"/>
      </w:r>
      <w:r>
        <w:t>231</w:t>
      </w:r>
      <w:r>
        <w:fldChar w:fldCharType="end"/>
      </w:r>
    </w:p>
    <w:p>
      <w:pPr>
        <w:pStyle w:val="TOC8"/>
        <w:rPr>
          <w:rFonts w:asciiTheme="minorHAnsi" w:eastAsiaTheme="minorEastAsia" w:hAnsiTheme="minorHAnsi" w:cstheme="minorBidi"/>
          <w:szCs w:val="22"/>
        </w:rPr>
      </w:pPr>
      <w:r>
        <w:t>6.</w:t>
      </w:r>
      <w:r>
        <w:tab/>
        <w:t>Compliance with subpoena</w:t>
      </w:r>
      <w:r>
        <w:tab/>
      </w:r>
      <w:r>
        <w:fldChar w:fldCharType="begin"/>
      </w:r>
      <w:r>
        <w:instrText xml:space="preserve"> PAGEREF _Toc129077769 \h </w:instrText>
      </w:r>
      <w:r>
        <w:fldChar w:fldCharType="separate"/>
      </w:r>
      <w:r>
        <w:t>232</w:t>
      </w:r>
      <w:r>
        <w:fldChar w:fldCharType="end"/>
      </w:r>
    </w:p>
    <w:p>
      <w:pPr>
        <w:pStyle w:val="TOC8"/>
        <w:rPr>
          <w:rFonts w:asciiTheme="minorHAnsi" w:eastAsiaTheme="minorEastAsia" w:hAnsiTheme="minorHAnsi" w:cstheme="minorBidi"/>
          <w:szCs w:val="22"/>
        </w:rPr>
      </w:pPr>
      <w:r>
        <w:t>7.</w:t>
      </w:r>
      <w:r>
        <w:tab/>
        <w:t>Production otherwise than at a trial</w:t>
      </w:r>
      <w:r>
        <w:tab/>
      </w:r>
      <w:r>
        <w:fldChar w:fldCharType="begin"/>
      </w:r>
      <w:r>
        <w:instrText xml:space="preserve"> PAGEREF _Toc129077770 \h </w:instrText>
      </w:r>
      <w:r>
        <w:fldChar w:fldCharType="separate"/>
      </w:r>
      <w:r>
        <w:t>234</w:t>
      </w:r>
      <w:r>
        <w:fldChar w:fldCharType="end"/>
      </w:r>
    </w:p>
    <w:p>
      <w:pPr>
        <w:pStyle w:val="TOC8"/>
        <w:rPr>
          <w:rFonts w:asciiTheme="minorHAnsi" w:eastAsiaTheme="minorEastAsia" w:hAnsiTheme="minorHAnsi" w:cstheme="minorBidi"/>
          <w:szCs w:val="22"/>
        </w:rPr>
      </w:pPr>
      <w:r>
        <w:t>8.</w:t>
      </w:r>
      <w:r>
        <w:tab/>
        <w:t>Setting aside subpoena to attend to give evidence</w:t>
      </w:r>
      <w:r>
        <w:tab/>
      </w:r>
      <w:r>
        <w:fldChar w:fldCharType="begin"/>
      </w:r>
      <w:r>
        <w:instrText xml:space="preserve"> PAGEREF _Toc129077771 \h </w:instrText>
      </w:r>
      <w:r>
        <w:fldChar w:fldCharType="separate"/>
      </w:r>
      <w:r>
        <w:t>234</w:t>
      </w:r>
      <w:r>
        <w:fldChar w:fldCharType="end"/>
      </w:r>
    </w:p>
    <w:p>
      <w:pPr>
        <w:pStyle w:val="TOC8"/>
        <w:rPr>
          <w:rFonts w:asciiTheme="minorHAnsi" w:eastAsiaTheme="minorEastAsia" w:hAnsiTheme="minorHAnsi" w:cstheme="minorBidi"/>
          <w:szCs w:val="22"/>
        </w:rPr>
      </w:pPr>
      <w:r>
        <w:t>8A.</w:t>
      </w:r>
      <w:r>
        <w:tab/>
        <w:t>Setting aside subpoena to produce and directions as to things to be produced</w:t>
      </w:r>
      <w:r>
        <w:tab/>
      </w:r>
      <w:r>
        <w:fldChar w:fldCharType="begin"/>
      </w:r>
      <w:r>
        <w:instrText xml:space="preserve"> PAGEREF _Toc129077772 \h </w:instrText>
      </w:r>
      <w:r>
        <w:fldChar w:fldCharType="separate"/>
      </w:r>
      <w:r>
        <w:t>235</w:t>
      </w:r>
      <w:r>
        <w:fldChar w:fldCharType="end"/>
      </w:r>
    </w:p>
    <w:p>
      <w:pPr>
        <w:pStyle w:val="TOC8"/>
        <w:rPr>
          <w:rFonts w:asciiTheme="minorHAnsi" w:eastAsiaTheme="minorEastAsia" w:hAnsiTheme="minorHAnsi" w:cstheme="minorBidi"/>
          <w:szCs w:val="22"/>
        </w:rPr>
      </w:pPr>
      <w:r>
        <w:t>8B.</w:t>
      </w:r>
      <w:r>
        <w:tab/>
        <w:t>How requests under r. 8 and 8A to be made</w:t>
      </w:r>
      <w:r>
        <w:tab/>
      </w:r>
      <w:r>
        <w:fldChar w:fldCharType="begin"/>
      </w:r>
      <w:r>
        <w:instrText xml:space="preserve"> PAGEREF _Toc129077773 \h </w:instrText>
      </w:r>
      <w:r>
        <w:fldChar w:fldCharType="separate"/>
      </w:r>
      <w:r>
        <w:t>235</w:t>
      </w:r>
      <w:r>
        <w:fldChar w:fldCharType="end"/>
      </w:r>
    </w:p>
    <w:p>
      <w:pPr>
        <w:pStyle w:val="TOC8"/>
        <w:rPr>
          <w:rFonts w:asciiTheme="minorHAnsi" w:eastAsiaTheme="minorEastAsia" w:hAnsiTheme="minorHAnsi" w:cstheme="minorBidi"/>
          <w:szCs w:val="22"/>
        </w:rPr>
      </w:pPr>
      <w:r>
        <w:t>9.</w:t>
      </w:r>
      <w:r>
        <w:tab/>
        <w:t>Inspecting and dealing with documents and things produced otherwise than at a trial</w:t>
      </w:r>
      <w:r>
        <w:tab/>
      </w:r>
      <w:r>
        <w:fldChar w:fldCharType="begin"/>
      </w:r>
      <w:r>
        <w:instrText xml:space="preserve"> PAGEREF _Toc129077774 \h </w:instrText>
      </w:r>
      <w:r>
        <w:fldChar w:fldCharType="separate"/>
      </w:r>
      <w:r>
        <w:t>236</w:t>
      </w:r>
      <w:r>
        <w:fldChar w:fldCharType="end"/>
      </w:r>
    </w:p>
    <w:p>
      <w:pPr>
        <w:pStyle w:val="TOC8"/>
        <w:rPr>
          <w:rFonts w:asciiTheme="minorHAnsi" w:eastAsiaTheme="minorEastAsia" w:hAnsiTheme="minorHAnsi" w:cstheme="minorBidi"/>
          <w:szCs w:val="22"/>
        </w:rPr>
      </w:pPr>
      <w:r>
        <w:t>10.</w:t>
      </w:r>
      <w:r>
        <w:tab/>
        <w:t>Disposal of documents and things produced</w:t>
      </w:r>
      <w:r>
        <w:tab/>
      </w:r>
      <w:r>
        <w:fldChar w:fldCharType="begin"/>
      </w:r>
      <w:r>
        <w:instrText xml:space="preserve"> PAGEREF _Toc129077775 \h </w:instrText>
      </w:r>
      <w:r>
        <w:fldChar w:fldCharType="separate"/>
      </w:r>
      <w:r>
        <w:t>237</w:t>
      </w:r>
      <w:r>
        <w:fldChar w:fldCharType="end"/>
      </w:r>
    </w:p>
    <w:p>
      <w:pPr>
        <w:pStyle w:val="TOC8"/>
        <w:rPr>
          <w:rFonts w:asciiTheme="minorHAnsi" w:eastAsiaTheme="minorEastAsia" w:hAnsiTheme="minorHAnsi" w:cstheme="minorBidi"/>
          <w:szCs w:val="22"/>
        </w:rPr>
      </w:pPr>
      <w:r>
        <w:t>11.</w:t>
      </w:r>
      <w:r>
        <w:tab/>
        <w:t>Costs and expenses of compliance</w:t>
      </w:r>
      <w:r>
        <w:tab/>
      </w:r>
      <w:r>
        <w:fldChar w:fldCharType="begin"/>
      </w:r>
      <w:r>
        <w:instrText xml:space="preserve"> PAGEREF _Toc129077776 \h </w:instrText>
      </w:r>
      <w:r>
        <w:fldChar w:fldCharType="separate"/>
      </w:r>
      <w:r>
        <w:t>238</w:t>
      </w:r>
      <w:r>
        <w:fldChar w:fldCharType="end"/>
      </w:r>
    </w:p>
    <w:p>
      <w:pPr>
        <w:pStyle w:val="TOC8"/>
        <w:rPr>
          <w:rFonts w:asciiTheme="minorHAnsi" w:eastAsiaTheme="minorEastAsia" w:hAnsiTheme="minorHAnsi" w:cstheme="minorBidi"/>
          <w:szCs w:val="22"/>
        </w:rPr>
      </w:pPr>
      <w:r>
        <w:t>12.</w:t>
      </w:r>
      <w:r>
        <w:tab/>
        <w:t>Failure to comply with subpoena is contempt of court</w:t>
      </w:r>
      <w:r>
        <w:tab/>
      </w:r>
      <w:r>
        <w:fldChar w:fldCharType="begin"/>
      </w:r>
      <w:r>
        <w:instrText xml:space="preserve"> PAGEREF _Toc129077777 \h </w:instrText>
      </w:r>
      <w:r>
        <w:fldChar w:fldCharType="separate"/>
      </w:r>
      <w:r>
        <w:t>239</w:t>
      </w:r>
      <w:r>
        <w:fldChar w:fldCharType="end"/>
      </w:r>
    </w:p>
    <w:p>
      <w:pPr>
        <w:pStyle w:val="TOC8"/>
        <w:rPr>
          <w:rFonts w:asciiTheme="minorHAnsi" w:eastAsiaTheme="minorEastAsia" w:hAnsiTheme="minorHAnsi" w:cstheme="minorBidi"/>
          <w:szCs w:val="22"/>
        </w:rPr>
      </w:pPr>
      <w:r>
        <w:t>13.</w:t>
      </w:r>
      <w:r>
        <w:tab/>
        <w:t>Documents and things in custody of court</w:t>
      </w:r>
      <w:r>
        <w:tab/>
      </w:r>
      <w:r>
        <w:fldChar w:fldCharType="begin"/>
      </w:r>
      <w:r>
        <w:instrText xml:space="preserve"> PAGEREF _Toc129077778 \h </w:instrText>
      </w:r>
      <w:r>
        <w:fldChar w:fldCharType="separate"/>
      </w:r>
      <w:r>
        <w:t>239</w:t>
      </w:r>
      <w:r>
        <w:fldChar w:fldCharType="end"/>
      </w:r>
    </w:p>
    <w:p>
      <w:pPr>
        <w:pStyle w:val="TOC2"/>
        <w:tabs>
          <w:tab w:val="right" w:leader="dot" w:pos="7077"/>
        </w:tabs>
        <w:rPr>
          <w:rFonts w:asciiTheme="minorHAnsi" w:eastAsiaTheme="minorEastAsia" w:hAnsiTheme="minorHAnsi" w:cstheme="minorBidi"/>
          <w:b w:val="0"/>
          <w:sz w:val="22"/>
          <w:szCs w:val="22"/>
        </w:rPr>
      </w:pPr>
      <w:r>
        <w:t>Order 37 — Affidavits</w:t>
      </w:r>
    </w:p>
    <w:p>
      <w:pPr>
        <w:pStyle w:val="TOC8"/>
        <w:rPr>
          <w:rFonts w:asciiTheme="minorHAnsi" w:eastAsiaTheme="minorEastAsia" w:hAnsiTheme="minorHAnsi" w:cstheme="minorBidi"/>
          <w:szCs w:val="22"/>
        </w:rPr>
      </w:pPr>
      <w:r>
        <w:t>1</w:t>
      </w:r>
      <w:r>
        <w:rPr>
          <w:snapToGrid w:val="0"/>
        </w:rPr>
        <w:t>.</w:t>
      </w:r>
      <w:r>
        <w:rPr>
          <w:snapToGrid w:val="0"/>
        </w:rPr>
        <w:tab/>
        <w:t>Title of affidavits</w:t>
      </w:r>
      <w:r>
        <w:tab/>
      </w:r>
      <w:r>
        <w:fldChar w:fldCharType="begin"/>
      </w:r>
      <w:r>
        <w:instrText xml:space="preserve"> PAGEREF _Toc129077780 \h </w:instrText>
      </w:r>
      <w:r>
        <w:fldChar w:fldCharType="separate"/>
      </w:r>
      <w:r>
        <w:t>241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 of affidavits</w:t>
      </w:r>
      <w:r>
        <w:tab/>
      </w:r>
      <w:r>
        <w:fldChar w:fldCharType="begin"/>
      </w:r>
      <w:r>
        <w:instrText xml:space="preserve"> PAGEREF _Toc129077781 \h </w:instrText>
      </w:r>
      <w:r>
        <w:fldChar w:fldCharType="separate"/>
      </w:r>
      <w:r>
        <w:t>241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Affidavits by 2 or more deponents</w:t>
      </w:r>
      <w:r>
        <w:tab/>
      </w:r>
      <w:r>
        <w:fldChar w:fldCharType="begin"/>
      </w:r>
      <w:r>
        <w:instrText xml:space="preserve"> PAGEREF _Toc129077782 \h </w:instrText>
      </w:r>
      <w:r>
        <w:fldChar w:fldCharType="separate"/>
      </w:r>
      <w:r>
        <w:t>242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Irregularity</w:t>
      </w:r>
      <w:r>
        <w:tab/>
      </w:r>
      <w:r>
        <w:fldChar w:fldCharType="begin"/>
      </w:r>
      <w:r>
        <w:instrText xml:space="preserve"> PAGEREF _Toc129077783 \h </w:instrText>
      </w:r>
      <w:r>
        <w:fldChar w:fldCharType="separate"/>
      </w:r>
      <w:r>
        <w:t>243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Contents of affidavits</w:t>
      </w:r>
      <w:r>
        <w:tab/>
      </w:r>
      <w:r>
        <w:fldChar w:fldCharType="begin"/>
      </w:r>
      <w:r>
        <w:instrText xml:space="preserve"> PAGEREF _Toc129077784 \h </w:instrText>
      </w:r>
      <w:r>
        <w:fldChar w:fldCharType="separate"/>
      </w:r>
      <w:r>
        <w:t>243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Scandalous matter</w:t>
      </w:r>
      <w:r>
        <w:tab/>
      </w:r>
      <w:r>
        <w:fldChar w:fldCharType="begin"/>
      </w:r>
      <w:r>
        <w:instrText xml:space="preserve"> PAGEREF _Toc129077785 \h </w:instrText>
      </w:r>
      <w:r>
        <w:fldChar w:fldCharType="separate"/>
      </w:r>
      <w:r>
        <w:t>244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Exhibits</w:t>
      </w:r>
      <w:r>
        <w:tab/>
      </w:r>
      <w:r>
        <w:fldChar w:fldCharType="begin"/>
      </w:r>
      <w:r>
        <w:instrText xml:space="preserve"> PAGEREF _Toc129077786 \h </w:instrText>
      </w:r>
      <w:r>
        <w:fldChar w:fldCharType="separate"/>
      </w:r>
      <w:r>
        <w:t>244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Affidavits to be filed</w:t>
      </w:r>
      <w:r>
        <w:tab/>
      </w:r>
      <w:r>
        <w:fldChar w:fldCharType="begin"/>
      </w:r>
      <w:r>
        <w:instrText xml:space="preserve"> PAGEREF _Toc129077787 \h </w:instrText>
      </w:r>
      <w:r>
        <w:fldChar w:fldCharType="separate"/>
      </w:r>
      <w:r>
        <w:t>245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Affidavits not to be filed out of time without leave</w:t>
      </w:r>
      <w:r>
        <w:tab/>
      </w:r>
      <w:r>
        <w:fldChar w:fldCharType="begin"/>
      </w:r>
      <w:r>
        <w:instrText xml:space="preserve"> PAGEREF _Toc129077788 \h </w:instrText>
      </w:r>
      <w:r>
        <w:fldChar w:fldCharType="separate"/>
      </w:r>
      <w:r>
        <w:t>245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Alterations in accounts</w:t>
      </w:r>
      <w:r>
        <w:tab/>
      </w:r>
      <w:r>
        <w:fldChar w:fldCharType="begin"/>
      </w:r>
      <w:r>
        <w:instrText xml:space="preserve"> PAGEREF _Toc129077789 \h </w:instrText>
      </w:r>
      <w:r>
        <w:fldChar w:fldCharType="separate"/>
      </w:r>
      <w:r>
        <w:t>245</w:t>
      </w:r>
      <w:r>
        <w:fldChar w:fldCharType="end"/>
      </w:r>
    </w:p>
    <w:p>
      <w:pPr>
        <w:pStyle w:val="TOC8"/>
        <w:rPr>
          <w:rFonts w:asciiTheme="minorHAnsi" w:eastAsiaTheme="minorEastAsia" w:hAnsiTheme="minorHAnsi" w:cstheme="minorBidi"/>
          <w:szCs w:val="22"/>
        </w:rPr>
      </w:pPr>
      <w:r>
        <w:t>16.</w:t>
      </w:r>
      <w:r>
        <w:tab/>
        <w:t xml:space="preserve">This Order additional to </w:t>
      </w:r>
      <w:r>
        <w:rPr>
          <w:i/>
        </w:rPr>
        <w:t>Oaths, Affidavits and Statutory Declarations Act 2005</w:t>
      </w:r>
      <w:r>
        <w:tab/>
      </w:r>
      <w:r>
        <w:fldChar w:fldCharType="begin"/>
      </w:r>
      <w:r>
        <w:instrText xml:space="preserve"> PAGEREF _Toc129077790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Order 38 — Evidence by deposition</w:t>
      </w:r>
    </w:p>
    <w:p>
      <w:pPr>
        <w:pStyle w:val="TOC8"/>
        <w:rPr>
          <w:rFonts w:asciiTheme="minorHAnsi" w:eastAsiaTheme="minorEastAsia" w:hAnsiTheme="minorHAnsi" w:cstheme="minorBidi"/>
          <w:szCs w:val="22"/>
        </w:rPr>
      </w:pPr>
      <w:r>
        <w:t>1</w:t>
      </w:r>
      <w:r>
        <w:rPr>
          <w:snapToGrid w:val="0"/>
        </w:rPr>
        <w:t>.</w:t>
      </w:r>
      <w:r>
        <w:rPr>
          <w:snapToGrid w:val="0"/>
        </w:rPr>
        <w:tab/>
        <w:t>Power to order depositions to be taken</w:t>
      </w:r>
      <w:r>
        <w:tab/>
      </w:r>
      <w:r>
        <w:fldChar w:fldCharType="begin"/>
      </w:r>
      <w:r>
        <w:instrText xml:space="preserve"> PAGEREF _Toc129077792 \h </w:instrText>
      </w:r>
      <w:r>
        <w:fldChar w:fldCharType="separate"/>
      </w:r>
      <w:r>
        <w:t>246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Enforcing attendance of witness</w:t>
      </w:r>
      <w:r>
        <w:tab/>
      </w:r>
      <w:r>
        <w:fldChar w:fldCharType="begin"/>
      </w:r>
      <w:r>
        <w:instrText xml:space="preserve"> PAGEREF _Toc129077793 \h </w:instrText>
      </w:r>
      <w:r>
        <w:fldChar w:fldCharType="separate"/>
      </w:r>
      <w:r>
        <w:t>246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Refusal of witness to attend or be sworn</w:t>
      </w:r>
      <w:r>
        <w:tab/>
      </w:r>
      <w:r>
        <w:fldChar w:fldCharType="begin"/>
      </w:r>
      <w:r>
        <w:instrText xml:space="preserve"> PAGEREF _Toc129077794 \h </w:instrText>
      </w:r>
      <w:r>
        <w:fldChar w:fldCharType="separate"/>
      </w:r>
      <w:r>
        <w:t>247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and place of examination, notice of</w:t>
      </w:r>
      <w:r>
        <w:tab/>
      </w:r>
      <w:r>
        <w:fldChar w:fldCharType="begin"/>
      </w:r>
      <w:r>
        <w:instrText xml:space="preserve"> PAGEREF _Toc129077795 \h </w:instrText>
      </w:r>
      <w:r>
        <w:fldChar w:fldCharType="separate"/>
      </w:r>
      <w:r>
        <w:t>247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Documents to be given to examiner</w:t>
      </w:r>
      <w:r>
        <w:tab/>
      </w:r>
      <w:r>
        <w:fldChar w:fldCharType="begin"/>
      </w:r>
      <w:r>
        <w:instrText xml:space="preserve"> PAGEREF _Toc129077796 \h </w:instrText>
      </w:r>
      <w:r>
        <w:fldChar w:fldCharType="separate"/>
      </w:r>
      <w:r>
        <w:t>247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Practice on examination</w:t>
      </w:r>
      <w:r>
        <w:tab/>
      </w:r>
      <w:r>
        <w:fldChar w:fldCharType="begin"/>
      </w:r>
      <w:r>
        <w:instrText xml:space="preserve"> PAGEREF _Toc129077797 \h </w:instrText>
      </w:r>
      <w:r>
        <w:fldChar w:fldCharType="separate"/>
      </w:r>
      <w:r>
        <w:t>248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Expenses of witnesses</w:t>
      </w:r>
      <w:r>
        <w:tab/>
      </w:r>
      <w:r>
        <w:fldChar w:fldCharType="begin"/>
      </w:r>
      <w:r>
        <w:instrText xml:space="preserve"> PAGEREF _Toc129077798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10</w:t>
      </w:r>
      <w:r>
        <w:rPr>
          <w:snapToGrid w:val="0"/>
        </w:rPr>
        <w:t>.</w:t>
      </w:r>
      <w:r>
        <w:rPr>
          <w:snapToGrid w:val="0"/>
        </w:rPr>
        <w:tab/>
        <w:t>Additional witnesses may be examined with parties’ consent</w:t>
      </w:r>
      <w:r>
        <w:tab/>
      </w:r>
      <w:r>
        <w:fldChar w:fldCharType="begin"/>
      </w:r>
      <w:r>
        <w:instrText xml:space="preserve"> PAGEREF _Toc129077799 \h </w:instrText>
      </w:r>
      <w:r>
        <w:fldChar w:fldCharType="separate"/>
      </w:r>
      <w:r>
        <w:t>248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How depositions to be taken</w:t>
      </w:r>
      <w:r>
        <w:tab/>
      </w:r>
      <w:r>
        <w:fldChar w:fldCharType="begin"/>
      </w:r>
      <w:r>
        <w:instrText xml:space="preserve"> PAGEREF _Toc129077800 \h </w:instrText>
      </w:r>
      <w:r>
        <w:fldChar w:fldCharType="separate"/>
      </w:r>
      <w:r>
        <w:t>249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Objection to questions</w:t>
      </w:r>
      <w:r>
        <w:tab/>
      </w:r>
      <w:r>
        <w:fldChar w:fldCharType="begin"/>
      </w:r>
      <w:r>
        <w:instrText xml:space="preserve"> PAGEREF _Toc129077801 \h </w:instrText>
      </w:r>
      <w:r>
        <w:fldChar w:fldCharType="separate"/>
      </w:r>
      <w:r>
        <w:t>250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Examiner may give Court special report</w:t>
      </w:r>
      <w:r>
        <w:tab/>
      </w:r>
      <w:r>
        <w:fldChar w:fldCharType="begin"/>
      </w:r>
      <w:r>
        <w:instrText xml:space="preserve"> PAGEREF _Toc129077802 \h </w:instrText>
      </w:r>
      <w:r>
        <w:fldChar w:fldCharType="separate"/>
      </w:r>
      <w:r>
        <w:t>250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Oaths</w:t>
      </w:r>
      <w:r>
        <w:tab/>
      </w:r>
      <w:r>
        <w:fldChar w:fldCharType="begin"/>
      </w:r>
      <w:r>
        <w:instrText xml:space="preserve"> PAGEREF _Toc129077803 \h </w:instrText>
      </w:r>
      <w:r>
        <w:fldChar w:fldCharType="separate"/>
      </w:r>
      <w:r>
        <w:t>250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Perpetuating testimony</w:t>
      </w:r>
      <w:r>
        <w:tab/>
      </w:r>
      <w:r>
        <w:fldChar w:fldCharType="begin"/>
      </w:r>
      <w:r>
        <w:instrText xml:space="preserve"> PAGEREF _Toc129077804 \h </w:instrText>
      </w:r>
      <w:r>
        <w:fldChar w:fldCharType="separate"/>
      </w:r>
      <w:r>
        <w:t>250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Examiner’s fees</w:t>
      </w:r>
      <w:r>
        <w:tab/>
      </w:r>
      <w:r>
        <w:fldChar w:fldCharType="begin"/>
      </w:r>
      <w:r>
        <w:instrText xml:space="preserve"> PAGEREF _Toc129077805 \h </w:instrText>
      </w:r>
      <w:r>
        <w:fldChar w:fldCharType="separate"/>
      </w:r>
      <w:r>
        <w:t>251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Payment of examiner’s fees</w:t>
      </w:r>
      <w:r>
        <w:tab/>
      </w:r>
      <w:r>
        <w:fldChar w:fldCharType="begin"/>
      </w:r>
      <w:r>
        <w:instrText xml:space="preserve"> PAGEREF _Toc129077806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Order 38A — Examination of witnesses outside the State</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_Toc129077808 \h </w:instrText>
      </w:r>
      <w:r>
        <w:fldChar w:fldCharType="separate"/>
      </w:r>
      <w:r>
        <w:t>253</w:t>
      </w:r>
      <w:r>
        <w:fldChar w:fldCharType="end"/>
      </w:r>
    </w:p>
    <w:p>
      <w:pPr>
        <w:pStyle w:val="TOC8"/>
        <w:rPr>
          <w:rFonts w:asciiTheme="minorHAnsi" w:eastAsiaTheme="minorEastAsia" w:hAnsiTheme="minorHAnsi" w:cstheme="minorBidi"/>
          <w:szCs w:val="22"/>
        </w:rPr>
      </w:pPr>
      <w:r>
        <w:t>2.</w:t>
      </w:r>
      <w:r>
        <w:tab/>
        <w:t>Order applies to Act s. 110 and 111</w:t>
      </w:r>
      <w:r>
        <w:tab/>
      </w:r>
      <w:r>
        <w:fldChar w:fldCharType="begin"/>
      </w:r>
      <w:r>
        <w:instrText xml:space="preserve"> PAGEREF _Toc129077809 \h </w:instrText>
      </w:r>
      <w:r>
        <w:fldChar w:fldCharType="separate"/>
      </w:r>
      <w:r>
        <w:t>253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under Act s. 110 and 111 in civil proceedings</w:t>
      </w:r>
      <w:r>
        <w:tab/>
      </w:r>
      <w:r>
        <w:fldChar w:fldCharType="begin"/>
      </w:r>
      <w:r>
        <w:instrText xml:space="preserve"> PAGEREF _Toc129077810 \h </w:instrText>
      </w:r>
      <w:r>
        <w:fldChar w:fldCharType="separate"/>
      </w:r>
      <w:r>
        <w:t>253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under Act s. 110 and 111 in criminal proceedings</w:t>
      </w:r>
      <w:r>
        <w:tab/>
      </w:r>
      <w:r>
        <w:fldChar w:fldCharType="begin"/>
      </w:r>
      <w:r>
        <w:instrText xml:space="preserve"> PAGEREF _Toc129077811 \h </w:instrText>
      </w:r>
      <w:r>
        <w:fldChar w:fldCharType="separate"/>
      </w:r>
      <w:r>
        <w:t>254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Orders under Act s. 110 and 111</w:t>
      </w:r>
      <w:r>
        <w:tab/>
      </w:r>
      <w:r>
        <w:fldChar w:fldCharType="begin"/>
      </w:r>
      <w:r>
        <w:instrText xml:space="preserve"> PAGEREF _Toc129077812 \h </w:instrText>
      </w:r>
      <w:r>
        <w:fldChar w:fldCharType="separate"/>
      </w:r>
      <w:r>
        <w:t>254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Manner of examination</w:t>
      </w:r>
      <w:r>
        <w:tab/>
      </w:r>
      <w:r>
        <w:fldChar w:fldCharType="begin"/>
      </w:r>
      <w:r>
        <w:instrText xml:space="preserve"> PAGEREF _Toc129077813 \h </w:instrText>
      </w:r>
      <w:r>
        <w:fldChar w:fldCharType="separate"/>
      </w:r>
      <w:r>
        <w:t>255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Examiner’s remuneration</w:t>
      </w:r>
      <w:r>
        <w:tab/>
      </w:r>
      <w:r>
        <w:fldChar w:fldCharType="begin"/>
      </w:r>
      <w:r>
        <w:instrText xml:space="preserve"> PAGEREF _Toc129077814 \h </w:instrText>
      </w:r>
      <w:r>
        <w:fldChar w:fldCharType="separate"/>
      </w:r>
      <w:r>
        <w:t>255</w:t>
      </w:r>
      <w:r>
        <w:fldChar w:fldCharType="end"/>
      </w:r>
    </w:p>
    <w:p>
      <w:pPr>
        <w:pStyle w:val="TOC2"/>
        <w:tabs>
          <w:tab w:val="right" w:leader="dot" w:pos="7077"/>
        </w:tabs>
        <w:rPr>
          <w:rFonts w:asciiTheme="minorHAnsi" w:eastAsiaTheme="minorEastAsia" w:hAnsiTheme="minorHAnsi" w:cstheme="minorBidi"/>
          <w:b w:val="0"/>
          <w:sz w:val="22"/>
          <w:szCs w:val="22"/>
        </w:rPr>
      </w:pPr>
      <w:r>
        <w:t>Order 39 — Taking of evidence for foreign and Australian courts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_Toc129077816 \h </w:instrText>
      </w:r>
      <w:r>
        <w:fldChar w:fldCharType="separate"/>
      </w:r>
      <w:r>
        <w:t>256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s. 116</w:t>
      </w:r>
      <w:r>
        <w:tab/>
      </w:r>
      <w:r>
        <w:fldChar w:fldCharType="begin"/>
      </w:r>
      <w:r>
        <w:instrText xml:space="preserve"> PAGEREF _Toc129077817 \h </w:instrText>
      </w:r>
      <w:r>
        <w:fldChar w:fldCharType="separate"/>
      </w:r>
      <w:r>
        <w:t>256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under Act s. 117</w:t>
      </w:r>
      <w:r>
        <w:tab/>
      </w:r>
      <w:r>
        <w:fldChar w:fldCharType="begin"/>
      </w:r>
      <w:r>
        <w:instrText xml:space="preserve"> PAGEREF _Toc129077818 \h </w:instrText>
      </w:r>
      <w:r>
        <w:fldChar w:fldCharType="separate"/>
      </w:r>
      <w:r>
        <w:t>256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Examiner’s remuneration</w:t>
      </w:r>
      <w:r>
        <w:tab/>
      </w:r>
      <w:r>
        <w:fldChar w:fldCharType="begin"/>
      </w:r>
      <w:r>
        <w:instrText xml:space="preserve"> PAGEREF _Toc129077819 \h </w:instrText>
      </w:r>
      <w:r>
        <w:fldChar w:fldCharType="separate"/>
      </w:r>
      <w:r>
        <w:t>257</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Examiner’s power to administer oaths</w:t>
      </w:r>
      <w:r>
        <w:tab/>
      </w:r>
      <w:r>
        <w:fldChar w:fldCharType="begin"/>
      </w:r>
      <w:r>
        <w:instrText xml:space="preserve"> PAGEREF _Toc129077820 \h </w:instrText>
      </w:r>
      <w:r>
        <w:fldChar w:fldCharType="separate"/>
      </w:r>
      <w:r>
        <w:t>257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Transmission of depositions</w:t>
      </w:r>
      <w:r>
        <w:tab/>
      </w:r>
      <w:r>
        <w:fldChar w:fldCharType="begin"/>
      </w:r>
      <w:r>
        <w:instrText xml:space="preserve"> PAGEREF _Toc129077821 \h </w:instrText>
      </w:r>
      <w:r>
        <w:fldChar w:fldCharType="separate"/>
      </w:r>
      <w:r>
        <w:t>257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Procedure where witness claims privilege</w:t>
      </w:r>
      <w:r>
        <w:tab/>
      </w:r>
      <w:r>
        <w:fldChar w:fldCharType="begin"/>
      </w:r>
      <w:r>
        <w:instrText xml:space="preserve"> PAGEREF _Toc129077822 \h </w:instrText>
      </w:r>
      <w:r>
        <w:fldChar w:fldCharType="separate"/>
      </w:r>
      <w:r>
        <w:t>258</w:t>
      </w:r>
      <w:r>
        <w:fldChar w:fldCharType="end"/>
      </w:r>
    </w:p>
    <w:p>
      <w:pPr>
        <w:pStyle w:val="TOC2"/>
        <w:tabs>
          <w:tab w:val="right" w:leader="dot" w:pos="7077"/>
        </w:tabs>
        <w:rPr>
          <w:rFonts w:asciiTheme="minorHAnsi" w:eastAsiaTheme="minorEastAsia" w:hAnsiTheme="minorHAnsi" w:cstheme="minorBidi"/>
          <w:b w:val="0"/>
          <w:sz w:val="22"/>
          <w:szCs w:val="22"/>
        </w:rPr>
      </w:pPr>
      <w:r>
        <w:t>Order 39A</w:t>
      </w:r>
      <w:r>
        <w:rPr>
          <w:b w:val="0"/>
        </w:rPr>
        <w:t> </w:t>
      </w:r>
      <w:r>
        <w:t>—</w:t>
      </w:r>
      <w:r>
        <w:rPr>
          <w:b w:val="0"/>
        </w:rPr>
        <w:t> </w:t>
      </w:r>
      <w:r>
        <w:rPr>
          <w:i/>
        </w:rPr>
        <w:t>Trans</w:t>
      </w:r>
      <w:r>
        <w:rPr>
          <w:i/>
        </w:rPr>
        <w:noBreakHyphen/>
        <w:t>Tasman Proceedings Act 2010</w:t>
      </w:r>
      <w:r>
        <w:t xml:space="preserve"> (Commonwealth) rules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_Toc129077825 \h </w:instrText>
      </w:r>
      <w:r>
        <w:fldChar w:fldCharType="separate"/>
      </w:r>
      <w:r>
        <w:t>260</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_Toc129077826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Subpoenas to be served in New Zealand</w:t>
      </w:r>
    </w:p>
    <w:p>
      <w:pPr>
        <w:pStyle w:val="TOC8"/>
        <w:rPr>
          <w:rFonts w:asciiTheme="minorHAnsi" w:eastAsiaTheme="minorEastAsia" w:hAnsiTheme="minorHAnsi" w:cstheme="minorBidi"/>
          <w:szCs w:val="22"/>
        </w:rPr>
      </w:pPr>
      <w:r>
        <w:t>2A.</w:t>
      </w:r>
      <w:r>
        <w:tab/>
        <w:t>Form of subpoenas</w:t>
      </w:r>
      <w:r>
        <w:tab/>
      </w:r>
      <w:r>
        <w:fldChar w:fldCharType="begin"/>
      </w:r>
      <w:r>
        <w:instrText xml:space="preserve"> PAGEREF _Toc129077828 \h </w:instrText>
      </w:r>
      <w:r>
        <w:fldChar w:fldCharType="separate"/>
      </w:r>
      <w:r>
        <w:t>260</w:t>
      </w:r>
      <w:r>
        <w:fldChar w:fldCharType="end"/>
      </w:r>
    </w:p>
    <w:p>
      <w:pPr>
        <w:pStyle w:val="TOC8"/>
        <w:rPr>
          <w:rFonts w:asciiTheme="minorHAnsi" w:eastAsiaTheme="minorEastAsia" w:hAnsiTheme="minorHAnsi" w:cstheme="minorBidi"/>
          <w:szCs w:val="22"/>
        </w:rPr>
      </w:pPr>
      <w:r>
        <w:t>3.</w:t>
      </w:r>
      <w:r>
        <w:tab/>
        <w:t>Leave to serve subpoena (Act s. 31)</w:t>
      </w:r>
      <w:r>
        <w:tab/>
      </w:r>
      <w:r>
        <w:fldChar w:fldCharType="begin"/>
      </w:r>
      <w:r>
        <w:instrText xml:space="preserve"> PAGEREF _Toc129077829 \h </w:instrText>
      </w:r>
      <w:r>
        <w:fldChar w:fldCharType="separate"/>
      </w:r>
      <w:r>
        <w:t>261</w:t>
      </w:r>
      <w:r>
        <w:fldChar w:fldCharType="end"/>
      </w:r>
    </w:p>
    <w:p>
      <w:pPr>
        <w:pStyle w:val="TOC8"/>
        <w:rPr>
          <w:rFonts w:asciiTheme="minorHAnsi" w:eastAsiaTheme="minorEastAsia" w:hAnsiTheme="minorHAnsi" w:cstheme="minorBidi"/>
          <w:szCs w:val="22"/>
        </w:rPr>
      </w:pPr>
      <w:r>
        <w:t>4.</w:t>
      </w:r>
      <w:r>
        <w:tab/>
        <w:t>Setting aside subpoena (Act s. 35 and 36)</w:t>
      </w:r>
      <w:r>
        <w:tab/>
      </w:r>
      <w:r>
        <w:fldChar w:fldCharType="begin"/>
      </w:r>
      <w:r>
        <w:instrText xml:space="preserve"> PAGEREF _Toc129077830 \h </w:instrText>
      </w:r>
      <w:r>
        <w:fldChar w:fldCharType="separate"/>
      </w:r>
      <w:r>
        <w:t>262</w:t>
      </w:r>
      <w:r>
        <w:fldChar w:fldCharType="end"/>
      </w:r>
    </w:p>
    <w:p>
      <w:pPr>
        <w:pStyle w:val="TOC8"/>
        <w:rPr>
          <w:rFonts w:asciiTheme="minorHAnsi" w:eastAsiaTheme="minorEastAsia" w:hAnsiTheme="minorHAnsi" w:cstheme="minorBidi"/>
          <w:szCs w:val="22"/>
        </w:rPr>
      </w:pPr>
      <w:r>
        <w:t>5.</w:t>
      </w:r>
      <w:r>
        <w:tab/>
        <w:t>Failure to comply with subpoena (Act s. 38)</w:t>
      </w:r>
      <w:r>
        <w:tab/>
      </w:r>
      <w:r>
        <w:fldChar w:fldCharType="begin"/>
      </w:r>
      <w:r>
        <w:instrText xml:space="preserve"> PAGEREF _Toc129077831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Division 3 — Remote appearances from New Zealand</w:t>
      </w:r>
    </w:p>
    <w:p>
      <w:pPr>
        <w:pStyle w:val="TOC8"/>
        <w:rPr>
          <w:rFonts w:asciiTheme="minorHAnsi" w:eastAsiaTheme="minorEastAsia" w:hAnsiTheme="minorHAnsi" w:cstheme="minorBidi"/>
          <w:szCs w:val="22"/>
        </w:rPr>
      </w:pPr>
      <w:r>
        <w:t>6A.</w:t>
      </w:r>
      <w:r>
        <w:tab/>
        <w:t>Appearances by audio link or audiovisual link (Act s. 48)</w:t>
      </w:r>
      <w:r>
        <w:tab/>
      </w:r>
      <w:r>
        <w:fldChar w:fldCharType="begin"/>
      </w:r>
      <w:r>
        <w:instrText xml:space="preserve"> PAGEREF _Toc129077833 \h </w:instrText>
      </w:r>
      <w:r>
        <w:fldChar w:fldCharType="separate"/>
      </w:r>
      <w:r>
        <w:t>264</w:t>
      </w:r>
      <w:r>
        <w:fldChar w:fldCharType="end"/>
      </w:r>
    </w:p>
    <w:p>
      <w:pPr>
        <w:pStyle w:val="TOC8"/>
        <w:rPr>
          <w:rFonts w:asciiTheme="minorHAnsi" w:eastAsiaTheme="minorEastAsia" w:hAnsiTheme="minorHAnsi" w:cstheme="minorBidi"/>
          <w:szCs w:val="22"/>
        </w:rPr>
      </w:pPr>
      <w:r>
        <w:t>6.</w:t>
      </w:r>
      <w:r>
        <w:tab/>
        <w:t>Evidence by audio link or audiovisual link (Act s. 50)</w:t>
      </w:r>
      <w:r>
        <w:tab/>
      </w:r>
      <w:r>
        <w:fldChar w:fldCharType="begin"/>
      </w:r>
      <w:r>
        <w:instrText xml:space="preserve"> PAGEREF _Toc129077834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Division 4 — Registration and enforcement of NZ judgments</w:t>
      </w:r>
    </w:p>
    <w:p>
      <w:pPr>
        <w:pStyle w:val="TOC8"/>
        <w:rPr>
          <w:rFonts w:asciiTheme="minorHAnsi" w:eastAsiaTheme="minorEastAsia" w:hAnsiTheme="minorHAnsi" w:cstheme="minorBidi"/>
          <w:szCs w:val="22"/>
        </w:rPr>
      </w:pPr>
      <w:r>
        <w:t>7.</w:t>
      </w:r>
      <w:r>
        <w:tab/>
        <w:t>Setting aside registration of NZ judgment (Act s. 72)</w:t>
      </w:r>
      <w:r>
        <w:tab/>
      </w:r>
      <w:r>
        <w:fldChar w:fldCharType="begin"/>
      </w:r>
      <w:r>
        <w:instrText xml:space="preserve"> PAGEREF _Toc129077836 \h </w:instrText>
      </w:r>
      <w:r>
        <w:fldChar w:fldCharType="separate"/>
      </w:r>
      <w:r>
        <w:t>266</w:t>
      </w:r>
      <w:r>
        <w:fldChar w:fldCharType="end"/>
      </w:r>
    </w:p>
    <w:p>
      <w:pPr>
        <w:pStyle w:val="TOC8"/>
        <w:rPr>
          <w:rFonts w:asciiTheme="minorHAnsi" w:eastAsiaTheme="minorEastAsia" w:hAnsiTheme="minorHAnsi" w:cstheme="minorBidi"/>
          <w:szCs w:val="22"/>
        </w:rPr>
      </w:pPr>
      <w:r>
        <w:t>8.</w:t>
      </w:r>
      <w:r>
        <w:tab/>
        <w:t>Stay of enforcement of registered NZ judgment (Act s. 76)</w:t>
      </w:r>
      <w:r>
        <w:tab/>
      </w:r>
      <w:r>
        <w:fldChar w:fldCharType="begin"/>
      </w:r>
      <w:r>
        <w:instrText xml:space="preserve"> PAGEREF _Toc129077837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Order 40 — Court experts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_Toc129077839 \h </w:instrText>
      </w:r>
      <w:r>
        <w:fldChar w:fldCharType="separate"/>
      </w:r>
      <w:r>
        <w:t>268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Court expert, appointment of etc.</w:t>
      </w:r>
      <w:r>
        <w:tab/>
      </w:r>
      <w:r>
        <w:fldChar w:fldCharType="begin"/>
      </w:r>
      <w:r>
        <w:instrText xml:space="preserve"> PAGEREF _Toc129077840 \h </w:instrText>
      </w:r>
      <w:r>
        <w:fldChar w:fldCharType="separate"/>
      </w:r>
      <w:r>
        <w:t>268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Report of Court expert</w:t>
      </w:r>
      <w:r>
        <w:tab/>
      </w:r>
      <w:r>
        <w:fldChar w:fldCharType="begin"/>
      </w:r>
      <w:r>
        <w:instrText xml:space="preserve"> PAGEREF _Toc129077841 \h </w:instrText>
      </w:r>
      <w:r>
        <w:fldChar w:fldCharType="separate"/>
      </w:r>
      <w:r>
        <w:t>269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Cross</w:t>
      </w:r>
      <w:r>
        <w:rPr>
          <w:snapToGrid w:val="0"/>
        </w:rPr>
        <w:noBreakHyphen/>
        <w:t>examination of Court expert</w:t>
      </w:r>
      <w:r>
        <w:tab/>
      </w:r>
      <w:r>
        <w:fldChar w:fldCharType="begin"/>
      </w:r>
      <w:r>
        <w:instrText xml:space="preserve"> PAGEREF _Toc129077842 \h </w:instrText>
      </w:r>
      <w:r>
        <w:fldChar w:fldCharType="separate"/>
      </w:r>
      <w:r>
        <w:t>269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Remuneration of Court expert</w:t>
      </w:r>
      <w:r>
        <w:tab/>
      </w:r>
      <w:r>
        <w:fldChar w:fldCharType="begin"/>
      </w:r>
      <w:r>
        <w:instrText xml:space="preserve"> PAGEREF _Toc129077843 \h </w:instrText>
      </w:r>
      <w:r>
        <w:fldChar w:fldCharType="separate"/>
      </w:r>
      <w:r>
        <w:t>269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Further expert witnesses</w:t>
      </w:r>
      <w:r>
        <w:tab/>
      </w:r>
      <w:r>
        <w:fldChar w:fldCharType="begin"/>
      </w:r>
      <w:r>
        <w:instrText xml:space="preserve"> PAGEREF _Toc129077844 \h </w:instrText>
      </w:r>
      <w:r>
        <w:fldChar w:fldCharType="separate"/>
      </w:r>
      <w:r>
        <w:t>270</w:t>
      </w:r>
      <w:r>
        <w:fldChar w:fldCharType="end"/>
      </w:r>
    </w:p>
    <w:p>
      <w:pPr>
        <w:pStyle w:val="TOC2"/>
        <w:tabs>
          <w:tab w:val="right" w:leader="dot" w:pos="7077"/>
        </w:tabs>
        <w:rPr>
          <w:rFonts w:asciiTheme="minorHAnsi" w:eastAsiaTheme="minorEastAsia" w:hAnsiTheme="minorHAnsi" w:cstheme="minorBidi"/>
          <w:b w:val="0"/>
          <w:sz w:val="22"/>
          <w:szCs w:val="22"/>
        </w:rPr>
      </w:pPr>
      <w:r>
        <w:t>Order 41 — Motion for judgment</w:t>
      </w:r>
    </w:p>
    <w:p>
      <w:pPr>
        <w:pStyle w:val="TOC8"/>
        <w:rPr>
          <w:rFonts w:asciiTheme="minorHAnsi" w:eastAsiaTheme="minorEastAsia" w:hAnsiTheme="minorHAnsi" w:cstheme="minorBidi"/>
          <w:szCs w:val="22"/>
        </w:rPr>
      </w:pPr>
      <w:r>
        <w:t>1</w:t>
      </w:r>
      <w:r>
        <w:rPr>
          <w:snapToGrid w:val="0"/>
        </w:rPr>
        <w:t>.</w:t>
      </w:r>
      <w:r>
        <w:rPr>
          <w:snapToGrid w:val="0"/>
        </w:rPr>
        <w:tab/>
        <w:t>Judgment to be on motion</w:t>
      </w:r>
      <w:r>
        <w:tab/>
      </w:r>
      <w:r>
        <w:fldChar w:fldCharType="begin"/>
      </w:r>
      <w:r>
        <w:instrText xml:space="preserve"> PAGEREF _Toc129077846 \h </w:instrText>
      </w:r>
      <w:r>
        <w:fldChar w:fldCharType="separate"/>
      </w:r>
      <w:r>
        <w:t>271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motion for judgment may be set down after trial etc.</w:t>
      </w:r>
      <w:r>
        <w:tab/>
      </w:r>
      <w:r>
        <w:fldChar w:fldCharType="begin"/>
      </w:r>
      <w:r>
        <w:instrText xml:space="preserve"> PAGEREF _Toc129077847 \h </w:instrText>
      </w:r>
      <w:r>
        <w:fldChar w:fldCharType="separate"/>
      </w:r>
      <w:r>
        <w:t>271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Motion for judgment before trial etc. of all issues</w:t>
      </w:r>
      <w:r>
        <w:tab/>
      </w:r>
      <w:r>
        <w:fldChar w:fldCharType="begin"/>
      </w:r>
      <w:r>
        <w:instrText xml:space="preserve"> PAGEREF _Toc129077848 \h </w:instrText>
      </w:r>
      <w:r>
        <w:fldChar w:fldCharType="separate"/>
      </w:r>
      <w:r>
        <w:t>271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Motion for judgment to be set down within one year</w:t>
      </w:r>
      <w:r>
        <w:tab/>
      </w:r>
      <w:r>
        <w:fldChar w:fldCharType="begin"/>
      </w:r>
      <w:r>
        <w:instrText xml:space="preserve"> PAGEREF _Toc129077849 \h </w:instrText>
      </w:r>
      <w:r>
        <w:fldChar w:fldCharType="separate"/>
      </w:r>
      <w:r>
        <w:t>272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draw inferences and determine questions</w:t>
      </w:r>
      <w:r>
        <w:tab/>
      </w:r>
      <w:r>
        <w:fldChar w:fldCharType="begin"/>
      </w:r>
      <w:r>
        <w:instrText xml:space="preserve"> PAGEREF _Toc129077850 \h </w:instrText>
      </w:r>
      <w:r>
        <w:fldChar w:fldCharType="separate"/>
      </w:r>
      <w:r>
        <w:t>272</w:t>
      </w:r>
      <w:r>
        <w:fldChar w:fldCharType="end"/>
      </w:r>
    </w:p>
    <w:p>
      <w:pPr>
        <w:pStyle w:val="TOC2"/>
        <w:tabs>
          <w:tab w:val="right" w:leader="dot" w:pos="7077"/>
        </w:tabs>
        <w:rPr>
          <w:rFonts w:asciiTheme="minorHAnsi" w:eastAsiaTheme="minorEastAsia" w:hAnsiTheme="minorHAnsi" w:cstheme="minorBidi"/>
          <w:b w:val="0"/>
          <w:sz w:val="22"/>
          <w:szCs w:val="22"/>
        </w:rPr>
      </w:pPr>
      <w:r>
        <w:t>Order 42 — Entry of judgment</w:t>
      </w:r>
    </w:p>
    <w:p>
      <w:pPr>
        <w:pStyle w:val="TOC8"/>
        <w:rPr>
          <w:rFonts w:asciiTheme="minorHAnsi" w:eastAsiaTheme="minorEastAsia" w:hAnsiTheme="minorHAnsi" w:cstheme="minorBidi"/>
          <w:szCs w:val="22"/>
        </w:rPr>
      </w:pPr>
      <w:r>
        <w:t>1</w:t>
      </w:r>
      <w:r>
        <w:rPr>
          <w:snapToGrid w:val="0"/>
        </w:rPr>
        <w:t>.</w:t>
      </w:r>
      <w:r>
        <w:rPr>
          <w:snapToGrid w:val="0"/>
        </w:rPr>
        <w:tab/>
        <w:t>Mode and form of entry</w:t>
      </w:r>
      <w:r>
        <w:tab/>
      </w:r>
      <w:r>
        <w:fldChar w:fldCharType="begin"/>
      </w:r>
      <w:r>
        <w:instrText xml:space="preserve"> PAGEREF _Toc129077852 \h </w:instrText>
      </w:r>
      <w:r>
        <w:fldChar w:fldCharType="separate"/>
      </w:r>
      <w:r>
        <w:t>273</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Date from which judgment or order takes effect</w:t>
      </w:r>
      <w:r>
        <w:tab/>
      </w:r>
      <w:r>
        <w:fldChar w:fldCharType="begin"/>
      </w:r>
      <w:r>
        <w:instrText xml:space="preserve"> PAGEREF _Toc129077853 \h </w:instrText>
      </w:r>
      <w:r>
        <w:fldChar w:fldCharType="separate"/>
      </w:r>
      <w:r>
        <w:t>273</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Orders to do an act, time for obeying to be specified</w:t>
      </w:r>
      <w:r>
        <w:tab/>
      </w:r>
      <w:r>
        <w:fldChar w:fldCharType="begin"/>
      </w:r>
      <w:r>
        <w:instrText xml:space="preserve"> PAGEREF _Toc129077854 \h </w:instrText>
      </w:r>
      <w:r>
        <w:fldChar w:fldCharType="separate"/>
      </w:r>
      <w:r>
        <w:t>273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Entering judgment on filing of affidavit etc.</w:t>
      </w:r>
      <w:r>
        <w:tab/>
      </w:r>
      <w:r>
        <w:fldChar w:fldCharType="begin"/>
      </w:r>
      <w:r>
        <w:instrText xml:space="preserve"> PAGEREF _Toc129077855 \h </w:instrText>
      </w:r>
      <w:r>
        <w:fldChar w:fldCharType="separate"/>
      </w:r>
      <w:r>
        <w:t>273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Entering judgment pursuant to order etc.</w:t>
      </w:r>
      <w:r>
        <w:tab/>
      </w:r>
      <w:r>
        <w:fldChar w:fldCharType="begin"/>
      </w:r>
      <w:r>
        <w:instrText xml:space="preserve"> PAGEREF _Toc129077856 \h </w:instrText>
      </w:r>
      <w:r>
        <w:fldChar w:fldCharType="separate"/>
      </w:r>
      <w:r>
        <w:t>274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Entering judgment on certificate of master or registrar</w:t>
      </w:r>
      <w:r>
        <w:tab/>
      </w:r>
      <w:r>
        <w:fldChar w:fldCharType="begin"/>
      </w:r>
      <w:r>
        <w:instrText xml:space="preserve"> PAGEREF _Toc129077857 \h </w:instrText>
      </w:r>
      <w:r>
        <w:fldChar w:fldCharType="separate"/>
      </w:r>
      <w:r>
        <w:t>274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Entering judgment by consent when party appears by solicitor</w:t>
      </w:r>
      <w:r>
        <w:tab/>
      </w:r>
      <w:r>
        <w:fldChar w:fldCharType="begin"/>
      </w:r>
      <w:r>
        <w:instrText xml:space="preserve"> PAGEREF _Toc129077858 \h </w:instrText>
      </w:r>
      <w:r>
        <w:fldChar w:fldCharType="separate"/>
      </w:r>
      <w:r>
        <w:t>274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_Toc129077859 \h </w:instrText>
      </w:r>
      <w:r>
        <w:fldChar w:fldCharType="separate"/>
      </w:r>
      <w:r>
        <w:t>274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Satisfaction of judgments</w:t>
      </w:r>
      <w:r>
        <w:tab/>
      </w:r>
      <w:r>
        <w:fldChar w:fldCharType="begin"/>
      </w:r>
      <w:r>
        <w:instrText xml:space="preserve"> PAGEREF _Toc129077860 \h </w:instrText>
      </w:r>
      <w:r>
        <w:fldChar w:fldCharType="separate"/>
      </w:r>
      <w:r>
        <w:t>275</w:t>
      </w:r>
      <w:r>
        <w:fldChar w:fldCharType="end"/>
      </w:r>
    </w:p>
    <w:p>
      <w:pPr>
        <w:pStyle w:val="TOC2"/>
        <w:tabs>
          <w:tab w:val="right" w:leader="dot" w:pos="7077"/>
        </w:tabs>
        <w:rPr>
          <w:rFonts w:asciiTheme="minorHAnsi" w:eastAsiaTheme="minorEastAsia" w:hAnsiTheme="minorHAnsi" w:cstheme="minorBidi"/>
          <w:b w:val="0"/>
          <w:sz w:val="22"/>
          <w:szCs w:val="22"/>
        </w:rPr>
      </w:pPr>
      <w:r>
        <w:t>Order 43 — Drawing up judgments and orders</w:t>
      </w:r>
    </w:p>
    <w:p>
      <w:pPr>
        <w:pStyle w:val="TOC8"/>
        <w:rPr>
          <w:rFonts w:asciiTheme="minorHAnsi" w:eastAsiaTheme="minorEastAsia" w:hAnsiTheme="minorHAnsi" w:cstheme="minorBidi"/>
          <w:szCs w:val="22"/>
        </w:rPr>
      </w:pPr>
      <w:r>
        <w:t>1</w:t>
      </w:r>
      <w:r>
        <w:rPr>
          <w:snapToGrid w:val="0"/>
        </w:rPr>
        <w:t>.</w:t>
      </w:r>
      <w:r>
        <w:rPr>
          <w:snapToGrid w:val="0"/>
        </w:rPr>
        <w:tab/>
        <w:t>Drawing up etc. judgments etc.</w:t>
      </w:r>
      <w:r>
        <w:tab/>
      </w:r>
      <w:r>
        <w:fldChar w:fldCharType="begin"/>
      </w:r>
      <w:r>
        <w:instrText xml:space="preserve"> PAGEREF _Toc129077862 \h </w:instrText>
      </w:r>
      <w:r>
        <w:fldChar w:fldCharType="separate"/>
      </w:r>
      <w:r>
        <w:t>276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order need not be drawn up</w:t>
      </w:r>
      <w:r>
        <w:tab/>
      </w:r>
      <w:r>
        <w:fldChar w:fldCharType="begin"/>
      </w:r>
      <w:r>
        <w:instrText xml:space="preserve"> PAGEREF _Toc129077863 \h </w:instrText>
      </w:r>
      <w:r>
        <w:fldChar w:fldCharType="separate"/>
      </w:r>
      <w:r>
        <w:t>276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Authentication of judgments and orders</w:t>
      </w:r>
      <w:r>
        <w:tab/>
      </w:r>
      <w:r>
        <w:fldChar w:fldCharType="begin"/>
      </w:r>
      <w:r>
        <w:instrText xml:space="preserve"> PAGEREF _Toc129077864 \h </w:instrText>
      </w:r>
      <w:r>
        <w:fldChar w:fldCharType="separate"/>
      </w:r>
      <w:r>
        <w:t>277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Judgments and orders to be court record; issue and use of duplicates</w:t>
      </w:r>
      <w:r>
        <w:tab/>
      </w:r>
      <w:r>
        <w:fldChar w:fldCharType="begin"/>
      </w:r>
      <w:r>
        <w:instrText xml:space="preserve"> PAGEREF _Toc129077865 \h </w:instrText>
      </w:r>
      <w:r>
        <w:fldChar w:fldCharType="separate"/>
      </w:r>
      <w:r>
        <w:t>277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Amending orders</w:t>
      </w:r>
      <w:r>
        <w:tab/>
      </w:r>
      <w:r>
        <w:fldChar w:fldCharType="begin"/>
      </w:r>
      <w:r>
        <w:instrText xml:space="preserve"> PAGEREF _Toc129077866 \h </w:instrText>
      </w:r>
      <w:r>
        <w:fldChar w:fldCharType="separate"/>
      </w:r>
      <w:r>
        <w:t>278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Draft judgment or order to be filed</w:t>
      </w:r>
      <w:r>
        <w:tab/>
      </w:r>
      <w:r>
        <w:fldChar w:fldCharType="begin"/>
      </w:r>
      <w:r>
        <w:instrText xml:space="preserve"> PAGEREF _Toc129077867 \h </w:instrText>
      </w:r>
      <w:r>
        <w:fldChar w:fldCharType="separate"/>
      </w:r>
      <w:r>
        <w:t>278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Appointment to settle draft</w:t>
      </w:r>
      <w:r>
        <w:tab/>
      </w:r>
      <w:r>
        <w:fldChar w:fldCharType="begin"/>
      </w:r>
      <w:r>
        <w:instrText xml:space="preserve"> PAGEREF _Toc129077868 \h </w:instrText>
      </w:r>
      <w:r>
        <w:fldChar w:fldCharType="separate"/>
      </w:r>
      <w:r>
        <w:t>279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Attendance on settling draft</w:t>
      </w:r>
      <w:r>
        <w:tab/>
      </w:r>
      <w:r>
        <w:fldChar w:fldCharType="begin"/>
      </w:r>
      <w:r>
        <w:instrText xml:space="preserve"> PAGEREF _Toc129077869 \h </w:instrText>
      </w:r>
      <w:r>
        <w:fldChar w:fldCharType="separate"/>
      </w:r>
      <w:r>
        <w:t>279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Default of attendance on settling draft</w:t>
      </w:r>
      <w:r>
        <w:tab/>
      </w:r>
      <w:r>
        <w:fldChar w:fldCharType="begin"/>
      </w:r>
      <w:r>
        <w:instrText xml:space="preserve"> PAGEREF _Toc129077870 \h </w:instrText>
      </w:r>
      <w:r>
        <w:fldChar w:fldCharType="separate"/>
      </w:r>
      <w:r>
        <w:t>280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Dispensing with appointment</w:t>
      </w:r>
      <w:r>
        <w:tab/>
      </w:r>
      <w:r>
        <w:fldChar w:fldCharType="begin"/>
      </w:r>
      <w:r>
        <w:instrText xml:space="preserve"> PAGEREF _Toc129077871 \h </w:instrText>
      </w:r>
      <w:r>
        <w:fldChar w:fldCharType="separate"/>
      </w:r>
      <w:r>
        <w:t>280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Registrar’s and Court’s powers to settle judgments etc.</w:t>
      </w:r>
      <w:r>
        <w:tab/>
      </w:r>
      <w:r>
        <w:fldChar w:fldCharType="begin"/>
      </w:r>
      <w:r>
        <w:instrText xml:space="preserve"> PAGEREF _Toc129077872 \h </w:instrText>
      </w:r>
      <w:r>
        <w:fldChar w:fldCharType="separate"/>
      </w:r>
      <w:r>
        <w:t>280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Party to engross settled judgment or order</w:t>
      </w:r>
      <w:r>
        <w:tab/>
      </w:r>
      <w:r>
        <w:fldChar w:fldCharType="begin"/>
      </w:r>
      <w:r>
        <w:instrText xml:space="preserve"> PAGEREF _Toc129077873 \h </w:instrText>
      </w:r>
      <w:r>
        <w:fldChar w:fldCharType="separate"/>
      </w:r>
      <w:r>
        <w:t>281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Certificate for special allowance on taxation of costs</w:t>
      </w:r>
      <w:r>
        <w:tab/>
      </w:r>
      <w:r>
        <w:fldChar w:fldCharType="begin"/>
      </w:r>
      <w:r>
        <w:instrText xml:space="preserve"> PAGEREF _Toc129077874 \h </w:instrText>
      </w:r>
      <w:r>
        <w:fldChar w:fldCharType="separate"/>
      </w:r>
      <w:r>
        <w:t>281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Entry of judgments and orders</w:t>
      </w:r>
      <w:r>
        <w:tab/>
      </w:r>
      <w:r>
        <w:fldChar w:fldCharType="begin"/>
      </w:r>
      <w:r>
        <w:instrText xml:space="preserve"> PAGEREF _Toc129077875 \h </w:instrText>
      </w:r>
      <w:r>
        <w:fldChar w:fldCharType="separate"/>
      </w:r>
      <w:r>
        <w:t>282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to vary</w:t>
      </w:r>
      <w:r>
        <w:tab/>
      </w:r>
      <w:r>
        <w:fldChar w:fldCharType="begin"/>
      </w:r>
      <w:r>
        <w:instrText xml:space="preserve"> PAGEREF _Toc129077876 \h </w:instrText>
      </w:r>
      <w:r>
        <w:fldChar w:fldCharType="separate"/>
      </w:r>
      <w:r>
        <w:t>282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Consent orders</w:t>
      </w:r>
      <w:r>
        <w:tab/>
      </w:r>
      <w:r>
        <w:fldChar w:fldCharType="begin"/>
      </w:r>
      <w:r>
        <w:instrText xml:space="preserve"> PAGEREF _Toc129077877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Order 44A — </w:t>
      </w:r>
      <w:r>
        <w:rPr>
          <w:i/>
          <w:iCs/>
        </w:rPr>
        <w:t xml:space="preserve">Foreign Judgments Act 1991 </w:t>
      </w:r>
      <w:r>
        <w:t>(Commonwealth)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_Toc129077879 \h </w:instrText>
      </w:r>
      <w:r>
        <w:fldChar w:fldCharType="separate"/>
      </w:r>
      <w:r>
        <w:t>284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_Toc129077880 \h </w:instrText>
      </w:r>
      <w:r>
        <w:fldChar w:fldCharType="separate"/>
      </w:r>
      <w:r>
        <w:t>284</w:t>
      </w:r>
      <w:r>
        <w:fldChar w:fldCharType="end"/>
      </w:r>
    </w:p>
    <w:p>
      <w:pPr>
        <w:pStyle w:val="TOC8"/>
        <w:rPr>
          <w:rFonts w:asciiTheme="minorHAnsi" w:eastAsiaTheme="minorEastAsia" w:hAnsiTheme="minorHAnsi" w:cstheme="minorBidi"/>
          <w:szCs w:val="22"/>
        </w:rPr>
      </w:pPr>
      <w:r>
        <w:lastRenderedPageBreak/>
        <w:t>3</w:t>
      </w:r>
      <w:r>
        <w:rPr>
          <w:snapToGrid w:val="0"/>
        </w:rPr>
        <w:t>.</w:t>
      </w:r>
      <w:r>
        <w:rPr>
          <w:snapToGrid w:val="0"/>
        </w:rPr>
        <w:tab/>
        <w:t>Application for registration (Act s. 6)</w:t>
      </w:r>
      <w:r>
        <w:tab/>
      </w:r>
      <w:r>
        <w:fldChar w:fldCharType="begin"/>
      </w:r>
      <w:r>
        <w:instrText xml:space="preserve"> PAGEREF _Toc129077881 \h </w:instrText>
      </w:r>
      <w:r>
        <w:fldChar w:fldCharType="separate"/>
      </w:r>
      <w:r>
        <w:t>284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in support of application</w:t>
      </w:r>
      <w:r>
        <w:tab/>
      </w:r>
      <w:r>
        <w:fldChar w:fldCharType="begin"/>
      </w:r>
      <w:r>
        <w:instrText xml:space="preserve"> PAGEREF _Toc129077882 \h </w:instrText>
      </w:r>
      <w:r>
        <w:fldChar w:fldCharType="separate"/>
      </w:r>
      <w:r>
        <w:t>285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Security for costs</w:t>
      </w:r>
      <w:r>
        <w:tab/>
      </w:r>
      <w:r>
        <w:fldChar w:fldCharType="begin"/>
      </w:r>
      <w:r>
        <w:instrText xml:space="preserve"> PAGEREF _Toc129077883 \h </w:instrText>
      </w:r>
      <w:r>
        <w:fldChar w:fldCharType="separate"/>
      </w:r>
      <w:r>
        <w:t>286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 for registration</w:t>
      </w:r>
      <w:r>
        <w:tab/>
      </w:r>
      <w:r>
        <w:fldChar w:fldCharType="begin"/>
      </w:r>
      <w:r>
        <w:instrText xml:space="preserve"> PAGEREF _Toc129077884 \h </w:instrText>
      </w:r>
      <w:r>
        <w:fldChar w:fldCharType="separate"/>
      </w:r>
      <w:r>
        <w:t>286</w:t>
      </w:r>
      <w:r>
        <w:fldChar w:fldCharType="end"/>
      </w:r>
    </w:p>
    <w:p>
      <w:pPr>
        <w:pStyle w:val="TOC8"/>
        <w:rPr>
          <w:rFonts w:asciiTheme="minorHAnsi" w:eastAsiaTheme="minorEastAsia" w:hAnsiTheme="minorHAnsi" w:cstheme="minorBidi"/>
          <w:szCs w:val="22"/>
        </w:rPr>
      </w:pPr>
      <w:r>
        <w:t>7.</w:t>
      </w:r>
      <w:r>
        <w:tab/>
        <w:t>Record to be kept of registered judgments</w:t>
      </w:r>
      <w:r>
        <w:tab/>
      </w:r>
      <w:r>
        <w:fldChar w:fldCharType="begin"/>
      </w:r>
      <w:r>
        <w:instrText xml:space="preserve"> PAGEREF _Toc129077885 \h </w:instrText>
      </w:r>
      <w:r>
        <w:fldChar w:fldCharType="separate"/>
      </w:r>
      <w:r>
        <w:t>287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Notice of registration</w:t>
      </w:r>
      <w:r>
        <w:tab/>
      </w:r>
      <w:r>
        <w:fldChar w:fldCharType="begin"/>
      </w:r>
      <w:r>
        <w:instrText xml:space="preserve"> PAGEREF _Toc129077886 \h </w:instrText>
      </w:r>
      <w:r>
        <w:fldChar w:fldCharType="separate"/>
      </w:r>
      <w:r>
        <w:t>287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Indorsement of service</w:t>
      </w:r>
      <w:r>
        <w:tab/>
      </w:r>
      <w:r>
        <w:fldChar w:fldCharType="begin"/>
      </w:r>
      <w:r>
        <w:instrText xml:space="preserve"> PAGEREF _Toc129077887 \h </w:instrText>
      </w:r>
      <w:r>
        <w:fldChar w:fldCharType="separate"/>
      </w:r>
      <w:r>
        <w:t>288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set aside registration</w:t>
      </w:r>
      <w:r>
        <w:tab/>
      </w:r>
      <w:r>
        <w:fldChar w:fldCharType="begin"/>
      </w:r>
      <w:r>
        <w:instrText xml:space="preserve"> PAGEREF _Toc129077888 \h </w:instrText>
      </w:r>
      <w:r>
        <w:fldChar w:fldCharType="separate"/>
      </w:r>
      <w:r>
        <w:t>288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Enforcing registered judgment</w:t>
      </w:r>
      <w:r>
        <w:tab/>
      </w:r>
      <w:r>
        <w:fldChar w:fldCharType="begin"/>
      </w:r>
      <w:r>
        <w:instrText xml:space="preserve"> PAGEREF _Toc129077889 \h </w:instrText>
      </w:r>
      <w:r>
        <w:fldChar w:fldCharType="separate"/>
      </w:r>
      <w:r>
        <w:t>288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Determination of certain questions</w:t>
      </w:r>
      <w:r>
        <w:tab/>
      </w:r>
      <w:r>
        <w:fldChar w:fldCharType="begin"/>
      </w:r>
      <w:r>
        <w:instrText xml:space="preserve"> PAGEREF _Toc129077890 \h </w:instrText>
      </w:r>
      <w:r>
        <w:fldChar w:fldCharType="separate"/>
      </w:r>
      <w:r>
        <w:t>289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Certified copy of judgment obtained in this State</w:t>
      </w:r>
      <w:r>
        <w:tab/>
      </w:r>
      <w:r>
        <w:fldChar w:fldCharType="begin"/>
      </w:r>
      <w:r>
        <w:instrText xml:space="preserve"> PAGEREF _Toc129077891 \h </w:instrText>
      </w:r>
      <w:r>
        <w:fldChar w:fldCharType="separate"/>
      </w:r>
      <w:r>
        <w:t>289</w:t>
      </w:r>
      <w:r>
        <w:fldChar w:fldCharType="end"/>
      </w:r>
    </w:p>
    <w:p>
      <w:pPr>
        <w:pStyle w:val="TOC2"/>
        <w:tabs>
          <w:tab w:val="right" w:leader="dot" w:pos="7077"/>
        </w:tabs>
        <w:rPr>
          <w:rFonts w:asciiTheme="minorHAnsi" w:eastAsiaTheme="minorEastAsia" w:hAnsiTheme="minorHAnsi" w:cstheme="minorBidi"/>
          <w:b w:val="0"/>
          <w:sz w:val="22"/>
          <w:szCs w:val="22"/>
        </w:rPr>
      </w:pPr>
      <w:r>
        <w:t>Order 45 — Accounts and inquiries</w:t>
      </w:r>
    </w:p>
    <w:p>
      <w:pPr>
        <w:pStyle w:val="TOC8"/>
        <w:rPr>
          <w:rFonts w:asciiTheme="minorHAnsi" w:eastAsiaTheme="minorEastAsia" w:hAnsiTheme="minorHAnsi" w:cstheme="minorBidi"/>
          <w:szCs w:val="22"/>
        </w:rPr>
      </w:pPr>
      <w:r>
        <w:t>1</w:t>
      </w:r>
      <w:r>
        <w:rPr>
          <w:snapToGrid w:val="0"/>
        </w:rPr>
        <w:t>.</w:t>
      </w:r>
      <w:r>
        <w:rPr>
          <w:snapToGrid w:val="0"/>
        </w:rPr>
        <w:tab/>
        <w:t>Summary order for account to be taken</w:t>
      </w:r>
      <w:r>
        <w:tab/>
      </w:r>
      <w:r>
        <w:fldChar w:fldCharType="begin"/>
      </w:r>
      <w:r>
        <w:instrText xml:space="preserve"> PAGEREF _Toc129077893 \h </w:instrText>
      </w:r>
      <w:r>
        <w:fldChar w:fldCharType="separate"/>
      </w:r>
      <w:r>
        <w:t>292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Direction for accounts etc. may be made at any stage</w:t>
      </w:r>
      <w:r>
        <w:tab/>
      </w:r>
      <w:r>
        <w:fldChar w:fldCharType="begin"/>
      </w:r>
      <w:r>
        <w:instrText xml:space="preserve"> PAGEREF _Toc129077894 \h </w:instrText>
      </w:r>
      <w:r>
        <w:fldChar w:fldCharType="separate"/>
      </w:r>
      <w:r>
        <w:t>292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 to be numbered</w:t>
      </w:r>
      <w:r>
        <w:tab/>
      </w:r>
      <w:r>
        <w:fldChar w:fldCharType="begin"/>
      </w:r>
      <w:r>
        <w:instrText xml:space="preserve"> PAGEREF _Toc129077895 \h </w:instrText>
      </w:r>
      <w:r>
        <w:fldChar w:fldCharType="separate"/>
      </w:r>
      <w:r>
        <w:t>292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 as to mode of taking account</w:t>
      </w:r>
      <w:r>
        <w:tab/>
      </w:r>
      <w:r>
        <w:fldChar w:fldCharType="begin"/>
      </w:r>
      <w:r>
        <w:instrText xml:space="preserve"> PAGEREF _Toc129077896 \h </w:instrText>
      </w:r>
      <w:r>
        <w:fldChar w:fldCharType="separate"/>
      </w:r>
      <w:r>
        <w:t>292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 to be verified</w:t>
      </w:r>
      <w:r>
        <w:tab/>
      </w:r>
      <w:r>
        <w:fldChar w:fldCharType="begin"/>
      </w:r>
      <w:r>
        <w:instrText xml:space="preserve"> PAGEREF _Toc129077897 \h </w:instrText>
      </w:r>
      <w:r>
        <w:fldChar w:fldCharType="separate"/>
      </w:r>
      <w:r>
        <w:t>293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Vouchers and contested etc. items, directions as to</w:t>
      </w:r>
      <w:r>
        <w:tab/>
      </w:r>
      <w:r>
        <w:fldChar w:fldCharType="begin"/>
      </w:r>
      <w:r>
        <w:instrText xml:space="preserve"> PAGEREF _Toc129077898 \h </w:instrText>
      </w:r>
      <w:r>
        <w:fldChar w:fldCharType="separate"/>
      </w:r>
      <w:r>
        <w:t>293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Surcharge or error, notice of</w:t>
      </w:r>
      <w:r>
        <w:tab/>
      </w:r>
      <w:r>
        <w:fldChar w:fldCharType="begin"/>
      </w:r>
      <w:r>
        <w:instrText xml:space="preserve"> PAGEREF _Toc129077899 \h </w:instrText>
      </w:r>
      <w:r>
        <w:fldChar w:fldCharType="separate"/>
      </w:r>
      <w:r>
        <w:t>293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Allowances that can be made without direction</w:t>
      </w:r>
      <w:r>
        <w:tab/>
      </w:r>
      <w:r>
        <w:fldChar w:fldCharType="begin"/>
      </w:r>
      <w:r>
        <w:instrText xml:space="preserve"> PAGEREF _Toc129077900 \h </w:instrText>
      </w:r>
      <w:r>
        <w:fldChar w:fldCharType="separate"/>
      </w:r>
      <w:r>
        <w:t>294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Expediting proceedings</w:t>
      </w:r>
      <w:r>
        <w:tab/>
      </w:r>
      <w:r>
        <w:fldChar w:fldCharType="begin"/>
      </w:r>
      <w:r>
        <w:instrText xml:space="preserve"> PAGEREF _Toc129077901 \h </w:instrText>
      </w:r>
      <w:r>
        <w:fldChar w:fldCharType="separate"/>
      </w:r>
      <w:r>
        <w:t>294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Distributing fund before all persons entitled are ascertained</w:t>
      </w:r>
      <w:r>
        <w:tab/>
      </w:r>
      <w:r>
        <w:fldChar w:fldCharType="begin"/>
      </w:r>
      <w:r>
        <w:instrText xml:space="preserve"> PAGEREF _Toc129077902 \h </w:instrText>
      </w:r>
      <w:r>
        <w:fldChar w:fldCharType="separate"/>
      </w:r>
      <w:r>
        <w:t>294</w:t>
      </w:r>
      <w:r>
        <w:fldChar w:fldCharType="end"/>
      </w:r>
    </w:p>
    <w:p>
      <w:pPr>
        <w:pStyle w:val="TOC8"/>
        <w:rPr>
          <w:rFonts w:asciiTheme="minorHAnsi" w:eastAsiaTheme="minorEastAsia" w:hAnsiTheme="minorHAnsi" w:cstheme="minorBidi"/>
          <w:szCs w:val="22"/>
        </w:rPr>
      </w:pPr>
      <w:r>
        <w:t>11.</w:t>
      </w:r>
      <w:r>
        <w:tab/>
        <w:t>Master etc. may be ordered to take accounts or make inquiries</w:t>
      </w:r>
      <w:r>
        <w:tab/>
      </w:r>
      <w:r>
        <w:fldChar w:fldCharType="begin"/>
      </w:r>
      <w:r>
        <w:instrText xml:space="preserve"> PAGEREF _Toc129077903 \h </w:instrText>
      </w:r>
      <w:r>
        <w:fldChar w:fldCharType="separate"/>
      </w:r>
      <w:r>
        <w:t>295</w:t>
      </w:r>
      <w:r>
        <w:fldChar w:fldCharType="end"/>
      </w:r>
    </w:p>
    <w:p>
      <w:pPr>
        <w:pStyle w:val="TOC8"/>
        <w:rPr>
          <w:rFonts w:asciiTheme="minorHAnsi" w:eastAsiaTheme="minorEastAsia" w:hAnsiTheme="minorHAnsi" w:cstheme="minorBidi"/>
          <w:szCs w:val="22"/>
        </w:rPr>
      </w:pPr>
      <w:r>
        <w:t>12.</w:t>
      </w:r>
      <w:r>
        <w:tab/>
        <w:t>Right to adjournment from registrar etc.</w:t>
      </w:r>
      <w:r>
        <w:tab/>
      </w:r>
      <w:r>
        <w:fldChar w:fldCharType="begin"/>
      </w:r>
      <w:r>
        <w:instrText xml:space="preserve"> PAGEREF _Toc129077904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Order 46</w:t>
      </w:r>
      <w:r>
        <w:rPr>
          <w:b w:val="0"/>
        </w:rPr>
        <w:t> </w:t>
      </w:r>
      <w:r>
        <w:t>—</w:t>
      </w:r>
      <w:r>
        <w:rPr>
          <w:b w:val="0"/>
        </w:rPr>
        <w:t> </w:t>
      </w:r>
      <w:r>
        <w:rPr>
          <w:i/>
          <w:iCs/>
        </w:rPr>
        <w:t>Civil Judgments Enforcement Act 2004</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_Toc129077906 \h </w:instrText>
      </w:r>
      <w:r>
        <w:fldChar w:fldCharType="separate"/>
      </w:r>
      <w:r>
        <w:t>296</w:t>
      </w:r>
      <w:r>
        <w:fldChar w:fldCharType="end"/>
      </w:r>
    </w:p>
    <w:p>
      <w:pPr>
        <w:pStyle w:val="TOC8"/>
        <w:rPr>
          <w:rFonts w:asciiTheme="minorHAnsi" w:eastAsiaTheme="minorEastAsia" w:hAnsiTheme="minorHAnsi" w:cstheme="minorBidi"/>
          <w:szCs w:val="22"/>
        </w:rPr>
      </w:pPr>
      <w:r>
        <w:t>2.</w:t>
      </w:r>
      <w:r>
        <w:tab/>
        <w:t>Applications that may be dealt with by registrar</w:t>
      </w:r>
      <w:r>
        <w:tab/>
      </w:r>
      <w:r>
        <w:fldChar w:fldCharType="begin"/>
      </w:r>
      <w:r>
        <w:instrText xml:space="preserve"> PAGEREF _Toc129077907 \h </w:instrText>
      </w:r>
      <w:r>
        <w:fldChar w:fldCharType="separate"/>
      </w:r>
      <w:r>
        <w:t>296</w:t>
      </w:r>
      <w:r>
        <w:fldChar w:fldCharType="end"/>
      </w:r>
    </w:p>
    <w:p>
      <w:pPr>
        <w:pStyle w:val="TOC8"/>
        <w:rPr>
          <w:rFonts w:asciiTheme="minorHAnsi" w:eastAsiaTheme="minorEastAsia" w:hAnsiTheme="minorHAnsi" w:cstheme="minorBidi"/>
          <w:szCs w:val="22"/>
        </w:rPr>
      </w:pPr>
      <w:r>
        <w:t>3.</w:t>
      </w:r>
      <w:r>
        <w:tab/>
        <w:t>Enforcing judgment in action between partners</w:t>
      </w:r>
      <w:r>
        <w:tab/>
      </w:r>
      <w:r>
        <w:fldChar w:fldCharType="begin"/>
      </w:r>
      <w:r>
        <w:instrText xml:space="preserve"> PAGEREF _Toc129077908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Order 51 — Receivers</w:t>
      </w:r>
    </w:p>
    <w:p>
      <w:pPr>
        <w:pStyle w:val="TOC8"/>
        <w:rPr>
          <w:rFonts w:asciiTheme="minorHAnsi" w:eastAsiaTheme="minorEastAsia" w:hAnsiTheme="minorHAnsi" w:cstheme="minorBidi"/>
          <w:szCs w:val="22"/>
        </w:rPr>
      </w:pPr>
      <w:r>
        <w:t>1</w:t>
      </w:r>
      <w:r>
        <w:rPr>
          <w:snapToGrid w:val="0"/>
        </w:rPr>
        <w:t>.</w:t>
      </w:r>
      <w:r>
        <w:rPr>
          <w:snapToGrid w:val="0"/>
        </w:rPr>
        <w:tab/>
        <w:t>Application for receiver and injunction</w:t>
      </w:r>
      <w:r>
        <w:tab/>
      </w:r>
      <w:r>
        <w:fldChar w:fldCharType="begin"/>
      </w:r>
      <w:r>
        <w:instrText xml:space="preserve"> PAGEREF _Toc129077910 \h </w:instrText>
      </w:r>
      <w:r>
        <w:fldChar w:fldCharType="separate"/>
      </w:r>
      <w:r>
        <w:t>298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Security to be given by receiver</w:t>
      </w:r>
      <w:r>
        <w:tab/>
      </w:r>
      <w:r>
        <w:fldChar w:fldCharType="begin"/>
      </w:r>
      <w:r>
        <w:instrText xml:space="preserve"> PAGEREF _Toc129077911 \h </w:instrText>
      </w:r>
      <w:r>
        <w:fldChar w:fldCharType="separate"/>
      </w:r>
      <w:r>
        <w:t>298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Remuneration of receiver</w:t>
      </w:r>
      <w:r>
        <w:tab/>
      </w:r>
      <w:r>
        <w:fldChar w:fldCharType="begin"/>
      </w:r>
      <w:r>
        <w:instrText xml:space="preserve"> PAGEREF _Toc129077912 \h </w:instrText>
      </w:r>
      <w:r>
        <w:fldChar w:fldCharType="separate"/>
      </w:r>
      <w:r>
        <w:t>299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Accounts by receiver</w:t>
      </w:r>
      <w:r>
        <w:tab/>
      </w:r>
      <w:r>
        <w:fldChar w:fldCharType="begin"/>
      </w:r>
      <w:r>
        <w:instrText xml:space="preserve"> PAGEREF _Toc129077913 \h </w:instrText>
      </w:r>
      <w:r>
        <w:fldChar w:fldCharType="separate"/>
      </w:r>
      <w:r>
        <w:t>299</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Payment of balances by receiver</w:t>
      </w:r>
      <w:r>
        <w:tab/>
      </w:r>
      <w:r>
        <w:fldChar w:fldCharType="begin"/>
      </w:r>
      <w:r>
        <w:instrText xml:space="preserve"> PAGEREF _Toc129077914 \h </w:instrText>
      </w:r>
      <w:r>
        <w:fldChar w:fldCharType="separate"/>
      </w:r>
      <w:r>
        <w:t>299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Default by receiver</w:t>
      </w:r>
      <w:r>
        <w:tab/>
      </w:r>
      <w:r>
        <w:fldChar w:fldCharType="begin"/>
      </w:r>
      <w:r>
        <w:instrText xml:space="preserve"> PAGEREF _Toc129077915 \h </w:instrText>
      </w:r>
      <w:r>
        <w:fldChar w:fldCharType="separate"/>
      </w:r>
      <w:r>
        <w:t>300</w:t>
      </w:r>
      <w:r>
        <w:fldChar w:fldCharType="end"/>
      </w:r>
    </w:p>
    <w:p>
      <w:pPr>
        <w:pStyle w:val="TOC8"/>
        <w:rPr>
          <w:rFonts w:asciiTheme="minorHAnsi" w:eastAsiaTheme="minorEastAsia" w:hAnsiTheme="minorHAnsi" w:cstheme="minorBidi"/>
          <w:szCs w:val="22"/>
        </w:rPr>
      </w:pPr>
      <w:r>
        <w:t>8.</w:t>
      </w:r>
      <w:r>
        <w:tab/>
        <w:t>Final accounts to be filed</w:t>
      </w:r>
      <w:r>
        <w:tab/>
      </w:r>
      <w:r>
        <w:fldChar w:fldCharType="begin"/>
      </w:r>
      <w:r>
        <w:instrText xml:space="preserve"> PAGEREF _Toc129077916 \h </w:instrText>
      </w:r>
      <w:r>
        <w:fldChar w:fldCharType="separate"/>
      </w:r>
      <w:r>
        <w:t>300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Compensation to party restrained</w:t>
      </w:r>
      <w:r>
        <w:tab/>
      </w:r>
      <w:r>
        <w:fldChar w:fldCharType="begin"/>
      </w:r>
      <w:r>
        <w:instrText xml:space="preserve"> PAGEREF _Toc129077917 \h </w:instrText>
      </w:r>
      <w:r>
        <w:fldChar w:fldCharType="separate"/>
      </w:r>
      <w:r>
        <w:t>301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by applicant to party restrained</w:t>
      </w:r>
      <w:r>
        <w:tab/>
      </w:r>
      <w:r>
        <w:fldChar w:fldCharType="begin"/>
      </w:r>
      <w:r>
        <w:instrText xml:space="preserve"> PAGEREF _Toc129077918 \h </w:instrText>
      </w:r>
      <w:r>
        <w:fldChar w:fldCharType="separate"/>
      </w:r>
      <w:r>
        <w:t>301</w:t>
      </w:r>
      <w:r>
        <w:fldChar w:fldCharType="end"/>
      </w:r>
    </w:p>
    <w:p>
      <w:pPr>
        <w:pStyle w:val="TOC8"/>
        <w:rPr>
          <w:rFonts w:asciiTheme="minorHAnsi" w:eastAsiaTheme="minorEastAsia" w:hAnsiTheme="minorHAnsi" w:cstheme="minorBidi"/>
          <w:szCs w:val="22"/>
        </w:rPr>
      </w:pPr>
      <w:r>
        <w:t>11.</w:t>
      </w:r>
      <w:r>
        <w:tab/>
        <w:t xml:space="preserve">Application to </w:t>
      </w:r>
      <w:r>
        <w:rPr>
          <w:i/>
        </w:rPr>
        <w:t>Civil Judgments Enforcement Act 2004</w:t>
      </w:r>
      <w:r>
        <w:tab/>
      </w:r>
      <w:r>
        <w:fldChar w:fldCharType="begin"/>
      </w:r>
      <w:r>
        <w:instrText xml:space="preserve"> PAGEREF _Toc129077919 \h </w:instrText>
      </w:r>
      <w:r>
        <w:fldChar w:fldCharType="separate"/>
      </w:r>
      <w:r>
        <w:t>301</w:t>
      </w:r>
      <w:r>
        <w:fldChar w:fldCharType="end"/>
      </w:r>
    </w:p>
    <w:p>
      <w:pPr>
        <w:pStyle w:val="TOC2"/>
        <w:tabs>
          <w:tab w:val="right" w:leader="dot" w:pos="7077"/>
        </w:tabs>
        <w:rPr>
          <w:rFonts w:asciiTheme="minorHAnsi" w:eastAsiaTheme="minorEastAsia" w:hAnsiTheme="minorHAnsi" w:cstheme="minorBidi"/>
          <w:b w:val="0"/>
          <w:sz w:val="22"/>
          <w:szCs w:val="22"/>
        </w:rPr>
      </w:pPr>
      <w:r>
        <w:t>Order 52 — Interlocutory injunctions, interim preservation of property</w:t>
      </w:r>
    </w:p>
    <w:p>
      <w:pPr>
        <w:pStyle w:val="TOC8"/>
        <w:rPr>
          <w:rFonts w:asciiTheme="minorHAnsi" w:eastAsiaTheme="minorEastAsia" w:hAnsiTheme="minorHAnsi" w:cstheme="minorBidi"/>
          <w:szCs w:val="22"/>
        </w:rPr>
      </w:pPr>
      <w:r>
        <w:t>1</w:t>
      </w:r>
      <w:r>
        <w:rPr>
          <w:snapToGrid w:val="0"/>
        </w:rPr>
        <w:t>.</w:t>
      </w:r>
      <w:r>
        <w:rPr>
          <w:snapToGrid w:val="0"/>
        </w:rPr>
        <w:tab/>
        <w:t>Application for injunction</w:t>
      </w:r>
      <w:r>
        <w:tab/>
      </w:r>
      <w:r>
        <w:fldChar w:fldCharType="begin"/>
      </w:r>
      <w:r>
        <w:instrText xml:space="preserve"> PAGEREF _Toc129077921 \h </w:instrText>
      </w:r>
      <w:r>
        <w:fldChar w:fldCharType="separate"/>
      </w:r>
      <w:r>
        <w:t>302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Detention etc. of property; securing funds in dispute</w:t>
      </w:r>
      <w:r>
        <w:tab/>
      </w:r>
      <w:r>
        <w:fldChar w:fldCharType="begin"/>
      </w:r>
      <w:r>
        <w:instrText xml:space="preserve"> PAGEREF _Toc129077922 \h </w:instrText>
      </w:r>
      <w:r>
        <w:fldChar w:fldCharType="separate"/>
      </w:r>
      <w:r>
        <w:t>302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order taking of samples etc.</w:t>
      </w:r>
      <w:r>
        <w:tab/>
      </w:r>
      <w:r>
        <w:fldChar w:fldCharType="begin"/>
      </w:r>
      <w:r>
        <w:instrText xml:space="preserve"> PAGEREF _Toc129077923 \h </w:instrText>
      </w:r>
      <w:r>
        <w:fldChar w:fldCharType="separate"/>
      </w:r>
      <w:r>
        <w:t>303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Disposal of perishable property etc.</w:t>
      </w:r>
      <w:r>
        <w:tab/>
      </w:r>
      <w:r>
        <w:fldChar w:fldCharType="begin"/>
      </w:r>
      <w:r>
        <w:instrText xml:space="preserve"> PAGEREF _Toc129077924 \h </w:instrText>
      </w:r>
      <w:r>
        <w:fldChar w:fldCharType="separate"/>
      </w:r>
      <w:r>
        <w:t>303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Order for early trial on application for receiver, injunction etc.</w:t>
      </w:r>
      <w:r>
        <w:tab/>
      </w:r>
      <w:r>
        <w:fldChar w:fldCharType="begin"/>
      </w:r>
      <w:r>
        <w:instrText xml:space="preserve"> PAGEREF _Toc129077925 \h </w:instrText>
      </w:r>
      <w:r>
        <w:fldChar w:fldCharType="separate"/>
      </w:r>
      <w:r>
        <w:t>304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Recovering personal property subject to lien</w:t>
      </w:r>
      <w:r>
        <w:tab/>
      </w:r>
      <w:r>
        <w:fldChar w:fldCharType="begin"/>
      </w:r>
      <w:r>
        <w:instrText xml:space="preserve"> PAGEREF _Toc129077926 \h </w:instrText>
      </w:r>
      <w:r>
        <w:fldChar w:fldCharType="separate"/>
      </w:r>
      <w:r>
        <w:t>304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Directions</w:t>
      </w:r>
      <w:r>
        <w:tab/>
      </w:r>
      <w:r>
        <w:fldChar w:fldCharType="begin"/>
      </w:r>
      <w:r>
        <w:instrText xml:space="preserve"> PAGEREF _Toc129077927 \h </w:instrText>
      </w:r>
      <w:r>
        <w:fldChar w:fldCharType="separate"/>
      </w:r>
      <w:r>
        <w:t>305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Allowance of income or transfer of property during case</w:t>
      </w:r>
      <w:r>
        <w:tab/>
      </w:r>
      <w:r>
        <w:fldChar w:fldCharType="begin"/>
      </w:r>
      <w:r>
        <w:instrText xml:space="preserve"> PAGEREF _Toc129077928 \h </w:instrText>
      </w:r>
      <w:r>
        <w:fldChar w:fldCharType="separate"/>
      </w:r>
      <w:r>
        <w:t>305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Injunction to include undertaking as to compensation to party restrained</w:t>
      </w:r>
      <w:r>
        <w:tab/>
      </w:r>
      <w:r>
        <w:fldChar w:fldCharType="begin"/>
      </w:r>
      <w:r>
        <w:instrText xml:space="preserve"> PAGEREF _Toc129077929 \h </w:instrText>
      </w:r>
      <w:r>
        <w:fldChar w:fldCharType="separate"/>
      </w:r>
      <w:r>
        <w:t>305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Compensation to party restrained by undertaking</w:t>
      </w:r>
      <w:r>
        <w:tab/>
      </w:r>
      <w:r>
        <w:fldChar w:fldCharType="begin"/>
      </w:r>
      <w:r>
        <w:instrText xml:space="preserve"> PAGEREF _Toc129077930 \h </w:instrText>
      </w:r>
      <w:r>
        <w:fldChar w:fldCharType="separate"/>
      </w:r>
      <w:r>
        <w:t>306</w:t>
      </w:r>
      <w:r>
        <w:fldChar w:fldCharType="end"/>
      </w:r>
    </w:p>
    <w:p>
      <w:pPr>
        <w:pStyle w:val="TOC2"/>
        <w:tabs>
          <w:tab w:val="right" w:leader="dot" w:pos="7077"/>
        </w:tabs>
        <w:rPr>
          <w:rFonts w:asciiTheme="minorHAnsi" w:eastAsiaTheme="minorEastAsia" w:hAnsiTheme="minorHAnsi" w:cstheme="minorBidi"/>
          <w:b w:val="0"/>
          <w:sz w:val="22"/>
          <w:szCs w:val="22"/>
        </w:rPr>
      </w:pPr>
      <w:r>
        <w:t>Order 52A</w:t>
      </w:r>
      <w:r>
        <w:rPr>
          <w:b w:val="0"/>
        </w:rPr>
        <w:t> </w:t>
      </w:r>
      <w:r>
        <w:t>—</w:t>
      </w:r>
      <w:r>
        <w:rPr>
          <w:b w:val="0"/>
        </w:rPr>
        <w:t> </w:t>
      </w:r>
      <w:r>
        <w:t>Freezing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_Toc129077932 \h </w:instrText>
      </w:r>
      <w:r>
        <w:fldChar w:fldCharType="separate"/>
      </w:r>
      <w:r>
        <w:t>307</w:t>
      </w:r>
      <w:r>
        <w:fldChar w:fldCharType="end"/>
      </w:r>
    </w:p>
    <w:p>
      <w:pPr>
        <w:pStyle w:val="TOC8"/>
        <w:rPr>
          <w:rFonts w:asciiTheme="minorHAnsi" w:eastAsiaTheme="minorEastAsia" w:hAnsiTheme="minorHAnsi" w:cstheme="minorBidi"/>
          <w:szCs w:val="22"/>
        </w:rPr>
      </w:pPr>
      <w:r>
        <w:t>2.</w:t>
      </w:r>
      <w:r>
        <w:tab/>
        <w:t>Freezing order</w:t>
      </w:r>
      <w:r>
        <w:tab/>
      </w:r>
      <w:r>
        <w:fldChar w:fldCharType="begin"/>
      </w:r>
      <w:r>
        <w:instrText xml:space="preserve"> PAGEREF _Toc129077933 \h </w:instrText>
      </w:r>
      <w:r>
        <w:fldChar w:fldCharType="separate"/>
      </w:r>
      <w:r>
        <w:t>307</w:t>
      </w:r>
      <w:r>
        <w:fldChar w:fldCharType="end"/>
      </w:r>
    </w:p>
    <w:p>
      <w:pPr>
        <w:pStyle w:val="TOC8"/>
        <w:rPr>
          <w:rFonts w:asciiTheme="minorHAnsi" w:eastAsiaTheme="minorEastAsia" w:hAnsiTheme="minorHAnsi" w:cstheme="minorBidi"/>
          <w:szCs w:val="22"/>
        </w:rPr>
      </w:pPr>
      <w:r>
        <w:t>3.</w:t>
      </w:r>
      <w:r>
        <w:tab/>
        <w:t>Ancillary order</w:t>
      </w:r>
      <w:r>
        <w:tab/>
      </w:r>
      <w:r>
        <w:fldChar w:fldCharType="begin"/>
      </w:r>
      <w:r>
        <w:instrText xml:space="preserve"> PAGEREF _Toc129077934 \h </w:instrText>
      </w:r>
      <w:r>
        <w:fldChar w:fldCharType="separate"/>
      </w:r>
      <w:r>
        <w:t>307</w:t>
      </w:r>
      <w:r>
        <w:fldChar w:fldCharType="end"/>
      </w:r>
    </w:p>
    <w:p>
      <w:pPr>
        <w:pStyle w:val="TOC8"/>
        <w:rPr>
          <w:rFonts w:asciiTheme="minorHAnsi" w:eastAsiaTheme="minorEastAsia" w:hAnsiTheme="minorHAnsi" w:cstheme="minorBidi"/>
          <w:szCs w:val="22"/>
        </w:rPr>
      </w:pPr>
      <w:r>
        <w:t>4.</w:t>
      </w:r>
      <w:r>
        <w:tab/>
        <w:t>Respondent need not be party to proceeding</w:t>
      </w:r>
      <w:r>
        <w:tab/>
      </w:r>
      <w:r>
        <w:fldChar w:fldCharType="begin"/>
      </w:r>
      <w:r>
        <w:instrText xml:space="preserve"> PAGEREF _Toc129077935 \h </w:instrText>
      </w:r>
      <w:r>
        <w:fldChar w:fldCharType="separate"/>
      </w:r>
      <w:r>
        <w:t>308</w:t>
      </w:r>
      <w:r>
        <w:fldChar w:fldCharType="end"/>
      </w:r>
    </w:p>
    <w:p>
      <w:pPr>
        <w:pStyle w:val="TOC8"/>
        <w:rPr>
          <w:rFonts w:asciiTheme="minorHAnsi" w:eastAsiaTheme="minorEastAsia" w:hAnsiTheme="minorHAnsi" w:cstheme="minorBidi"/>
          <w:szCs w:val="22"/>
        </w:rPr>
      </w:pPr>
      <w:r>
        <w:t>5.</w:t>
      </w:r>
      <w:r>
        <w:tab/>
        <w:t>Order against judgment debtor, prospective judgment debtor or third party</w:t>
      </w:r>
      <w:r>
        <w:tab/>
      </w:r>
      <w:r>
        <w:fldChar w:fldCharType="begin"/>
      </w:r>
      <w:r>
        <w:instrText xml:space="preserve"> PAGEREF _Toc129077936 \h </w:instrText>
      </w:r>
      <w:r>
        <w:fldChar w:fldCharType="separate"/>
      </w:r>
      <w:r>
        <w:t>308</w:t>
      </w:r>
      <w:r>
        <w:fldChar w:fldCharType="end"/>
      </w:r>
    </w:p>
    <w:p>
      <w:pPr>
        <w:pStyle w:val="TOC8"/>
        <w:rPr>
          <w:rFonts w:asciiTheme="minorHAnsi" w:eastAsiaTheme="minorEastAsia" w:hAnsiTheme="minorHAnsi" w:cstheme="minorBidi"/>
          <w:szCs w:val="22"/>
        </w:rPr>
      </w:pPr>
      <w:r>
        <w:t>6.</w:t>
      </w:r>
      <w:r>
        <w:tab/>
        <w:t>Court’s other jurisdiction not affected</w:t>
      </w:r>
      <w:r>
        <w:tab/>
      </w:r>
      <w:r>
        <w:fldChar w:fldCharType="begin"/>
      </w:r>
      <w:r>
        <w:instrText xml:space="preserve"> PAGEREF _Toc129077937 \h </w:instrText>
      </w:r>
      <w:r>
        <w:fldChar w:fldCharType="separate"/>
      </w:r>
      <w:r>
        <w:t>310</w:t>
      </w:r>
      <w:r>
        <w:fldChar w:fldCharType="end"/>
      </w:r>
    </w:p>
    <w:p>
      <w:pPr>
        <w:pStyle w:val="TOC8"/>
        <w:rPr>
          <w:rFonts w:asciiTheme="minorHAnsi" w:eastAsiaTheme="minorEastAsia" w:hAnsiTheme="minorHAnsi" w:cstheme="minorBidi"/>
          <w:szCs w:val="22"/>
        </w:rPr>
      </w:pPr>
      <w:r>
        <w:t>7.</w:t>
      </w:r>
      <w:r>
        <w:tab/>
        <w:t>Service outside Australia of application for order</w:t>
      </w:r>
      <w:r>
        <w:tab/>
      </w:r>
      <w:r>
        <w:fldChar w:fldCharType="begin"/>
      </w:r>
      <w:r>
        <w:instrText xml:space="preserve"> PAGEREF _Toc129077938 \h </w:instrText>
      </w:r>
      <w:r>
        <w:fldChar w:fldCharType="separate"/>
      </w:r>
      <w:r>
        <w:t>310</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_Toc129077939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Order 52B</w:t>
      </w:r>
      <w:r>
        <w:rPr>
          <w:b w:val="0"/>
        </w:rPr>
        <w:t> </w:t>
      </w:r>
      <w:r>
        <w:t>—</w:t>
      </w:r>
      <w:r>
        <w:rPr>
          <w:b w:val="0"/>
        </w:rPr>
        <w:t> </w:t>
      </w:r>
      <w:r>
        <w:t>Search orders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_Toc129077941 \h </w:instrText>
      </w:r>
      <w:r>
        <w:fldChar w:fldCharType="separate"/>
      </w:r>
      <w:r>
        <w:t>311</w:t>
      </w:r>
      <w:r>
        <w:fldChar w:fldCharType="end"/>
      </w:r>
    </w:p>
    <w:p>
      <w:pPr>
        <w:pStyle w:val="TOC8"/>
        <w:rPr>
          <w:rFonts w:asciiTheme="minorHAnsi" w:eastAsiaTheme="minorEastAsia" w:hAnsiTheme="minorHAnsi" w:cstheme="minorBidi"/>
          <w:szCs w:val="22"/>
        </w:rPr>
      </w:pPr>
      <w:r>
        <w:lastRenderedPageBreak/>
        <w:t>2.</w:t>
      </w:r>
      <w:r>
        <w:tab/>
        <w:t>Search order</w:t>
      </w:r>
      <w:r>
        <w:tab/>
      </w:r>
      <w:r>
        <w:fldChar w:fldCharType="begin"/>
      </w:r>
      <w:r>
        <w:instrText xml:space="preserve"> PAGEREF _Toc129077942 \h </w:instrText>
      </w:r>
      <w:r>
        <w:fldChar w:fldCharType="separate"/>
      </w:r>
      <w:r>
        <w:t>311</w:t>
      </w:r>
      <w:r>
        <w:fldChar w:fldCharType="end"/>
      </w:r>
    </w:p>
    <w:p>
      <w:pPr>
        <w:pStyle w:val="TOC8"/>
        <w:rPr>
          <w:rFonts w:asciiTheme="minorHAnsi" w:eastAsiaTheme="minorEastAsia" w:hAnsiTheme="minorHAnsi" w:cstheme="minorBidi"/>
          <w:szCs w:val="22"/>
        </w:rPr>
      </w:pPr>
      <w:r>
        <w:t>3.</w:t>
      </w:r>
      <w:r>
        <w:tab/>
        <w:t>Requirements for making of search order</w:t>
      </w:r>
      <w:r>
        <w:tab/>
      </w:r>
      <w:r>
        <w:fldChar w:fldCharType="begin"/>
      </w:r>
      <w:r>
        <w:instrText xml:space="preserve"> PAGEREF _Toc129077943 \h </w:instrText>
      </w:r>
      <w:r>
        <w:fldChar w:fldCharType="separate"/>
      </w:r>
      <w:r>
        <w:t>311</w:t>
      </w:r>
      <w:r>
        <w:fldChar w:fldCharType="end"/>
      </w:r>
    </w:p>
    <w:p>
      <w:pPr>
        <w:pStyle w:val="TOC8"/>
        <w:rPr>
          <w:rFonts w:asciiTheme="minorHAnsi" w:eastAsiaTheme="minorEastAsia" w:hAnsiTheme="minorHAnsi" w:cstheme="minorBidi"/>
          <w:szCs w:val="22"/>
        </w:rPr>
      </w:pPr>
      <w:r>
        <w:t>4.</w:t>
      </w:r>
      <w:r>
        <w:tab/>
        <w:t>Court’s other jurisdiction not affected</w:t>
      </w:r>
      <w:r>
        <w:tab/>
      </w:r>
      <w:r>
        <w:fldChar w:fldCharType="begin"/>
      </w:r>
      <w:r>
        <w:instrText xml:space="preserve"> PAGEREF _Toc129077944 \h </w:instrText>
      </w:r>
      <w:r>
        <w:fldChar w:fldCharType="separate"/>
      </w:r>
      <w:r>
        <w:t>312</w:t>
      </w:r>
      <w:r>
        <w:fldChar w:fldCharType="end"/>
      </w:r>
    </w:p>
    <w:p>
      <w:pPr>
        <w:pStyle w:val="TOC8"/>
        <w:rPr>
          <w:rFonts w:asciiTheme="minorHAnsi" w:eastAsiaTheme="minorEastAsia" w:hAnsiTheme="minorHAnsi" w:cstheme="minorBidi"/>
          <w:szCs w:val="22"/>
        </w:rPr>
      </w:pPr>
      <w:r>
        <w:t>5.</w:t>
      </w:r>
      <w:r>
        <w:tab/>
        <w:t>Terms of search order</w:t>
      </w:r>
      <w:r>
        <w:tab/>
      </w:r>
      <w:r>
        <w:fldChar w:fldCharType="begin"/>
      </w:r>
      <w:r>
        <w:instrText xml:space="preserve"> PAGEREF _Toc129077945 \h </w:instrText>
      </w:r>
      <w:r>
        <w:fldChar w:fldCharType="separate"/>
      </w:r>
      <w:r>
        <w:t>312</w:t>
      </w:r>
      <w:r>
        <w:fldChar w:fldCharType="end"/>
      </w:r>
    </w:p>
    <w:p>
      <w:pPr>
        <w:pStyle w:val="TOC8"/>
        <w:rPr>
          <w:rFonts w:asciiTheme="minorHAnsi" w:eastAsiaTheme="minorEastAsia" w:hAnsiTheme="minorHAnsi" w:cstheme="minorBidi"/>
          <w:szCs w:val="22"/>
        </w:rPr>
      </w:pPr>
      <w:r>
        <w:t>6.</w:t>
      </w:r>
      <w:r>
        <w:tab/>
        <w:t>Independent solicitors, appointment of etc.</w:t>
      </w:r>
      <w:r>
        <w:tab/>
      </w:r>
      <w:r>
        <w:fldChar w:fldCharType="begin"/>
      </w:r>
      <w:r>
        <w:instrText xml:space="preserve"> PAGEREF _Toc129077946 \h </w:instrText>
      </w:r>
      <w:r>
        <w:fldChar w:fldCharType="separate"/>
      </w:r>
      <w:r>
        <w:t>313</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_Toc129077947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Order 53 — Sales of land by the Court</w:t>
      </w:r>
    </w:p>
    <w:p>
      <w:pPr>
        <w:pStyle w:val="TOC8"/>
        <w:rPr>
          <w:rFonts w:asciiTheme="minorHAnsi" w:eastAsiaTheme="minorEastAsia" w:hAnsiTheme="minorHAnsi" w:cstheme="minorBidi"/>
          <w:szCs w:val="22"/>
        </w:rPr>
      </w:pPr>
      <w:r>
        <w:t>1</w:t>
      </w:r>
      <w:r>
        <w:rPr>
          <w:snapToGrid w:val="0"/>
        </w:rPr>
        <w:t>.</w:t>
      </w:r>
      <w:r>
        <w:rPr>
          <w:snapToGrid w:val="0"/>
        </w:rPr>
        <w:tab/>
        <w:t>Term used: land</w:t>
      </w:r>
      <w:r>
        <w:tab/>
      </w:r>
      <w:r>
        <w:fldChar w:fldCharType="begin"/>
      </w:r>
      <w:r>
        <w:instrText xml:space="preserve"> PAGEREF _Toc129077949 \h </w:instrText>
      </w:r>
      <w:r>
        <w:fldChar w:fldCharType="separate"/>
      </w:r>
      <w:r>
        <w:t>315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Power to order sale of land</w:t>
      </w:r>
      <w:r>
        <w:tab/>
      </w:r>
      <w:r>
        <w:fldChar w:fldCharType="begin"/>
      </w:r>
      <w:r>
        <w:instrText xml:space="preserve"> PAGEREF _Toc129077950 \h </w:instrText>
      </w:r>
      <w:r>
        <w:fldChar w:fldCharType="separate"/>
      </w:r>
      <w:r>
        <w:t>315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Manner of sale</w:t>
      </w:r>
      <w:r>
        <w:tab/>
      </w:r>
      <w:r>
        <w:fldChar w:fldCharType="begin"/>
      </w:r>
      <w:r>
        <w:instrText xml:space="preserve"> PAGEREF _Toc129077951 \h </w:instrText>
      </w:r>
      <w:r>
        <w:fldChar w:fldCharType="separate"/>
      </w:r>
      <w:r>
        <w:t>315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Directions</w:t>
      </w:r>
      <w:r>
        <w:tab/>
      </w:r>
      <w:r>
        <w:fldChar w:fldCharType="begin"/>
      </w:r>
      <w:r>
        <w:instrText xml:space="preserve"> PAGEREF _Toc129077952 \h </w:instrText>
      </w:r>
      <w:r>
        <w:fldChar w:fldCharType="separate"/>
      </w:r>
      <w:r>
        <w:t>315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 of sale</w:t>
      </w:r>
      <w:r>
        <w:tab/>
      </w:r>
      <w:r>
        <w:fldChar w:fldCharType="begin"/>
      </w:r>
      <w:r>
        <w:instrText xml:space="preserve"> PAGEREF _Toc129077953 \h </w:instrText>
      </w:r>
      <w:r>
        <w:fldChar w:fldCharType="separate"/>
      </w:r>
      <w:r>
        <w:t>316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Mortgage, exchange or partition</w:t>
      </w:r>
      <w:r>
        <w:tab/>
      </w:r>
      <w:r>
        <w:fldChar w:fldCharType="begin"/>
      </w:r>
      <w:r>
        <w:instrText xml:space="preserve"> PAGEREF _Toc129077954 \h </w:instrText>
      </w:r>
      <w:r>
        <w:fldChar w:fldCharType="separate"/>
      </w:r>
      <w:r>
        <w:t>316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Reference of matters to counsel</w:t>
      </w:r>
      <w:r>
        <w:tab/>
      </w:r>
      <w:r>
        <w:fldChar w:fldCharType="begin"/>
      </w:r>
      <w:r>
        <w:instrText xml:space="preserve"> PAGEREF _Toc129077955 \h </w:instrText>
      </w:r>
      <w:r>
        <w:fldChar w:fldCharType="separate"/>
      </w:r>
      <w:r>
        <w:t>317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Objection to counsel’s opinion</w:t>
      </w:r>
      <w:r>
        <w:tab/>
      </w:r>
      <w:r>
        <w:fldChar w:fldCharType="begin"/>
      </w:r>
      <w:r>
        <w:instrText xml:space="preserve"> PAGEREF _Toc129077956 \h </w:instrText>
      </w:r>
      <w:r>
        <w:fldChar w:fldCharType="separate"/>
      </w:r>
      <w:r>
        <w:t>317</w:t>
      </w:r>
      <w:r>
        <w:fldChar w:fldCharType="end"/>
      </w:r>
    </w:p>
    <w:p>
      <w:pPr>
        <w:pStyle w:val="TOC2"/>
        <w:tabs>
          <w:tab w:val="right" w:leader="dot" w:pos="7077"/>
        </w:tabs>
        <w:rPr>
          <w:rFonts w:asciiTheme="minorHAnsi" w:eastAsiaTheme="minorEastAsia" w:hAnsiTheme="minorHAnsi" w:cstheme="minorBidi"/>
          <w:b w:val="0"/>
          <w:sz w:val="22"/>
          <w:szCs w:val="22"/>
        </w:rPr>
      </w:pPr>
      <w:r>
        <w:t>Order 54 — Originating and other motions</w:t>
      </w:r>
    </w:p>
    <w:p>
      <w:pPr>
        <w:pStyle w:val="TOC8"/>
        <w:rPr>
          <w:rFonts w:asciiTheme="minorHAnsi" w:eastAsiaTheme="minorEastAsia" w:hAnsiTheme="minorHAnsi" w:cstheme="minorBidi"/>
          <w:szCs w:val="22"/>
        </w:rPr>
      </w:pPr>
      <w:r>
        <w:t>1</w:t>
      </w:r>
      <w:r>
        <w:rPr>
          <w:snapToGrid w:val="0"/>
        </w:rPr>
        <w:t>.</w:t>
      </w:r>
      <w:r>
        <w:rPr>
          <w:snapToGrid w:val="0"/>
        </w:rPr>
        <w:tab/>
        <w:t>Application of this Order</w:t>
      </w:r>
      <w:r>
        <w:tab/>
      </w:r>
      <w:r>
        <w:fldChar w:fldCharType="begin"/>
      </w:r>
      <w:r>
        <w:instrText xml:space="preserve"> PAGEREF _Toc129077958 \h </w:instrText>
      </w:r>
      <w:r>
        <w:fldChar w:fldCharType="separate"/>
      </w:r>
      <w:r>
        <w:t>318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Which applications to be made by motion</w:t>
      </w:r>
      <w:r>
        <w:tab/>
      </w:r>
      <w:r>
        <w:fldChar w:fldCharType="begin"/>
      </w:r>
      <w:r>
        <w:instrText xml:space="preserve"> PAGEREF _Toc129077959 \h </w:instrText>
      </w:r>
      <w:r>
        <w:fldChar w:fldCharType="separate"/>
      </w:r>
      <w:r>
        <w:t>318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motion</w:t>
      </w:r>
      <w:r>
        <w:tab/>
      </w:r>
      <w:r>
        <w:fldChar w:fldCharType="begin"/>
      </w:r>
      <w:r>
        <w:instrText xml:space="preserve"> PAGEREF _Toc129077960 \h </w:instrText>
      </w:r>
      <w:r>
        <w:fldChar w:fldCharType="separate"/>
      </w:r>
      <w:r>
        <w:t>318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Time of notice of motion</w:t>
      </w:r>
      <w:r>
        <w:tab/>
      </w:r>
      <w:r>
        <w:fldChar w:fldCharType="begin"/>
      </w:r>
      <w:r>
        <w:instrText xml:space="preserve"> PAGEREF _Toc129077961 \h </w:instrText>
      </w:r>
      <w:r>
        <w:fldChar w:fldCharType="separate"/>
      </w:r>
      <w:r>
        <w:t>318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notice of motion</w:t>
      </w:r>
      <w:r>
        <w:tab/>
      </w:r>
      <w:r>
        <w:fldChar w:fldCharType="begin"/>
      </w:r>
      <w:r>
        <w:instrText xml:space="preserve"> PAGEREF _Toc129077962 \h </w:instrText>
      </w:r>
      <w:r>
        <w:fldChar w:fldCharType="separate"/>
      </w:r>
      <w:r>
        <w:t>318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Issue of notice of motion</w:t>
      </w:r>
      <w:r>
        <w:tab/>
      </w:r>
      <w:r>
        <w:fldChar w:fldCharType="begin"/>
      </w:r>
      <w:r>
        <w:instrText xml:space="preserve"> PAGEREF _Toc129077963 \h </w:instrText>
      </w:r>
      <w:r>
        <w:fldChar w:fldCharType="separate"/>
      </w:r>
      <w:r>
        <w:t>319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notice of motion with writ etc.</w:t>
      </w:r>
      <w:r>
        <w:tab/>
      </w:r>
      <w:r>
        <w:fldChar w:fldCharType="begin"/>
      </w:r>
      <w:r>
        <w:instrText xml:space="preserve"> PAGEREF _Toc129077964 \h </w:instrText>
      </w:r>
      <w:r>
        <w:fldChar w:fldCharType="separate"/>
      </w:r>
      <w:r>
        <w:t>319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Adjournment etc.</w:t>
      </w:r>
      <w:r>
        <w:tab/>
      </w:r>
      <w:r>
        <w:fldChar w:fldCharType="begin"/>
      </w:r>
      <w:r>
        <w:instrText xml:space="preserve"> PAGEREF _Toc129077965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Order 55 — Committal and attachment</w:t>
      </w:r>
    </w:p>
    <w:p>
      <w:pPr>
        <w:pStyle w:val="TOC8"/>
        <w:rPr>
          <w:rFonts w:asciiTheme="minorHAnsi" w:eastAsiaTheme="minorEastAsia" w:hAnsiTheme="minorHAnsi" w:cstheme="minorBidi"/>
          <w:szCs w:val="22"/>
        </w:rPr>
      </w:pPr>
      <w:r>
        <w:t>1</w:t>
      </w:r>
      <w:r>
        <w:rPr>
          <w:snapToGrid w:val="0"/>
        </w:rPr>
        <w:t>.</w:t>
      </w:r>
      <w:r>
        <w:rPr>
          <w:snapToGrid w:val="0"/>
        </w:rPr>
        <w:tab/>
        <w:t>Term used: contemnor</w:t>
      </w:r>
      <w:r>
        <w:tab/>
      </w:r>
      <w:r>
        <w:fldChar w:fldCharType="begin"/>
      </w:r>
      <w:r>
        <w:instrText xml:space="preserve"> PAGEREF _Toc129077967 \h </w:instrText>
      </w:r>
      <w:r>
        <w:fldChar w:fldCharType="separate"/>
      </w:r>
      <w:r>
        <w:t>320</w:t>
      </w:r>
      <w:r>
        <w:fldChar w:fldCharType="end"/>
      </w:r>
    </w:p>
    <w:p>
      <w:pPr>
        <w:pStyle w:val="TOC8"/>
        <w:rPr>
          <w:rFonts w:asciiTheme="minorHAnsi" w:eastAsiaTheme="minorEastAsia" w:hAnsiTheme="minorHAnsi" w:cstheme="minorBidi"/>
          <w:szCs w:val="22"/>
        </w:rPr>
      </w:pPr>
      <w:r>
        <w:t>2.</w:t>
      </w:r>
      <w:r>
        <w:tab/>
        <w:t>Committal for contempt of court</w:t>
      </w:r>
      <w:r>
        <w:tab/>
      </w:r>
      <w:r>
        <w:fldChar w:fldCharType="begin"/>
      </w:r>
      <w:r>
        <w:instrText xml:space="preserve"> PAGEREF _Toc129077968 \h </w:instrText>
      </w:r>
      <w:r>
        <w:fldChar w:fldCharType="separate"/>
      </w:r>
      <w:r>
        <w:t>320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Contempt in face of Court</w:t>
      </w:r>
      <w:r>
        <w:tab/>
      </w:r>
      <w:r>
        <w:fldChar w:fldCharType="begin"/>
      </w:r>
      <w:r>
        <w:instrText xml:space="preserve"> PAGEREF _Toc129077969 \h </w:instrText>
      </w:r>
      <w:r>
        <w:fldChar w:fldCharType="separate"/>
      </w:r>
      <w:r>
        <w:t>320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Other cases of contempt</w:t>
      </w:r>
      <w:r>
        <w:tab/>
      </w:r>
      <w:r>
        <w:fldChar w:fldCharType="begin"/>
      </w:r>
      <w:r>
        <w:instrText xml:space="preserve"> PAGEREF _Toc129077970 \h </w:instrText>
      </w:r>
      <w:r>
        <w:fldChar w:fldCharType="separate"/>
      </w:r>
      <w:r>
        <w:t>321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and service of notice or summons</w:t>
      </w:r>
      <w:r>
        <w:tab/>
      </w:r>
      <w:r>
        <w:fldChar w:fldCharType="begin"/>
      </w:r>
      <w:r>
        <w:instrText xml:space="preserve"> PAGEREF _Toc129077971 \h </w:instrText>
      </w:r>
      <w:r>
        <w:fldChar w:fldCharType="separate"/>
      </w:r>
      <w:r>
        <w:t>321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Arresting contemnors</w:t>
      </w:r>
      <w:r>
        <w:tab/>
      </w:r>
      <w:r>
        <w:fldChar w:fldCharType="begin"/>
      </w:r>
      <w:r>
        <w:instrText xml:space="preserve"> PAGEREF _Toc129077972 \h </w:instrText>
      </w:r>
      <w:r>
        <w:fldChar w:fldCharType="separate"/>
      </w:r>
      <w:r>
        <w:t>322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Punishing contemnors</w:t>
      </w:r>
      <w:r>
        <w:tab/>
      </w:r>
      <w:r>
        <w:fldChar w:fldCharType="begin"/>
      </w:r>
      <w:r>
        <w:instrText xml:space="preserve"> PAGEREF _Toc129077973 \h </w:instrText>
      </w:r>
      <w:r>
        <w:fldChar w:fldCharType="separate"/>
      </w:r>
      <w:r>
        <w:t>322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Execution of committal order may be suspended</w:t>
      </w:r>
      <w:r>
        <w:tab/>
      </w:r>
      <w:r>
        <w:fldChar w:fldCharType="begin"/>
      </w:r>
      <w:r>
        <w:instrText xml:space="preserve"> PAGEREF _Toc129077974 \h </w:instrText>
      </w:r>
      <w:r>
        <w:fldChar w:fldCharType="separate"/>
      </w:r>
      <w:r>
        <w:t>322</w:t>
      </w:r>
      <w:r>
        <w:fldChar w:fldCharType="end"/>
      </w:r>
    </w:p>
    <w:p>
      <w:pPr>
        <w:pStyle w:val="TOC8"/>
        <w:rPr>
          <w:rFonts w:asciiTheme="minorHAnsi" w:eastAsiaTheme="minorEastAsia" w:hAnsiTheme="minorHAnsi" w:cstheme="minorBidi"/>
          <w:szCs w:val="22"/>
        </w:rPr>
      </w:pPr>
      <w:r>
        <w:lastRenderedPageBreak/>
        <w:t>9</w:t>
      </w:r>
      <w:r>
        <w:rPr>
          <w:snapToGrid w:val="0"/>
        </w:rPr>
        <w:t>.</w:t>
      </w:r>
      <w:r>
        <w:rPr>
          <w:snapToGrid w:val="0"/>
        </w:rPr>
        <w:tab/>
        <w:t>Discharge from committal</w:t>
      </w:r>
      <w:r>
        <w:tab/>
      </w:r>
      <w:r>
        <w:fldChar w:fldCharType="begin"/>
      </w:r>
      <w:r>
        <w:instrText xml:space="preserve"> PAGEREF _Toc129077975 \h </w:instrText>
      </w:r>
      <w:r>
        <w:fldChar w:fldCharType="separate"/>
      </w:r>
      <w:r>
        <w:t>323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Saving for other powers</w:t>
      </w:r>
      <w:r>
        <w:tab/>
      </w:r>
      <w:r>
        <w:fldChar w:fldCharType="begin"/>
      </w:r>
      <w:r>
        <w:instrText xml:space="preserve"> PAGEREF _Toc129077976 \h </w:instrText>
      </w:r>
      <w:r>
        <w:fldChar w:fldCharType="separate"/>
      </w:r>
      <w:r>
        <w:t>323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may make peremptory order in first instance</w:t>
      </w:r>
      <w:r>
        <w:tab/>
      </w:r>
      <w:r>
        <w:fldChar w:fldCharType="begin"/>
      </w:r>
      <w:r>
        <w:instrText xml:space="preserve"> PAGEREF _Toc129077977 \h </w:instrText>
      </w:r>
      <w:r>
        <w:fldChar w:fldCharType="separate"/>
      </w:r>
      <w:r>
        <w:t>323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of r. 6 to 9 to attachment etc.</w:t>
      </w:r>
      <w:r>
        <w:tab/>
      </w:r>
      <w:r>
        <w:fldChar w:fldCharType="begin"/>
      </w:r>
      <w:r>
        <w:instrText xml:space="preserve"> PAGEREF _Toc129077978 \h </w:instrText>
      </w:r>
      <w:r>
        <w:fldChar w:fldCharType="separate"/>
      </w:r>
      <w:r>
        <w:t>324</w:t>
      </w:r>
      <w:r>
        <w:fldChar w:fldCharType="end"/>
      </w:r>
    </w:p>
    <w:p>
      <w:pPr>
        <w:pStyle w:val="TOC2"/>
        <w:tabs>
          <w:tab w:val="right" w:leader="dot" w:pos="7077"/>
        </w:tabs>
        <w:rPr>
          <w:rFonts w:asciiTheme="minorHAnsi" w:eastAsiaTheme="minorEastAsia" w:hAnsiTheme="minorHAnsi" w:cstheme="minorBidi"/>
          <w:b w:val="0"/>
          <w:sz w:val="22"/>
          <w:szCs w:val="22"/>
        </w:rPr>
      </w:pPr>
      <w:r>
        <w:t>Order 56</w:t>
      </w:r>
      <w:r>
        <w:rPr>
          <w:b w:val="0"/>
        </w:rPr>
        <w:t> </w:t>
      </w:r>
      <w:r>
        <w:t>—</w:t>
      </w:r>
      <w:r>
        <w:rPr>
          <w:b w:val="0"/>
        </w:rPr>
        <w:t> </w:t>
      </w:r>
      <w:r>
        <w:t>Judicial review</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_Toc129077981 \h </w:instrText>
      </w:r>
      <w:r>
        <w:fldChar w:fldCharType="separate"/>
      </w:r>
      <w:r>
        <w:t>325</w:t>
      </w:r>
      <w:r>
        <w:fldChar w:fldCharType="end"/>
      </w:r>
    </w:p>
    <w:p>
      <w:pPr>
        <w:pStyle w:val="TOC8"/>
        <w:rPr>
          <w:rFonts w:asciiTheme="minorHAnsi" w:eastAsiaTheme="minorEastAsia" w:hAnsiTheme="minorHAnsi" w:cstheme="minorBidi"/>
          <w:szCs w:val="22"/>
        </w:rPr>
      </w:pPr>
      <w:r>
        <w:t>2.</w:t>
      </w:r>
      <w:r>
        <w:tab/>
        <w:t>Making an application</w:t>
      </w:r>
      <w:r>
        <w:tab/>
      </w:r>
      <w:r>
        <w:fldChar w:fldCharType="begin"/>
      </w:r>
      <w:r>
        <w:instrText xml:space="preserve"> PAGEREF _Toc129077982 \h </w:instrText>
      </w:r>
      <w:r>
        <w:fldChar w:fldCharType="separate"/>
      </w:r>
      <w:r>
        <w:t>326</w:t>
      </w:r>
      <w:r>
        <w:fldChar w:fldCharType="end"/>
      </w:r>
    </w:p>
    <w:p>
      <w:pPr>
        <w:pStyle w:val="TOC8"/>
        <w:rPr>
          <w:rFonts w:asciiTheme="minorHAnsi" w:eastAsiaTheme="minorEastAsia" w:hAnsiTheme="minorHAnsi" w:cstheme="minorBidi"/>
          <w:szCs w:val="22"/>
        </w:rPr>
      </w:pPr>
      <w:r>
        <w:t>3.</w:t>
      </w:r>
      <w:r>
        <w:tab/>
        <w:t>Serving an application</w:t>
      </w:r>
      <w:r>
        <w:tab/>
      </w:r>
      <w:r>
        <w:fldChar w:fldCharType="begin"/>
      </w:r>
      <w:r>
        <w:instrText xml:space="preserve"> PAGEREF _Toc129077983 \h </w:instrText>
      </w:r>
      <w:r>
        <w:fldChar w:fldCharType="separate"/>
      </w:r>
      <w:r>
        <w:t>327</w:t>
      </w:r>
      <w:r>
        <w:fldChar w:fldCharType="end"/>
      </w:r>
    </w:p>
    <w:p>
      <w:pPr>
        <w:pStyle w:val="TOC8"/>
        <w:rPr>
          <w:rFonts w:asciiTheme="minorHAnsi" w:eastAsiaTheme="minorEastAsia" w:hAnsiTheme="minorHAnsi" w:cstheme="minorBidi"/>
          <w:szCs w:val="22"/>
        </w:rPr>
      </w:pPr>
      <w:r>
        <w:t>4.</w:t>
      </w:r>
      <w:r>
        <w:tab/>
        <w:t>Options of person served with application</w:t>
      </w:r>
      <w:r>
        <w:tab/>
      </w:r>
      <w:r>
        <w:fldChar w:fldCharType="begin"/>
      </w:r>
      <w:r>
        <w:instrText xml:space="preserve"> PAGEREF _Toc129077984 \h </w:instrText>
      </w:r>
      <w:r>
        <w:fldChar w:fldCharType="separate"/>
      </w:r>
      <w:r>
        <w:t>327</w:t>
      </w:r>
      <w:r>
        <w:fldChar w:fldCharType="end"/>
      </w:r>
    </w:p>
    <w:p>
      <w:pPr>
        <w:pStyle w:val="TOC8"/>
        <w:rPr>
          <w:rFonts w:asciiTheme="minorHAnsi" w:eastAsiaTheme="minorEastAsia" w:hAnsiTheme="minorHAnsi" w:cstheme="minorBidi"/>
          <w:szCs w:val="22"/>
        </w:rPr>
      </w:pPr>
      <w:r>
        <w:t>5.</w:t>
      </w:r>
      <w:r>
        <w:tab/>
        <w:t>Procedure on application</w:t>
      </w:r>
      <w:r>
        <w:tab/>
      </w:r>
      <w:r>
        <w:fldChar w:fldCharType="begin"/>
      </w:r>
      <w:r>
        <w:instrText xml:space="preserve"> PAGEREF _Toc129077985 \h </w:instrText>
      </w:r>
      <w:r>
        <w:fldChar w:fldCharType="separate"/>
      </w:r>
      <w:r>
        <w:t>328</w:t>
      </w:r>
      <w:r>
        <w:fldChar w:fldCharType="end"/>
      </w:r>
    </w:p>
    <w:p>
      <w:pPr>
        <w:pStyle w:val="TOC8"/>
        <w:rPr>
          <w:rFonts w:asciiTheme="minorHAnsi" w:eastAsiaTheme="minorEastAsia" w:hAnsiTheme="minorHAnsi" w:cstheme="minorBidi"/>
          <w:szCs w:val="22"/>
        </w:rPr>
      </w:pPr>
      <w:r>
        <w:t>6.</w:t>
      </w:r>
      <w:r>
        <w:tab/>
        <w:t>Discovery and interrogatories</w:t>
      </w:r>
      <w:r>
        <w:tab/>
      </w:r>
      <w:r>
        <w:fldChar w:fldCharType="begin"/>
      </w:r>
      <w:r>
        <w:instrText xml:space="preserve"> PAGEREF _Toc129077986 \h </w:instrText>
      </w:r>
      <w:r>
        <w:fldChar w:fldCharType="separate"/>
      </w:r>
      <w:r>
        <w:t>329</w:t>
      </w:r>
      <w:r>
        <w:fldChar w:fldCharType="end"/>
      </w:r>
    </w:p>
    <w:p>
      <w:pPr>
        <w:pStyle w:val="TOC8"/>
        <w:rPr>
          <w:rFonts w:asciiTheme="minorHAnsi" w:eastAsiaTheme="minorEastAsia" w:hAnsiTheme="minorHAnsi" w:cstheme="minorBidi"/>
          <w:szCs w:val="22"/>
        </w:rPr>
      </w:pPr>
      <w:r>
        <w:t>7.</w:t>
      </w:r>
      <w:r>
        <w:tab/>
        <w:t>Costs</w:t>
      </w:r>
      <w:r>
        <w:tab/>
      </w:r>
      <w:r>
        <w:fldChar w:fldCharType="begin"/>
      </w:r>
      <w:r>
        <w:instrText xml:space="preserve"> PAGEREF _Toc129077987 \h </w:instrText>
      </w:r>
      <w:r>
        <w:fldChar w:fldCharType="separate"/>
      </w:r>
      <w:r>
        <w:t>329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Issue and filing of writs</w:t>
      </w:r>
      <w:r>
        <w:tab/>
      </w:r>
      <w:r>
        <w:fldChar w:fldCharType="begin"/>
      </w:r>
      <w:r>
        <w:instrText xml:space="preserve"> PAGEREF _Toc129077988 \h </w:instrText>
      </w:r>
      <w:r>
        <w:fldChar w:fldCharType="separate"/>
      </w:r>
      <w:r>
        <w:t>329</w:t>
      </w:r>
      <w:r>
        <w:fldChar w:fldCharType="end"/>
      </w:r>
    </w:p>
    <w:p>
      <w:pPr>
        <w:pStyle w:val="TOC4"/>
        <w:tabs>
          <w:tab w:val="right" w:leader="dot" w:pos="7077"/>
        </w:tabs>
        <w:rPr>
          <w:rFonts w:asciiTheme="minorHAnsi" w:eastAsiaTheme="minorEastAsia" w:hAnsiTheme="minorHAnsi" w:cstheme="minorBidi"/>
          <w:b w:val="0"/>
          <w:szCs w:val="22"/>
        </w:rPr>
      </w:pPr>
      <w:r>
        <w:t>Division 2 — Certiorari</w:t>
      </w:r>
    </w:p>
    <w:p>
      <w:pPr>
        <w:pStyle w:val="TOC8"/>
        <w:rPr>
          <w:rFonts w:asciiTheme="minorHAnsi" w:eastAsiaTheme="minorEastAsia" w:hAnsiTheme="minorHAnsi" w:cstheme="minorBidi"/>
          <w:szCs w:val="22"/>
        </w:rPr>
      </w:pPr>
      <w:r>
        <w:t>14</w:t>
      </w:r>
      <w:r>
        <w:rPr>
          <w:snapToGrid w:val="0"/>
        </w:rPr>
        <w:t>.</w:t>
      </w:r>
      <w:r>
        <w:rPr>
          <w:snapToGrid w:val="0"/>
        </w:rPr>
        <w:tab/>
        <w:t>Forms</w:t>
      </w:r>
      <w:r>
        <w:tab/>
      </w:r>
      <w:r>
        <w:fldChar w:fldCharType="begin"/>
      </w:r>
      <w:r>
        <w:instrText xml:space="preserve"> PAGEREF _Toc129077990 \h </w:instrText>
      </w:r>
      <w:r>
        <w:fldChar w:fldCharType="separate"/>
      </w:r>
      <w:r>
        <w:t>330</w:t>
      </w:r>
      <w:r>
        <w:fldChar w:fldCharType="end"/>
      </w:r>
    </w:p>
    <w:p>
      <w:pPr>
        <w:pStyle w:val="TOC4"/>
        <w:tabs>
          <w:tab w:val="right" w:leader="dot" w:pos="7077"/>
        </w:tabs>
        <w:rPr>
          <w:rFonts w:asciiTheme="minorHAnsi" w:eastAsiaTheme="minorEastAsia" w:hAnsiTheme="minorHAnsi" w:cstheme="minorBidi"/>
          <w:b w:val="0"/>
          <w:szCs w:val="22"/>
        </w:rPr>
      </w:pPr>
      <w:r>
        <w:t>Division 3 — Mandamus</w:t>
      </w:r>
    </w:p>
    <w:p>
      <w:pPr>
        <w:pStyle w:val="TOC8"/>
        <w:rPr>
          <w:rFonts w:asciiTheme="minorHAnsi" w:eastAsiaTheme="minorEastAsia" w:hAnsiTheme="minorHAnsi" w:cstheme="minorBidi"/>
          <w:szCs w:val="22"/>
        </w:rPr>
      </w:pPr>
      <w:r>
        <w:t>15</w:t>
      </w:r>
      <w:r>
        <w:rPr>
          <w:snapToGrid w:val="0"/>
        </w:rPr>
        <w:t>.</w:t>
      </w:r>
      <w:r>
        <w:rPr>
          <w:snapToGrid w:val="0"/>
        </w:rPr>
        <w:tab/>
        <w:t>Applicant to show interest etc.</w:t>
      </w:r>
      <w:r>
        <w:tab/>
      </w:r>
      <w:r>
        <w:fldChar w:fldCharType="begin"/>
      </w:r>
      <w:r>
        <w:instrText xml:space="preserve"> PAGEREF _Toc129077992 \h </w:instrText>
      </w:r>
      <w:r>
        <w:fldChar w:fldCharType="separate"/>
      </w:r>
      <w:r>
        <w:t>330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writ</w:t>
      </w:r>
      <w:r>
        <w:tab/>
      </w:r>
      <w:r>
        <w:fldChar w:fldCharType="begin"/>
      </w:r>
      <w:r>
        <w:instrText xml:space="preserve"> PAGEREF _Toc129077993 \h </w:instrText>
      </w:r>
      <w:r>
        <w:fldChar w:fldCharType="separate"/>
      </w:r>
      <w:r>
        <w:t>331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Time for return of writ</w:t>
      </w:r>
      <w:r>
        <w:tab/>
      </w:r>
      <w:r>
        <w:fldChar w:fldCharType="begin"/>
      </w:r>
      <w:r>
        <w:instrText xml:space="preserve"> PAGEREF _Toc129077994 \h </w:instrText>
      </w:r>
      <w:r>
        <w:fldChar w:fldCharType="separate"/>
      </w:r>
      <w:r>
        <w:t>331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Service</w:t>
      </w:r>
      <w:r>
        <w:tab/>
      </w:r>
      <w:r>
        <w:fldChar w:fldCharType="begin"/>
      </w:r>
      <w:r>
        <w:instrText xml:space="preserve"> PAGEREF _Toc129077995 \h </w:instrText>
      </w:r>
      <w:r>
        <w:fldChar w:fldCharType="separate"/>
      </w:r>
      <w:r>
        <w:t>331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Service on corporate body, or justices</w:t>
      </w:r>
      <w:r>
        <w:tab/>
      </w:r>
      <w:r>
        <w:fldChar w:fldCharType="begin"/>
      </w:r>
      <w:r>
        <w:instrText xml:space="preserve"> PAGEREF _Toc129077996 \h </w:instrText>
      </w:r>
      <w:r>
        <w:fldChar w:fldCharType="separate"/>
      </w:r>
      <w:r>
        <w:t>332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Return, content etc. of</w:t>
      </w:r>
      <w:r>
        <w:tab/>
      </w:r>
      <w:r>
        <w:fldChar w:fldCharType="begin"/>
      </w:r>
      <w:r>
        <w:instrText xml:space="preserve"> PAGEREF _Toc129077997 \h </w:instrText>
      </w:r>
      <w:r>
        <w:fldChar w:fldCharType="separate"/>
      </w:r>
      <w:r>
        <w:t>332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Pleading to return</w:t>
      </w:r>
      <w:r>
        <w:tab/>
      </w:r>
      <w:r>
        <w:fldChar w:fldCharType="begin"/>
      </w:r>
      <w:r>
        <w:instrText xml:space="preserve"> PAGEREF _Toc129077998 \h </w:instrText>
      </w:r>
      <w:r>
        <w:fldChar w:fldCharType="separate"/>
      </w:r>
      <w:r>
        <w:t>332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No motion for judgment needed in some cases</w:t>
      </w:r>
      <w:r>
        <w:tab/>
      </w:r>
      <w:r>
        <w:fldChar w:fldCharType="begin"/>
      </w:r>
      <w:r>
        <w:instrText xml:space="preserve"> PAGEREF _Toc129077999 \h </w:instrText>
      </w:r>
      <w:r>
        <w:fldChar w:fldCharType="separate"/>
      </w:r>
      <w:r>
        <w:t>333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Peremptory writ</w:t>
      </w:r>
      <w:r>
        <w:tab/>
      </w:r>
      <w:r>
        <w:fldChar w:fldCharType="begin"/>
      </w:r>
      <w:r>
        <w:instrText xml:space="preserve"> PAGEREF _Toc129078000 \h </w:instrText>
      </w:r>
      <w:r>
        <w:fldChar w:fldCharType="separate"/>
      </w:r>
      <w:r>
        <w:t>333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w:t>
      </w:r>
      <w:r>
        <w:tab/>
      </w:r>
      <w:r>
        <w:fldChar w:fldCharType="begin"/>
      </w:r>
      <w:r>
        <w:instrText xml:space="preserve"> PAGEREF _Toc129078001 \h </w:instrText>
      </w:r>
      <w:r>
        <w:fldChar w:fldCharType="separate"/>
      </w:r>
      <w:r>
        <w:t>333</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in nature of interpleader</w:t>
      </w:r>
      <w:r>
        <w:tab/>
      </w:r>
      <w:r>
        <w:fldChar w:fldCharType="begin"/>
      </w:r>
      <w:r>
        <w:instrText xml:space="preserve"> PAGEREF _Toc129078002 \h </w:instrText>
      </w:r>
      <w:r>
        <w:fldChar w:fldCharType="separate"/>
      </w:r>
      <w:r>
        <w:t>334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to abate due to death etc.</w:t>
      </w:r>
      <w:r>
        <w:tab/>
      </w:r>
      <w:r>
        <w:fldChar w:fldCharType="begin"/>
      </w:r>
      <w:r>
        <w:instrText xml:space="preserve"> PAGEREF _Toc129078003 \h </w:instrText>
      </w:r>
      <w:r>
        <w:fldChar w:fldCharType="separate"/>
      </w:r>
      <w:r>
        <w:t>334</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Mandamus by order</w:t>
      </w:r>
      <w:r>
        <w:tab/>
      </w:r>
      <w:r>
        <w:fldChar w:fldCharType="begin"/>
      </w:r>
      <w:r>
        <w:instrText xml:space="preserve"> PAGEREF _Toc129078004 \h </w:instrText>
      </w:r>
      <w:r>
        <w:fldChar w:fldCharType="separate"/>
      </w:r>
      <w:r>
        <w:t>334</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No action against party obeying writ or order</w:t>
      </w:r>
      <w:r>
        <w:tab/>
      </w:r>
      <w:r>
        <w:fldChar w:fldCharType="begin"/>
      </w:r>
      <w:r>
        <w:instrText xml:space="preserve"> PAGEREF _Toc129078005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Prohibition and </w:t>
      </w:r>
      <w:r>
        <w:rPr>
          <w:i/>
        </w:rPr>
        <w:t>procedendo</w:t>
      </w:r>
    </w:p>
    <w:p>
      <w:pPr>
        <w:pStyle w:val="TOC8"/>
        <w:rPr>
          <w:rFonts w:asciiTheme="minorHAnsi" w:eastAsiaTheme="minorEastAsia" w:hAnsiTheme="minorHAnsi" w:cstheme="minorBidi"/>
          <w:szCs w:val="22"/>
        </w:rPr>
      </w:pPr>
      <w:r>
        <w:t>30</w:t>
      </w:r>
      <w:r>
        <w:rPr>
          <w:snapToGrid w:val="0"/>
        </w:rPr>
        <w:t>.</w:t>
      </w:r>
      <w:r>
        <w:rPr>
          <w:snapToGrid w:val="0"/>
        </w:rPr>
        <w:tab/>
        <w:t>Court may direct service of statement of claim instead of issuing prohibition</w:t>
      </w:r>
      <w:r>
        <w:tab/>
      </w:r>
      <w:r>
        <w:fldChar w:fldCharType="begin"/>
      </w:r>
      <w:r>
        <w:instrText xml:space="preserve"> PAGEREF _Toc129078007 \h </w:instrText>
      </w:r>
      <w:r>
        <w:fldChar w:fldCharType="separate"/>
      </w:r>
      <w:r>
        <w:t>335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Proceedings on judgment</w:t>
      </w:r>
      <w:r>
        <w:tab/>
      </w:r>
      <w:r>
        <w:fldChar w:fldCharType="begin"/>
      </w:r>
      <w:r>
        <w:instrText xml:space="preserve"> PAGEREF _Toc129078008 \h </w:instrText>
      </w:r>
      <w:r>
        <w:fldChar w:fldCharType="separate"/>
      </w:r>
      <w:r>
        <w:t>335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Writ of </w:t>
      </w:r>
      <w:r>
        <w:rPr>
          <w:i/>
          <w:snapToGrid w:val="0"/>
        </w:rPr>
        <w:t>procedendo</w:t>
      </w:r>
      <w:r>
        <w:tab/>
      </w:r>
      <w:r>
        <w:fldChar w:fldCharType="begin"/>
      </w:r>
      <w:r>
        <w:instrText xml:space="preserve"> PAGEREF _Toc129078009 \h </w:instrText>
      </w:r>
      <w:r>
        <w:fldChar w:fldCharType="separate"/>
      </w:r>
      <w:r>
        <w:t>335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Prohibition by order</w:t>
      </w:r>
      <w:r>
        <w:tab/>
      </w:r>
      <w:r>
        <w:fldChar w:fldCharType="begin"/>
      </w:r>
      <w:r>
        <w:instrText xml:space="preserve"> PAGEREF _Toc129078010 \h </w:instrText>
      </w:r>
      <w:r>
        <w:fldChar w:fldCharType="separate"/>
      </w:r>
      <w:r>
        <w:t>336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w:t>
      </w:r>
      <w:r>
        <w:rPr>
          <w:i/>
          <w:iCs/>
        </w:rPr>
        <w:t>Quo warranto</w:t>
      </w:r>
    </w:p>
    <w:p>
      <w:pPr>
        <w:pStyle w:val="TOC8"/>
        <w:rPr>
          <w:rFonts w:asciiTheme="minorHAnsi" w:eastAsiaTheme="minorEastAsia" w:hAnsiTheme="minorHAnsi" w:cstheme="minorBidi"/>
          <w:szCs w:val="22"/>
        </w:rPr>
      </w:pPr>
      <w:r>
        <w:t>34A.</w:t>
      </w:r>
      <w:r>
        <w:tab/>
        <w:t xml:space="preserve">Application for information of </w:t>
      </w:r>
      <w:r>
        <w:rPr>
          <w:i/>
        </w:rPr>
        <w:t>quo warranto</w:t>
      </w:r>
      <w:r>
        <w:tab/>
      </w:r>
      <w:r>
        <w:fldChar w:fldCharType="begin"/>
      </w:r>
      <w:r>
        <w:instrText xml:space="preserve"> PAGEREF _Toc129078012 \h </w:instrText>
      </w:r>
      <w:r>
        <w:fldChar w:fldCharType="separate"/>
      </w:r>
      <w:r>
        <w:t>336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Rules of court applicable</w:t>
      </w:r>
      <w:r>
        <w:tab/>
      </w:r>
      <w:r>
        <w:fldChar w:fldCharType="begin"/>
      </w:r>
      <w:r>
        <w:instrText xml:space="preserve"> PAGEREF _Toc129078013 \h </w:instrText>
      </w:r>
      <w:r>
        <w:fldChar w:fldCharType="separate"/>
      </w:r>
      <w:r>
        <w:t>336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Signature and service of information</w:t>
      </w:r>
      <w:r>
        <w:tab/>
      </w:r>
      <w:r>
        <w:fldChar w:fldCharType="begin"/>
      </w:r>
      <w:r>
        <w:instrText xml:space="preserve"> PAGEREF _Toc129078014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Order 56A — Review orders under the </w:t>
      </w:r>
      <w:r>
        <w:rPr>
          <w:i/>
        </w:rPr>
        <w:t>Magistrates Court Act 2004</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_Toc129078016 \h </w:instrText>
      </w:r>
      <w:r>
        <w:fldChar w:fldCharType="separate"/>
      </w:r>
      <w:r>
        <w:t>338</w:t>
      </w:r>
      <w:r>
        <w:fldChar w:fldCharType="end"/>
      </w:r>
    </w:p>
    <w:p>
      <w:pPr>
        <w:pStyle w:val="TOC8"/>
        <w:rPr>
          <w:rFonts w:asciiTheme="minorHAnsi" w:eastAsiaTheme="minorEastAsia" w:hAnsiTheme="minorHAnsi" w:cstheme="minorBidi"/>
          <w:szCs w:val="22"/>
        </w:rPr>
      </w:pPr>
      <w:r>
        <w:t>2.</w:t>
      </w:r>
      <w:r>
        <w:tab/>
        <w:t>Application for review order, making</w:t>
      </w:r>
      <w:r>
        <w:tab/>
      </w:r>
      <w:r>
        <w:fldChar w:fldCharType="begin"/>
      </w:r>
      <w:r>
        <w:instrText xml:space="preserve"> PAGEREF _Toc129078017 \h </w:instrText>
      </w:r>
      <w:r>
        <w:fldChar w:fldCharType="separate"/>
      </w:r>
      <w:r>
        <w:t>338</w:t>
      </w:r>
      <w:r>
        <w:fldChar w:fldCharType="end"/>
      </w:r>
    </w:p>
    <w:p>
      <w:pPr>
        <w:pStyle w:val="TOC8"/>
        <w:rPr>
          <w:rFonts w:asciiTheme="minorHAnsi" w:eastAsiaTheme="minorEastAsia" w:hAnsiTheme="minorHAnsi" w:cstheme="minorBidi"/>
          <w:szCs w:val="22"/>
        </w:rPr>
      </w:pPr>
      <w:r>
        <w:t>3.</w:t>
      </w:r>
      <w:r>
        <w:tab/>
        <w:t>Application for review order, procedure on</w:t>
      </w:r>
      <w:r>
        <w:tab/>
      </w:r>
      <w:r>
        <w:fldChar w:fldCharType="begin"/>
      </w:r>
      <w:r>
        <w:instrText xml:space="preserve"> PAGEREF _Toc129078018 \h </w:instrText>
      </w:r>
      <w:r>
        <w:fldChar w:fldCharType="separate"/>
      </w:r>
      <w:r>
        <w:t>339</w:t>
      </w:r>
      <w:r>
        <w:fldChar w:fldCharType="end"/>
      </w:r>
    </w:p>
    <w:p>
      <w:pPr>
        <w:pStyle w:val="TOC8"/>
        <w:rPr>
          <w:rFonts w:asciiTheme="minorHAnsi" w:eastAsiaTheme="minorEastAsia" w:hAnsiTheme="minorHAnsi" w:cstheme="minorBidi"/>
          <w:szCs w:val="22"/>
        </w:rPr>
      </w:pPr>
      <w:r>
        <w:t>4.</w:t>
      </w:r>
      <w:r>
        <w:tab/>
        <w:t>Review order, service of</w:t>
      </w:r>
      <w:r>
        <w:tab/>
      </w:r>
      <w:r>
        <w:fldChar w:fldCharType="begin"/>
      </w:r>
      <w:r>
        <w:instrText xml:space="preserve"> PAGEREF _Toc129078019 \h </w:instrText>
      </w:r>
      <w:r>
        <w:fldChar w:fldCharType="separate"/>
      </w:r>
      <w:r>
        <w:t>340</w:t>
      </w:r>
      <w:r>
        <w:fldChar w:fldCharType="end"/>
      </w:r>
    </w:p>
    <w:p>
      <w:pPr>
        <w:pStyle w:val="TOC8"/>
        <w:rPr>
          <w:rFonts w:asciiTheme="minorHAnsi" w:eastAsiaTheme="minorEastAsia" w:hAnsiTheme="minorHAnsi" w:cstheme="minorBidi"/>
          <w:szCs w:val="22"/>
        </w:rPr>
      </w:pPr>
      <w:r>
        <w:t>5.</w:t>
      </w:r>
      <w:r>
        <w:tab/>
        <w:t>Review order, hearing of</w:t>
      </w:r>
      <w:r>
        <w:tab/>
      </w:r>
      <w:r>
        <w:fldChar w:fldCharType="begin"/>
      </w:r>
      <w:r>
        <w:instrText xml:space="preserve"> PAGEREF _Toc129078020 \h </w:instrText>
      </w:r>
      <w:r>
        <w:fldChar w:fldCharType="separate"/>
      </w:r>
      <w:r>
        <w:t>340</w:t>
      </w:r>
      <w:r>
        <w:fldChar w:fldCharType="end"/>
      </w:r>
    </w:p>
    <w:p>
      <w:pPr>
        <w:pStyle w:val="TOC8"/>
        <w:rPr>
          <w:rFonts w:asciiTheme="minorHAnsi" w:eastAsiaTheme="minorEastAsia" w:hAnsiTheme="minorHAnsi" w:cstheme="minorBidi"/>
          <w:szCs w:val="22"/>
        </w:rPr>
      </w:pPr>
      <w:r>
        <w:t>6.</w:t>
      </w:r>
      <w:r>
        <w:tab/>
        <w:t>Final order, making and service of</w:t>
      </w:r>
      <w:r>
        <w:tab/>
      </w:r>
      <w:r>
        <w:fldChar w:fldCharType="begin"/>
      </w:r>
      <w:r>
        <w:instrText xml:space="preserve"> PAGEREF _Toc129078021 \h </w:instrText>
      </w:r>
      <w:r>
        <w:fldChar w:fldCharType="separate"/>
      </w:r>
      <w:r>
        <w:t>341</w:t>
      </w:r>
      <w:r>
        <w:fldChar w:fldCharType="end"/>
      </w:r>
    </w:p>
    <w:p>
      <w:pPr>
        <w:pStyle w:val="TOC2"/>
        <w:tabs>
          <w:tab w:val="right" w:leader="dot" w:pos="7077"/>
        </w:tabs>
        <w:rPr>
          <w:rFonts w:asciiTheme="minorHAnsi" w:eastAsiaTheme="minorEastAsia" w:hAnsiTheme="minorHAnsi" w:cstheme="minorBidi"/>
          <w:b w:val="0"/>
          <w:sz w:val="22"/>
          <w:szCs w:val="22"/>
        </w:rPr>
      </w:pPr>
      <w:r>
        <w:t>Order 57 — Habeas corpus</w:t>
      </w:r>
    </w:p>
    <w:p>
      <w:pPr>
        <w:pStyle w:val="TOC8"/>
        <w:rPr>
          <w:rFonts w:asciiTheme="minorHAnsi" w:eastAsiaTheme="minorEastAsia" w:hAnsiTheme="minorHAnsi" w:cstheme="minorBidi"/>
          <w:szCs w:val="22"/>
        </w:rPr>
      </w:pPr>
      <w:r>
        <w:t>1</w:t>
      </w:r>
      <w:r>
        <w:rPr>
          <w:snapToGrid w:val="0"/>
        </w:rPr>
        <w:t>.</w:t>
      </w:r>
      <w:r>
        <w:rPr>
          <w:snapToGrid w:val="0"/>
        </w:rPr>
        <w:tab/>
        <w:t>Application for writ</w:t>
      </w:r>
      <w:r>
        <w:tab/>
      </w:r>
      <w:r>
        <w:fldChar w:fldCharType="begin"/>
      </w:r>
      <w:r>
        <w:instrText xml:space="preserve"> PAGEREF _Toc129078023 \h </w:instrText>
      </w:r>
      <w:r>
        <w:fldChar w:fldCharType="separate"/>
      </w:r>
      <w:r>
        <w:t>342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_Toc129078024 \h </w:instrText>
      </w:r>
      <w:r>
        <w:fldChar w:fldCharType="separate"/>
      </w:r>
      <w:r>
        <w:t>342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Copies of affidavits to be supplied</w:t>
      </w:r>
      <w:r>
        <w:tab/>
      </w:r>
      <w:r>
        <w:fldChar w:fldCharType="begin"/>
      </w:r>
      <w:r>
        <w:instrText xml:space="preserve"> PAGEREF _Toc129078025 \h </w:instrText>
      </w:r>
      <w:r>
        <w:fldChar w:fldCharType="separate"/>
      </w:r>
      <w:r>
        <w:t>343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Court may order release of person restrained</w:t>
      </w:r>
      <w:r>
        <w:tab/>
      </w:r>
      <w:r>
        <w:fldChar w:fldCharType="begin"/>
      </w:r>
      <w:r>
        <w:instrText xml:space="preserve"> PAGEREF _Toc129078026 \h </w:instrText>
      </w:r>
      <w:r>
        <w:fldChar w:fldCharType="separate"/>
      </w:r>
      <w:r>
        <w:t>343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Signed copy of writ to be filed</w:t>
      </w:r>
      <w:r>
        <w:tab/>
      </w:r>
      <w:r>
        <w:fldChar w:fldCharType="begin"/>
      </w:r>
      <w:r>
        <w:instrText xml:space="preserve"> PAGEREF _Toc129078027 \h </w:instrText>
      </w:r>
      <w:r>
        <w:fldChar w:fldCharType="separate"/>
      </w:r>
      <w:r>
        <w:t>343</w:t>
      </w:r>
      <w:r>
        <w:fldChar w:fldCharType="end"/>
      </w:r>
    </w:p>
    <w:p>
      <w:pPr>
        <w:pStyle w:val="TOC8"/>
        <w:rPr>
          <w:rFonts w:asciiTheme="minorHAnsi" w:eastAsiaTheme="minorEastAsia" w:hAnsiTheme="minorHAnsi" w:cstheme="minorBidi"/>
          <w:szCs w:val="22"/>
        </w:rPr>
      </w:pPr>
      <w:r>
        <w:t>6.</w:t>
      </w:r>
      <w:r>
        <w:tab/>
        <w:t>Order for issue of writ, contents of</w:t>
      </w:r>
      <w:r>
        <w:tab/>
      </w:r>
      <w:r>
        <w:fldChar w:fldCharType="begin"/>
      </w:r>
      <w:r>
        <w:instrText xml:space="preserve"> PAGEREF _Toc129078028 \h </w:instrText>
      </w:r>
      <w:r>
        <w:fldChar w:fldCharType="separate"/>
      </w:r>
      <w:r>
        <w:t>344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Service of writ and notice</w:t>
      </w:r>
      <w:r>
        <w:tab/>
      </w:r>
      <w:r>
        <w:fldChar w:fldCharType="begin"/>
      </w:r>
      <w:r>
        <w:instrText xml:space="preserve"> PAGEREF _Toc129078029 \h </w:instrText>
      </w:r>
      <w:r>
        <w:fldChar w:fldCharType="separate"/>
      </w:r>
      <w:r>
        <w:t>344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Return to writ of habeas corpus</w:t>
      </w:r>
      <w:r>
        <w:tab/>
      </w:r>
      <w:r>
        <w:fldChar w:fldCharType="begin"/>
      </w:r>
      <w:r>
        <w:instrText xml:space="preserve"> PAGEREF _Toc129078030 \h </w:instrText>
      </w:r>
      <w:r>
        <w:fldChar w:fldCharType="separate"/>
      </w:r>
      <w:r>
        <w:t>345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Procedure on hearing</w:t>
      </w:r>
      <w:r>
        <w:tab/>
      </w:r>
      <w:r>
        <w:fldChar w:fldCharType="begin"/>
      </w:r>
      <w:r>
        <w:instrText xml:space="preserve"> PAGEREF _Toc129078031 \h </w:instrText>
      </w:r>
      <w:r>
        <w:fldChar w:fldCharType="separate"/>
      </w:r>
      <w:r>
        <w:t>345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writ</w:t>
      </w:r>
      <w:r>
        <w:tab/>
      </w:r>
      <w:r>
        <w:fldChar w:fldCharType="begin"/>
      </w:r>
      <w:r>
        <w:instrText xml:space="preserve"> PAGEREF _Toc129078032 \h </w:instrText>
      </w:r>
      <w:r>
        <w:fldChar w:fldCharType="separate"/>
      </w:r>
      <w:r>
        <w:t>345</w:t>
      </w:r>
      <w:r>
        <w:fldChar w:fldCharType="end"/>
      </w:r>
    </w:p>
    <w:p>
      <w:pPr>
        <w:pStyle w:val="TOC2"/>
        <w:tabs>
          <w:tab w:val="right" w:leader="dot" w:pos="7077"/>
        </w:tabs>
        <w:rPr>
          <w:rFonts w:asciiTheme="minorHAnsi" w:eastAsiaTheme="minorEastAsia" w:hAnsiTheme="minorHAnsi" w:cstheme="minorBidi"/>
          <w:b w:val="0"/>
          <w:sz w:val="22"/>
          <w:szCs w:val="22"/>
        </w:rPr>
      </w:pPr>
      <w:r>
        <w:t>Order 58 — Proceedings by originating summons</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rPr>
          <w:snapToGrid w:val="0"/>
        </w:rPr>
        <w:t>.</w:t>
      </w:r>
      <w:r>
        <w:rPr>
          <w:snapToGrid w:val="0"/>
        </w:rPr>
        <w:tab/>
        <w:t>Which proceedings to be commenced by originating summons</w:t>
      </w:r>
      <w:r>
        <w:tab/>
      </w:r>
      <w:r>
        <w:fldChar w:fldCharType="begin"/>
      </w:r>
      <w:r>
        <w:instrText xml:space="preserve"> PAGEREF _Toc129078035 \h </w:instrText>
      </w:r>
      <w:r>
        <w:fldChar w:fldCharType="separate"/>
      </w:r>
      <w:r>
        <w:t>346</w:t>
      </w:r>
      <w:r>
        <w:fldChar w:fldCharType="end"/>
      </w:r>
    </w:p>
    <w:p>
      <w:pPr>
        <w:pStyle w:val="TOC4"/>
        <w:tabs>
          <w:tab w:val="right" w:leader="dot" w:pos="7077"/>
        </w:tabs>
        <w:rPr>
          <w:rFonts w:asciiTheme="minorHAnsi" w:eastAsiaTheme="minorEastAsia" w:hAnsiTheme="minorHAnsi" w:cstheme="minorBidi"/>
          <w:b w:val="0"/>
          <w:szCs w:val="22"/>
        </w:rPr>
      </w:pPr>
      <w:r>
        <w:t>Division 2 — Administration and trusts</w:t>
      </w:r>
    </w:p>
    <w:p>
      <w:pPr>
        <w:pStyle w:val="TOC8"/>
        <w:rPr>
          <w:rFonts w:asciiTheme="minorHAnsi" w:eastAsiaTheme="minorEastAsia" w:hAnsiTheme="minorHAnsi" w:cstheme="minorBidi"/>
          <w:szCs w:val="22"/>
        </w:rPr>
      </w:pPr>
      <w:r>
        <w:t>2</w:t>
      </w:r>
      <w:r>
        <w:rPr>
          <w:snapToGrid w:val="0"/>
        </w:rPr>
        <w:t>.</w:t>
      </w:r>
      <w:r>
        <w:rPr>
          <w:snapToGrid w:val="0"/>
        </w:rPr>
        <w:tab/>
        <w:t>Executors etc. seeking certain relief without administration</w:t>
      </w:r>
      <w:r>
        <w:tab/>
      </w:r>
      <w:r>
        <w:fldChar w:fldCharType="begin"/>
      </w:r>
      <w:r>
        <w:instrText xml:space="preserve"> PAGEREF _Toc129078037 \h </w:instrText>
      </w:r>
      <w:r>
        <w:fldChar w:fldCharType="separate"/>
      </w:r>
      <w:r>
        <w:t>346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Executors etc. applying for administration</w:t>
      </w:r>
      <w:r>
        <w:tab/>
      </w:r>
      <w:r>
        <w:fldChar w:fldCharType="begin"/>
      </w:r>
      <w:r>
        <w:instrText xml:space="preserve"> PAGEREF _Toc129078038 \h </w:instrText>
      </w:r>
      <w:r>
        <w:fldChar w:fldCharType="separate"/>
      </w:r>
      <w:r>
        <w:t>347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Service of summons issued under r. 2 or 3</w:t>
      </w:r>
      <w:r>
        <w:tab/>
      </w:r>
      <w:r>
        <w:fldChar w:fldCharType="begin"/>
      </w:r>
      <w:r>
        <w:instrText xml:space="preserve"> PAGEREF _Toc129078039 \h </w:instrText>
      </w:r>
      <w:r>
        <w:fldChar w:fldCharType="separate"/>
      </w:r>
      <w:r>
        <w:t>347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Decision without judgment for administration</w:t>
      </w:r>
      <w:r>
        <w:tab/>
      </w:r>
      <w:r>
        <w:fldChar w:fldCharType="begin"/>
      </w:r>
      <w:r>
        <w:instrText xml:space="preserve"> PAGEREF _Toc129078040 \h </w:instrText>
      </w:r>
      <w:r>
        <w:fldChar w:fldCharType="separate"/>
      </w:r>
      <w:r>
        <w:t>348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Orders which may be made on application for administration etc. of trusts</w:t>
      </w:r>
      <w:r>
        <w:tab/>
      </w:r>
      <w:r>
        <w:fldChar w:fldCharType="begin"/>
      </w:r>
      <w:r>
        <w:instrText xml:space="preserve"> PAGEREF _Toc129078041 \h </w:instrText>
      </w:r>
      <w:r>
        <w:fldChar w:fldCharType="separate"/>
      </w:r>
      <w:r>
        <w:t>348</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Interference with discretion of trustee etc.</w:t>
      </w:r>
      <w:r>
        <w:tab/>
      </w:r>
      <w:r>
        <w:fldChar w:fldCharType="begin"/>
      </w:r>
      <w:r>
        <w:instrText xml:space="preserve"> PAGEREF _Toc129078042 \h </w:instrText>
      </w:r>
      <w:r>
        <w:fldChar w:fldCharType="separate"/>
      </w:r>
      <w:r>
        <w:t>349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Conduct of sale of trust property</w:t>
      </w:r>
      <w:r>
        <w:tab/>
      </w:r>
      <w:r>
        <w:fldChar w:fldCharType="begin"/>
      </w:r>
      <w:r>
        <w:instrText xml:space="preserve"> PAGEREF _Toc129078043 \h </w:instrText>
      </w:r>
      <w:r>
        <w:fldChar w:fldCharType="separate"/>
      </w:r>
      <w:r>
        <w:t>349</w:t>
      </w:r>
      <w:r>
        <w:fldChar w:fldCharType="end"/>
      </w:r>
    </w:p>
    <w:p>
      <w:pPr>
        <w:pStyle w:val="TOC4"/>
        <w:tabs>
          <w:tab w:val="right" w:leader="dot" w:pos="7077"/>
        </w:tabs>
        <w:rPr>
          <w:rFonts w:asciiTheme="minorHAnsi" w:eastAsiaTheme="minorEastAsia" w:hAnsiTheme="minorHAnsi" w:cstheme="minorBidi"/>
          <w:b w:val="0"/>
          <w:szCs w:val="22"/>
        </w:rPr>
      </w:pPr>
      <w:r>
        <w:t>Division 4 — Declaration on originating summons</w:t>
      </w:r>
    </w:p>
    <w:p>
      <w:pPr>
        <w:pStyle w:val="TOC8"/>
        <w:rPr>
          <w:rFonts w:asciiTheme="minorHAnsi" w:eastAsiaTheme="minorEastAsia" w:hAnsiTheme="minorHAnsi" w:cstheme="minorBidi"/>
          <w:szCs w:val="22"/>
        </w:rPr>
      </w:pPr>
      <w:r>
        <w:t>10</w:t>
      </w:r>
      <w:r>
        <w:rPr>
          <w:snapToGrid w:val="0"/>
        </w:rPr>
        <w:t>.</w:t>
      </w:r>
      <w:r>
        <w:rPr>
          <w:snapToGrid w:val="0"/>
        </w:rPr>
        <w:tab/>
        <w:t>Construction of written instruments</w:t>
      </w:r>
      <w:r>
        <w:tab/>
      </w:r>
      <w:r>
        <w:fldChar w:fldCharType="begin"/>
      </w:r>
      <w:r>
        <w:instrText xml:space="preserve"> PAGEREF _Toc129078045 \h </w:instrText>
      </w:r>
      <w:r>
        <w:fldChar w:fldCharType="separate"/>
      </w:r>
      <w:r>
        <w:t>349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Construction or validity of legislation</w:t>
      </w:r>
      <w:r>
        <w:tab/>
      </w:r>
      <w:r>
        <w:fldChar w:fldCharType="begin"/>
      </w:r>
      <w:r>
        <w:instrText xml:space="preserve"> PAGEREF _Toc129078046 \h </w:instrText>
      </w:r>
      <w:r>
        <w:fldChar w:fldCharType="separate"/>
      </w:r>
      <w:r>
        <w:t>350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Court may refuse to determine summons in some cases</w:t>
      </w:r>
      <w:r>
        <w:tab/>
      </w:r>
      <w:r>
        <w:fldChar w:fldCharType="begin"/>
      </w:r>
      <w:r>
        <w:instrText xml:space="preserve"> PAGEREF _Toc129078047 \h </w:instrText>
      </w:r>
      <w:r>
        <w:fldChar w:fldCharType="separate"/>
      </w:r>
      <w:r>
        <w:t>350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Effect of contracts for sale etc. of land</w:t>
      </w:r>
      <w:r>
        <w:tab/>
      </w:r>
      <w:r>
        <w:fldChar w:fldCharType="begin"/>
      </w:r>
      <w:r>
        <w:instrText xml:space="preserve"> PAGEREF _Toc129078048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14</w:t>
      </w:r>
      <w:r>
        <w:rPr>
          <w:snapToGrid w:val="0"/>
        </w:rPr>
        <w:t>.</w:t>
      </w:r>
      <w:r>
        <w:rPr>
          <w:snapToGrid w:val="0"/>
        </w:rPr>
        <w:tab/>
        <w:t>Form and issue of originating summons</w:t>
      </w:r>
      <w:r>
        <w:tab/>
      </w:r>
      <w:r>
        <w:fldChar w:fldCharType="begin"/>
      </w:r>
      <w:r>
        <w:instrText xml:space="preserve"> PAGEREF _Toc129078050 \h </w:instrText>
      </w:r>
      <w:r>
        <w:fldChar w:fldCharType="separate"/>
      </w:r>
      <w:r>
        <w:t>350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Order 7 applies to originating summons</w:t>
      </w:r>
      <w:r>
        <w:tab/>
      </w:r>
      <w:r>
        <w:fldChar w:fldCharType="begin"/>
      </w:r>
      <w:r>
        <w:instrText xml:space="preserve"> PAGEREF _Toc129078051 \h </w:instrText>
      </w:r>
      <w:r>
        <w:fldChar w:fldCharType="separate"/>
      </w:r>
      <w:r>
        <w:t>351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Time for appearance</w:t>
      </w:r>
      <w:r>
        <w:tab/>
      </w:r>
      <w:r>
        <w:fldChar w:fldCharType="begin"/>
      </w:r>
      <w:r>
        <w:instrText xml:space="preserve"> PAGEREF _Toc129078052 \h </w:instrText>
      </w:r>
      <w:r>
        <w:fldChar w:fldCharType="separate"/>
      </w:r>
      <w:r>
        <w:t>351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Entry of appearance</w:t>
      </w:r>
      <w:r>
        <w:tab/>
      </w:r>
      <w:r>
        <w:fldChar w:fldCharType="begin"/>
      </w:r>
      <w:r>
        <w:instrText xml:space="preserve"> PAGEREF _Toc129078053 \h </w:instrText>
      </w:r>
      <w:r>
        <w:fldChar w:fldCharType="separate"/>
      </w:r>
      <w:r>
        <w:t>351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When appearance not required</w:t>
      </w:r>
      <w:r>
        <w:tab/>
      </w:r>
      <w:r>
        <w:fldChar w:fldCharType="begin"/>
      </w:r>
      <w:r>
        <w:instrText xml:space="preserve"> PAGEREF _Toc129078054 \h </w:instrText>
      </w:r>
      <w:r>
        <w:fldChar w:fldCharType="separate"/>
      </w:r>
      <w:r>
        <w:t>352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Time for service where appearance not required</w:t>
      </w:r>
      <w:r>
        <w:tab/>
      </w:r>
      <w:r>
        <w:fldChar w:fldCharType="begin"/>
      </w:r>
      <w:r>
        <w:instrText xml:space="preserve"> PAGEREF _Toc129078055 \h </w:instrText>
      </w:r>
      <w:r>
        <w:fldChar w:fldCharType="separate"/>
      </w:r>
      <w:r>
        <w:t>353</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Fixing time for hearing summons</w:t>
      </w:r>
      <w:r>
        <w:tab/>
      </w:r>
      <w:r>
        <w:fldChar w:fldCharType="begin"/>
      </w:r>
      <w:r>
        <w:instrText xml:space="preserve"> PAGEREF _Toc129078056 \h </w:instrText>
      </w:r>
      <w:r>
        <w:fldChar w:fldCharType="separate"/>
      </w:r>
      <w:r>
        <w:t>353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Evidence at hearing to be by affidavit</w:t>
      </w:r>
      <w:r>
        <w:tab/>
      </w:r>
      <w:r>
        <w:fldChar w:fldCharType="begin"/>
      </w:r>
      <w:r>
        <w:instrText xml:space="preserve"> PAGEREF _Toc129078057 \h </w:instrText>
      </w:r>
      <w:r>
        <w:fldChar w:fldCharType="separate"/>
      </w:r>
      <w:r>
        <w:t>354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Hearings in absence of party</w:t>
      </w:r>
      <w:r>
        <w:tab/>
      </w:r>
      <w:r>
        <w:fldChar w:fldCharType="begin"/>
      </w:r>
      <w:r>
        <w:instrText xml:space="preserve"> PAGEREF _Toc129078058 \h </w:instrText>
      </w:r>
      <w:r>
        <w:fldChar w:fldCharType="separate"/>
      </w:r>
      <w:r>
        <w:t>354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_Toc129078059 \h </w:instrText>
      </w:r>
      <w:r>
        <w:fldChar w:fldCharType="separate"/>
      </w:r>
      <w:r>
        <w:t>355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_Toc129078060 \h </w:instrText>
      </w:r>
      <w:r>
        <w:fldChar w:fldCharType="separate"/>
      </w:r>
      <w:r>
        <w:t>355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Hearings not completed on hearing date</w:t>
      </w:r>
      <w:r>
        <w:tab/>
      </w:r>
      <w:r>
        <w:fldChar w:fldCharType="begin"/>
      </w:r>
      <w:r>
        <w:instrText xml:space="preserve"> PAGEREF _Toc129078061 \h </w:instrText>
      </w:r>
      <w:r>
        <w:fldChar w:fldCharType="separate"/>
      </w:r>
      <w:r>
        <w:t>355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Other matters that may be included in one summons</w:t>
      </w:r>
      <w:r>
        <w:tab/>
      </w:r>
      <w:r>
        <w:fldChar w:fldCharType="begin"/>
      </w:r>
      <w:r>
        <w:instrText xml:space="preserve"> PAGEREF _Toc129078062 \h </w:instrText>
      </w:r>
      <w:r>
        <w:fldChar w:fldCharType="separate"/>
      </w:r>
      <w:r>
        <w:t>355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Directions as to hearings, evidence etc.</w:t>
      </w:r>
      <w:r>
        <w:tab/>
      </w:r>
      <w:r>
        <w:fldChar w:fldCharType="begin"/>
      </w:r>
      <w:r>
        <w:instrText xml:space="preserve"> PAGEREF _Toc129078063 \h </w:instrText>
      </w:r>
      <w:r>
        <w:fldChar w:fldCharType="separate"/>
      </w:r>
      <w:r>
        <w:t>356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Adjourning hearings</w:t>
      </w:r>
      <w:r>
        <w:tab/>
      </w:r>
      <w:r>
        <w:fldChar w:fldCharType="begin"/>
      </w:r>
      <w:r>
        <w:instrText xml:space="preserve"> PAGEREF _Toc129078064 \h </w:instrText>
      </w:r>
      <w:r>
        <w:fldChar w:fldCharType="separate"/>
      </w:r>
      <w:r>
        <w:t>356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Court’s powers and procedure at hearings</w:t>
      </w:r>
      <w:r>
        <w:tab/>
      </w:r>
      <w:r>
        <w:fldChar w:fldCharType="begin"/>
      </w:r>
      <w:r>
        <w:instrText xml:space="preserve"> PAGEREF _Toc129078065 \h </w:instrText>
      </w:r>
      <w:r>
        <w:fldChar w:fldCharType="separate"/>
      </w:r>
      <w:r>
        <w:t>357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r>
      <w:r>
        <w:rPr>
          <w:i/>
          <w:snapToGrid w:val="0"/>
        </w:rPr>
        <w:t xml:space="preserve">Transfer of Land Act 1893 </w:t>
      </w:r>
      <w:r>
        <w:rPr>
          <w:snapToGrid w:val="0"/>
        </w:rPr>
        <w:t>s. 129C applications, directions as to</w:t>
      </w:r>
      <w:r>
        <w:tab/>
      </w:r>
      <w:r>
        <w:fldChar w:fldCharType="begin"/>
      </w:r>
      <w:r>
        <w:instrText xml:space="preserve"> PAGEREF _Toc129078066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t>Order 59 — Applications and proceedings in chambers</w:t>
      </w:r>
    </w:p>
    <w:p>
      <w:pPr>
        <w:pStyle w:val="TOC8"/>
        <w:rPr>
          <w:rFonts w:asciiTheme="minorHAnsi" w:eastAsiaTheme="minorEastAsia" w:hAnsiTheme="minorHAnsi" w:cstheme="minorBidi"/>
          <w:szCs w:val="22"/>
        </w:rPr>
      </w:pPr>
      <w:r>
        <w:t>1</w:t>
      </w:r>
      <w:r>
        <w:rPr>
          <w:snapToGrid w:val="0"/>
        </w:rPr>
        <w:t>.</w:t>
      </w:r>
      <w:r>
        <w:rPr>
          <w:snapToGrid w:val="0"/>
        </w:rPr>
        <w:tab/>
        <w:t>Business to be dealt with in chambers</w:t>
      </w:r>
      <w:r>
        <w:tab/>
      </w:r>
      <w:r>
        <w:fldChar w:fldCharType="begin"/>
      </w:r>
      <w:r>
        <w:instrText xml:space="preserve"> PAGEREF _Toc129078068 \h </w:instrText>
      </w:r>
      <w:r>
        <w:fldChar w:fldCharType="separate"/>
      </w:r>
      <w:r>
        <w:t>359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Hearings may be in open court or chambers</w:t>
      </w:r>
      <w:r>
        <w:tab/>
      </w:r>
      <w:r>
        <w:fldChar w:fldCharType="begin"/>
      </w:r>
      <w:r>
        <w:instrText xml:space="preserve"> PAGEREF _Toc129078069 \h </w:instrText>
      </w:r>
      <w:r>
        <w:fldChar w:fldCharType="separate"/>
      </w:r>
      <w:r>
        <w:t>360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Applications in chambers</w:t>
      </w:r>
      <w:r>
        <w:tab/>
      </w:r>
      <w:r>
        <w:fldChar w:fldCharType="begin"/>
      </w:r>
      <w:r>
        <w:instrText xml:space="preserve"> PAGEREF _Toc129078070 \h </w:instrText>
      </w:r>
      <w:r>
        <w:fldChar w:fldCharType="separate"/>
      </w:r>
      <w:r>
        <w:t>361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and issue of summons</w:t>
      </w:r>
      <w:r>
        <w:tab/>
      </w:r>
      <w:r>
        <w:fldChar w:fldCharType="begin"/>
      </w:r>
      <w:r>
        <w:instrText xml:space="preserve"> PAGEREF _Toc129078071 \h </w:instrText>
      </w:r>
      <w:r>
        <w:fldChar w:fldCharType="separate"/>
      </w:r>
      <w:r>
        <w:t>361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Summons, service of</w:t>
      </w:r>
      <w:r>
        <w:tab/>
      </w:r>
      <w:r>
        <w:fldChar w:fldCharType="begin"/>
      </w:r>
      <w:r>
        <w:instrText xml:space="preserve"> PAGEREF _Toc129078072 \h </w:instrText>
      </w:r>
      <w:r>
        <w:fldChar w:fldCharType="separate"/>
      </w:r>
      <w:r>
        <w:t>362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Experts, assistance of</w:t>
      </w:r>
      <w:r>
        <w:tab/>
      </w:r>
      <w:r>
        <w:fldChar w:fldCharType="begin"/>
      </w:r>
      <w:r>
        <w:instrText xml:space="preserve"> PAGEREF _Toc129078073 \h </w:instrText>
      </w:r>
      <w:r>
        <w:fldChar w:fldCharType="separate"/>
      </w:r>
      <w:r>
        <w:t>362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of O. 58 r. 22 to 28</w:t>
      </w:r>
      <w:r>
        <w:tab/>
      </w:r>
      <w:r>
        <w:fldChar w:fldCharType="begin"/>
      </w:r>
      <w:r>
        <w:instrText xml:space="preserve"> PAGEREF _Toc129078074 \h </w:instrText>
      </w:r>
      <w:r>
        <w:fldChar w:fldCharType="separate"/>
      </w:r>
      <w:r>
        <w:t>362</w:t>
      </w:r>
      <w:r>
        <w:fldChar w:fldCharType="end"/>
      </w:r>
    </w:p>
    <w:p>
      <w:pPr>
        <w:pStyle w:val="TOC8"/>
        <w:rPr>
          <w:rFonts w:asciiTheme="minorHAnsi" w:eastAsiaTheme="minorEastAsia" w:hAnsiTheme="minorHAnsi" w:cstheme="minorBidi"/>
          <w:szCs w:val="22"/>
        </w:rPr>
      </w:pPr>
      <w:r>
        <w:lastRenderedPageBreak/>
        <w:t>8</w:t>
      </w:r>
      <w:r>
        <w:rPr>
          <w:snapToGrid w:val="0"/>
        </w:rPr>
        <w:t>.</w:t>
      </w:r>
      <w:r>
        <w:rPr>
          <w:snapToGrid w:val="0"/>
        </w:rPr>
        <w:tab/>
        <w:t>Stay of proceedings, ordering</w:t>
      </w:r>
      <w:r>
        <w:tab/>
      </w:r>
      <w:r>
        <w:fldChar w:fldCharType="begin"/>
      </w:r>
      <w:r>
        <w:instrText xml:space="preserve"> PAGEREF _Toc129078075 \h </w:instrText>
      </w:r>
      <w:r>
        <w:fldChar w:fldCharType="separate"/>
      </w:r>
      <w:r>
        <w:t>363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Parties to confer before making application</w:t>
      </w:r>
      <w:r>
        <w:tab/>
      </w:r>
      <w:r>
        <w:fldChar w:fldCharType="begin"/>
      </w:r>
      <w:r>
        <w:instrText xml:space="preserve"> PAGEREF _Toc129078076 \h </w:instrText>
      </w:r>
      <w:r>
        <w:fldChar w:fldCharType="separate"/>
      </w:r>
      <w:r>
        <w:t>363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Orders, form of</w:t>
      </w:r>
      <w:r>
        <w:tab/>
      </w:r>
      <w:r>
        <w:fldChar w:fldCharType="begin"/>
      </w:r>
      <w:r>
        <w:instrText xml:space="preserve"> PAGEREF _Toc129078077 \h </w:instrText>
      </w:r>
      <w:r>
        <w:fldChar w:fldCharType="separate"/>
      </w:r>
      <w:r>
        <w:t>363</w:t>
      </w:r>
      <w:r>
        <w:fldChar w:fldCharType="end"/>
      </w:r>
    </w:p>
    <w:p>
      <w:pPr>
        <w:pStyle w:val="TOC2"/>
        <w:tabs>
          <w:tab w:val="right" w:leader="dot" w:pos="7077"/>
        </w:tabs>
        <w:rPr>
          <w:rFonts w:asciiTheme="minorHAnsi" w:eastAsiaTheme="minorEastAsia" w:hAnsiTheme="minorHAnsi" w:cstheme="minorBidi"/>
          <w:b w:val="0"/>
          <w:sz w:val="22"/>
          <w:szCs w:val="22"/>
        </w:rPr>
      </w:pPr>
      <w:r>
        <w:t>Order 60</w:t>
      </w:r>
      <w:r>
        <w:rPr>
          <w:b w:val="0"/>
        </w:rPr>
        <w:t> </w:t>
      </w:r>
      <w:r>
        <w:t>—</w:t>
      </w:r>
      <w:r>
        <w:rPr>
          <w:b w:val="0"/>
        </w:rPr>
        <w:t> </w:t>
      </w:r>
      <w:r>
        <w:t>Masters’ jurisdiction</w:t>
      </w:r>
    </w:p>
    <w:p>
      <w:pPr>
        <w:pStyle w:val="TOC8"/>
        <w:rPr>
          <w:rFonts w:asciiTheme="minorHAnsi" w:eastAsiaTheme="minorEastAsia" w:hAnsiTheme="minorHAnsi" w:cstheme="minorBidi"/>
          <w:szCs w:val="22"/>
        </w:rPr>
      </w:pPr>
      <w:r>
        <w:t>1.</w:t>
      </w:r>
      <w:r>
        <w:tab/>
        <w:t>Masters’ general jurisdiction</w:t>
      </w:r>
      <w:r>
        <w:tab/>
      </w:r>
      <w:r>
        <w:fldChar w:fldCharType="begin"/>
      </w:r>
      <w:r>
        <w:instrText xml:space="preserve"> PAGEREF _Toc129078079 \h </w:instrText>
      </w:r>
      <w:r>
        <w:fldChar w:fldCharType="separate"/>
      </w:r>
      <w:r>
        <w:t>364</w:t>
      </w:r>
      <w:r>
        <w:fldChar w:fldCharType="end"/>
      </w:r>
    </w:p>
    <w:p>
      <w:pPr>
        <w:pStyle w:val="TOC8"/>
        <w:rPr>
          <w:rFonts w:asciiTheme="minorHAnsi" w:eastAsiaTheme="minorEastAsia" w:hAnsiTheme="minorHAnsi" w:cstheme="minorBidi"/>
          <w:szCs w:val="22"/>
        </w:rPr>
      </w:pPr>
      <w:r>
        <w:t>2.</w:t>
      </w:r>
      <w:r>
        <w:tab/>
        <w:t>Master may refer matter to judge or Court of Appeal</w:t>
      </w:r>
      <w:r>
        <w:tab/>
      </w:r>
      <w:r>
        <w:fldChar w:fldCharType="begin"/>
      </w:r>
      <w:r>
        <w:instrText xml:space="preserve"> PAGEREF _Toc129078080 \h </w:instrText>
      </w:r>
      <w:r>
        <w:fldChar w:fldCharType="separate"/>
      </w:r>
      <w:r>
        <w:t>365</w:t>
      </w:r>
      <w:r>
        <w:fldChar w:fldCharType="end"/>
      </w:r>
    </w:p>
    <w:p>
      <w:pPr>
        <w:pStyle w:val="TOC2"/>
        <w:tabs>
          <w:tab w:val="right" w:leader="dot" w:pos="7077"/>
        </w:tabs>
        <w:rPr>
          <w:rFonts w:asciiTheme="minorHAnsi" w:eastAsiaTheme="minorEastAsia" w:hAnsiTheme="minorHAnsi" w:cstheme="minorBidi"/>
          <w:b w:val="0"/>
          <w:sz w:val="22"/>
          <w:szCs w:val="22"/>
        </w:rPr>
      </w:pPr>
      <w:r>
        <w:t>Order 60A — Jurisdiction of registrars and appeals from registrars’ decisions</w:t>
      </w:r>
    </w:p>
    <w:p>
      <w:pPr>
        <w:pStyle w:val="TOC8"/>
        <w:rPr>
          <w:rFonts w:asciiTheme="minorHAnsi" w:eastAsiaTheme="minorEastAsia" w:hAnsiTheme="minorHAnsi" w:cstheme="minorBidi"/>
          <w:szCs w:val="22"/>
        </w:rPr>
      </w:pPr>
      <w:r>
        <w:t>1</w:t>
      </w:r>
      <w:r>
        <w:rPr>
          <w:snapToGrid w:val="0"/>
        </w:rPr>
        <w:t>.</w:t>
      </w:r>
      <w:r>
        <w:rPr>
          <w:snapToGrid w:val="0"/>
        </w:rPr>
        <w:tab/>
      </w:r>
      <w:r>
        <w:t>Registrars’ general jurisdiction</w:t>
      </w:r>
      <w:r>
        <w:tab/>
      </w:r>
      <w:r>
        <w:fldChar w:fldCharType="begin"/>
      </w:r>
      <w:r>
        <w:instrText xml:space="preserve"> PAGEREF _Toc129078082 \h </w:instrText>
      </w:r>
      <w:r>
        <w:fldChar w:fldCharType="separate"/>
      </w:r>
      <w:r>
        <w:t>366</w:t>
      </w:r>
      <w:r>
        <w:fldChar w:fldCharType="end"/>
      </w:r>
    </w:p>
    <w:p>
      <w:pPr>
        <w:pStyle w:val="TOC8"/>
        <w:rPr>
          <w:rFonts w:asciiTheme="minorHAnsi" w:eastAsiaTheme="minorEastAsia" w:hAnsiTheme="minorHAnsi" w:cstheme="minorBidi"/>
          <w:szCs w:val="22"/>
        </w:rPr>
      </w:pPr>
      <w:r>
        <w:t>2.</w:t>
      </w:r>
      <w:r>
        <w:tab/>
        <w:t>Registrars’ jurisdiction with respect to case management</w:t>
      </w:r>
      <w:r>
        <w:tab/>
      </w:r>
      <w:r>
        <w:fldChar w:fldCharType="begin"/>
      </w:r>
      <w:r>
        <w:instrText xml:space="preserve"> PAGEREF _Toc129078083 \h </w:instrText>
      </w:r>
      <w:r>
        <w:fldChar w:fldCharType="separate"/>
      </w:r>
      <w:r>
        <w:t>366</w:t>
      </w:r>
      <w:r>
        <w:fldChar w:fldCharType="end"/>
      </w:r>
    </w:p>
    <w:p>
      <w:pPr>
        <w:pStyle w:val="TOC8"/>
        <w:rPr>
          <w:rFonts w:asciiTheme="minorHAnsi" w:eastAsiaTheme="minorEastAsia" w:hAnsiTheme="minorHAnsi" w:cstheme="minorBidi"/>
          <w:szCs w:val="22"/>
        </w:rPr>
      </w:pPr>
      <w:r>
        <w:t>2A.</w:t>
      </w:r>
      <w:r>
        <w:tab/>
        <w:t>Registrars to deal with applications within their jurisdiction</w:t>
      </w:r>
      <w:r>
        <w:tab/>
      </w:r>
      <w:r>
        <w:fldChar w:fldCharType="begin"/>
      </w:r>
      <w:r>
        <w:instrText xml:space="preserve"> PAGEREF _Toc129078084 \h </w:instrText>
      </w:r>
      <w:r>
        <w:fldChar w:fldCharType="separate"/>
      </w:r>
      <w:r>
        <w:t>368</w:t>
      </w:r>
      <w:r>
        <w:fldChar w:fldCharType="end"/>
      </w:r>
    </w:p>
    <w:p>
      <w:pPr>
        <w:pStyle w:val="TOC8"/>
        <w:rPr>
          <w:rFonts w:asciiTheme="minorHAnsi" w:eastAsiaTheme="minorEastAsia" w:hAnsiTheme="minorHAnsi" w:cstheme="minorBidi"/>
          <w:szCs w:val="22"/>
        </w:rPr>
      </w:pPr>
      <w:r>
        <w:t>3.</w:t>
      </w:r>
      <w:r>
        <w:tab/>
        <w:t>Registrar may refer proceedings to judge or master</w:t>
      </w:r>
      <w:r>
        <w:tab/>
      </w:r>
      <w:r>
        <w:fldChar w:fldCharType="begin"/>
      </w:r>
      <w:r>
        <w:instrText xml:space="preserve"> PAGEREF _Toc129078085 \h </w:instrText>
      </w:r>
      <w:r>
        <w:fldChar w:fldCharType="separate"/>
      </w:r>
      <w:r>
        <w:t>368</w:t>
      </w:r>
      <w:r>
        <w:fldChar w:fldCharType="end"/>
      </w:r>
    </w:p>
    <w:p>
      <w:pPr>
        <w:pStyle w:val="TOC8"/>
        <w:rPr>
          <w:rFonts w:asciiTheme="minorHAnsi" w:eastAsiaTheme="minorEastAsia" w:hAnsiTheme="minorHAnsi" w:cstheme="minorBidi"/>
          <w:szCs w:val="22"/>
        </w:rPr>
      </w:pPr>
      <w:r>
        <w:t>4.</w:t>
      </w:r>
      <w:r>
        <w:tab/>
        <w:t>Appeals from decisions of registrars</w:t>
      </w:r>
      <w:r>
        <w:tab/>
      </w:r>
      <w:r>
        <w:fldChar w:fldCharType="begin"/>
      </w:r>
      <w:r>
        <w:instrText xml:space="preserve"> PAGEREF _Toc129078086 \h </w:instrText>
      </w:r>
      <w:r>
        <w:fldChar w:fldCharType="separate"/>
      </w:r>
      <w:r>
        <w:t>369</w:t>
      </w:r>
      <w:r>
        <w:fldChar w:fldCharType="end"/>
      </w:r>
    </w:p>
    <w:p>
      <w:pPr>
        <w:pStyle w:val="TOC8"/>
        <w:rPr>
          <w:rFonts w:asciiTheme="minorHAnsi" w:eastAsiaTheme="minorEastAsia" w:hAnsiTheme="minorHAnsi" w:cstheme="minorBidi"/>
          <w:szCs w:val="22"/>
        </w:rPr>
      </w:pPr>
      <w:r>
        <w:t>5.</w:t>
      </w:r>
      <w:r>
        <w:tab/>
        <w:t>Appeal procedure</w:t>
      </w:r>
      <w:r>
        <w:tab/>
      </w:r>
      <w:r>
        <w:fldChar w:fldCharType="begin"/>
      </w:r>
      <w:r>
        <w:instrText xml:space="preserve"> PAGEREF _Toc129078087 \h </w:instrText>
      </w:r>
      <w:r>
        <w:fldChar w:fldCharType="separate"/>
      </w:r>
      <w:r>
        <w:t>369</w:t>
      </w:r>
      <w:r>
        <w:fldChar w:fldCharType="end"/>
      </w:r>
    </w:p>
    <w:p>
      <w:pPr>
        <w:pStyle w:val="TOC8"/>
        <w:rPr>
          <w:rFonts w:asciiTheme="minorHAnsi" w:eastAsiaTheme="minorEastAsia" w:hAnsiTheme="minorHAnsi" w:cstheme="minorBidi"/>
          <w:szCs w:val="22"/>
        </w:rPr>
      </w:pPr>
      <w:r>
        <w:t>6A.</w:t>
      </w:r>
      <w:r>
        <w:tab/>
        <w:t>Other parties to appeal to advise certain matters</w:t>
      </w:r>
      <w:r>
        <w:tab/>
      </w:r>
      <w:r>
        <w:fldChar w:fldCharType="begin"/>
      </w:r>
      <w:r>
        <w:instrText xml:space="preserve"> PAGEREF _Toc129078088 \h </w:instrText>
      </w:r>
      <w:r>
        <w:fldChar w:fldCharType="separate"/>
      </w:r>
      <w:r>
        <w:t>370</w:t>
      </w:r>
      <w:r>
        <w:fldChar w:fldCharType="end"/>
      </w:r>
    </w:p>
    <w:p>
      <w:pPr>
        <w:pStyle w:val="TOC8"/>
        <w:rPr>
          <w:rFonts w:asciiTheme="minorHAnsi" w:eastAsiaTheme="minorEastAsia" w:hAnsiTheme="minorHAnsi" w:cstheme="minorBidi"/>
          <w:szCs w:val="22"/>
        </w:rPr>
      </w:pPr>
      <w:r>
        <w:t>6.</w:t>
      </w:r>
      <w:r>
        <w:tab/>
        <w:t>Appeal is by way of new hearing</w:t>
      </w:r>
      <w:r>
        <w:tab/>
      </w:r>
      <w:r>
        <w:fldChar w:fldCharType="begin"/>
      </w:r>
      <w:r>
        <w:instrText xml:space="preserve"> PAGEREF _Toc129078089 \h </w:instrText>
      </w:r>
      <w:r>
        <w:fldChar w:fldCharType="separate"/>
      </w:r>
      <w:r>
        <w:t>370</w:t>
      </w:r>
      <w:r>
        <w:fldChar w:fldCharType="end"/>
      </w:r>
    </w:p>
    <w:p>
      <w:pPr>
        <w:pStyle w:val="TOC8"/>
        <w:rPr>
          <w:rFonts w:asciiTheme="minorHAnsi" w:eastAsiaTheme="minorEastAsia" w:hAnsiTheme="minorHAnsi" w:cstheme="minorBidi"/>
          <w:szCs w:val="22"/>
        </w:rPr>
      </w:pPr>
      <w:r>
        <w:t>7.</w:t>
      </w:r>
      <w:r>
        <w:tab/>
        <w:t>This Order not to apply to Court of Appeal Registrar</w:t>
      </w:r>
      <w:r>
        <w:tab/>
      </w:r>
      <w:r>
        <w:fldChar w:fldCharType="begin"/>
      </w:r>
      <w:r>
        <w:instrText xml:space="preserve"> PAGEREF _Toc129078090 \h </w:instrText>
      </w:r>
      <w:r>
        <w:fldChar w:fldCharType="separate"/>
      </w:r>
      <w:r>
        <w:t>370</w:t>
      </w:r>
      <w:r>
        <w:fldChar w:fldCharType="end"/>
      </w:r>
    </w:p>
    <w:p>
      <w:pPr>
        <w:pStyle w:val="TOC2"/>
        <w:tabs>
          <w:tab w:val="right" w:leader="dot" w:pos="7077"/>
        </w:tabs>
        <w:rPr>
          <w:rFonts w:asciiTheme="minorHAnsi" w:eastAsiaTheme="minorEastAsia" w:hAnsiTheme="minorHAnsi" w:cstheme="minorBidi"/>
          <w:b w:val="0"/>
          <w:sz w:val="22"/>
          <w:szCs w:val="22"/>
        </w:rPr>
      </w:pPr>
      <w:r>
        <w:t>Order 61 — Proceedings under judgments and orders</w:t>
      </w:r>
    </w:p>
    <w:p>
      <w:pPr>
        <w:pStyle w:val="TOC4"/>
        <w:tabs>
          <w:tab w:val="right" w:leader="dot" w:pos="7077"/>
        </w:tabs>
        <w:rPr>
          <w:rFonts w:asciiTheme="minorHAnsi" w:eastAsiaTheme="minorEastAsia" w:hAnsiTheme="minorHAnsi" w:cstheme="minorBidi"/>
          <w:b w:val="0"/>
          <w:szCs w:val="22"/>
        </w:rPr>
      </w:pPr>
      <w:r>
        <w:t>Division 1 — Application of order</w:t>
      </w:r>
    </w:p>
    <w:p>
      <w:pPr>
        <w:pStyle w:val="TOC8"/>
        <w:rPr>
          <w:rFonts w:asciiTheme="minorHAnsi" w:eastAsiaTheme="minorEastAsia" w:hAnsiTheme="minorHAnsi" w:cstheme="minorBidi"/>
          <w:szCs w:val="22"/>
        </w:rPr>
      </w:pPr>
      <w:r>
        <w:t>1</w:t>
      </w:r>
      <w:r>
        <w:rPr>
          <w:snapToGrid w:val="0"/>
        </w:rPr>
        <w:t>.</w:t>
      </w:r>
      <w:r>
        <w:rPr>
          <w:snapToGrid w:val="0"/>
        </w:rPr>
        <w:tab/>
        <w:t>Application to proceedings under orders</w:t>
      </w:r>
      <w:r>
        <w:tab/>
      </w:r>
      <w:r>
        <w:fldChar w:fldCharType="begin"/>
      </w:r>
      <w:r>
        <w:instrText xml:space="preserve"> PAGEREF _Toc129078093 \h </w:instrText>
      </w:r>
      <w:r>
        <w:fldChar w:fldCharType="separate"/>
      </w:r>
      <w:r>
        <w:t>371</w:t>
      </w:r>
      <w:r>
        <w:fldChar w:fldCharType="end"/>
      </w:r>
    </w:p>
    <w:p>
      <w:pPr>
        <w:pStyle w:val="TOC4"/>
        <w:tabs>
          <w:tab w:val="right" w:leader="dot" w:pos="7077"/>
        </w:tabs>
        <w:rPr>
          <w:rFonts w:asciiTheme="minorHAnsi" w:eastAsiaTheme="minorEastAsia" w:hAnsiTheme="minorHAnsi" w:cstheme="minorBidi"/>
          <w:b w:val="0"/>
          <w:szCs w:val="22"/>
        </w:rPr>
      </w:pPr>
      <w:r>
        <w:t>Division 2 — Summons to proceed</w:t>
      </w:r>
    </w:p>
    <w:p>
      <w:pPr>
        <w:pStyle w:val="TOC8"/>
        <w:rPr>
          <w:rFonts w:asciiTheme="minorHAnsi" w:eastAsiaTheme="minorEastAsia" w:hAnsiTheme="minorHAnsi" w:cstheme="minorBidi"/>
          <w:szCs w:val="22"/>
        </w:rPr>
      </w:pPr>
      <w:r>
        <w:t>2</w:t>
      </w:r>
      <w:r>
        <w:rPr>
          <w:snapToGrid w:val="0"/>
        </w:rPr>
        <w:t>.</w:t>
      </w:r>
      <w:r>
        <w:rPr>
          <w:snapToGrid w:val="0"/>
        </w:rPr>
        <w:tab/>
        <w:t>Summons to proceed, requirement for and proceedings on</w:t>
      </w:r>
      <w:r>
        <w:tab/>
      </w:r>
      <w:r>
        <w:fldChar w:fldCharType="begin"/>
      </w:r>
      <w:r>
        <w:instrText xml:space="preserve"> PAGEREF _Toc129078095 \h </w:instrText>
      </w:r>
      <w:r>
        <w:fldChar w:fldCharType="separate"/>
      </w:r>
      <w:r>
        <w:t>371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judgment, Court may order service of in some cases</w:t>
      </w:r>
      <w:r>
        <w:tab/>
      </w:r>
      <w:r>
        <w:fldChar w:fldCharType="begin"/>
      </w:r>
      <w:r>
        <w:instrText xml:space="preserve"> PAGEREF _Toc129078096 \h </w:instrText>
      </w:r>
      <w:r>
        <w:fldChar w:fldCharType="separate"/>
      </w:r>
      <w:r>
        <w:t>372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Settling deed if parties differ, procedure for</w:t>
      </w:r>
      <w:r>
        <w:tab/>
      </w:r>
      <w:r>
        <w:fldChar w:fldCharType="begin"/>
      </w:r>
      <w:r>
        <w:instrText xml:space="preserve"> PAGEREF _Toc129078097 \h </w:instrText>
      </w:r>
      <w:r>
        <w:fldChar w:fldCharType="separate"/>
      </w:r>
      <w:r>
        <w:t>373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service of notice of judgment may be dispensed with</w:t>
      </w:r>
      <w:r>
        <w:tab/>
      </w:r>
      <w:r>
        <w:fldChar w:fldCharType="begin"/>
      </w:r>
      <w:r>
        <w:instrText xml:space="preserve"> PAGEREF _Toc129078098 \h </w:instrText>
      </w:r>
      <w:r>
        <w:fldChar w:fldCharType="separate"/>
      </w:r>
      <w:r>
        <w:t>374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Judgment for accounts etc., power to bind persons in some cases</w:t>
      </w:r>
      <w:r>
        <w:tab/>
      </w:r>
      <w:r>
        <w:fldChar w:fldCharType="begin"/>
      </w:r>
      <w:r>
        <w:instrText xml:space="preserve"> PAGEREF _Toc129078099 \h </w:instrText>
      </w:r>
      <w:r>
        <w:fldChar w:fldCharType="separate"/>
      </w:r>
      <w:r>
        <w:t>374</w:t>
      </w:r>
      <w:r>
        <w:fldChar w:fldCharType="end"/>
      </w:r>
    </w:p>
    <w:p>
      <w:pPr>
        <w:pStyle w:val="TOC8"/>
        <w:rPr>
          <w:rFonts w:asciiTheme="minorHAnsi" w:eastAsiaTheme="minorEastAsia" w:hAnsiTheme="minorHAnsi" w:cstheme="minorBidi"/>
          <w:szCs w:val="22"/>
        </w:rPr>
      </w:pPr>
      <w:r>
        <w:lastRenderedPageBreak/>
        <w:t>7</w:t>
      </w:r>
      <w:r>
        <w:rPr>
          <w:snapToGrid w:val="0"/>
        </w:rPr>
        <w:t>.</w:t>
      </w:r>
      <w:r>
        <w:rPr>
          <w:snapToGrid w:val="0"/>
        </w:rPr>
        <w:tab/>
        <w:t>Procedure where some parties not served etc.</w:t>
      </w:r>
      <w:r>
        <w:tab/>
      </w:r>
      <w:r>
        <w:fldChar w:fldCharType="begin"/>
      </w:r>
      <w:r>
        <w:instrText xml:space="preserve"> PAGEREF _Toc129078100 \h </w:instrText>
      </w:r>
      <w:r>
        <w:fldChar w:fldCharType="separate"/>
      </w:r>
      <w:r>
        <w:t>374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Course of proceedings in chambers</w:t>
      </w:r>
      <w:r>
        <w:tab/>
      </w:r>
      <w:r>
        <w:fldChar w:fldCharType="begin"/>
      </w:r>
      <w:r>
        <w:instrText xml:space="preserve"> PAGEREF _Toc129078101 \h </w:instrText>
      </w:r>
      <w:r>
        <w:fldChar w:fldCharType="separate"/>
      </w:r>
      <w:r>
        <w:t>375</w:t>
      </w:r>
      <w:r>
        <w:fldChar w:fldCharType="end"/>
      </w:r>
    </w:p>
    <w:p>
      <w:pPr>
        <w:pStyle w:val="TOC4"/>
        <w:tabs>
          <w:tab w:val="right" w:leader="dot" w:pos="7077"/>
        </w:tabs>
        <w:rPr>
          <w:rFonts w:asciiTheme="minorHAnsi" w:eastAsiaTheme="minorEastAsia" w:hAnsiTheme="minorHAnsi" w:cstheme="minorBidi"/>
          <w:b w:val="0"/>
          <w:szCs w:val="22"/>
        </w:rPr>
      </w:pPr>
      <w:r>
        <w:t>Division 3 — Attendances</w:t>
      </w:r>
    </w:p>
    <w:p>
      <w:pPr>
        <w:pStyle w:val="TOC8"/>
        <w:rPr>
          <w:rFonts w:asciiTheme="minorHAnsi" w:eastAsiaTheme="minorEastAsia" w:hAnsiTheme="minorHAnsi" w:cstheme="minorBidi"/>
          <w:szCs w:val="22"/>
        </w:rPr>
      </w:pPr>
      <w:r>
        <w:t>9</w:t>
      </w:r>
      <w:r>
        <w:rPr>
          <w:snapToGrid w:val="0"/>
        </w:rPr>
        <w:t>.</w:t>
      </w:r>
      <w:r>
        <w:rPr>
          <w:snapToGrid w:val="0"/>
        </w:rPr>
        <w:tab/>
        <w:t>Classifying interests of parties</w:t>
      </w:r>
      <w:r>
        <w:tab/>
      </w:r>
      <w:r>
        <w:fldChar w:fldCharType="begin"/>
      </w:r>
      <w:r>
        <w:instrText xml:space="preserve"> PAGEREF _Toc129078103 \h </w:instrText>
      </w:r>
      <w:r>
        <w:fldChar w:fldCharType="separate"/>
      </w:r>
      <w:r>
        <w:t>375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Judge may require distinct solicitor to represent parties</w:t>
      </w:r>
      <w:r>
        <w:tab/>
      </w:r>
      <w:r>
        <w:fldChar w:fldCharType="begin"/>
      </w:r>
      <w:r>
        <w:instrText xml:space="preserve"> PAGEREF _Toc129078104 \h </w:instrText>
      </w:r>
      <w:r>
        <w:fldChar w:fldCharType="separate"/>
      </w:r>
      <w:r>
        <w:t>376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Attendance of parties not directed to attend</w:t>
      </w:r>
      <w:r>
        <w:tab/>
      </w:r>
      <w:r>
        <w:fldChar w:fldCharType="begin"/>
      </w:r>
      <w:r>
        <w:instrText xml:space="preserve"> PAGEREF _Toc129078105 \h </w:instrText>
      </w:r>
      <w:r>
        <w:fldChar w:fldCharType="separate"/>
      </w:r>
      <w:r>
        <w:t>376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 stating parties directed to attend</w:t>
      </w:r>
      <w:r>
        <w:tab/>
      </w:r>
      <w:r>
        <w:fldChar w:fldCharType="begin"/>
      </w:r>
      <w:r>
        <w:instrText xml:space="preserve"> PAGEREF _Toc129078106 \h </w:instrText>
      </w:r>
      <w:r>
        <w:fldChar w:fldCharType="separate"/>
      </w:r>
      <w:r>
        <w:t>376</w:t>
      </w:r>
      <w:r>
        <w:fldChar w:fldCharType="end"/>
      </w:r>
    </w:p>
    <w:p>
      <w:pPr>
        <w:pStyle w:val="TOC4"/>
        <w:tabs>
          <w:tab w:val="right" w:leader="dot" w:pos="7077"/>
        </w:tabs>
        <w:rPr>
          <w:rFonts w:asciiTheme="minorHAnsi" w:eastAsiaTheme="minorEastAsia" w:hAnsiTheme="minorHAnsi" w:cstheme="minorBidi"/>
          <w:b w:val="0"/>
          <w:szCs w:val="22"/>
        </w:rPr>
      </w:pPr>
      <w:r>
        <w:t>Division 4 — Claims of creditors and other claimants</w:t>
      </w:r>
    </w:p>
    <w:p>
      <w:pPr>
        <w:pStyle w:val="TOC8"/>
        <w:rPr>
          <w:rFonts w:asciiTheme="minorHAnsi" w:eastAsiaTheme="minorEastAsia" w:hAnsiTheme="minorHAnsi" w:cstheme="minorBidi"/>
          <w:szCs w:val="22"/>
        </w:rPr>
      </w:pPr>
      <w:r>
        <w:t>13</w:t>
      </w:r>
      <w:r>
        <w:rPr>
          <w:snapToGrid w:val="0"/>
        </w:rPr>
        <w:t>.</w:t>
      </w:r>
      <w:r>
        <w:rPr>
          <w:snapToGrid w:val="0"/>
        </w:rPr>
        <w:tab/>
        <w:t>Advertisements for creditors etc., power to direct</w:t>
      </w:r>
      <w:r>
        <w:tab/>
      </w:r>
      <w:r>
        <w:fldChar w:fldCharType="begin"/>
      </w:r>
      <w:r>
        <w:instrText xml:space="preserve"> PAGEREF _Toc129078108 \h </w:instrText>
      </w:r>
      <w:r>
        <w:fldChar w:fldCharType="separate"/>
      </w:r>
      <w:r>
        <w:t>376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Advertisements, preparation etc. of</w:t>
      </w:r>
      <w:r>
        <w:tab/>
      </w:r>
      <w:r>
        <w:fldChar w:fldCharType="begin"/>
      </w:r>
      <w:r>
        <w:instrText xml:space="preserve"> PAGEREF _Toc129078109 \h </w:instrText>
      </w:r>
      <w:r>
        <w:fldChar w:fldCharType="separate"/>
      </w:r>
      <w:r>
        <w:t>377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Advertisements, contents of</w:t>
      </w:r>
      <w:r>
        <w:tab/>
      </w:r>
      <w:r>
        <w:fldChar w:fldCharType="begin"/>
      </w:r>
      <w:r>
        <w:instrText xml:space="preserve"> PAGEREF _Toc129078110 \h </w:instrText>
      </w:r>
      <w:r>
        <w:fldChar w:fldCharType="separate"/>
      </w:r>
      <w:r>
        <w:t>377</w:t>
      </w:r>
      <w:r>
        <w:fldChar w:fldCharType="end"/>
      </w:r>
    </w:p>
    <w:p>
      <w:pPr>
        <w:pStyle w:val="TOC8"/>
        <w:rPr>
          <w:rFonts w:asciiTheme="minorHAnsi" w:eastAsiaTheme="minorEastAsia" w:hAnsiTheme="minorHAnsi" w:cstheme="minorBidi"/>
          <w:szCs w:val="22"/>
        </w:rPr>
      </w:pPr>
      <w:r>
        <w:t>15A.</w:t>
      </w:r>
      <w:r>
        <w:tab/>
        <w:t>Claims to state claimant’s contact details</w:t>
      </w:r>
      <w:r>
        <w:tab/>
      </w:r>
      <w:r>
        <w:fldChar w:fldCharType="begin"/>
      </w:r>
      <w:r>
        <w:instrText xml:space="preserve"> PAGEREF _Toc129078111 \h </w:instrText>
      </w:r>
      <w:r>
        <w:fldChar w:fldCharType="separate"/>
      </w:r>
      <w:r>
        <w:t>377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Failure to claim within specified time</w:t>
      </w:r>
      <w:r>
        <w:tab/>
      </w:r>
      <w:r>
        <w:fldChar w:fldCharType="begin"/>
      </w:r>
      <w:r>
        <w:instrText xml:space="preserve"> PAGEREF _Toc129078112 \h </w:instrText>
      </w:r>
      <w:r>
        <w:fldChar w:fldCharType="separate"/>
      </w:r>
      <w:r>
        <w:t>377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 and verification of claims</w:t>
      </w:r>
      <w:r>
        <w:tab/>
      </w:r>
      <w:r>
        <w:fldChar w:fldCharType="begin"/>
      </w:r>
      <w:r>
        <w:instrText xml:space="preserve"> PAGEREF _Toc129078113 \h </w:instrText>
      </w:r>
      <w:r>
        <w:fldChar w:fldCharType="separate"/>
      </w:r>
      <w:r>
        <w:t>378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Adjudicating on claims</w:t>
      </w:r>
      <w:r>
        <w:tab/>
      </w:r>
      <w:r>
        <w:fldChar w:fldCharType="begin"/>
      </w:r>
      <w:r>
        <w:instrText xml:space="preserve"> PAGEREF _Toc129078114 \h </w:instrText>
      </w:r>
      <w:r>
        <w:fldChar w:fldCharType="separate"/>
      </w:r>
      <w:r>
        <w:t>379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Adjourning adjudications; fixing time for filing evidence etc.</w:t>
      </w:r>
      <w:r>
        <w:tab/>
      </w:r>
      <w:r>
        <w:fldChar w:fldCharType="begin"/>
      </w:r>
      <w:r>
        <w:instrText xml:space="preserve"> PAGEREF _Toc129078115 \h </w:instrText>
      </w:r>
      <w:r>
        <w:fldChar w:fldCharType="separate"/>
      </w:r>
      <w:r>
        <w:t>380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Service of notice of judgment on certain claimants</w:t>
      </w:r>
      <w:r>
        <w:tab/>
      </w:r>
      <w:r>
        <w:fldChar w:fldCharType="begin"/>
      </w:r>
      <w:r>
        <w:instrText xml:space="preserve"> PAGEREF _Toc129078116 \h </w:instrText>
      </w:r>
      <w:r>
        <w:fldChar w:fldCharType="separate"/>
      </w:r>
      <w:r>
        <w:t>380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Notice of claims allowed or disallowed</w:t>
      </w:r>
      <w:r>
        <w:tab/>
      </w:r>
      <w:r>
        <w:fldChar w:fldCharType="begin"/>
      </w:r>
      <w:r>
        <w:instrText xml:space="preserve"> PAGEREF _Toc129078117 \h </w:instrText>
      </w:r>
      <w:r>
        <w:fldChar w:fldCharType="separate"/>
      </w:r>
      <w:r>
        <w:t>381</w:t>
      </w:r>
      <w:r>
        <w:fldChar w:fldCharType="end"/>
      </w:r>
    </w:p>
    <w:p>
      <w:pPr>
        <w:pStyle w:val="TOC4"/>
        <w:tabs>
          <w:tab w:val="right" w:leader="dot" w:pos="7077"/>
        </w:tabs>
        <w:rPr>
          <w:rFonts w:asciiTheme="minorHAnsi" w:eastAsiaTheme="minorEastAsia" w:hAnsiTheme="minorHAnsi" w:cstheme="minorBidi"/>
          <w:b w:val="0"/>
          <w:szCs w:val="22"/>
        </w:rPr>
      </w:pPr>
      <w:r>
        <w:t>Division 5 — Interest</w:t>
      </w:r>
    </w:p>
    <w:p>
      <w:pPr>
        <w:pStyle w:val="TOC8"/>
        <w:rPr>
          <w:rFonts w:asciiTheme="minorHAnsi" w:eastAsiaTheme="minorEastAsia" w:hAnsiTheme="minorHAnsi" w:cstheme="minorBidi"/>
          <w:szCs w:val="22"/>
        </w:rPr>
      </w:pPr>
      <w:r>
        <w:t>23</w:t>
      </w:r>
      <w:r>
        <w:rPr>
          <w:snapToGrid w:val="0"/>
        </w:rPr>
        <w:t>.</w:t>
      </w:r>
      <w:r>
        <w:rPr>
          <w:snapToGrid w:val="0"/>
        </w:rPr>
        <w:tab/>
        <w:t>Interest on debts</w:t>
      </w:r>
      <w:r>
        <w:tab/>
      </w:r>
      <w:r>
        <w:fldChar w:fldCharType="begin"/>
      </w:r>
      <w:r>
        <w:instrText xml:space="preserve"> PAGEREF _Toc129078119 \h </w:instrText>
      </w:r>
      <w:r>
        <w:fldChar w:fldCharType="separate"/>
      </w:r>
      <w:r>
        <w:t>382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Interest on legacies</w:t>
      </w:r>
      <w:r>
        <w:tab/>
      </w:r>
      <w:r>
        <w:fldChar w:fldCharType="begin"/>
      </w:r>
      <w:r>
        <w:instrText xml:space="preserve"> PAGEREF _Toc129078120 \h </w:instrText>
      </w:r>
      <w:r>
        <w:fldChar w:fldCharType="separate"/>
      </w:r>
      <w:r>
        <w:t>382</w:t>
      </w:r>
      <w:r>
        <w:fldChar w:fldCharType="end"/>
      </w:r>
    </w:p>
    <w:p>
      <w:pPr>
        <w:pStyle w:val="TOC4"/>
        <w:tabs>
          <w:tab w:val="right" w:leader="dot" w:pos="7077"/>
        </w:tabs>
        <w:rPr>
          <w:rFonts w:asciiTheme="minorHAnsi" w:eastAsiaTheme="minorEastAsia" w:hAnsiTheme="minorHAnsi" w:cstheme="minorBidi"/>
          <w:b w:val="0"/>
          <w:szCs w:val="22"/>
        </w:rPr>
      </w:pPr>
      <w:r>
        <w:t>Division 6 — Masters’ and registrars’ certificates</w:t>
      </w:r>
    </w:p>
    <w:p>
      <w:pPr>
        <w:pStyle w:val="TOC8"/>
        <w:rPr>
          <w:rFonts w:asciiTheme="minorHAnsi" w:eastAsiaTheme="minorEastAsia" w:hAnsiTheme="minorHAnsi" w:cstheme="minorBidi"/>
          <w:szCs w:val="22"/>
        </w:rPr>
      </w:pPr>
      <w:r>
        <w:t>25</w:t>
      </w:r>
      <w:r>
        <w:rPr>
          <w:snapToGrid w:val="0"/>
        </w:rPr>
        <w:t>.</w:t>
      </w:r>
      <w:r>
        <w:rPr>
          <w:snapToGrid w:val="0"/>
        </w:rPr>
        <w:tab/>
        <w:t>Master’s certificate</w:t>
      </w:r>
      <w:r>
        <w:tab/>
      </w:r>
      <w:r>
        <w:fldChar w:fldCharType="begin"/>
      </w:r>
      <w:r>
        <w:instrText xml:space="preserve"> PAGEREF _Toc129078122 \h </w:instrText>
      </w:r>
      <w:r>
        <w:fldChar w:fldCharType="separate"/>
      </w:r>
      <w:r>
        <w:t>382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Settling and filing master’s certificate</w:t>
      </w:r>
      <w:r>
        <w:tab/>
      </w:r>
      <w:r>
        <w:fldChar w:fldCharType="begin"/>
      </w:r>
      <w:r>
        <w:instrText xml:space="preserve"> PAGEREF _Toc129078123 \h </w:instrText>
      </w:r>
      <w:r>
        <w:fldChar w:fldCharType="separate"/>
      </w:r>
      <w:r>
        <w:t>383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Judge may determine questions in proceedings before master</w:t>
      </w:r>
      <w:r>
        <w:tab/>
      </w:r>
      <w:r>
        <w:fldChar w:fldCharType="begin"/>
      </w:r>
      <w:r>
        <w:instrText xml:space="preserve"> PAGEREF _Toc129078124 \h </w:instrText>
      </w:r>
      <w:r>
        <w:fldChar w:fldCharType="separate"/>
      </w:r>
      <w:r>
        <w:t>383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 against master’s certificate</w:t>
      </w:r>
      <w:r>
        <w:tab/>
      </w:r>
      <w:r>
        <w:fldChar w:fldCharType="begin"/>
      </w:r>
      <w:r>
        <w:instrText xml:space="preserve"> PAGEREF _Toc129078125 \h </w:instrText>
      </w:r>
      <w:r>
        <w:fldChar w:fldCharType="separate"/>
      </w:r>
      <w:r>
        <w:t>384</w:t>
      </w:r>
      <w:r>
        <w:fldChar w:fldCharType="end"/>
      </w:r>
    </w:p>
    <w:p>
      <w:pPr>
        <w:pStyle w:val="TOC8"/>
        <w:rPr>
          <w:rFonts w:asciiTheme="minorHAnsi" w:eastAsiaTheme="minorEastAsia" w:hAnsiTheme="minorHAnsi" w:cstheme="minorBidi"/>
          <w:szCs w:val="22"/>
        </w:rPr>
      </w:pPr>
      <w:r>
        <w:t>28A</w:t>
      </w:r>
      <w:r>
        <w:rPr>
          <w:snapToGrid w:val="0"/>
        </w:rPr>
        <w:t>.</w:t>
      </w:r>
      <w:r>
        <w:rPr>
          <w:snapToGrid w:val="0"/>
        </w:rPr>
        <w:tab/>
        <w:t>Judge may discharge or vary registrar’s certificate</w:t>
      </w:r>
      <w:r>
        <w:tab/>
      </w:r>
      <w:r>
        <w:fldChar w:fldCharType="begin"/>
      </w:r>
      <w:r>
        <w:instrText xml:space="preserve"> PAGEREF _Toc129078126 \h </w:instrText>
      </w:r>
      <w:r>
        <w:fldChar w:fldCharType="separate"/>
      </w:r>
      <w:r>
        <w:t>385</w:t>
      </w:r>
      <w:r>
        <w:fldChar w:fldCharType="end"/>
      </w:r>
    </w:p>
    <w:p>
      <w:pPr>
        <w:pStyle w:val="TOC4"/>
        <w:tabs>
          <w:tab w:val="right" w:leader="dot" w:pos="7077"/>
        </w:tabs>
        <w:rPr>
          <w:rFonts w:asciiTheme="minorHAnsi" w:eastAsiaTheme="minorEastAsia" w:hAnsiTheme="minorHAnsi" w:cstheme="minorBidi"/>
          <w:b w:val="0"/>
          <w:szCs w:val="22"/>
        </w:rPr>
      </w:pPr>
      <w:r>
        <w:t>Division 7 — Further consideration</w:t>
      </w:r>
    </w:p>
    <w:p>
      <w:pPr>
        <w:pStyle w:val="TOC8"/>
        <w:rPr>
          <w:rFonts w:asciiTheme="minorHAnsi" w:eastAsiaTheme="minorEastAsia" w:hAnsiTheme="minorHAnsi" w:cstheme="minorBidi"/>
          <w:szCs w:val="22"/>
        </w:rPr>
      </w:pPr>
      <w:r>
        <w:t>29</w:t>
      </w:r>
      <w:r>
        <w:rPr>
          <w:snapToGrid w:val="0"/>
        </w:rPr>
        <w:t>.</w:t>
      </w:r>
      <w:r>
        <w:rPr>
          <w:snapToGrid w:val="0"/>
        </w:rPr>
        <w:tab/>
        <w:t>Summons to have matter in chambers further considered</w:t>
      </w:r>
      <w:r>
        <w:tab/>
      </w:r>
      <w:r>
        <w:fldChar w:fldCharType="begin"/>
      </w:r>
      <w:r>
        <w:instrText xml:space="preserve"> PAGEREF _Toc129078128 \h </w:instrText>
      </w:r>
      <w:r>
        <w:fldChar w:fldCharType="separate"/>
      </w:r>
      <w:r>
        <w:t>385</w:t>
      </w:r>
      <w:r>
        <w:fldChar w:fldCharType="end"/>
      </w:r>
    </w:p>
    <w:p>
      <w:pPr>
        <w:pStyle w:val="TOC2"/>
        <w:tabs>
          <w:tab w:val="right" w:leader="dot" w:pos="7077"/>
        </w:tabs>
        <w:rPr>
          <w:rFonts w:asciiTheme="minorHAnsi" w:eastAsiaTheme="minorEastAsia" w:hAnsiTheme="minorHAnsi" w:cstheme="minorBidi"/>
          <w:b w:val="0"/>
          <w:sz w:val="22"/>
          <w:szCs w:val="22"/>
        </w:rPr>
      </w:pPr>
      <w:r>
        <w:t>Order 62 — </w:t>
      </w:r>
      <w:r>
        <w:rPr>
          <w:i/>
          <w:iCs/>
        </w:rPr>
        <w:t>Trustees Act 1962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Making applications under Act</w:t>
      </w:r>
      <w:r>
        <w:tab/>
      </w:r>
      <w:r>
        <w:fldChar w:fldCharType="begin"/>
      </w:r>
      <w:r>
        <w:instrText xml:space="preserve"> PAGEREF _Toc129078130 \h </w:instrText>
      </w:r>
      <w:r>
        <w:fldChar w:fldCharType="separate"/>
      </w:r>
      <w:r>
        <w:t>387</w:t>
      </w:r>
      <w:r>
        <w:fldChar w:fldCharType="end"/>
      </w:r>
    </w:p>
    <w:p>
      <w:pPr>
        <w:pStyle w:val="TOC8"/>
        <w:rPr>
          <w:rFonts w:asciiTheme="minorHAnsi" w:eastAsiaTheme="minorEastAsia" w:hAnsiTheme="minorHAnsi" w:cstheme="minorBidi"/>
          <w:szCs w:val="22"/>
        </w:rPr>
      </w:pPr>
      <w:r>
        <w:lastRenderedPageBreak/>
        <w:t>2</w:t>
      </w:r>
      <w:r>
        <w:rPr>
          <w:snapToGrid w:val="0"/>
        </w:rPr>
        <w:t>.</w:t>
      </w:r>
      <w:r>
        <w:rPr>
          <w:snapToGrid w:val="0"/>
        </w:rPr>
        <w:tab/>
        <w:t>Title of proceedings</w:t>
      </w:r>
      <w:r>
        <w:tab/>
      </w:r>
      <w:r>
        <w:fldChar w:fldCharType="begin"/>
      </w:r>
      <w:r>
        <w:instrText xml:space="preserve"> PAGEREF _Toc129078131 \h </w:instrText>
      </w:r>
      <w:r>
        <w:fldChar w:fldCharType="separate"/>
      </w:r>
      <w:r>
        <w:t>387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Payment into court under Act s. 99</w:t>
      </w:r>
      <w:r>
        <w:tab/>
      </w:r>
      <w:r>
        <w:fldChar w:fldCharType="begin"/>
      </w:r>
      <w:r>
        <w:instrText xml:space="preserve"> PAGEREF _Toc129078132 \h </w:instrText>
      </w:r>
      <w:r>
        <w:fldChar w:fldCharType="separate"/>
      </w:r>
      <w:r>
        <w:t>387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of payment in etc.</w:t>
      </w:r>
      <w:r>
        <w:tab/>
      </w:r>
      <w:r>
        <w:fldChar w:fldCharType="begin"/>
      </w:r>
      <w:r>
        <w:instrText xml:space="preserve"> PAGEREF _Toc129078133 \h </w:instrText>
      </w:r>
      <w:r>
        <w:fldChar w:fldCharType="separate"/>
      </w:r>
      <w:r>
        <w:t>388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Applications in respect of money etc. paid into court</w:t>
      </w:r>
      <w:r>
        <w:tab/>
      </w:r>
      <w:r>
        <w:fldChar w:fldCharType="begin"/>
      </w:r>
      <w:r>
        <w:instrText xml:space="preserve"> PAGEREF _Toc129078134 \h </w:instrText>
      </w:r>
      <w:r>
        <w:fldChar w:fldCharType="separate"/>
      </w:r>
      <w:r>
        <w:t>388</w:t>
      </w:r>
      <w:r>
        <w:fldChar w:fldCharType="end"/>
      </w:r>
    </w:p>
    <w:p>
      <w:pPr>
        <w:pStyle w:val="TOC2"/>
        <w:tabs>
          <w:tab w:val="right" w:leader="dot" w:pos="7077"/>
        </w:tabs>
        <w:rPr>
          <w:rFonts w:asciiTheme="minorHAnsi" w:eastAsiaTheme="minorEastAsia" w:hAnsiTheme="minorHAnsi" w:cstheme="minorBidi"/>
          <w:b w:val="0"/>
          <w:sz w:val="22"/>
          <w:szCs w:val="22"/>
        </w:rPr>
      </w:pPr>
      <w:r>
        <w:t>Order 65</w:t>
      </w:r>
      <w:r>
        <w:rPr>
          <w:b w:val="0"/>
        </w:rPr>
        <w:t> </w:t>
      </w:r>
      <w:r>
        <w:t>—</w:t>
      </w:r>
      <w:r>
        <w:rPr>
          <w:b w:val="0"/>
        </w:rPr>
        <w:t> </w:t>
      </w:r>
      <w:r>
        <w:t>Appeals to the General Division</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_Toc129078137 \h </w:instrText>
      </w:r>
      <w:r>
        <w:fldChar w:fldCharType="separate"/>
      </w:r>
      <w:r>
        <w:t>389</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_Toc129078138 \h </w:instrText>
      </w:r>
      <w:r>
        <w:fldChar w:fldCharType="separate"/>
      </w:r>
      <w:r>
        <w:t>390</w:t>
      </w:r>
      <w:r>
        <w:fldChar w:fldCharType="end"/>
      </w:r>
    </w:p>
    <w:p>
      <w:pPr>
        <w:pStyle w:val="TOC4"/>
        <w:tabs>
          <w:tab w:val="right" w:leader="dot" w:pos="7077"/>
        </w:tabs>
        <w:rPr>
          <w:rFonts w:asciiTheme="minorHAnsi" w:eastAsiaTheme="minorEastAsia" w:hAnsiTheme="minorHAnsi" w:cstheme="minorBidi"/>
          <w:b w:val="0"/>
          <w:szCs w:val="22"/>
        </w:rPr>
      </w:pPr>
      <w:r>
        <w:t>Division 2 — General matters</w:t>
      </w:r>
    </w:p>
    <w:p>
      <w:pPr>
        <w:pStyle w:val="TOC8"/>
        <w:rPr>
          <w:rFonts w:asciiTheme="minorHAnsi" w:eastAsiaTheme="minorEastAsia" w:hAnsiTheme="minorHAnsi" w:cstheme="minorBidi"/>
          <w:szCs w:val="22"/>
        </w:rPr>
      </w:pPr>
      <w:r>
        <w:t>3.</w:t>
      </w:r>
      <w:r>
        <w:tab/>
        <w:t>Hearings by telephone</w:t>
      </w:r>
      <w:r>
        <w:tab/>
      </w:r>
      <w:r>
        <w:fldChar w:fldCharType="begin"/>
      </w:r>
      <w:r>
        <w:instrText xml:space="preserve"> PAGEREF _Toc129078140 \h </w:instrText>
      </w:r>
      <w:r>
        <w:fldChar w:fldCharType="separate"/>
      </w:r>
      <w:r>
        <w:t>390</w:t>
      </w:r>
      <w:r>
        <w:fldChar w:fldCharType="end"/>
      </w:r>
    </w:p>
    <w:p>
      <w:pPr>
        <w:pStyle w:val="TOC8"/>
        <w:rPr>
          <w:rFonts w:asciiTheme="minorHAnsi" w:eastAsiaTheme="minorEastAsia" w:hAnsiTheme="minorHAnsi" w:cstheme="minorBidi"/>
          <w:szCs w:val="22"/>
        </w:rPr>
      </w:pPr>
      <w:r>
        <w:t>4.</w:t>
      </w:r>
      <w:r>
        <w:tab/>
        <w:t>Judge’s general jurisdiction</w:t>
      </w:r>
      <w:r>
        <w:tab/>
      </w:r>
      <w:r>
        <w:fldChar w:fldCharType="begin"/>
      </w:r>
      <w:r>
        <w:instrText xml:space="preserve"> PAGEREF _Toc129078141 \h </w:instrText>
      </w:r>
      <w:r>
        <w:fldChar w:fldCharType="separate"/>
      </w:r>
      <w:r>
        <w:t>391</w:t>
      </w:r>
      <w:r>
        <w:fldChar w:fldCharType="end"/>
      </w:r>
    </w:p>
    <w:p>
      <w:pPr>
        <w:pStyle w:val="TOC8"/>
        <w:rPr>
          <w:rFonts w:asciiTheme="minorHAnsi" w:eastAsiaTheme="minorEastAsia" w:hAnsiTheme="minorHAnsi" w:cstheme="minorBidi"/>
          <w:szCs w:val="22"/>
        </w:rPr>
      </w:pPr>
      <w:r>
        <w:t>5.</w:t>
      </w:r>
      <w:r>
        <w:tab/>
        <w:t>Non</w:t>
      </w:r>
      <w:r>
        <w:noBreakHyphen/>
        <w:t>attendance by party, consequences of</w:t>
      </w:r>
      <w:r>
        <w:tab/>
      </w:r>
      <w:r>
        <w:fldChar w:fldCharType="begin"/>
      </w:r>
      <w:r>
        <w:instrText xml:space="preserve"> PAGEREF _Toc129078142 \h </w:instrText>
      </w:r>
      <w:r>
        <w:fldChar w:fldCharType="separate"/>
      </w:r>
      <w:r>
        <w:t>392</w:t>
      </w:r>
      <w:r>
        <w:fldChar w:fldCharType="end"/>
      </w:r>
    </w:p>
    <w:p>
      <w:pPr>
        <w:pStyle w:val="TOC8"/>
        <w:rPr>
          <w:rFonts w:asciiTheme="minorHAnsi" w:eastAsiaTheme="minorEastAsia" w:hAnsiTheme="minorHAnsi" w:cstheme="minorBidi"/>
          <w:szCs w:val="22"/>
        </w:rPr>
      </w:pPr>
      <w:r>
        <w:t>6.</w:t>
      </w:r>
      <w:r>
        <w:tab/>
        <w:t>Decisions made in absence of party</w:t>
      </w:r>
      <w:r>
        <w:tab/>
      </w:r>
      <w:r>
        <w:fldChar w:fldCharType="begin"/>
      </w:r>
      <w:r>
        <w:instrText xml:space="preserve"> PAGEREF _Toc129078143 \h </w:instrText>
      </w:r>
      <w:r>
        <w:fldChar w:fldCharType="separate"/>
      </w:r>
      <w:r>
        <w:t>392</w:t>
      </w:r>
      <w:r>
        <w:fldChar w:fldCharType="end"/>
      </w:r>
    </w:p>
    <w:p>
      <w:pPr>
        <w:pStyle w:val="TOC8"/>
        <w:rPr>
          <w:rFonts w:asciiTheme="minorHAnsi" w:eastAsiaTheme="minorEastAsia" w:hAnsiTheme="minorHAnsi" w:cstheme="minorBidi"/>
          <w:szCs w:val="22"/>
        </w:rPr>
      </w:pPr>
      <w:r>
        <w:t>7.</w:t>
      </w:r>
      <w:r>
        <w:tab/>
        <w:t>Decisions made on the papers</w:t>
      </w:r>
      <w:r>
        <w:tab/>
      </w:r>
      <w:r>
        <w:fldChar w:fldCharType="begin"/>
      </w:r>
      <w:r>
        <w:instrText xml:space="preserve"> PAGEREF _Toc129078144 \h </w:instrText>
      </w:r>
      <w:r>
        <w:fldChar w:fldCharType="separate"/>
      </w:r>
      <w:r>
        <w:t>392</w:t>
      </w:r>
      <w:r>
        <w:fldChar w:fldCharType="end"/>
      </w:r>
    </w:p>
    <w:p>
      <w:pPr>
        <w:pStyle w:val="TOC4"/>
        <w:tabs>
          <w:tab w:val="right" w:leader="dot" w:pos="7077"/>
        </w:tabs>
        <w:rPr>
          <w:rFonts w:asciiTheme="minorHAnsi" w:eastAsiaTheme="minorEastAsia" w:hAnsiTheme="minorHAnsi" w:cstheme="minorBidi"/>
          <w:b w:val="0"/>
          <w:szCs w:val="22"/>
        </w:rPr>
      </w:pPr>
      <w:r>
        <w:t>Division 3 — Procedure on appeals</w:t>
      </w:r>
    </w:p>
    <w:p>
      <w:pPr>
        <w:pStyle w:val="TOC8"/>
        <w:rPr>
          <w:rFonts w:asciiTheme="minorHAnsi" w:eastAsiaTheme="minorEastAsia" w:hAnsiTheme="minorHAnsi" w:cstheme="minorBidi"/>
          <w:szCs w:val="22"/>
        </w:rPr>
      </w:pPr>
      <w:r>
        <w:t>8.</w:t>
      </w:r>
      <w:r>
        <w:tab/>
        <w:t>Nature of appeals</w:t>
      </w:r>
      <w:r>
        <w:tab/>
      </w:r>
      <w:r>
        <w:fldChar w:fldCharType="begin"/>
      </w:r>
      <w:r>
        <w:instrText xml:space="preserve"> PAGEREF _Toc129078146 \h </w:instrText>
      </w:r>
      <w:r>
        <w:fldChar w:fldCharType="separate"/>
      </w:r>
      <w:r>
        <w:t>393</w:t>
      </w:r>
      <w:r>
        <w:fldChar w:fldCharType="end"/>
      </w:r>
    </w:p>
    <w:p>
      <w:pPr>
        <w:pStyle w:val="TOC8"/>
        <w:rPr>
          <w:rFonts w:asciiTheme="minorHAnsi" w:eastAsiaTheme="minorEastAsia" w:hAnsiTheme="minorHAnsi" w:cstheme="minorBidi"/>
          <w:szCs w:val="22"/>
        </w:rPr>
      </w:pPr>
      <w:r>
        <w:t>9.</w:t>
      </w:r>
      <w:r>
        <w:tab/>
        <w:t>Time for appealing</w:t>
      </w:r>
      <w:r>
        <w:tab/>
      </w:r>
      <w:r>
        <w:fldChar w:fldCharType="begin"/>
      </w:r>
      <w:r>
        <w:instrText xml:space="preserve"> PAGEREF _Toc129078147 \h </w:instrText>
      </w:r>
      <w:r>
        <w:fldChar w:fldCharType="separate"/>
      </w:r>
      <w:r>
        <w:t>393</w:t>
      </w:r>
      <w:r>
        <w:fldChar w:fldCharType="end"/>
      </w:r>
    </w:p>
    <w:p>
      <w:pPr>
        <w:pStyle w:val="TOC8"/>
        <w:rPr>
          <w:rFonts w:asciiTheme="minorHAnsi" w:eastAsiaTheme="minorEastAsia" w:hAnsiTheme="minorHAnsi" w:cstheme="minorBidi"/>
          <w:szCs w:val="22"/>
        </w:rPr>
      </w:pPr>
      <w:r>
        <w:t>10.</w:t>
      </w:r>
      <w:r>
        <w:tab/>
        <w:t>Appeal, how to commence</w:t>
      </w:r>
      <w:r>
        <w:tab/>
      </w:r>
      <w:r>
        <w:fldChar w:fldCharType="begin"/>
      </w:r>
      <w:r>
        <w:instrText xml:space="preserve"> PAGEREF _Toc129078148 \h </w:instrText>
      </w:r>
      <w:r>
        <w:fldChar w:fldCharType="separate"/>
      </w:r>
      <w:r>
        <w:t>394</w:t>
      </w:r>
      <w:r>
        <w:fldChar w:fldCharType="end"/>
      </w:r>
    </w:p>
    <w:p>
      <w:pPr>
        <w:pStyle w:val="TOC8"/>
        <w:rPr>
          <w:rFonts w:asciiTheme="minorHAnsi" w:eastAsiaTheme="minorEastAsia" w:hAnsiTheme="minorHAnsi" w:cstheme="minorBidi"/>
          <w:szCs w:val="22"/>
        </w:rPr>
      </w:pPr>
      <w:r>
        <w:t>11.</w:t>
      </w:r>
      <w:r>
        <w:tab/>
        <w:t>Primary court to be notified and to supply records</w:t>
      </w:r>
      <w:r>
        <w:tab/>
      </w:r>
      <w:r>
        <w:fldChar w:fldCharType="begin"/>
      </w:r>
      <w:r>
        <w:instrText xml:space="preserve"> PAGEREF _Toc129078149 \h </w:instrText>
      </w:r>
      <w:r>
        <w:fldChar w:fldCharType="separate"/>
      </w:r>
      <w:r>
        <w:t>395</w:t>
      </w:r>
      <w:r>
        <w:fldChar w:fldCharType="end"/>
      </w:r>
    </w:p>
    <w:p>
      <w:pPr>
        <w:pStyle w:val="TOC8"/>
        <w:rPr>
          <w:rFonts w:asciiTheme="minorHAnsi" w:eastAsiaTheme="minorEastAsia" w:hAnsiTheme="minorHAnsi" w:cstheme="minorBidi"/>
          <w:szCs w:val="22"/>
        </w:rPr>
      </w:pPr>
      <w:r>
        <w:t>12.</w:t>
      </w:r>
      <w:r>
        <w:tab/>
        <w:t>Respondent’s options</w:t>
      </w:r>
      <w:r>
        <w:tab/>
      </w:r>
      <w:r>
        <w:fldChar w:fldCharType="begin"/>
      </w:r>
      <w:r>
        <w:instrText xml:space="preserve"> PAGEREF _Toc129078150 \h </w:instrText>
      </w:r>
      <w:r>
        <w:fldChar w:fldCharType="separate"/>
      </w:r>
      <w:r>
        <w:t>395</w:t>
      </w:r>
      <w:r>
        <w:fldChar w:fldCharType="end"/>
      </w:r>
    </w:p>
    <w:p>
      <w:pPr>
        <w:pStyle w:val="TOC8"/>
        <w:rPr>
          <w:rFonts w:asciiTheme="minorHAnsi" w:eastAsiaTheme="minorEastAsia" w:hAnsiTheme="minorHAnsi" w:cstheme="minorBidi"/>
          <w:szCs w:val="22"/>
        </w:rPr>
      </w:pPr>
      <w:r>
        <w:t>13.</w:t>
      </w:r>
      <w:r>
        <w:tab/>
        <w:t>Interim order, applying for</w:t>
      </w:r>
      <w:r>
        <w:tab/>
      </w:r>
      <w:r>
        <w:fldChar w:fldCharType="begin"/>
      </w:r>
      <w:r>
        <w:instrText xml:space="preserve"> PAGEREF _Toc129078151 \h </w:instrText>
      </w:r>
      <w:r>
        <w:fldChar w:fldCharType="separate"/>
      </w:r>
      <w:r>
        <w:t>396</w:t>
      </w:r>
      <w:r>
        <w:fldChar w:fldCharType="end"/>
      </w:r>
    </w:p>
    <w:p>
      <w:pPr>
        <w:pStyle w:val="TOC8"/>
        <w:rPr>
          <w:rFonts w:asciiTheme="minorHAnsi" w:eastAsiaTheme="minorEastAsia" w:hAnsiTheme="minorHAnsi" w:cstheme="minorBidi"/>
          <w:szCs w:val="22"/>
        </w:rPr>
      </w:pPr>
      <w:r>
        <w:t>14.</w:t>
      </w:r>
      <w:r>
        <w:tab/>
        <w:t>Urgent appeal order, nature of</w:t>
      </w:r>
      <w:r>
        <w:tab/>
      </w:r>
      <w:r>
        <w:fldChar w:fldCharType="begin"/>
      </w:r>
      <w:r>
        <w:instrText xml:space="preserve"> PAGEREF _Toc129078152 \h </w:instrText>
      </w:r>
      <w:r>
        <w:fldChar w:fldCharType="separate"/>
      </w:r>
      <w:r>
        <w:t>396</w:t>
      </w:r>
      <w:r>
        <w:fldChar w:fldCharType="end"/>
      </w:r>
    </w:p>
    <w:p>
      <w:pPr>
        <w:pStyle w:val="TOC8"/>
        <w:rPr>
          <w:rFonts w:asciiTheme="minorHAnsi" w:eastAsiaTheme="minorEastAsia" w:hAnsiTheme="minorHAnsi" w:cstheme="minorBidi"/>
          <w:szCs w:val="22"/>
        </w:rPr>
      </w:pPr>
      <w:r>
        <w:t>15.</w:t>
      </w:r>
      <w:r>
        <w:tab/>
        <w:t>Consenting to orders</w:t>
      </w:r>
      <w:r>
        <w:tab/>
      </w:r>
      <w:r>
        <w:fldChar w:fldCharType="begin"/>
      </w:r>
      <w:r>
        <w:instrText xml:space="preserve"> PAGEREF _Toc129078153 \h </w:instrText>
      </w:r>
      <w:r>
        <w:fldChar w:fldCharType="separate"/>
      </w:r>
      <w:r>
        <w:t>397</w:t>
      </w:r>
      <w:r>
        <w:fldChar w:fldCharType="end"/>
      </w:r>
    </w:p>
    <w:p>
      <w:pPr>
        <w:pStyle w:val="TOC8"/>
        <w:rPr>
          <w:rFonts w:asciiTheme="minorHAnsi" w:eastAsiaTheme="minorEastAsia" w:hAnsiTheme="minorHAnsi" w:cstheme="minorBidi"/>
          <w:szCs w:val="22"/>
        </w:rPr>
      </w:pPr>
      <w:r>
        <w:t>16.</w:t>
      </w:r>
      <w:r>
        <w:tab/>
        <w:t>Appeal books not needed unless ordered</w:t>
      </w:r>
      <w:r>
        <w:tab/>
      </w:r>
      <w:r>
        <w:fldChar w:fldCharType="begin"/>
      </w:r>
      <w:r>
        <w:instrText xml:space="preserve"> PAGEREF _Toc129078154 \h </w:instrText>
      </w:r>
      <w:r>
        <w:fldChar w:fldCharType="separate"/>
      </w:r>
      <w:r>
        <w:t>397</w:t>
      </w:r>
      <w:r>
        <w:fldChar w:fldCharType="end"/>
      </w:r>
    </w:p>
    <w:p>
      <w:pPr>
        <w:pStyle w:val="TOC4"/>
        <w:tabs>
          <w:tab w:val="right" w:leader="dot" w:pos="7077"/>
        </w:tabs>
        <w:rPr>
          <w:rFonts w:asciiTheme="minorHAnsi" w:eastAsiaTheme="minorEastAsia" w:hAnsiTheme="minorHAnsi" w:cstheme="minorBidi"/>
          <w:b w:val="0"/>
          <w:szCs w:val="22"/>
        </w:rPr>
      </w:pPr>
      <w:r>
        <w:t>Division 4 — Concluding an appeal</w:t>
      </w:r>
    </w:p>
    <w:p>
      <w:pPr>
        <w:pStyle w:val="TOC8"/>
        <w:rPr>
          <w:rFonts w:asciiTheme="minorHAnsi" w:eastAsiaTheme="minorEastAsia" w:hAnsiTheme="minorHAnsi" w:cstheme="minorBidi"/>
          <w:szCs w:val="22"/>
        </w:rPr>
      </w:pPr>
      <w:r>
        <w:t>17.</w:t>
      </w:r>
      <w:r>
        <w:tab/>
        <w:t>Discontinuing an appeal</w:t>
      </w:r>
      <w:r>
        <w:tab/>
      </w:r>
      <w:r>
        <w:fldChar w:fldCharType="begin"/>
      </w:r>
      <w:r>
        <w:instrText xml:space="preserve"> PAGEREF _Toc129078156 \h </w:instrText>
      </w:r>
      <w:r>
        <w:fldChar w:fldCharType="separate"/>
      </w:r>
      <w:r>
        <w:t>397</w:t>
      </w:r>
      <w:r>
        <w:fldChar w:fldCharType="end"/>
      </w:r>
    </w:p>
    <w:p>
      <w:pPr>
        <w:pStyle w:val="TOC8"/>
        <w:rPr>
          <w:rFonts w:asciiTheme="minorHAnsi" w:eastAsiaTheme="minorEastAsia" w:hAnsiTheme="minorHAnsi" w:cstheme="minorBidi"/>
          <w:szCs w:val="22"/>
        </w:rPr>
      </w:pPr>
      <w:r>
        <w:t>18.</w:t>
      </w:r>
      <w:r>
        <w:tab/>
        <w:t>Settling an appeal</w:t>
      </w:r>
      <w:r>
        <w:tab/>
      </w:r>
      <w:r>
        <w:fldChar w:fldCharType="begin"/>
      </w:r>
      <w:r>
        <w:instrText xml:space="preserve"> PAGEREF _Toc129078157 \h </w:instrText>
      </w:r>
      <w:r>
        <w:fldChar w:fldCharType="separate"/>
      </w:r>
      <w:r>
        <w:t>398</w:t>
      </w:r>
      <w:r>
        <w:fldChar w:fldCharType="end"/>
      </w:r>
    </w:p>
    <w:p>
      <w:pPr>
        <w:pStyle w:val="TOC8"/>
        <w:rPr>
          <w:rFonts w:asciiTheme="minorHAnsi" w:eastAsiaTheme="minorEastAsia" w:hAnsiTheme="minorHAnsi" w:cstheme="minorBidi"/>
          <w:szCs w:val="22"/>
        </w:rPr>
      </w:pPr>
      <w:r>
        <w:t>19.</w:t>
      </w:r>
      <w:r>
        <w:tab/>
        <w:t>Return of exhibits</w:t>
      </w:r>
      <w:r>
        <w:tab/>
      </w:r>
      <w:r>
        <w:fldChar w:fldCharType="begin"/>
      </w:r>
      <w:r>
        <w:instrText xml:space="preserve"> PAGEREF _Toc129078158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t>Order 65C — </w:t>
      </w:r>
      <w:r>
        <w:rPr>
          <w:i/>
          <w:iCs/>
        </w:rPr>
        <w:t>Electoral Act 1907</w:t>
      </w:r>
      <w:r>
        <w:t xml:space="preserve"> section 62N rules</w:t>
      </w:r>
    </w:p>
    <w:p>
      <w:pPr>
        <w:pStyle w:val="TOC8"/>
        <w:rPr>
          <w:rFonts w:asciiTheme="minorHAnsi" w:eastAsiaTheme="minorEastAsia" w:hAnsiTheme="minorHAnsi" w:cstheme="minorBidi"/>
          <w:szCs w:val="22"/>
        </w:rPr>
      </w:pPr>
      <w:r>
        <w:t>1.</w:t>
      </w:r>
      <w:r>
        <w:tab/>
        <w:t>Term used: Electoral Commissioner</w:t>
      </w:r>
      <w:r>
        <w:tab/>
      </w:r>
      <w:r>
        <w:fldChar w:fldCharType="begin"/>
      </w:r>
      <w:r>
        <w:instrText xml:space="preserve"> PAGEREF _Toc129078160 \h </w:instrText>
      </w:r>
      <w:r>
        <w:fldChar w:fldCharType="separate"/>
      </w:r>
      <w:r>
        <w:t>401</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_Toc129078161 \h </w:instrText>
      </w:r>
      <w:r>
        <w:fldChar w:fldCharType="separate"/>
      </w:r>
      <w:r>
        <w:t>401</w:t>
      </w:r>
      <w:r>
        <w:fldChar w:fldCharType="end"/>
      </w:r>
    </w:p>
    <w:p>
      <w:pPr>
        <w:pStyle w:val="TOC8"/>
        <w:rPr>
          <w:rFonts w:asciiTheme="minorHAnsi" w:eastAsiaTheme="minorEastAsia" w:hAnsiTheme="minorHAnsi" w:cstheme="minorBidi"/>
          <w:szCs w:val="22"/>
        </w:rPr>
      </w:pPr>
      <w:r>
        <w:t>3.</w:t>
      </w:r>
      <w:r>
        <w:tab/>
        <w:t>Application for review</w:t>
      </w:r>
      <w:r>
        <w:tab/>
      </w:r>
      <w:r>
        <w:fldChar w:fldCharType="begin"/>
      </w:r>
      <w:r>
        <w:instrText xml:space="preserve"> PAGEREF _Toc129078162 \h </w:instrText>
      </w:r>
      <w:r>
        <w:fldChar w:fldCharType="separate"/>
      </w:r>
      <w:r>
        <w:t>401</w:t>
      </w:r>
      <w:r>
        <w:fldChar w:fldCharType="end"/>
      </w:r>
    </w:p>
    <w:p>
      <w:pPr>
        <w:pStyle w:val="TOC8"/>
        <w:rPr>
          <w:rFonts w:asciiTheme="minorHAnsi" w:eastAsiaTheme="minorEastAsia" w:hAnsiTheme="minorHAnsi" w:cstheme="minorBidi"/>
          <w:szCs w:val="22"/>
        </w:rPr>
      </w:pPr>
      <w:r>
        <w:t>4.</w:t>
      </w:r>
      <w:r>
        <w:tab/>
        <w:t>Title of proceedings</w:t>
      </w:r>
      <w:r>
        <w:tab/>
      </w:r>
      <w:r>
        <w:fldChar w:fldCharType="begin"/>
      </w:r>
      <w:r>
        <w:instrText xml:space="preserve"> PAGEREF _Toc129078163 \h </w:instrText>
      </w:r>
      <w:r>
        <w:fldChar w:fldCharType="separate"/>
      </w:r>
      <w:r>
        <w:t>401</w:t>
      </w:r>
      <w:r>
        <w:fldChar w:fldCharType="end"/>
      </w:r>
    </w:p>
    <w:p>
      <w:pPr>
        <w:pStyle w:val="TOC8"/>
        <w:rPr>
          <w:rFonts w:asciiTheme="minorHAnsi" w:eastAsiaTheme="minorEastAsia" w:hAnsiTheme="minorHAnsi" w:cstheme="minorBidi"/>
          <w:szCs w:val="22"/>
        </w:rPr>
      </w:pPr>
      <w:r>
        <w:lastRenderedPageBreak/>
        <w:t>5.</w:t>
      </w:r>
      <w:r>
        <w:tab/>
        <w:t>Hearing the review</w:t>
      </w:r>
      <w:r>
        <w:tab/>
      </w:r>
      <w:r>
        <w:fldChar w:fldCharType="begin"/>
      </w:r>
      <w:r>
        <w:instrText xml:space="preserve"> PAGEREF _Toc129078164 \h </w:instrText>
      </w:r>
      <w:r>
        <w:fldChar w:fldCharType="separate"/>
      </w:r>
      <w:r>
        <w:t>402</w:t>
      </w:r>
      <w:r>
        <w:fldChar w:fldCharType="end"/>
      </w:r>
    </w:p>
    <w:p>
      <w:pPr>
        <w:pStyle w:val="TOC8"/>
        <w:rPr>
          <w:rFonts w:asciiTheme="minorHAnsi" w:eastAsiaTheme="minorEastAsia" w:hAnsiTheme="minorHAnsi" w:cstheme="minorBidi"/>
          <w:szCs w:val="22"/>
        </w:rPr>
      </w:pPr>
      <w:r>
        <w:t>6.</w:t>
      </w:r>
      <w:r>
        <w:tab/>
        <w:t>Date of hearing</w:t>
      </w:r>
      <w:r>
        <w:tab/>
      </w:r>
      <w:r>
        <w:fldChar w:fldCharType="begin"/>
      </w:r>
      <w:r>
        <w:instrText xml:space="preserve"> PAGEREF _Toc129078165 \h </w:instrText>
      </w:r>
      <w:r>
        <w:fldChar w:fldCharType="separate"/>
      </w:r>
      <w:r>
        <w:t>402</w:t>
      </w:r>
      <w:r>
        <w:fldChar w:fldCharType="end"/>
      </w:r>
    </w:p>
    <w:p>
      <w:pPr>
        <w:pStyle w:val="TOC8"/>
        <w:rPr>
          <w:rFonts w:asciiTheme="minorHAnsi" w:eastAsiaTheme="minorEastAsia" w:hAnsiTheme="minorHAnsi" w:cstheme="minorBidi"/>
          <w:szCs w:val="22"/>
        </w:rPr>
      </w:pPr>
      <w:r>
        <w:t>7.</w:t>
      </w:r>
      <w:r>
        <w:tab/>
        <w:t>Review book</w:t>
      </w:r>
      <w:r>
        <w:tab/>
      </w:r>
      <w:r>
        <w:fldChar w:fldCharType="begin"/>
      </w:r>
      <w:r>
        <w:instrText xml:space="preserve"> PAGEREF _Toc129078166 \h </w:instrText>
      </w:r>
      <w:r>
        <w:fldChar w:fldCharType="separate"/>
      </w:r>
      <w:r>
        <w:t>403</w:t>
      </w:r>
      <w:r>
        <w:fldChar w:fldCharType="end"/>
      </w:r>
    </w:p>
    <w:p>
      <w:pPr>
        <w:pStyle w:val="TOC8"/>
        <w:rPr>
          <w:rFonts w:asciiTheme="minorHAnsi" w:eastAsiaTheme="minorEastAsia" w:hAnsiTheme="minorHAnsi" w:cstheme="minorBidi"/>
          <w:szCs w:val="22"/>
        </w:rPr>
      </w:pPr>
      <w:r>
        <w:t>8.</w:t>
      </w:r>
      <w:r>
        <w:tab/>
        <w:t>Applicant limited to grounds in originating motion</w:t>
      </w:r>
      <w:r>
        <w:tab/>
      </w:r>
      <w:r>
        <w:fldChar w:fldCharType="begin"/>
      </w:r>
      <w:r>
        <w:instrText xml:space="preserve"> PAGEREF _Toc129078167 \h </w:instrText>
      </w:r>
      <w:r>
        <w:fldChar w:fldCharType="separate"/>
      </w:r>
      <w:r>
        <w:t>403</w:t>
      </w:r>
      <w:r>
        <w:fldChar w:fldCharType="end"/>
      </w:r>
    </w:p>
    <w:p>
      <w:pPr>
        <w:pStyle w:val="TOC8"/>
        <w:rPr>
          <w:rFonts w:asciiTheme="minorHAnsi" w:eastAsiaTheme="minorEastAsia" w:hAnsiTheme="minorHAnsi" w:cstheme="minorBidi"/>
          <w:szCs w:val="22"/>
        </w:rPr>
      </w:pPr>
      <w:r>
        <w:t>9.</w:t>
      </w:r>
      <w:r>
        <w:tab/>
        <w:t>Right to be heard in opposition</w:t>
      </w:r>
      <w:r>
        <w:tab/>
      </w:r>
      <w:r>
        <w:fldChar w:fldCharType="begin"/>
      </w:r>
      <w:r>
        <w:instrText xml:space="preserve"> PAGEREF _Toc129078168 \h </w:instrText>
      </w:r>
      <w:r>
        <w:fldChar w:fldCharType="separate"/>
      </w:r>
      <w:r>
        <w:t>403</w:t>
      </w:r>
      <w:r>
        <w:fldChar w:fldCharType="end"/>
      </w:r>
    </w:p>
    <w:p>
      <w:pPr>
        <w:pStyle w:val="TOC8"/>
        <w:rPr>
          <w:rFonts w:asciiTheme="minorHAnsi" w:eastAsiaTheme="minorEastAsia" w:hAnsiTheme="minorHAnsi" w:cstheme="minorBidi"/>
          <w:szCs w:val="22"/>
        </w:rPr>
      </w:pPr>
      <w:r>
        <w:t>10.</w:t>
      </w:r>
      <w:r>
        <w:tab/>
        <w:t>Additional affidavits, determination of issue etc.</w:t>
      </w:r>
      <w:r>
        <w:tab/>
      </w:r>
      <w:r>
        <w:fldChar w:fldCharType="begin"/>
      </w:r>
      <w:r>
        <w:instrText xml:space="preserve"> PAGEREF _Toc129078169 \h </w:instrText>
      </w:r>
      <w:r>
        <w:fldChar w:fldCharType="separate"/>
      </w:r>
      <w:r>
        <w:t>404</w:t>
      </w:r>
      <w:r>
        <w:fldChar w:fldCharType="end"/>
      </w:r>
    </w:p>
    <w:p>
      <w:pPr>
        <w:pStyle w:val="TOC8"/>
        <w:rPr>
          <w:rFonts w:asciiTheme="minorHAnsi" w:eastAsiaTheme="minorEastAsia" w:hAnsiTheme="minorHAnsi" w:cstheme="minorBidi"/>
          <w:szCs w:val="22"/>
        </w:rPr>
      </w:pPr>
      <w:r>
        <w:t>11.</w:t>
      </w:r>
      <w:r>
        <w:tab/>
        <w:t>Order as to result of review</w:t>
      </w:r>
      <w:r>
        <w:tab/>
      </w:r>
      <w:r>
        <w:fldChar w:fldCharType="begin"/>
      </w:r>
      <w:r>
        <w:instrText xml:space="preserve"> PAGEREF _Toc129078170 \h </w:instrText>
      </w:r>
      <w:r>
        <w:fldChar w:fldCharType="separate"/>
      </w:r>
      <w:r>
        <w:t>404</w:t>
      </w:r>
      <w:r>
        <w:fldChar w:fldCharType="end"/>
      </w:r>
    </w:p>
    <w:p>
      <w:pPr>
        <w:pStyle w:val="TOC8"/>
        <w:rPr>
          <w:rFonts w:asciiTheme="minorHAnsi" w:eastAsiaTheme="minorEastAsia" w:hAnsiTheme="minorHAnsi" w:cstheme="minorBidi"/>
          <w:szCs w:val="22"/>
        </w:rPr>
      </w:pPr>
      <w:r>
        <w:t>12.</w:t>
      </w:r>
      <w:r>
        <w:tab/>
        <w:t>Application of rules of court</w:t>
      </w:r>
      <w:r>
        <w:tab/>
      </w:r>
      <w:r>
        <w:fldChar w:fldCharType="begin"/>
      </w:r>
      <w:r>
        <w:instrText xml:space="preserve"> PAGEREF _Toc129078171 \h </w:instrText>
      </w:r>
      <w:r>
        <w:fldChar w:fldCharType="separate"/>
      </w:r>
      <w:r>
        <w:t>404</w:t>
      </w:r>
      <w:r>
        <w:fldChar w:fldCharType="end"/>
      </w:r>
    </w:p>
    <w:p>
      <w:pPr>
        <w:pStyle w:val="TOC2"/>
        <w:tabs>
          <w:tab w:val="right" w:leader="dot" w:pos="7077"/>
        </w:tabs>
        <w:rPr>
          <w:rFonts w:asciiTheme="minorHAnsi" w:eastAsiaTheme="minorEastAsia" w:hAnsiTheme="minorHAnsi" w:cstheme="minorBidi"/>
          <w:b w:val="0"/>
          <w:sz w:val="22"/>
          <w:szCs w:val="22"/>
        </w:rPr>
      </w:pPr>
      <w:r>
        <w:t>Order 66 — Costs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rPr>
          <w:snapToGrid w:val="0"/>
        </w:rPr>
        <w:t>.</w:t>
      </w:r>
      <w:r>
        <w:rPr>
          <w:snapToGrid w:val="0"/>
        </w:rPr>
        <w:tab/>
        <w:t>General rules as to costs</w:t>
      </w:r>
      <w:r>
        <w:tab/>
      </w:r>
      <w:r>
        <w:fldChar w:fldCharType="begin"/>
      </w:r>
      <w:r>
        <w:instrText xml:space="preserve"> PAGEREF _Toc129078174 \h </w:instrText>
      </w:r>
      <w:r>
        <w:fldChar w:fldCharType="separate"/>
      </w:r>
      <w:r>
        <w:t>405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Costs where several causes of action, defendants etc.</w:t>
      </w:r>
      <w:r>
        <w:tab/>
      </w:r>
      <w:r>
        <w:fldChar w:fldCharType="begin"/>
      </w:r>
      <w:r>
        <w:instrText xml:space="preserve"> PAGEREF _Toc129078175 \h </w:instrText>
      </w:r>
      <w:r>
        <w:fldChar w:fldCharType="separate"/>
      </w:r>
      <w:r>
        <w:t>406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Costs of amendment without leave or where facts or documents not admitted</w:t>
      </w:r>
      <w:r>
        <w:tab/>
      </w:r>
      <w:r>
        <w:fldChar w:fldCharType="begin"/>
      </w:r>
      <w:r>
        <w:instrText xml:space="preserve"> PAGEREF _Toc129078176 \h </w:instrText>
      </w:r>
      <w:r>
        <w:fldChar w:fldCharType="separate"/>
      </w:r>
      <w:r>
        <w:t>407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Action as to property, ordering costs out of property</w:t>
      </w:r>
      <w:r>
        <w:tab/>
      </w:r>
      <w:r>
        <w:fldChar w:fldCharType="begin"/>
      </w:r>
      <w:r>
        <w:instrText xml:space="preserve"> PAGEREF _Toc129078177 \h </w:instrText>
      </w:r>
      <w:r>
        <w:fldChar w:fldCharType="separate"/>
      </w:r>
      <w:r>
        <w:t>407</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Lawyer may be ordered to pay costs etc.</w:t>
      </w:r>
      <w:r>
        <w:tab/>
      </w:r>
      <w:r>
        <w:fldChar w:fldCharType="begin"/>
      </w:r>
      <w:r>
        <w:instrText xml:space="preserve"> PAGEREF _Toc129078178 \h </w:instrText>
      </w:r>
      <w:r>
        <w:fldChar w:fldCharType="separate"/>
      </w:r>
      <w:r>
        <w:t>408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_Toc129078179 \h </w:instrText>
      </w:r>
      <w:r>
        <w:fldChar w:fldCharType="separate"/>
      </w:r>
      <w:r>
        <w:t>409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_Toc129078180 \h </w:instrText>
      </w:r>
      <w:r>
        <w:fldChar w:fldCharType="separate"/>
      </w:r>
      <w:r>
        <w:t>410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State solicitors, costs of</w:t>
      </w:r>
      <w:r>
        <w:tab/>
      </w:r>
      <w:r>
        <w:fldChar w:fldCharType="begin"/>
      </w:r>
      <w:r>
        <w:instrText xml:space="preserve"> PAGEREF _Toc129078181 \h </w:instrText>
      </w:r>
      <w:r>
        <w:fldChar w:fldCharType="separate"/>
      </w:r>
      <w:r>
        <w:t>410</w:t>
      </w:r>
      <w:r>
        <w:fldChar w:fldCharType="end"/>
      </w:r>
    </w:p>
    <w:p>
      <w:pPr>
        <w:pStyle w:val="TOC8"/>
        <w:rPr>
          <w:rFonts w:asciiTheme="minorHAnsi" w:eastAsiaTheme="minorEastAsia" w:hAnsiTheme="minorHAnsi" w:cstheme="minorBidi"/>
          <w:szCs w:val="22"/>
        </w:rPr>
      </w:pPr>
      <w:r>
        <w:t>8A.</w:t>
      </w:r>
      <w:r>
        <w:tab/>
        <w:t>Costs in case of legal practitioner acting pro bono</w:t>
      </w:r>
      <w:r>
        <w:tab/>
      </w:r>
      <w:r>
        <w:fldChar w:fldCharType="begin"/>
      </w:r>
      <w:r>
        <w:instrText xml:space="preserve"> PAGEREF _Toc129078182 \h </w:instrText>
      </w:r>
      <w:r>
        <w:fldChar w:fldCharType="separate"/>
      </w:r>
      <w:r>
        <w:t>410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Restriction of discretion to order costs in some cases</w:t>
      </w:r>
      <w:r>
        <w:tab/>
      </w:r>
      <w:r>
        <w:fldChar w:fldCharType="begin"/>
      </w:r>
      <w:r>
        <w:instrText xml:space="preserve"> PAGEREF _Toc129078183 \h </w:instrText>
      </w:r>
      <w:r>
        <w:fldChar w:fldCharType="separate"/>
      </w:r>
      <w:r>
        <w:t>410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Stage at which costs may be dealt with</w:t>
      </w:r>
      <w:r>
        <w:tab/>
      </w:r>
      <w:r>
        <w:fldChar w:fldCharType="begin"/>
      </w:r>
      <w:r>
        <w:instrText xml:space="preserve"> PAGEREF _Toc129078184 \h </w:instrText>
      </w:r>
      <w:r>
        <w:fldChar w:fldCharType="separate"/>
      </w:r>
      <w:r>
        <w:t>411</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Scale of costs</w:t>
      </w:r>
      <w:r>
        <w:tab/>
      </w:r>
      <w:r>
        <w:fldChar w:fldCharType="begin"/>
      </w:r>
      <w:r>
        <w:instrText xml:space="preserve"> PAGEREF _Toc129078185 \h </w:instrText>
      </w:r>
      <w:r>
        <w:fldChar w:fldCharType="separate"/>
      </w:r>
      <w:r>
        <w:t>412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Costs where scale does not apply</w:t>
      </w:r>
      <w:r>
        <w:tab/>
      </w:r>
      <w:r>
        <w:fldChar w:fldCharType="begin"/>
      </w:r>
      <w:r>
        <w:instrText xml:space="preserve"> PAGEREF _Toc129078186 \h </w:instrText>
      </w:r>
      <w:r>
        <w:fldChar w:fldCharType="separate"/>
      </w:r>
      <w:r>
        <w:t>413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Lump sum award for costs, interim award as to</w:t>
      </w:r>
      <w:r>
        <w:tab/>
      </w:r>
      <w:r>
        <w:fldChar w:fldCharType="begin"/>
      </w:r>
      <w:r>
        <w:instrText xml:space="preserve"> PAGEREF _Toc129078187 \h </w:instrText>
      </w:r>
      <w:r>
        <w:fldChar w:fldCharType="separate"/>
      </w:r>
      <w:r>
        <w:t>413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Cases that Magistrates Court could have decided, costs in</w:t>
      </w:r>
      <w:r>
        <w:tab/>
      </w:r>
      <w:r>
        <w:fldChar w:fldCharType="begin"/>
      </w:r>
      <w:r>
        <w:instrText xml:space="preserve"> PAGEREF _Toc129078188 \h </w:instrText>
      </w:r>
      <w:r>
        <w:fldChar w:fldCharType="separate"/>
      </w:r>
      <w:r>
        <w:t>414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Matters not provided for in scale</w:t>
      </w:r>
      <w:r>
        <w:tab/>
      </w:r>
      <w:r>
        <w:fldChar w:fldCharType="begin"/>
      </w:r>
      <w:r>
        <w:instrText xml:space="preserve"> PAGEREF _Toc129078189 \h </w:instrText>
      </w:r>
      <w:r>
        <w:fldChar w:fldCharType="separate"/>
      </w:r>
      <w:r>
        <w:t>414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Disbursements etc. allowable on taxation</w:t>
      </w:r>
      <w:r>
        <w:tab/>
      </w:r>
      <w:r>
        <w:fldChar w:fldCharType="begin"/>
      </w:r>
      <w:r>
        <w:instrText xml:space="preserve"> PAGEREF _Toc129078190 \h </w:instrText>
      </w:r>
      <w:r>
        <w:fldChar w:fldCharType="separate"/>
      </w:r>
      <w:r>
        <w:t>415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Basis for calculating costs</w:t>
      </w:r>
      <w:r>
        <w:tab/>
      </w:r>
      <w:r>
        <w:fldChar w:fldCharType="begin"/>
      </w:r>
      <w:r>
        <w:instrText xml:space="preserve"> PAGEREF _Toc129078191 \h </w:instrText>
      </w:r>
      <w:r>
        <w:fldChar w:fldCharType="separate"/>
      </w:r>
      <w:r>
        <w:t>415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No substantial trial, costs in case of</w:t>
      </w:r>
      <w:r>
        <w:tab/>
      </w:r>
      <w:r>
        <w:fldChar w:fldCharType="begin"/>
      </w:r>
      <w:r>
        <w:instrText xml:space="preserve"> PAGEREF _Toc129078192 \h </w:instrText>
      </w:r>
      <w:r>
        <w:fldChar w:fldCharType="separate"/>
      </w:r>
      <w:r>
        <w:t>416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fees in scales may be increased if inadequate</w:t>
      </w:r>
      <w:r>
        <w:tab/>
      </w:r>
      <w:r>
        <w:fldChar w:fldCharType="begin"/>
      </w:r>
      <w:r>
        <w:instrText xml:space="preserve"> PAGEREF _Toc129078193 \h </w:instrText>
      </w:r>
      <w:r>
        <w:fldChar w:fldCharType="separate"/>
      </w:r>
      <w:r>
        <w:t>416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Judgment for person under disability, solicitor’s costs in case of</w:t>
      </w:r>
      <w:r>
        <w:tab/>
      </w:r>
      <w:r>
        <w:fldChar w:fldCharType="begin"/>
      </w:r>
      <w:r>
        <w:instrText xml:space="preserve"> PAGEREF _Toc129078194 \h </w:instrText>
      </w:r>
      <w:r>
        <w:fldChar w:fldCharType="separate"/>
      </w:r>
      <w:r>
        <w:t>417</w:t>
      </w:r>
      <w:r>
        <w:fldChar w:fldCharType="end"/>
      </w:r>
    </w:p>
    <w:p>
      <w:pPr>
        <w:pStyle w:val="TOC8"/>
        <w:rPr>
          <w:rFonts w:asciiTheme="minorHAnsi" w:eastAsiaTheme="minorEastAsia" w:hAnsiTheme="minorHAnsi" w:cstheme="minorBidi"/>
          <w:szCs w:val="22"/>
        </w:rPr>
      </w:pPr>
      <w:r>
        <w:t>25.</w:t>
      </w:r>
      <w:r>
        <w:tab/>
        <w:t>Own costs orders</w:t>
      </w:r>
      <w:r>
        <w:tab/>
      </w:r>
      <w:r>
        <w:fldChar w:fldCharType="begin"/>
      </w:r>
      <w:r>
        <w:instrText xml:space="preserve"> PAGEREF _Toc129078195 \h </w:instrText>
      </w:r>
      <w:r>
        <w:fldChar w:fldCharType="separate"/>
      </w:r>
      <w:r>
        <w:t>418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Taxation of costs</w:t>
      </w:r>
    </w:p>
    <w:p>
      <w:pPr>
        <w:pStyle w:val="TOC8"/>
        <w:rPr>
          <w:rFonts w:asciiTheme="minorHAnsi" w:eastAsiaTheme="minorEastAsia" w:hAnsiTheme="minorHAnsi" w:cstheme="minorBidi"/>
          <w:szCs w:val="22"/>
        </w:rPr>
      </w:pPr>
      <w:r>
        <w:t>32</w:t>
      </w:r>
      <w:r>
        <w:rPr>
          <w:snapToGrid w:val="0"/>
        </w:rPr>
        <w:t>.</w:t>
      </w:r>
      <w:r>
        <w:rPr>
          <w:snapToGrid w:val="0"/>
        </w:rPr>
        <w:tab/>
        <w:t>Bills of costs to be taxed</w:t>
      </w:r>
      <w:r>
        <w:tab/>
      </w:r>
      <w:r>
        <w:fldChar w:fldCharType="begin"/>
      </w:r>
      <w:r>
        <w:instrText xml:space="preserve"> PAGEREF _Toc129078197 \h </w:instrText>
      </w:r>
      <w:r>
        <w:fldChar w:fldCharType="separate"/>
      </w:r>
      <w:r>
        <w:t>420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Indorsements on bill of costs</w:t>
      </w:r>
      <w:r>
        <w:tab/>
      </w:r>
      <w:r>
        <w:fldChar w:fldCharType="begin"/>
      </w:r>
      <w:r>
        <w:instrText xml:space="preserve"> PAGEREF _Toc129078198 \h </w:instrText>
      </w:r>
      <w:r>
        <w:fldChar w:fldCharType="separate"/>
      </w:r>
      <w:r>
        <w:t>421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When notice of taxation need not be given</w:t>
      </w:r>
      <w:r>
        <w:tab/>
      </w:r>
      <w:r>
        <w:fldChar w:fldCharType="begin"/>
      </w:r>
      <w:r>
        <w:instrText xml:space="preserve"> PAGEREF _Toc129078199 \h </w:instrText>
      </w:r>
      <w:r>
        <w:fldChar w:fldCharType="separate"/>
      </w:r>
      <w:r>
        <w:t>421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Notice of taxation</w:t>
      </w:r>
      <w:r>
        <w:tab/>
      </w:r>
      <w:r>
        <w:fldChar w:fldCharType="begin"/>
      </w:r>
      <w:r>
        <w:instrText xml:space="preserve"> PAGEREF _Toc129078200 \h </w:instrText>
      </w:r>
      <w:r>
        <w:fldChar w:fldCharType="separate"/>
      </w:r>
      <w:r>
        <w:t>421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Vouchers as to disbursements to be filed</w:t>
      </w:r>
      <w:r>
        <w:tab/>
      </w:r>
      <w:r>
        <w:fldChar w:fldCharType="begin"/>
      </w:r>
      <w:r>
        <w:instrText xml:space="preserve"> PAGEREF _Toc129078201 \h </w:instrText>
      </w:r>
      <w:r>
        <w:fldChar w:fldCharType="separate"/>
      </w:r>
      <w:r>
        <w:t>421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Solicitor delaying taxation</w:t>
      </w:r>
      <w:r>
        <w:tab/>
      </w:r>
      <w:r>
        <w:fldChar w:fldCharType="begin"/>
      </w:r>
      <w:r>
        <w:instrText xml:space="preserve"> PAGEREF _Toc129078202 \h </w:instrText>
      </w:r>
      <w:r>
        <w:fldChar w:fldCharType="separate"/>
      </w:r>
      <w:r>
        <w:t>421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Appointment to tax costs to be peremptory</w:t>
      </w:r>
      <w:r>
        <w:tab/>
      </w:r>
      <w:r>
        <w:fldChar w:fldCharType="begin"/>
      </w:r>
      <w:r>
        <w:instrText xml:space="preserve"> PAGEREF _Toc129078203 \h </w:instrText>
      </w:r>
      <w:r>
        <w:fldChar w:fldCharType="separate"/>
      </w:r>
      <w:r>
        <w:t>422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Taxing officer may direct bills of costs to be brought in</w:t>
      </w:r>
      <w:r>
        <w:tab/>
      </w:r>
      <w:r>
        <w:fldChar w:fldCharType="begin"/>
      </w:r>
      <w:r>
        <w:instrText xml:space="preserve"> PAGEREF _Toc129078204 \h </w:instrText>
      </w:r>
      <w:r>
        <w:fldChar w:fldCharType="separate"/>
      </w:r>
      <w:r>
        <w:t>422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Default by party in taxing costs</w:t>
      </w:r>
      <w:r>
        <w:tab/>
      </w:r>
      <w:r>
        <w:fldChar w:fldCharType="begin"/>
      </w:r>
      <w:r>
        <w:instrText xml:space="preserve"> PAGEREF _Toc129078205 \h </w:instrText>
      </w:r>
      <w:r>
        <w:fldChar w:fldCharType="separate"/>
      </w:r>
      <w:r>
        <w:t>422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If costs payable out of property, notice to clients may be directed</w:t>
      </w:r>
      <w:r>
        <w:tab/>
      </w:r>
      <w:r>
        <w:fldChar w:fldCharType="begin"/>
      </w:r>
      <w:r>
        <w:instrText xml:space="preserve"> PAGEREF _Toc129078206 \h </w:instrText>
      </w:r>
      <w:r>
        <w:fldChar w:fldCharType="separate"/>
      </w:r>
      <w:r>
        <w:t>422</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Bills of costs, content of</w:t>
      </w:r>
      <w:r>
        <w:tab/>
      </w:r>
      <w:r>
        <w:fldChar w:fldCharType="begin"/>
      </w:r>
      <w:r>
        <w:instrText xml:space="preserve"> PAGEREF _Toc129078207 \h </w:instrText>
      </w:r>
      <w:r>
        <w:fldChar w:fldCharType="separate"/>
      </w:r>
      <w:r>
        <w:t>423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Taxing officer’s decisions on fact are final</w:t>
      </w:r>
      <w:r>
        <w:tab/>
      </w:r>
      <w:r>
        <w:fldChar w:fldCharType="begin"/>
      </w:r>
      <w:r>
        <w:instrText xml:space="preserve"> PAGEREF _Toc129078208 \h </w:instrText>
      </w:r>
      <w:r>
        <w:fldChar w:fldCharType="separate"/>
      </w:r>
      <w:r>
        <w:t>423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Taxing officer’s powers</w:t>
      </w:r>
      <w:r>
        <w:tab/>
      </w:r>
      <w:r>
        <w:fldChar w:fldCharType="begin"/>
      </w:r>
      <w:r>
        <w:instrText xml:space="preserve"> PAGEREF _Toc129078209 \h </w:instrText>
      </w:r>
      <w:r>
        <w:fldChar w:fldCharType="separate"/>
      </w:r>
      <w:r>
        <w:t>423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Taxing officer may refer taxation question to Court</w:t>
      </w:r>
      <w:r>
        <w:tab/>
      </w:r>
      <w:r>
        <w:fldChar w:fldCharType="begin"/>
      </w:r>
      <w:r>
        <w:instrText xml:space="preserve"> PAGEREF _Toc129078210 \h </w:instrText>
      </w:r>
      <w:r>
        <w:fldChar w:fldCharType="separate"/>
      </w:r>
      <w:r>
        <w:t>424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Where proceedings adjourned into court</w:t>
      </w:r>
      <w:r>
        <w:tab/>
      </w:r>
      <w:r>
        <w:fldChar w:fldCharType="begin"/>
      </w:r>
      <w:r>
        <w:instrText xml:space="preserve"> PAGEREF _Toc129078211 \h </w:instrText>
      </w:r>
      <w:r>
        <w:fldChar w:fldCharType="separate"/>
      </w:r>
      <w:r>
        <w:t>424</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Interrogatories and discovery, costs of</w:t>
      </w:r>
      <w:r>
        <w:tab/>
      </w:r>
      <w:r>
        <w:fldChar w:fldCharType="begin"/>
      </w:r>
      <w:r>
        <w:instrText xml:space="preserve"> PAGEREF _Toc129078212 \h </w:instrText>
      </w:r>
      <w:r>
        <w:fldChar w:fldCharType="separate"/>
      </w:r>
      <w:r>
        <w:t>424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Costs of motion etc. follow event</w:t>
      </w:r>
      <w:r>
        <w:tab/>
      </w:r>
      <w:r>
        <w:fldChar w:fldCharType="begin"/>
      </w:r>
      <w:r>
        <w:instrText xml:space="preserve"> PAGEREF _Toc129078213 \h </w:instrText>
      </w:r>
      <w:r>
        <w:fldChar w:fldCharType="separate"/>
      </w:r>
      <w:r>
        <w:t>425</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Motion etc. stood over to trial and no order made as to costs, costs in case of</w:t>
      </w:r>
      <w:r>
        <w:tab/>
      </w:r>
      <w:r>
        <w:fldChar w:fldCharType="begin"/>
      </w:r>
      <w:r>
        <w:instrText xml:space="preserve"> PAGEREF _Toc129078214 \h </w:instrText>
      </w:r>
      <w:r>
        <w:fldChar w:fldCharType="separate"/>
      </w:r>
      <w:r>
        <w:t>425</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Costs reserved</w:t>
      </w:r>
      <w:r>
        <w:tab/>
      </w:r>
      <w:r>
        <w:fldChar w:fldCharType="begin"/>
      </w:r>
      <w:r>
        <w:instrText xml:space="preserve"> PAGEREF _Toc129078215 \h </w:instrText>
      </w:r>
      <w:r>
        <w:fldChar w:fldCharType="separate"/>
      </w:r>
      <w:r>
        <w:t>425</w:t>
      </w:r>
      <w:r>
        <w:fldChar w:fldCharType="end"/>
      </w:r>
    </w:p>
    <w:p>
      <w:pPr>
        <w:pStyle w:val="TOC8"/>
        <w:rPr>
          <w:rFonts w:asciiTheme="minorHAnsi" w:eastAsiaTheme="minorEastAsia" w:hAnsiTheme="minorHAnsi" w:cstheme="minorBidi"/>
          <w:szCs w:val="22"/>
        </w:rPr>
      </w:pPr>
      <w:r>
        <w:t>51.</w:t>
      </w:r>
      <w:r>
        <w:tab/>
        <w:t>When Court may fix costs</w:t>
      </w:r>
      <w:r>
        <w:tab/>
      </w:r>
      <w:r>
        <w:fldChar w:fldCharType="begin"/>
      </w:r>
      <w:r>
        <w:instrText xml:space="preserve"> PAGEREF _Toc129078216 \h </w:instrText>
      </w:r>
      <w:r>
        <w:fldChar w:fldCharType="separate"/>
      </w:r>
      <w:r>
        <w:t>426</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Taxing officer may refer question to judge if costs to be apportioned etc.</w:t>
      </w:r>
      <w:r>
        <w:tab/>
      </w:r>
      <w:r>
        <w:fldChar w:fldCharType="begin"/>
      </w:r>
      <w:r>
        <w:instrText xml:space="preserve"> PAGEREF _Toc129078217 \h </w:instrText>
      </w:r>
      <w:r>
        <w:fldChar w:fldCharType="separate"/>
      </w:r>
      <w:r>
        <w:t>426</w:t>
      </w:r>
      <w:r>
        <w:fldChar w:fldCharType="end"/>
      </w:r>
    </w:p>
    <w:p>
      <w:pPr>
        <w:pStyle w:val="TOC4"/>
        <w:tabs>
          <w:tab w:val="right" w:leader="dot" w:pos="7077"/>
        </w:tabs>
        <w:rPr>
          <w:rFonts w:asciiTheme="minorHAnsi" w:eastAsiaTheme="minorEastAsia" w:hAnsiTheme="minorHAnsi" w:cstheme="minorBidi"/>
          <w:b w:val="0"/>
          <w:szCs w:val="22"/>
        </w:rPr>
      </w:pPr>
      <w:r>
        <w:t>Division 3 — Review of taxation</w:t>
      </w:r>
    </w:p>
    <w:p>
      <w:pPr>
        <w:pStyle w:val="TOC8"/>
        <w:rPr>
          <w:rFonts w:asciiTheme="minorHAnsi" w:eastAsiaTheme="minorEastAsia" w:hAnsiTheme="minorHAnsi" w:cstheme="minorBidi"/>
          <w:szCs w:val="22"/>
        </w:rPr>
      </w:pPr>
      <w:r>
        <w:t>53</w:t>
      </w:r>
      <w:r>
        <w:rPr>
          <w:snapToGrid w:val="0"/>
        </w:rPr>
        <w:t>.</w:t>
      </w:r>
      <w:r>
        <w:rPr>
          <w:snapToGrid w:val="0"/>
        </w:rPr>
        <w:tab/>
        <w:t>Party dissatisfied with taxation may object and apply for review</w:t>
      </w:r>
      <w:r>
        <w:tab/>
      </w:r>
      <w:r>
        <w:fldChar w:fldCharType="begin"/>
      </w:r>
      <w:r>
        <w:instrText xml:space="preserve"> PAGEREF _Toc129078219 \h </w:instrText>
      </w:r>
      <w:r>
        <w:fldChar w:fldCharType="separate"/>
      </w:r>
      <w:r>
        <w:t>427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Review of taxation by taxing officer</w:t>
      </w:r>
      <w:r>
        <w:tab/>
      </w:r>
      <w:r>
        <w:fldChar w:fldCharType="begin"/>
      </w:r>
      <w:r>
        <w:instrText xml:space="preserve"> PAGEREF _Toc129078220 \h </w:instrText>
      </w:r>
      <w:r>
        <w:fldChar w:fldCharType="separate"/>
      </w:r>
      <w:r>
        <w:t>427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Review of taxation by judge</w:t>
      </w:r>
      <w:r>
        <w:tab/>
      </w:r>
      <w:r>
        <w:fldChar w:fldCharType="begin"/>
      </w:r>
      <w:r>
        <w:instrText xml:space="preserve"> PAGEREF _Toc129078221 \h </w:instrText>
      </w:r>
      <w:r>
        <w:fldChar w:fldCharType="separate"/>
      </w:r>
      <w:r>
        <w:t>428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No further evidence on review except with leave</w:t>
      </w:r>
      <w:r>
        <w:tab/>
      </w:r>
      <w:r>
        <w:fldChar w:fldCharType="begin"/>
      </w:r>
      <w:r>
        <w:instrText xml:space="preserve"> PAGEREF _Toc129078222 \h </w:instrText>
      </w:r>
      <w:r>
        <w:fldChar w:fldCharType="separate"/>
      </w:r>
      <w:r>
        <w:t>428</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57</w:t>
      </w:r>
      <w:r>
        <w:rPr>
          <w:snapToGrid w:val="0"/>
        </w:rPr>
        <w:t>.</w:t>
      </w:r>
      <w:r>
        <w:rPr>
          <w:snapToGrid w:val="0"/>
        </w:rPr>
        <w:tab/>
        <w:t>Taxing officer’s certificate enforceable as judgment</w:t>
      </w:r>
      <w:r>
        <w:tab/>
      </w:r>
      <w:r>
        <w:fldChar w:fldCharType="begin"/>
      </w:r>
      <w:r>
        <w:instrText xml:space="preserve"> PAGEREF _Toc129078224 \h </w:instrText>
      </w:r>
      <w:r>
        <w:fldChar w:fldCharType="separate"/>
      </w:r>
      <w:r>
        <w:t>429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Stay on review</w:t>
      </w:r>
      <w:r>
        <w:tab/>
      </w:r>
      <w:r>
        <w:fldChar w:fldCharType="begin"/>
      </w:r>
      <w:r>
        <w:instrText xml:space="preserve"> PAGEREF _Toc129078225 \h </w:instrText>
      </w:r>
      <w:r>
        <w:fldChar w:fldCharType="separate"/>
      </w:r>
      <w:r>
        <w:t>429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Party liable to be paid and to pay costs, taxing officer’s powers in case of</w:t>
      </w:r>
      <w:r>
        <w:tab/>
      </w:r>
      <w:r>
        <w:fldChar w:fldCharType="begin"/>
      </w:r>
      <w:r>
        <w:instrText xml:space="preserve"> PAGEREF _Toc129078226 \h </w:instrText>
      </w:r>
      <w:r>
        <w:fldChar w:fldCharType="separate"/>
      </w:r>
      <w:r>
        <w:t>429</w:t>
      </w:r>
      <w:r>
        <w:fldChar w:fldCharType="end"/>
      </w:r>
    </w:p>
    <w:p>
      <w:pPr>
        <w:pStyle w:val="TOC8"/>
        <w:rPr>
          <w:rFonts w:asciiTheme="minorHAnsi" w:eastAsiaTheme="minorEastAsia" w:hAnsiTheme="minorHAnsi" w:cstheme="minorBidi"/>
          <w:szCs w:val="22"/>
        </w:rPr>
      </w:pPr>
      <w:r>
        <w:lastRenderedPageBreak/>
        <w:t>60</w:t>
      </w:r>
      <w:r>
        <w:rPr>
          <w:snapToGrid w:val="0"/>
        </w:rPr>
        <w:t>.</w:t>
      </w:r>
      <w:r>
        <w:rPr>
          <w:snapToGrid w:val="0"/>
        </w:rPr>
        <w:tab/>
        <w:t>Taking of accounts, taxing officer’s duties and powers on</w:t>
      </w:r>
      <w:r>
        <w:tab/>
      </w:r>
      <w:r>
        <w:fldChar w:fldCharType="begin"/>
      </w:r>
      <w:r>
        <w:instrText xml:space="preserve"> PAGEREF _Toc129078227 \h </w:instrText>
      </w:r>
      <w:r>
        <w:fldChar w:fldCharType="separate"/>
      </w:r>
      <w:r>
        <w:t>430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Interim certificate in matters of account</w:t>
      </w:r>
      <w:r>
        <w:tab/>
      </w:r>
      <w:r>
        <w:fldChar w:fldCharType="begin"/>
      </w:r>
      <w:r>
        <w:instrText xml:space="preserve"> PAGEREF _Toc129078228 \h </w:instrText>
      </w:r>
      <w:r>
        <w:fldChar w:fldCharType="separate"/>
      </w:r>
      <w:r>
        <w:t>430</w:t>
      </w:r>
      <w:r>
        <w:fldChar w:fldCharType="end"/>
      </w:r>
    </w:p>
    <w:p>
      <w:pPr>
        <w:pStyle w:val="TOC2"/>
        <w:tabs>
          <w:tab w:val="right" w:leader="dot" w:pos="7077"/>
        </w:tabs>
        <w:rPr>
          <w:rFonts w:asciiTheme="minorHAnsi" w:eastAsiaTheme="minorEastAsia" w:hAnsiTheme="minorHAnsi" w:cstheme="minorBidi"/>
          <w:b w:val="0"/>
          <w:sz w:val="22"/>
          <w:szCs w:val="22"/>
        </w:rPr>
      </w:pPr>
      <w:r>
        <w:t>Order 67 — Central Office, officers</w:t>
      </w:r>
    </w:p>
    <w:p>
      <w:pPr>
        <w:pStyle w:val="TOC8"/>
        <w:rPr>
          <w:rFonts w:asciiTheme="minorHAnsi" w:eastAsiaTheme="minorEastAsia" w:hAnsiTheme="minorHAnsi" w:cstheme="minorBidi"/>
          <w:szCs w:val="22"/>
        </w:rPr>
      </w:pPr>
      <w:r>
        <w:t>1</w:t>
      </w:r>
      <w:r>
        <w:rPr>
          <w:snapToGrid w:val="0"/>
        </w:rPr>
        <w:t>.</w:t>
      </w:r>
      <w:r>
        <w:rPr>
          <w:snapToGrid w:val="0"/>
        </w:rPr>
        <w:tab/>
        <w:t>Superintendence of Central Office</w:t>
      </w:r>
      <w:r>
        <w:tab/>
      </w:r>
      <w:r>
        <w:fldChar w:fldCharType="begin"/>
      </w:r>
      <w:r>
        <w:instrText xml:space="preserve"> PAGEREF _Toc129078230 \h </w:instrText>
      </w:r>
      <w:r>
        <w:fldChar w:fldCharType="separate"/>
      </w:r>
      <w:r>
        <w:t>431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Ministerial acts of registrar</w:t>
      </w:r>
      <w:r>
        <w:tab/>
      </w:r>
      <w:r>
        <w:fldChar w:fldCharType="begin"/>
      </w:r>
      <w:r>
        <w:instrText xml:space="preserve"> PAGEREF _Toc129078231 \h </w:instrText>
      </w:r>
      <w:r>
        <w:fldChar w:fldCharType="separate"/>
      </w:r>
      <w:r>
        <w:t>431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Taking of oaths and affidavits</w:t>
      </w:r>
      <w:r>
        <w:tab/>
      </w:r>
      <w:r>
        <w:fldChar w:fldCharType="begin"/>
      </w:r>
      <w:r>
        <w:instrText xml:space="preserve"> PAGEREF _Toc129078232 \h </w:instrText>
      </w:r>
      <w:r>
        <w:fldChar w:fldCharType="separate"/>
      </w:r>
      <w:r>
        <w:t>431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Seals</w:t>
      </w:r>
      <w:r>
        <w:tab/>
      </w:r>
      <w:r>
        <w:fldChar w:fldCharType="begin"/>
      </w:r>
      <w:r>
        <w:instrText xml:space="preserve"> PAGEREF _Toc129078233 \h </w:instrText>
      </w:r>
      <w:r>
        <w:fldChar w:fldCharType="separate"/>
      </w:r>
      <w:r>
        <w:t>431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Abuse of process etc., procedure in case of</w:t>
      </w:r>
      <w:r>
        <w:tab/>
      </w:r>
      <w:r>
        <w:fldChar w:fldCharType="begin"/>
      </w:r>
      <w:r>
        <w:instrText xml:space="preserve"> PAGEREF _Toc129078234 \h </w:instrText>
      </w:r>
      <w:r>
        <w:fldChar w:fldCharType="separate"/>
      </w:r>
      <w:r>
        <w:t>431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Sealed documents, evidentiary status of</w:t>
      </w:r>
      <w:r>
        <w:tab/>
      </w:r>
      <w:r>
        <w:fldChar w:fldCharType="begin"/>
      </w:r>
      <w:r>
        <w:instrText xml:space="preserve"> PAGEREF _Toc129078235 \h </w:instrText>
      </w:r>
      <w:r>
        <w:fldChar w:fldCharType="separate"/>
      </w:r>
      <w:r>
        <w:t>432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Petition, award etc. to be filed before judgment etc. passed</w:t>
      </w:r>
      <w:r>
        <w:tab/>
      </w:r>
      <w:r>
        <w:fldChar w:fldCharType="begin"/>
      </w:r>
      <w:r>
        <w:instrText xml:space="preserve"> PAGEREF _Toc129078236 \h </w:instrText>
      </w:r>
      <w:r>
        <w:fldChar w:fldCharType="separate"/>
      </w:r>
      <w:r>
        <w:t>432</w:t>
      </w:r>
      <w:r>
        <w:fldChar w:fldCharType="end"/>
      </w:r>
    </w:p>
    <w:p>
      <w:pPr>
        <w:pStyle w:val="TOC8"/>
        <w:rPr>
          <w:rFonts w:asciiTheme="minorHAnsi" w:eastAsiaTheme="minorEastAsia" w:hAnsiTheme="minorHAnsi" w:cstheme="minorBidi"/>
          <w:szCs w:val="22"/>
        </w:rPr>
      </w:pPr>
      <w:r>
        <w:t>8.</w:t>
      </w:r>
      <w:r>
        <w:tab/>
        <w:t>Indexes to filed documents</w:t>
      </w:r>
      <w:r>
        <w:tab/>
      </w:r>
      <w:r>
        <w:fldChar w:fldCharType="begin"/>
      </w:r>
      <w:r>
        <w:instrText xml:space="preserve"> PAGEREF _Toc129078237 \h </w:instrText>
      </w:r>
      <w:r>
        <w:fldChar w:fldCharType="separate"/>
      </w:r>
      <w:r>
        <w:t>433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Date of filing to be marked etc.</w:t>
      </w:r>
      <w:r>
        <w:tab/>
      </w:r>
      <w:r>
        <w:fldChar w:fldCharType="begin"/>
      </w:r>
      <w:r>
        <w:instrText xml:space="preserve"> PAGEREF _Toc129078238 \h </w:instrText>
      </w:r>
      <w:r>
        <w:fldChar w:fldCharType="separate"/>
      </w:r>
      <w:r>
        <w:t>433</w:t>
      </w:r>
      <w:r>
        <w:fldChar w:fldCharType="end"/>
      </w:r>
    </w:p>
    <w:p>
      <w:pPr>
        <w:pStyle w:val="TOC8"/>
        <w:rPr>
          <w:rFonts w:asciiTheme="minorHAnsi" w:eastAsiaTheme="minorEastAsia" w:hAnsiTheme="minorHAnsi" w:cstheme="minorBidi"/>
          <w:szCs w:val="22"/>
        </w:rPr>
      </w:pPr>
      <w:r>
        <w:t>10.</w:t>
      </w:r>
      <w:r>
        <w:tab/>
        <w:t>Custody of documents and things</w:t>
      </w:r>
      <w:r>
        <w:tab/>
      </w:r>
      <w:r>
        <w:fldChar w:fldCharType="begin"/>
      </w:r>
      <w:r>
        <w:instrText xml:space="preserve"> PAGEREF _Toc129078239 \h </w:instrText>
      </w:r>
      <w:r>
        <w:fldChar w:fldCharType="separate"/>
      </w:r>
      <w:r>
        <w:t>433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Deposit of documents</w:t>
      </w:r>
      <w:r>
        <w:tab/>
      </w:r>
      <w:r>
        <w:fldChar w:fldCharType="begin"/>
      </w:r>
      <w:r>
        <w:instrText xml:space="preserve"> PAGEREF _Toc129078240 \h </w:instrText>
      </w:r>
      <w:r>
        <w:fldChar w:fldCharType="separate"/>
      </w:r>
      <w:r>
        <w:t>434</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Restriction on removal of documents</w:t>
      </w:r>
      <w:r>
        <w:tab/>
      </w:r>
      <w:r>
        <w:fldChar w:fldCharType="begin"/>
      </w:r>
      <w:r>
        <w:instrText xml:space="preserve"> PAGEREF _Toc129078241 \h </w:instrText>
      </w:r>
      <w:r>
        <w:fldChar w:fldCharType="separate"/>
      </w:r>
      <w:r>
        <w:t>434</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Deposit for officer’s expenses</w:t>
      </w:r>
      <w:r>
        <w:tab/>
      </w:r>
      <w:r>
        <w:fldChar w:fldCharType="begin"/>
      </w:r>
      <w:r>
        <w:instrText xml:space="preserve"> PAGEREF _Toc129078242 \h </w:instrText>
      </w:r>
      <w:r>
        <w:fldChar w:fldCharType="separate"/>
      </w:r>
      <w:r>
        <w:t>434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Admissions, awards etc. to be filed</w:t>
      </w:r>
      <w:r>
        <w:tab/>
      </w:r>
      <w:r>
        <w:fldChar w:fldCharType="begin"/>
      </w:r>
      <w:r>
        <w:instrText xml:space="preserve"> PAGEREF _Toc129078243 \h </w:instrText>
      </w:r>
      <w:r>
        <w:fldChar w:fldCharType="separate"/>
      </w:r>
      <w:r>
        <w:t>434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New forms</w:t>
      </w:r>
      <w:r>
        <w:tab/>
      </w:r>
      <w:r>
        <w:fldChar w:fldCharType="begin"/>
      </w:r>
      <w:r>
        <w:instrText xml:space="preserve"> PAGEREF _Toc129078244 \h </w:instrText>
      </w:r>
      <w:r>
        <w:fldChar w:fldCharType="separate"/>
      </w:r>
      <w:r>
        <w:t>435</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Accounts etc. to be taken by registrar, rules applying to</w:t>
      </w:r>
      <w:r>
        <w:tab/>
      </w:r>
      <w:r>
        <w:fldChar w:fldCharType="begin"/>
      </w:r>
      <w:r>
        <w:instrText xml:space="preserve"> PAGEREF _Toc129078245 \h </w:instrText>
      </w:r>
      <w:r>
        <w:fldChar w:fldCharType="separate"/>
      </w:r>
      <w:r>
        <w:t>435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Reference in judgment etc. to registrar, effect of</w:t>
      </w:r>
      <w:r>
        <w:tab/>
      </w:r>
      <w:r>
        <w:fldChar w:fldCharType="begin"/>
      </w:r>
      <w:r>
        <w:instrText xml:space="preserve"> PAGEREF _Toc129078246 \h </w:instrText>
      </w:r>
      <w:r>
        <w:fldChar w:fldCharType="separate"/>
      </w:r>
      <w:r>
        <w:t>435</w:t>
      </w:r>
      <w:r>
        <w:fldChar w:fldCharType="end"/>
      </w:r>
    </w:p>
    <w:p>
      <w:pPr>
        <w:pStyle w:val="TOC8"/>
        <w:rPr>
          <w:rFonts w:asciiTheme="minorHAnsi" w:eastAsiaTheme="minorEastAsia" w:hAnsiTheme="minorHAnsi" w:cstheme="minorBidi"/>
          <w:szCs w:val="22"/>
        </w:rPr>
      </w:pPr>
      <w:r>
        <w:t>19.</w:t>
      </w:r>
      <w:r>
        <w:tab/>
        <w:t>Principal Registrar may declare ECMS unavailable</w:t>
      </w:r>
      <w:r>
        <w:tab/>
      </w:r>
      <w:r>
        <w:fldChar w:fldCharType="begin"/>
      </w:r>
      <w:r>
        <w:instrText xml:space="preserve"> PAGEREF _Toc129078247 \h </w:instrText>
      </w:r>
      <w:r>
        <w:fldChar w:fldCharType="separate"/>
      </w:r>
      <w:r>
        <w:t>435</w:t>
      </w:r>
      <w:r>
        <w:fldChar w:fldCharType="end"/>
      </w:r>
    </w:p>
    <w:p>
      <w:pPr>
        <w:pStyle w:val="TOC2"/>
        <w:tabs>
          <w:tab w:val="right" w:leader="dot" w:pos="7077"/>
        </w:tabs>
        <w:rPr>
          <w:rFonts w:asciiTheme="minorHAnsi" w:eastAsiaTheme="minorEastAsia" w:hAnsiTheme="minorHAnsi" w:cstheme="minorBidi"/>
          <w:b w:val="0"/>
          <w:sz w:val="22"/>
          <w:szCs w:val="22"/>
        </w:rPr>
      </w:pPr>
      <w:r>
        <w:t>Order 67A</w:t>
      </w:r>
      <w:r>
        <w:rPr>
          <w:b w:val="0"/>
        </w:rPr>
        <w:t> </w:t>
      </w:r>
      <w:r>
        <w:t>—</w:t>
      </w:r>
      <w:r>
        <w:rPr>
          <w:b w:val="0"/>
        </w:rPr>
        <w:t> </w:t>
      </w:r>
      <w:r>
        <w:t>Filing documents</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_Toc129078250 \h </w:instrText>
      </w:r>
      <w:r>
        <w:fldChar w:fldCharType="separate"/>
      </w:r>
      <w:r>
        <w:t>437</w:t>
      </w:r>
      <w:r>
        <w:fldChar w:fldCharType="end"/>
      </w:r>
    </w:p>
    <w:p>
      <w:pPr>
        <w:pStyle w:val="TOC4"/>
        <w:tabs>
          <w:tab w:val="right" w:leader="dot" w:pos="7077"/>
        </w:tabs>
        <w:rPr>
          <w:rFonts w:asciiTheme="minorHAnsi" w:eastAsiaTheme="minorEastAsia" w:hAnsiTheme="minorHAnsi" w:cstheme="minorBidi"/>
          <w:b w:val="0"/>
          <w:szCs w:val="22"/>
        </w:rPr>
      </w:pPr>
      <w:r>
        <w:t>Division 2 — Filing documents</w:t>
      </w:r>
    </w:p>
    <w:p>
      <w:pPr>
        <w:pStyle w:val="TOC8"/>
        <w:rPr>
          <w:rFonts w:asciiTheme="minorHAnsi" w:eastAsiaTheme="minorEastAsia" w:hAnsiTheme="minorHAnsi" w:cstheme="minorBidi"/>
          <w:szCs w:val="22"/>
        </w:rPr>
      </w:pPr>
      <w:r>
        <w:t>2.</w:t>
      </w:r>
      <w:r>
        <w:tab/>
        <w:t>General rules about filing documents</w:t>
      </w:r>
      <w:r>
        <w:tab/>
      </w:r>
      <w:r>
        <w:fldChar w:fldCharType="begin"/>
      </w:r>
      <w:r>
        <w:instrText xml:space="preserve"> PAGEREF _Toc129078252 \h </w:instrText>
      </w:r>
      <w:r>
        <w:fldChar w:fldCharType="separate"/>
      </w:r>
      <w:r>
        <w:t>437</w:t>
      </w:r>
      <w:r>
        <w:fldChar w:fldCharType="end"/>
      </w:r>
    </w:p>
    <w:p>
      <w:pPr>
        <w:pStyle w:val="TOC8"/>
        <w:rPr>
          <w:rFonts w:asciiTheme="minorHAnsi" w:eastAsiaTheme="minorEastAsia" w:hAnsiTheme="minorHAnsi" w:cstheme="minorBidi"/>
          <w:szCs w:val="22"/>
        </w:rPr>
      </w:pPr>
      <w:r>
        <w:t>3.</w:t>
      </w:r>
      <w:r>
        <w:tab/>
        <w:t>Documents must be filed using ECMS</w:t>
      </w:r>
      <w:r>
        <w:tab/>
      </w:r>
      <w:r>
        <w:fldChar w:fldCharType="begin"/>
      </w:r>
      <w:r>
        <w:instrText xml:space="preserve"> PAGEREF _Toc129078253 \h </w:instrText>
      </w:r>
      <w:r>
        <w:fldChar w:fldCharType="separate"/>
      </w:r>
      <w:r>
        <w:t>438</w:t>
      </w:r>
      <w:r>
        <w:fldChar w:fldCharType="end"/>
      </w:r>
    </w:p>
    <w:p>
      <w:pPr>
        <w:pStyle w:val="TOC8"/>
        <w:rPr>
          <w:rFonts w:asciiTheme="minorHAnsi" w:eastAsiaTheme="minorEastAsia" w:hAnsiTheme="minorHAnsi" w:cstheme="minorBidi"/>
          <w:szCs w:val="22"/>
        </w:rPr>
      </w:pPr>
      <w:r>
        <w:t>4.</w:t>
      </w:r>
      <w:r>
        <w:tab/>
        <w:t>Documents presented for filing using ECMS or email</w:t>
      </w:r>
      <w:r>
        <w:tab/>
      </w:r>
      <w:r>
        <w:fldChar w:fldCharType="begin"/>
      </w:r>
      <w:r>
        <w:instrText xml:space="preserve"> PAGEREF _Toc129078254 \h </w:instrText>
      </w:r>
      <w:r>
        <w:fldChar w:fldCharType="separate"/>
      </w:r>
      <w:r>
        <w:t>440</w:t>
      </w:r>
      <w:r>
        <w:fldChar w:fldCharType="end"/>
      </w:r>
    </w:p>
    <w:p>
      <w:pPr>
        <w:pStyle w:val="TOC8"/>
        <w:rPr>
          <w:rFonts w:asciiTheme="minorHAnsi" w:eastAsiaTheme="minorEastAsia" w:hAnsiTheme="minorHAnsi" w:cstheme="minorBidi"/>
          <w:szCs w:val="22"/>
        </w:rPr>
      </w:pPr>
      <w:r>
        <w:t>5.</w:t>
      </w:r>
      <w:r>
        <w:tab/>
        <w:t>Delivering documents for filing</w:t>
      </w:r>
      <w:r>
        <w:tab/>
      </w:r>
      <w:r>
        <w:fldChar w:fldCharType="begin"/>
      </w:r>
      <w:r>
        <w:instrText xml:space="preserve"> PAGEREF _Toc129078255 \h </w:instrText>
      </w:r>
      <w:r>
        <w:fldChar w:fldCharType="separate"/>
      </w:r>
      <w:r>
        <w:t>442</w:t>
      </w:r>
      <w:r>
        <w:fldChar w:fldCharType="end"/>
      </w:r>
    </w:p>
    <w:p>
      <w:pPr>
        <w:pStyle w:val="TOC8"/>
        <w:rPr>
          <w:rFonts w:asciiTheme="minorHAnsi" w:eastAsiaTheme="minorEastAsia" w:hAnsiTheme="minorHAnsi" w:cstheme="minorBidi"/>
          <w:szCs w:val="22"/>
        </w:rPr>
      </w:pPr>
      <w:r>
        <w:t>6.</w:t>
      </w:r>
      <w:r>
        <w:tab/>
        <w:t>Posting documents for filing</w:t>
      </w:r>
      <w:r>
        <w:tab/>
      </w:r>
      <w:r>
        <w:fldChar w:fldCharType="begin"/>
      </w:r>
      <w:r>
        <w:instrText xml:space="preserve"> PAGEREF _Toc129078256 \h </w:instrText>
      </w:r>
      <w:r>
        <w:fldChar w:fldCharType="separate"/>
      </w:r>
      <w:r>
        <w:t>442</w:t>
      </w:r>
      <w:r>
        <w:fldChar w:fldCharType="end"/>
      </w:r>
    </w:p>
    <w:p>
      <w:pPr>
        <w:pStyle w:val="TOC8"/>
        <w:rPr>
          <w:rFonts w:asciiTheme="minorHAnsi" w:eastAsiaTheme="minorEastAsia" w:hAnsiTheme="minorHAnsi" w:cstheme="minorBidi"/>
          <w:szCs w:val="22"/>
        </w:rPr>
      </w:pPr>
      <w:r>
        <w:t>7.</w:t>
      </w:r>
      <w:r>
        <w:tab/>
        <w:t>Faxing documents for filing</w:t>
      </w:r>
      <w:r>
        <w:tab/>
      </w:r>
      <w:r>
        <w:fldChar w:fldCharType="begin"/>
      </w:r>
      <w:r>
        <w:instrText xml:space="preserve"> PAGEREF _Toc129078257 \h </w:instrText>
      </w:r>
      <w:r>
        <w:fldChar w:fldCharType="separate"/>
      </w:r>
      <w:r>
        <w:t>443</w:t>
      </w:r>
      <w:r>
        <w:fldChar w:fldCharType="end"/>
      </w:r>
    </w:p>
    <w:p>
      <w:pPr>
        <w:pStyle w:val="TOC8"/>
        <w:rPr>
          <w:rFonts w:asciiTheme="minorHAnsi" w:eastAsiaTheme="minorEastAsia" w:hAnsiTheme="minorHAnsi" w:cstheme="minorBidi"/>
          <w:szCs w:val="22"/>
        </w:rPr>
      </w:pPr>
      <w:r>
        <w:t>8.</w:t>
      </w:r>
      <w:r>
        <w:tab/>
        <w:t>How filed paper documents are to be dealt with</w:t>
      </w:r>
      <w:r>
        <w:tab/>
      </w:r>
      <w:r>
        <w:fldChar w:fldCharType="begin"/>
      </w:r>
      <w:r>
        <w:instrText xml:space="preserve"> PAGEREF _Toc129078258 \h </w:instrText>
      </w:r>
      <w:r>
        <w:fldChar w:fldCharType="separate"/>
      </w:r>
      <w:r>
        <w:t>445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Documents containing sensitive information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_Toc129078260 \h </w:instrText>
      </w:r>
      <w:r>
        <w:fldChar w:fldCharType="separate"/>
      </w:r>
      <w:r>
        <w:t>446</w:t>
      </w:r>
      <w:r>
        <w:fldChar w:fldCharType="end"/>
      </w:r>
    </w:p>
    <w:p>
      <w:pPr>
        <w:pStyle w:val="TOC8"/>
        <w:rPr>
          <w:rFonts w:asciiTheme="minorHAnsi" w:eastAsiaTheme="minorEastAsia" w:hAnsiTheme="minorHAnsi" w:cstheme="minorBidi"/>
          <w:szCs w:val="22"/>
        </w:rPr>
      </w:pPr>
      <w:r>
        <w:t>10.</w:t>
      </w:r>
      <w:r>
        <w:tab/>
        <w:t>Person to advise Court if filing sensitive document</w:t>
      </w:r>
      <w:r>
        <w:tab/>
      </w:r>
      <w:r>
        <w:fldChar w:fldCharType="begin"/>
      </w:r>
      <w:r>
        <w:instrText xml:space="preserve"> PAGEREF _Toc129078261 \h </w:instrText>
      </w:r>
      <w:r>
        <w:fldChar w:fldCharType="separate"/>
      </w:r>
      <w:r>
        <w:t>446</w:t>
      </w:r>
      <w:r>
        <w:fldChar w:fldCharType="end"/>
      </w:r>
    </w:p>
    <w:p>
      <w:pPr>
        <w:pStyle w:val="TOC8"/>
        <w:rPr>
          <w:rFonts w:asciiTheme="minorHAnsi" w:eastAsiaTheme="minorEastAsia" w:hAnsiTheme="minorHAnsi" w:cstheme="minorBidi"/>
          <w:szCs w:val="22"/>
        </w:rPr>
      </w:pPr>
      <w:r>
        <w:t>11.</w:t>
      </w:r>
      <w:r>
        <w:tab/>
        <w:t>Documents containing restricted information</w:t>
      </w:r>
      <w:r>
        <w:tab/>
      </w:r>
      <w:r>
        <w:fldChar w:fldCharType="begin"/>
      </w:r>
      <w:r>
        <w:instrText xml:space="preserve"> PAGEREF _Toc129078262 \h </w:instrText>
      </w:r>
      <w:r>
        <w:fldChar w:fldCharType="separate"/>
      </w:r>
      <w:r>
        <w:t>448</w:t>
      </w:r>
      <w:r>
        <w:fldChar w:fldCharType="end"/>
      </w:r>
    </w:p>
    <w:p>
      <w:pPr>
        <w:pStyle w:val="TOC8"/>
        <w:rPr>
          <w:rFonts w:asciiTheme="minorHAnsi" w:eastAsiaTheme="minorEastAsia" w:hAnsiTheme="minorHAnsi" w:cstheme="minorBidi"/>
          <w:szCs w:val="22"/>
        </w:rPr>
      </w:pPr>
      <w:r>
        <w:t>12.</w:t>
      </w:r>
      <w:r>
        <w:tab/>
        <w:t>Documents containing information to which access should be restricted</w:t>
      </w:r>
      <w:r>
        <w:tab/>
      </w:r>
      <w:r>
        <w:fldChar w:fldCharType="begin"/>
      </w:r>
      <w:r>
        <w:instrText xml:space="preserve"> PAGEREF _Toc129078263 \h </w:instrText>
      </w:r>
      <w:r>
        <w:fldChar w:fldCharType="separate"/>
      </w:r>
      <w:r>
        <w:t>450</w:t>
      </w:r>
      <w:r>
        <w:fldChar w:fldCharType="end"/>
      </w:r>
    </w:p>
    <w:p>
      <w:pPr>
        <w:pStyle w:val="TOC8"/>
        <w:rPr>
          <w:rFonts w:asciiTheme="minorHAnsi" w:eastAsiaTheme="minorEastAsia" w:hAnsiTheme="minorHAnsi" w:cstheme="minorBidi"/>
          <w:szCs w:val="22"/>
        </w:rPr>
      </w:pPr>
      <w:r>
        <w:t>13.</w:t>
      </w:r>
      <w:r>
        <w:tab/>
        <w:t>Restricted documents</w:t>
      </w:r>
      <w:r>
        <w:tab/>
      </w:r>
      <w:r>
        <w:fldChar w:fldCharType="begin"/>
      </w:r>
      <w:r>
        <w:instrText xml:space="preserve"> PAGEREF _Toc129078264 \h </w:instrText>
      </w:r>
      <w:r>
        <w:fldChar w:fldCharType="separate"/>
      </w:r>
      <w:r>
        <w:t>451</w:t>
      </w:r>
      <w:r>
        <w:fldChar w:fldCharType="end"/>
      </w:r>
    </w:p>
    <w:p>
      <w:pPr>
        <w:pStyle w:val="TOC8"/>
        <w:rPr>
          <w:rFonts w:asciiTheme="minorHAnsi" w:eastAsiaTheme="minorEastAsia" w:hAnsiTheme="minorHAnsi" w:cstheme="minorBidi"/>
          <w:szCs w:val="22"/>
        </w:rPr>
      </w:pPr>
      <w:r>
        <w:t>14.</w:t>
      </w:r>
      <w:r>
        <w:tab/>
        <w:t>Documents that are not to be accessible to judiciary</w:t>
      </w:r>
      <w:r>
        <w:tab/>
      </w:r>
      <w:r>
        <w:fldChar w:fldCharType="begin"/>
      </w:r>
      <w:r>
        <w:instrText xml:space="preserve"> PAGEREF _Toc129078265 \h </w:instrText>
      </w:r>
      <w:r>
        <w:fldChar w:fldCharType="separate"/>
      </w:r>
      <w:r>
        <w:t>453</w:t>
      </w:r>
      <w:r>
        <w:fldChar w:fldCharType="end"/>
      </w:r>
    </w:p>
    <w:p>
      <w:pPr>
        <w:pStyle w:val="TOC4"/>
        <w:tabs>
          <w:tab w:val="right" w:leader="dot" w:pos="7077"/>
        </w:tabs>
        <w:rPr>
          <w:rFonts w:asciiTheme="minorHAnsi" w:eastAsiaTheme="minorEastAsia" w:hAnsiTheme="minorHAnsi" w:cstheme="minorBidi"/>
          <w:b w:val="0"/>
          <w:szCs w:val="22"/>
        </w:rPr>
      </w:pPr>
      <w:r>
        <w:t>Division 4 — Miscellaneous matters</w:t>
      </w:r>
    </w:p>
    <w:p>
      <w:pPr>
        <w:pStyle w:val="TOC8"/>
        <w:rPr>
          <w:rFonts w:asciiTheme="minorHAnsi" w:eastAsiaTheme="minorEastAsia" w:hAnsiTheme="minorHAnsi" w:cstheme="minorBidi"/>
          <w:szCs w:val="22"/>
        </w:rPr>
      </w:pPr>
      <w:r>
        <w:t>15.</w:t>
      </w:r>
      <w:r>
        <w:tab/>
        <w:t>Principal Registrar may delegate</w:t>
      </w:r>
      <w:r>
        <w:tab/>
      </w:r>
      <w:r>
        <w:fldChar w:fldCharType="begin"/>
      </w:r>
      <w:r>
        <w:instrText xml:space="preserve"> PAGEREF _Toc129078267 \h </w:instrText>
      </w:r>
      <w:r>
        <w:fldChar w:fldCharType="separate"/>
      </w:r>
      <w:r>
        <w:t>454</w:t>
      </w:r>
      <w:r>
        <w:fldChar w:fldCharType="end"/>
      </w:r>
    </w:p>
    <w:p>
      <w:pPr>
        <w:pStyle w:val="TOC8"/>
        <w:rPr>
          <w:rFonts w:asciiTheme="minorHAnsi" w:eastAsiaTheme="minorEastAsia" w:hAnsiTheme="minorHAnsi" w:cstheme="minorBidi"/>
          <w:szCs w:val="22"/>
        </w:rPr>
      </w:pPr>
      <w:r>
        <w:t>16.</w:t>
      </w:r>
      <w:r>
        <w:tab/>
        <w:t>Principal Registrar may refer matters to judge or master</w:t>
      </w:r>
      <w:r>
        <w:tab/>
      </w:r>
      <w:r>
        <w:fldChar w:fldCharType="begin"/>
      </w:r>
      <w:r>
        <w:instrText xml:space="preserve"> PAGEREF _Toc129078268 \h </w:instrText>
      </w:r>
      <w:r>
        <w:fldChar w:fldCharType="separate"/>
      </w:r>
      <w:r>
        <w:t>454</w:t>
      </w:r>
      <w:r>
        <w:fldChar w:fldCharType="end"/>
      </w:r>
    </w:p>
    <w:p>
      <w:pPr>
        <w:pStyle w:val="TOC8"/>
        <w:rPr>
          <w:rFonts w:asciiTheme="minorHAnsi" w:eastAsiaTheme="minorEastAsia" w:hAnsiTheme="minorHAnsi" w:cstheme="minorBidi"/>
          <w:szCs w:val="22"/>
        </w:rPr>
      </w:pPr>
      <w:r>
        <w:t>17.</w:t>
      </w:r>
      <w:r>
        <w:tab/>
        <w:t>Appeals from decisions made under this Order</w:t>
      </w:r>
      <w:r>
        <w:tab/>
      </w:r>
      <w:r>
        <w:fldChar w:fldCharType="begin"/>
      </w:r>
      <w:r>
        <w:instrText xml:space="preserve"> PAGEREF _Toc129078269 \h </w:instrText>
      </w:r>
      <w:r>
        <w:fldChar w:fldCharType="separate"/>
      </w:r>
      <w:r>
        <w:t>455</w:t>
      </w:r>
      <w:r>
        <w:fldChar w:fldCharType="end"/>
      </w:r>
    </w:p>
    <w:p>
      <w:pPr>
        <w:pStyle w:val="TOC2"/>
        <w:tabs>
          <w:tab w:val="right" w:leader="dot" w:pos="7077"/>
        </w:tabs>
        <w:rPr>
          <w:rFonts w:asciiTheme="minorHAnsi" w:eastAsiaTheme="minorEastAsia" w:hAnsiTheme="minorHAnsi" w:cstheme="minorBidi"/>
          <w:b w:val="0"/>
          <w:sz w:val="22"/>
          <w:szCs w:val="22"/>
        </w:rPr>
      </w:pPr>
      <w:r>
        <w:t>Order 67B</w:t>
      </w:r>
      <w:r>
        <w:rPr>
          <w:b w:val="0"/>
        </w:rPr>
        <w:t> </w:t>
      </w:r>
      <w:r>
        <w:t>—</w:t>
      </w:r>
      <w:r>
        <w:rPr>
          <w:b w:val="0"/>
        </w:rPr>
        <w:t> </w:t>
      </w:r>
      <w:r>
        <w:t>Access to information and things held by the Court</w:t>
      </w:r>
    </w:p>
    <w:p>
      <w:pPr>
        <w:pStyle w:val="TOC4"/>
        <w:tabs>
          <w:tab w:val="right" w:leader="dot" w:pos="7077"/>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_Toc129078272 \h </w:instrText>
      </w:r>
      <w:r>
        <w:fldChar w:fldCharType="separate"/>
      </w:r>
      <w:r>
        <w:t>456</w:t>
      </w:r>
      <w:r>
        <w:fldChar w:fldCharType="end"/>
      </w:r>
    </w:p>
    <w:p>
      <w:pPr>
        <w:pStyle w:val="TOC8"/>
        <w:rPr>
          <w:rFonts w:asciiTheme="minorHAnsi" w:eastAsiaTheme="minorEastAsia" w:hAnsiTheme="minorHAnsi" w:cstheme="minorBidi"/>
          <w:szCs w:val="22"/>
        </w:rPr>
      </w:pPr>
      <w:r>
        <w:t>2.</w:t>
      </w:r>
      <w:r>
        <w:tab/>
        <w:t>Application of this Order</w:t>
      </w:r>
      <w:r>
        <w:tab/>
      </w:r>
      <w:r>
        <w:fldChar w:fldCharType="begin"/>
      </w:r>
      <w:r>
        <w:instrText xml:space="preserve"> PAGEREF _Toc129078273 \h </w:instrText>
      </w:r>
      <w:r>
        <w:fldChar w:fldCharType="separate"/>
      </w:r>
      <w:r>
        <w:t>457</w:t>
      </w:r>
      <w:r>
        <w:fldChar w:fldCharType="end"/>
      </w:r>
    </w:p>
    <w:p>
      <w:pPr>
        <w:pStyle w:val="TOC8"/>
        <w:rPr>
          <w:rFonts w:asciiTheme="minorHAnsi" w:eastAsiaTheme="minorEastAsia" w:hAnsiTheme="minorHAnsi" w:cstheme="minorBidi"/>
          <w:szCs w:val="22"/>
        </w:rPr>
      </w:pPr>
      <w:r>
        <w:t>3.</w:t>
      </w:r>
      <w:r>
        <w:tab/>
        <w:t>Access to information and things under other legislation</w:t>
      </w:r>
      <w:r>
        <w:tab/>
      </w:r>
      <w:r>
        <w:fldChar w:fldCharType="begin"/>
      </w:r>
      <w:r>
        <w:instrText xml:space="preserve"> PAGEREF _Toc129078274 \h </w:instrText>
      </w:r>
      <w:r>
        <w:fldChar w:fldCharType="separate"/>
      </w:r>
      <w:r>
        <w:t>458</w:t>
      </w:r>
      <w:r>
        <w:fldChar w:fldCharType="end"/>
      </w:r>
    </w:p>
    <w:p>
      <w:pPr>
        <w:pStyle w:val="TOC8"/>
        <w:rPr>
          <w:rFonts w:asciiTheme="minorHAnsi" w:eastAsiaTheme="minorEastAsia" w:hAnsiTheme="minorHAnsi" w:cstheme="minorBidi"/>
          <w:szCs w:val="22"/>
        </w:rPr>
      </w:pPr>
      <w:r>
        <w:t>4.</w:t>
      </w:r>
      <w:r>
        <w:tab/>
        <w:t>Order does not limit Court’s general power to release information</w:t>
      </w:r>
      <w:r>
        <w:tab/>
      </w:r>
      <w:r>
        <w:fldChar w:fldCharType="begin"/>
      </w:r>
      <w:r>
        <w:instrText xml:space="preserve"> PAGEREF _Toc129078275 \h </w:instrText>
      </w:r>
      <w:r>
        <w:fldChar w:fldCharType="separate"/>
      </w:r>
      <w:r>
        <w:t>458</w:t>
      </w:r>
      <w:r>
        <w:fldChar w:fldCharType="end"/>
      </w:r>
    </w:p>
    <w:p>
      <w:pPr>
        <w:pStyle w:val="TOC4"/>
        <w:tabs>
          <w:tab w:val="right" w:leader="dot" w:pos="7077"/>
        </w:tabs>
        <w:rPr>
          <w:rFonts w:asciiTheme="minorHAnsi" w:eastAsiaTheme="minorEastAsia" w:hAnsiTheme="minorHAnsi" w:cstheme="minorBidi"/>
          <w:b w:val="0"/>
          <w:szCs w:val="22"/>
        </w:rPr>
      </w:pPr>
      <w:r>
        <w:t>Division 2 — Orders restricting access</w:t>
      </w:r>
    </w:p>
    <w:p>
      <w:pPr>
        <w:pStyle w:val="TOC8"/>
        <w:rPr>
          <w:rFonts w:asciiTheme="minorHAnsi" w:eastAsiaTheme="minorEastAsia" w:hAnsiTheme="minorHAnsi" w:cstheme="minorBidi"/>
          <w:szCs w:val="22"/>
        </w:rPr>
      </w:pPr>
      <w:r>
        <w:t>5.</w:t>
      </w:r>
      <w:r>
        <w:tab/>
        <w:t>Court’s powers to restrict access</w:t>
      </w:r>
      <w:r>
        <w:tab/>
      </w:r>
      <w:r>
        <w:fldChar w:fldCharType="begin"/>
      </w:r>
      <w:r>
        <w:instrText xml:space="preserve"> PAGEREF _Toc129078277 \h </w:instrText>
      </w:r>
      <w:r>
        <w:fldChar w:fldCharType="separate"/>
      </w:r>
      <w:r>
        <w:t>458</w:t>
      </w:r>
      <w:r>
        <w:fldChar w:fldCharType="end"/>
      </w:r>
    </w:p>
    <w:p>
      <w:pPr>
        <w:pStyle w:val="TOC4"/>
        <w:tabs>
          <w:tab w:val="right" w:leader="dot" w:pos="7077"/>
        </w:tabs>
        <w:rPr>
          <w:rFonts w:asciiTheme="minorHAnsi" w:eastAsiaTheme="minorEastAsia" w:hAnsiTheme="minorHAnsi" w:cstheme="minorBidi"/>
          <w:b w:val="0"/>
          <w:szCs w:val="22"/>
        </w:rPr>
      </w:pPr>
      <w:r>
        <w:t>Division 3 — Entitlements to access</w:t>
      </w:r>
    </w:p>
    <w:p>
      <w:pPr>
        <w:pStyle w:val="TOC8"/>
        <w:rPr>
          <w:rFonts w:asciiTheme="minorHAnsi" w:eastAsiaTheme="minorEastAsia" w:hAnsiTheme="minorHAnsi" w:cstheme="minorBidi"/>
          <w:szCs w:val="22"/>
        </w:rPr>
      </w:pPr>
      <w:r>
        <w:t>6.</w:t>
      </w:r>
      <w:r>
        <w:tab/>
        <w:t>Entitlements of every person</w:t>
      </w:r>
      <w:r>
        <w:tab/>
      </w:r>
      <w:r>
        <w:fldChar w:fldCharType="begin"/>
      </w:r>
      <w:r>
        <w:instrText xml:space="preserve"> PAGEREF _Toc129078279 \h </w:instrText>
      </w:r>
      <w:r>
        <w:fldChar w:fldCharType="separate"/>
      </w:r>
      <w:r>
        <w:t>460</w:t>
      </w:r>
      <w:r>
        <w:fldChar w:fldCharType="end"/>
      </w:r>
    </w:p>
    <w:p>
      <w:pPr>
        <w:pStyle w:val="TOC8"/>
        <w:rPr>
          <w:rFonts w:asciiTheme="minorHAnsi" w:eastAsiaTheme="minorEastAsia" w:hAnsiTheme="minorHAnsi" w:cstheme="minorBidi"/>
          <w:szCs w:val="22"/>
        </w:rPr>
      </w:pPr>
      <w:r>
        <w:t>7.</w:t>
      </w:r>
      <w:r>
        <w:tab/>
        <w:t>Entitlements of parties</w:t>
      </w:r>
      <w:r>
        <w:tab/>
      </w:r>
      <w:r>
        <w:fldChar w:fldCharType="begin"/>
      </w:r>
      <w:r>
        <w:instrText xml:space="preserve"> PAGEREF _Toc129078280 \h </w:instrText>
      </w:r>
      <w:r>
        <w:fldChar w:fldCharType="separate"/>
      </w:r>
      <w:r>
        <w:t>464</w:t>
      </w:r>
      <w:r>
        <w:fldChar w:fldCharType="end"/>
      </w:r>
    </w:p>
    <w:p>
      <w:pPr>
        <w:pStyle w:val="TOC4"/>
        <w:tabs>
          <w:tab w:val="right" w:leader="dot" w:pos="7077"/>
        </w:tabs>
        <w:rPr>
          <w:rFonts w:asciiTheme="minorHAnsi" w:eastAsiaTheme="minorEastAsia" w:hAnsiTheme="minorHAnsi" w:cstheme="minorBidi"/>
          <w:b w:val="0"/>
          <w:szCs w:val="22"/>
        </w:rPr>
      </w:pPr>
      <w:r>
        <w:t>Division 4 — Access with the Court’s permission</w:t>
      </w:r>
    </w:p>
    <w:p>
      <w:pPr>
        <w:pStyle w:val="TOC8"/>
        <w:rPr>
          <w:rFonts w:asciiTheme="minorHAnsi" w:eastAsiaTheme="minorEastAsia" w:hAnsiTheme="minorHAnsi" w:cstheme="minorBidi"/>
          <w:szCs w:val="22"/>
        </w:rPr>
      </w:pPr>
      <w:r>
        <w:t>8.</w:t>
      </w:r>
      <w:r>
        <w:tab/>
        <w:t>Access with the Court’s permission</w:t>
      </w:r>
      <w:r>
        <w:tab/>
      </w:r>
      <w:r>
        <w:fldChar w:fldCharType="begin"/>
      </w:r>
      <w:r>
        <w:instrText xml:space="preserve"> PAGEREF _Toc129078282 \h </w:instrText>
      </w:r>
      <w:r>
        <w:fldChar w:fldCharType="separate"/>
      </w:r>
      <w:r>
        <w:t>465</w:t>
      </w:r>
      <w:r>
        <w:fldChar w:fldCharType="end"/>
      </w:r>
    </w:p>
    <w:p>
      <w:pPr>
        <w:pStyle w:val="TOC8"/>
        <w:rPr>
          <w:rFonts w:asciiTheme="minorHAnsi" w:eastAsiaTheme="minorEastAsia" w:hAnsiTheme="minorHAnsi" w:cstheme="minorBidi"/>
          <w:szCs w:val="22"/>
        </w:rPr>
      </w:pPr>
      <w:r>
        <w:t>9.</w:t>
      </w:r>
      <w:r>
        <w:tab/>
        <w:t>When Court can give permission</w:t>
      </w:r>
      <w:r>
        <w:tab/>
      </w:r>
      <w:r>
        <w:fldChar w:fldCharType="begin"/>
      </w:r>
      <w:r>
        <w:instrText xml:space="preserve"> PAGEREF _Toc129078283 \h </w:instrText>
      </w:r>
      <w:r>
        <w:fldChar w:fldCharType="separate"/>
      </w:r>
      <w:r>
        <w:t>465</w:t>
      </w:r>
      <w:r>
        <w:fldChar w:fldCharType="end"/>
      </w:r>
    </w:p>
    <w:p>
      <w:pPr>
        <w:pStyle w:val="TOC8"/>
        <w:rPr>
          <w:rFonts w:asciiTheme="minorHAnsi" w:eastAsiaTheme="minorEastAsia" w:hAnsiTheme="minorHAnsi" w:cstheme="minorBidi"/>
          <w:szCs w:val="22"/>
        </w:rPr>
      </w:pPr>
      <w:r>
        <w:t>10.</w:t>
      </w:r>
      <w:r>
        <w:tab/>
        <w:t>When media manager can give permission</w:t>
      </w:r>
      <w:r>
        <w:tab/>
      </w:r>
      <w:r>
        <w:fldChar w:fldCharType="begin"/>
      </w:r>
      <w:r>
        <w:instrText xml:space="preserve"> PAGEREF _Toc129078284 \h </w:instrText>
      </w:r>
      <w:r>
        <w:fldChar w:fldCharType="separate"/>
      </w:r>
      <w:r>
        <w:t>467</w:t>
      </w:r>
      <w:r>
        <w:fldChar w:fldCharType="end"/>
      </w:r>
    </w:p>
    <w:p>
      <w:pPr>
        <w:pStyle w:val="TOC4"/>
        <w:tabs>
          <w:tab w:val="right" w:leader="dot" w:pos="7077"/>
        </w:tabs>
        <w:rPr>
          <w:rFonts w:asciiTheme="minorHAnsi" w:eastAsiaTheme="minorEastAsia" w:hAnsiTheme="minorHAnsi" w:cstheme="minorBidi"/>
          <w:b w:val="0"/>
          <w:szCs w:val="22"/>
        </w:rPr>
      </w:pPr>
      <w:r>
        <w:t>Division 5 — Applications for access</w:t>
      </w:r>
    </w:p>
    <w:p>
      <w:pPr>
        <w:pStyle w:val="TOC8"/>
        <w:rPr>
          <w:rFonts w:asciiTheme="minorHAnsi" w:eastAsiaTheme="minorEastAsia" w:hAnsiTheme="minorHAnsi" w:cstheme="minorBidi"/>
          <w:szCs w:val="22"/>
        </w:rPr>
      </w:pPr>
      <w:r>
        <w:t>11.</w:t>
      </w:r>
      <w:r>
        <w:tab/>
        <w:t>Applying for access</w:t>
      </w:r>
      <w:r>
        <w:tab/>
      </w:r>
      <w:r>
        <w:fldChar w:fldCharType="begin"/>
      </w:r>
      <w:r>
        <w:instrText xml:space="preserve"> PAGEREF _Toc129078286 \h </w:instrText>
      </w:r>
      <w:r>
        <w:fldChar w:fldCharType="separate"/>
      </w:r>
      <w:r>
        <w:t>468</w:t>
      </w:r>
      <w:r>
        <w:fldChar w:fldCharType="end"/>
      </w:r>
    </w:p>
    <w:p>
      <w:pPr>
        <w:pStyle w:val="TOC8"/>
        <w:rPr>
          <w:rFonts w:asciiTheme="minorHAnsi" w:eastAsiaTheme="minorEastAsia" w:hAnsiTheme="minorHAnsi" w:cstheme="minorBidi"/>
          <w:szCs w:val="22"/>
        </w:rPr>
      </w:pPr>
      <w:r>
        <w:t>12.</w:t>
      </w:r>
      <w:r>
        <w:tab/>
        <w:t>Court’s powers as to applications for permission</w:t>
      </w:r>
      <w:r>
        <w:tab/>
      </w:r>
      <w:r>
        <w:fldChar w:fldCharType="begin"/>
      </w:r>
      <w:r>
        <w:instrText xml:space="preserve"> PAGEREF _Toc129078287 \h </w:instrText>
      </w:r>
      <w:r>
        <w:fldChar w:fldCharType="separate"/>
      </w:r>
      <w:r>
        <w:t>470</w:t>
      </w:r>
      <w:r>
        <w:fldChar w:fldCharType="end"/>
      </w:r>
    </w:p>
    <w:p>
      <w:pPr>
        <w:pStyle w:val="TOC8"/>
        <w:rPr>
          <w:rFonts w:asciiTheme="minorHAnsi" w:eastAsiaTheme="minorEastAsia" w:hAnsiTheme="minorHAnsi" w:cstheme="minorBidi"/>
          <w:szCs w:val="22"/>
        </w:rPr>
      </w:pPr>
      <w:r>
        <w:lastRenderedPageBreak/>
        <w:t>13.</w:t>
      </w:r>
      <w:r>
        <w:tab/>
        <w:t>How applications are determined</w:t>
      </w:r>
      <w:r>
        <w:tab/>
      </w:r>
      <w:r>
        <w:fldChar w:fldCharType="begin"/>
      </w:r>
      <w:r>
        <w:instrText xml:space="preserve"> PAGEREF _Toc129078288 \h </w:instrText>
      </w:r>
      <w:r>
        <w:fldChar w:fldCharType="separate"/>
      </w:r>
      <w:r>
        <w:t>470</w:t>
      </w:r>
      <w:r>
        <w:fldChar w:fldCharType="end"/>
      </w:r>
    </w:p>
    <w:p>
      <w:pPr>
        <w:pStyle w:val="TOC4"/>
        <w:tabs>
          <w:tab w:val="right" w:leader="dot" w:pos="7077"/>
        </w:tabs>
        <w:rPr>
          <w:rFonts w:asciiTheme="minorHAnsi" w:eastAsiaTheme="minorEastAsia" w:hAnsiTheme="minorHAnsi" w:cstheme="minorBidi"/>
          <w:b w:val="0"/>
          <w:szCs w:val="22"/>
        </w:rPr>
      </w:pPr>
      <w:r>
        <w:t>Division 6 — How access is given</w:t>
      </w:r>
    </w:p>
    <w:p>
      <w:pPr>
        <w:pStyle w:val="TOC8"/>
        <w:rPr>
          <w:rFonts w:asciiTheme="minorHAnsi" w:eastAsiaTheme="minorEastAsia" w:hAnsiTheme="minorHAnsi" w:cstheme="minorBidi"/>
          <w:szCs w:val="22"/>
        </w:rPr>
      </w:pPr>
      <w:r>
        <w:t>14.</w:t>
      </w:r>
      <w:r>
        <w:tab/>
        <w:t>How and when the Court gives access</w:t>
      </w:r>
      <w:r>
        <w:tab/>
      </w:r>
      <w:r>
        <w:fldChar w:fldCharType="begin"/>
      </w:r>
      <w:r>
        <w:instrText xml:space="preserve"> PAGEREF _Toc129078290 \h </w:instrText>
      </w:r>
      <w:r>
        <w:fldChar w:fldCharType="separate"/>
      </w:r>
      <w:r>
        <w:t>471</w:t>
      </w:r>
      <w:r>
        <w:fldChar w:fldCharType="end"/>
      </w:r>
    </w:p>
    <w:p>
      <w:pPr>
        <w:pStyle w:val="TOC4"/>
        <w:tabs>
          <w:tab w:val="right" w:leader="dot" w:pos="7077"/>
        </w:tabs>
        <w:rPr>
          <w:rFonts w:asciiTheme="minorHAnsi" w:eastAsiaTheme="minorEastAsia" w:hAnsiTheme="minorHAnsi" w:cstheme="minorBidi"/>
          <w:b w:val="0"/>
          <w:szCs w:val="22"/>
        </w:rPr>
      </w:pPr>
      <w:r>
        <w:t>Division 7 — Access by non</w:t>
      </w:r>
      <w:r>
        <w:noBreakHyphen/>
        <w:t>parties to documents in cases commenced before 1 March 2018</w:t>
      </w:r>
    </w:p>
    <w:p>
      <w:pPr>
        <w:pStyle w:val="TOC8"/>
        <w:rPr>
          <w:rFonts w:asciiTheme="minorHAnsi" w:eastAsiaTheme="minorEastAsia" w:hAnsiTheme="minorHAnsi" w:cstheme="minorBidi"/>
          <w:szCs w:val="22"/>
        </w:rPr>
      </w:pPr>
      <w:r>
        <w:t>15.</w:t>
      </w:r>
      <w:r>
        <w:tab/>
        <w:t>Application of this Division</w:t>
      </w:r>
      <w:r>
        <w:tab/>
      </w:r>
      <w:r>
        <w:fldChar w:fldCharType="begin"/>
      </w:r>
      <w:r>
        <w:instrText xml:space="preserve"> PAGEREF _Toc129078292 \h </w:instrText>
      </w:r>
      <w:r>
        <w:fldChar w:fldCharType="separate"/>
      </w:r>
      <w:r>
        <w:t>472</w:t>
      </w:r>
      <w:r>
        <w:fldChar w:fldCharType="end"/>
      </w:r>
    </w:p>
    <w:p>
      <w:pPr>
        <w:pStyle w:val="TOC8"/>
        <w:rPr>
          <w:rFonts w:asciiTheme="minorHAnsi" w:eastAsiaTheme="minorEastAsia" w:hAnsiTheme="minorHAnsi" w:cstheme="minorBidi"/>
          <w:szCs w:val="22"/>
        </w:rPr>
      </w:pPr>
      <w:r>
        <w:t>16.</w:t>
      </w:r>
      <w:r>
        <w:tab/>
        <w:t>Documents that can be inspected or copied</w:t>
      </w:r>
      <w:r>
        <w:tab/>
      </w:r>
      <w:r>
        <w:fldChar w:fldCharType="begin"/>
      </w:r>
      <w:r>
        <w:instrText xml:space="preserve"> PAGEREF _Toc129078293 \h </w:instrText>
      </w:r>
      <w:r>
        <w:fldChar w:fldCharType="separate"/>
      </w:r>
      <w:r>
        <w:t>473</w:t>
      </w:r>
      <w:r>
        <w:fldChar w:fldCharType="end"/>
      </w:r>
    </w:p>
    <w:p>
      <w:pPr>
        <w:pStyle w:val="TOC4"/>
        <w:tabs>
          <w:tab w:val="right" w:leader="dot" w:pos="7077"/>
        </w:tabs>
        <w:rPr>
          <w:rFonts w:asciiTheme="minorHAnsi" w:eastAsiaTheme="minorEastAsia" w:hAnsiTheme="minorHAnsi" w:cstheme="minorBidi"/>
          <w:b w:val="0"/>
          <w:szCs w:val="22"/>
        </w:rPr>
      </w:pPr>
      <w:r>
        <w:t>Division 8 — Miscellaneous matters</w:t>
      </w:r>
    </w:p>
    <w:p>
      <w:pPr>
        <w:pStyle w:val="TOC8"/>
        <w:rPr>
          <w:rFonts w:asciiTheme="minorHAnsi" w:eastAsiaTheme="minorEastAsia" w:hAnsiTheme="minorHAnsi" w:cstheme="minorBidi"/>
          <w:szCs w:val="22"/>
        </w:rPr>
      </w:pPr>
      <w:r>
        <w:t>17.</w:t>
      </w:r>
      <w:r>
        <w:tab/>
        <w:t>Registrars’ decisions may be dealt with by judge or master</w:t>
      </w:r>
      <w:r>
        <w:tab/>
      </w:r>
      <w:r>
        <w:fldChar w:fldCharType="begin"/>
      </w:r>
      <w:r>
        <w:instrText xml:space="preserve"> PAGEREF _Toc129078295 \h </w:instrText>
      </w:r>
      <w:r>
        <w:fldChar w:fldCharType="separate"/>
      </w:r>
      <w:r>
        <w:t>473</w:t>
      </w:r>
      <w:r>
        <w:fldChar w:fldCharType="end"/>
      </w:r>
    </w:p>
    <w:p>
      <w:pPr>
        <w:pStyle w:val="TOC2"/>
        <w:tabs>
          <w:tab w:val="right" w:leader="dot" w:pos="7077"/>
        </w:tabs>
        <w:rPr>
          <w:rFonts w:asciiTheme="minorHAnsi" w:eastAsiaTheme="minorEastAsia" w:hAnsiTheme="minorHAnsi" w:cstheme="minorBidi"/>
          <w:b w:val="0"/>
          <w:sz w:val="22"/>
          <w:szCs w:val="22"/>
        </w:rPr>
      </w:pPr>
      <w:r>
        <w:t>Order 68 — Sittings, vacations and office hours</w:t>
      </w:r>
    </w:p>
    <w:p>
      <w:pPr>
        <w:pStyle w:val="TOC8"/>
        <w:rPr>
          <w:rFonts w:asciiTheme="minorHAnsi" w:eastAsiaTheme="minorEastAsia" w:hAnsiTheme="minorHAnsi" w:cstheme="minorBidi"/>
          <w:szCs w:val="22"/>
        </w:rPr>
      </w:pPr>
      <w:r>
        <w:t>1</w:t>
      </w:r>
      <w:r>
        <w:rPr>
          <w:snapToGrid w:val="0"/>
        </w:rPr>
        <w:t>.</w:t>
      </w:r>
      <w:r>
        <w:rPr>
          <w:snapToGrid w:val="0"/>
        </w:rPr>
        <w:tab/>
        <w:t>Civil sittings</w:t>
      </w:r>
      <w:r>
        <w:tab/>
      </w:r>
      <w:r>
        <w:fldChar w:fldCharType="begin"/>
      </w:r>
      <w:r>
        <w:instrText xml:space="preserve"> PAGEREF _Toc129078297 \h </w:instrText>
      </w:r>
      <w:r>
        <w:fldChar w:fldCharType="separate"/>
      </w:r>
      <w:r>
        <w:t>475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Criminal sittings</w:t>
      </w:r>
      <w:r>
        <w:tab/>
      </w:r>
      <w:r>
        <w:fldChar w:fldCharType="begin"/>
      </w:r>
      <w:r>
        <w:instrText xml:space="preserve"> PAGEREF _Toc129078298 \h </w:instrText>
      </w:r>
      <w:r>
        <w:fldChar w:fldCharType="separate"/>
      </w:r>
      <w:r>
        <w:t>475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Court vacations</w:t>
      </w:r>
      <w:r>
        <w:tab/>
      </w:r>
      <w:r>
        <w:fldChar w:fldCharType="begin"/>
      </w:r>
      <w:r>
        <w:instrText xml:space="preserve"> PAGEREF _Toc129078299 \h </w:instrText>
      </w:r>
      <w:r>
        <w:fldChar w:fldCharType="separate"/>
      </w:r>
      <w:r>
        <w:t>475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Days included in sitting and vacation</w:t>
      </w:r>
      <w:r>
        <w:tab/>
      </w:r>
      <w:r>
        <w:fldChar w:fldCharType="begin"/>
      </w:r>
      <w:r>
        <w:instrText xml:space="preserve"> PAGEREF _Toc129078300 \h </w:instrText>
      </w:r>
      <w:r>
        <w:fldChar w:fldCharType="separate"/>
      </w:r>
      <w:r>
        <w:t>476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When Court’s offices are open</w:t>
      </w:r>
      <w:r>
        <w:tab/>
      </w:r>
      <w:r>
        <w:fldChar w:fldCharType="begin"/>
      </w:r>
      <w:r>
        <w:instrText xml:space="preserve"> PAGEREF _Toc129078301 \h </w:instrText>
      </w:r>
      <w:r>
        <w:fldChar w:fldCharType="separate"/>
      </w:r>
      <w:r>
        <w:t>476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Office hours</w:t>
      </w:r>
      <w:r>
        <w:tab/>
      </w:r>
      <w:r>
        <w:fldChar w:fldCharType="begin"/>
      </w:r>
      <w:r>
        <w:instrText xml:space="preserve"> PAGEREF _Toc129078302 \h </w:instrText>
      </w:r>
      <w:r>
        <w:fldChar w:fldCharType="separate"/>
      </w:r>
      <w:r>
        <w:t>476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Vacation Judge</w:t>
      </w:r>
      <w:r>
        <w:tab/>
      </w:r>
      <w:r>
        <w:fldChar w:fldCharType="begin"/>
      </w:r>
      <w:r>
        <w:instrText xml:space="preserve"> PAGEREF _Toc129078303 \h </w:instrText>
      </w:r>
      <w:r>
        <w:fldChar w:fldCharType="separate"/>
      </w:r>
      <w:r>
        <w:t>476</w:t>
      </w:r>
      <w:r>
        <w:fldChar w:fldCharType="end"/>
      </w:r>
    </w:p>
    <w:p>
      <w:pPr>
        <w:pStyle w:val="TOC2"/>
        <w:tabs>
          <w:tab w:val="right" w:leader="dot" w:pos="7077"/>
        </w:tabs>
        <w:rPr>
          <w:rFonts w:asciiTheme="minorHAnsi" w:eastAsiaTheme="minorEastAsia" w:hAnsiTheme="minorHAnsi" w:cstheme="minorBidi"/>
          <w:b w:val="0"/>
          <w:sz w:val="22"/>
          <w:szCs w:val="22"/>
        </w:rPr>
      </w:pPr>
      <w:r>
        <w:t>Order 69 — Paper, printing, notice, and copies</w:t>
      </w:r>
    </w:p>
    <w:p>
      <w:pPr>
        <w:pStyle w:val="TOC8"/>
        <w:rPr>
          <w:rFonts w:asciiTheme="minorHAnsi" w:eastAsiaTheme="minorEastAsia" w:hAnsiTheme="minorHAnsi" w:cstheme="minorBidi"/>
          <w:szCs w:val="22"/>
        </w:rPr>
      </w:pPr>
      <w:r>
        <w:t>1</w:t>
      </w:r>
      <w:r>
        <w:rPr>
          <w:snapToGrid w:val="0"/>
        </w:rPr>
        <w:t>.</w:t>
      </w:r>
      <w:r>
        <w:rPr>
          <w:snapToGrid w:val="0"/>
        </w:rPr>
        <w:tab/>
        <w:t>Printing of documents, rules as to</w:t>
      </w:r>
      <w:r>
        <w:tab/>
      </w:r>
      <w:r>
        <w:fldChar w:fldCharType="begin"/>
      </w:r>
      <w:r>
        <w:instrText xml:space="preserve"> PAGEREF _Toc129078305 \h </w:instrText>
      </w:r>
      <w:r>
        <w:fldChar w:fldCharType="separate"/>
      </w:r>
      <w:r>
        <w:t>477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Requirements as to documents prepared by parties</w:t>
      </w:r>
      <w:r>
        <w:tab/>
      </w:r>
      <w:r>
        <w:fldChar w:fldCharType="begin"/>
      </w:r>
      <w:r>
        <w:instrText xml:space="preserve"> PAGEREF _Toc129078306 \h </w:instrText>
      </w:r>
      <w:r>
        <w:fldChar w:fldCharType="separate"/>
      </w:r>
      <w:r>
        <w:t>477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Copies of documents for other parties</w:t>
      </w:r>
      <w:r>
        <w:tab/>
      </w:r>
      <w:r>
        <w:fldChar w:fldCharType="begin"/>
      </w:r>
      <w:r>
        <w:instrText xml:space="preserve"> PAGEREF _Toc129078307 \h </w:instrText>
      </w:r>
      <w:r>
        <w:fldChar w:fldCharType="separate"/>
      </w:r>
      <w:r>
        <w:t>480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Requirements as to copies</w:t>
      </w:r>
      <w:r>
        <w:tab/>
      </w:r>
      <w:r>
        <w:fldChar w:fldCharType="begin"/>
      </w:r>
      <w:r>
        <w:instrText xml:space="preserve"> PAGEREF _Toc129078308 \h </w:instrText>
      </w:r>
      <w:r>
        <w:fldChar w:fldCharType="separate"/>
      </w:r>
      <w:r>
        <w:t>480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_Toc129078309 \h </w:instrText>
      </w:r>
      <w:r>
        <w:fldChar w:fldCharType="separate"/>
      </w:r>
      <w:r>
        <w:t>481</w:t>
      </w:r>
      <w:r>
        <w:fldChar w:fldCharType="end"/>
      </w:r>
    </w:p>
    <w:p>
      <w:pPr>
        <w:pStyle w:val="TOC2"/>
        <w:tabs>
          <w:tab w:val="right" w:leader="dot" w:pos="7077"/>
        </w:tabs>
        <w:rPr>
          <w:rFonts w:asciiTheme="minorHAnsi" w:eastAsiaTheme="minorEastAsia" w:hAnsiTheme="minorHAnsi" w:cstheme="minorBidi"/>
          <w:b w:val="0"/>
          <w:sz w:val="22"/>
          <w:szCs w:val="22"/>
        </w:rPr>
      </w:pPr>
      <w:r>
        <w:t>Order 70 — Disability</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_Toc129078311 \h </w:instrText>
      </w:r>
      <w:r>
        <w:fldChar w:fldCharType="separate"/>
      </w:r>
      <w:r>
        <w:t>482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Persons under disability suing or defending</w:t>
      </w:r>
      <w:r>
        <w:tab/>
      </w:r>
      <w:r>
        <w:fldChar w:fldCharType="begin"/>
      </w:r>
      <w:r>
        <w:instrText xml:space="preserve"> PAGEREF _Toc129078312 \h </w:instrText>
      </w:r>
      <w:r>
        <w:fldChar w:fldCharType="separate"/>
      </w:r>
      <w:r>
        <w:t>482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Appointment of next friend or guardian </w:t>
      </w:r>
      <w:r>
        <w:rPr>
          <w:i/>
          <w:snapToGrid w:val="0"/>
        </w:rPr>
        <w:t>ad litem</w:t>
      </w:r>
      <w:r>
        <w:tab/>
      </w:r>
      <w:r>
        <w:fldChar w:fldCharType="begin"/>
      </w:r>
      <w:r>
        <w:instrText xml:space="preserve"> PAGEREF _Toc129078313 \h </w:instrText>
      </w:r>
      <w:r>
        <w:fldChar w:fldCharType="separate"/>
      </w:r>
      <w:r>
        <w:t>484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provisions for probate actions</w:t>
      </w:r>
      <w:r>
        <w:tab/>
      </w:r>
      <w:r>
        <w:fldChar w:fldCharType="begin"/>
      </w:r>
      <w:r>
        <w:instrText xml:space="preserve"> PAGEREF _Toc129078314 \h </w:instrText>
      </w:r>
      <w:r>
        <w:fldChar w:fldCharType="separate"/>
      </w:r>
      <w:r>
        <w:t>486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Procedure on no appearance by person under disability</w:t>
      </w:r>
      <w:r>
        <w:tab/>
      </w:r>
      <w:r>
        <w:fldChar w:fldCharType="begin"/>
      </w:r>
      <w:r>
        <w:instrText xml:space="preserve"> PAGEREF _Toc129078315 \h </w:instrText>
      </w:r>
      <w:r>
        <w:fldChar w:fldCharType="separate"/>
      </w:r>
      <w:r>
        <w:t>488</w:t>
      </w:r>
      <w:r>
        <w:fldChar w:fldCharType="end"/>
      </w:r>
    </w:p>
    <w:p>
      <w:pPr>
        <w:pStyle w:val="TOC8"/>
        <w:rPr>
          <w:rFonts w:asciiTheme="minorHAnsi" w:eastAsiaTheme="minorEastAsia" w:hAnsiTheme="minorHAnsi" w:cstheme="minorBidi"/>
          <w:szCs w:val="22"/>
        </w:rPr>
      </w:pPr>
      <w:r>
        <w:lastRenderedPageBreak/>
        <w:t>6</w:t>
      </w:r>
      <w:r>
        <w:rPr>
          <w:snapToGrid w:val="0"/>
        </w:rPr>
        <w:t>.</w:t>
      </w:r>
      <w:r>
        <w:rPr>
          <w:snapToGrid w:val="0"/>
        </w:rPr>
        <w:tab/>
        <w:t>Time for application by person under disability to discharge or vary order under O. 18 r. 7</w:t>
      </w:r>
      <w:r>
        <w:tab/>
      </w:r>
      <w:r>
        <w:fldChar w:fldCharType="begin"/>
      </w:r>
      <w:r>
        <w:instrText xml:space="preserve"> PAGEREF _Toc129078316 \h </w:instrText>
      </w:r>
      <w:r>
        <w:fldChar w:fldCharType="separate"/>
      </w:r>
      <w:r>
        <w:t>490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Removal of next friend or guardian</w:t>
      </w:r>
      <w:r>
        <w:tab/>
      </w:r>
      <w:r>
        <w:fldChar w:fldCharType="begin"/>
      </w:r>
      <w:r>
        <w:instrText xml:space="preserve"> PAGEREF _Toc129078317 \h </w:instrText>
      </w:r>
      <w:r>
        <w:fldChar w:fldCharType="separate"/>
      </w:r>
      <w:r>
        <w:t>490</w:t>
      </w:r>
      <w:r>
        <w:fldChar w:fldCharType="end"/>
      </w:r>
    </w:p>
    <w:p>
      <w:pPr>
        <w:pStyle w:val="TOC8"/>
        <w:rPr>
          <w:rFonts w:asciiTheme="minorHAnsi" w:eastAsiaTheme="minorEastAsia" w:hAnsiTheme="minorHAnsi" w:cstheme="minorBidi"/>
          <w:szCs w:val="22"/>
        </w:rPr>
      </w:pPr>
      <w:r>
        <w:t>8.</w:t>
      </w:r>
      <w:r>
        <w:tab/>
        <w:t>No implied admission from pleading</w:t>
      </w:r>
      <w:r>
        <w:tab/>
      </w:r>
      <w:r>
        <w:fldChar w:fldCharType="begin"/>
      </w:r>
      <w:r>
        <w:instrText xml:space="preserve"> PAGEREF _Toc129078318 \h </w:instrText>
      </w:r>
      <w:r>
        <w:fldChar w:fldCharType="separate"/>
      </w:r>
      <w:r>
        <w:t>490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Discovery and interrogatories</w:t>
      </w:r>
      <w:r>
        <w:tab/>
      </w:r>
      <w:r>
        <w:fldChar w:fldCharType="begin"/>
      </w:r>
      <w:r>
        <w:instrText xml:space="preserve"> PAGEREF _Toc129078319 \h </w:instrText>
      </w:r>
      <w:r>
        <w:fldChar w:fldCharType="separate"/>
      </w:r>
      <w:r>
        <w:t>491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Settlement etc. of action by person under disability</w:t>
      </w:r>
      <w:r>
        <w:tab/>
      </w:r>
      <w:r>
        <w:fldChar w:fldCharType="begin"/>
      </w:r>
      <w:r>
        <w:instrText xml:space="preserve"> PAGEREF _Toc129078320 \h </w:instrText>
      </w:r>
      <w:r>
        <w:fldChar w:fldCharType="separate"/>
      </w:r>
      <w:r>
        <w:t>491</w:t>
      </w:r>
      <w:r>
        <w:fldChar w:fldCharType="end"/>
      </w:r>
    </w:p>
    <w:p>
      <w:pPr>
        <w:pStyle w:val="TOC8"/>
        <w:rPr>
          <w:rFonts w:asciiTheme="minorHAnsi" w:eastAsiaTheme="minorEastAsia" w:hAnsiTheme="minorHAnsi" w:cstheme="minorBidi"/>
          <w:szCs w:val="22"/>
        </w:rPr>
      </w:pPr>
      <w:r>
        <w:t>10A.</w:t>
      </w:r>
      <w:r>
        <w:tab/>
        <w:t>Settlement etc. of appeal by person under disability</w:t>
      </w:r>
      <w:r>
        <w:tab/>
      </w:r>
      <w:r>
        <w:fldChar w:fldCharType="begin"/>
      </w:r>
      <w:r>
        <w:instrText xml:space="preserve"> PAGEREF _Toc129078321 \h </w:instrText>
      </w:r>
      <w:r>
        <w:fldChar w:fldCharType="separate"/>
      </w:r>
      <w:r>
        <w:t>492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Settlement etc. before action commenced</w:t>
      </w:r>
      <w:r>
        <w:tab/>
      </w:r>
      <w:r>
        <w:fldChar w:fldCharType="begin"/>
      </w:r>
      <w:r>
        <w:instrText xml:space="preserve"> PAGEREF _Toc129078322 \h </w:instrText>
      </w:r>
      <w:r>
        <w:fldChar w:fldCharType="separate"/>
      </w:r>
      <w:r>
        <w:t>492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Control of money recovered for person under disability</w:t>
      </w:r>
      <w:r>
        <w:tab/>
      </w:r>
      <w:r>
        <w:fldChar w:fldCharType="begin"/>
      </w:r>
      <w:r>
        <w:instrText xml:space="preserve"> PAGEREF _Toc129078323 \h </w:instrText>
      </w:r>
      <w:r>
        <w:fldChar w:fldCharType="separate"/>
      </w:r>
      <w:r>
        <w:t>492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Personal service on person under disability</w:t>
      </w:r>
      <w:r>
        <w:tab/>
      </w:r>
      <w:r>
        <w:fldChar w:fldCharType="begin"/>
      </w:r>
      <w:r>
        <w:instrText xml:space="preserve"> PAGEREF _Toc129078324 \h </w:instrText>
      </w:r>
      <w:r>
        <w:fldChar w:fldCharType="separate"/>
      </w:r>
      <w:r>
        <w:t>493</w:t>
      </w:r>
      <w:r>
        <w:fldChar w:fldCharType="end"/>
      </w:r>
    </w:p>
    <w:p>
      <w:pPr>
        <w:pStyle w:val="TOC2"/>
        <w:tabs>
          <w:tab w:val="right" w:leader="dot" w:pos="7077"/>
        </w:tabs>
        <w:rPr>
          <w:rFonts w:asciiTheme="minorHAnsi" w:eastAsiaTheme="minorEastAsia" w:hAnsiTheme="minorHAnsi" w:cstheme="minorBidi"/>
          <w:b w:val="0"/>
          <w:sz w:val="22"/>
          <w:szCs w:val="22"/>
        </w:rPr>
      </w:pPr>
      <w:r>
        <w:t>Order 71 — Partners, business names</w:t>
      </w:r>
    </w:p>
    <w:p>
      <w:pPr>
        <w:pStyle w:val="TOC8"/>
        <w:rPr>
          <w:rFonts w:asciiTheme="minorHAnsi" w:eastAsiaTheme="minorEastAsia" w:hAnsiTheme="minorHAnsi" w:cstheme="minorBidi"/>
          <w:szCs w:val="22"/>
        </w:rPr>
      </w:pPr>
      <w:r>
        <w:t>1</w:t>
      </w:r>
      <w:r>
        <w:rPr>
          <w:snapToGrid w:val="0"/>
        </w:rPr>
        <w:t>.</w:t>
      </w:r>
      <w:r>
        <w:rPr>
          <w:snapToGrid w:val="0"/>
        </w:rPr>
        <w:tab/>
        <w:t>Partners may sue or be sued in name of firm</w:t>
      </w:r>
      <w:r>
        <w:tab/>
      </w:r>
      <w:r>
        <w:fldChar w:fldCharType="begin"/>
      </w:r>
      <w:r>
        <w:instrText xml:space="preserve"> PAGEREF _Toc129078326 \h </w:instrText>
      </w:r>
      <w:r>
        <w:fldChar w:fldCharType="separate"/>
      </w:r>
      <w:r>
        <w:t>495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Disclosure of partners’ names</w:t>
      </w:r>
      <w:r>
        <w:tab/>
      </w:r>
      <w:r>
        <w:fldChar w:fldCharType="begin"/>
      </w:r>
      <w:r>
        <w:instrText xml:space="preserve"> PAGEREF _Toc129078327 \h </w:instrText>
      </w:r>
      <w:r>
        <w:fldChar w:fldCharType="separate"/>
      </w:r>
      <w:r>
        <w:t>495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Service on firm</w:t>
      </w:r>
      <w:r>
        <w:tab/>
      </w:r>
      <w:r>
        <w:fldChar w:fldCharType="begin"/>
      </w:r>
      <w:r>
        <w:instrText xml:space="preserve"> PAGEREF _Toc129078328 \h </w:instrText>
      </w:r>
      <w:r>
        <w:fldChar w:fldCharType="separate"/>
      </w:r>
      <w:r>
        <w:t>496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Person served under r. 3 to be notified of character in which he is served</w:t>
      </w:r>
      <w:r>
        <w:tab/>
      </w:r>
      <w:r>
        <w:fldChar w:fldCharType="begin"/>
      </w:r>
      <w:r>
        <w:instrText xml:space="preserve"> PAGEREF _Toc129078329 \h </w:instrText>
      </w:r>
      <w:r>
        <w:fldChar w:fldCharType="separate"/>
      </w:r>
      <w:r>
        <w:t>496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Appearance of partners</w:t>
      </w:r>
      <w:r>
        <w:tab/>
      </w:r>
      <w:r>
        <w:fldChar w:fldCharType="begin"/>
      </w:r>
      <w:r>
        <w:instrText xml:space="preserve"> PAGEREF _Toc129078330 \h </w:instrText>
      </w:r>
      <w:r>
        <w:fldChar w:fldCharType="separate"/>
      </w:r>
      <w:r>
        <w:t>497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 appearance except by partners</w:t>
      </w:r>
      <w:r>
        <w:tab/>
      </w:r>
      <w:r>
        <w:fldChar w:fldCharType="begin"/>
      </w:r>
      <w:r>
        <w:instrText xml:space="preserve"> PAGEREF _Toc129078331 \h </w:instrText>
      </w:r>
      <w:r>
        <w:fldChar w:fldCharType="separate"/>
      </w:r>
      <w:r>
        <w:t>497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Appearance under protest of person served as partner</w:t>
      </w:r>
      <w:r>
        <w:tab/>
      </w:r>
      <w:r>
        <w:fldChar w:fldCharType="begin"/>
      </w:r>
      <w:r>
        <w:instrText xml:space="preserve"> PAGEREF _Toc129078332 \h </w:instrText>
      </w:r>
      <w:r>
        <w:fldChar w:fldCharType="separate"/>
      </w:r>
      <w:r>
        <w:t>497</w:t>
      </w:r>
      <w:r>
        <w:fldChar w:fldCharType="end"/>
      </w:r>
    </w:p>
    <w:p>
      <w:pPr>
        <w:pStyle w:val="TOC8"/>
        <w:rPr>
          <w:rFonts w:asciiTheme="minorHAnsi" w:eastAsiaTheme="minorEastAsia" w:hAnsiTheme="minorHAnsi" w:cstheme="minorBidi"/>
          <w:szCs w:val="22"/>
        </w:rPr>
      </w:pPr>
      <w:r>
        <w:t>9.</w:t>
      </w:r>
      <w:r>
        <w:tab/>
        <w:t>Rules 1 to 7 apply also to some actions between firm and its members etc.</w:t>
      </w:r>
      <w:r>
        <w:tab/>
      </w:r>
      <w:r>
        <w:fldChar w:fldCharType="begin"/>
      </w:r>
      <w:r>
        <w:instrText xml:space="preserve"> PAGEREF _Toc129078333 \h </w:instrText>
      </w:r>
      <w:r>
        <w:fldChar w:fldCharType="separate"/>
      </w:r>
      <w:r>
        <w:t>498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Rules 2 to 9 apply to proceedings begun by originating summons</w:t>
      </w:r>
      <w:r>
        <w:tab/>
      </w:r>
      <w:r>
        <w:fldChar w:fldCharType="begin"/>
      </w:r>
      <w:r>
        <w:instrText xml:space="preserve"> PAGEREF _Toc129078334 \h </w:instrText>
      </w:r>
      <w:r>
        <w:fldChar w:fldCharType="separate"/>
      </w:r>
      <w:r>
        <w:t>498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to person using business name</w:t>
      </w:r>
      <w:r>
        <w:tab/>
      </w:r>
      <w:r>
        <w:fldChar w:fldCharType="begin"/>
      </w:r>
      <w:r>
        <w:instrText xml:space="preserve"> PAGEREF _Toc129078335 \h </w:instrText>
      </w:r>
      <w:r>
        <w:fldChar w:fldCharType="separate"/>
      </w:r>
      <w:r>
        <w:t>498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to charge partner’s interest in partnership etc.</w:t>
      </w:r>
      <w:r>
        <w:tab/>
      </w:r>
      <w:r>
        <w:fldChar w:fldCharType="begin"/>
      </w:r>
      <w:r>
        <w:instrText xml:space="preserve"> PAGEREF _Toc129078336 \h </w:instrText>
      </w:r>
      <w:r>
        <w:fldChar w:fldCharType="separate"/>
      </w:r>
      <w:r>
        <w:t>499</w:t>
      </w:r>
      <w:r>
        <w:fldChar w:fldCharType="end"/>
      </w:r>
    </w:p>
    <w:p>
      <w:pPr>
        <w:pStyle w:val="TOC2"/>
        <w:tabs>
          <w:tab w:val="right" w:leader="dot" w:pos="7077"/>
        </w:tabs>
        <w:rPr>
          <w:rFonts w:asciiTheme="minorHAnsi" w:eastAsiaTheme="minorEastAsia" w:hAnsiTheme="minorHAnsi" w:cstheme="minorBidi"/>
          <w:b w:val="0"/>
          <w:sz w:val="22"/>
          <w:szCs w:val="22"/>
        </w:rPr>
      </w:pPr>
      <w:r>
        <w:t>Order 71A</w:t>
      </w:r>
      <w:r>
        <w:rPr>
          <w:b w:val="0"/>
        </w:rPr>
        <w:t> </w:t>
      </w:r>
      <w:r>
        <w:t>—</w:t>
      </w:r>
      <w:r>
        <w:rPr>
          <w:b w:val="0"/>
        </w:rPr>
        <w:t> </w:t>
      </w:r>
      <w:r>
        <w:t>Contact details of parties and others</w:t>
      </w:r>
    </w:p>
    <w:p>
      <w:pPr>
        <w:pStyle w:val="TOC8"/>
        <w:rPr>
          <w:rFonts w:asciiTheme="minorHAnsi" w:eastAsiaTheme="minorEastAsia" w:hAnsiTheme="minorHAnsi" w:cstheme="minorBidi"/>
          <w:szCs w:val="22"/>
        </w:rPr>
      </w:pPr>
      <w:r>
        <w:t>1.</w:t>
      </w:r>
      <w:r>
        <w:tab/>
        <w:t>Addresses of places, requirements for</w:t>
      </w:r>
      <w:r>
        <w:tab/>
      </w:r>
      <w:r>
        <w:fldChar w:fldCharType="begin"/>
      </w:r>
      <w:r>
        <w:instrText xml:space="preserve"> PAGEREF _Toc129078338 \h </w:instrText>
      </w:r>
      <w:r>
        <w:fldChar w:fldCharType="separate"/>
      </w:r>
      <w:r>
        <w:t>500</w:t>
      </w:r>
      <w:r>
        <w:fldChar w:fldCharType="end"/>
      </w:r>
    </w:p>
    <w:p>
      <w:pPr>
        <w:pStyle w:val="TOC8"/>
        <w:rPr>
          <w:rFonts w:asciiTheme="minorHAnsi" w:eastAsiaTheme="minorEastAsia" w:hAnsiTheme="minorHAnsi" w:cstheme="minorBidi"/>
          <w:szCs w:val="22"/>
        </w:rPr>
      </w:pPr>
      <w:r>
        <w:t>2.</w:t>
      </w:r>
      <w:r>
        <w:tab/>
        <w:t>Geographical addresses</w:t>
      </w:r>
      <w:r>
        <w:tab/>
      </w:r>
      <w:r>
        <w:fldChar w:fldCharType="begin"/>
      </w:r>
      <w:r>
        <w:instrText xml:space="preserve"> PAGEREF _Toc129078339 \h </w:instrText>
      </w:r>
      <w:r>
        <w:fldChar w:fldCharType="separate"/>
      </w:r>
      <w:r>
        <w:t>500</w:t>
      </w:r>
      <w:r>
        <w:fldChar w:fldCharType="end"/>
      </w:r>
    </w:p>
    <w:p>
      <w:pPr>
        <w:pStyle w:val="TOC8"/>
        <w:rPr>
          <w:rFonts w:asciiTheme="minorHAnsi" w:eastAsiaTheme="minorEastAsia" w:hAnsiTheme="minorHAnsi" w:cstheme="minorBidi"/>
          <w:szCs w:val="22"/>
        </w:rPr>
      </w:pPr>
      <w:r>
        <w:t>3A.</w:t>
      </w:r>
      <w:r>
        <w:tab/>
        <w:t>Court may dispense with requirement to state geographical address</w:t>
      </w:r>
      <w:r>
        <w:tab/>
      </w:r>
      <w:r>
        <w:fldChar w:fldCharType="begin"/>
      </w:r>
      <w:r>
        <w:instrText xml:space="preserve"> PAGEREF _Toc129078340 \h </w:instrText>
      </w:r>
      <w:r>
        <w:fldChar w:fldCharType="separate"/>
      </w:r>
      <w:r>
        <w:t>501</w:t>
      </w:r>
      <w:r>
        <w:fldChar w:fldCharType="end"/>
      </w:r>
    </w:p>
    <w:p>
      <w:pPr>
        <w:pStyle w:val="TOC8"/>
        <w:rPr>
          <w:rFonts w:asciiTheme="minorHAnsi" w:eastAsiaTheme="minorEastAsia" w:hAnsiTheme="minorHAnsi" w:cstheme="minorBidi"/>
          <w:szCs w:val="22"/>
        </w:rPr>
      </w:pPr>
      <w:r>
        <w:t>3.</w:t>
      </w:r>
      <w:r>
        <w:tab/>
        <w:t>Service details, meaning of</w:t>
      </w:r>
      <w:r>
        <w:tab/>
      </w:r>
      <w:r>
        <w:fldChar w:fldCharType="begin"/>
      </w:r>
      <w:r>
        <w:instrText xml:space="preserve"> PAGEREF _Toc129078341 \h </w:instrText>
      </w:r>
      <w:r>
        <w:fldChar w:fldCharType="separate"/>
      </w:r>
      <w:r>
        <w:t>502</w:t>
      </w:r>
      <w:r>
        <w:fldChar w:fldCharType="end"/>
      </w:r>
    </w:p>
    <w:p>
      <w:pPr>
        <w:pStyle w:val="TOC8"/>
        <w:rPr>
          <w:rFonts w:asciiTheme="minorHAnsi" w:eastAsiaTheme="minorEastAsia" w:hAnsiTheme="minorHAnsi" w:cstheme="minorBidi"/>
          <w:szCs w:val="22"/>
        </w:rPr>
      </w:pPr>
      <w:r>
        <w:t>4.</w:t>
      </w:r>
      <w:r>
        <w:tab/>
        <w:t>Documents without contact details to be rejected</w:t>
      </w:r>
      <w:r>
        <w:tab/>
      </w:r>
      <w:r>
        <w:fldChar w:fldCharType="begin"/>
      </w:r>
      <w:r>
        <w:instrText xml:space="preserve"> PAGEREF _Toc129078342 \h </w:instrText>
      </w:r>
      <w:r>
        <w:fldChar w:fldCharType="separate"/>
      </w:r>
      <w:r>
        <w:t>503</w:t>
      </w:r>
      <w:r>
        <w:fldChar w:fldCharType="end"/>
      </w:r>
    </w:p>
    <w:p>
      <w:pPr>
        <w:pStyle w:val="TOC8"/>
        <w:rPr>
          <w:rFonts w:asciiTheme="minorHAnsi" w:eastAsiaTheme="minorEastAsia" w:hAnsiTheme="minorHAnsi" w:cstheme="minorBidi"/>
          <w:szCs w:val="22"/>
        </w:rPr>
      </w:pPr>
      <w:r>
        <w:t>5.</w:t>
      </w:r>
      <w:r>
        <w:tab/>
        <w:t>Changes of information to be notified</w:t>
      </w:r>
      <w:r>
        <w:tab/>
      </w:r>
      <w:r>
        <w:fldChar w:fldCharType="begin"/>
      </w:r>
      <w:r>
        <w:instrText xml:space="preserve"> PAGEREF _Toc129078343 \h </w:instrText>
      </w:r>
      <w:r>
        <w:fldChar w:fldCharType="separate"/>
      </w:r>
      <w:r>
        <w:t>504</w:t>
      </w:r>
      <w:r>
        <w:fldChar w:fldCharType="end"/>
      </w:r>
    </w:p>
    <w:p>
      <w:pPr>
        <w:pStyle w:val="TOC8"/>
        <w:rPr>
          <w:rFonts w:asciiTheme="minorHAnsi" w:eastAsiaTheme="minorEastAsia" w:hAnsiTheme="minorHAnsi" w:cstheme="minorBidi"/>
          <w:szCs w:val="22"/>
        </w:rPr>
      </w:pPr>
      <w:r>
        <w:t>6.</w:t>
      </w:r>
      <w:r>
        <w:tab/>
        <w:t>Fictitious details in documents, court powers as to</w:t>
      </w:r>
      <w:r>
        <w:tab/>
      </w:r>
      <w:r>
        <w:fldChar w:fldCharType="begin"/>
      </w:r>
      <w:r>
        <w:instrText xml:space="preserve"> PAGEREF _Toc129078344 \h </w:instrText>
      </w:r>
      <w:r>
        <w:fldChar w:fldCharType="separate"/>
      </w:r>
      <w:r>
        <w:t>504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72 — Service of documents</w:t>
      </w:r>
    </w:p>
    <w:p>
      <w:pPr>
        <w:pStyle w:val="TOC8"/>
        <w:rPr>
          <w:rFonts w:asciiTheme="minorHAnsi" w:eastAsiaTheme="minorEastAsia" w:hAnsiTheme="minorHAnsi" w:cstheme="minorBidi"/>
          <w:szCs w:val="22"/>
        </w:rPr>
      </w:pPr>
      <w:r>
        <w:t>1</w:t>
      </w:r>
      <w:r>
        <w:rPr>
          <w:snapToGrid w:val="0"/>
        </w:rPr>
        <w:t>.</w:t>
      </w:r>
      <w:r>
        <w:rPr>
          <w:snapToGrid w:val="0"/>
        </w:rPr>
        <w:tab/>
        <w:t>When personal service required</w:t>
      </w:r>
      <w:r>
        <w:tab/>
      </w:r>
      <w:r>
        <w:fldChar w:fldCharType="begin"/>
      </w:r>
      <w:r>
        <w:instrText xml:space="preserve"> PAGEREF _Toc129078346 \h </w:instrText>
      </w:r>
      <w:r>
        <w:fldChar w:fldCharType="separate"/>
      </w:r>
      <w:r>
        <w:t>505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Personal service on individual</w:t>
      </w:r>
      <w:r>
        <w:tab/>
      </w:r>
      <w:r>
        <w:fldChar w:fldCharType="begin"/>
      </w:r>
      <w:r>
        <w:instrText xml:space="preserve"> PAGEREF _Toc129078347 \h </w:instrText>
      </w:r>
      <w:r>
        <w:fldChar w:fldCharType="separate"/>
      </w:r>
      <w:r>
        <w:t>505</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Personal service on body corporate</w:t>
      </w:r>
      <w:r>
        <w:tab/>
      </w:r>
      <w:r>
        <w:fldChar w:fldCharType="begin"/>
      </w:r>
      <w:r>
        <w:instrText xml:space="preserve"> PAGEREF _Toc129078348 \h </w:instrText>
      </w:r>
      <w:r>
        <w:fldChar w:fldCharType="separate"/>
      </w:r>
      <w:r>
        <w:t>505</w:t>
      </w:r>
      <w:r>
        <w:fldChar w:fldCharType="end"/>
      </w:r>
    </w:p>
    <w:p>
      <w:pPr>
        <w:pStyle w:val="TOC8"/>
        <w:rPr>
          <w:rFonts w:asciiTheme="minorHAnsi" w:eastAsiaTheme="minorEastAsia" w:hAnsiTheme="minorHAnsi" w:cstheme="minorBidi"/>
          <w:szCs w:val="22"/>
        </w:rPr>
      </w:pPr>
      <w:r>
        <w:t>3A.</w:t>
      </w:r>
      <w:r>
        <w:tab/>
        <w:t>Personal service on State</w:t>
      </w:r>
      <w:r>
        <w:tab/>
      </w:r>
      <w:r>
        <w:fldChar w:fldCharType="begin"/>
      </w:r>
      <w:r>
        <w:instrText xml:space="preserve"> PAGEREF _Toc129078349 \h </w:instrText>
      </w:r>
      <w:r>
        <w:fldChar w:fldCharType="separate"/>
      </w:r>
      <w:r>
        <w:t>506</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Substituted service</w:t>
      </w:r>
      <w:r>
        <w:tab/>
      </w:r>
      <w:r>
        <w:fldChar w:fldCharType="begin"/>
      </w:r>
      <w:r>
        <w:instrText xml:space="preserve"> PAGEREF _Toc129078350 \h </w:instrText>
      </w:r>
      <w:r>
        <w:fldChar w:fldCharType="separate"/>
      </w:r>
      <w:r>
        <w:t>506</w:t>
      </w:r>
      <w:r>
        <w:fldChar w:fldCharType="end"/>
      </w:r>
    </w:p>
    <w:p>
      <w:pPr>
        <w:pStyle w:val="TOC8"/>
        <w:rPr>
          <w:rFonts w:asciiTheme="minorHAnsi" w:eastAsiaTheme="minorEastAsia" w:hAnsiTheme="minorHAnsi" w:cstheme="minorBidi"/>
          <w:szCs w:val="22"/>
        </w:rPr>
      </w:pPr>
      <w:r>
        <w:t>5.</w:t>
      </w:r>
      <w:r>
        <w:tab/>
        <w:t>Ordinary service, how effected</w:t>
      </w:r>
      <w:r>
        <w:tab/>
      </w:r>
      <w:r>
        <w:fldChar w:fldCharType="begin"/>
      </w:r>
      <w:r>
        <w:instrText xml:space="preserve"> PAGEREF _Toc129078351 \h </w:instrText>
      </w:r>
      <w:r>
        <w:fldChar w:fldCharType="separate"/>
      </w:r>
      <w:r>
        <w:t>506</w:t>
      </w:r>
      <w:r>
        <w:fldChar w:fldCharType="end"/>
      </w:r>
    </w:p>
    <w:p>
      <w:pPr>
        <w:pStyle w:val="TOC8"/>
        <w:rPr>
          <w:rFonts w:asciiTheme="minorHAnsi" w:eastAsiaTheme="minorEastAsia" w:hAnsiTheme="minorHAnsi" w:cstheme="minorBidi"/>
          <w:szCs w:val="22"/>
        </w:rPr>
      </w:pPr>
      <w:r>
        <w:t>5A.</w:t>
      </w:r>
      <w:r>
        <w:tab/>
        <w:t>Ordinary service, when effected</w:t>
      </w:r>
      <w:r>
        <w:tab/>
      </w:r>
      <w:r>
        <w:fldChar w:fldCharType="begin"/>
      </w:r>
      <w:r>
        <w:instrText xml:space="preserve"> PAGEREF _Toc129078352 \h </w:instrText>
      </w:r>
      <w:r>
        <w:fldChar w:fldCharType="separate"/>
      </w:r>
      <w:r>
        <w:t>508</w:t>
      </w:r>
      <w:r>
        <w:fldChar w:fldCharType="end"/>
      </w:r>
    </w:p>
    <w:p>
      <w:pPr>
        <w:pStyle w:val="TOC8"/>
        <w:rPr>
          <w:rFonts w:asciiTheme="minorHAnsi" w:eastAsiaTheme="minorEastAsia" w:hAnsiTheme="minorHAnsi" w:cstheme="minorBidi"/>
          <w:szCs w:val="22"/>
        </w:rPr>
      </w:pPr>
      <w:r>
        <w:t>6.</w:t>
      </w:r>
      <w:r>
        <w:tab/>
        <w:t>Service of documents by Court</w:t>
      </w:r>
      <w:r>
        <w:tab/>
      </w:r>
      <w:r>
        <w:fldChar w:fldCharType="begin"/>
      </w:r>
      <w:r>
        <w:instrText xml:space="preserve"> PAGEREF _Toc129078353 \h </w:instrText>
      </w:r>
      <w:r>
        <w:fldChar w:fldCharType="separate"/>
      </w:r>
      <w:r>
        <w:t>509</w:t>
      </w:r>
      <w:r>
        <w:fldChar w:fldCharType="end"/>
      </w:r>
    </w:p>
    <w:p>
      <w:pPr>
        <w:pStyle w:val="TOC8"/>
        <w:rPr>
          <w:rFonts w:asciiTheme="minorHAnsi" w:eastAsiaTheme="minorEastAsia" w:hAnsiTheme="minorHAnsi" w:cstheme="minorBidi"/>
          <w:szCs w:val="22"/>
        </w:rPr>
      </w:pPr>
      <w:r>
        <w:t>6A.</w:t>
      </w:r>
      <w:r>
        <w:tab/>
        <w:t>Serving documents by email</w:t>
      </w:r>
      <w:r>
        <w:tab/>
      </w:r>
      <w:r>
        <w:fldChar w:fldCharType="begin"/>
      </w:r>
      <w:r>
        <w:instrText xml:space="preserve"> PAGEREF _Toc129078354 \h </w:instrText>
      </w:r>
      <w:r>
        <w:fldChar w:fldCharType="separate"/>
      </w:r>
      <w:r>
        <w:t>510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Affidavits of service, content of</w:t>
      </w:r>
      <w:r>
        <w:tab/>
      </w:r>
      <w:r>
        <w:fldChar w:fldCharType="begin"/>
      </w:r>
      <w:r>
        <w:instrText xml:space="preserve"> PAGEREF _Toc129078355 \h </w:instrText>
      </w:r>
      <w:r>
        <w:fldChar w:fldCharType="separate"/>
      </w:r>
      <w:r>
        <w:t>510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 service required in certain cases</w:t>
      </w:r>
      <w:r>
        <w:tab/>
      </w:r>
      <w:r>
        <w:fldChar w:fldCharType="begin"/>
      </w:r>
      <w:r>
        <w:instrText xml:space="preserve"> PAGEREF _Toc129078356 \h </w:instrText>
      </w:r>
      <w:r>
        <w:fldChar w:fldCharType="separate"/>
      </w:r>
      <w:r>
        <w:t>510</w:t>
      </w:r>
      <w:r>
        <w:fldChar w:fldCharType="end"/>
      </w:r>
    </w:p>
    <w:p>
      <w:pPr>
        <w:pStyle w:val="TOC2"/>
        <w:tabs>
          <w:tab w:val="right" w:leader="dot" w:pos="7077"/>
        </w:tabs>
        <w:rPr>
          <w:rFonts w:asciiTheme="minorHAnsi" w:eastAsiaTheme="minorEastAsia" w:hAnsiTheme="minorHAnsi" w:cstheme="minorBidi"/>
          <w:b w:val="0"/>
          <w:sz w:val="22"/>
          <w:szCs w:val="22"/>
        </w:rPr>
      </w:pPr>
      <w:r>
        <w:t>Order 73 — Probate proceedings</w:t>
      </w:r>
    </w:p>
    <w:p>
      <w:pPr>
        <w:pStyle w:val="TOC8"/>
        <w:rPr>
          <w:rFonts w:asciiTheme="minorHAnsi" w:eastAsiaTheme="minorEastAsia" w:hAnsiTheme="minorHAnsi" w:cstheme="minorBidi"/>
          <w:szCs w:val="22"/>
        </w:rPr>
      </w:pPr>
      <w:r>
        <w:t>1</w:t>
      </w:r>
      <w:r>
        <w:rPr>
          <w:snapToGrid w:val="0"/>
        </w:rPr>
        <w:t>.</w:t>
      </w:r>
      <w:r>
        <w:rPr>
          <w:snapToGrid w:val="0"/>
        </w:rPr>
        <w:tab/>
        <w:t>Application of this Order and terms used</w:t>
      </w:r>
      <w:r>
        <w:tab/>
      </w:r>
      <w:r>
        <w:fldChar w:fldCharType="begin"/>
      </w:r>
      <w:r>
        <w:instrText xml:space="preserve"> PAGEREF _Toc129078358 \h </w:instrText>
      </w:r>
      <w:r>
        <w:fldChar w:fldCharType="separate"/>
      </w:r>
      <w:r>
        <w:t>511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Commencing probate action</w:t>
      </w:r>
      <w:r>
        <w:tab/>
      </w:r>
      <w:r>
        <w:fldChar w:fldCharType="begin"/>
      </w:r>
      <w:r>
        <w:instrText xml:space="preserve"> PAGEREF _Toc129078359 \h </w:instrText>
      </w:r>
      <w:r>
        <w:fldChar w:fldCharType="separate"/>
      </w:r>
      <w:r>
        <w:t>511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Intervention by person who is not defendant</w:t>
      </w:r>
      <w:r>
        <w:tab/>
      </w:r>
      <w:r>
        <w:fldChar w:fldCharType="begin"/>
      </w:r>
      <w:r>
        <w:instrText xml:space="preserve"> PAGEREF _Toc129078360 \h </w:instrText>
      </w:r>
      <w:r>
        <w:fldChar w:fldCharType="separate"/>
      </w:r>
      <w:r>
        <w:t>512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Citation against non-party with adverse interest</w:t>
      </w:r>
      <w:r>
        <w:tab/>
      </w:r>
      <w:r>
        <w:fldChar w:fldCharType="begin"/>
      </w:r>
      <w:r>
        <w:instrText xml:space="preserve"> PAGEREF _Toc129078361 \h </w:instrText>
      </w:r>
      <w:r>
        <w:fldChar w:fldCharType="separate"/>
      </w:r>
      <w:r>
        <w:t>512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Person cited failing to appear</w:t>
      </w:r>
      <w:r>
        <w:tab/>
      </w:r>
      <w:r>
        <w:fldChar w:fldCharType="begin"/>
      </w:r>
      <w:r>
        <w:instrText xml:space="preserve"> PAGEREF _Toc129078362 \h </w:instrText>
      </w:r>
      <w:r>
        <w:fldChar w:fldCharType="separate"/>
      </w:r>
      <w:r>
        <w:t>512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Entry of appearance</w:t>
      </w:r>
      <w:r>
        <w:tab/>
      </w:r>
      <w:r>
        <w:fldChar w:fldCharType="begin"/>
      </w:r>
      <w:r>
        <w:instrText xml:space="preserve"> PAGEREF _Toc129078363 \h </w:instrText>
      </w:r>
      <w:r>
        <w:fldChar w:fldCharType="separate"/>
      </w:r>
      <w:r>
        <w:t>512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Citation to executor etc. to bring in probate etc.</w:t>
      </w:r>
      <w:r>
        <w:tab/>
      </w:r>
      <w:r>
        <w:fldChar w:fldCharType="begin"/>
      </w:r>
      <w:r>
        <w:instrText xml:space="preserve"> PAGEREF _Toc129078364 \h </w:instrText>
      </w:r>
      <w:r>
        <w:fldChar w:fldCharType="separate"/>
      </w:r>
      <w:r>
        <w:t>513</w:t>
      </w:r>
      <w:r>
        <w:fldChar w:fldCharType="end"/>
      </w:r>
    </w:p>
    <w:p>
      <w:pPr>
        <w:pStyle w:val="TOC8"/>
        <w:rPr>
          <w:rFonts w:asciiTheme="minorHAnsi" w:eastAsiaTheme="minorEastAsia" w:hAnsiTheme="minorHAnsi" w:cstheme="minorBidi"/>
          <w:szCs w:val="22"/>
        </w:rPr>
      </w:pPr>
      <w:r>
        <w:t>8A.</w:t>
      </w:r>
      <w:r>
        <w:tab/>
        <w:t>Applications to include draft citation</w:t>
      </w:r>
      <w:r>
        <w:tab/>
      </w:r>
      <w:r>
        <w:fldChar w:fldCharType="begin"/>
      </w:r>
      <w:r>
        <w:instrText xml:space="preserve"> PAGEREF _Toc129078365 \h </w:instrText>
      </w:r>
      <w:r>
        <w:fldChar w:fldCharType="separate"/>
      </w:r>
      <w:r>
        <w:t>513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Citations, issue of</w:t>
      </w:r>
      <w:r>
        <w:tab/>
      </w:r>
      <w:r>
        <w:fldChar w:fldCharType="begin"/>
      </w:r>
      <w:r>
        <w:instrText xml:space="preserve"> PAGEREF _Toc129078366 \h </w:instrText>
      </w:r>
      <w:r>
        <w:fldChar w:fldCharType="separate"/>
      </w:r>
      <w:r>
        <w:t>513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Citations, service of</w:t>
      </w:r>
      <w:r>
        <w:tab/>
      </w:r>
      <w:r>
        <w:fldChar w:fldCharType="begin"/>
      </w:r>
      <w:r>
        <w:instrText xml:space="preserve"> PAGEREF _Toc129078367 \h </w:instrText>
      </w:r>
      <w:r>
        <w:fldChar w:fldCharType="separate"/>
      </w:r>
      <w:r>
        <w:t>514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Affidavit of scripts</w:t>
      </w:r>
      <w:r>
        <w:tab/>
      </w:r>
      <w:r>
        <w:fldChar w:fldCharType="begin"/>
      </w:r>
      <w:r>
        <w:instrText xml:space="preserve"> PAGEREF _Toc129078368 \h </w:instrText>
      </w:r>
      <w:r>
        <w:fldChar w:fldCharType="separate"/>
      </w:r>
      <w:r>
        <w:t>514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Scripts in pencil, affidavits as to; inspecting affidavits of scripts</w:t>
      </w:r>
      <w:r>
        <w:tab/>
      </w:r>
      <w:r>
        <w:fldChar w:fldCharType="begin"/>
      </w:r>
      <w:r>
        <w:instrText xml:space="preserve"> PAGEREF _Toc129078369 \h </w:instrText>
      </w:r>
      <w:r>
        <w:fldChar w:fldCharType="separate"/>
      </w:r>
      <w:r>
        <w:t>515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Default of appearance</w:t>
      </w:r>
      <w:r>
        <w:tab/>
      </w:r>
      <w:r>
        <w:fldChar w:fldCharType="begin"/>
      </w:r>
      <w:r>
        <w:instrText xml:space="preserve"> PAGEREF _Toc129078370 \h </w:instrText>
      </w:r>
      <w:r>
        <w:fldChar w:fldCharType="separate"/>
      </w:r>
      <w:r>
        <w:t>515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Counterclaim</w:t>
      </w:r>
      <w:r>
        <w:tab/>
      </w:r>
      <w:r>
        <w:fldChar w:fldCharType="begin"/>
      </w:r>
      <w:r>
        <w:instrText xml:space="preserve"> PAGEREF _Toc129078371 \h </w:instrText>
      </w:r>
      <w:r>
        <w:fldChar w:fldCharType="separate"/>
      </w:r>
      <w:r>
        <w:t>516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Defendant may require only proof in solemn form</w:t>
      </w:r>
      <w:r>
        <w:tab/>
      </w:r>
      <w:r>
        <w:fldChar w:fldCharType="begin"/>
      </w:r>
      <w:r>
        <w:instrText xml:space="preserve"> PAGEREF _Toc129078372 \h </w:instrText>
      </w:r>
      <w:r>
        <w:fldChar w:fldCharType="separate"/>
      </w:r>
      <w:r>
        <w:t>516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Pleadings</w:t>
      </w:r>
      <w:r>
        <w:tab/>
      </w:r>
      <w:r>
        <w:fldChar w:fldCharType="begin"/>
      </w:r>
      <w:r>
        <w:instrText xml:space="preserve"> PAGEREF _Toc129078373 \h </w:instrText>
      </w:r>
      <w:r>
        <w:fldChar w:fldCharType="separate"/>
      </w:r>
      <w:r>
        <w:t>516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Default of pleadings</w:t>
      </w:r>
      <w:r>
        <w:tab/>
      </w:r>
      <w:r>
        <w:fldChar w:fldCharType="begin"/>
      </w:r>
      <w:r>
        <w:instrText xml:space="preserve"> PAGEREF _Toc129078374 \h </w:instrText>
      </w:r>
      <w:r>
        <w:fldChar w:fldCharType="separate"/>
      </w:r>
      <w:r>
        <w:t>517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Discontinuance</w:t>
      </w:r>
      <w:r>
        <w:tab/>
      </w:r>
      <w:r>
        <w:fldChar w:fldCharType="begin"/>
      </w:r>
      <w:r>
        <w:instrText xml:space="preserve"> PAGEREF _Toc129078375 \h </w:instrText>
      </w:r>
      <w:r>
        <w:fldChar w:fldCharType="separate"/>
      </w:r>
      <w:r>
        <w:t>517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Compromise</w:t>
      </w:r>
      <w:r>
        <w:tab/>
      </w:r>
      <w:r>
        <w:fldChar w:fldCharType="begin"/>
      </w:r>
      <w:r>
        <w:instrText xml:space="preserve"> PAGEREF _Toc129078376 \h </w:instrText>
      </w:r>
      <w:r>
        <w:fldChar w:fldCharType="separate"/>
      </w:r>
      <w:r>
        <w:t>518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Orders etc. to bring in will etc.</w:t>
      </w:r>
      <w:r>
        <w:tab/>
      </w:r>
      <w:r>
        <w:fldChar w:fldCharType="begin"/>
      </w:r>
      <w:r>
        <w:instrText xml:space="preserve"> PAGEREF _Toc129078377 \h </w:instrText>
      </w:r>
      <w:r>
        <w:fldChar w:fldCharType="separate"/>
      </w:r>
      <w:r>
        <w:t>518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Applications, making</w:t>
      </w:r>
      <w:r>
        <w:tab/>
      </w:r>
      <w:r>
        <w:fldChar w:fldCharType="begin"/>
      </w:r>
      <w:r>
        <w:instrText xml:space="preserve"> PAGEREF _Toc129078378 \h </w:instrText>
      </w:r>
      <w:r>
        <w:fldChar w:fldCharType="separate"/>
      </w:r>
      <w:r>
        <w:t>518</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Administrator or receiver appointed pending litigation</w:t>
      </w:r>
      <w:r>
        <w:tab/>
      </w:r>
      <w:r>
        <w:fldChar w:fldCharType="begin"/>
      </w:r>
      <w:r>
        <w:instrText xml:space="preserve"> PAGEREF _Toc129078379 \h </w:instrText>
      </w:r>
      <w:r>
        <w:fldChar w:fldCharType="separate"/>
      </w:r>
      <w:r>
        <w:t>519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75 — </w:t>
      </w:r>
      <w:r>
        <w:rPr>
          <w:i/>
          <w:iCs/>
        </w:rPr>
        <w:t xml:space="preserve">Family Provision Act 1972 </w:t>
      </w:r>
      <w:r>
        <w:t>rules </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_Toc129078381 \h </w:instrText>
      </w:r>
      <w:r>
        <w:fldChar w:fldCharType="separate"/>
      </w:r>
      <w:r>
        <w:t>520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under Act, making of</w:t>
      </w:r>
      <w:r>
        <w:tab/>
      </w:r>
      <w:r>
        <w:fldChar w:fldCharType="begin"/>
      </w:r>
      <w:r>
        <w:instrText xml:space="preserve"> PAGEREF _Toc129078382 \h </w:instrText>
      </w:r>
      <w:r>
        <w:fldChar w:fldCharType="separate"/>
      </w:r>
      <w:r>
        <w:t>520</w:t>
      </w:r>
      <w:r>
        <w:fldChar w:fldCharType="end"/>
      </w:r>
    </w:p>
    <w:p>
      <w:pPr>
        <w:pStyle w:val="TOC8"/>
        <w:rPr>
          <w:rFonts w:asciiTheme="minorHAnsi" w:eastAsiaTheme="minorEastAsia" w:hAnsiTheme="minorHAnsi" w:cstheme="minorBidi"/>
          <w:szCs w:val="22"/>
        </w:rPr>
      </w:pPr>
      <w:r>
        <w:t>3.</w:t>
      </w:r>
      <w:r>
        <w:tab/>
        <w:t>Copy of summons to be placed on probate file or linked to electronic file</w:t>
      </w:r>
      <w:r>
        <w:tab/>
      </w:r>
      <w:r>
        <w:fldChar w:fldCharType="begin"/>
      </w:r>
      <w:r>
        <w:instrText xml:space="preserve"> PAGEREF _Toc129078383 \h </w:instrText>
      </w:r>
      <w:r>
        <w:fldChar w:fldCharType="separate"/>
      </w:r>
      <w:r>
        <w:t>520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Court may make inquiries etc.</w:t>
      </w:r>
      <w:r>
        <w:tab/>
      </w:r>
      <w:r>
        <w:fldChar w:fldCharType="begin"/>
      </w:r>
      <w:r>
        <w:instrText xml:space="preserve"> PAGEREF _Toc129078384 \h </w:instrText>
      </w:r>
      <w:r>
        <w:fldChar w:fldCharType="separate"/>
      </w:r>
      <w:r>
        <w:t>521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Parties may be added</w:t>
      </w:r>
      <w:r>
        <w:tab/>
      </w:r>
      <w:r>
        <w:fldChar w:fldCharType="begin"/>
      </w:r>
      <w:r>
        <w:instrText xml:space="preserve"> PAGEREF _Toc129078385 \h </w:instrText>
      </w:r>
      <w:r>
        <w:fldChar w:fldCharType="separate"/>
      </w:r>
      <w:r>
        <w:t>522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Representative defendant</w:t>
      </w:r>
      <w:r>
        <w:tab/>
      </w:r>
      <w:r>
        <w:fldChar w:fldCharType="begin"/>
      </w:r>
      <w:r>
        <w:instrText xml:space="preserve"> PAGEREF _Toc129078386 \h </w:instrText>
      </w:r>
      <w:r>
        <w:fldChar w:fldCharType="separate"/>
      </w:r>
      <w:r>
        <w:t>522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Probate etc. to be lodged at Registry if judgment for plaintiff</w:t>
      </w:r>
      <w:r>
        <w:tab/>
      </w:r>
      <w:r>
        <w:fldChar w:fldCharType="begin"/>
      </w:r>
      <w:r>
        <w:instrText xml:space="preserve"> PAGEREF _Toc129078387 \h </w:instrText>
      </w:r>
      <w:r>
        <w:fldChar w:fldCharType="separate"/>
      </w:r>
      <w:r>
        <w:t>522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Appearance to originating summons for extension of time not required</w:t>
      </w:r>
      <w:r>
        <w:tab/>
      </w:r>
      <w:r>
        <w:fldChar w:fldCharType="begin"/>
      </w:r>
      <w:r>
        <w:instrText xml:space="preserve"> PAGEREF _Toc129078388 \h </w:instrText>
      </w:r>
      <w:r>
        <w:fldChar w:fldCharType="separate"/>
      </w:r>
      <w:r>
        <w:t>523</w:t>
      </w:r>
      <w:r>
        <w:fldChar w:fldCharType="end"/>
      </w:r>
    </w:p>
    <w:p>
      <w:pPr>
        <w:pStyle w:val="TOC2"/>
        <w:tabs>
          <w:tab w:val="right" w:leader="dot" w:pos="7077"/>
        </w:tabs>
        <w:rPr>
          <w:rFonts w:asciiTheme="minorHAnsi" w:eastAsiaTheme="minorEastAsia" w:hAnsiTheme="minorHAnsi" w:cstheme="minorBidi"/>
          <w:b w:val="0"/>
          <w:sz w:val="22"/>
          <w:szCs w:val="22"/>
        </w:rPr>
      </w:pPr>
      <w:r>
        <w:t>Order 75A — Admission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_Toc129078390 \h </w:instrText>
      </w:r>
      <w:r>
        <w:fldChar w:fldCharType="separate"/>
      </w:r>
      <w:r>
        <w:t>524</w:t>
      </w:r>
      <w:r>
        <w:fldChar w:fldCharType="end"/>
      </w:r>
    </w:p>
    <w:p>
      <w:pPr>
        <w:pStyle w:val="TOC8"/>
        <w:rPr>
          <w:rFonts w:asciiTheme="minorHAnsi" w:eastAsiaTheme="minorEastAsia" w:hAnsiTheme="minorHAnsi" w:cstheme="minorBidi"/>
          <w:szCs w:val="22"/>
        </w:rPr>
      </w:pPr>
      <w:r>
        <w:t>2.</w:t>
      </w:r>
      <w:r>
        <w:tab/>
        <w:t>Application for admission</w:t>
      </w:r>
      <w:r>
        <w:tab/>
      </w:r>
      <w:r>
        <w:fldChar w:fldCharType="begin"/>
      </w:r>
      <w:r>
        <w:instrText xml:space="preserve"> PAGEREF _Toc129078391 \h </w:instrText>
      </w:r>
      <w:r>
        <w:fldChar w:fldCharType="separate"/>
      </w:r>
      <w:r>
        <w:t>524</w:t>
      </w:r>
      <w:r>
        <w:fldChar w:fldCharType="end"/>
      </w:r>
    </w:p>
    <w:p>
      <w:pPr>
        <w:pStyle w:val="TOC8"/>
        <w:rPr>
          <w:rFonts w:asciiTheme="minorHAnsi" w:eastAsiaTheme="minorEastAsia" w:hAnsiTheme="minorHAnsi" w:cstheme="minorBidi"/>
          <w:szCs w:val="22"/>
        </w:rPr>
      </w:pPr>
      <w:r>
        <w:t>2A.</w:t>
      </w:r>
      <w:r>
        <w:tab/>
        <w:t>Compliance certificates</w:t>
      </w:r>
      <w:r>
        <w:tab/>
      </w:r>
      <w:r>
        <w:fldChar w:fldCharType="begin"/>
      </w:r>
      <w:r>
        <w:instrText xml:space="preserve"> PAGEREF _Toc129078392 \h </w:instrText>
      </w:r>
      <w:r>
        <w:fldChar w:fldCharType="separate"/>
      </w:r>
      <w:r>
        <w:t>524</w:t>
      </w:r>
      <w:r>
        <w:fldChar w:fldCharType="end"/>
      </w:r>
    </w:p>
    <w:p>
      <w:pPr>
        <w:pStyle w:val="TOC8"/>
        <w:rPr>
          <w:rFonts w:asciiTheme="minorHAnsi" w:eastAsiaTheme="minorEastAsia" w:hAnsiTheme="minorHAnsi" w:cstheme="minorBidi"/>
          <w:szCs w:val="22"/>
        </w:rPr>
      </w:pPr>
      <w:r>
        <w:t>2B.</w:t>
      </w:r>
      <w:r>
        <w:tab/>
        <w:t xml:space="preserve">Appeals under </w:t>
      </w:r>
      <w:r>
        <w:rPr>
          <w:i/>
        </w:rPr>
        <w:t>Legal Profession Uniform Law (WA)</w:t>
      </w:r>
      <w:r>
        <w:t xml:space="preserve"> section 26 or 27</w:t>
      </w:r>
      <w:r>
        <w:tab/>
      </w:r>
      <w:r>
        <w:fldChar w:fldCharType="begin"/>
      </w:r>
      <w:r>
        <w:instrText xml:space="preserve"> PAGEREF _Toc129078393 \h </w:instrText>
      </w:r>
      <w:r>
        <w:fldChar w:fldCharType="separate"/>
      </w:r>
      <w:r>
        <w:t>525</w:t>
      </w:r>
      <w:r>
        <w:fldChar w:fldCharType="end"/>
      </w:r>
    </w:p>
    <w:p>
      <w:pPr>
        <w:pStyle w:val="TOC8"/>
        <w:rPr>
          <w:rFonts w:asciiTheme="minorHAnsi" w:eastAsiaTheme="minorEastAsia" w:hAnsiTheme="minorHAnsi" w:cstheme="minorBidi"/>
          <w:szCs w:val="22"/>
        </w:rPr>
      </w:pPr>
      <w:r>
        <w:t>2C.</w:t>
      </w:r>
      <w:r>
        <w:tab/>
        <w:t>Objection to admission</w:t>
      </w:r>
      <w:r>
        <w:tab/>
      </w:r>
      <w:r>
        <w:fldChar w:fldCharType="begin"/>
      </w:r>
      <w:r>
        <w:instrText xml:space="preserve"> PAGEREF _Toc129078394 \h </w:instrText>
      </w:r>
      <w:r>
        <w:fldChar w:fldCharType="separate"/>
      </w:r>
      <w:r>
        <w:t>525</w:t>
      </w:r>
      <w:r>
        <w:fldChar w:fldCharType="end"/>
      </w:r>
    </w:p>
    <w:p>
      <w:pPr>
        <w:pStyle w:val="TOC8"/>
        <w:rPr>
          <w:rFonts w:asciiTheme="minorHAnsi" w:eastAsiaTheme="minorEastAsia" w:hAnsiTheme="minorHAnsi" w:cstheme="minorBidi"/>
          <w:szCs w:val="22"/>
        </w:rPr>
      </w:pPr>
      <w:r>
        <w:t>3.</w:t>
      </w:r>
      <w:r>
        <w:tab/>
        <w:t>Attendance at hearing of application for admission</w:t>
      </w:r>
      <w:r>
        <w:tab/>
      </w:r>
      <w:r>
        <w:fldChar w:fldCharType="begin"/>
      </w:r>
      <w:r>
        <w:instrText xml:space="preserve"> PAGEREF _Toc129078395 \h </w:instrText>
      </w:r>
      <w:r>
        <w:fldChar w:fldCharType="separate"/>
      </w:r>
      <w:r>
        <w:t>526</w:t>
      </w:r>
      <w:r>
        <w:fldChar w:fldCharType="end"/>
      </w:r>
    </w:p>
    <w:p>
      <w:pPr>
        <w:pStyle w:val="TOC8"/>
        <w:rPr>
          <w:rFonts w:asciiTheme="minorHAnsi" w:eastAsiaTheme="minorEastAsia" w:hAnsiTheme="minorHAnsi" w:cstheme="minorBidi"/>
          <w:szCs w:val="22"/>
        </w:rPr>
      </w:pPr>
      <w:r>
        <w:t>4.</w:t>
      </w:r>
      <w:r>
        <w:tab/>
        <w:t>Oath or affirmation</w:t>
      </w:r>
      <w:r>
        <w:tab/>
      </w:r>
      <w:r>
        <w:fldChar w:fldCharType="begin"/>
      </w:r>
      <w:r>
        <w:instrText xml:space="preserve"> PAGEREF _Toc129078396 \h </w:instrText>
      </w:r>
      <w:r>
        <w:fldChar w:fldCharType="separate"/>
      </w:r>
      <w:r>
        <w:t>527</w:t>
      </w:r>
      <w:r>
        <w:fldChar w:fldCharType="end"/>
      </w:r>
    </w:p>
    <w:p>
      <w:pPr>
        <w:pStyle w:val="TOC2"/>
        <w:tabs>
          <w:tab w:val="right" w:leader="dot" w:pos="7077"/>
        </w:tabs>
        <w:rPr>
          <w:rFonts w:asciiTheme="minorHAnsi" w:eastAsiaTheme="minorEastAsia" w:hAnsiTheme="minorHAnsi" w:cstheme="minorBidi"/>
          <w:b w:val="0"/>
          <w:sz w:val="22"/>
          <w:szCs w:val="22"/>
        </w:rPr>
      </w:pPr>
      <w:r>
        <w:t>Order 76</w:t>
      </w:r>
      <w:r>
        <w:rPr>
          <w:b w:val="0"/>
        </w:rPr>
        <w:t> </w:t>
      </w:r>
      <w:r>
        <w:t>—</w:t>
      </w:r>
      <w:r>
        <w:rPr>
          <w:b w:val="0"/>
        </w:rPr>
        <w:t> </w:t>
      </w:r>
      <w:r>
        <w:rPr>
          <w:i/>
        </w:rPr>
        <w:t>Public Notaries Act 1979</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_Toc129078398 \h </w:instrText>
      </w:r>
      <w:r>
        <w:fldChar w:fldCharType="separate"/>
      </w:r>
      <w:r>
        <w:t>528</w:t>
      </w:r>
      <w:r>
        <w:fldChar w:fldCharType="end"/>
      </w:r>
    </w:p>
    <w:p>
      <w:pPr>
        <w:pStyle w:val="TOC8"/>
        <w:rPr>
          <w:rFonts w:asciiTheme="minorHAnsi" w:eastAsiaTheme="minorEastAsia" w:hAnsiTheme="minorHAnsi" w:cstheme="minorBidi"/>
          <w:szCs w:val="22"/>
        </w:rPr>
      </w:pPr>
      <w:r>
        <w:t>1A.</w:t>
      </w:r>
      <w:r>
        <w:tab/>
        <w:t>Districts prescribed for Act</w:t>
      </w:r>
      <w:r>
        <w:tab/>
      </w:r>
      <w:r>
        <w:fldChar w:fldCharType="begin"/>
      </w:r>
      <w:r>
        <w:instrText xml:space="preserve"> PAGEREF _Toc129078399 \h </w:instrText>
      </w:r>
      <w:r>
        <w:fldChar w:fldCharType="separate"/>
      </w:r>
      <w:r>
        <w:t>528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for certificate of fitness (Act s. 8)</w:t>
      </w:r>
      <w:r>
        <w:tab/>
      </w:r>
      <w:r>
        <w:fldChar w:fldCharType="begin"/>
      </w:r>
      <w:r>
        <w:instrText xml:space="preserve"> PAGEREF _Toc129078400 \h </w:instrText>
      </w:r>
      <w:r>
        <w:fldChar w:fldCharType="separate"/>
      </w:r>
      <w:r>
        <w:t>530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intention to apply to be appointed Public Notary (Act s. 9)</w:t>
      </w:r>
      <w:r>
        <w:tab/>
      </w:r>
      <w:r>
        <w:fldChar w:fldCharType="begin"/>
      </w:r>
      <w:r>
        <w:instrText xml:space="preserve"> PAGEREF _Toc129078401 \h </w:instrText>
      </w:r>
      <w:r>
        <w:fldChar w:fldCharType="separate"/>
      </w:r>
      <w:r>
        <w:t>531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to be appointed Public Notary</w:t>
      </w:r>
      <w:r>
        <w:tab/>
      </w:r>
      <w:r>
        <w:fldChar w:fldCharType="begin"/>
      </w:r>
      <w:r>
        <w:instrText xml:space="preserve"> PAGEREF _Toc129078402 \h </w:instrText>
      </w:r>
      <w:r>
        <w:fldChar w:fldCharType="separate"/>
      </w:r>
      <w:r>
        <w:t>532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Certificates of appointment, form of</w:t>
      </w:r>
      <w:r>
        <w:tab/>
      </w:r>
      <w:r>
        <w:fldChar w:fldCharType="begin"/>
      </w:r>
      <w:r>
        <w:instrText xml:space="preserve"> PAGEREF _Toc129078403 \h </w:instrText>
      </w:r>
      <w:r>
        <w:fldChar w:fldCharType="separate"/>
      </w:r>
      <w:r>
        <w:t>532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to suspend or strike off Public Notaries</w:t>
      </w:r>
      <w:r>
        <w:tab/>
      </w:r>
      <w:r>
        <w:fldChar w:fldCharType="begin"/>
      </w:r>
      <w:r>
        <w:instrText xml:space="preserve"> PAGEREF _Toc129078404 \h </w:instrText>
      </w:r>
      <w:r>
        <w:fldChar w:fldCharType="separate"/>
      </w:r>
      <w:r>
        <w:t>533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payable on application for appointment</w:t>
      </w:r>
      <w:r>
        <w:tab/>
      </w:r>
      <w:r>
        <w:fldChar w:fldCharType="begin"/>
      </w:r>
      <w:r>
        <w:instrText xml:space="preserve"> PAGEREF _Toc129078405 \h </w:instrText>
      </w:r>
      <w:r>
        <w:fldChar w:fldCharType="separate"/>
      </w:r>
      <w:r>
        <w:t>533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80</w:t>
      </w:r>
      <w:r>
        <w:rPr>
          <w:b w:val="0"/>
        </w:rPr>
        <w:t> </w:t>
      </w:r>
      <w:r>
        <w:t>—</w:t>
      </w:r>
      <w:r>
        <w:rPr>
          <w:b w:val="0"/>
        </w:rPr>
        <w:t> </w:t>
      </w:r>
      <w:r>
        <w:rPr>
          <w:i/>
          <w:iCs/>
        </w:rPr>
        <w:t>Escheat (Procedure) Act 1940</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 used: said Act</w:t>
      </w:r>
      <w:r>
        <w:tab/>
      </w:r>
      <w:r>
        <w:fldChar w:fldCharType="begin"/>
      </w:r>
      <w:r>
        <w:instrText xml:space="preserve"> PAGEREF _Toc129078407 \h </w:instrText>
      </w:r>
      <w:r>
        <w:fldChar w:fldCharType="separate"/>
      </w:r>
      <w:r>
        <w:t>534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Order of Escheat, making</w:t>
      </w:r>
      <w:r>
        <w:tab/>
      </w:r>
      <w:r>
        <w:fldChar w:fldCharType="begin"/>
      </w:r>
      <w:r>
        <w:instrText xml:space="preserve"> PAGEREF _Toc129078408 \h </w:instrText>
      </w:r>
      <w:r>
        <w:fldChar w:fldCharType="separate"/>
      </w:r>
      <w:r>
        <w:t>534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Notice of applications, form of</w:t>
      </w:r>
      <w:r>
        <w:tab/>
      </w:r>
      <w:r>
        <w:fldChar w:fldCharType="begin"/>
      </w:r>
      <w:r>
        <w:instrText xml:space="preserve"> PAGEREF _Toc129078409 \h </w:instrText>
      </w:r>
      <w:r>
        <w:fldChar w:fldCharType="separate"/>
      </w:r>
      <w:r>
        <w:t>534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Evidence; judge may direct inquiry</w:t>
      </w:r>
      <w:r>
        <w:tab/>
      </w:r>
      <w:r>
        <w:fldChar w:fldCharType="begin"/>
      </w:r>
      <w:r>
        <w:instrText xml:space="preserve"> PAGEREF _Toc129078410 \h </w:instrText>
      </w:r>
      <w:r>
        <w:fldChar w:fldCharType="separate"/>
      </w:r>
      <w:r>
        <w:t>534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Claimants to file affidavit verifying claim and may be heard</w:t>
      </w:r>
      <w:r>
        <w:tab/>
      </w:r>
      <w:r>
        <w:fldChar w:fldCharType="begin"/>
      </w:r>
      <w:r>
        <w:instrText xml:space="preserve"> PAGEREF _Toc129078411 \h </w:instrText>
      </w:r>
      <w:r>
        <w:fldChar w:fldCharType="separate"/>
      </w:r>
      <w:r>
        <w:t>535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Judge may order issue to be tried</w:t>
      </w:r>
      <w:r>
        <w:tab/>
      </w:r>
      <w:r>
        <w:fldChar w:fldCharType="begin"/>
      </w:r>
      <w:r>
        <w:instrText xml:space="preserve"> PAGEREF _Toc129078412 \h </w:instrText>
      </w:r>
      <w:r>
        <w:fldChar w:fldCharType="separate"/>
      </w:r>
      <w:r>
        <w:t>535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Order of Escheat, form of</w:t>
      </w:r>
      <w:r>
        <w:tab/>
      </w:r>
      <w:r>
        <w:fldChar w:fldCharType="begin"/>
      </w:r>
      <w:r>
        <w:instrText xml:space="preserve"> PAGEREF _Toc129078413 \h </w:instrText>
      </w:r>
      <w:r>
        <w:fldChar w:fldCharType="separate"/>
      </w:r>
      <w:r>
        <w:t>535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Costs</w:t>
      </w:r>
      <w:r>
        <w:tab/>
      </w:r>
      <w:r>
        <w:fldChar w:fldCharType="begin"/>
      </w:r>
      <w:r>
        <w:instrText xml:space="preserve"> PAGEREF _Toc129078414 \h </w:instrText>
      </w:r>
      <w:r>
        <w:fldChar w:fldCharType="separate"/>
      </w:r>
      <w:r>
        <w:t>535</w:t>
      </w:r>
      <w:r>
        <w:fldChar w:fldCharType="end"/>
      </w:r>
    </w:p>
    <w:p>
      <w:pPr>
        <w:pStyle w:val="TOC2"/>
        <w:tabs>
          <w:tab w:val="right" w:leader="dot" w:pos="7077"/>
        </w:tabs>
        <w:rPr>
          <w:rFonts w:asciiTheme="minorHAnsi" w:eastAsiaTheme="minorEastAsia" w:hAnsiTheme="minorHAnsi" w:cstheme="minorBidi"/>
          <w:b w:val="0"/>
          <w:sz w:val="22"/>
          <w:szCs w:val="22"/>
        </w:rPr>
      </w:pPr>
      <w:r>
        <w:t>Order 80A</w:t>
      </w:r>
      <w:r>
        <w:rPr>
          <w:b w:val="0"/>
        </w:rPr>
        <w:t> </w:t>
      </w:r>
      <w:r>
        <w:t>—</w:t>
      </w:r>
      <w:r>
        <w:rPr>
          <w:b w:val="0"/>
        </w:rPr>
        <w:t> </w:t>
      </w:r>
      <w:r>
        <w:rPr>
          <w:i/>
          <w:iCs/>
        </w:rPr>
        <w:t>Royal Commission (Custody of Records) Act 1992</w:t>
      </w:r>
      <w:r>
        <w:t xml:space="preserve"> rules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_Toc129078416 \h </w:instrText>
      </w:r>
      <w:r>
        <w:fldChar w:fldCharType="separate"/>
      </w:r>
      <w:r>
        <w:t>536</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Applications for leave to have access (Act s. 14)</w:t>
      </w:r>
      <w:r>
        <w:tab/>
      </w:r>
      <w:r>
        <w:fldChar w:fldCharType="begin"/>
      </w:r>
      <w:r>
        <w:instrText xml:space="preserve"> PAGEREF _Toc129078417 \h </w:instrText>
      </w:r>
      <w:r>
        <w:fldChar w:fldCharType="separate"/>
      </w:r>
      <w:r>
        <w:t>536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Order granting leave, form of</w:t>
      </w:r>
      <w:r>
        <w:tab/>
      </w:r>
      <w:r>
        <w:fldChar w:fldCharType="begin"/>
      </w:r>
      <w:r>
        <w:instrText xml:space="preserve"> PAGEREF _Toc129078418 \h </w:instrText>
      </w:r>
      <w:r>
        <w:fldChar w:fldCharType="separate"/>
      </w:r>
      <w:r>
        <w:t>537</w:t>
      </w:r>
      <w:r>
        <w:fldChar w:fldCharType="end"/>
      </w:r>
    </w:p>
    <w:p>
      <w:pPr>
        <w:pStyle w:val="TOC2"/>
        <w:tabs>
          <w:tab w:val="right" w:leader="dot" w:pos="7077"/>
        </w:tabs>
        <w:rPr>
          <w:rFonts w:asciiTheme="minorHAnsi" w:eastAsiaTheme="minorEastAsia" w:hAnsiTheme="minorHAnsi" w:cstheme="minorBidi"/>
          <w:b w:val="0"/>
          <w:sz w:val="22"/>
          <w:szCs w:val="22"/>
        </w:rPr>
      </w:pPr>
      <w:r>
        <w:t>Order 81B</w:t>
      </w:r>
      <w:r>
        <w:rPr>
          <w:b w:val="0"/>
        </w:rPr>
        <w:t> </w:t>
      </w:r>
      <w:r>
        <w:t>—</w:t>
      </w:r>
      <w:r>
        <w:rPr>
          <w:b w:val="0"/>
        </w:rPr>
        <w:t> </w:t>
      </w:r>
      <w:r>
        <w:rPr>
          <w:i/>
          <w:iCs/>
        </w:rPr>
        <w:t>Service and Execution of Process Act 1992</w:t>
      </w:r>
      <w:r>
        <w:t xml:space="preserve"> (Commonwealth) rules</w:t>
      </w:r>
    </w:p>
    <w:p>
      <w:pPr>
        <w:pStyle w:val="TOC8"/>
        <w:rPr>
          <w:rFonts w:asciiTheme="minorHAnsi" w:eastAsiaTheme="minorEastAsia" w:hAnsiTheme="minorHAnsi" w:cstheme="minorBidi"/>
          <w:szCs w:val="22"/>
        </w:rPr>
      </w:pPr>
      <w:r>
        <w:t>1</w:t>
      </w:r>
      <w:r>
        <w:rPr>
          <w:snapToGrid w:val="0"/>
        </w:rPr>
        <w:t>.</w:t>
      </w:r>
      <w:r>
        <w:rPr>
          <w:snapToGrid w:val="0"/>
        </w:rPr>
        <w:tab/>
        <w:t>Terms used; how applications to be made</w:t>
      </w:r>
      <w:r>
        <w:tab/>
      </w:r>
      <w:r>
        <w:fldChar w:fldCharType="begin"/>
      </w:r>
      <w:r>
        <w:instrText xml:space="preserve"> PAGEREF _Toc129078420 \h </w:instrText>
      </w:r>
      <w:r>
        <w:fldChar w:fldCharType="separate"/>
      </w:r>
      <w:r>
        <w:t>538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Enforcing judgments under Act s. 105, procedure for</w:t>
      </w:r>
      <w:r>
        <w:tab/>
      </w:r>
      <w:r>
        <w:fldChar w:fldCharType="begin"/>
      </w:r>
      <w:r>
        <w:instrText xml:space="preserve"> PAGEREF _Toc129078421 \h </w:instrText>
      </w:r>
      <w:r>
        <w:fldChar w:fldCharType="separate"/>
      </w:r>
      <w:r>
        <w:t>538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Claiming interest under Act s. 108, procedure for</w:t>
      </w:r>
      <w:r>
        <w:tab/>
      </w:r>
      <w:r>
        <w:fldChar w:fldCharType="begin"/>
      </w:r>
      <w:r>
        <w:instrText xml:space="preserve"> PAGEREF _Toc129078422 \h </w:instrText>
      </w:r>
      <w:r>
        <w:fldChar w:fldCharType="separate"/>
      </w:r>
      <w:r>
        <w:t>539</w:t>
      </w:r>
      <w:r>
        <w:fldChar w:fldCharType="end"/>
      </w:r>
    </w:p>
    <w:p>
      <w:pPr>
        <w:pStyle w:val="TOC8"/>
        <w:rPr>
          <w:rFonts w:asciiTheme="minorHAnsi" w:eastAsiaTheme="minorEastAsia" w:hAnsiTheme="minorHAnsi" w:cstheme="minorBidi"/>
          <w:szCs w:val="22"/>
        </w:rPr>
      </w:pPr>
      <w:r>
        <w:t>4.</w:t>
      </w:r>
      <w:r>
        <w:tab/>
        <w:t>Appeals under Act</w:t>
      </w:r>
      <w:r>
        <w:tab/>
      </w:r>
      <w:r>
        <w:fldChar w:fldCharType="begin"/>
      </w:r>
      <w:r>
        <w:instrText xml:space="preserve"> PAGEREF _Toc129078423 \h </w:instrText>
      </w:r>
      <w:r>
        <w:fldChar w:fldCharType="separate"/>
      </w:r>
      <w:r>
        <w:t>539</w:t>
      </w:r>
      <w:r>
        <w:fldChar w:fldCharType="end"/>
      </w:r>
    </w:p>
    <w:p>
      <w:pPr>
        <w:pStyle w:val="TOC2"/>
        <w:tabs>
          <w:tab w:val="right" w:leader="dot" w:pos="7077"/>
        </w:tabs>
        <w:rPr>
          <w:rFonts w:asciiTheme="minorHAnsi" w:eastAsiaTheme="minorEastAsia" w:hAnsiTheme="minorHAnsi" w:cstheme="minorBidi"/>
          <w:b w:val="0"/>
          <w:sz w:val="22"/>
          <w:szCs w:val="22"/>
        </w:rPr>
      </w:pPr>
      <w:r>
        <w:t>Order 81C</w:t>
      </w:r>
      <w:r>
        <w:rPr>
          <w:b w:val="0"/>
        </w:rPr>
        <w:t> </w:t>
      </w:r>
      <w:r>
        <w:t>—</w:t>
      </w:r>
      <w:r>
        <w:rPr>
          <w:b w:val="0"/>
        </w:rPr>
        <w:t> </w:t>
      </w:r>
      <w:r>
        <w:t>Road traffic legislation</w:t>
      </w:r>
      <w:r>
        <w:rPr>
          <w:i/>
        </w:rPr>
        <w:t xml:space="preserve"> </w:t>
      </w:r>
      <w:r>
        <w:t>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_Toc129078425 \h </w:instrText>
      </w:r>
      <w:r>
        <w:fldChar w:fldCharType="separate"/>
      </w:r>
      <w:r>
        <w:t>540</w:t>
      </w:r>
      <w:r>
        <w:fldChar w:fldCharType="end"/>
      </w:r>
    </w:p>
    <w:p>
      <w:pPr>
        <w:pStyle w:val="TOC8"/>
        <w:rPr>
          <w:rFonts w:asciiTheme="minorHAnsi" w:eastAsiaTheme="minorEastAsia" w:hAnsiTheme="minorHAnsi" w:cstheme="minorBidi"/>
          <w:szCs w:val="22"/>
        </w:rPr>
      </w:pPr>
      <w:r>
        <w:t>2.</w:t>
      </w:r>
      <w:r>
        <w:tab/>
        <w:t>Applications under RT (AD) Act s. 24, 27 or 35, how to be made</w:t>
      </w:r>
      <w:r>
        <w:tab/>
      </w:r>
      <w:r>
        <w:fldChar w:fldCharType="begin"/>
      </w:r>
      <w:r>
        <w:instrText xml:space="preserve"> PAGEREF _Toc129078426 \h </w:instrText>
      </w:r>
      <w:r>
        <w:fldChar w:fldCharType="separate"/>
      </w:r>
      <w:r>
        <w:t>540</w:t>
      </w:r>
      <w:r>
        <w:fldChar w:fldCharType="end"/>
      </w:r>
    </w:p>
    <w:p>
      <w:pPr>
        <w:pStyle w:val="TOC8"/>
        <w:rPr>
          <w:rFonts w:asciiTheme="minorHAnsi" w:eastAsiaTheme="minorEastAsia" w:hAnsiTheme="minorHAnsi" w:cstheme="minorBidi"/>
          <w:szCs w:val="22"/>
        </w:rPr>
      </w:pPr>
      <w:r>
        <w:t>3.</w:t>
      </w:r>
      <w:r>
        <w:tab/>
        <w:t>Registrar’s functions when application is made</w:t>
      </w:r>
      <w:r>
        <w:tab/>
      </w:r>
      <w:r>
        <w:fldChar w:fldCharType="begin"/>
      </w:r>
      <w:r>
        <w:instrText xml:space="preserve"> PAGEREF _Toc129078427 \h </w:instrText>
      </w:r>
      <w:r>
        <w:fldChar w:fldCharType="separate"/>
      </w:r>
      <w:r>
        <w:t>541</w:t>
      </w:r>
      <w:r>
        <w:fldChar w:fldCharType="end"/>
      </w:r>
    </w:p>
    <w:p>
      <w:pPr>
        <w:pStyle w:val="TOC8"/>
        <w:rPr>
          <w:rFonts w:asciiTheme="minorHAnsi" w:eastAsiaTheme="minorEastAsia" w:hAnsiTheme="minorHAnsi" w:cstheme="minorBidi"/>
          <w:szCs w:val="22"/>
        </w:rPr>
      </w:pPr>
      <w:r>
        <w:t>4.</w:t>
      </w:r>
      <w:r>
        <w:tab/>
        <w:t>Applicant to serve application etc.</w:t>
      </w:r>
      <w:r>
        <w:tab/>
      </w:r>
      <w:r>
        <w:fldChar w:fldCharType="begin"/>
      </w:r>
      <w:r>
        <w:instrText xml:space="preserve"> PAGEREF _Toc129078428 \h </w:instrText>
      </w:r>
      <w:r>
        <w:fldChar w:fldCharType="separate"/>
      </w:r>
      <w:r>
        <w:t>541</w:t>
      </w:r>
      <w:r>
        <w:fldChar w:fldCharType="end"/>
      </w:r>
    </w:p>
    <w:p>
      <w:pPr>
        <w:pStyle w:val="TOC8"/>
        <w:rPr>
          <w:rFonts w:asciiTheme="minorHAnsi" w:eastAsiaTheme="minorEastAsia" w:hAnsiTheme="minorHAnsi" w:cstheme="minorBidi"/>
          <w:szCs w:val="22"/>
        </w:rPr>
      </w:pPr>
      <w:r>
        <w:t>5.</w:t>
      </w:r>
      <w:r>
        <w:tab/>
        <w:t>Hearing of application, appearance at</w:t>
      </w:r>
      <w:r>
        <w:tab/>
      </w:r>
      <w:r>
        <w:fldChar w:fldCharType="begin"/>
      </w:r>
      <w:r>
        <w:instrText xml:space="preserve"> PAGEREF _Toc129078429 \h </w:instrText>
      </w:r>
      <w:r>
        <w:fldChar w:fldCharType="separate"/>
      </w:r>
      <w:r>
        <w:t>542</w:t>
      </w:r>
      <w:r>
        <w:fldChar w:fldCharType="end"/>
      </w:r>
    </w:p>
    <w:p>
      <w:pPr>
        <w:pStyle w:val="TOC8"/>
        <w:rPr>
          <w:rFonts w:asciiTheme="minorHAnsi" w:eastAsiaTheme="minorEastAsia" w:hAnsiTheme="minorHAnsi" w:cstheme="minorBidi"/>
          <w:szCs w:val="22"/>
        </w:rPr>
      </w:pPr>
      <w:r>
        <w:t>6.</w:t>
      </w:r>
      <w:r>
        <w:tab/>
        <w:t>Hearing of application, procedure on</w:t>
      </w:r>
      <w:r>
        <w:tab/>
      </w:r>
      <w:r>
        <w:fldChar w:fldCharType="begin"/>
      </w:r>
      <w:r>
        <w:instrText xml:space="preserve"> PAGEREF _Toc129078430 \h </w:instrText>
      </w:r>
      <w:r>
        <w:fldChar w:fldCharType="separate"/>
      </w:r>
      <w:r>
        <w:t>542</w:t>
      </w:r>
      <w:r>
        <w:fldChar w:fldCharType="end"/>
      </w:r>
    </w:p>
    <w:p>
      <w:pPr>
        <w:pStyle w:val="TOC8"/>
        <w:rPr>
          <w:rFonts w:asciiTheme="minorHAnsi" w:eastAsiaTheme="minorEastAsia" w:hAnsiTheme="minorHAnsi" w:cstheme="minorBidi"/>
          <w:szCs w:val="22"/>
        </w:rPr>
      </w:pPr>
      <w:r>
        <w:t>7.</w:t>
      </w:r>
      <w:r>
        <w:tab/>
        <w:t>CEO to be notified of decision</w:t>
      </w:r>
      <w:r>
        <w:tab/>
      </w:r>
      <w:r>
        <w:fldChar w:fldCharType="begin"/>
      </w:r>
      <w:r>
        <w:instrText xml:space="preserve"> PAGEREF _Toc129078431 \h </w:instrText>
      </w:r>
      <w:r>
        <w:fldChar w:fldCharType="separate"/>
      </w:r>
      <w:r>
        <w:t>543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81E — Cross</w:t>
      </w:r>
      <w:r>
        <w:noBreakHyphen/>
        <w:t>vesting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_Toc129078433 \h </w:instrText>
      </w:r>
      <w:r>
        <w:fldChar w:fldCharType="separate"/>
      </w:r>
      <w:r>
        <w:t>544</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Application of this Order</w:t>
      </w:r>
      <w:r>
        <w:tab/>
      </w:r>
      <w:r>
        <w:fldChar w:fldCharType="begin"/>
      </w:r>
      <w:r>
        <w:instrText xml:space="preserve"> PAGEREF _Toc129078434 \h </w:instrText>
      </w:r>
      <w:r>
        <w:fldChar w:fldCharType="separate"/>
      </w:r>
      <w:r>
        <w:t>544</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Commencing proceedings that rely on cross-vesting laws</w:t>
      </w:r>
      <w:r>
        <w:tab/>
      </w:r>
      <w:r>
        <w:fldChar w:fldCharType="begin"/>
      </w:r>
      <w:r>
        <w:instrText xml:space="preserve"> PAGEREF _Toc129078435 \h </w:instrText>
      </w:r>
      <w:r>
        <w:fldChar w:fldCharType="separate"/>
      </w:r>
      <w:r>
        <w:t>544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Special federal matters</w:t>
      </w:r>
      <w:r>
        <w:tab/>
      </w:r>
      <w:r>
        <w:fldChar w:fldCharType="begin"/>
      </w:r>
      <w:r>
        <w:instrText xml:space="preserve"> PAGEREF _Toc129078436 \h </w:instrText>
      </w:r>
      <w:r>
        <w:fldChar w:fldCharType="separate"/>
      </w:r>
      <w:r>
        <w:t>545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Directions for conduct of proceedings</w:t>
      </w:r>
      <w:r>
        <w:tab/>
      </w:r>
      <w:r>
        <w:fldChar w:fldCharType="begin"/>
      </w:r>
      <w:r>
        <w:instrText xml:space="preserve"> PAGEREF _Toc129078437 \h </w:instrText>
      </w:r>
      <w:r>
        <w:fldChar w:fldCharType="separate"/>
      </w:r>
      <w:r>
        <w:t>545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Transfer of proceedings</w:t>
      </w:r>
      <w:r>
        <w:tab/>
      </w:r>
      <w:r>
        <w:fldChar w:fldCharType="begin"/>
      </w:r>
      <w:r>
        <w:instrText xml:space="preserve"> PAGEREF _Toc129078438 \h </w:instrText>
      </w:r>
      <w:r>
        <w:fldChar w:fldCharType="separate"/>
      </w:r>
      <w:r>
        <w:t>546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Applications to be dealt with by judge</w:t>
      </w:r>
      <w:r>
        <w:tab/>
      </w:r>
      <w:r>
        <w:fldChar w:fldCharType="begin"/>
      </w:r>
      <w:r>
        <w:instrText xml:space="preserve"> PAGEREF _Toc129078439 \h </w:instrText>
      </w:r>
      <w:r>
        <w:fldChar w:fldCharType="separate"/>
      </w:r>
      <w:r>
        <w:t>546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Transfer on Attorney General’s application (Act s. 5 or 6)</w:t>
      </w:r>
      <w:r>
        <w:tab/>
      </w:r>
      <w:r>
        <w:fldChar w:fldCharType="begin"/>
      </w:r>
      <w:r>
        <w:instrText xml:space="preserve"> PAGEREF _Toc129078440 \h </w:instrText>
      </w:r>
      <w:r>
        <w:fldChar w:fldCharType="separate"/>
      </w:r>
      <w:r>
        <w:t>547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under Act s. 8, Court’s powers on</w:t>
      </w:r>
      <w:r>
        <w:tab/>
      </w:r>
      <w:r>
        <w:fldChar w:fldCharType="begin"/>
      </w:r>
      <w:r>
        <w:instrText xml:space="preserve"> PAGEREF _Toc129078441 \h </w:instrText>
      </w:r>
      <w:r>
        <w:fldChar w:fldCharType="separate"/>
      </w:r>
      <w:r>
        <w:t>547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if laws etc. of other place to apply under Act s. 11(1)</w:t>
      </w:r>
      <w:r>
        <w:tab/>
      </w:r>
      <w:r>
        <w:fldChar w:fldCharType="begin"/>
      </w:r>
      <w:r>
        <w:instrText xml:space="preserve"> PAGEREF _Toc129078442 \h </w:instrText>
      </w:r>
      <w:r>
        <w:fldChar w:fldCharType="separate"/>
      </w:r>
      <w:r>
        <w:t>547</w:t>
      </w:r>
      <w:r>
        <w:fldChar w:fldCharType="end"/>
      </w:r>
    </w:p>
    <w:p>
      <w:pPr>
        <w:pStyle w:val="TOC2"/>
        <w:tabs>
          <w:tab w:val="right" w:leader="dot" w:pos="7077"/>
        </w:tabs>
        <w:rPr>
          <w:rFonts w:asciiTheme="minorHAnsi" w:eastAsiaTheme="minorEastAsia" w:hAnsiTheme="minorHAnsi" w:cstheme="minorBidi"/>
          <w:b w:val="0"/>
          <w:sz w:val="22"/>
          <w:szCs w:val="22"/>
        </w:rPr>
      </w:pPr>
      <w:r>
        <w:t>Order 81F</w:t>
      </w:r>
      <w:r>
        <w:rPr>
          <w:b w:val="0"/>
        </w:rPr>
        <w:t> </w:t>
      </w:r>
      <w:r>
        <w:t>—</w:t>
      </w:r>
      <w:r>
        <w:rPr>
          <w:b w:val="0"/>
        </w:rPr>
        <w:t> </w:t>
      </w:r>
      <w:r>
        <w:rPr>
          <w:i/>
          <w:iCs/>
        </w:rPr>
        <w:t>Proceeds of Crime Act </w:t>
      </w:r>
      <w:r>
        <w:rPr>
          <w:i/>
        </w:rPr>
        <w:t>2002</w:t>
      </w:r>
      <w:r>
        <w:t xml:space="preserve"> (Commonwealth)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_Toc129078444 \h </w:instrText>
      </w:r>
      <w:r>
        <w:fldChar w:fldCharType="separate"/>
      </w:r>
      <w:r>
        <w:t>549</w:t>
      </w:r>
      <w:r>
        <w:fldChar w:fldCharType="end"/>
      </w:r>
    </w:p>
    <w:p>
      <w:pPr>
        <w:pStyle w:val="TOC8"/>
        <w:rPr>
          <w:rFonts w:asciiTheme="minorHAnsi" w:eastAsiaTheme="minorEastAsia" w:hAnsiTheme="minorHAnsi" w:cstheme="minorBidi"/>
          <w:szCs w:val="22"/>
        </w:rPr>
      </w:pPr>
      <w:r>
        <w:t>2.</w:t>
      </w:r>
      <w:r>
        <w:tab/>
        <w:t>Applications under Act, how to be made</w:t>
      </w:r>
      <w:r>
        <w:tab/>
      </w:r>
      <w:r>
        <w:fldChar w:fldCharType="begin"/>
      </w:r>
      <w:r>
        <w:instrText xml:space="preserve"> PAGEREF _Toc129078445 \h </w:instrText>
      </w:r>
      <w:r>
        <w:fldChar w:fldCharType="separate"/>
      </w:r>
      <w:r>
        <w:t>549</w:t>
      </w:r>
      <w:r>
        <w:fldChar w:fldCharType="end"/>
      </w:r>
    </w:p>
    <w:p>
      <w:pPr>
        <w:pStyle w:val="TOC8"/>
        <w:rPr>
          <w:rFonts w:asciiTheme="minorHAnsi" w:eastAsiaTheme="minorEastAsia" w:hAnsiTheme="minorHAnsi" w:cstheme="minorBidi"/>
          <w:szCs w:val="22"/>
        </w:rPr>
      </w:pPr>
      <w:r>
        <w:t>3.</w:t>
      </w:r>
      <w:r>
        <w:tab/>
        <w:t>Service on DPP (Cwlth) in Perth</w:t>
      </w:r>
      <w:r>
        <w:tab/>
      </w:r>
      <w:r>
        <w:fldChar w:fldCharType="begin"/>
      </w:r>
      <w:r>
        <w:instrText xml:space="preserve"> PAGEREF _Toc129078446 \h </w:instrText>
      </w:r>
      <w:r>
        <w:fldChar w:fldCharType="separate"/>
      </w:r>
      <w:r>
        <w:t>551</w:t>
      </w:r>
      <w:r>
        <w:fldChar w:fldCharType="end"/>
      </w:r>
    </w:p>
    <w:p>
      <w:pPr>
        <w:pStyle w:val="TOC8"/>
        <w:rPr>
          <w:rFonts w:asciiTheme="minorHAnsi" w:eastAsiaTheme="minorEastAsia" w:hAnsiTheme="minorHAnsi" w:cstheme="minorBidi"/>
          <w:szCs w:val="22"/>
        </w:rPr>
      </w:pPr>
      <w:r>
        <w:t>4.</w:t>
      </w:r>
      <w:r>
        <w:tab/>
        <w:t>DPP to file grounds for contesting application</w:t>
      </w:r>
      <w:r>
        <w:tab/>
      </w:r>
      <w:r>
        <w:fldChar w:fldCharType="begin"/>
      </w:r>
      <w:r>
        <w:instrText xml:space="preserve"> PAGEREF _Toc129078447 \h </w:instrText>
      </w:r>
      <w:r>
        <w:fldChar w:fldCharType="separate"/>
      </w:r>
      <w:r>
        <w:t>551</w:t>
      </w:r>
      <w:r>
        <w:fldChar w:fldCharType="end"/>
      </w:r>
    </w:p>
    <w:p>
      <w:pPr>
        <w:pStyle w:val="TOC8"/>
        <w:rPr>
          <w:rFonts w:asciiTheme="minorHAnsi" w:eastAsiaTheme="minorEastAsia" w:hAnsiTheme="minorHAnsi" w:cstheme="minorBidi"/>
          <w:szCs w:val="22"/>
        </w:rPr>
      </w:pPr>
      <w:r>
        <w:t>5.</w:t>
      </w:r>
      <w:r>
        <w:tab/>
        <w:t>Summons for directions</w:t>
      </w:r>
      <w:r>
        <w:tab/>
      </w:r>
      <w:r>
        <w:fldChar w:fldCharType="begin"/>
      </w:r>
      <w:r>
        <w:instrText xml:space="preserve"> PAGEREF _Toc129078448 \h </w:instrText>
      </w:r>
      <w:r>
        <w:fldChar w:fldCharType="separate"/>
      </w:r>
      <w:r>
        <w:t>551</w:t>
      </w:r>
      <w:r>
        <w:fldChar w:fldCharType="end"/>
      </w:r>
    </w:p>
    <w:p>
      <w:pPr>
        <w:pStyle w:val="TOC8"/>
        <w:rPr>
          <w:rFonts w:asciiTheme="minorHAnsi" w:eastAsiaTheme="minorEastAsia" w:hAnsiTheme="minorHAnsi" w:cstheme="minorBidi"/>
          <w:szCs w:val="22"/>
        </w:rPr>
      </w:pPr>
      <w:r>
        <w:t>6.</w:t>
      </w:r>
      <w:r>
        <w:tab/>
        <w:t>Court may give directions at any time</w:t>
      </w:r>
      <w:r>
        <w:tab/>
      </w:r>
      <w:r>
        <w:fldChar w:fldCharType="begin"/>
      </w:r>
      <w:r>
        <w:instrText xml:space="preserve"> PAGEREF _Toc129078449 \h </w:instrText>
      </w:r>
      <w:r>
        <w:fldChar w:fldCharType="separate"/>
      </w:r>
      <w:r>
        <w:t>552</w:t>
      </w:r>
      <w:r>
        <w:fldChar w:fldCharType="end"/>
      </w:r>
    </w:p>
    <w:p>
      <w:pPr>
        <w:pStyle w:val="TOC8"/>
        <w:rPr>
          <w:rFonts w:asciiTheme="minorHAnsi" w:eastAsiaTheme="minorEastAsia" w:hAnsiTheme="minorHAnsi" w:cstheme="minorBidi"/>
          <w:szCs w:val="22"/>
        </w:rPr>
      </w:pPr>
      <w:r>
        <w:t>7.</w:t>
      </w:r>
      <w:r>
        <w:tab/>
        <w:t>Representative respondent</w:t>
      </w:r>
      <w:r>
        <w:tab/>
      </w:r>
      <w:r>
        <w:fldChar w:fldCharType="begin"/>
      </w:r>
      <w:r>
        <w:instrText xml:space="preserve"> PAGEREF _Toc129078450 \h </w:instrText>
      </w:r>
      <w:r>
        <w:fldChar w:fldCharType="separate"/>
      </w:r>
      <w:r>
        <w:t>552</w:t>
      </w:r>
      <w:r>
        <w:fldChar w:fldCharType="end"/>
      </w:r>
    </w:p>
    <w:p>
      <w:pPr>
        <w:pStyle w:val="TOC8"/>
        <w:rPr>
          <w:rFonts w:asciiTheme="minorHAnsi" w:eastAsiaTheme="minorEastAsia" w:hAnsiTheme="minorHAnsi" w:cstheme="minorBidi"/>
          <w:szCs w:val="22"/>
        </w:rPr>
      </w:pPr>
      <w:r>
        <w:t>8.</w:t>
      </w:r>
      <w:r>
        <w:tab/>
        <w:t>Evidence on applications</w:t>
      </w:r>
      <w:r>
        <w:tab/>
      </w:r>
      <w:r>
        <w:fldChar w:fldCharType="begin"/>
      </w:r>
      <w:r>
        <w:instrText xml:space="preserve"> PAGEREF _Toc129078451 \h </w:instrText>
      </w:r>
      <w:r>
        <w:fldChar w:fldCharType="separate"/>
      </w:r>
      <w:r>
        <w:t>553</w:t>
      </w:r>
      <w:r>
        <w:fldChar w:fldCharType="end"/>
      </w:r>
    </w:p>
    <w:p>
      <w:pPr>
        <w:pStyle w:val="TOC8"/>
        <w:rPr>
          <w:rFonts w:asciiTheme="minorHAnsi" w:eastAsiaTheme="minorEastAsia" w:hAnsiTheme="minorHAnsi" w:cstheme="minorBidi"/>
          <w:szCs w:val="22"/>
        </w:rPr>
      </w:pPr>
      <w:r>
        <w:t>9.</w:t>
      </w:r>
      <w:r>
        <w:tab/>
        <w:t>Court may order separate hearing</w:t>
      </w:r>
      <w:r>
        <w:tab/>
      </w:r>
      <w:r>
        <w:fldChar w:fldCharType="begin"/>
      </w:r>
      <w:r>
        <w:instrText xml:space="preserve"> PAGEREF _Toc129078452 \h </w:instrText>
      </w:r>
      <w:r>
        <w:fldChar w:fldCharType="separate"/>
      </w:r>
      <w:r>
        <w:t>553</w:t>
      </w:r>
      <w:r>
        <w:fldChar w:fldCharType="end"/>
      </w:r>
    </w:p>
    <w:p>
      <w:pPr>
        <w:pStyle w:val="TOC2"/>
        <w:tabs>
          <w:tab w:val="right" w:leader="dot" w:pos="7077"/>
        </w:tabs>
        <w:rPr>
          <w:rFonts w:asciiTheme="minorHAnsi" w:eastAsiaTheme="minorEastAsia" w:hAnsiTheme="minorHAnsi" w:cstheme="minorBidi"/>
          <w:b w:val="0"/>
          <w:sz w:val="22"/>
          <w:szCs w:val="22"/>
        </w:rPr>
      </w:pPr>
      <w:r>
        <w:t>Order 81FA</w:t>
      </w:r>
      <w:r>
        <w:rPr>
          <w:b w:val="0"/>
        </w:rPr>
        <w:t> </w:t>
      </w:r>
      <w:r>
        <w:t>—</w:t>
      </w:r>
      <w:r>
        <w:rPr>
          <w:b w:val="0"/>
        </w:rPr>
        <w:t> </w:t>
      </w:r>
      <w:r>
        <w:rPr>
          <w:i/>
          <w:iCs/>
        </w:rPr>
        <w:t>Criminal Property Confiscation Act 2000</w:t>
      </w:r>
      <w:r>
        <w:t xml:space="preserve"> rules</w:t>
      </w:r>
    </w:p>
    <w:p>
      <w:pPr>
        <w:pStyle w:val="TOC4"/>
        <w:tabs>
          <w:tab w:val="right" w:leader="dot" w:pos="7077"/>
        </w:tabs>
        <w:rPr>
          <w:rFonts w:asciiTheme="minorHAnsi" w:eastAsiaTheme="minorEastAsia" w:hAnsiTheme="minorHAnsi" w:cstheme="minorBidi"/>
          <w:b w:val="0"/>
          <w:szCs w:val="22"/>
        </w:rPr>
      </w:pPr>
      <w:r>
        <w:t>Part 1 —</w:t>
      </w:r>
      <w:r>
        <w:rPr>
          <w:b w:val="0"/>
        </w:rPr>
        <w:t>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_Toc129078455 \h </w:instrText>
      </w:r>
      <w:r>
        <w:fldChar w:fldCharType="separate"/>
      </w:r>
      <w:r>
        <w:t>554</w:t>
      </w:r>
      <w:r>
        <w:fldChar w:fldCharType="end"/>
      </w:r>
    </w:p>
    <w:p>
      <w:pPr>
        <w:pStyle w:val="TOC4"/>
        <w:tabs>
          <w:tab w:val="right" w:leader="dot" w:pos="7077"/>
        </w:tabs>
        <w:rPr>
          <w:rFonts w:asciiTheme="minorHAnsi" w:eastAsiaTheme="minorEastAsia" w:hAnsiTheme="minorHAnsi" w:cstheme="minorBidi"/>
          <w:b w:val="0"/>
          <w:szCs w:val="22"/>
        </w:rPr>
      </w:pPr>
      <w:r>
        <w:t>Part 2 — Proceedings under the Confiscation Act 2000</w:t>
      </w:r>
    </w:p>
    <w:p>
      <w:pPr>
        <w:pStyle w:val="TOC8"/>
        <w:rPr>
          <w:rFonts w:asciiTheme="minorHAnsi" w:eastAsiaTheme="minorEastAsia" w:hAnsiTheme="minorHAnsi" w:cstheme="minorBidi"/>
          <w:szCs w:val="22"/>
        </w:rPr>
      </w:pPr>
      <w:r>
        <w:t>2.</w:t>
      </w:r>
      <w:r>
        <w:tab/>
        <w:t>Declarations under Act s. 30, applications for</w:t>
      </w:r>
      <w:r>
        <w:tab/>
      </w:r>
      <w:r>
        <w:fldChar w:fldCharType="begin"/>
      </w:r>
      <w:r>
        <w:instrText xml:space="preserve"> PAGEREF _Toc129078457 \h </w:instrText>
      </w:r>
      <w:r>
        <w:fldChar w:fldCharType="separate"/>
      </w:r>
      <w:r>
        <w:t>555</w:t>
      </w:r>
      <w:r>
        <w:fldChar w:fldCharType="end"/>
      </w:r>
    </w:p>
    <w:p>
      <w:pPr>
        <w:pStyle w:val="TOC8"/>
        <w:rPr>
          <w:rFonts w:asciiTheme="minorHAnsi" w:eastAsiaTheme="minorEastAsia" w:hAnsiTheme="minorHAnsi" w:cstheme="minorBidi"/>
          <w:szCs w:val="22"/>
        </w:rPr>
      </w:pPr>
      <w:r>
        <w:t>3.</w:t>
      </w:r>
      <w:r>
        <w:tab/>
        <w:t>Other declarations or orders, applications for</w:t>
      </w:r>
      <w:r>
        <w:tab/>
      </w:r>
      <w:r>
        <w:fldChar w:fldCharType="begin"/>
      </w:r>
      <w:r>
        <w:instrText xml:space="preserve"> PAGEREF _Toc129078458 \h </w:instrText>
      </w:r>
      <w:r>
        <w:fldChar w:fldCharType="separate"/>
      </w:r>
      <w:r>
        <w:t>556</w:t>
      </w:r>
      <w:r>
        <w:fldChar w:fldCharType="end"/>
      </w:r>
    </w:p>
    <w:p>
      <w:pPr>
        <w:pStyle w:val="TOC8"/>
        <w:rPr>
          <w:rFonts w:asciiTheme="minorHAnsi" w:eastAsiaTheme="minorEastAsia" w:hAnsiTheme="minorHAnsi" w:cstheme="minorBidi"/>
          <w:szCs w:val="22"/>
        </w:rPr>
      </w:pPr>
      <w:r>
        <w:t>4.</w:t>
      </w:r>
      <w:r>
        <w:tab/>
        <w:t>Affidavit in support required for some applications</w:t>
      </w:r>
      <w:r>
        <w:tab/>
      </w:r>
      <w:r>
        <w:fldChar w:fldCharType="begin"/>
      </w:r>
      <w:r>
        <w:instrText xml:space="preserve"> PAGEREF _Toc129078459 \h </w:instrText>
      </w:r>
      <w:r>
        <w:fldChar w:fldCharType="separate"/>
      </w:r>
      <w:r>
        <w:t>557</w:t>
      </w:r>
      <w:r>
        <w:fldChar w:fldCharType="end"/>
      </w:r>
    </w:p>
    <w:p>
      <w:pPr>
        <w:pStyle w:val="TOC8"/>
        <w:rPr>
          <w:rFonts w:asciiTheme="minorHAnsi" w:eastAsiaTheme="minorEastAsia" w:hAnsiTheme="minorHAnsi" w:cstheme="minorBidi"/>
          <w:szCs w:val="22"/>
        </w:rPr>
      </w:pPr>
      <w:r>
        <w:t>5.</w:t>
      </w:r>
      <w:r>
        <w:tab/>
        <w:t>Objections to confiscation of property, making of</w:t>
      </w:r>
      <w:r>
        <w:tab/>
      </w:r>
      <w:r>
        <w:fldChar w:fldCharType="begin"/>
      </w:r>
      <w:r>
        <w:instrText xml:space="preserve"> PAGEREF _Toc129078460 \h </w:instrText>
      </w:r>
      <w:r>
        <w:fldChar w:fldCharType="separate"/>
      </w:r>
      <w:r>
        <w:t>557</w:t>
      </w:r>
      <w:r>
        <w:fldChar w:fldCharType="end"/>
      </w:r>
    </w:p>
    <w:p>
      <w:pPr>
        <w:pStyle w:val="TOC8"/>
        <w:rPr>
          <w:rFonts w:asciiTheme="minorHAnsi" w:eastAsiaTheme="minorEastAsia" w:hAnsiTheme="minorHAnsi" w:cstheme="minorBidi"/>
          <w:szCs w:val="22"/>
        </w:rPr>
      </w:pPr>
      <w:r>
        <w:t>6.</w:t>
      </w:r>
      <w:r>
        <w:tab/>
        <w:t>DPP or CCC to be served</w:t>
      </w:r>
      <w:r>
        <w:tab/>
      </w:r>
      <w:r>
        <w:fldChar w:fldCharType="begin"/>
      </w:r>
      <w:r>
        <w:instrText xml:space="preserve"> PAGEREF _Toc129078461 \h </w:instrText>
      </w:r>
      <w:r>
        <w:fldChar w:fldCharType="separate"/>
      </w:r>
      <w:r>
        <w:t>558</w:t>
      </w:r>
      <w:r>
        <w:fldChar w:fldCharType="end"/>
      </w:r>
    </w:p>
    <w:p>
      <w:pPr>
        <w:pStyle w:val="TOC8"/>
        <w:rPr>
          <w:rFonts w:asciiTheme="minorHAnsi" w:eastAsiaTheme="minorEastAsia" w:hAnsiTheme="minorHAnsi" w:cstheme="minorBidi"/>
          <w:szCs w:val="22"/>
        </w:rPr>
      </w:pPr>
      <w:r>
        <w:t>7.</w:t>
      </w:r>
      <w:r>
        <w:tab/>
        <w:t>Directions</w:t>
      </w:r>
      <w:r>
        <w:tab/>
      </w:r>
      <w:r>
        <w:fldChar w:fldCharType="begin"/>
      </w:r>
      <w:r>
        <w:instrText xml:space="preserve"> PAGEREF _Toc129078462 \h </w:instrText>
      </w:r>
      <w:r>
        <w:fldChar w:fldCharType="separate"/>
      </w:r>
      <w:r>
        <w:t>558</w:t>
      </w:r>
      <w:r>
        <w:fldChar w:fldCharType="end"/>
      </w:r>
    </w:p>
    <w:p>
      <w:pPr>
        <w:pStyle w:val="TOC8"/>
        <w:rPr>
          <w:rFonts w:asciiTheme="minorHAnsi" w:eastAsiaTheme="minorEastAsia" w:hAnsiTheme="minorHAnsi" w:cstheme="minorBidi"/>
          <w:szCs w:val="22"/>
        </w:rPr>
      </w:pPr>
      <w:r>
        <w:lastRenderedPageBreak/>
        <w:t>8.</w:t>
      </w:r>
      <w:r>
        <w:tab/>
        <w:t>Conference not required</w:t>
      </w:r>
      <w:r>
        <w:tab/>
      </w:r>
      <w:r>
        <w:fldChar w:fldCharType="begin"/>
      </w:r>
      <w:r>
        <w:instrText xml:space="preserve"> PAGEREF _Toc129078463 \h </w:instrText>
      </w:r>
      <w:r>
        <w:fldChar w:fldCharType="separate"/>
      </w:r>
      <w:r>
        <w:t>558</w:t>
      </w:r>
      <w:r>
        <w:fldChar w:fldCharType="end"/>
      </w:r>
    </w:p>
    <w:p>
      <w:pPr>
        <w:pStyle w:val="TOC8"/>
        <w:rPr>
          <w:rFonts w:asciiTheme="minorHAnsi" w:eastAsiaTheme="minorEastAsia" w:hAnsiTheme="minorHAnsi" w:cstheme="minorBidi"/>
          <w:szCs w:val="22"/>
        </w:rPr>
      </w:pPr>
      <w:r>
        <w:t>9.</w:t>
      </w:r>
      <w:r>
        <w:tab/>
        <w:t>Representative defendant</w:t>
      </w:r>
      <w:r>
        <w:tab/>
      </w:r>
      <w:r>
        <w:fldChar w:fldCharType="begin"/>
      </w:r>
      <w:r>
        <w:instrText xml:space="preserve"> PAGEREF _Toc129078464 \h </w:instrText>
      </w:r>
      <w:r>
        <w:fldChar w:fldCharType="separate"/>
      </w:r>
      <w:r>
        <w:t>558</w:t>
      </w:r>
      <w:r>
        <w:fldChar w:fldCharType="end"/>
      </w:r>
    </w:p>
    <w:p>
      <w:pPr>
        <w:pStyle w:val="TOC4"/>
        <w:tabs>
          <w:tab w:val="right" w:leader="dot" w:pos="7077"/>
        </w:tabs>
        <w:rPr>
          <w:rFonts w:asciiTheme="minorHAnsi" w:eastAsiaTheme="minorEastAsia" w:hAnsiTheme="minorHAnsi" w:cstheme="minorBidi"/>
          <w:b w:val="0"/>
          <w:szCs w:val="22"/>
        </w:rPr>
      </w:pPr>
      <w:r>
        <w:t>Part 3 — Registration of freezing notices and interstate orders</w:t>
      </w:r>
    </w:p>
    <w:p>
      <w:pPr>
        <w:pStyle w:val="TOC8"/>
        <w:rPr>
          <w:rFonts w:asciiTheme="minorHAnsi" w:eastAsiaTheme="minorEastAsia" w:hAnsiTheme="minorHAnsi" w:cstheme="minorBidi"/>
          <w:szCs w:val="22"/>
        </w:rPr>
      </w:pPr>
      <w:r>
        <w:t>10.</w:t>
      </w:r>
      <w:r>
        <w:tab/>
        <w:t>Freezing notices, registration of etc.</w:t>
      </w:r>
      <w:r>
        <w:tab/>
      </w:r>
      <w:r>
        <w:fldChar w:fldCharType="begin"/>
      </w:r>
      <w:r>
        <w:instrText xml:space="preserve"> PAGEREF _Toc129078466 \h </w:instrText>
      </w:r>
      <w:r>
        <w:fldChar w:fldCharType="separate"/>
      </w:r>
      <w:r>
        <w:t>559</w:t>
      </w:r>
      <w:r>
        <w:fldChar w:fldCharType="end"/>
      </w:r>
    </w:p>
    <w:p>
      <w:pPr>
        <w:pStyle w:val="TOC8"/>
        <w:rPr>
          <w:rFonts w:asciiTheme="minorHAnsi" w:eastAsiaTheme="minorEastAsia" w:hAnsiTheme="minorHAnsi" w:cstheme="minorBidi"/>
          <w:szCs w:val="22"/>
        </w:rPr>
      </w:pPr>
      <w:r>
        <w:t>11.</w:t>
      </w:r>
      <w:r>
        <w:tab/>
        <w:t>Interstate orders, registration of etc.</w:t>
      </w:r>
      <w:r>
        <w:tab/>
      </w:r>
      <w:r>
        <w:fldChar w:fldCharType="begin"/>
      </w:r>
      <w:r>
        <w:instrText xml:space="preserve"> PAGEREF _Toc129078467 \h </w:instrText>
      </w:r>
      <w:r>
        <w:fldChar w:fldCharType="separate"/>
      </w:r>
      <w:r>
        <w:t>559</w:t>
      </w:r>
      <w:r>
        <w:fldChar w:fldCharType="end"/>
      </w:r>
    </w:p>
    <w:p>
      <w:pPr>
        <w:pStyle w:val="TOC2"/>
        <w:tabs>
          <w:tab w:val="right" w:leader="dot" w:pos="7077"/>
        </w:tabs>
        <w:rPr>
          <w:rFonts w:asciiTheme="minorHAnsi" w:eastAsiaTheme="minorEastAsia" w:hAnsiTheme="minorHAnsi" w:cstheme="minorBidi"/>
          <w:b w:val="0"/>
          <w:sz w:val="22"/>
          <w:szCs w:val="22"/>
        </w:rPr>
      </w:pPr>
      <w:r>
        <w:t>Order 81G — </w:t>
      </w:r>
      <w:r>
        <w:rPr>
          <w:i/>
          <w:iCs/>
        </w:rPr>
        <w:t>Criminal and Found Property Disposal Act 2006</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_Toc129078469 \h </w:instrText>
      </w:r>
      <w:r>
        <w:fldChar w:fldCharType="separate"/>
      </w:r>
      <w:r>
        <w:t>561</w:t>
      </w:r>
      <w:r>
        <w:fldChar w:fldCharType="end"/>
      </w:r>
    </w:p>
    <w:p>
      <w:pPr>
        <w:pStyle w:val="TOC8"/>
        <w:rPr>
          <w:rFonts w:asciiTheme="minorHAnsi" w:eastAsiaTheme="minorEastAsia" w:hAnsiTheme="minorHAnsi" w:cstheme="minorBidi"/>
          <w:szCs w:val="22"/>
        </w:rPr>
      </w:pPr>
      <w:r>
        <w:t>2.</w:t>
      </w:r>
      <w:r>
        <w:tab/>
        <w:t>General matters</w:t>
      </w:r>
      <w:r>
        <w:tab/>
      </w:r>
      <w:r>
        <w:fldChar w:fldCharType="begin"/>
      </w:r>
      <w:r>
        <w:instrText xml:space="preserve"> PAGEREF _Toc129078470 \h </w:instrText>
      </w:r>
      <w:r>
        <w:fldChar w:fldCharType="separate"/>
      </w:r>
      <w:r>
        <w:t>561</w:t>
      </w:r>
      <w:r>
        <w:fldChar w:fldCharType="end"/>
      </w:r>
    </w:p>
    <w:p>
      <w:pPr>
        <w:pStyle w:val="TOC8"/>
        <w:rPr>
          <w:rFonts w:asciiTheme="minorHAnsi" w:eastAsiaTheme="minorEastAsia" w:hAnsiTheme="minorHAnsi" w:cstheme="minorBidi"/>
          <w:szCs w:val="22"/>
        </w:rPr>
      </w:pPr>
      <w:r>
        <w:t>3.</w:t>
      </w:r>
      <w:r>
        <w:tab/>
        <w:t>Claims, how to be made</w:t>
      </w:r>
      <w:r>
        <w:tab/>
      </w:r>
      <w:r>
        <w:fldChar w:fldCharType="begin"/>
      </w:r>
      <w:r>
        <w:instrText xml:space="preserve"> PAGEREF _Toc129078471 \h </w:instrText>
      </w:r>
      <w:r>
        <w:fldChar w:fldCharType="separate"/>
      </w:r>
      <w:r>
        <w:t>562</w:t>
      </w:r>
      <w:r>
        <w:fldChar w:fldCharType="end"/>
      </w:r>
    </w:p>
    <w:p>
      <w:pPr>
        <w:pStyle w:val="TOC8"/>
        <w:rPr>
          <w:rFonts w:asciiTheme="minorHAnsi" w:eastAsiaTheme="minorEastAsia" w:hAnsiTheme="minorHAnsi" w:cstheme="minorBidi"/>
          <w:szCs w:val="22"/>
        </w:rPr>
      </w:pPr>
      <w:r>
        <w:t>4.</w:t>
      </w:r>
      <w:r>
        <w:tab/>
        <w:t>Defendant may file memorandum of appearance</w:t>
      </w:r>
      <w:r>
        <w:tab/>
      </w:r>
      <w:r>
        <w:fldChar w:fldCharType="begin"/>
      </w:r>
      <w:r>
        <w:instrText xml:space="preserve"> PAGEREF _Toc129078472 \h </w:instrText>
      </w:r>
      <w:r>
        <w:fldChar w:fldCharType="separate"/>
      </w:r>
      <w:r>
        <w:t>562</w:t>
      </w:r>
      <w:r>
        <w:fldChar w:fldCharType="end"/>
      </w:r>
    </w:p>
    <w:p>
      <w:pPr>
        <w:pStyle w:val="TOC8"/>
        <w:rPr>
          <w:rFonts w:asciiTheme="minorHAnsi" w:eastAsiaTheme="minorEastAsia" w:hAnsiTheme="minorHAnsi" w:cstheme="minorBidi"/>
          <w:szCs w:val="22"/>
        </w:rPr>
      </w:pPr>
      <w:r>
        <w:t>5.</w:t>
      </w:r>
      <w:r>
        <w:tab/>
        <w:t>Defendant may file affidavit in response</w:t>
      </w:r>
      <w:r>
        <w:tab/>
      </w:r>
      <w:r>
        <w:fldChar w:fldCharType="begin"/>
      </w:r>
      <w:r>
        <w:instrText xml:space="preserve"> PAGEREF _Toc129078473 \h </w:instrText>
      </w:r>
      <w:r>
        <w:fldChar w:fldCharType="separate"/>
      </w:r>
      <w:r>
        <w:t>563</w:t>
      </w:r>
      <w:r>
        <w:fldChar w:fldCharType="end"/>
      </w:r>
    </w:p>
    <w:p>
      <w:pPr>
        <w:pStyle w:val="TOC8"/>
        <w:rPr>
          <w:rFonts w:asciiTheme="minorHAnsi" w:eastAsiaTheme="minorEastAsia" w:hAnsiTheme="minorHAnsi" w:cstheme="minorBidi"/>
          <w:szCs w:val="22"/>
        </w:rPr>
      </w:pPr>
      <w:r>
        <w:t>6.</w:t>
      </w:r>
      <w:r>
        <w:tab/>
        <w:t>Applications in course of proceedings on claim</w:t>
      </w:r>
      <w:r>
        <w:tab/>
      </w:r>
      <w:r>
        <w:fldChar w:fldCharType="begin"/>
      </w:r>
      <w:r>
        <w:instrText xml:space="preserve"> PAGEREF _Toc129078474 \h </w:instrText>
      </w:r>
      <w:r>
        <w:fldChar w:fldCharType="separate"/>
      </w:r>
      <w:r>
        <w:t>563</w:t>
      </w:r>
      <w:r>
        <w:fldChar w:fldCharType="end"/>
      </w:r>
    </w:p>
    <w:p>
      <w:pPr>
        <w:pStyle w:val="TOC8"/>
        <w:rPr>
          <w:rFonts w:asciiTheme="minorHAnsi" w:eastAsiaTheme="minorEastAsia" w:hAnsiTheme="minorHAnsi" w:cstheme="minorBidi"/>
          <w:szCs w:val="22"/>
        </w:rPr>
      </w:pPr>
      <w:r>
        <w:t>7.</w:t>
      </w:r>
      <w:r>
        <w:tab/>
        <w:t>Hearing claims</w:t>
      </w:r>
      <w:r>
        <w:tab/>
      </w:r>
      <w:r>
        <w:fldChar w:fldCharType="begin"/>
      </w:r>
      <w:r>
        <w:instrText xml:space="preserve"> PAGEREF _Toc129078475 \h </w:instrText>
      </w:r>
      <w:r>
        <w:fldChar w:fldCharType="separate"/>
      </w:r>
      <w:r>
        <w:t>563</w:t>
      </w:r>
      <w:r>
        <w:fldChar w:fldCharType="end"/>
      </w:r>
    </w:p>
    <w:p>
      <w:pPr>
        <w:pStyle w:val="TOC8"/>
        <w:rPr>
          <w:rFonts w:asciiTheme="minorHAnsi" w:eastAsiaTheme="minorEastAsia" w:hAnsiTheme="minorHAnsi" w:cstheme="minorBidi"/>
          <w:szCs w:val="22"/>
        </w:rPr>
      </w:pPr>
      <w:r>
        <w:t>8.</w:t>
      </w:r>
      <w:r>
        <w:tab/>
        <w:t>Costs</w:t>
      </w:r>
      <w:r>
        <w:tab/>
      </w:r>
      <w:r>
        <w:fldChar w:fldCharType="begin"/>
      </w:r>
      <w:r>
        <w:instrText xml:space="preserve"> PAGEREF _Toc129078476 \h </w:instrText>
      </w:r>
      <w:r>
        <w:fldChar w:fldCharType="separate"/>
      </w:r>
      <w:r>
        <w:t>564</w:t>
      </w:r>
      <w:r>
        <w:fldChar w:fldCharType="end"/>
      </w:r>
    </w:p>
    <w:p>
      <w:pPr>
        <w:pStyle w:val="TOC8"/>
        <w:rPr>
          <w:rFonts w:asciiTheme="minorHAnsi" w:eastAsiaTheme="minorEastAsia" w:hAnsiTheme="minorHAnsi" w:cstheme="minorBidi"/>
          <w:szCs w:val="22"/>
        </w:rPr>
      </w:pPr>
      <w:r>
        <w:t>9.</w:t>
      </w:r>
      <w:r>
        <w:tab/>
        <w:t>Documents cannot be filed electronically</w:t>
      </w:r>
      <w:r>
        <w:tab/>
      </w:r>
      <w:r>
        <w:fldChar w:fldCharType="begin"/>
      </w:r>
      <w:r>
        <w:instrText xml:space="preserve"> PAGEREF _Toc129078477 \h </w:instrText>
      </w:r>
      <w:r>
        <w:fldChar w:fldCharType="separate"/>
      </w:r>
      <w:r>
        <w:t>564</w:t>
      </w:r>
      <w:r>
        <w:fldChar w:fldCharType="end"/>
      </w:r>
    </w:p>
    <w:p>
      <w:pPr>
        <w:pStyle w:val="TOC2"/>
        <w:tabs>
          <w:tab w:val="right" w:leader="dot" w:pos="7077"/>
        </w:tabs>
        <w:rPr>
          <w:rFonts w:asciiTheme="minorHAnsi" w:eastAsiaTheme="minorEastAsia" w:hAnsiTheme="minorHAnsi" w:cstheme="minorBidi"/>
          <w:b w:val="0"/>
          <w:sz w:val="22"/>
          <w:szCs w:val="22"/>
        </w:rPr>
      </w:pPr>
      <w:r>
        <w:t>Order 81H</w:t>
      </w:r>
      <w:r>
        <w:rPr>
          <w:b w:val="0"/>
        </w:rPr>
        <w:t> </w:t>
      </w:r>
      <w:r>
        <w:t>—</w:t>
      </w:r>
      <w:r>
        <w:rPr>
          <w:b w:val="0"/>
        </w:rPr>
        <w:t> </w:t>
      </w:r>
      <w:r>
        <w:rPr>
          <w:i/>
          <w:iCs/>
        </w:rPr>
        <w:t xml:space="preserve">Surveillance Devices Act 1998 </w:t>
      </w:r>
      <w:r>
        <w:t>rules</w:t>
      </w:r>
    </w:p>
    <w:p>
      <w:pPr>
        <w:pStyle w:val="TOC8"/>
        <w:rPr>
          <w:rFonts w:asciiTheme="minorHAnsi" w:eastAsiaTheme="minorEastAsia" w:hAnsiTheme="minorHAnsi" w:cstheme="minorBidi"/>
          <w:szCs w:val="22"/>
        </w:rPr>
      </w:pPr>
      <w:r>
        <w:t>1.</w:t>
      </w:r>
      <w:r>
        <w:tab/>
        <w:t>Term used: Act</w:t>
      </w:r>
      <w:r>
        <w:tab/>
      </w:r>
      <w:r>
        <w:fldChar w:fldCharType="begin"/>
      </w:r>
      <w:r>
        <w:instrText xml:space="preserve"> PAGEREF _Toc129078479 \h </w:instrText>
      </w:r>
      <w:r>
        <w:fldChar w:fldCharType="separate"/>
      </w:r>
      <w:r>
        <w:t>565</w:t>
      </w:r>
      <w:r>
        <w:fldChar w:fldCharType="end"/>
      </w:r>
    </w:p>
    <w:p>
      <w:pPr>
        <w:pStyle w:val="TOC8"/>
        <w:rPr>
          <w:rFonts w:asciiTheme="minorHAnsi" w:eastAsiaTheme="minorEastAsia" w:hAnsiTheme="minorHAnsi" w:cstheme="minorBidi"/>
          <w:szCs w:val="22"/>
        </w:rPr>
      </w:pPr>
      <w:r>
        <w:t>2.</w:t>
      </w:r>
      <w:r>
        <w:tab/>
        <w:t>Warrants, applications for</w:t>
      </w:r>
      <w:r>
        <w:tab/>
      </w:r>
      <w:r>
        <w:fldChar w:fldCharType="begin"/>
      </w:r>
      <w:r>
        <w:instrText xml:space="preserve"> PAGEREF _Toc129078480 \h </w:instrText>
      </w:r>
      <w:r>
        <w:fldChar w:fldCharType="separate"/>
      </w:r>
      <w:r>
        <w:t>565</w:t>
      </w:r>
      <w:r>
        <w:fldChar w:fldCharType="end"/>
      </w:r>
    </w:p>
    <w:p>
      <w:pPr>
        <w:pStyle w:val="TOC8"/>
        <w:rPr>
          <w:rFonts w:asciiTheme="minorHAnsi" w:eastAsiaTheme="minorEastAsia" w:hAnsiTheme="minorHAnsi" w:cstheme="minorBidi"/>
          <w:szCs w:val="22"/>
        </w:rPr>
      </w:pPr>
      <w:r>
        <w:t>3.</w:t>
      </w:r>
      <w:r>
        <w:tab/>
        <w:t>Report to judge (Act s. 21 or 30)</w:t>
      </w:r>
      <w:r>
        <w:tab/>
      </w:r>
      <w:r>
        <w:fldChar w:fldCharType="begin"/>
      </w:r>
      <w:r>
        <w:instrText xml:space="preserve"> PAGEREF _Toc129078481 \h </w:instrText>
      </w:r>
      <w:r>
        <w:fldChar w:fldCharType="separate"/>
      </w:r>
      <w:r>
        <w:t>565</w:t>
      </w:r>
      <w:r>
        <w:fldChar w:fldCharType="end"/>
      </w:r>
    </w:p>
    <w:p>
      <w:pPr>
        <w:pStyle w:val="TOC8"/>
        <w:rPr>
          <w:rFonts w:asciiTheme="minorHAnsi" w:eastAsiaTheme="minorEastAsia" w:hAnsiTheme="minorHAnsi" w:cstheme="minorBidi"/>
          <w:szCs w:val="22"/>
        </w:rPr>
      </w:pPr>
      <w:r>
        <w:t>4.</w:t>
      </w:r>
      <w:r>
        <w:tab/>
        <w:t>Order allowing publication etc. (Act s. 31), application for</w:t>
      </w:r>
      <w:r>
        <w:tab/>
      </w:r>
      <w:r>
        <w:fldChar w:fldCharType="begin"/>
      </w:r>
      <w:r>
        <w:instrText xml:space="preserve"> PAGEREF _Toc129078482 \h </w:instrText>
      </w:r>
      <w:r>
        <w:fldChar w:fldCharType="separate"/>
      </w:r>
      <w:r>
        <w:t>565</w:t>
      </w:r>
      <w:r>
        <w:fldChar w:fldCharType="end"/>
      </w:r>
    </w:p>
    <w:p>
      <w:pPr>
        <w:pStyle w:val="TOC8"/>
        <w:rPr>
          <w:rFonts w:asciiTheme="minorHAnsi" w:eastAsiaTheme="minorEastAsia" w:hAnsiTheme="minorHAnsi" w:cstheme="minorBidi"/>
          <w:szCs w:val="22"/>
        </w:rPr>
      </w:pPr>
      <w:r>
        <w:t>5.</w:t>
      </w:r>
      <w:r>
        <w:tab/>
        <w:t>Identification of persons in documents</w:t>
      </w:r>
      <w:r>
        <w:tab/>
      </w:r>
      <w:r>
        <w:fldChar w:fldCharType="begin"/>
      </w:r>
      <w:r>
        <w:instrText xml:space="preserve"> PAGEREF _Toc129078483 \h </w:instrText>
      </w:r>
      <w:r>
        <w:fldChar w:fldCharType="separate"/>
      </w:r>
      <w:r>
        <w:t>566</w:t>
      </w:r>
      <w:r>
        <w:fldChar w:fldCharType="end"/>
      </w:r>
    </w:p>
    <w:p>
      <w:pPr>
        <w:pStyle w:val="TOC8"/>
        <w:rPr>
          <w:rFonts w:asciiTheme="minorHAnsi" w:eastAsiaTheme="minorEastAsia" w:hAnsiTheme="minorHAnsi" w:cstheme="minorBidi"/>
          <w:szCs w:val="22"/>
        </w:rPr>
      </w:pPr>
      <w:r>
        <w:t>6.</w:t>
      </w:r>
      <w:r>
        <w:tab/>
        <w:t>Practice Directions</w:t>
      </w:r>
      <w:r>
        <w:tab/>
      </w:r>
      <w:r>
        <w:fldChar w:fldCharType="begin"/>
      </w:r>
      <w:r>
        <w:instrText xml:space="preserve"> PAGEREF _Toc129078484 \h </w:instrText>
      </w:r>
      <w:r>
        <w:fldChar w:fldCharType="separate"/>
      </w:r>
      <w:r>
        <w:t>566</w:t>
      </w:r>
      <w:r>
        <w:fldChar w:fldCharType="end"/>
      </w:r>
    </w:p>
    <w:p>
      <w:pPr>
        <w:pStyle w:val="TOC8"/>
        <w:rPr>
          <w:rFonts w:asciiTheme="minorHAnsi" w:eastAsiaTheme="minorEastAsia" w:hAnsiTheme="minorHAnsi" w:cstheme="minorBidi"/>
          <w:szCs w:val="22"/>
        </w:rPr>
      </w:pPr>
      <w:r>
        <w:t>7.</w:t>
      </w:r>
      <w:r>
        <w:tab/>
        <w:t>Documents cannot be filed electronically</w:t>
      </w:r>
      <w:r>
        <w:tab/>
      </w:r>
      <w:r>
        <w:fldChar w:fldCharType="begin"/>
      </w:r>
      <w:r>
        <w:instrText xml:space="preserve"> PAGEREF _Toc129078485 \h </w:instrText>
      </w:r>
      <w:r>
        <w:fldChar w:fldCharType="separate"/>
      </w:r>
      <w:r>
        <w:t>566</w:t>
      </w:r>
      <w:r>
        <w:fldChar w:fldCharType="end"/>
      </w:r>
    </w:p>
    <w:p>
      <w:pPr>
        <w:pStyle w:val="TOC2"/>
        <w:tabs>
          <w:tab w:val="right" w:leader="dot" w:pos="7077"/>
        </w:tabs>
        <w:rPr>
          <w:rFonts w:asciiTheme="minorHAnsi" w:eastAsiaTheme="minorEastAsia" w:hAnsiTheme="minorHAnsi" w:cstheme="minorBidi"/>
          <w:b w:val="0"/>
          <w:sz w:val="22"/>
          <w:szCs w:val="22"/>
        </w:rPr>
      </w:pPr>
      <w:r>
        <w:t>Order 82 — Sheriff’s rules</w:t>
      </w:r>
    </w:p>
    <w:p>
      <w:pPr>
        <w:pStyle w:val="TOC8"/>
        <w:rPr>
          <w:rFonts w:asciiTheme="minorHAnsi" w:eastAsiaTheme="minorEastAsia" w:hAnsiTheme="minorHAnsi" w:cstheme="minorBidi"/>
          <w:szCs w:val="22"/>
        </w:rPr>
      </w:pPr>
      <w:r>
        <w:t>7</w:t>
      </w:r>
      <w:r>
        <w:rPr>
          <w:snapToGrid w:val="0"/>
        </w:rPr>
        <w:t>.</w:t>
      </w:r>
      <w:r>
        <w:rPr>
          <w:snapToGrid w:val="0"/>
        </w:rPr>
        <w:tab/>
        <w:t>Service of process by sheriff</w:t>
      </w:r>
      <w:r>
        <w:tab/>
      </w:r>
      <w:r>
        <w:fldChar w:fldCharType="begin"/>
      </w:r>
      <w:r>
        <w:instrText xml:space="preserve"> PAGEREF _Toc129078487 \h </w:instrText>
      </w:r>
      <w:r>
        <w:fldChar w:fldCharType="separate"/>
      </w:r>
      <w:r>
        <w:t>567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Fees etc. payable to sheriff, disputes as to</w:t>
      </w:r>
      <w:r>
        <w:tab/>
      </w:r>
      <w:r>
        <w:fldChar w:fldCharType="begin"/>
      </w:r>
      <w:r>
        <w:instrText xml:space="preserve"> PAGEREF _Toc129078488 \h </w:instrText>
      </w:r>
      <w:r>
        <w:fldChar w:fldCharType="separate"/>
      </w:r>
      <w:r>
        <w:t>567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Deposit on account of sheriff’s fees</w:t>
      </w:r>
      <w:r>
        <w:tab/>
      </w:r>
      <w:r>
        <w:fldChar w:fldCharType="begin"/>
      </w:r>
      <w:r>
        <w:instrText xml:space="preserve"> PAGEREF _Toc129078489 \h </w:instrText>
      </w:r>
      <w:r>
        <w:fldChar w:fldCharType="separate"/>
      </w:r>
      <w:r>
        <w:t>568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Travel distance by sheriff for service</w:t>
      </w:r>
      <w:r>
        <w:tab/>
      </w:r>
      <w:r>
        <w:fldChar w:fldCharType="begin"/>
      </w:r>
      <w:r>
        <w:instrText xml:space="preserve"> PAGEREF _Toc129078490 \h </w:instrText>
      </w:r>
      <w:r>
        <w:fldChar w:fldCharType="separate"/>
      </w:r>
      <w:r>
        <w:t>568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_Toc129078491 \h </w:instrText>
      </w:r>
      <w:r>
        <w:fldChar w:fldCharType="separate"/>
      </w:r>
      <w:r>
        <w:t>568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Order 83 — Consolidation of pending causes and matters</w:t>
      </w:r>
    </w:p>
    <w:p>
      <w:pPr>
        <w:pStyle w:val="TOC8"/>
        <w:rPr>
          <w:rFonts w:asciiTheme="minorHAnsi" w:eastAsiaTheme="minorEastAsia" w:hAnsiTheme="minorHAnsi" w:cstheme="minorBidi"/>
          <w:szCs w:val="22"/>
        </w:rPr>
      </w:pPr>
      <w:r>
        <w:t>1</w:t>
      </w:r>
      <w:r>
        <w:rPr>
          <w:snapToGrid w:val="0"/>
        </w:rPr>
        <w:t>.</w:t>
      </w:r>
      <w:r>
        <w:rPr>
          <w:snapToGrid w:val="0"/>
        </w:rPr>
        <w:tab/>
        <w:t>Causes may be consolidated</w:t>
      </w:r>
      <w:r>
        <w:tab/>
      </w:r>
      <w:r>
        <w:fldChar w:fldCharType="begin"/>
      </w:r>
      <w:r>
        <w:instrText xml:space="preserve"> PAGEREF _Toc129078493 \h </w:instrText>
      </w:r>
      <w:r>
        <w:fldChar w:fldCharType="separate"/>
      </w:r>
      <w:r>
        <w:t>570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Consolidation with action removed from another court</w:t>
      </w:r>
      <w:r>
        <w:tab/>
      </w:r>
      <w:r>
        <w:fldChar w:fldCharType="begin"/>
      </w:r>
      <w:r>
        <w:instrText xml:space="preserve"> PAGEREF _Toc129078494 \h </w:instrText>
      </w:r>
      <w:r>
        <w:fldChar w:fldCharType="separate"/>
      </w:r>
      <w:r>
        <w:t>570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Directions</w:t>
      </w:r>
      <w:r>
        <w:tab/>
      </w:r>
      <w:r>
        <w:fldChar w:fldCharType="begin"/>
      </w:r>
      <w:r>
        <w:instrText xml:space="preserve"> PAGEREF _Toc129078495 \h </w:instrText>
      </w:r>
      <w:r>
        <w:fldChar w:fldCharType="separate"/>
      </w:r>
      <w:r>
        <w:t>570</w:t>
      </w:r>
      <w:r>
        <w:fldChar w:fldCharType="end"/>
      </w:r>
    </w:p>
    <w:p>
      <w:pPr>
        <w:pStyle w:val="TOC2"/>
        <w:tabs>
          <w:tab w:val="right" w:leader="dot" w:pos="7077"/>
        </w:tabs>
        <w:rPr>
          <w:rFonts w:asciiTheme="minorHAnsi" w:eastAsiaTheme="minorEastAsia" w:hAnsiTheme="minorHAnsi" w:cstheme="minorBidi"/>
          <w:b w:val="0"/>
          <w:sz w:val="22"/>
          <w:szCs w:val="22"/>
        </w:rPr>
      </w:pPr>
      <w:r>
        <w:t>Order 84 — General rules</w:t>
      </w:r>
    </w:p>
    <w:p>
      <w:pPr>
        <w:pStyle w:val="TOC8"/>
        <w:rPr>
          <w:rFonts w:asciiTheme="minorHAnsi" w:eastAsiaTheme="minorEastAsia" w:hAnsiTheme="minorHAnsi" w:cstheme="minorBidi"/>
          <w:szCs w:val="22"/>
        </w:rPr>
      </w:pPr>
      <w:r>
        <w:t>1</w:t>
      </w:r>
      <w:r>
        <w:rPr>
          <w:snapToGrid w:val="0"/>
        </w:rPr>
        <w:t>.</w:t>
      </w:r>
      <w:r>
        <w:rPr>
          <w:snapToGrid w:val="0"/>
        </w:rPr>
        <w:tab/>
        <w:t>Repealed Orders not revived</w:t>
      </w:r>
      <w:r>
        <w:tab/>
      </w:r>
      <w:r>
        <w:fldChar w:fldCharType="begin"/>
      </w:r>
      <w:r>
        <w:instrText xml:space="preserve"> PAGEREF _Toc129078497 \h </w:instrText>
      </w:r>
      <w:r>
        <w:fldChar w:fldCharType="separate"/>
      </w:r>
      <w:r>
        <w:t>571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Cases not provided for</w:t>
      </w:r>
      <w:r>
        <w:tab/>
      </w:r>
      <w:r>
        <w:fldChar w:fldCharType="begin"/>
      </w:r>
      <w:r>
        <w:instrText xml:space="preserve"> PAGEREF _Toc129078498 \h </w:instrText>
      </w:r>
      <w:r>
        <w:fldChar w:fldCharType="separate"/>
      </w:r>
      <w:r>
        <w:t>571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Publication of written reasons for judgment</w:t>
      </w:r>
      <w:r>
        <w:tab/>
      </w:r>
      <w:r>
        <w:fldChar w:fldCharType="begin"/>
      </w:r>
      <w:r>
        <w:instrText xml:space="preserve"> PAGEREF _Toc129078499 \h </w:instrText>
      </w:r>
      <w:r>
        <w:fldChar w:fldCharType="separate"/>
      </w:r>
      <w:r>
        <w:t>571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Bankruptcy jurisdiction, duty of Registrar in Bankruptcy as to seals, records etc.</w:t>
      </w:r>
      <w:r>
        <w:tab/>
      </w:r>
      <w:r>
        <w:fldChar w:fldCharType="begin"/>
      </w:r>
      <w:r>
        <w:instrText xml:space="preserve"> PAGEREF _Toc129078500 \h </w:instrText>
      </w:r>
      <w:r>
        <w:fldChar w:fldCharType="separate"/>
      </w:r>
      <w:r>
        <w:t>572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_Toc129078501 \h </w:instrText>
      </w:r>
      <w:r>
        <w:fldChar w:fldCharType="separate"/>
      </w:r>
      <w:r>
        <w:t>572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Sale proceeds paid into court, claimants to must file affidavit</w:t>
      </w:r>
      <w:r>
        <w:tab/>
      </w:r>
      <w:r>
        <w:fldChar w:fldCharType="begin"/>
      </w:r>
      <w:r>
        <w:instrText xml:space="preserve"> PAGEREF _Toc129078502 \h </w:instrText>
      </w:r>
      <w:r>
        <w:fldChar w:fldCharType="separate"/>
      </w:r>
      <w:r>
        <w:t>573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Account by solicitor to client, applying for and order as to</w:t>
      </w:r>
      <w:r>
        <w:tab/>
      </w:r>
      <w:r>
        <w:fldChar w:fldCharType="begin"/>
      </w:r>
      <w:r>
        <w:instrText xml:space="preserve"> PAGEREF _Toc129078503 \h </w:instrText>
      </w:r>
      <w:r>
        <w:fldChar w:fldCharType="separate"/>
      </w:r>
      <w:r>
        <w:t>573</w:t>
      </w:r>
      <w:r>
        <w:fldChar w:fldCharType="end"/>
      </w:r>
    </w:p>
    <w:p>
      <w:pPr>
        <w:pStyle w:val="TOC8"/>
        <w:rPr>
          <w:rFonts w:asciiTheme="minorHAnsi" w:eastAsiaTheme="minorEastAsia" w:hAnsiTheme="minorHAnsi" w:cstheme="minorBidi"/>
          <w:szCs w:val="22"/>
        </w:rPr>
      </w:pPr>
      <w:r>
        <w:t>8.</w:t>
      </w:r>
      <w:r>
        <w:tab/>
        <w:t>Interest and apportionment, certification of</w:t>
      </w:r>
      <w:r>
        <w:tab/>
      </w:r>
      <w:r>
        <w:fldChar w:fldCharType="begin"/>
      </w:r>
      <w:r>
        <w:instrText xml:space="preserve"> PAGEREF _Toc129078504 \h </w:instrText>
      </w:r>
      <w:r>
        <w:fldChar w:fldCharType="separate"/>
      </w:r>
      <w:r>
        <w:t>573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_Toc129078505 \h </w:instrText>
      </w:r>
      <w:r>
        <w:fldChar w:fldCharType="separate"/>
      </w:r>
      <w:r>
        <w:t>574</w:t>
      </w:r>
      <w:r>
        <w:fldChar w:fldCharType="end"/>
      </w:r>
    </w:p>
    <w:p>
      <w:pPr>
        <w:pStyle w:val="TOC2"/>
        <w:tabs>
          <w:tab w:val="right" w:leader="dot" w:pos="7077"/>
        </w:tabs>
        <w:rPr>
          <w:rFonts w:asciiTheme="minorHAnsi" w:eastAsiaTheme="minorEastAsia" w:hAnsiTheme="minorHAnsi" w:cstheme="minorBidi"/>
          <w:b w:val="0"/>
          <w:sz w:val="22"/>
          <w:szCs w:val="22"/>
        </w:rPr>
      </w:pPr>
      <w:r>
        <w:t>Order 85</w:t>
      </w:r>
      <w:r>
        <w:rPr>
          <w:b w:val="0"/>
        </w:rPr>
        <w:t> </w:t>
      </w:r>
      <w:r>
        <w:t>—</w:t>
      </w:r>
      <w:r>
        <w:rPr>
          <w:b w:val="0"/>
        </w:rPr>
        <w:t> </w:t>
      </w:r>
      <w:r>
        <w:rPr>
          <w:i/>
          <w:iCs/>
        </w:rPr>
        <w:t>Federal Courts (State Jurisdiction) Act 1999</w:t>
      </w:r>
      <w:r>
        <w:t xml:space="preserve"> rules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_Toc129078507 \h </w:instrText>
      </w:r>
      <w:r>
        <w:fldChar w:fldCharType="separate"/>
      </w:r>
      <w:r>
        <w:t>575</w:t>
      </w:r>
      <w:r>
        <w:fldChar w:fldCharType="end"/>
      </w:r>
    </w:p>
    <w:p>
      <w:pPr>
        <w:pStyle w:val="TOC8"/>
        <w:rPr>
          <w:rFonts w:asciiTheme="minorHAnsi" w:eastAsiaTheme="minorEastAsia" w:hAnsiTheme="minorHAnsi" w:cstheme="minorBidi"/>
          <w:szCs w:val="22"/>
        </w:rPr>
      </w:pPr>
      <w:r>
        <w:t>2.</w:t>
      </w:r>
      <w:r>
        <w:tab/>
        <w:t>Title of proceedings</w:t>
      </w:r>
      <w:r>
        <w:tab/>
      </w:r>
      <w:r>
        <w:fldChar w:fldCharType="begin"/>
      </w:r>
      <w:r>
        <w:instrText xml:space="preserve"> PAGEREF _Toc129078508 \h </w:instrText>
      </w:r>
      <w:r>
        <w:fldChar w:fldCharType="separate"/>
      </w:r>
      <w:r>
        <w:t>575</w:t>
      </w:r>
      <w:r>
        <w:fldChar w:fldCharType="end"/>
      </w:r>
    </w:p>
    <w:p>
      <w:pPr>
        <w:pStyle w:val="TOC8"/>
        <w:rPr>
          <w:rFonts w:asciiTheme="minorHAnsi" w:eastAsiaTheme="minorEastAsia" w:hAnsiTheme="minorHAnsi" w:cstheme="minorBidi"/>
          <w:szCs w:val="22"/>
        </w:rPr>
      </w:pPr>
      <w:r>
        <w:t>3.</w:t>
      </w:r>
      <w:r>
        <w:tab/>
        <w:t>No proceedings on ineffective judgment before application to have it registered</w:t>
      </w:r>
      <w:r>
        <w:tab/>
      </w:r>
      <w:r>
        <w:fldChar w:fldCharType="begin"/>
      </w:r>
      <w:r>
        <w:instrText xml:space="preserve"> PAGEREF _Toc129078509 \h </w:instrText>
      </w:r>
      <w:r>
        <w:fldChar w:fldCharType="separate"/>
      </w:r>
      <w:r>
        <w:t>575</w:t>
      </w:r>
      <w:r>
        <w:fldChar w:fldCharType="end"/>
      </w:r>
    </w:p>
    <w:p>
      <w:pPr>
        <w:pStyle w:val="TOC8"/>
        <w:rPr>
          <w:rFonts w:asciiTheme="minorHAnsi" w:eastAsiaTheme="minorEastAsia" w:hAnsiTheme="minorHAnsi" w:cstheme="minorBidi"/>
          <w:szCs w:val="22"/>
        </w:rPr>
      </w:pPr>
      <w:r>
        <w:t>4.</w:t>
      </w:r>
      <w:r>
        <w:tab/>
        <w:t>Ineffective judgment, application for registration of</w:t>
      </w:r>
      <w:r>
        <w:tab/>
      </w:r>
      <w:r>
        <w:fldChar w:fldCharType="begin"/>
      </w:r>
      <w:r>
        <w:instrText xml:space="preserve"> PAGEREF _Toc129078510 \h </w:instrText>
      </w:r>
      <w:r>
        <w:fldChar w:fldCharType="separate"/>
      </w:r>
      <w:r>
        <w:t>576</w:t>
      </w:r>
      <w:r>
        <w:fldChar w:fldCharType="end"/>
      </w:r>
    </w:p>
    <w:p>
      <w:pPr>
        <w:pStyle w:val="TOC8"/>
        <w:rPr>
          <w:rFonts w:asciiTheme="minorHAnsi" w:eastAsiaTheme="minorEastAsia" w:hAnsiTheme="minorHAnsi" w:cstheme="minorBidi"/>
          <w:szCs w:val="22"/>
        </w:rPr>
      </w:pPr>
      <w:r>
        <w:t>5.</w:t>
      </w:r>
      <w:r>
        <w:tab/>
        <w:t>Ineffective judgments, registration of</w:t>
      </w:r>
      <w:r>
        <w:tab/>
      </w:r>
      <w:r>
        <w:fldChar w:fldCharType="begin"/>
      </w:r>
      <w:r>
        <w:instrText xml:space="preserve"> PAGEREF _Toc129078511 \h </w:instrText>
      </w:r>
      <w:r>
        <w:fldChar w:fldCharType="separate"/>
      </w:r>
      <w:r>
        <w:t>577</w:t>
      </w:r>
      <w:r>
        <w:fldChar w:fldCharType="end"/>
      </w:r>
    </w:p>
    <w:p>
      <w:pPr>
        <w:pStyle w:val="TOC8"/>
        <w:rPr>
          <w:rFonts w:asciiTheme="minorHAnsi" w:eastAsiaTheme="minorEastAsia" w:hAnsiTheme="minorHAnsi" w:cstheme="minorBidi"/>
          <w:szCs w:val="22"/>
        </w:rPr>
      </w:pPr>
      <w:r>
        <w:t>6.</w:t>
      </w:r>
      <w:r>
        <w:tab/>
        <w:t>Act s. 10, application for order under</w:t>
      </w:r>
      <w:r>
        <w:tab/>
      </w:r>
      <w:r>
        <w:fldChar w:fldCharType="begin"/>
      </w:r>
      <w:r>
        <w:instrText xml:space="preserve"> PAGEREF _Toc129078512 \h </w:instrText>
      </w:r>
      <w:r>
        <w:fldChar w:fldCharType="separate"/>
      </w:r>
      <w:r>
        <w:t>577</w:t>
      </w:r>
      <w:r>
        <w:fldChar w:fldCharType="end"/>
      </w:r>
    </w:p>
    <w:p>
      <w:pPr>
        <w:pStyle w:val="TOC8"/>
        <w:rPr>
          <w:rFonts w:asciiTheme="minorHAnsi" w:eastAsiaTheme="minorEastAsia" w:hAnsiTheme="minorHAnsi" w:cstheme="minorBidi"/>
          <w:szCs w:val="22"/>
        </w:rPr>
      </w:pPr>
      <w:r>
        <w:t>7.</w:t>
      </w:r>
      <w:r>
        <w:tab/>
        <w:t>Act s. 11, application for order under</w:t>
      </w:r>
      <w:r>
        <w:tab/>
      </w:r>
      <w:r>
        <w:fldChar w:fldCharType="begin"/>
      </w:r>
      <w:r>
        <w:instrText xml:space="preserve"> PAGEREF _Toc129078513 \h </w:instrText>
      </w:r>
      <w:r>
        <w:fldChar w:fldCharType="separate"/>
      </w:r>
      <w:r>
        <w:t>578</w:t>
      </w:r>
      <w:r>
        <w:fldChar w:fldCharType="end"/>
      </w:r>
    </w:p>
    <w:p>
      <w:pPr>
        <w:pStyle w:val="TOC8"/>
        <w:rPr>
          <w:rFonts w:asciiTheme="minorHAnsi" w:eastAsiaTheme="minorEastAsia" w:hAnsiTheme="minorHAnsi" w:cstheme="minorBidi"/>
          <w:szCs w:val="22"/>
        </w:rPr>
      </w:pPr>
      <w:r>
        <w:t>8.</w:t>
      </w:r>
      <w:r>
        <w:tab/>
        <w:t>Act s. 11, effect of order under</w:t>
      </w:r>
      <w:r>
        <w:tab/>
      </w:r>
      <w:r>
        <w:fldChar w:fldCharType="begin"/>
      </w:r>
      <w:r>
        <w:instrText xml:space="preserve"> PAGEREF _Toc129078514 \h </w:instrText>
      </w:r>
      <w:r>
        <w:fldChar w:fldCharType="separate"/>
      </w:r>
      <w:r>
        <w:t>578</w:t>
      </w:r>
      <w:r>
        <w:fldChar w:fldCharType="end"/>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Writ of summons (general form) (O. 5 r. 1)</w:t>
      </w:r>
      <w:r>
        <w:tab/>
      </w:r>
      <w:r>
        <w:fldChar w:fldCharType="begin"/>
      </w:r>
      <w:r>
        <w:instrText xml:space="preserve"> PAGEREF _Toc129078516 \h </w:instrText>
      </w:r>
      <w:r>
        <w:fldChar w:fldCharType="separate"/>
      </w:r>
      <w:r>
        <w:t>580</w:t>
      </w:r>
      <w:r>
        <w:fldChar w:fldCharType="end"/>
      </w:r>
    </w:p>
    <w:p>
      <w:pPr>
        <w:pStyle w:val="TOC8"/>
        <w:rPr>
          <w:rFonts w:asciiTheme="minorHAnsi" w:eastAsiaTheme="minorEastAsia" w:hAnsiTheme="minorHAnsi" w:cstheme="minorBidi"/>
          <w:szCs w:val="22"/>
        </w:rPr>
      </w:pPr>
      <w:r>
        <w:t>2.</w:t>
      </w:r>
      <w:r>
        <w:tab/>
        <w:t>Writ of summons indorsed with statement of claim (O. 5 r. 1)</w:t>
      </w:r>
      <w:r>
        <w:tab/>
      </w:r>
      <w:r>
        <w:fldChar w:fldCharType="begin"/>
      </w:r>
      <w:r>
        <w:instrText xml:space="preserve"> PAGEREF _Toc129078517 \h </w:instrText>
      </w:r>
      <w:r>
        <w:fldChar w:fldCharType="separate"/>
      </w:r>
      <w:r>
        <w:t>582</w:t>
      </w:r>
      <w:r>
        <w:fldChar w:fldCharType="end"/>
      </w:r>
    </w:p>
    <w:p>
      <w:pPr>
        <w:pStyle w:val="TOC8"/>
        <w:rPr>
          <w:rFonts w:asciiTheme="minorHAnsi" w:eastAsiaTheme="minorEastAsia" w:hAnsiTheme="minorHAnsi" w:cstheme="minorBidi"/>
          <w:szCs w:val="22"/>
        </w:rPr>
      </w:pPr>
      <w:r>
        <w:t>3.</w:t>
      </w:r>
      <w:r>
        <w:tab/>
        <w:t>Writ of summons to be served outside WA</w:t>
      </w:r>
      <w:r>
        <w:tab/>
      </w:r>
      <w:r>
        <w:fldChar w:fldCharType="begin"/>
      </w:r>
      <w:r>
        <w:instrText xml:space="preserve"> PAGEREF _Toc129078518 \h </w:instrText>
      </w:r>
      <w:r>
        <w:fldChar w:fldCharType="separate"/>
      </w:r>
      <w:r>
        <w:t>583</w:t>
      </w:r>
      <w:r>
        <w:fldChar w:fldCharType="end"/>
      </w:r>
    </w:p>
    <w:p>
      <w:pPr>
        <w:pStyle w:val="TOC8"/>
        <w:rPr>
          <w:rFonts w:asciiTheme="minorHAnsi" w:eastAsiaTheme="minorEastAsia" w:hAnsiTheme="minorHAnsi" w:cstheme="minorBidi"/>
          <w:szCs w:val="22"/>
        </w:rPr>
      </w:pPr>
      <w:r>
        <w:lastRenderedPageBreak/>
        <w:t>4.</w:t>
      </w:r>
      <w:r>
        <w:tab/>
        <w:t>Notice to defendant in action for possession, foreclosure or sale of mortgaged property (O. 4AA r. 3)</w:t>
      </w:r>
      <w:r>
        <w:tab/>
      </w:r>
      <w:r>
        <w:fldChar w:fldCharType="begin"/>
      </w:r>
      <w:r>
        <w:instrText xml:space="preserve"> PAGEREF _Toc129078519 \h </w:instrText>
      </w:r>
      <w:r>
        <w:fldChar w:fldCharType="separate"/>
      </w:r>
      <w:r>
        <w:t>584</w:t>
      </w:r>
      <w:r>
        <w:fldChar w:fldCharType="end"/>
      </w:r>
    </w:p>
    <w:p>
      <w:pPr>
        <w:pStyle w:val="TOC8"/>
        <w:rPr>
          <w:rFonts w:asciiTheme="minorHAnsi" w:eastAsiaTheme="minorEastAsia" w:hAnsiTheme="minorHAnsi" w:cstheme="minorBidi"/>
          <w:szCs w:val="22"/>
        </w:rPr>
      </w:pPr>
      <w:r>
        <w:t>5.</w:t>
      </w:r>
      <w:r>
        <w:tab/>
        <w:t>Indorsements of representative capacity of parties (O. 6 r. 5)</w:t>
      </w:r>
      <w:r>
        <w:tab/>
      </w:r>
      <w:r>
        <w:fldChar w:fldCharType="begin"/>
      </w:r>
      <w:r>
        <w:instrText xml:space="preserve"> PAGEREF _Toc129078520 \h </w:instrText>
      </w:r>
      <w:r>
        <w:fldChar w:fldCharType="separate"/>
      </w:r>
      <w:r>
        <w:t>586</w:t>
      </w:r>
      <w:r>
        <w:fldChar w:fldCharType="end"/>
      </w:r>
    </w:p>
    <w:p>
      <w:pPr>
        <w:pStyle w:val="TOC8"/>
        <w:rPr>
          <w:rFonts w:asciiTheme="minorHAnsi" w:eastAsiaTheme="minorEastAsia" w:hAnsiTheme="minorHAnsi" w:cstheme="minorBidi"/>
          <w:szCs w:val="22"/>
        </w:rPr>
      </w:pPr>
      <w:r>
        <w:t>5AA.</w:t>
      </w:r>
      <w:r>
        <w:tab/>
        <w:t>Notice of change of representation, service details or address (O. 8 r. 5A; O. 71A r. 5(2)(aa))</w:t>
      </w:r>
      <w:r>
        <w:tab/>
      </w:r>
      <w:r>
        <w:fldChar w:fldCharType="begin"/>
      </w:r>
      <w:r>
        <w:instrText xml:space="preserve"> PAGEREF _Toc129078521 \h </w:instrText>
      </w:r>
      <w:r>
        <w:fldChar w:fldCharType="separate"/>
      </w:r>
      <w:r>
        <w:t>587</w:t>
      </w:r>
      <w:r>
        <w:fldChar w:fldCharType="end"/>
      </w:r>
    </w:p>
    <w:p>
      <w:pPr>
        <w:pStyle w:val="TOC8"/>
        <w:rPr>
          <w:rFonts w:asciiTheme="minorHAnsi" w:eastAsiaTheme="minorEastAsia" w:hAnsiTheme="minorHAnsi" w:cstheme="minorBidi"/>
          <w:szCs w:val="22"/>
        </w:rPr>
      </w:pPr>
      <w:r>
        <w:t>5A.</w:t>
      </w:r>
      <w:r>
        <w:tab/>
        <w:t>Request for service abroad of judicial documents and certificate (O. 11A r. 4, 6 &amp; 16)</w:t>
      </w:r>
      <w:r>
        <w:tab/>
      </w:r>
      <w:r>
        <w:fldChar w:fldCharType="begin"/>
      </w:r>
      <w:r>
        <w:instrText xml:space="preserve"> PAGEREF _Toc129078522 \h </w:instrText>
      </w:r>
      <w:r>
        <w:fldChar w:fldCharType="separate"/>
      </w:r>
      <w:r>
        <w:t>589</w:t>
      </w:r>
      <w:r>
        <w:fldChar w:fldCharType="end"/>
      </w:r>
    </w:p>
    <w:p>
      <w:pPr>
        <w:pStyle w:val="TOC8"/>
        <w:rPr>
          <w:rFonts w:asciiTheme="minorHAnsi" w:eastAsiaTheme="minorEastAsia" w:hAnsiTheme="minorHAnsi" w:cstheme="minorBidi"/>
          <w:szCs w:val="22"/>
        </w:rPr>
      </w:pPr>
      <w:r>
        <w:t>5B.</w:t>
      </w:r>
      <w:r>
        <w:tab/>
        <w:t>Summary of the document to be served (O. 11A r. 4)</w:t>
      </w:r>
      <w:r>
        <w:tab/>
      </w:r>
      <w:r>
        <w:fldChar w:fldCharType="begin"/>
      </w:r>
      <w:r>
        <w:instrText xml:space="preserve"> PAGEREF _Toc129078523 \h </w:instrText>
      </w:r>
      <w:r>
        <w:fldChar w:fldCharType="separate"/>
      </w:r>
      <w:r>
        <w:t>592</w:t>
      </w:r>
      <w:r>
        <w:fldChar w:fldCharType="end"/>
      </w:r>
    </w:p>
    <w:p>
      <w:pPr>
        <w:pStyle w:val="TOC8"/>
        <w:rPr>
          <w:rFonts w:asciiTheme="minorHAnsi" w:eastAsiaTheme="minorEastAsia" w:hAnsiTheme="minorHAnsi" w:cstheme="minorBidi"/>
          <w:szCs w:val="22"/>
        </w:rPr>
      </w:pPr>
      <w:r>
        <w:t>6.</w:t>
      </w:r>
      <w:r>
        <w:tab/>
        <w:t>Memorandum of appearance (O. 12 r. 2(2))</w:t>
      </w:r>
      <w:r>
        <w:tab/>
      </w:r>
      <w:r>
        <w:fldChar w:fldCharType="begin"/>
      </w:r>
      <w:r>
        <w:instrText xml:space="preserve"> PAGEREF _Toc129078524 \h </w:instrText>
      </w:r>
      <w:r>
        <w:fldChar w:fldCharType="separate"/>
      </w:r>
      <w:r>
        <w:t>593</w:t>
      </w:r>
      <w:r>
        <w:fldChar w:fldCharType="end"/>
      </w:r>
    </w:p>
    <w:p>
      <w:pPr>
        <w:pStyle w:val="TOC8"/>
        <w:rPr>
          <w:rFonts w:asciiTheme="minorHAnsi" w:eastAsiaTheme="minorEastAsia" w:hAnsiTheme="minorHAnsi" w:cstheme="minorBidi"/>
          <w:szCs w:val="22"/>
        </w:rPr>
      </w:pPr>
      <w:r>
        <w:t>7.</w:t>
      </w:r>
      <w:r>
        <w:tab/>
        <w:t>Notice limiting defence (O. 12 r. 10)</w:t>
      </w:r>
      <w:r>
        <w:tab/>
      </w:r>
      <w:r>
        <w:fldChar w:fldCharType="begin"/>
      </w:r>
      <w:r>
        <w:instrText xml:space="preserve"> PAGEREF _Toc129078525 \h </w:instrText>
      </w:r>
      <w:r>
        <w:fldChar w:fldCharType="separate"/>
      </w:r>
      <w:r>
        <w:t>595</w:t>
      </w:r>
      <w:r>
        <w:fldChar w:fldCharType="end"/>
      </w:r>
    </w:p>
    <w:p>
      <w:pPr>
        <w:pStyle w:val="TOC8"/>
        <w:rPr>
          <w:rFonts w:asciiTheme="minorHAnsi" w:eastAsiaTheme="minorEastAsia" w:hAnsiTheme="minorHAnsi" w:cstheme="minorBidi"/>
          <w:szCs w:val="22"/>
        </w:rPr>
      </w:pPr>
      <w:r>
        <w:t>10.</w:t>
      </w:r>
      <w:r>
        <w:tab/>
        <w:t>Forms for Order 18</w:t>
      </w:r>
      <w:r>
        <w:tab/>
      </w:r>
      <w:r>
        <w:fldChar w:fldCharType="begin"/>
      </w:r>
      <w:r>
        <w:instrText xml:space="preserve"> PAGEREF _Toc129078526 \h </w:instrText>
      </w:r>
      <w:r>
        <w:fldChar w:fldCharType="separate"/>
      </w:r>
      <w:r>
        <w:t>596</w:t>
      </w:r>
      <w:r>
        <w:fldChar w:fldCharType="end"/>
      </w:r>
    </w:p>
    <w:p>
      <w:pPr>
        <w:pStyle w:val="TOC8"/>
        <w:rPr>
          <w:rFonts w:asciiTheme="minorHAnsi" w:eastAsiaTheme="minorEastAsia" w:hAnsiTheme="minorHAnsi" w:cstheme="minorBidi"/>
          <w:szCs w:val="22"/>
        </w:rPr>
      </w:pPr>
      <w:r>
        <w:t>11.</w:t>
      </w:r>
      <w:r>
        <w:tab/>
        <w:t>Third party notice (general form) (O. 19 r. 1)</w:t>
      </w:r>
      <w:r>
        <w:tab/>
      </w:r>
      <w:r>
        <w:fldChar w:fldCharType="begin"/>
      </w:r>
      <w:r>
        <w:instrText xml:space="preserve"> PAGEREF _Toc129078527 \h </w:instrText>
      </w:r>
      <w:r>
        <w:fldChar w:fldCharType="separate"/>
      </w:r>
      <w:r>
        <w:t>598</w:t>
      </w:r>
      <w:r>
        <w:fldChar w:fldCharType="end"/>
      </w:r>
    </w:p>
    <w:p>
      <w:pPr>
        <w:pStyle w:val="TOC8"/>
        <w:rPr>
          <w:rFonts w:asciiTheme="minorHAnsi" w:eastAsiaTheme="minorEastAsia" w:hAnsiTheme="minorHAnsi" w:cstheme="minorBidi"/>
          <w:szCs w:val="22"/>
        </w:rPr>
      </w:pPr>
      <w:r>
        <w:t>12.</w:t>
      </w:r>
      <w:r>
        <w:tab/>
        <w:t>Third party notice where question or issue to be determined (O. 19 r. 1)</w:t>
      </w:r>
      <w:r>
        <w:tab/>
      </w:r>
      <w:r>
        <w:fldChar w:fldCharType="begin"/>
      </w:r>
      <w:r>
        <w:instrText xml:space="preserve"> PAGEREF _Toc129078528 \h </w:instrText>
      </w:r>
      <w:r>
        <w:fldChar w:fldCharType="separate"/>
      </w:r>
      <w:r>
        <w:t>599</w:t>
      </w:r>
      <w:r>
        <w:fldChar w:fldCharType="end"/>
      </w:r>
    </w:p>
    <w:p>
      <w:pPr>
        <w:pStyle w:val="TOC8"/>
        <w:rPr>
          <w:rFonts w:asciiTheme="minorHAnsi" w:eastAsiaTheme="minorEastAsia" w:hAnsiTheme="minorHAnsi" w:cstheme="minorBidi"/>
          <w:szCs w:val="22"/>
        </w:rPr>
      </w:pPr>
      <w:r>
        <w:t>17.</w:t>
      </w:r>
      <w:r>
        <w:tab/>
        <w:t>List of documents (O. 26 r. 4(1) &amp; 8)</w:t>
      </w:r>
      <w:r>
        <w:tab/>
      </w:r>
      <w:r>
        <w:fldChar w:fldCharType="begin"/>
      </w:r>
      <w:r>
        <w:instrText xml:space="preserve"> PAGEREF _Toc129078529 \h </w:instrText>
      </w:r>
      <w:r>
        <w:fldChar w:fldCharType="separate"/>
      </w:r>
      <w:r>
        <w:t>600</w:t>
      </w:r>
      <w:r>
        <w:fldChar w:fldCharType="end"/>
      </w:r>
    </w:p>
    <w:p>
      <w:pPr>
        <w:pStyle w:val="TOC8"/>
        <w:rPr>
          <w:rFonts w:asciiTheme="minorHAnsi" w:eastAsiaTheme="minorEastAsia" w:hAnsiTheme="minorHAnsi" w:cstheme="minorBidi"/>
          <w:szCs w:val="22"/>
        </w:rPr>
      </w:pPr>
      <w:r>
        <w:t>18.</w:t>
      </w:r>
      <w:r>
        <w:tab/>
        <w:t>Affidavit verifying list of documents (O. 26 r. 4(3))</w:t>
      </w:r>
      <w:r>
        <w:tab/>
      </w:r>
      <w:r>
        <w:fldChar w:fldCharType="begin"/>
      </w:r>
      <w:r>
        <w:instrText xml:space="preserve"> PAGEREF _Toc129078530 \h </w:instrText>
      </w:r>
      <w:r>
        <w:fldChar w:fldCharType="separate"/>
      </w:r>
      <w:r>
        <w:t>603</w:t>
      </w:r>
      <w:r>
        <w:fldChar w:fldCharType="end"/>
      </w:r>
    </w:p>
    <w:p>
      <w:pPr>
        <w:pStyle w:val="TOC8"/>
        <w:rPr>
          <w:rFonts w:asciiTheme="minorHAnsi" w:eastAsiaTheme="minorEastAsia" w:hAnsiTheme="minorHAnsi" w:cstheme="minorBidi"/>
          <w:szCs w:val="22"/>
        </w:rPr>
      </w:pPr>
      <w:r>
        <w:t>21.</w:t>
      </w:r>
      <w:r>
        <w:tab/>
        <w:t>Subpoena to give oral evidence (O. 36B r. 3(1))</w:t>
      </w:r>
      <w:r>
        <w:tab/>
      </w:r>
      <w:r>
        <w:fldChar w:fldCharType="begin"/>
      </w:r>
      <w:r>
        <w:instrText xml:space="preserve"> PAGEREF _Toc129078531 \h </w:instrText>
      </w:r>
      <w:r>
        <w:fldChar w:fldCharType="separate"/>
      </w:r>
      <w:r>
        <w:t>604</w:t>
      </w:r>
      <w:r>
        <w:fldChar w:fldCharType="end"/>
      </w:r>
    </w:p>
    <w:p>
      <w:pPr>
        <w:pStyle w:val="TOC8"/>
        <w:rPr>
          <w:rFonts w:asciiTheme="minorHAnsi" w:eastAsiaTheme="minorEastAsia" w:hAnsiTheme="minorHAnsi" w:cstheme="minorBidi"/>
          <w:szCs w:val="22"/>
        </w:rPr>
      </w:pPr>
      <w:r>
        <w:t>21A.</w:t>
      </w:r>
      <w:r>
        <w:tab/>
        <w:t>Subpoena to produce documents (O. 36B r. 3(1))</w:t>
      </w:r>
      <w:r>
        <w:tab/>
      </w:r>
      <w:r>
        <w:fldChar w:fldCharType="begin"/>
      </w:r>
      <w:r>
        <w:instrText xml:space="preserve"> PAGEREF _Toc129078532 \h </w:instrText>
      </w:r>
      <w:r>
        <w:fldChar w:fldCharType="separate"/>
      </w:r>
      <w:r>
        <w:t>605</w:t>
      </w:r>
      <w:r>
        <w:fldChar w:fldCharType="end"/>
      </w:r>
    </w:p>
    <w:p>
      <w:pPr>
        <w:pStyle w:val="TOC8"/>
        <w:rPr>
          <w:rFonts w:asciiTheme="minorHAnsi" w:eastAsiaTheme="minorEastAsia" w:hAnsiTheme="minorHAnsi" w:cstheme="minorBidi"/>
          <w:szCs w:val="22"/>
        </w:rPr>
      </w:pPr>
      <w:r>
        <w:t>21B.</w:t>
      </w:r>
      <w:r>
        <w:tab/>
        <w:t>Subpoena to give oral evidence and produce documents (O. 36B r. 3(1))</w:t>
      </w:r>
      <w:r>
        <w:tab/>
      </w:r>
      <w:r>
        <w:fldChar w:fldCharType="begin"/>
      </w:r>
      <w:r>
        <w:instrText xml:space="preserve"> PAGEREF _Toc129078533 \h </w:instrText>
      </w:r>
      <w:r>
        <w:fldChar w:fldCharType="separate"/>
      </w:r>
      <w:r>
        <w:t>608</w:t>
      </w:r>
      <w:r>
        <w:fldChar w:fldCharType="end"/>
      </w:r>
    </w:p>
    <w:p>
      <w:pPr>
        <w:pStyle w:val="TOC8"/>
        <w:rPr>
          <w:rFonts w:asciiTheme="minorHAnsi" w:eastAsiaTheme="minorEastAsia" w:hAnsiTheme="minorHAnsi" w:cstheme="minorBidi"/>
          <w:szCs w:val="22"/>
        </w:rPr>
      </w:pPr>
      <w:r>
        <w:t>22A.</w:t>
      </w:r>
      <w:r>
        <w:tab/>
        <w:t>Subpoena notice and declaration (O. 36B r. 10(3))</w:t>
      </w:r>
      <w:r>
        <w:tab/>
      </w:r>
      <w:r>
        <w:fldChar w:fldCharType="begin"/>
      </w:r>
      <w:r>
        <w:instrText xml:space="preserve"> PAGEREF _Toc129078534 \h </w:instrText>
      </w:r>
      <w:r>
        <w:fldChar w:fldCharType="separate"/>
      </w:r>
      <w:r>
        <w:t>612</w:t>
      </w:r>
      <w:r>
        <w:fldChar w:fldCharType="end"/>
      </w:r>
    </w:p>
    <w:p>
      <w:pPr>
        <w:pStyle w:val="TOC8"/>
        <w:rPr>
          <w:rFonts w:asciiTheme="minorHAnsi" w:eastAsiaTheme="minorEastAsia" w:hAnsiTheme="minorHAnsi" w:cstheme="minorBidi"/>
          <w:szCs w:val="22"/>
        </w:rPr>
      </w:pPr>
      <w:r>
        <w:t>23.</w:t>
      </w:r>
      <w:r>
        <w:tab/>
        <w:t>Subpoena to give evidence to WA Supreme Court (to be served in NZ) (O. 39A r. 2A)</w:t>
      </w:r>
      <w:r>
        <w:tab/>
      </w:r>
      <w:r>
        <w:fldChar w:fldCharType="begin"/>
      </w:r>
      <w:r>
        <w:instrText xml:space="preserve"> PAGEREF _Toc129078535 \h </w:instrText>
      </w:r>
      <w:r>
        <w:fldChar w:fldCharType="separate"/>
      </w:r>
      <w:r>
        <w:t>613</w:t>
      </w:r>
      <w:r>
        <w:fldChar w:fldCharType="end"/>
      </w:r>
    </w:p>
    <w:p>
      <w:pPr>
        <w:pStyle w:val="TOC8"/>
        <w:rPr>
          <w:rFonts w:asciiTheme="minorHAnsi" w:eastAsiaTheme="minorEastAsia" w:hAnsiTheme="minorHAnsi" w:cstheme="minorBidi"/>
          <w:szCs w:val="22"/>
        </w:rPr>
      </w:pPr>
      <w:r>
        <w:t>23A.</w:t>
      </w:r>
      <w:r>
        <w:tab/>
        <w:t>Subpoena to produce documents to WA Supreme Court (to be served in NZ) (O. 39A r. 2A)</w:t>
      </w:r>
      <w:r>
        <w:tab/>
      </w:r>
      <w:r>
        <w:fldChar w:fldCharType="begin"/>
      </w:r>
      <w:r>
        <w:instrText xml:space="preserve"> PAGEREF _Toc129078536 \h </w:instrText>
      </w:r>
      <w:r>
        <w:fldChar w:fldCharType="separate"/>
      </w:r>
      <w:r>
        <w:t>618</w:t>
      </w:r>
      <w:r>
        <w:fldChar w:fldCharType="end"/>
      </w:r>
    </w:p>
    <w:p>
      <w:pPr>
        <w:pStyle w:val="TOC8"/>
        <w:rPr>
          <w:rFonts w:asciiTheme="minorHAnsi" w:eastAsiaTheme="minorEastAsia" w:hAnsiTheme="minorHAnsi" w:cstheme="minorBidi"/>
          <w:szCs w:val="22"/>
        </w:rPr>
      </w:pPr>
      <w:r>
        <w:t>23B.</w:t>
      </w:r>
      <w:r>
        <w:tab/>
        <w:t>Subpoena to give evidence and produce documents to WA Supreme Court (to be served in NZ) (O. 39A r. 2A)</w:t>
      </w:r>
      <w:r>
        <w:tab/>
      </w:r>
      <w:r>
        <w:fldChar w:fldCharType="begin"/>
      </w:r>
      <w:r>
        <w:instrText xml:space="preserve"> PAGEREF _Toc129078537 \h </w:instrText>
      </w:r>
      <w:r>
        <w:fldChar w:fldCharType="separate"/>
      </w:r>
      <w:r>
        <w:t>624</w:t>
      </w:r>
      <w:r>
        <w:fldChar w:fldCharType="end"/>
      </w:r>
    </w:p>
    <w:p>
      <w:pPr>
        <w:pStyle w:val="TOC8"/>
        <w:rPr>
          <w:rFonts w:asciiTheme="minorHAnsi" w:eastAsiaTheme="minorEastAsia" w:hAnsiTheme="minorHAnsi" w:cstheme="minorBidi"/>
          <w:szCs w:val="22"/>
        </w:rPr>
      </w:pPr>
      <w:r>
        <w:t>25.</w:t>
      </w:r>
      <w:r>
        <w:tab/>
        <w:t>Order for examination of witness before trial (O. 38 r. 1)</w:t>
      </w:r>
      <w:r>
        <w:tab/>
      </w:r>
      <w:r>
        <w:fldChar w:fldCharType="begin"/>
      </w:r>
      <w:r>
        <w:instrText xml:space="preserve"> PAGEREF _Toc129078538 \h </w:instrText>
      </w:r>
      <w:r>
        <w:fldChar w:fldCharType="separate"/>
      </w:r>
      <w:r>
        <w:t>632</w:t>
      </w:r>
      <w:r>
        <w:fldChar w:fldCharType="end"/>
      </w:r>
    </w:p>
    <w:p>
      <w:pPr>
        <w:pStyle w:val="TOC8"/>
        <w:rPr>
          <w:rFonts w:asciiTheme="minorHAnsi" w:eastAsiaTheme="minorEastAsia" w:hAnsiTheme="minorHAnsi" w:cstheme="minorBidi"/>
          <w:szCs w:val="22"/>
        </w:rPr>
      </w:pPr>
      <w:r>
        <w:t>26.</w:t>
      </w:r>
      <w:r>
        <w:tab/>
      </w:r>
      <w:r>
        <w:rPr>
          <w:i/>
        </w:rPr>
        <w:t xml:space="preserve">Evidence Act 1906 </w:t>
      </w:r>
      <w:r>
        <w:t>s. 110 or 111, order under (O. 38A r. 5)</w:t>
      </w:r>
      <w:r>
        <w:tab/>
      </w:r>
      <w:r>
        <w:fldChar w:fldCharType="begin"/>
      </w:r>
      <w:r>
        <w:instrText xml:space="preserve"> PAGEREF _Toc129078539 \h </w:instrText>
      </w:r>
      <w:r>
        <w:fldChar w:fldCharType="separate"/>
      </w:r>
      <w:r>
        <w:t>633</w:t>
      </w:r>
      <w:r>
        <w:fldChar w:fldCharType="end"/>
      </w:r>
    </w:p>
    <w:p>
      <w:pPr>
        <w:pStyle w:val="TOC8"/>
        <w:rPr>
          <w:rFonts w:asciiTheme="minorHAnsi" w:eastAsiaTheme="minorEastAsia" w:hAnsiTheme="minorHAnsi" w:cstheme="minorBidi"/>
          <w:szCs w:val="22"/>
        </w:rPr>
      </w:pPr>
      <w:r>
        <w:t>28.</w:t>
      </w:r>
      <w:r>
        <w:tab/>
        <w:t>Letter of request (O. 38A r. 3(4))</w:t>
      </w:r>
      <w:r>
        <w:tab/>
      </w:r>
      <w:r>
        <w:fldChar w:fldCharType="begin"/>
      </w:r>
      <w:r>
        <w:instrText xml:space="preserve"> PAGEREF _Toc129078540 \h </w:instrText>
      </w:r>
      <w:r>
        <w:fldChar w:fldCharType="separate"/>
      </w:r>
      <w:r>
        <w:t>635</w:t>
      </w:r>
      <w:r>
        <w:fldChar w:fldCharType="end"/>
      </w:r>
    </w:p>
    <w:p>
      <w:pPr>
        <w:pStyle w:val="TOC8"/>
        <w:rPr>
          <w:rFonts w:asciiTheme="minorHAnsi" w:eastAsiaTheme="minorEastAsia" w:hAnsiTheme="minorHAnsi" w:cstheme="minorBidi"/>
          <w:szCs w:val="22"/>
        </w:rPr>
      </w:pPr>
      <w:r>
        <w:t>29.</w:t>
      </w:r>
      <w:r>
        <w:tab/>
        <w:t>Undertaking as to costs of letter of request (O. 38A r. 5)</w:t>
      </w:r>
      <w:r>
        <w:tab/>
      </w:r>
      <w:r>
        <w:fldChar w:fldCharType="begin"/>
      </w:r>
      <w:r>
        <w:instrText xml:space="preserve"> PAGEREF _Toc129078541 \h </w:instrText>
      </w:r>
      <w:r>
        <w:fldChar w:fldCharType="separate"/>
      </w:r>
      <w:r>
        <w:t>636</w:t>
      </w:r>
      <w:r>
        <w:fldChar w:fldCharType="end"/>
      </w:r>
    </w:p>
    <w:p>
      <w:pPr>
        <w:pStyle w:val="TOC8"/>
        <w:rPr>
          <w:rFonts w:asciiTheme="minorHAnsi" w:eastAsiaTheme="minorEastAsia" w:hAnsiTheme="minorHAnsi" w:cstheme="minorBidi"/>
          <w:szCs w:val="22"/>
        </w:rPr>
      </w:pPr>
      <w:r>
        <w:t>30.</w:t>
      </w:r>
      <w:r>
        <w:tab/>
      </w:r>
      <w:r>
        <w:rPr>
          <w:i/>
        </w:rPr>
        <w:t xml:space="preserve">Evidence Act 1906 </w:t>
      </w:r>
      <w:r>
        <w:t>s. 117, order under (O. 39 r. 3)</w:t>
      </w:r>
      <w:r>
        <w:tab/>
      </w:r>
      <w:r>
        <w:fldChar w:fldCharType="begin"/>
      </w:r>
      <w:r>
        <w:instrText xml:space="preserve"> PAGEREF _Toc129078542 \h </w:instrText>
      </w:r>
      <w:r>
        <w:fldChar w:fldCharType="separate"/>
      </w:r>
      <w:r>
        <w:t>637</w:t>
      </w:r>
      <w:r>
        <w:fldChar w:fldCharType="end"/>
      </w:r>
    </w:p>
    <w:p>
      <w:pPr>
        <w:pStyle w:val="TOC8"/>
        <w:rPr>
          <w:rFonts w:asciiTheme="minorHAnsi" w:eastAsiaTheme="minorEastAsia" w:hAnsiTheme="minorHAnsi" w:cstheme="minorBidi"/>
          <w:szCs w:val="22"/>
        </w:rPr>
      </w:pPr>
      <w:r>
        <w:t>31.</w:t>
      </w:r>
      <w:r>
        <w:tab/>
        <w:t>Certificate (O. 39 r. 5(2))</w:t>
      </w:r>
      <w:r>
        <w:tab/>
      </w:r>
      <w:r>
        <w:fldChar w:fldCharType="begin"/>
      </w:r>
      <w:r>
        <w:instrText xml:space="preserve"> PAGEREF _Toc129078543 \h </w:instrText>
      </w:r>
      <w:r>
        <w:fldChar w:fldCharType="separate"/>
      </w:r>
      <w:r>
        <w:t>638</w:t>
      </w:r>
      <w:r>
        <w:fldChar w:fldCharType="end"/>
      </w:r>
    </w:p>
    <w:p>
      <w:pPr>
        <w:pStyle w:val="TOC8"/>
        <w:rPr>
          <w:rFonts w:asciiTheme="minorHAnsi" w:eastAsiaTheme="minorEastAsia" w:hAnsiTheme="minorHAnsi" w:cstheme="minorBidi"/>
          <w:szCs w:val="22"/>
        </w:rPr>
      </w:pPr>
      <w:r>
        <w:lastRenderedPageBreak/>
        <w:t>31A.</w:t>
      </w:r>
      <w:r>
        <w:tab/>
        <w:t>Application for subpoena to be set aside (O. 39A r. 4(1))</w:t>
      </w:r>
      <w:r>
        <w:tab/>
      </w:r>
      <w:r>
        <w:fldChar w:fldCharType="begin"/>
      </w:r>
      <w:r>
        <w:instrText xml:space="preserve"> PAGEREF _Toc129078544 \h </w:instrText>
      </w:r>
      <w:r>
        <w:fldChar w:fldCharType="separate"/>
      </w:r>
      <w:r>
        <w:t>638</w:t>
      </w:r>
      <w:r>
        <w:fldChar w:fldCharType="end"/>
      </w:r>
    </w:p>
    <w:p>
      <w:pPr>
        <w:pStyle w:val="TOC8"/>
        <w:rPr>
          <w:rFonts w:asciiTheme="minorHAnsi" w:eastAsiaTheme="minorEastAsia" w:hAnsiTheme="minorHAnsi" w:cstheme="minorBidi"/>
          <w:szCs w:val="22"/>
        </w:rPr>
      </w:pPr>
      <w:r>
        <w:t>31B.</w:t>
      </w:r>
      <w:r>
        <w:tab/>
        <w:t>Request for application to be determined with hearing (O. 39A r. 4(8))</w:t>
      </w:r>
      <w:r>
        <w:tab/>
      </w:r>
      <w:r>
        <w:fldChar w:fldCharType="begin"/>
      </w:r>
      <w:r>
        <w:instrText xml:space="preserve"> PAGEREF _Toc129078545 \h </w:instrText>
      </w:r>
      <w:r>
        <w:fldChar w:fldCharType="separate"/>
      </w:r>
      <w:r>
        <w:t>639</w:t>
      </w:r>
      <w:r>
        <w:fldChar w:fldCharType="end"/>
      </w:r>
    </w:p>
    <w:p>
      <w:pPr>
        <w:pStyle w:val="TOC8"/>
        <w:rPr>
          <w:rFonts w:asciiTheme="minorHAnsi" w:eastAsiaTheme="minorEastAsia" w:hAnsiTheme="minorHAnsi" w:cstheme="minorBidi"/>
          <w:szCs w:val="22"/>
        </w:rPr>
      </w:pPr>
      <w:r>
        <w:t>31C.</w:t>
      </w:r>
      <w:r>
        <w:tab/>
        <w:t>Request to appear remotely in hearing to set aside subpoena (O. 39A r. 4(9))</w:t>
      </w:r>
      <w:r>
        <w:tab/>
      </w:r>
      <w:r>
        <w:fldChar w:fldCharType="begin"/>
      </w:r>
      <w:r>
        <w:instrText xml:space="preserve"> PAGEREF _Toc129078546 \h </w:instrText>
      </w:r>
      <w:r>
        <w:fldChar w:fldCharType="separate"/>
      </w:r>
      <w:r>
        <w:t>639</w:t>
      </w:r>
      <w:r>
        <w:fldChar w:fldCharType="end"/>
      </w:r>
    </w:p>
    <w:p>
      <w:pPr>
        <w:pStyle w:val="TOC8"/>
        <w:rPr>
          <w:rFonts w:asciiTheme="minorHAnsi" w:eastAsiaTheme="minorEastAsia" w:hAnsiTheme="minorHAnsi" w:cstheme="minorBidi"/>
          <w:szCs w:val="22"/>
        </w:rPr>
      </w:pPr>
      <w:r>
        <w:t>31D.</w:t>
      </w:r>
      <w:r>
        <w:tab/>
        <w:t>Certificate of non</w:t>
      </w:r>
      <w:r>
        <w:noBreakHyphen/>
        <w:t>compliance with subpoena (O. 39A r. 5)</w:t>
      </w:r>
      <w:r>
        <w:tab/>
      </w:r>
      <w:r>
        <w:fldChar w:fldCharType="begin"/>
      </w:r>
      <w:r>
        <w:instrText xml:space="preserve"> PAGEREF _Toc129078547 \h </w:instrText>
      </w:r>
      <w:r>
        <w:fldChar w:fldCharType="separate"/>
      </w:r>
      <w:r>
        <w:t>640</w:t>
      </w:r>
      <w:r>
        <w:fldChar w:fldCharType="end"/>
      </w:r>
    </w:p>
    <w:p>
      <w:pPr>
        <w:pStyle w:val="TOC8"/>
        <w:rPr>
          <w:rFonts w:asciiTheme="minorHAnsi" w:eastAsiaTheme="minorEastAsia" w:hAnsiTheme="minorHAnsi" w:cstheme="minorBidi"/>
          <w:szCs w:val="22"/>
        </w:rPr>
      </w:pPr>
      <w:r>
        <w:t>32.</w:t>
      </w:r>
      <w:r>
        <w:tab/>
        <w:t>Default judgment for liquidated demand (O. 13 r. 2; O. 42 r. 1)</w:t>
      </w:r>
      <w:r>
        <w:tab/>
      </w:r>
      <w:r>
        <w:fldChar w:fldCharType="begin"/>
      </w:r>
      <w:r>
        <w:instrText xml:space="preserve"> PAGEREF _Toc129078548 \h </w:instrText>
      </w:r>
      <w:r>
        <w:fldChar w:fldCharType="separate"/>
      </w:r>
      <w:r>
        <w:t>640</w:t>
      </w:r>
      <w:r>
        <w:fldChar w:fldCharType="end"/>
      </w:r>
    </w:p>
    <w:p>
      <w:pPr>
        <w:pStyle w:val="TOC8"/>
        <w:rPr>
          <w:rFonts w:asciiTheme="minorHAnsi" w:eastAsiaTheme="minorEastAsia" w:hAnsiTheme="minorHAnsi" w:cstheme="minorBidi"/>
          <w:szCs w:val="22"/>
        </w:rPr>
      </w:pPr>
      <w:r>
        <w:t>33.</w:t>
      </w:r>
      <w:r>
        <w:tab/>
        <w:t>Default judgment where demand unliquidated (O. 13 r. 3; O. 42 r. 1)</w:t>
      </w:r>
      <w:r>
        <w:tab/>
      </w:r>
      <w:r>
        <w:fldChar w:fldCharType="begin"/>
      </w:r>
      <w:r>
        <w:instrText xml:space="preserve"> PAGEREF _Toc129078549 \h </w:instrText>
      </w:r>
      <w:r>
        <w:fldChar w:fldCharType="separate"/>
      </w:r>
      <w:r>
        <w:t>642</w:t>
      </w:r>
      <w:r>
        <w:fldChar w:fldCharType="end"/>
      </w:r>
    </w:p>
    <w:p>
      <w:pPr>
        <w:pStyle w:val="TOC8"/>
        <w:rPr>
          <w:rFonts w:asciiTheme="minorHAnsi" w:eastAsiaTheme="minorEastAsia" w:hAnsiTheme="minorHAnsi" w:cstheme="minorBidi"/>
          <w:szCs w:val="22"/>
        </w:rPr>
      </w:pPr>
      <w:r>
        <w:t>34.</w:t>
      </w:r>
      <w:r>
        <w:tab/>
        <w:t>Default judgment in action relating to detention of goods other than in a mortgage action (O. 13 r. 4; O. 42 r. 1)</w:t>
      </w:r>
      <w:r>
        <w:tab/>
      </w:r>
      <w:r>
        <w:fldChar w:fldCharType="begin"/>
      </w:r>
      <w:r>
        <w:instrText xml:space="preserve"> PAGEREF _Toc129078550 \h </w:instrText>
      </w:r>
      <w:r>
        <w:fldChar w:fldCharType="separate"/>
      </w:r>
      <w:r>
        <w:t>643</w:t>
      </w:r>
      <w:r>
        <w:fldChar w:fldCharType="end"/>
      </w:r>
    </w:p>
    <w:p>
      <w:pPr>
        <w:pStyle w:val="TOC8"/>
        <w:rPr>
          <w:rFonts w:asciiTheme="minorHAnsi" w:eastAsiaTheme="minorEastAsia" w:hAnsiTheme="minorHAnsi" w:cstheme="minorBidi"/>
          <w:szCs w:val="22"/>
        </w:rPr>
      </w:pPr>
      <w:r>
        <w:t>35.</w:t>
      </w:r>
      <w:r>
        <w:tab/>
        <w:t>Default judgment after assessment of damages etc. (O. 13 r. 3 &amp; 4; O. 42 r. 1)</w:t>
      </w:r>
      <w:r>
        <w:tab/>
      </w:r>
      <w:r>
        <w:fldChar w:fldCharType="begin"/>
      </w:r>
      <w:r>
        <w:instrText xml:space="preserve"> PAGEREF _Toc129078551 \h </w:instrText>
      </w:r>
      <w:r>
        <w:fldChar w:fldCharType="separate"/>
      </w:r>
      <w:r>
        <w:t>645</w:t>
      </w:r>
      <w:r>
        <w:fldChar w:fldCharType="end"/>
      </w:r>
    </w:p>
    <w:p>
      <w:pPr>
        <w:pStyle w:val="TOC8"/>
        <w:rPr>
          <w:rFonts w:asciiTheme="minorHAnsi" w:eastAsiaTheme="minorEastAsia" w:hAnsiTheme="minorHAnsi" w:cstheme="minorBidi"/>
          <w:szCs w:val="22"/>
        </w:rPr>
      </w:pPr>
      <w:r>
        <w:t>36.</w:t>
      </w:r>
      <w:r>
        <w:tab/>
        <w:t>Default judgment for possession of land other than in a mortgage action (O. 13 r. 5; O. 42 r. 1)</w:t>
      </w:r>
      <w:r>
        <w:tab/>
      </w:r>
      <w:r>
        <w:fldChar w:fldCharType="begin"/>
      </w:r>
      <w:r>
        <w:instrText xml:space="preserve"> PAGEREF _Toc129078552 \h </w:instrText>
      </w:r>
      <w:r>
        <w:fldChar w:fldCharType="separate"/>
      </w:r>
      <w:r>
        <w:t>647</w:t>
      </w:r>
      <w:r>
        <w:fldChar w:fldCharType="end"/>
      </w:r>
    </w:p>
    <w:p>
      <w:pPr>
        <w:pStyle w:val="TOC8"/>
        <w:rPr>
          <w:rFonts w:asciiTheme="minorHAnsi" w:eastAsiaTheme="minorEastAsia" w:hAnsiTheme="minorHAnsi" w:cstheme="minorBidi"/>
          <w:szCs w:val="22"/>
        </w:rPr>
      </w:pPr>
      <w:r>
        <w:t>36A.</w:t>
      </w:r>
      <w:r>
        <w:tab/>
        <w:t>Notice to defendant of intention to request Court to make orders for possession, foreclosure or sale of mortgaged property (O. 13 r. 6)</w:t>
      </w:r>
      <w:r>
        <w:tab/>
      </w:r>
      <w:r>
        <w:fldChar w:fldCharType="begin"/>
      </w:r>
      <w:r>
        <w:instrText xml:space="preserve"> PAGEREF _Toc129078553 \h </w:instrText>
      </w:r>
      <w:r>
        <w:fldChar w:fldCharType="separate"/>
      </w:r>
      <w:r>
        <w:t>648</w:t>
      </w:r>
      <w:r>
        <w:fldChar w:fldCharType="end"/>
      </w:r>
    </w:p>
    <w:p>
      <w:pPr>
        <w:pStyle w:val="TOC8"/>
        <w:rPr>
          <w:rFonts w:asciiTheme="minorHAnsi" w:eastAsiaTheme="minorEastAsia" w:hAnsiTheme="minorHAnsi" w:cstheme="minorBidi"/>
          <w:szCs w:val="22"/>
        </w:rPr>
      </w:pPr>
      <w:r>
        <w:t>36B.</w:t>
      </w:r>
      <w:r>
        <w:tab/>
        <w:t>Request to enter default judgment in a mortgage action (O. 13 r. 6)</w:t>
      </w:r>
      <w:r>
        <w:tab/>
      </w:r>
      <w:r>
        <w:fldChar w:fldCharType="begin"/>
      </w:r>
      <w:r>
        <w:instrText xml:space="preserve"> PAGEREF _Toc129078554 \h </w:instrText>
      </w:r>
      <w:r>
        <w:fldChar w:fldCharType="separate"/>
      </w:r>
      <w:r>
        <w:t>649</w:t>
      </w:r>
      <w:r>
        <w:fldChar w:fldCharType="end"/>
      </w:r>
    </w:p>
    <w:p>
      <w:pPr>
        <w:pStyle w:val="TOC8"/>
        <w:rPr>
          <w:rFonts w:asciiTheme="minorHAnsi" w:eastAsiaTheme="minorEastAsia" w:hAnsiTheme="minorHAnsi" w:cstheme="minorBidi"/>
          <w:szCs w:val="22"/>
        </w:rPr>
      </w:pPr>
      <w:r>
        <w:t>36C.</w:t>
      </w:r>
      <w:r>
        <w:tab/>
        <w:t>Default judgment in a mortgage action (O. 13 r. 6; O. 42 r. 1)</w:t>
      </w:r>
      <w:r>
        <w:tab/>
      </w:r>
      <w:r>
        <w:fldChar w:fldCharType="begin"/>
      </w:r>
      <w:r>
        <w:instrText xml:space="preserve"> PAGEREF _Toc129078555 \h </w:instrText>
      </w:r>
      <w:r>
        <w:fldChar w:fldCharType="separate"/>
      </w:r>
      <w:r>
        <w:t>651</w:t>
      </w:r>
      <w:r>
        <w:fldChar w:fldCharType="end"/>
      </w:r>
    </w:p>
    <w:p>
      <w:pPr>
        <w:pStyle w:val="TOC8"/>
        <w:rPr>
          <w:rFonts w:asciiTheme="minorHAnsi" w:eastAsiaTheme="minorEastAsia" w:hAnsiTheme="minorHAnsi" w:cstheme="minorBidi"/>
          <w:szCs w:val="22"/>
        </w:rPr>
      </w:pPr>
      <w:r>
        <w:t>37.</w:t>
      </w:r>
      <w:r>
        <w:tab/>
        <w:t>Judgment (other than default judgment) after assessment of damages etc. (O. 42 r. 1)</w:t>
      </w:r>
      <w:r>
        <w:tab/>
      </w:r>
      <w:r>
        <w:fldChar w:fldCharType="begin"/>
      </w:r>
      <w:r>
        <w:instrText xml:space="preserve"> PAGEREF _Toc129078556 \h </w:instrText>
      </w:r>
      <w:r>
        <w:fldChar w:fldCharType="separate"/>
      </w:r>
      <w:r>
        <w:t>653</w:t>
      </w:r>
      <w:r>
        <w:fldChar w:fldCharType="end"/>
      </w:r>
    </w:p>
    <w:p>
      <w:pPr>
        <w:pStyle w:val="TOC8"/>
        <w:rPr>
          <w:rFonts w:asciiTheme="minorHAnsi" w:eastAsiaTheme="minorEastAsia" w:hAnsiTheme="minorHAnsi" w:cstheme="minorBidi"/>
          <w:szCs w:val="22"/>
        </w:rPr>
      </w:pPr>
      <w:r>
        <w:t>38.</w:t>
      </w:r>
      <w:r>
        <w:tab/>
        <w:t>Judgment under Order 14 (O. 14 r. 3)</w:t>
      </w:r>
      <w:r>
        <w:tab/>
      </w:r>
      <w:r>
        <w:fldChar w:fldCharType="begin"/>
      </w:r>
      <w:r>
        <w:instrText xml:space="preserve"> PAGEREF _Toc129078557 \h </w:instrText>
      </w:r>
      <w:r>
        <w:fldChar w:fldCharType="separate"/>
      </w:r>
      <w:r>
        <w:t>654</w:t>
      </w:r>
      <w:r>
        <w:fldChar w:fldCharType="end"/>
      </w:r>
    </w:p>
    <w:p>
      <w:pPr>
        <w:pStyle w:val="TOC8"/>
        <w:rPr>
          <w:rFonts w:asciiTheme="minorHAnsi" w:eastAsiaTheme="minorEastAsia" w:hAnsiTheme="minorHAnsi" w:cstheme="minorBidi"/>
          <w:szCs w:val="22"/>
        </w:rPr>
      </w:pPr>
      <w:r>
        <w:t>39.</w:t>
      </w:r>
      <w:r>
        <w:tab/>
        <w:t>Judgment after trial without jury (O. 42 r. 1)</w:t>
      </w:r>
      <w:r>
        <w:tab/>
      </w:r>
      <w:r>
        <w:fldChar w:fldCharType="begin"/>
      </w:r>
      <w:r>
        <w:instrText xml:space="preserve"> PAGEREF _Toc129078558 \h </w:instrText>
      </w:r>
      <w:r>
        <w:fldChar w:fldCharType="separate"/>
      </w:r>
      <w:r>
        <w:t>654</w:t>
      </w:r>
      <w:r>
        <w:fldChar w:fldCharType="end"/>
      </w:r>
    </w:p>
    <w:p>
      <w:pPr>
        <w:pStyle w:val="TOC8"/>
        <w:rPr>
          <w:rFonts w:asciiTheme="minorHAnsi" w:eastAsiaTheme="minorEastAsia" w:hAnsiTheme="minorHAnsi" w:cstheme="minorBidi"/>
          <w:szCs w:val="22"/>
        </w:rPr>
      </w:pPr>
      <w:r>
        <w:t>40.</w:t>
      </w:r>
      <w:r>
        <w:tab/>
        <w:t>Judgment after trial with jury (O. 42 r. 1)</w:t>
      </w:r>
      <w:r>
        <w:tab/>
      </w:r>
      <w:r>
        <w:fldChar w:fldCharType="begin"/>
      </w:r>
      <w:r>
        <w:instrText xml:space="preserve"> PAGEREF _Toc129078559 \h </w:instrText>
      </w:r>
      <w:r>
        <w:fldChar w:fldCharType="separate"/>
      </w:r>
      <w:r>
        <w:t>655</w:t>
      </w:r>
      <w:r>
        <w:fldChar w:fldCharType="end"/>
      </w:r>
    </w:p>
    <w:p>
      <w:pPr>
        <w:pStyle w:val="TOC8"/>
        <w:rPr>
          <w:rFonts w:asciiTheme="minorHAnsi" w:eastAsiaTheme="minorEastAsia" w:hAnsiTheme="minorHAnsi" w:cstheme="minorBidi"/>
          <w:szCs w:val="22"/>
        </w:rPr>
      </w:pPr>
      <w:r>
        <w:t>41.</w:t>
      </w:r>
      <w:r>
        <w:tab/>
        <w:t>Judgment after trial before master or special referee (O. 42 r. 1)</w:t>
      </w:r>
      <w:r>
        <w:tab/>
      </w:r>
      <w:r>
        <w:fldChar w:fldCharType="begin"/>
      </w:r>
      <w:r>
        <w:instrText xml:space="preserve"> PAGEREF _Toc129078560 \h </w:instrText>
      </w:r>
      <w:r>
        <w:fldChar w:fldCharType="separate"/>
      </w:r>
      <w:r>
        <w:t>655</w:t>
      </w:r>
      <w:r>
        <w:fldChar w:fldCharType="end"/>
      </w:r>
    </w:p>
    <w:p>
      <w:pPr>
        <w:pStyle w:val="TOC8"/>
        <w:rPr>
          <w:rFonts w:asciiTheme="minorHAnsi" w:eastAsiaTheme="minorEastAsia" w:hAnsiTheme="minorHAnsi" w:cstheme="minorBidi"/>
          <w:szCs w:val="22"/>
        </w:rPr>
      </w:pPr>
      <w:r>
        <w:t>42.</w:t>
      </w:r>
      <w:r>
        <w:tab/>
        <w:t>Judgment after decision of preliminary issue (O. 32 r. 7; O. 42 r. 1)</w:t>
      </w:r>
      <w:r>
        <w:tab/>
      </w:r>
      <w:r>
        <w:fldChar w:fldCharType="begin"/>
      </w:r>
      <w:r>
        <w:instrText xml:space="preserve"> PAGEREF _Toc129078561 \h </w:instrText>
      </w:r>
      <w:r>
        <w:fldChar w:fldCharType="separate"/>
      </w:r>
      <w:r>
        <w:t>656</w:t>
      </w:r>
      <w:r>
        <w:fldChar w:fldCharType="end"/>
      </w:r>
    </w:p>
    <w:p>
      <w:pPr>
        <w:pStyle w:val="TOC8"/>
        <w:rPr>
          <w:rFonts w:asciiTheme="minorHAnsi" w:eastAsiaTheme="minorEastAsia" w:hAnsiTheme="minorHAnsi" w:cstheme="minorBidi"/>
          <w:szCs w:val="22"/>
        </w:rPr>
      </w:pPr>
      <w:r>
        <w:t>43.</w:t>
      </w:r>
      <w:r>
        <w:tab/>
        <w:t>Judgment for defendant’s costs on discontinuance (O. 23 r. 2)</w:t>
      </w:r>
      <w:r>
        <w:tab/>
      </w:r>
      <w:r>
        <w:fldChar w:fldCharType="begin"/>
      </w:r>
      <w:r>
        <w:instrText xml:space="preserve"> PAGEREF _Toc129078562 \h </w:instrText>
      </w:r>
      <w:r>
        <w:fldChar w:fldCharType="separate"/>
      </w:r>
      <w:r>
        <w:t>656</w:t>
      </w:r>
      <w:r>
        <w:fldChar w:fldCharType="end"/>
      </w:r>
    </w:p>
    <w:p>
      <w:pPr>
        <w:pStyle w:val="TOC8"/>
        <w:rPr>
          <w:rFonts w:asciiTheme="minorHAnsi" w:eastAsiaTheme="minorEastAsia" w:hAnsiTheme="minorHAnsi" w:cstheme="minorBidi"/>
          <w:szCs w:val="22"/>
        </w:rPr>
      </w:pPr>
      <w:r>
        <w:t>44.</w:t>
      </w:r>
      <w:r>
        <w:tab/>
        <w:t>Judgment by consent (O. 42 r. 1(2))</w:t>
      </w:r>
      <w:r>
        <w:tab/>
      </w:r>
      <w:r>
        <w:fldChar w:fldCharType="begin"/>
      </w:r>
      <w:r>
        <w:instrText xml:space="preserve"> PAGEREF _Toc129078563 \h </w:instrText>
      </w:r>
      <w:r>
        <w:fldChar w:fldCharType="separate"/>
      </w:r>
      <w:r>
        <w:t>657</w:t>
      </w:r>
      <w:r>
        <w:fldChar w:fldCharType="end"/>
      </w:r>
    </w:p>
    <w:p>
      <w:pPr>
        <w:pStyle w:val="TOC8"/>
        <w:rPr>
          <w:rFonts w:asciiTheme="minorHAnsi" w:eastAsiaTheme="minorEastAsia" w:hAnsiTheme="minorHAnsi" w:cstheme="minorBidi"/>
          <w:szCs w:val="22"/>
        </w:rPr>
      </w:pPr>
      <w:r>
        <w:t>60.</w:t>
      </w:r>
      <w:r>
        <w:tab/>
        <w:t>Summons for appointment of receiver (O. 51 r. 1)</w:t>
      </w:r>
      <w:r>
        <w:tab/>
      </w:r>
      <w:r>
        <w:fldChar w:fldCharType="begin"/>
      </w:r>
      <w:r>
        <w:instrText xml:space="preserve"> PAGEREF _Toc129078564 \h </w:instrText>
      </w:r>
      <w:r>
        <w:fldChar w:fldCharType="separate"/>
      </w:r>
      <w:r>
        <w:t>657</w:t>
      </w:r>
      <w:r>
        <w:fldChar w:fldCharType="end"/>
      </w:r>
    </w:p>
    <w:p>
      <w:pPr>
        <w:pStyle w:val="TOC8"/>
        <w:rPr>
          <w:rFonts w:asciiTheme="minorHAnsi" w:eastAsiaTheme="minorEastAsia" w:hAnsiTheme="minorHAnsi" w:cstheme="minorBidi"/>
          <w:szCs w:val="22"/>
        </w:rPr>
      </w:pPr>
      <w:r>
        <w:lastRenderedPageBreak/>
        <w:t>61.</w:t>
      </w:r>
      <w:r>
        <w:tab/>
        <w:t>Order directing summons for appointment of receiver and granting injunction meanwhile (O. 51 r. 1)</w:t>
      </w:r>
      <w:r>
        <w:tab/>
      </w:r>
      <w:r>
        <w:fldChar w:fldCharType="begin"/>
      </w:r>
      <w:r>
        <w:instrText xml:space="preserve"> PAGEREF _Toc129078565 \h </w:instrText>
      </w:r>
      <w:r>
        <w:fldChar w:fldCharType="separate"/>
      </w:r>
      <w:r>
        <w:t>658</w:t>
      </w:r>
      <w:r>
        <w:fldChar w:fldCharType="end"/>
      </w:r>
    </w:p>
    <w:p>
      <w:pPr>
        <w:pStyle w:val="TOC8"/>
        <w:rPr>
          <w:rFonts w:asciiTheme="minorHAnsi" w:eastAsiaTheme="minorEastAsia" w:hAnsiTheme="minorHAnsi" w:cstheme="minorBidi"/>
          <w:szCs w:val="22"/>
        </w:rPr>
      </w:pPr>
      <w:r>
        <w:t>62.</w:t>
      </w:r>
      <w:r>
        <w:tab/>
        <w:t>Receiver order (interim) (O. 51 r. 1)</w:t>
      </w:r>
      <w:r>
        <w:tab/>
      </w:r>
      <w:r>
        <w:fldChar w:fldCharType="begin"/>
      </w:r>
      <w:r>
        <w:instrText xml:space="preserve"> PAGEREF _Toc129078566 \h </w:instrText>
      </w:r>
      <w:r>
        <w:fldChar w:fldCharType="separate"/>
      </w:r>
      <w:r>
        <w:t>659</w:t>
      </w:r>
      <w:r>
        <w:fldChar w:fldCharType="end"/>
      </w:r>
    </w:p>
    <w:p>
      <w:pPr>
        <w:pStyle w:val="TOC8"/>
        <w:rPr>
          <w:rFonts w:asciiTheme="minorHAnsi" w:eastAsiaTheme="minorEastAsia" w:hAnsiTheme="minorHAnsi" w:cstheme="minorBidi"/>
          <w:szCs w:val="22"/>
        </w:rPr>
      </w:pPr>
      <w:r>
        <w:t>64.</w:t>
      </w:r>
      <w:r>
        <w:tab/>
        <w:t>Notice of originating motion (O. 54 r. 5)</w:t>
      </w:r>
      <w:r>
        <w:tab/>
      </w:r>
      <w:r>
        <w:fldChar w:fldCharType="begin"/>
      </w:r>
      <w:r>
        <w:instrText xml:space="preserve"> PAGEREF _Toc129078567 \h </w:instrText>
      </w:r>
      <w:r>
        <w:fldChar w:fldCharType="separate"/>
      </w:r>
      <w:r>
        <w:t>659</w:t>
      </w:r>
      <w:r>
        <w:fldChar w:fldCharType="end"/>
      </w:r>
    </w:p>
    <w:p>
      <w:pPr>
        <w:pStyle w:val="TOC8"/>
        <w:rPr>
          <w:rFonts w:asciiTheme="minorHAnsi" w:eastAsiaTheme="minorEastAsia" w:hAnsiTheme="minorHAnsi" w:cstheme="minorBidi"/>
          <w:szCs w:val="22"/>
        </w:rPr>
      </w:pPr>
      <w:r>
        <w:t>65.</w:t>
      </w:r>
      <w:r>
        <w:tab/>
        <w:t>Notice of motion (O. 54 r. 5)</w:t>
      </w:r>
      <w:r>
        <w:tab/>
      </w:r>
      <w:r>
        <w:fldChar w:fldCharType="begin"/>
      </w:r>
      <w:r>
        <w:instrText xml:space="preserve"> PAGEREF _Toc129078568 \h </w:instrText>
      </w:r>
      <w:r>
        <w:fldChar w:fldCharType="separate"/>
      </w:r>
      <w:r>
        <w:t>660</w:t>
      </w:r>
      <w:r>
        <w:fldChar w:fldCharType="end"/>
      </w:r>
    </w:p>
    <w:p>
      <w:pPr>
        <w:pStyle w:val="TOC8"/>
        <w:rPr>
          <w:rFonts w:asciiTheme="minorHAnsi" w:eastAsiaTheme="minorEastAsia" w:hAnsiTheme="minorHAnsi" w:cstheme="minorBidi"/>
          <w:szCs w:val="22"/>
        </w:rPr>
      </w:pPr>
      <w:r>
        <w:t>66.</w:t>
      </w:r>
      <w:r>
        <w:tab/>
        <w:t>Order of committal (O. 55 r. 7(4))</w:t>
      </w:r>
      <w:r>
        <w:tab/>
      </w:r>
      <w:r>
        <w:fldChar w:fldCharType="begin"/>
      </w:r>
      <w:r>
        <w:instrText xml:space="preserve"> PAGEREF _Toc129078569 \h </w:instrText>
      </w:r>
      <w:r>
        <w:fldChar w:fldCharType="separate"/>
      </w:r>
      <w:r>
        <w:t>661</w:t>
      </w:r>
      <w:r>
        <w:fldChar w:fldCharType="end"/>
      </w:r>
    </w:p>
    <w:p>
      <w:pPr>
        <w:pStyle w:val="TOC8"/>
        <w:rPr>
          <w:rFonts w:asciiTheme="minorHAnsi" w:eastAsiaTheme="minorEastAsia" w:hAnsiTheme="minorHAnsi" w:cstheme="minorBidi"/>
          <w:szCs w:val="22"/>
        </w:rPr>
      </w:pPr>
      <w:r>
        <w:t>67A.</w:t>
      </w:r>
      <w:r>
        <w:tab/>
        <w:t>Application for judicial review (O. 56 r. 2)</w:t>
      </w:r>
      <w:r>
        <w:tab/>
      </w:r>
      <w:r>
        <w:fldChar w:fldCharType="begin"/>
      </w:r>
      <w:r>
        <w:instrText xml:space="preserve"> PAGEREF _Toc129078570 \h </w:instrText>
      </w:r>
      <w:r>
        <w:fldChar w:fldCharType="separate"/>
      </w:r>
      <w:r>
        <w:t>661</w:t>
      </w:r>
      <w:r>
        <w:fldChar w:fldCharType="end"/>
      </w:r>
    </w:p>
    <w:p>
      <w:pPr>
        <w:pStyle w:val="TOC8"/>
        <w:rPr>
          <w:rFonts w:asciiTheme="minorHAnsi" w:eastAsiaTheme="minorEastAsia" w:hAnsiTheme="minorHAnsi" w:cstheme="minorBidi"/>
          <w:szCs w:val="22"/>
        </w:rPr>
      </w:pPr>
      <w:r>
        <w:t>67.</w:t>
      </w:r>
      <w:r>
        <w:tab/>
        <w:t>Certiorari (O. 56 r. 14)</w:t>
      </w:r>
      <w:r>
        <w:tab/>
      </w:r>
      <w:r>
        <w:fldChar w:fldCharType="begin"/>
      </w:r>
      <w:r>
        <w:instrText xml:space="preserve"> PAGEREF _Toc129078571 \h </w:instrText>
      </w:r>
      <w:r>
        <w:fldChar w:fldCharType="separate"/>
      </w:r>
      <w:r>
        <w:t>663</w:t>
      </w:r>
      <w:r>
        <w:fldChar w:fldCharType="end"/>
      </w:r>
    </w:p>
    <w:p>
      <w:pPr>
        <w:pStyle w:val="TOC8"/>
        <w:rPr>
          <w:rFonts w:asciiTheme="minorHAnsi" w:eastAsiaTheme="minorEastAsia" w:hAnsiTheme="minorHAnsi" w:cstheme="minorBidi"/>
          <w:szCs w:val="22"/>
        </w:rPr>
      </w:pPr>
      <w:r>
        <w:t>69.</w:t>
      </w:r>
      <w:r>
        <w:tab/>
        <w:t>Mandamus (O. 56 r. 16)</w:t>
      </w:r>
      <w:r>
        <w:tab/>
      </w:r>
      <w:r>
        <w:fldChar w:fldCharType="begin"/>
      </w:r>
      <w:r>
        <w:instrText xml:space="preserve"> PAGEREF _Toc129078572 \h </w:instrText>
      </w:r>
      <w:r>
        <w:fldChar w:fldCharType="separate"/>
      </w:r>
      <w:r>
        <w:t>664</w:t>
      </w:r>
      <w:r>
        <w:fldChar w:fldCharType="end"/>
      </w:r>
    </w:p>
    <w:p>
      <w:pPr>
        <w:pStyle w:val="TOC8"/>
        <w:rPr>
          <w:rFonts w:asciiTheme="minorHAnsi" w:eastAsiaTheme="minorEastAsia" w:hAnsiTheme="minorHAnsi" w:cstheme="minorBidi"/>
          <w:szCs w:val="22"/>
        </w:rPr>
      </w:pPr>
      <w:r>
        <w:t>70.</w:t>
      </w:r>
      <w:r>
        <w:tab/>
      </w:r>
      <w:r>
        <w:rPr>
          <w:i/>
        </w:rPr>
        <w:t>Procedendo</w:t>
      </w:r>
      <w:r>
        <w:t xml:space="preserve"> (O. 56 r. 32)</w:t>
      </w:r>
      <w:r>
        <w:tab/>
      </w:r>
      <w:r>
        <w:fldChar w:fldCharType="begin"/>
      </w:r>
      <w:r>
        <w:instrText xml:space="preserve"> PAGEREF _Toc129078573 \h </w:instrText>
      </w:r>
      <w:r>
        <w:fldChar w:fldCharType="separate"/>
      </w:r>
      <w:r>
        <w:t>665</w:t>
      </w:r>
      <w:r>
        <w:fldChar w:fldCharType="end"/>
      </w:r>
    </w:p>
    <w:p>
      <w:pPr>
        <w:pStyle w:val="TOC8"/>
        <w:rPr>
          <w:rFonts w:asciiTheme="minorHAnsi" w:eastAsiaTheme="minorEastAsia" w:hAnsiTheme="minorHAnsi" w:cstheme="minorBidi"/>
          <w:szCs w:val="22"/>
        </w:rPr>
      </w:pPr>
      <w:r>
        <w:t>71.</w:t>
      </w:r>
      <w:r>
        <w:tab/>
        <w:t>Prohibition (O. 56 r. 33)</w:t>
      </w:r>
      <w:r>
        <w:tab/>
      </w:r>
      <w:r>
        <w:fldChar w:fldCharType="begin"/>
      </w:r>
      <w:r>
        <w:instrText xml:space="preserve"> PAGEREF _Toc129078574 \h </w:instrText>
      </w:r>
      <w:r>
        <w:fldChar w:fldCharType="separate"/>
      </w:r>
      <w:r>
        <w:t>665</w:t>
      </w:r>
      <w:r>
        <w:fldChar w:fldCharType="end"/>
      </w:r>
    </w:p>
    <w:p>
      <w:pPr>
        <w:pStyle w:val="TOC8"/>
        <w:rPr>
          <w:rFonts w:asciiTheme="minorHAnsi" w:eastAsiaTheme="minorEastAsia" w:hAnsiTheme="minorHAnsi" w:cstheme="minorBidi"/>
          <w:szCs w:val="22"/>
        </w:rPr>
      </w:pPr>
      <w:r>
        <w:t>73.</w:t>
      </w:r>
      <w:r>
        <w:tab/>
        <w:t>Habeas corpus (O. 57 r. 10)</w:t>
      </w:r>
      <w:r>
        <w:tab/>
      </w:r>
      <w:r>
        <w:fldChar w:fldCharType="begin"/>
      </w:r>
      <w:r>
        <w:instrText xml:space="preserve"> PAGEREF _Toc129078575 \h </w:instrText>
      </w:r>
      <w:r>
        <w:fldChar w:fldCharType="separate"/>
      </w:r>
      <w:r>
        <w:t>665</w:t>
      </w:r>
      <w:r>
        <w:fldChar w:fldCharType="end"/>
      </w:r>
    </w:p>
    <w:p>
      <w:pPr>
        <w:pStyle w:val="TOC8"/>
        <w:rPr>
          <w:rFonts w:asciiTheme="minorHAnsi" w:eastAsiaTheme="minorEastAsia" w:hAnsiTheme="minorHAnsi" w:cstheme="minorBidi"/>
          <w:szCs w:val="22"/>
        </w:rPr>
      </w:pPr>
      <w:r>
        <w:t>74.</w:t>
      </w:r>
      <w:r>
        <w:tab/>
        <w:t>Originating summons, appearance required (O. 58 r. 14)</w:t>
      </w:r>
      <w:r>
        <w:tab/>
      </w:r>
      <w:r>
        <w:fldChar w:fldCharType="begin"/>
      </w:r>
      <w:r>
        <w:instrText xml:space="preserve"> PAGEREF _Toc129078576 \h </w:instrText>
      </w:r>
      <w:r>
        <w:fldChar w:fldCharType="separate"/>
      </w:r>
      <w:r>
        <w:t>666</w:t>
      </w:r>
      <w:r>
        <w:fldChar w:fldCharType="end"/>
      </w:r>
    </w:p>
    <w:p>
      <w:pPr>
        <w:pStyle w:val="TOC8"/>
        <w:rPr>
          <w:rFonts w:asciiTheme="minorHAnsi" w:eastAsiaTheme="minorEastAsia" w:hAnsiTheme="minorHAnsi" w:cstheme="minorBidi"/>
          <w:szCs w:val="22"/>
        </w:rPr>
      </w:pPr>
      <w:r>
        <w:t>75.</w:t>
      </w:r>
      <w:r>
        <w:tab/>
        <w:t>Originating summons, appearance not required (O. 58 r. 14)</w:t>
      </w:r>
      <w:r>
        <w:tab/>
      </w:r>
      <w:r>
        <w:fldChar w:fldCharType="begin"/>
      </w:r>
      <w:r>
        <w:instrText xml:space="preserve"> PAGEREF _Toc129078577 \h </w:instrText>
      </w:r>
      <w:r>
        <w:fldChar w:fldCharType="separate"/>
      </w:r>
      <w:r>
        <w:t>667</w:t>
      </w:r>
      <w:r>
        <w:fldChar w:fldCharType="end"/>
      </w:r>
    </w:p>
    <w:p>
      <w:pPr>
        <w:pStyle w:val="TOC8"/>
        <w:rPr>
          <w:rFonts w:asciiTheme="minorHAnsi" w:eastAsiaTheme="minorEastAsia" w:hAnsiTheme="minorHAnsi" w:cstheme="minorBidi"/>
          <w:szCs w:val="22"/>
        </w:rPr>
      </w:pPr>
      <w:r>
        <w:t>76.</w:t>
      </w:r>
      <w:r>
        <w:tab/>
        <w:t>Notice of appointment to hear originating summons (O. 58 r. 19)</w:t>
      </w:r>
      <w:r>
        <w:tab/>
      </w:r>
      <w:r>
        <w:fldChar w:fldCharType="begin"/>
      </w:r>
      <w:r>
        <w:instrText xml:space="preserve"> PAGEREF _Toc129078578 \h </w:instrText>
      </w:r>
      <w:r>
        <w:fldChar w:fldCharType="separate"/>
      </w:r>
      <w:r>
        <w:t>667</w:t>
      </w:r>
      <w:r>
        <w:fldChar w:fldCharType="end"/>
      </w:r>
    </w:p>
    <w:p>
      <w:pPr>
        <w:pStyle w:val="TOC8"/>
        <w:rPr>
          <w:rFonts w:asciiTheme="minorHAnsi" w:eastAsiaTheme="minorEastAsia" w:hAnsiTheme="minorHAnsi" w:cstheme="minorBidi"/>
          <w:szCs w:val="22"/>
        </w:rPr>
      </w:pPr>
      <w:r>
        <w:t>77.</w:t>
      </w:r>
      <w:r>
        <w:tab/>
        <w:t>Summons (general form) (O. 59 r. 4(1))</w:t>
      </w:r>
      <w:r>
        <w:tab/>
      </w:r>
      <w:r>
        <w:fldChar w:fldCharType="begin"/>
      </w:r>
      <w:r>
        <w:instrText xml:space="preserve"> PAGEREF _Toc129078579 \h </w:instrText>
      </w:r>
      <w:r>
        <w:fldChar w:fldCharType="separate"/>
      </w:r>
      <w:r>
        <w:t>668</w:t>
      </w:r>
      <w:r>
        <w:fldChar w:fldCharType="end"/>
      </w:r>
    </w:p>
    <w:p>
      <w:pPr>
        <w:pStyle w:val="TOC8"/>
        <w:rPr>
          <w:rFonts w:asciiTheme="minorHAnsi" w:eastAsiaTheme="minorEastAsia" w:hAnsiTheme="minorHAnsi" w:cstheme="minorBidi"/>
          <w:szCs w:val="22"/>
        </w:rPr>
      </w:pPr>
      <w:r>
        <w:t>78.</w:t>
      </w:r>
      <w:r>
        <w:tab/>
        <w:t>Order (general form) (O. 59 r. 10)</w:t>
      </w:r>
      <w:r>
        <w:tab/>
      </w:r>
      <w:r>
        <w:fldChar w:fldCharType="begin"/>
      </w:r>
      <w:r>
        <w:instrText xml:space="preserve"> PAGEREF _Toc129078580 \h </w:instrText>
      </w:r>
      <w:r>
        <w:fldChar w:fldCharType="separate"/>
      </w:r>
      <w:r>
        <w:t>668</w:t>
      </w:r>
      <w:r>
        <w:fldChar w:fldCharType="end"/>
      </w:r>
    </w:p>
    <w:p>
      <w:pPr>
        <w:pStyle w:val="TOC8"/>
        <w:rPr>
          <w:rFonts w:asciiTheme="minorHAnsi" w:eastAsiaTheme="minorEastAsia" w:hAnsiTheme="minorHAnsi" w:cstheme="minorBidi"/>
          <w:szCs w:val="22"/>
        </w:rPr>
      </w:pPr>
      <w:r>
        <w:rPr>
          <w:bCs/>
        </w:rPr>
        <w:t>80A</w:t>
      </w:r>
      <w:r>
        <w:t>.</w:t>
      </w:r>
      <w:r>
        <w:tab/>
        <w:t>Appeal notice (Registrar’s decision) (O. 60A r. 5(3))</w:t>
      </w:r>
      <w:r>
        <w:tab/>
      </w:r>
      <w:r>
        <w:fldChar w:fldCharType="begin"/>
      </w:r>
      <w:r>
        <w:instrText xml:space="preserve"> PAGEREF _Toc129078581 \h </w:instrText>
      </w:r>
      <w:r>
        <w:fldChar w:fldCharType="separate"/>
      </w:r>
      <w:r>
        <w:t>669</w:t>
      </w:r>
      <w:r>
        <w:fldChar w:fldCharType="end"/>
      </w:r>
    </w:p>
    <w:p>
      <w:pPr>
        <w:pStyle w:val="TOC8"/>
        <w:rPr>
          <w:rFonts w:asciiTheme="minorHAnsi" w:eastAsiaTheme="minorEastAsia" w:hAnsiTheme="minorHAnsi" w:cstheme="minorBidi"/>
          <w:szCs w:val="22"/>
        </w:rPr>
      </w:pPr>
      <w:r>
        <w:t>80.</w:t>
      </w:r>
      <w:r>
        <w:tab/>
        <w:t>Notice of judgment or order (O. 61 r. 3(3))</w:t>
      </w:r>
      <w:r>
        <w:tab/>
      </w:r>
      <w:r>
        <w:fldChar w:fldCharType="begin"/>
      </w:r>
      <w:r>
        <w:instrText xml:space="preserve"> PAGEREF _Toc129078582 \h </w:instrText>
      </w:r>
      <w:r>
        <w:fldChar w:fldCharType="separate"/>
      </w:r>
      <w:r>
        <w:t>670</w:t>
      </w:r>
      <w:r>
        <w:fldChar w:fldCharType="end"/>
      </w:r>
    </w:p>
    <w:p>
      <w:pPr>
        <w:pStyle w:val="TOC8"/>
        <w:rPr>
          <w:rFonts w:asciiTheme="minorHAnsi" w:eastAsiaTheme="minorEastAsia" w:hAnsiTheme="minorHAnsi" w:cstheme="minorBidi"/>
          <w:szCs w:val="22"/>
        </w:rPr>
      </w:pPr>
      <w:r>
        <w:t>81.</w:t>
      </w:r>
      <w:r>
        <w:tab/>
        <w:t>Advertisement for creditors (O. 61 r. 15(2))</w:t>
      </w:r>
      <w:r>
        <w:tab/>
      </w:r>
      <w:r>
        <w:fldChar w:fldCharType="begin"/>
      </w:r>
      <w:r>
        <w:instrText xml:space="preserve"> PAGEREF _Toc129078583 \h </w:instrText>
      </w:r>
      <w:r>
        <w:fldChar w:fldCharType="separate"/>
      </w:r>
      <w:r>
        <w:t>671</w:t>
      </w:r>
      <w:r>
        <w:fldChar w:fldCharType="end"/>
      </w:r>
    </w:p>
    <w:p>
      <w:pPr>
        <w:pStyle w:val="TOC8"/>
        <w:rPr>
          <w:rFonts w:asciiTheme="minorHAnsi" w:eastAsiaTheme="minorEastAsia" w:hAnsiTheme="minorHAnsi" w:cstheme="minorBidi"/>
          <w:szCs w:val="22"/>
        </w:rPr>
      </w:pPr>
      <w:r>
        <w:t>82.</w:t>
      </w:r>
      <w:r>
        <w:tab/>
        <w:t>Advertisement for claimants other than creditors (O. 61 r. 15(2))</w:t>
      </w:r>
      <w:r>
        <w:tab/>
      </w:r>
      <w:r>
        <w:fldChar w:fldCharType="begin"/>
      </w:r>
      <w:r>
        <w:instrText xml:space="preserve"> PAGEREF _Toc129078584 \h </w:instrText>
      </w:r>
      <w:r>
        <w:fldChar w:fldCharType="separate"/>
      </w:r>
      <w:r>
        <w:t>671</w:t>
      </w:r>
      <w:r>
        <w:fldChar w:fldCharType="end"/>
      </w:r>
    </w:p>
    <w:p>
      <w:pPr>
        <w:pStyle w:val="TOC8"/>
        <w:rPr>
          <w:rFonts w:asciiTheme="minorHAnsi" w:eastAsiaTheme="minorEastAsia" w:hAnsiTheme="minorHAnsi" w:cstheme="minorBidi"/>
          <w:szCs w:val="22"/>
        </w:rPr>
      </w:pPr>
      <w:r>
        <w:t>83.</w:t>
      </w:r>
      <w:r>
        <w:tab/>
        <w:t>Appeal notice (O. 65 r. 10)</w:t>
      </w:r>
      <w:r>
        <w:tab/>
      </w:r>
      <w:r>
        <w:fldChar w:fldCharType="begin"/>
      </w:r>
      <w:r>
        <w:instrText xml:space="preserve"> PAGEREF _Toc129078585 \h </w:instrText>
      </w:r>
      <w:r>
        <w:fldChar w:fldCharType="separate"/>
      </w:r>
      <w:r>
        <w:t>672</w:t>
      </w:r>
      <w:r>
        <w:fldChar w:fldCharType="end"/>
      </w:r>
    </w:p>
    <w:p>
      <w:pPr>
        <w:pStyle w:val="TOC8"/>
        <w:rPr>
          <w:rFonts w:asciiTheme="minorHAnsi" w:eastAsiaTheme="minorEastAsia" w:hAnsiTheme="minorHAnsi" w:cstheme="minorBidi"/>
          <w:szCs w:val="22"/>
        </w:rPr>
      </w:pPr>
      <w:r>
        <w:t>84.</w:t>
      </w:r>
      <w:r>
        <w:tab/>
        <w:t>Service certificate (O. 65 r. 10(7))</w:t>
      </w:r>
      <w:r>
        <w:tab/>
      </w:r>
      <w:r>
        <w:fldChar w:fldCharType="begin"/>
      </w:r>
      <w:r>
        <w:instrText xml:space="preserve"> PAGEREF _Toc129078586 \h </w:instrText>
      </w:r>
      <w:r>
        <w:fldChar w:fldCharType="separate"/>
      </w:r>
      <w:r>
        <w:t>673</w:t>
      </w:r>
      <w:r>
        <w:fldChar w:fldCharType="end"/>
      </w:r>
    </w:p>
    <w:p>
      <w:pPr>
        <w:pStyle w:val="TOC8"/>
        <w:rPr>
          <w:rFonts w:asciiTheme="minorHAnsi" w:eastAsiaTheme="minorEastAsia" w:hAnsiTheme="minorHAnsi" w:cstheme="minorBidi"/>
          <w:szCs w:val="22"/>
        </w:rPr>
      </w:pPr>
      <w:r>
        <w:t>85.</w:t>
      </w:r>
      <w:r>
        <w:tab/>
        <w:t>Notice of respondent’s intention (O. 65 r. 12)</w:t>
      </w:r>
      <w:r>
        <w:tab/>
      </w:r>
      <w:r>
        <w:fldChar w:fldCharType="begin"/>
      </w:r>
      <w:r>
        <w:instrText xml:space="preserve"> PAGEREF _Toc129078587 \h </w:instrText>
      </w:r>
      <w:r>
        <w:fldChar w:fldCharType="separate"/>
      </w:r>
      <w:r>
        <w:t>674</w:t>
      </w:r>
      <w:r>
        <w:fldChar w:fldCharType="end"/>
      </w:r>
    </w:p>
    <w:p>
      <w:pPr>
        <w:pStyle w:val="TOC8"/>
        <w:rPr>
          <w:rFonts w:asciiTheme="minorHAnsi" w:eastAsiaTheme="minorEastAsia" w:hAnsiTheme="minorHAnsi" w:cstheme="minorBidi"/>
          <w:szCs w:val="22"/>
        </w:rPr>
      </w:pPr>
      <w:r>
        <w:t>86.</w:t>
      </w:r>
      <w:r>
        <w:tab/>
        <w:t>Application in an appeal (O. 65 r. 13)</w:t>
      </w:r>
      <w:r>
        <w:tab/>
      </w:r>
      <w:r>
        <w:fldChar w:fldCharType="begin"/>
      </w:r>
      <w:r>
        <w:instrText xml:space="preserve"> PAGEREF _Toc129078588 \h </w:instrText>
      </w:r>
      <w:r>
        <w:fldChar w:fldCharType="separate"/>
      </w:r>
      <w:r>
        <w:t>675</w:t>
      </w:r>
      <w:r>
        <w:fldChar w:fldCharType="end"/>
      </w:r>
    </w:p>
    <w:p>
      <w:pPr>
        <w:pStyle w:val="TOC8"/>
        <w:rPr>
          <w:rFonts w:asciiTheme="minorHAnsi" w:eastAsiaTheme="minorEastAsia" w:hAnsiTheme="minorHAnsi" w:cstheme="minorBidi"/>
          <w:szCs w:val="22"/>
        </w:rPr>
      </w:pPr>
      <w:r>
        <w:t>87.</w:t>
      </w:r>
      <w:r>
        <w:tab/>
        <w:t>Consent notice (O. 65 r. 15 &amp; 18)</w:t>
      </w:r>
      <w:r>
        <w:tab/>
      </w:r>
      <w:r>
        <w:fldChar w:fldCharType="begin"/>
      </w:r>
      <w:r>
        <w:instrText xml:space="preserve"> PAGEREF _Toc129078589 \h </w:instrText>
      </w:r>
      <w:r>
        <w:fldChar w:fldCharType="separate"/>
      </w:r>
      <w:r>
        <w:t>675</w:t>
      </w:r>
      <w:r>
        <w:fldChar w:fldCharType="end"/>
      </w:r>
    </w:p>
    <w:p>
      <w:pPr>
        <w:pStyle w:val="TOC8"/>
        <w:rPr>
          <w:rFonts w:asciiTheme="minorHAnsi" w:eastAsiaTheme="minorEastAsia" w:hAnsiTheme="minorHAnsi" w:cstheme="minorBidi"/>
          <w:szCs w:val="22"/>
        </w:rPr>
      </w:pPr>
      <w:r>
        <w:t>88.</w:t>
      </w:r>
      <w:r>
        <w:tab/>
        <w:t>Request for hearing (O. 65 r. 7)</w:t>
      </w:r>
      <w:r>
        <w:tab/>
      </w:r>
      <w:r>
        <w:fldChar w:fldCharType="begin"/>
      </w:r>
      <w:r>
        <w:instrText xml:space="preserve"> PAGEREF _Toc129078590 \h </w:instrText>
      </w:r>
      <w:r>
        <w:fldChar w:fldCharType="separate"/>
      </w:r>
      <w:r>
        <w:t>676</w:t>
      </w:r>
      <w:r>
        <w:fldChar w:fldCharType="end"/>
      </w:r>
    </w:p>
    <w:p>
      <w:pPr>
        <w:pStyle w:val="TOC8"/>
        <w:rPr>
          <w:rFonts w:asciiTheme="minorHAnsi" w:eastAsiaTheme="minorEastAsia" w:hAnsiTheme="minorHAnsi" w:cstheme="minorBidi"/>
          <w:szCs w:val="22"/>
        </w:rPr>
      </w:pPr>
      <w:r>
        <w:t>89.</w:t>
      </w:r>
      <w:r>
        <w:tab/>
        <w:t>Discontinuance notice (O. 65 r. 17)</w:t>
      </w:r>
      <w:r>
        <w:tab/>
      </w:r>
      <w:r>
        <w:fldChar w:fldCharType="begin"/>
      </w:r>
      <w:r>
        <w:instrText xml:space="preserve"> PAGEREF _Toc129078591 \h </w:instrText>
      </w:r>
      <w:r>
        <w:fldChar w:fldCharType="separate"/>
      </w:r>
      <w:r>
        <w:t>676</w:t>
      </w:r>
      <w:r>
        <w:fldChar w:fldCharType="end"/>
      </w:r>
    </w:p>
    <w:p>
      <w:pPr>
        <w:pStyle w:val="TOC8"/>
        <w:rPr>
          <w:rFonts w:asciiTheme="minorHAnsi" w:eastAsiaTheme="minorEastAsia" w:hAnsiTheme="minorHAnsi" w:cstheme="minorBidi"/>
          <w:szCs w:val="22"/>
        </w:rPr>
      </w:pPr>
      <w:r>
        <w:t>93A.</w:t>
      </w:r>
      <w:r>
        <w:tab/>
      </w:r>
      <w:r>
        <w:rPr>
          <w:i/>
        </w:rPr>
        <w:t>Public Notaries Act 1979</w:t>
      </w:r>
      <w:r>
        <w:t xml:space="preserve"> s. 8, certificate (O. 76 r. 2)</w:t>
      </w:r>
      <w:r>
        <w:tab/>
      </w:r>
      <w:r>
        <w:fldChar w:fldCharType="begin"/>
      </w:r>
      <w:r>
        <w:instrText xml:space="preserve"> PAGEREF _Toc129078592 \h </w:instrText>
      </w:r>
      <w:r>
        <w:fldChar w:fldCharType="separate"/>
      </w:r>
      <w:r>
        <w:t>677</w:t>
      </w:r>
      <w:r>
        <w:fldChar w:fldCharType="end"/>
      </w:r>
    </w:p>
    <w:p>
      <w:pPr>
        <w:pStyle w:val="TOC8"/>
        <w:rPr>
          <w:rFonts w:asciiTheme="minorHAnsi" w:eastAsiaTheme="minorEastAsia" w:hAnsiTheme="minorHAnsi" w:cstheme="minorBidi"/>
          <w:szCs w:val="22"/>
        </w:rPr>
      </w:pPr>
      <w:r>
        <w:t>93B.</w:t>
      </w:r>
      <w:r>
        <w:tab/>
        <w:t>Notice of intention to apply for appointment as public notary (O. 76 r. 3)</w:t>
      </w:r>
      <w:r>
        <w:tab/>
      </w:r>
      <w:r>
        <w:fldChar w:fldCharType="begin"/>
      </w:r>
      <w:r>
        <w:instrText xml:space="preserve"> PAGEREF _Toc129078593 \h </w:instrText>
      </w:r>
      <w:r>
        <w:fldChar w:fldCharType="separate"/>
      </w:r>
      <w:r>
        <w:t>678</w:t>
      </w:r>
      <w:r>
        <w:fldChar w:fldCharType="end"/>
      </w:r>
    </w:p>
    <w:p>
      <w:pPr>
        <w:pStyle w:val="TOC8"/>
        <w:rPr>
          <w:rFonts w:asciiTheme="minorHAnsi" w:eastAsiaTheme="minorEastAsia" w:hAnsiTheme="minorHAnsi" w:cstheme="minorBidi"/>
          <w:szCs w:val="22"/>
        </w:rPr>
      </w:pPr>
      <w:r>
        <w:t>93C.</w:t>
      </w:r>
      <w:r>
        <w:tab/>
        <w:t>Certificate of appointment as public notary Western Australia (O. 76 r. 5(1))</w:t>
      </w:r>
      <w:r>
        <w:tab/>
      </w:r>
      <w:r>
        <w:fldChar w:fldCharType="begin"/>
      </w:r>
      <w:r>
        <w:instrText xml:space="preserve"> PAGEREF _Toc129078594 \h </w:instrText>
      </w:r>
      <w:r>
        <w:fldChar w:fldCharType="separate"/>
      </w:r>
      <w:r>
        <w:t>678</w:t>
      </w:r>
      <w:r>
        <w:fldChar w:fldCharType="end"/>
      </w:r>
    </w:p>
    <w:p>
      <w:pPr>
        <w:pStyle w:val="TOC8"/>
        <w:rPr>
          <w:rFonts w:asciiTheme="minorHAnsi" w:eastAsiaTheme="minorEastAsia" w:hAnsiTheme="minorHAnsi" w:cstheme="minorBidi"/>
          <w:szCs w:val="22"/>
        </w:rPr>
      </w:pPr>
      <w:r>
        <w:lastRenderedPageBreak/>
        <w:t>93D.</w:t>
      </w:r>
      <w:r>
        <w:tab/>
        <w:t>Certificate that name of public notary remains on roll (O. 76 r. 5(2))</w:t>
      </w:r>
      <w:r>
        <w:tab/>
      </w:r>
      <w:r>
        <w:fldChar w:fldCharType="begin"/>
      </w:r>
      <w:r>
        <w:instrText xml:space="preserve"> PAGEREF _Toc129078595 \h </w:instrText>
      </w:r>
      <w:r>
        <w:fldChar w:fldCharType="separate"/>
      </w:r>
      <w:r>
        <w:t>679</w:t>
      </w:r>
      <w:r>
        <w:fldChar w:fldCharType="end"/>
      </w:r>
    </w:p>
    <w:p>
      <w:pPr>
        <w:pStyle w:val="TOC8"/>
        <w:rPr>
          <w:rFonts w:asciiTheme="minorHAnsi" w:eastAsiaTheme="minorEastAsia" w:hAnsiTheme="minorHAnsi" w:cstheme="minorBidi"/>
          <w:szCs w:val="22"/>
        </w:rPr>
      </w:pPr>
      <w:r>
        <w:t>99.</w:t>
      </w:r>
      <w:r>
        <w:tab/>
      </w:r>
      <w:r>
        <w:rPr>
          <w:i/>
        </w:rPr>
        <w:t>Escheat (Procedure) Act 1940</w:t>
      </w:r>
      <w:r>
        <w:t>, notice of application under (O. 80 r. 3)</w:t>
      </w:r>
      <w:r>
        <w:tab/>
      </w:r>
      <w:r>
        <w:fldChar w:fldCharType="begin"/>
      </w:r>
      <w:r>
        <w:instrText xml:space="preserve"> PAGEREF _Toc129078596 \h </w:instrText>
      </w:r>
      <w:r>
        <w:fldChar w:fldCharType="separate"/>
      </w:r>
      <w:r>
        <w:t>680</w:t>
      </w:r>
      <w:r>
        <w:fldChar w:fldCharType="end"/>
      </w:r>
    </w:p>
    <w:p>
      <w:pPr>
        <w:pStyle w:val="TOC8"/>
        <w:rPr>
          <w:rFonts w:asciiTheme="minorHAnsi" w:eastAsiaTheme="minorEastAsia" w:hAnsiTheme="minorHAnsi" w:cstheme="minorBidi"/>
          <w:szCs w:val="22"/>
        </w:rPr>
      </w:pPr>
      <w:r>
        <w:t>100.</w:t>
      </w:r>
      <w:r>
        <w:tab/>
      </w:r>
      <w:r>
        <w:rPr>
          <w:i/>
        </w:rPr>
        <w:t>Escheat (Procedure) Act 1940</w:t>
      </w:r>
      <w:r>
        <w:t>, order of escheat (O. 80 r. 7)</w:t>
      </w:r>
      <w:r>
        <w:tab/>
      </w:r>
      <w:r>
        <w:fldChar w:fldCharType="begin"/>
      </w:r>
      <w:r>
        <w:instrText xml:space="preserve"> PAGEREF _Toc129078597 \h </w:instrText>
      </w:r>
      <w:r>
        <w:fldChar w:fldCharType="separate"/>
      </w:r>
      <w:r>
        <w:t>680</w:t>
      </w:r>
      <w:r>
        <w:fldChar w:fldCharType="end"/>
      </w:r>
    </w:p>
    <w:p>
      <w:pPr>
        <w:pStyle w:val="TOC8"/>
        <w:rPr>
          <w:rFonts w:asciiTheme="minorHAnsi" w:eastAsiaTheme="minorEastAsia" w:hAnsiTheme="minorHAnsi" w:cstheme="minorBidi"/>
          <w:szCs w:val="22"/>
        </w:rPr>
      </w:pPr>
      <w:r>
        <w:t>101.</w:t>
      </w:r>
      <w:r>
        <w:tab/>
        <w:t>Application for extraordinary licence (O. 81C r. 2(1))</w:t>
      </w:r>
      <w:r>
        <w:tab/>
      </w:r>
      <w:r>
        <w:fldChar w:fldCharType="begin"/>
      </w:r>
      <w:r>
        <w:instrText xml:space="preserve"> PAGEREF _Toc129078598 \h </w:instrText>
      </w:r>
      <w:r>
        <w:fldChar w:fldCharType="separate"/>
      </w:r>
      <w:r>
        <w:t>681</w:t>
      </w:r>
      <w:r>
        <w:fldChar w:fldCharType="end"/>
      </w:r>
    </w:p>
    <w:p>
      <w:pPr>
        <w:pStyle w:val="TOC8"/>
        <w:rPr>
          <w:rFonts w:asciiTheme="minorHAnsi" w:eastAsiaTheme="minorEastAsia" w:hAnsiTheme="minorHAnsi" w:cstheme="minorBidi"/>
          <w:szCs w:val="22"/>
        </w:rPr>
      </w:pPr>
      <w:r>
        <w:t>102.</w:t>
      </w:r>
      <w:r>
        <w:tab/>
        <w:t>Application by holder to vary extraordinary licence (O. 81C r. 2(2))</w:t>
      </w:r>
      <w:r>
        <w:tab/>
      </w:r>
      <w:r>
        <w:fldChar w:fldCharType="begin"/>
      </w:r>
      <w:r>
        <w:instrText xml:space="preserve"> PAGEREF _Toc129078599 \h </w:instrText>
      </w:r>
      <w:r>
        <w:fldChar w:fldCharType="separate"/>
      </w:r>
      <w:r>
        <w:t>682</w:t>
      </w:r>
      <w:r>
        <w:fldChar w:fldCharType="end"/>
      </w:r>
    </w:p>
    <w:p>
      <w:pPr>
        <w:pStyle w:val="TOC8"/>
        <w:rPr>
          <w:rFonts w:asciiTheme="minorHAnsi" w:eastAsiaTheme="minorEastAsia" w:hAnsiTheme="minorHAnsi" w:cstheme="minorBidi"/>
          <w:szCs w:val="22"/>
        </w:rPr>
      </w:pPr>
      <w:r>
        <w:t>103.</w:t>
      </w:r>
      <w:r>
        <w:tab/>
        <w:t>Application by CEO to vary, cancel extraordinary licence (O. 81C r. 2(3))</w:t>
      </w:r>
      <w:r>
        <w:tab/>
      </w:r>
      <w:r>
        <w:fldChar w:fldCharType="begin"/>
      </w:r>
      <w:r>
        <w:instrText xml:space="preserve"> PAGEREF _Toc129078600 \h </w:instrText>
      </w:r>
      <w:r>
        <w:fldChar w:fldCharType="separate"/>
      </w:r>
      <w:r>
        <w:t>683</w:t>
      </w:r>
      <w:r>
        <w:fldChar w:fldCharType="end"/>
      </w:r>
    </w:p>
    <w:p>
      <w:pPr>
        <w:pStyle w:val="TOC8"/>
        <w:rPr>
          <w:rFonts w:asciiTheme="minorHAnsi" w:eastAsiaTheme="minorEastAsia" w:hAnsiTheme="minorHAnsi" w:cstheme="minorBidi"/>
          <w:szCs w:val="22"/>
        </w:rPr>
      </w:pPr>
      <w:r>
        <w:t>104.</w:t>
      </w:r>
      <w:r>
        <w:tab/>
        <w:t>Application for removal of disqualification (O. 81C r. 2(4))</w:t>
      </w:r>
      <w:r>
        <w:tab/>
      </w:r>
      <w:r>
        <w:fldChar w:fldCharType="begin"/>
      </w:r>
      <w:r>
        <w:instrText xml:space="preserve"> PAGEREF _Toc129078601 \h </w:instrText>
      </w:r>
      <w:r>
        <w:fldChar w:fldCharType="separate"/>
      </w:r>
      <w:r>
        <w:t>684</w:t>
      </w:r>
      <w:r>
        <w:fldChar w:fldCharType="end"/>
      </w:r>
    </w:p>
    <w:p>
      <w:pPr>
        <w:pStyle w:val="TOC8"/>
        <w:rPr>
          <w:rFonts w:asciiTheme="minorHAnsi" w:eastAsiaTheme="minorEastAsia" w:hAnsiTheme="minorHAnsi" w:cstheme="minorBidi"/>
          <w:szCs w:val="22"/>
        </w:rPr>
      </w:pPr>
      <w:r>
        <w:t>108.</w:t>
      </w:r>
      <w:r>
        <w:tab/>
      </w:r>
      <w:r>
        <w:rPr>
          <w:i/>
        </w:rPr>
        <w:t>Criminal and Found Property Disposal Act 2006</w:t>
      </w:r>
      <w:r>
        <w:t>, claim under (O. 81G r. 3)</w:t>
      </w:r>
      <w:r>
        <w:tab/>
      </w:r>
      <w:r>
        <w:fldChar w:fldCharType="begin"/>
      </w:r>
      <w:r>
        <w:instrText xml:space="preserve"> PAGEREF _Toc129078602 \h </w:instrText>
      </w:r>
      <w:r>
        <w:fldChar w:fldCharType="separate"/>
      </w:r>
      <w:r>
        <w:t>685</w:t>
      </w:r>
      <w:r>
        <w:fldChar w:fldCharType="end"/>
      </w:r>
    </w:p>
    <w:p>
      <w:pPr>
        <w:pStyle w:val="TOC2"/>
        <w:tabs>
          <w:tab w:val="right" w:leader="dot" w:pos="7077"/>
        </w:tabs>
        <w:rPr>
          <w:rFonts w:asciiTheme="minorHAnsi" w:eastAsiaTheme="minorEastAsia" w:hAnsiTheme="minorHAnsi" w:cstheme="minorBidi"/>
          <w:b w:val="0"/>
          <w:sz w:val="22"/>
          <w:szCs w:val="22"/>
        </w:rPr>
      </w:pPr>
      <w:r>
        <w:t>Schedule 3 — Payment into and out of court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_Toc129078605 \h </w:instrText>
      </w:r>
      <w:r>
        <w:fldChar w:fldCharType="separate"/>
      </w:r>
      <w:r>
        <w:t>691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_Toc129078606 \h </w:instrText>
      </w:r>
      <w:r>
        <w:fldChar w:fldCharType="separate"/>
      </w:r>
      <w:r>
        <w:t>701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_Toc129078607 \h </w:instrText>
      </w:r>
      <w:r>
        <w:fldChar w:fldCharType="separate"/>
      </w:r>
      <w:r>
        <w:t>701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Supreme Court Act 1935</w:t>
      </w:r>
    </w:p>
    <w:p>
      <w:pPr>
        <w:pStyle w:val="NameofActReg"/>
        <w:spacing w:before="1440"/>
      </w:pPr>
      <w:r>
        <w:t>Rules of the Supreme Court 1971</w:t>
      </w:r>
    </w:p>
    <w:p>
      <w:pPr>
        <w:pStyle w:val="Heading2"/>
        <w:pageBreakBefore w:val="0"/>
      </w:pPr>
      <w:bookmarkStart w:id="3" w:name="_Toc129073253"/>
      <w:bookmarkStart w:id="4" w:name="_Toc129074536"/>
      <w:bookmarkStart w:id="5" w:name="_Toc129077325"/>
      <w:r>
        <w:rPr>
          <w:rStyle w:val="CharPartNo"/>
        </w:rPr>
        <w:t>Order 1</w:t>
      </w:r>
      <w:r>
        <w:t> — </w:t>
      </w:r>
      <w:r>
        <w:rPr>
          <w:rStyle w:val="CharPartText"/>
        </w:rPr>
        <w:t>Application, elimination of delay and forms</w:t>
      </w:r>
      <w:bookmarkEnd w:id="3"/>
      <w:bookmarkEnd w:id="4"/>
      <w:bookmarkEnd w:id="5"/>
    </w:p>
    <w:p>
      <w:pPr>
        <w:pStyle w:val="Footnoteheading"/>
        <w:ind w:left="890"/>
        <w:rPr>
          <w:snapToGrid w:val="0"/>
        </w:rPr>
      </w:pPr>
      <w:r>
        <w:rPr>
          <w:snapToGrid w:val="0"/>
        </w:rPr>
        <w:tab/>
        <w:t>[Heading inserted: Gazette 26 Mar 1993 p. 1840.]</w:t>
      </w:r>
    </w:p>
    <w:p>
      <w:pPr>
        <w:pStyle w:val="Heading5"/>
        <w:rPr>
          <w:snapToGrid w:val="0"/>
        </w:rPr>
      </w:pPr>
      <w:bookmarkStart w:id="6" w:name="_Toc129077326"/>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w:t>
      </w:r>
    </w:p>
    <w:p>
      <w:pPr>
        <w:pStyle w:val="Heading5"/>
        <w:rPr>
          <w:snapToGrid w:val="0"/>
        </w:rPr>
      </w:pPr>
      <w:bookmarkStart w:id="7" w:name="_Toc129077327"/>
      <w:r>
        <w:rPr>
          <w:rStyle w:val="CharSectno"/>
        </w:rPr>
        <w:t>2</w:t>
      </w:r>
      <w:r>
        <w:rPr>
          <w:snapToGrid w:val="0"/>
        </w:rPr>
        <w:t>.</w:t>
      </w:r>
      <w:r>
        <w:rPr>
          <w:snapToGrid w:val="0"/>
        </w:rPr>
        <w:tab/>
        <w:t>Commencement and saving</w:t>
      </w:r>
      <w:bookmarkEnd w:id="7"/>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Gazette 21 Feb 2007 p. 533; 22 Feb 2008 p. 634.]</w:t>
      </w:r>
    </w:p>
    <w:p>
      <w:pPr>
        <w:pStyle w:val="Heading5"/>
        <w:rPr>
          <w:snapToGrid w:val="0"/>
        </w:rPr>
      </w:pPr>
      <w:bookmarkStart w:id="8" w:name="_Toc129077328"/>
      <w:r>
        <w:rPr>
          <w:rStyle w:val="CharSectno"/>
        </w:rPr>
        <w:lastRenderedPageBreak/>
        <w:t>3</w:t>
      </w:r>
      <w:r>
        <w:rPr>
          <w:snapToGrid w:val="0"/>
        </w:rPr>
        <w:t>.</w:t>
      </w:r>
      <w:r>
        <w:rPr>
          <w:snapToGrid w:val="0"/>
        </w:rPr>
        <w:tab/>
        <w:t>Certain proceedings excluded</w:t>
      </w:r>
      <w:bookmarkEnd w:id="8"/>
      <w:r>
        <w:rPr>
          <w:snapToGrid w:val="0"/>
        </w:rPr>
        <w:t xml:space="preserve"> </w:t>
      </w:r>
    </w:p>
    <w:p>
      <w:pPr>
        <w:pStyle w:val="Subsection"/>
        <w:keepNext/>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Proceedings in the Court of Disputed Returns to which the</w:t>
            </w:r>
            <w:r>
              <w:rPr>
                <w:i/>
              </w:rPr>
              <w:t xml:space="preserve"> Electoral Rules 1908</w:t>
            </w:r>
            <w:r>
              <w:rPr>
                <w:vertAlign w:val="superscript"/>
              </w:rPr>
              <w:t> 1</w:t>
            </w:r>
            <w:r>
              <w:t xml:space="preserve"> apply.</w:t>
            </w:r>
          </w:p>
        </w:tc>
        <w:tc>
          <w:tcPr>
            <w:tcW w:w="3360" w:type="dxa"/>
          </w:tcPr>
          <w:p>
            <w:pPr>
              <w:pStyle w:val="TableNAm"/>
            </w:pPr>
            <w:r>
              <w:rPr>
                <w:i/>
              </w:rPr>
              <w:t>Electoral Act 1907</w:t>
            </w:r>
            <w:r>
              <w:t>, s. 173.</w:t>
            </w:r>
          </w:p>
        </w:tc>
      </w:tr>
    </w:tbl>
    <w:p>
      <w:pPr>
        <w:pStyle w:val="Subsection"/>
        <w:spacing w:before="240"/>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w:t>
      </w:r>
      <w:r>
        <w:rPr>
          <w:snapToGrid w:val="0"/>
        </w:rPr>
        <w:lastRenderedPageBreak/>
        <w:t>provisions thereof are applied in relation to any of those proceedings.</w:t>
      </w:r>
    </w:p>
    <w:p>
      <w:pPr>
        <w:pStyle w:val="Footnotesection"/>
        <w:keepLines w:val="0"/>
        <w:spacing w:after="120"/>
        <w:ind w:left="890" w:hanging="890"/>
      </w:pPr>
      <w:r>
        <w:tab/>
        <w:t>[Rule 3 amended: Gazette 10 Sep 1973 p. 3428; 28 Jun 1994 p. 3049; 8 May 2000 p. 2161; 29 Dec 2000 p. 7918; 27 Jul 2001 p. 3895; 21 Feb 2007 p. 533; 28 Jun 2011 p. 2552</w:t>
      </w:r>
      <w:r>
        <w:noBreakHyphen/>
        <w:t xml:space="preserve">3.] </w:t>
      </w:r>
    </w:p>
    <w:p>
      <w:pPr>
        <w:pStyle w:val="Heading5"/>
        <w:rPr>
          <w:snapToGrid w:val="0"/>
        </w:rPr>
      </w:pPr>
      <w:bookmarkStart w:id="9" w:name="_Toc129077329"/>
      <w:r>
        <w:rPr>
          <w:rStyle w:val="CharSectno"/>
        </w:rPr>
        <w:t>3A</w:t>
      </w:r>
      <w:r>
        <w:rPr>
          <w:snapToGrid w:val="0"/>
        </w:rPr>
        <w:t>.</w:t>
      </w:r>
      <w:r>
        <w:rPr>
          <w:snapToGrid w:val="0"/>
        </w:rPr>
        <w:tab/>
        <w:t>Inherent powers not affected</w:t>
      </w:r>
      <w:bookmarkEnd w:id="9"/>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Gazette 28 Oct 1996 p. 5673.] </w:t>
      </w:r>
    </w:p>
    <w:p>
      <w:pPr>
        <w:pStyle w:val="Heading5"/>
        <w:rPr>
          <w:snapToGrid w:val="0"/>
        </w:rPr>
      </w:pPr>
      <w:bookmarkStart w:id="10" w:name="_Toc129077330"/>
      <w:r>
        <w:rPr>
          <w:rStyle w:val="CharSectno"/>
        </w:rPr>
        <w:t>4</w:t>
      </w:r>
      <w:r>
        <w:rPr>
          <w:snapToGrid w:val="0"/>
        </w:rPr>
        <w:t>.</w:t>
      </w:r>
      <w:r>
        <w:rPr>
          <w:snapToGrid w:val="0"/>
        </w:rPr>
        <w:tab/>
        <w:t>Terms used</w:t>
      </w:r>
      <w:bookmarkEnd w:id="10"/>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Australia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lastRenderedPageBreak/>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the manner directed by the Chief Justice from time to time,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Perth;</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tab/>
      </w:r>
      <w:r>
        <w:rPr>
          <w:rStyle w:val="CharDefText"/>
        </w:rPr>
        <w:t>Court</w:t>
      </w:r>
      <w:r>
        <w:t xml:space="preserve"> includes any officer of the Court exercising powers of the Court delegated to the officer by these rules;</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file</w:t>
      </w:r>
      <w:r>
        <w:t>, in relation to a document, means to comply with Order 67A in relation to the document;</w:t>
      </w:r>
    </w:p>
    <w:p>
      <w:pPr>
        <w:pStyle w:val="Defstart"/>
      </w:pPr>
      <w:r>
        <w:tab/>
      </w:r>
      <w:r>
        <w:rPr>
          <w:rStyle w:val="CharDefText"/>
        </w:rPr>
        <w:t>file electronically</w:t>
      </w:r>
      <w:r>
        <w:t>, in relation to a document, means file the document under Order 67A using the ECMS;</w:t>
      </w:r>
    </w:p>
    <w:p>
      <w:pPr>
        <w:pStyle w:val="Defstart"/>
        <w:keepNext/>
      </w:pPr>
      <w:r>
        <w:lastRenderedPageBreak/>
        <w:tab/>
      </w:r>
      <w:r>
        <w:rPr>
          <w:rStyle w:val="CharDefText"/>
        </w:rPr>
        <w:t>filed document</w:t>
      </w:r>
      <w:r>
        <w:t xml:space="preserve"> means —</w:t>
      </w:r>
    </w:p>
    <w:p>
      <w:pPr>
        <w:pStyle w:val="Defpara"/>
      </w:pPr>
      <w:r>
        <w:tab/>
        <w:t>(a)</w:t>
      </w:r>
      <w:r>
        <w:tab/>
        <w:t>a document that —</w:t>
      </w:r>
    </w:p>
    <w:p>
      <w:pPr>
        <w:pStyle w:val="Defsubpara"/>
      </w:pPr>
      <w:r>
        <w:tab/>
        <w:t>(i)</w:t>
      </w:r>
      <w:r>
        <w:tab/>
        <w:t>has been filed with the Court; and</w:t>
      </w:r>
    </w:p>
    <w:p>
      <w:pPr>
        <w:pStyle w:val="Defsubpara"/>
      </w:pPr>
      <w:r>
        <w:tab/>
        <w:t>(ii)</w:t>
      </w:r>
      <w:r>
        <w:tab/>
        <w:t>has not been refused by the Court; and</w:t>
      </w:r>
    </w:p>
    <w:p>
      <w:pPr>
        <w:pStyle w:val="Defsubpara"/>
      </w:pPr>
      <w:r>
        <w:tab/>
        <w:t>(iii)</w:t>
      </w:r>
      <w:r>
        <w:tab/>
        <w:t>has been officially recorded by the Court as having been filed;</w:t>
      </w:r>
    </w:p>
    <w:p>
      <w:pPr>
        <w:pStyle w:val="Defpara"/>
      </w:pPr>
      <w:r>
        <w:tab/>
      </w:r>
      <w:r>
        <w:tab/>
        <w:t>and</w:t>
      </w:r>
    </w:p>
    <w:p>
      <w:pPr>
        <w:pStyle w:val="Defpara"/>
      </w:pPr>
      <w:r>
        <w:tab/>
        <w:t>(b)</w:t>
      </w:r>
      <w:r>
        <w:tab/>
        <w:t>any other document officially recorded by the Court as being a filed document;</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tab/>
      </w:r>
      <w:r>
        <w:rPr>
          <w:rStyle w:val="CharDefText"/>
        </w:rPr>
        <w:t>mortgage action</w:t>
      </w:r>
      <w:r>
        <w:t xml:space="preserve"> has the meaning given in Order 4AA rule 1(1);</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 xml:space="preserve">where under any Act or these rules any new duty is to be discharged, the proper officer to discharge the same </w:t>
      </w:r>
      <w:r>
        <w:lastRenderedPageBreak/>
        <w:t>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Ednotesubsection"/>
      </w:pPr>
      <w:r>
        <w:tab/>
        <w:t>[(2)</w:t>
      </w:r>
      <w:r>
        <w:tab/>
        <w:t>deleted]</w:t>
      </w:r>
    </w:p>
    <w:p>
      <w:pPr>
        <w:pStyle w:val="Footnotesection"/>
      </w:pPr>
      <w:r>
        <w:tab/>
        <w:t>[Rule 4 amended: Gazette 14 Dec 1979 p. 3869; 30 Nov 1984 p. 3951</w:t>
      </w:r>
      <w:r>
        <w:noBreakHyphen/>
        <w:t>2; 28 Oct 1996 p. 5674; 19 Apr 2005 p. 1298; 21 Feb 2007 p. 533</w:t>
      </w:r>
      <w:r>
        <w:noBreakHyphen/>
        <w:t xml:space="preserve">4; 3 Jul 2009 p. 2699; 28 Jul 2010 p. 3440 and 3482; 28 Jun 2011 p. 2551; 16 Nov 2016 p. 5185; 16 Aug 2017 p. 4392; 27 Feb 2018 p. 551-2; 31 Dec 2019 p. 4677; SL 2022/74 r. 10.] </w:t>
      </w:r>
    </w:p>
    <w:p>
      <w:pPr>
        <w:pStyle w:val="Heading5"/>
        <w:rPr>
          <w:snapToGrid w:val="0"/>
        </w:rPr>
      </w:pPr>
      <w:bookmarkStart w:id="11" w:name="_Toc129077331"/>
      <w:r>
        <w:rPr>
          <w:rStyle w:val="CharSectno"/>
        </w:rPr>
        <w:lastRenderedPageBreak/>
        <w:t>4A</w:t>
      </w:r>
      <w:r>
        <w:rPr>
          <w:snapToGrid w:val="0"/>
        </w:rPr>
        <w:t>.</w:t>
      </w:r>
      <w:r>
        <w:rPr>
          <w:snapToGrid w:val="0"/>
        </w:rPr>
        <w:tab/>
        <w:t>Delays, elimination of</w:t>
      </w:r>
      <w:bookmarkEnd w:id="11"/>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Gazette 26 Mar 1993 p. 1840.] </w:t>
      </w:r>
    </w:p>
    <w:p>
      <w:pPr>
        <w:pStyle w:val="Heading5"/>
        <w:rPr>
          <w:snapToGrid w:val="0"/>
        </w:rPr>
      </w:pPr>
      <w:bookmarkStart w:id="12" w:name="_Toc129077332"/>
      <w:r>
        <w:rPr>
          <w:rStyle w:val="CharSectno"/>
        </w:rPr>
        <w:t>4B</w:t>
      </w:r>
      <w:r>
        <w:rPr>
          <w:snapToGrid w:val="0"/>
        </w:rPr>
        <w:t>.</w:t>
      </w:r>
      <w:r>
        <w:rPr>
          <w:snapToGrid w:val="0"/>
        </w:rPr>
        <w:tab/>
        <w:t>Case flow management, use and objects of</w:t>
      </w:r>
      <w:bookmarkEnd w:id="12"/>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keepNext/>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Gazette 26 Mar 1993 p. 1840</w:t>
      </w:r>
      <w:r>
        <w:noBreakHyphen/>
        <w:t xml:space="preserve">1; amended: Gazette 28 Jul 2010 p. 3440; 28 Jun 2011 p. 2552.] </w:t>
      </w:r>
    </w:p>
    <w:p>
      <w:pPr>
        <w:pStyle w:val="Heading5"/>
        <w:rPr>
          <w:snapToGrid w:val="0"/>
        </w:rPr>
      </w:pPr>
      <w:bookmarkStart w:id="13" w:name="_Toc129077333"/>
      <w:r>
        <w:rPr>
          <w:rStyle w:val="CharSectno"/>
        </w:rPr>
        <w:lastRenderedPageBreak/>
        <w:t>4C</w:t>
      </w:r>
      <w:r>
        <w:rPr>
          <w:snapToGrid w:val="0"/>
        </w:rPr>
        <w:t>.</w:t>
      </w:r>
      <w:r>
        <w:rPr>
          <w:snapToGrid w:val="0"/>
        </w:rPr>
        <w:tab/>
        <w:t>Parties to notify settlement</w:t>
      </w:r>
      <w:bookmarkEnd w:id="13"/>
      <w:r>
        <w:rPr>
          <w:snapToGrid w:val="0"/>
        </w:rPr>
        <w:t xml:space="preserve"> </w:t>
      </w:r>
    </w:p>
    <w:p>
      <w:pPr>
        <w:pStyle w:val="Subsection"/>
        <w:keepNext/>
        <w:rPr>
          <w:snapToGrid w:val="0"/>
        </w:rPr>
      </w:pPr>
      <w:r>
        <w:rPr>
          <w:snapToGrid w:val="0"/>
        </w:rPr>
        <w:tab/>
      </w:r>
      <w:r>
        <w:rPr>
          <w:snapToGrid w:val="0"/>
        </w:rPr>
        <w:tab/>
        <w:t xml:space="preserve">When any cause or matter is disposed of in whole or in part by settlement the solicitors for the parties to the settlement shall notify the </w:t>
      </w:r>
      <w:r>
        <w:t>Principal Registrar</w:t>
      </w:r>
      <w:r>
        <w:rPr>
          <w:snapToGrid w:val="0"/>
        </w:rPr>
        <w:t xml:space="preserve"> in writing forthwith.</w:t>
      </w:r>
    </w:p>
    <w:p>
      <w:pPr>
        <w:pStyle w:val="Footnotesection"/>
      </w:pPr>
      <w:r>
        <w:tab/>
        <w:t xml:space="preserve">[Rule 4C inserted: Gazette 26 Mar 1993 p. 1841; amended: Gazette 12 Jun 2012 p. 2445.] </w:t>
      </w:r>
    </w:p>
    <w:p>
      <w:pPr>
        <w:pStyle w:val="Ednotesection"/>
      </w:pPr>
      <w:r>
        <w:t>[</w:t>
      </w:r>
      <w:r>
        <w:rPr>
          <w:b/>
        </w:rPr>
        <w:t>5.</w:t>
      </w:r>
      <w:r>
        <w:tab/>
        <w:t>Deleted: Gazette 28 Jun 2011 p. 2551.]</w:t>
      </w:r>
    </w:p>
    <w:p>
      <w:pPr>
        <w:pStyle w:val="Heading5"/>
        <w:rPr>
          <w:snapToGrid w:val="0"/>
        </w:rPr>
      </w:pPr>
      <w:bookmarkStart w:id="14" w:name="_Toc129077334"/>
      <w:r>
        <w:rPr>
          <w:rStyle w:val="CharSectno"/>
        </w:rPr>
        <w:t>6</w:t>
      </w:r>
      <w:r>
        <w:rPr>
          <w:snapToGrid w:val="0"/>
        </w:rPr>
        <w:t>.</w:t>
      </w:r>
      <w:r>
        <w:rPr>
          <w:snapToGrid w:val="0"/>
        </w:rPr>
        <w:tab/>
        <w:t>Forms</w:t>
      </w:r>
      <w:bookmarkEnd w:id="14"/>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keepNext/>
      </w:pPr>
      <w:r>
        <w:tab/>
        <w:t>[(2)</w:t>
      </w:r>
      <w:r>
        <w:tab/>
        <w:t>deleted]</w:t>
      </w:r>
    </w:p>
    <w:p>
      <w:pPr>
        <w:pStyle w:val="Footnotesection"/>
      </w:pPr>
      <w:r>
        <w:tab/>
        <w:t>[Rule 6 amended: Gazette 30 Nov 1984 p. 3952; 22 Feb 2008 p. 634; 28 Jun 2011 p. 2553.]</w:t>
      </w:r>
    </w:p>
    <w:p>
      <w:pPr>
        <w:pStyle w:val="Heading5"/>
      </w:pPr>
      <w:bookmarkStart w:id="15" w:name="_Toc129077335"/>
      <w:r>
        <w:rPr>
          <w:rStyle w:val="CharSectno"/>
        </w:rPr>
        <w:t>6A</w:t>
      </w:r>
      <w:r>
        <w:t>.</w:t>
      </w:r>
      <w:r>
        <w:tab/>
        <w:t xml:space="preserve">Forms under </w:t>
      </w:r>
      <w:r>
        <w:rPr>
          <w:i/>
        </w:rPr>
        <w:t>Restraining Orders Act 1997</w:t>
      </w:r>
      <w:bookmarkEnd w:id="15"/>
    </w:p>
    <w:p>
      <w:pPr>
        <w:pStyle w:val="Subsection"/>
      </w:pPr>
      <w:r>
        <w:tab/>
        <w:t>(1)</w:t>
      </w:r>
      <w:r>
        <w:tab/>
        <w:t xml:space="preserve">For the purposes of the </w:t>
      </w:r>
      <w:r>
        <w:rPr>
          <w:i/>
        </w:rPr>
        <w:t>Restraining Orders Act 1997</w:t>
      </w:r>
      <w:r>
        <w:t xml:space="preserve">, the forms set out in the </w:t>
      </w:r>
      <w:r>
        <w:rPr>
          <w:i/>
        </w:rPr>
        <w:t>Magistrates Court (Civil Proceedings) Rules 2005</w:t>
      </w:r>
      <w:r>
        <w:t xml:space="preserve"> Schedule 1, as in force on 25 November 2017, are prescribed (with any necessary changes) in relation to the matters specified in those forms.</w:t>
      </w:r>
    </w:p>
    <w:p>
      <w:pPr>
        <w:pStyle w:val="Subsection"/>
        <w:keepNext/>
      </w:pPr>
      <w:r>
        <w:tab/>
        <w:t>(2)</w:t>
      </w:r>
      <w:r>
        <w:tab/>
        <w:t>Where a form is in parts, then only those parts of the form that are relevant, taking into account the part heading, need be used for a particular copy of the form, or for a particular purpose.</w:t>
      </w:r>
    </w:p>
    <w:p>
      <w:pPr>
        <w:pStyle w:val="Footnotesection"/>
      </w:pPr>
      <w:r>
        <w:tab/>
        <w:t>[Rule 6A inserted: Gazette 30 Jun 2017 p. 3576; amended: Gazette 1 Dec 2017 p. 5733.]</w:t>
      </w:r>
    </w:p>
    <w:p>
      <w:pPr>
        <w:pStyle w:val="Heading5"/>
      </w:pPr>
      <w:bookmarkStart w:id="16" w:name="_Toc129077336"/>
      <w:r>
        <w:rPr>
          <w:rStyle w:val="CharSectno"/>
        </w:rPr>
        <w:lastRenderedPageBreak/>
        <w:t>7</w:t>
      </w:r>
      <w:r>
        <w:t>.</w:t>
      </w:r>
      <w:r>
        <w:tab/>
        <w:t>Court fees</w:t>
      </w:r>
      <w:bookmarkEnd w:id="16"/>
    </w:p>
    <w:p>
      <w:pPr>
        <w:pStyle w:val="Subsection"/>
        <w:keepNext/>
      </w:pPr>
      <w:r>
        <w:tab/>
      </w:r>
      <w:r>
        <w:tab/>
        <w:t xml:space="preserve">These rules are to be read with but do not affect the operation of the </w:t>
      </w:r>
      <w:r>
        <w:rPr>
          <w:i/>
        </w:rPr>
        <w:t>Supreme Court (Fees) Regulations 2002</w:t>
      </w:r>
      <w:r>
        <w:t>.</w:t>
      </w:r>
    </w:p>
    <w:p>
      <w:pPr>
        <w:pStyle w:val="Footnotesection"/>
      </w:pPr>
      <w:r>
        <w:tab/>
        <w:t>[Rule 7 inserted: Gazette 28 Jul 2010 p. 3482.]</w:t>
      </w:r>
    </w:p>
    <w:p>
      <w:pPr>
        <w:pStyle w:val="Heading5"/>
      </w:pPr>
      <w:bookmarkStart w:id="17" w:name="_Toc129077337"/>
      <w:r>
        <w:rPr>
          <w:rStyle w:val="CharSectno"/>
        </w:rPr>
        <w:t>8</w:t>
      </w:r>
      <w:r>
        <w:t>.</w:t>
      </w:r>
      <w:r>
        <w:tab/>
        <w:t>Documents given to authorised users or Court by means of ECMS</w:t>
      </w:r>
      <w:bookmarkEnd w:id="17"/>
    </w:p>
    <w:p>
      <w:pPr>
        <w:pStyle w:val="Subsection"/>
        <w:keepNext/>
      </w:pPr>
      <w:r>
        <w:tab/>
        <w:t>(1)</w:t>
      </w:r>
      <w:r>
        <w:tab/>
        <w:t xml:space="preserve">If — </w:t>
      </w:r>
    </w:p>
    <w:p>
      <w:pPr>
        <w:pStyle w:val="Indenta"/>
      </w:pPr>
      <w:r>
        <w:tab/>
        <w:t>(a)</w:t>
      </w:r>
      <w:r>
        <w:tab/>
        <w:t>these rules provide that the Court is required or authorised to give any writ, notice, order, summons or other document to a person; and</w:t>
      </w:r>
    </w:p>
    <w:p>
      <w:pPr>
        <w:pStyle w:val="Indenta"/>
        <w:keepNext/>
      </w:pPr>
      <w:r>
        <w:tab/>
        <w:t>(b)</w:t>
      </w:r>
      <w:r>
        <w:tab/>
        <w:t>the person is an authorised user of the ECMS,</w:t>
      </w:r>
    </w:p>
    <w:p>
      <w:pPr>
        <w:pStyle w:val="Subsection"/>
      </w:pPr>
      <w:r>
        <w:tab/>
      </w:r>
      <w:r>
        <w:tab/>
        <w:t>the Court may give the document to the person by means of the ECMS.</w:t>
      </w:r>
    </w:p>
    <w:p>
      <w:pPr>
        <w:pStyle w:val="Subsection"/>
        <w:keepNext/>
      </w:pPr>
      <w:r>
        <w:tab/>
        <w:t>(2)</w:t>
      </w:r>
      <w:r>
        <w:tab/>
        <w:t xml:space="preserve">If — </w:t>
      </w:r>
    </w:p>
    <w:p>
      <w:pPr>
        <w:pStyle w:val="Indenta"/>
      </w:pPr>
      <w:r>
        <w:tab/>
        <w:t>(a)</w:t>
      </w:r>
      <w:r>
        <w:tab/>
        <w:t>these rules provide that a person is required or authorised to give a document to the Court; and</w:t>
      </w:r>
    </w:p>
    <w:p>
      <w:pPr>
        <w:pStyle w:val="Indenta"/>
        <w:keepNext/>
      </w:pPr>
      <w:r>
        <w:tab/>
        <w:t>(b)</w:t>
      </w:r>
      <w:r>
        <w:tab/>
        <w:t>the person is an authorised user of the ECMS,</w:t>
      </w:r>
    </w:p>
    <w:p>
      <w:pPr>
        <w:pStyle w:val="Subsection"/>
        <w:keepNext/>
      </w:pPr>
      <w:r>
        <w:tab/>
      </w:r>
      <w:r>
        <w:tab/>
        <w:t>the person may give the document to the Court only by filing the document electronically unless these rules provide otherwise in respect of the document.</w:t>
      </w:r>
    </w:p>
    <w:p>
      <w:pPr>
        <w:pStyle w:val="Footnotesection"/>
        <w:rPr>
          <w:b/>
        </w:rPr>
      </w:pPr>
      <w:r>
        <w:tab/>
        <w:t>[Rule 8 inserted: Gazette 27 Feb 2018 p. 552-3; amended: Gazette 31 Dec 2019 p. 4677-8.]</w:t>
      </w:r>
    </w:p>
    <w:p>
      <w:pPr>
        <w:pStyle w:val="Heading2"/>
        <w:rPr>
          <w:b w:val="0"/>
        </w:rPr>
      </w:pPr>
      <w:bookmarkStart w:id="18" w:name="_Toc129073266"/>
      <w:bookmarkStart w:id="19" w:name="_Toc129074549"/>
      <w:bookmarkStart w:id="20" w:name="_Toc129077338"/>
      <w:r>
        <w:rPr>
          <w:rStyle w:val="CharPartNo"/>
        </w:rPr>
        <w:lastRenderedPageBreak/>
        <w:t>Order 2</w:t>
      </w:r>
      <w:r>
        <w:t> — </w:t>
      </w:r>
      <w:r>
        <w:rPr>
          <w:rStyle w:val="CharPartText"/>
        </w:rPr>
        <w:t>Effect of non</w:t>
      </w:r>
      <w:r>
        <w:rPr>
          <w:rStyle w:val="CharPartText"/>
        </w:rPr>
        <w:noBreakHyphen/>
        <w:t>compliance</w:t>
      </w:r>
      <w:bookmarkEnd w:id="18"/>
      <w:bookmarkEnd w:id="19"/>
      <w:bookmarkEnd w:id="20"/>
    </w:p>
    <w:p>
      <w:pPr>
        <w:pStyle w:val="Heading5"/>
        <w:rPr>
          <w:snapToGrid w:val="0"/>
        </w:rPr>
      </w:pPr>
      <w:bookmarkStart w:id="21" w:name="_Toc129077339"/>
      <w:r>
        <w:rPr>
          <w:rStyle w:val="CharSectno"/>
        </w:rPr>
        <w:t>1</w:t>
      </w:r>
      <w:r>
        <w:rPr>
          <w:snapToGrid w:val="0"/>
        </w:rPr>
        <w:t>.</w:t>
      </w:r>
      <w:r>
        <w:rPr>
          <w:snapToGrid w:val="0"/>
        </w:rPr>
        <w:tab/>
        <w:t>Non</w:t>
      </w:r>
      <w:r>
        <w:rPr>
          <w:snapToGrid w:val="0"/>
        </w:rPr>
        <w:noBreakHyphen/>
        <w:t>compliance with rules</w:t>
      </w:r>
      <w:bookmarkEnd w:id="2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r>
        <w:tab/>
        <w:t>[Rule 1 amended: Gazette 28 Jun 2011 p. 2552.]</w:t>
      </w:r>
    </w:p>
    <w:p>
      <w:pPr>
        <w:pStyle w:val="Heading5"/>
        <w:rPr>
          <w:snapToGrid w:val="0"/>
        </w:rPr>
      </w:pPr>
      <w:bookmarkStart w:id="22" w:name="_Toc129077340"/>
      <w:r>
        <w:rPr>
          <w:rStyle w:val="CharSectno"/>
        </w:rPr>
        <w:t>2</w:t>
      </w:r>
      <w:r>
        <w:rPr>
          <w:snapToGrid w:val="0"/>
        </w:rPr>
        <w:t>.</w:t>
      </w:r>
      <w:r>
        <w:rPr>
          <w:snapToGrid w:val="0"/>
        </w:rPr>
        <w:tab/>
        <w:t>Application to set aside for irregularity</w:t>
      </w:r>
      <w:bookmarkEnd w:id="22"/>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lastRenderedPageBreak/>
        <w:tab/>
        <w:t>(2)</w:t>
      </w:r>
      <w:r>
        <w:tab/>
        <w:t>An application under this rule shall be made by summons or motion, as the case may require, and the grounds of objection must be stated in the summons or notice of motion.</w:t>
      </w:r>
    </w:p>
    <w:p>
      <w:pPr>
        <w:pStyle w:val="Heading2"/>
        <w:rPr>
          <w:b w:val="0"/>
        </w:rPr>
      </w:pPr>
      <w:bookmarkStart w:id="23" w:name="_Toc129073269"/>
      <w:bookmarkStart w:id="24" w:name="_Toc129074552"/>
      <w:bookmarkStart w:id="25" w:name="_Toc129077341"/>
      <w:r>
        <w:rPr>
          <w:rStyle w:val="CharPartNo"/>
        </w:rPr>
        <w:lastRenderedPageBreak/>
        <w:t>Order 3</w:t>
      </w:r>
      <w:r>
        <w:t> — </w:t>
      </w:r>
      <w:r>
        <w:rPr>
          <w:rStyle w:val="CharPartText"/>
        </w:rPr>
        <w:t>Time</w:t>
      </w:r>
      <w:bookmarkEnd w:id="23"/>
      <w:bookmarkEnd w:id="24"/>
      <w:bookmarkEnd w:id="25"/>
    </w:p>
    <w:p>
      <w:pPr>
        <w:pStyle w:val="Heading5"/>
        <w:tabs>
          <w:tab w:val="left" w:pos="1440"/>
          <w:tab w:val="left" w:pos="2160"/>
          <w:tab w:val="left" w:pos="2880"/>
          <w:tab w:val="left" w:pos="3600"/>
          <w:tab w:val="left" w:pos="4320"/>
          <w:tab w:val="left" w:pos="4877"/>
        </w:tabs>
        <w:rPr>
          <w:snapToGrid w:val="0"/>
        </w:rPr>
      </w:pPr>
      <w:bookmarkStart w:id="26" w:name="_Toc129077342"/>
      <w:r>
        <w:rPr>
          <w:rStyle w:val="CharSectno"/>
        </w:rPr>
        <w:t>1</w:t>
      </w:r>
      <w:r>
        <w:rPr>
          <w:snapToGrid w:val="0"/>
        </w:rPr>
        <w:t>.</w:t>
      </w:r>
      <w:r>
        <w:rPr>
          <w:snapToGrid w:val="0"/>
        </w:rPr>
        <w:tab/>
        <w:t>Term used: month</w:t>
      </w:r>
      <w:bookmarkEnd w:id="26"/>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r>
        <w:tab/>
        <w:t>[Rule 1 amended: Gazette 29 Apr 2005 p. 1791.]</w:t>
      </w:r>
    </w:p>
    <w:p>
      <w:pPr>
        <w:pStyle w:val="Heading5"/>
        <w:rPr>
          <w:snapToGrid w:val="0"/>
        </w:rPr>
      </w:pPr>
      <w:bookmarkStart w:id="27" w:name="_Toc129077343"/>
      <w:r>
        <w:rPr>
          <w:rStyle w:val="CharSectno"/>
        </w:rPr>
        <w:t>2</w:t>
      </w:r>
      <w:r>
        <w:rPr>
          <w:snapToGrid w:val="0"/>
        </w:rPr>
        <w:t>.</w:t>
      </w:r>
      <w:r>
        <w:rPr>
          <w:snapToGrid w:val="0"/>
        </w:rPr>
        <w:tab/>
        <w:t>Reckoning periods of time</w:t>
      </w:r>
      <w:bookmarkEnd w:id="27"/>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8" w:name="_Toc129077344"/>
      <w:r>
        <w:rPr>
          <w:rStyle w:val="CharSectno"/>
        </w:rPr>
        <w:t>3</w:t>
      </w:r>
      <w:r>
        <w:rPr>
          <w:snapToGrid w:val="0"/>
        </w:rPr>
        <w:t>.</w:t>
      </w:r>
      <w:r>
        <w:rPr>
          <w:snapToGrid w:val="0"/>
        </w:rPr>
        <w:tab/>
        <w:t>Period between 24 Dec and 15 Jan excluded when computing time</w:t>
      </w:r>
      <w:bookmarkEnd w:id="28"/>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Gazette 9 Nov 1973 p. 4164.] </w:t>
      </w:r>
    </w:p>
    <w:p>
      <w:pPr>
        <w:pStyle w:val="Heading5"/>
        <w:rPr>
          <w:snapToGrid w:val="0"/>
        </w:rPr>
      </w:pPr>
      <w:bookmarkStart w:id="29" w:name="_Toc129077345"/>
      <w:r>
        <w:rPr>
          <w:rStyle w:val="CharSectno"/>
        </w:rPr>
        <w:lastRenderedPageBreak/>
        <w:t>4</w:t>
      </w:r>
      <w:r>
        <w:rPr>
          <w:snapToGrid w:val="0"/>
        </w:rPr>
        <w:t>.</w:t>
      </w:r>
      <w:r>
        <w:rPr>
          <w:snapToGrid w:val="0"/>
        </w:rPr>
        <w:tab/>
        <w:t>Time expiring on day Central Office closed, effect of</w:t>
      </w:r>
      <w:bookmarkEnd w:id="29"/>
    </w:p>
    <w:p>
      <w:pPr>
        <w:pStyle w:val="Subsection"/>
      </w:pPr>
      <w:r>
        <w:tab/>
        <w:t>(1)</w:t>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Subsection"/>
      </w:pPr>
      <w:r>
        <w:tab/>
        <w:t>(2)</w:t>
      </w:r>
      <w:r>
        <w:tab/>
        <w:t>Subrule (1) does not apply to the filing of a document on a day on which the Central Office is closed if the document is required by these rules to be filed electronically.</w:t>
      </w:r>
    </w:p>
    <w:p>
      <w:pPr>
        <w:pStyle w:val="Footnotesection"/>
      </w:pPr>
      <w:r>
        <w:tab/>
        <w:t>[Rule 4 amended: Gazette 27 Feb 2018 p. 553.]</w:t>
      </w:r>
    </w:p>
    <w:p>
      <w:pPr>
        <w:pStyle w:val="Heading5"/>
        <w:rPr>
          <w:snapToGrid w:val="0"/>
        </w:rPr>
      </w:pPr>
      <w:bookmarkStart w:id="30" w:name="_Toc129077346"/>
      <w:r>
        <w:rPr>
          <w:rStyle w:val="CharSectno"/>
        </w:rPr>
        <w:t>5</w:t>
      </w:r>
      <w:r>
        <w:rPr>
          <w:snapToGrid w:val="0"/>
        </w:rPr>
        <w:t>.</w:t>
      </w:r>
      <w:r>
        <w:rPr>
          <w:snapToGrid w:val="0"/>
        </w:rPr>
        <w:tab/>
        <w:t>Extending and abridging time</w:t>
      </w:r>
      <w:bookmarkEnd w:id="30"/>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Gazette 29 Apr 2005 p. 1791; 28 Jun 2011 p. 2552.]</w:t>
      </w:r>
    </w:p>
    <w:p>
      <w:pPr>
        <w:pStyle w:val="Heading5"/>
        <w:rPr>
          <w:snapToGrid w:val="0"/>
        </w:rPr>
      </w:pPr>
      <w:bookmarkStart w:id="31" w:name="_Toc129077347"/>
      <w:r>
        <w:rPr>
          <w:rStyle w:val="CharSectno"/>
        </w:rPr>
        <w:t>6</w:t>
      </w:r>
      <w:r>
        <w:rPr>
          <w:snapToGrid w:val="0"/>
        </w:rPr>
        <w:t>.</w:t>
      </w:r>
      <w:r>
        <w:rPr>
          <w:snapToGrid w:val="0"/>
        </w:rPr>
        <w:tab/>
        <w:t>Extension of time where security ordered</w:t>
      </w:r>
      <w:bookmarkEnd w:id="31"/>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32" w:name="_Toc129077348"/>
      <w:r>
        <w:rPr>
          <w:rStyle w:val="CharSectno"/>
        </w:rPr>
        <w:lastRenderedPageBreak/>
        <w:t>7</w:t>
      </w:r>
      <w:r>
        <w:rPr>
          <w:snapToGrid w:val="0"/>
        </w:rPr>
        <w:t>.</w:t>
      </w:r>
      <w:r>
        <w:rPr>
          <w:snapToGrid w:val="0"/>
        </w:rPr>
        <w:tab/>
        <w:t>Notice of intention to proceed after year’s delay</w:t>
      </w:r>
      <w:bookmarkEnd w:id="32"/>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Gazette 20 Jun 1986 p. 2040.] </w:t>
      </w:r>
    </w:p>
    <w:p>
      <w:pPr>
        <w:pStyle w:val="Heading2"/>
      </w:pPr>
      <w:bookmarkStart w:id="33" w:name="_Toc129073277"/>
      <w:bookmarkStart w:id="34" w:name="_Toc129074560"/>
      <w:bookmarkStart w:id="35" w:name="_Toc129077349"/>
      <w:r>
        <w:rPr>
          <w:rStyle w:val="CharPartNo"/>
        </w:rPr>
        <w:lastRenderedPageBreak/>
        <w:t>Order 4A</w:t>
      </w:r>
      <w:r>
        <w:rPr>
          <w:b w:val="0"/>
        </w:rPr>
        <w:t> </w:t>
      </w:r>
      <w:r>
        <w:t>—</w:t>
      </w:r>
      <w:r>
        <w:rPr>
          <w:b w:val="0"/>
        </w:rPr>
        <w:t> </w:t>
      </w:r>
      <w:r>
        <w:rPr>
          <w:rStyle w:val="CharPartText"/>
        </w:rPr>
        <w:t>Case management</w:t>
      </w:r>
      <w:bookmarkEnd w:id="33"/>
      <w:bookmarkEnd w:id="34"/>
      <w:bookmarkEnd w:id="35"/>
    </w:p>
    <w:p>
      <w:pPr>
        <w:pStyle w:val="Footnoteheading"/>
      </w:pPr>
      <w:r>
        <w:tab/>
        <w:t>[Heading inserted: Gazette 28 Jul 2010 p. 3441.]</w:t>
      </w:r>
    </w:p>
    <w:p>
      <w:pPr>
        <w:pStyle w:val="Heading3"/>
      </w:pPr>
      <w:bookmarkStart w:id="36" w:name="_Toc129073278"/>
      <w:bookmarkStart w:id="37" w:name="_Toc129074561"/>
      <w:bookmarkStart w:id="38" w:name="_Toc129077350"/>
      <w:r>
        <w:rPr>
          <w:rStyle w:val="CharDivNo"/>
        </w:rPr>
        <w:t>Division 1</w:t>
      </w:r>
      <w:r>
        <w:t> — </w:t>
      </w:r>
      <w:r>
        <w:rPr>
          <w:rStyle w:val="CharDivText"/>
        </w:rPr>
        <w:t>Preliminary matters</w:t>
      </w:r>
      <w:bookmarkEnd w:id="36"/>
      <w:bookmarkEnd w:id="37"/>
      <w:bookmarkEnd w:id="38"/>
    </w:p>
    <w:p>
      <w:pPr>
        <w:pStyle w:val="Footnoteheading"/>
      </w:pPr>
      <w:r>
        <w:tab/>
        <w:t>[Heading inserted: Gazette 28 Jul 2010 p. 3441.]</w:t>
      </w:r>
    </w:p>
    <w:p>
      <w:pPr>
        <w:pStyle w:val="Heading5"/>
      </w:pPr>
      <w:bookmarkStart w:id="39" w:name="_Toc129077351"/>
      <w:r>
        <w:rPr>
          <w:rStyle w:val="CharSectno"/>
        </w:rPr>
        <w:t>1</w:t>
      </w:r>
      <w:r>
        <w:t>.</w:t>
      </w:r>
      <w:r>
        <w:tab/>
        <w:t>Terms used</w:t>
      </w:r>
      <w:bookmarkEnd w:id="39"/>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tab/>
      </w:r>
      <w:r>
        <w:rPr>
          <w:rStyle w:val="CharDefText"/>
        </w:rPr>
        <w:t>case</w:t>
      </w:r>
      <w:r>
        <w:t xml:space="preserve"> means any action, cause or matter in the General Division of the Court;</w:t>
      </w:r>
    </w:p>
    <w:p>
      <w:pPr>
        <w:pStyle w:val="Defstart"/>
      </w:pPr>
      <w:r>
        <w:rPr>
          <w:b/>
        </w:rPr>
        <w:tab/>
      </w:r>
      <w:r>
        <w:rPr>
          <w:rStyle w:val="CharDefText"/>
        </w:rPr>
        <w:t>case management direction</w:t>
      </w:r>
      <w:r>
        <w:t xml:space="preserve"> has the meaning given in rule 2;</w:t>
      </w:r>
    </w:p>
    <w:p>
      <w:pPr>
        <w:pStyle w:val="Defstart"/>
      </w:pPr>
      <w:r>
        <w:tab/>
      </w:r>
      <w:r>
        <w:rPr>
          <w:rStyle w:val="CharDefText"/>
        </w:rPr>
        <w:t>case manager</w:t>
      </w:r>
      <w:r>
        <w:t xml:space="preserve"> means a judge, master or registrar to whom the case is assigned;</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enforcement order</w:t>
      </w:r>
      <w:r>
        <w:t xml:space="preserve"> has the meaning given in rule 3.</w:t>
      </w:r>
    </w:p>
    <w:p>
      <w:pPr>
        <w:pStyle w:val="Footnotesection"/>
      </w:pPr>
      <w:r>
        <w:tab/>
        <w:t>[Rule 1 inserted: Gazette 28 Jul 2010 p. 3441; amended: Gazette 16 Aug 2017 p. 4392.]</w:t>
      </w:r>
    </w:p>
    <w:p>
      <w:pPr>
        <w:pStyle w:val="Heading5"/>
      </w:pPr>
      <w:bookmarkStart w:id="40" w:name="_Toc129077352"/>
      <w:r>
        <w:rPr>
          <w:rStyle w:val="CharSectno"/>
        </w:rPr>
        <w:t>2</w:t>
      </w:r>
      <w:r>
        <w:t>.</w:t>
      </w:r>
      <w:r>
        <w:tab/>
        <w:t>Term used: case management direction</w:t>
      </w:r>
      <w:bookmarkEnd w:id="40"/>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lastRenderedPageBreak/>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legal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(ia)</w:t>
      </w:r>
      <w:r>
        <w:tab/>
        <w:t xml:space="preserve">give directions for the purposes of Order 36A rule 1 as to expert evidence including directions as to any of the following — </w:t>
      </w:r>
    </w:p>
    <w:p>
      <w:pPr>
        <w:pStyle w:val="Indenti"/>
      </w:pPr>
      <w:r>
        <w:tab/>
        <w:t>(i)</w:t>
      </w:r>
      <w:r>
        <w:tab/>
        <w:t xml:space="preserve">the provision to a party or the Court of a copy of a report, or part of a report, of an expert witness, before the trial; </w:t>
      </w:r>
    </w:p>
    <w:p>
      <w:pPr>
        <w:pStyle w:val="Indenti"/>
      </w:pPr>
      <w:r>
        <w:lastRenderedPageBreak/>
        <w:tab/>
        <w:t>(ii)</w:t>
      </w:r>
      <w:r>
        <w:tab/>
        <w:t>the disclosure to a party or the Court, in writing, of the substance of all or any part of expert evidence, before the trial;</w:t>
      </w:r>
    </w:p>
    <w:p>
      <w:pPr>
        <w:pStyle w:val="Indenti"/>
      </w:pPr>
      <w:r>
        <w:tab/>
        <w:t>(iii)</w:t>
      </w:r>
      <w:r>
        <w:tab/>
        <w:t>the number of expert witnesses who may be called at the trial;</w:t>
      </w:r>
    </w:p>
    <w:p>
      <w:pPr>
        <w:pStyle w:val="Indenti"/>
      </w:pPr>
      <w:r>
        <w:tab/>
        <w:t>(iv)</w:t>
      </w:r>
      <w:r>
        <w:tab/>
        <w:t>the provision to the case manager for inspection under subrule (6) of any report or document containing expert evidence or the substance of the expert evidence;</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provided or whose evidence the substance of which has been disclosed, under a direction under paragraph (ia),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Ednotepara"/>
      </w:pPr>
      <w:r>
        <w:tab/>
        <w:t>[(m)</w:t>
      </w:r>
      <w:r>
        <w:tab/>
        <w:t>deleted]</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lastRenderedPageBreak/>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legal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 xml:space="preserve">direct a party to serve on the other parties, at times set by the case manager making the direction, a signed </w:t>
      </w:r>
      <w:r>
        <w:lastRenderedPageBreak/>
        <w:t>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Ednotesubsection"/>
      </w:pPr>
      <w:r>
        <w:tab/>
        <w:t>[(4)</w:t>
      </w:r>
      <w:r>
        <w:tab/>
        <w:t>deleted]</w:t>
      </w:r>
    </w:p>
    <w:p>
      <w:pPr>
        <w:pStyle w:val="Subsection"/>
      </w:pPr>
      <w:r>
        <w:tab/>
        <w:t>(5)</w:t>
      </w:r>
      <w:r>
        <w:tab/>
        <w:t>A case management direction must not, without the consent of the parties, direct that a conference take place where a party would become liable to remunerate a mediator.</w:t>
      </w:r>
    </w:p>
    <w:p>
      <w:pPr>
        <w:pStyle w:val="Subsection"/>
      </w:pPr>
      <w:r>
        <w:tab/>
        <w:t>(6)</w:t>
      </w:r>
      <w:r>
        <w:tab/>
        <w:t xml:space="preserve">For the purpose of deciding whether to make a direction for the purposes of Order 36A rule 1, the case manager may inspect any report or document containing expert evidence or the substance </w:t>
      </w:r>
      <w:r>
        <w:lastRenderedPageBreak/>
        <w:t>of the expert evidence, with or without disclosing the contents of that report or document to any other party.</w:t>
      </w:r>
    </w:p>
    <w:p>
      <w:pPr>
        <w:pStyle w:val="Footnotesection"/>
      </w:pPr>
      <w:r>
        <w:tab/>
        <w:t>[Rule 2 inserted: Gazette 28 Jul 2010 p. 3441-6; amended: Gazette 13 Nov 2015 p. 4644; 16 Aug 2017 p. 4393</w:t>
      </w:r>
      <w:r>
        <w:noBreakHyphen/>
        <w:t>4; SL 2022/74 r. 15.]</w:t>
      </w:r>
    </w:p>
    <w:p>
      <w:pPr>
        <w:pStyle w:val="Heading5"/>
      </w:pPr>
      <w:bookmarkStart w:id="41" w:name="_Toc129077353"/>
      <w:r>
        <w:rPr>
          <w:rStyle w:val="CharSectno"/>
        </w:rPr>
        <w:t>3</w:t>
      </w:r>
      <w:r>
        <w:t>.</w:t>
      </w:r>
      <w:r>
        <w:tab/>
        <w:t>Term used: enforcement order</w:t>
      </w:r>
      <w:bookmarkEnd w:id="41"/>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r>
        <w:tab/>
        <w:t>[Rule 3 inserted: Gazette 28 Jul 2010 p. 3446.]</w:t>
      </w:r>
    </w:p>
    <w:p>
      <w:pPr>
        <w:pStyle w:val="Heading5"/>
      </w:pPr>
      <w:bookmarkStart w:id="42" w:name="_Toc129077354"/>
      <w:r>
        <w:rPr>
          <w:rStyle w:val="CharSectno"/>
        </w:rPr>
        <w:t>4</w:t>
      </w:r>
      <w:r>
        <w:t>.</w:t>
      </w:r>
      <w:r>
        <w:tab/>
        <w:t>Inconsistencies with other rules</w:t>
      </w:r>
      <w:bookmarkEnd w:id="42"/>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r>
        <w:tab/>
        <w:t>[Rule 4 inserted: Gazette 28 Jul 2010 p. 3446.]</w:t>
      </w:r>
    </w:p>
    <w:p>
      <w:pPr>
        <w:pStyle w:val="Heading3"/>
      </w:pPr>
      <w:bookmarkStart w:id="43" w:name="_Toc129073283"/>
      <w:bookmarkStart w:id="44" w:name="_Toc129074566"/>
      <w:bookmarkStart w:id="45" w:name="_Toc129077355"/>
      <w:r>
        <w:rPr>
          <w:rStyle w:val="CharDivNo"/>
        </w:rPr>
        <w:t>Division 2</w:t>
      </w:r>
      <w:r>
        <w:t> — </w:t>
      </w:r>
      <w:r>
        <w:rPr>
          <w:rStyle w:val="CharDivText"/>
        </w:rPr>
        <w:t>Provisions applicable to all cases</w:t>
      </w:r>
      <w:bookmarkEnd w:id="43"/>
      <w:bookmarkEnd w:id="44"/>
      <w:bookmarkEnd w:id="45"/>
    </w:p>
    <w:p>
      <w:pPr>
        <w:pStyle w:val="Footnoteheading"/>
      </w:pPr>
      <w:r>
        <w:tab/>
        <w:t>[Heading inserted: Gazette 28 Jul 2010 p. 3446.]</w:t>
      </w:r>
    </w:p>
    <w:p>
      <w:pPr>
        <w:pStyle w:val="Heading5"/>
      </w:pPr>
      <w:bookmarkStart w:id="46" w:name="_Toc129077356"/>
      <w:r>
        <w:rPr>
          <w:rStyle w:val="CharSectno"/>
        </w:rPr>
        <w:t>4A</w:t>
      </w:r>
      <w:r>
        <w:t>.</w:t>
      </w:r>
      <w:r>
        <w:tab/>
        <w:t>Case management conferences</w:t>
      </w:r>
      <w:bookmarkEnd w:id="46"/>
    </w:p>
    <w:p>
      <w:pPr>
        <w:pStyle w:val="Subsection"/>
      </w:pPr>
      <w:r>
        <w:tab/>
      </w:r>
      <w:r>
        <w:tab/>
        <w:t xml:space="preserve">An interlocutory application or matter, a review under rule 5 and a request by a party (including a request by a party under rule 5A) must be dealt with by way of a case management conference unless — </w:t>
      </w:r>
    </w:p>
    <w:p>
      <w:pPr>
        <w:pStyle w:val="Indenta"/>
      </w:pPr>
      <w:r>
        <w:tab/>
        <w:t>(a)</w:t>
      </w:r>
      <w:r>
        <w:tab/>
        <w:t>the case manager directs otherwise; or</w:t>
      </w:r>
    </w:p>
    <w:p>
      <w:pPr>
        <w:pStyle w:val="Indenta"/>
      </w:pPr>
      <w:r>
        <w:lastRenderedPageBreak/>
        <w:tab/>
        <w:t>(b)</w:t>
      </w:r>
      <w:r>
        <w:tab/>
        <w:t>a decision is made in relation to the application, matter, review or request on the basis of documents filed without requiring the parties or their legal practitioners to attend a hearing.</w:t>
      </w:r>
    </w:p>
    <w:p>
      <w:pPr>
        <w:pStyle w:val="Footnotesection"/>
      </w:pPr>
      <w:r>
        <w:tab/>
        <w:t>[Rule 4A inserted: Gazette 16 Aug 2017 p. 4394; amended: SL 2022/74 r. 15.]</w:t>
      </w:r>
    </w:p>
    <w:p>
      <w:pPr>
        <w:pStyle w:val="Heading5"/>
      </w:pPr>
      <w:bookmarkStart w:id="47" w:name="_Toc129077357"/>
      <w:r>
        <w:rPr>
          <w:rStyle w:val="CharSectno"/>
        </w:rPr>
        <w:t>5</w:t>
      </w:r>
      <w:r>
        <w:t>.</w:t>
      </w:r>
      <w:r>
        <w:tab/>
        <w:t>Case manager may review case at any time</w:t>
      </w:r>
      <w:bookmarkEnd w:id="47"/>
    </w:p>
    <w:p>
      <w:pPr>
        <w:pStyle w:val="Subsection"/>
      </w:pPr>
      <w:r>
        <w:tab/>
        <w:t>(1)</w:t>
      </w:r>
      <w:r>
        <w:tab/>
        <w:t>The case manager for a case may review the progress of the case —</w:t>
      </w:r>
    </w:p>
    <w:p>
      <w:pPr>
        <w:pStyle w:val="Indenta"/>
      </w:pPr>
      <w:r>
        <w:tab/>
        <w:t>(a)</w:t>
      </w:r>
      <w:r>
        <w:tab/>
        <w:t>at any time in the case, on the case manager’s own initiative after notifying the parties; or</w:t>
      </w:r>
    </w:p>
    <w:p>
      <w:pPr>
        <w:pStyle w:val="Indenta"/>
      </w:pPr>
      <w:r>
        <w:tab/>
        <w:t>(b)</w:t>
      </w:r>
      <w:r>
        <w:tab/>
        <w:t xml:space="preserve">when hearing a request by a party (including a request by a party under rule 5A); or </w:t>
      </w:r>
    </w:p>
    <w:p>
      <w:pPr>
        <w:pStyle w:val="Indenta"/>
      </w:pPr>
      <w:r>
        <w:tab/>
        <w:t>(c)</w:t>
      </w:r>
      <w:r>
        <w:tab/>
        <w:t>when hearing any other application in the case.</w:t>
      </w:r>
    </w:p>
    <w:p>
      <w:pPr>
        <w:pStyle w:val="Subsection"/>
      </w:pPr>
      <w:r>
        <w:tab/>
        <w:t>(2)</w:t>
      </w:r>
      <w:r>
        <w:tab/>
        <w:t>On the review, the case manager may do all or any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(3)</w:t>
      </w:r>
      <w:r>
        <w:tab/>
        <w:t>For the purposes of subrule (1)(a), the case manager may at any time direct all or any of the parties to a case to attend before the case manager.</w:t>
      </w:r>
    </w:p>
    <w:p>
      <w:pPr>
        <w:pStyle w:val="Subsection"/>
      </w:pPr>
      <w:r>
        <w:tab/>
        <w:t>(4)</w:t>
      </w:r>
      <w:r>
        <w:tab/>
        <w:t>If the case manager is a master, subrules (1) and (2) are subject to Order 60 rule 1(3) and (4).</w:t>
      </w:r>
    </w:p>
    <w:p>
      <w:pPr>
        <w:pStyle w:val="Subsection"/>
      </w:pPr>
      <w:r>
        <w:tab/>
        <w:t>(5)</w:t>
      </w:r>
      <w:r>
        <w:tab/>
        <w:t>If the case manager is a registrar, subrules (1) and (2) are subject to Order 60A rule 2(2), (3) and (4).</w:t>
      </w:r>
    </w:p>
    <w:p>
      <w:pPr>
        <w:pStyle w:val="Footnotesection"/>
      </w:pPr>
      <w:r>
        <w:tab/>
        <w:t>[Rule 5 inserted: Gazette 16 Aug 2017 p. 4394</w:t>
      </w:r>
      <w:r>
        <w:noBreakHyphen/>
        <w:t>5.]</w:t>
      </w:r>
    </w:p>
    <w:p>
      <w:pPr>
        <w:pStyle w:val="Heading5"/>
      </w:pPr>
      <w:bookmarkStart w:id="48" w:name="_Toc129077358"/>
      <w:r>
        <w:rPr>
          <w:rStyle w:val="CharSectno"/>
        </w:rPr>
        <w:lastRenderedPageBreak/>
        <w:t>5A</w:t>
      </w:r>
      <w:r>
        <w:t>.</w:t>
      </w:r>
      <w:r>
        <w:tab/>
        <w:t>Requesting interlocutory orders and case management directions</w:t>
      </w:r>
      <w:bookmarkEnd w:id="48"/>
    </w:p>
    <w:p>
      <w:pPr>
        <w:pStyle w:val="Subsection"/>
      </w:pPr>
      <w:r>
        <w:tab/>
        <w:t>(1)</w:t>
      </w:r>
      <w:r>
        <w:tab/>
        <w:t xml:space="preserve">A party to a case may at any time request the case manager to do any of the following — </w:t>
      </w:r>
    </w:p>
    <w:p>
      <w:pPr>
        <w:pStyle w:val="Indenta"/>
      </w:pPr>
      <w:r>
        <w:tab/>
        <w:t>(a)</w:t>
      </w:r>
      <w:r>
        <w:tab/>
        <w:t>make an interlocutory order that the case manager has jurisdiction to make;</w:t>
      </w:r>
    </w:p>
    <w:p>
      <w:pPr>
        <w:pStyle w:val="Indenta"/>
      </w:pPr>
      <w:r>
        <w:tab/>
        <w:t>(b)</w:t>
      </w:r>
      <w:r>
        <w:tab/>
        <w:t>make, cancel or amend a case management direction.</w:t>
      </w:r>
    </w:p>
    <w:p>
      <w:pPr>
        <w:pStyle w:val="Subsection"/>
      </w:pPr>
      <w:r>
        <w:tab/>
        <w:t>(2)</w:t>
      </w:r>
      <w:r>
        <w:tab/>
        <w:t xml:space="preserve">The party must make the request by way of a letter to the case manager in accordance with rule 5B(1) and (2) unless — </w:t>
      </w:r>
    </w:p>
    <w:p>
      <w:pPr>
        <w:pStyle w:val="Indenta"/>
      </w:pPr>
      <w:r>
        <w:tab/>
        <w:t>(a)</w:t>
      </w:r>
      <w:r>
        <w:tab/>
        <w:t>the request is made orally either during a case management conference or during a hearing; or</w:t>
      </w:r>
    </w:p>
    <w:p>
      <w:pPr>
        <w:pStyle w:val="Indenta"/>
      </w:pPr>
      <w:r>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case, in which case the request must be made under those rules; or</w:t>
      </w:r>
    </w:p>
    <w:p>
      <w:pPr>
        <w:pStyle w:val="Indenta"/>
      </w:pPr>
      <w:r>
        <w:tab/>
        <w:t>(d)</w:t>
      </w:r>
      <w:r>
        <w:tab/>
        <w:t>a form, prescribed under a written law, is specific to the nature of the request, in which case the request must be made in that form.</w:t>
      </w:r>
    </w:p>
    <w:p>
      <w:pPr>
        <w:pStyle w:val="Subsection"/>
      </w:pPr>
      <w:r>
        <w:tab/>
        <w:t>(3)</w:t>
      </w:r>
      <w:r>
        <w:tab/>
        <w:t>The case manager may by notice, direct the parties to attend a case management conference or a hearing to consider the request.</w:t>
      </w:r>
    </w:p>
    <w:p>
      <w:pPr>
        <w:pStyle w:val="Footnotesection"/>
      </w:pPr>
      <w:r>
        <w:tab/>
        <w:t>[Rule 5A inserted: Gazette 16 Aug 2017 p. 4395</w:t>
      </w:r>
      <w:r>
        <w:noBreakHyphen/>
        <w:t>6.]</w:t>
      </w:r>
    </w:p>
    <w:p>
      <w:pPr>
        <w:pStyle w:val="Heading5"/>
      </w:pPr>
      <w:bookmarkStart w:id="49" w:name="_Toc129077359"/>
      <w:r>
        <w:rPr>
          <w:rStyle w:val="CharSectno"/>
        </w:rPr>
        <w:t>5B</w:t>
      </w:r>
      <w:r>
        <w:t>.</w:t>
      </w:r>
      <w:r>
        <w:tab/>
        <w:t>Request under r. 5A by letter</w:t>
      </w:r>
      <w:bookmarkEnd w:id="49"/>
      <w:r>
        <w:t xml:space="preserve"> </w:t>
      </w:r>
    </w:p>
    <w:p>
      <w:pPr>
        <w:pStyle w:val="Subsection"/>
      </w:pPr>
      <w:r>
        <w:tab/>
        <w:t>(1)</w:t>
      </w:r>
      <w:r>
        <w:tab/>
        <w:t>A party making a request under rule 5A by way of a letter must —</w:t>
      </w:r>
    </w:p>
    <w:p>
      <w:pPr>
        <w:pStyle w:val="Indenta"/>
      </w:pPr>
      <w:r>
        <w:tab/>
        <w:t>(a)</w:t>
      </w:r>
      <w:r>
        <w:tab/>
        <w:t xml:space="preserve">file the letter and any attachments; and </w:t>
      </w:r>
    </w:p>
    <w:p>
      <w:pPr>
        <w:pStyle w:val="Indenta"/>
      </w:pPr>
      <w:r>
        <w:lastRenderedPageBreak/>
        <w:tab/>
        <w:t>(b)</w:t>
      </w:r>
      <w:r>
        <w:tab/>
        <w:t>set out in the letter details of any order or direction sought or file with the letter as an attachment a minute in Form 78 of any order sought; and</w:t>
      </w:r>
    </w:p>
    <w:p>
      <w:pPr>
        <w:pStyle w:val="Indenta"/>
      </w:pPr>
      <w:r>
        <w:tab/>
        <w:t>(c)</w:t>
      </w:r>
      <w:r>
        <w:tab/>
        <w:t>file with the letter as an attachment any other relevant document; and</w:t>
      </w:r>
    </w:p>
    <w:p>
      <w:pPr>
        <w:pStyle w:val="Indenta"/>
      </w:pPr>
      <w:r>
        <w:tab/>
        <w:t>(d)</w:t>
      </w:r>
      <w:r>
        <w:tab/>
        <w:t>email a copy of the letter and the attachments to the associate to the case manager, or if the case manager is not known, to the associate to the Principal Registrar; and</w:t>
      </w:r>
    </w:p>
    <w:p>
      <w:pPr>
        <w:pStyle w:val="Indenta"/>
      </w:pPr>
      <w:r>
        <w:tab/>
        <w:t>(e)</w:t>
      </w:r>
      <w:r>
        <w:tab/>
        <w:t>give a copy of the letter and the attachments to the other parties.</w:t>
      </w:r>
    </w:p>
    <w:p>
      <w:pPr>
        <w:pStyle w:val="Subsection"/>
      </w:pPr>
      <w:r>
        <w:tab/>
        <w:t>(2)</w:t>
      </w:r>
      <w:r>
        <w:tab/>
        <w:t>A party must comply with subrule (1) not less than 2 clear days before the case manager is requested to act upon the request.</w:t>
      </w:r>
    </w:p>
    <w:p>
      <w:pPr>
        <w:pStyle w:val="Subsection"/>
      </w:pPr>
      <w:r>
        <w:tab/>
        <w:t>(3)</w:t>
      </w:r>
      <w:r>
        <w:tab/>
        <w:t>A party who fails to comply with subrule (1) or (2) in relation to a letter, attachment or other document cannot, without the case manager’s leave, refer to or rely on the document —</w:t>
      </w:r>
    </w:p>
    <w:p>
      <w:pPr>
        <w:pStyle w:val="Indenta"/>
      </w:pPr>
      <w:r>
        <w:tab/>
        <w:t>(a)</w:t>
      </w:r>
      <w:r>
        <w:tab/>
        <w:t>in any hearing; or</w:t>
      </w:r>
    </w:p>
    <w:p>
      <w:pPr>
        <w:pStyle w:val="Indenta"/>
      </w:pPr>
      <w:r>
        <w:tab/>
        <w:t>(b)</w:t>
      </w:r>
      <w:r>
        <w:tab/>
        <w:t>in any other filed document.</w:t>
      </w:r>
    </w:p>
    <w:p>
      <w:pPr>
        <w:pStyle w:val="Subsection"/>
      </w:pPr>
      <w:r>
        <w:tab/>
        <w:t>(4)</w:t>
      </w:r>
      <w:r>
        <w:tab/>
        <w:t>If a party is given leave to refer to or rely on a document referred to in subrule (3), the party must file the document as soon as practicable after the leave is given.</w:t>
      </w:r>
    </w:p>
    <w:p>
      <w:pPr>
        <w:pStyle w:val="Subsection"/>
      </w:pPr>
      <w:r>
        <w:tab/>
        <w:t>(5)</w:t>
      </w:r>
      <w:r>
        <w:tab/>
        <w:t>Order 67A rule 2(4) and (5) do not apply to a party who fails to comply with subrule (1)(a).</w:t>
      </w:r>
    </w:p>
    <w:p>
      <w:pPr>
        <w:pStyle w:val="Subsection"/>
      </w:pPr>
      <w:r>
        <w:tab/>
        <w:t>(6)</w:t>
      </w:r>
      <w:r>
        <w:tab/>
        <w:t>The case manager may direct a party who has made a request by way of a letter to make the request in some other manner.</w:t>
      </w:r>
    </w:p>
    <w:p>
      <w:pPr>
        <w:pStyle w:val="Footnotesection"/>
      </w:pPr>
      <w:r>
        <w:tab/>
        <w:t>[Rule 5B inserted: Gazette 16 Aug 2017 p. 4396</w:t>
      </w:r>
      <w:r>
        <w:noBreakHyphen/>
        <w:t>7; amended: Gazette 27 Feb 2018 p. 553-4.]</w:t>
      </w:r>
    </w:p>
    <w:p>
      <w:pPr>
        <w:pStyle w:val="Heading5"/>
        <w:pageBreakBefore/>
        <w:spacing w:before="0"/>
      </w:pPr>
      <w:bookmarkStart w:id="50" w:name="_Toc129077360"/>
      <w:r>
        <w:rPr>
          <w:rStyle w:val="CharSectno"/>
        </w:rPr>
        <w:lastRenderedPageBreak/>
        <w:t>5C</w:t>
      </w:r>
      <w:r>
        <w:t>.</w:t>
      </w:r>
      <w:r>
        <w:tab/>
        <w:t>Request under r. 5A at case management conference or hearing</w:t>
      </w:r>
      <w:bookmarkEnd w:id="50"/>
    </w:p>
    <w:p>
      <w:pPr>
        <w:pStyle w:val="Subsection"/>
      </w:pPr>
      <w:r>
        <w:tab/>
      </w:r>
      <w:r>
        <w:tab/>
        <w:t xml:space="preserve">A party who seeks to refer to or rely on a document while making an oral request during a case management conference or a hearing referred to in rule 5A(2)(a) must — </w:t>
      </w:r>
    </w:p>
    <w:p>
      <w:pPr>
        <w:pStyle w:val="Indenta"/>
      </w:pPr>
      <w:r>
        <w:tab/>
        <w:t>(a)</w:t>
      </w:r>
      <w:r>
        <w:tab/>
        <w:t>if the document contains a proposed order or a direction, file the document as soon as practicable after the conference or hearing; and</w:t>
      </w:r>
    </w:p>
    <w:p>
      <w:pPr>
        <w:pStyle w:val="Indenta"/>
      </w:pPr>
      <w:r>
        <w:tab/>
        <w:t>(b)</w:t>
      </w:r>
      <w:r>
        <w:tab/>
        <w:t>if the document is required to be filed under these rules, comply with Order 67A Division 2 in relation to the document.</w:t>
      </w:r>
    </w:p>
    <w:p>
      <w:pPr>
        <w:pStyle w:val="Footnotesection"/>
      </w:pPr>
      <w:r>
        <w:tab/>
        <w:t>[Rule 5C inserted: Gazette 16 Aug 2017 p. 4397; amended: Gazette 27 Feb 2018 p. 554.]</w:t>
      </w:r>
    </w:p>
    <w:p>
      <w:pPr>
        <w:pStyle w:val="Heading5"/>
      </w:pPr>
      <w:bookmarkStart w:id="51" w:name="_Toc129077361"/>
      <w:r>
        <w:rPr>
          <w:rStyle w:val="CharSectno"/>
        </w:rPr>
        <w:t>6</w:t>
      </w:r>
      <w:r>
        <w:t>.</w:t>
      </w:r>
      <w:r>
        <w:tab/>
        <w:t>Timetables</w:t>
      </w:r>
      <w:bookmarkEnd w:id="51"/>
    </w:p>
    <w:p>
      <w:pPr>
        <w:pStyle w:val="Subsection"/>
      </w:pPr>
      <w:r>
        <w:tab/>
        <w:t>(1)</w:t>
      </w:r>
      <w:r>
        <w:tab/>
        <w:t>This rule applies if the case manager for a case directs the parties to the case to comply with a timetable for procedural steps that are needed in the case.</w:t>
      </w:r>
    </w:p>
    <w:p>
      <w:pPr>
        <w:pStyle w:val="Subsection"/>
      </w:pPr>
      <w:r>
        <w:tab/>
        <w:t>(2)</w:t>
      </w:r>
      <w:r>
        <w:tab/>
        <w:t>The case manager making the direction must set the timetable.</w:t>
      </w:r>
    </w:p>
    <w:p>
      <w:pPr>
        <w:pStyle w:val="Subsection"/>
      </w:pPr>
      <w:r>
        <w:tab/>
        <w:t>(3)</w:t>
      </w:r>
      <w:r>
        <w:tab/>
        <w:t>The case manager may do all or any of the following —</w:t>
      </w:r>
    </w:p>
    <w:p>
      <w:pPr>
        <w:pStyle w:val="Indenta"/>
      </w:pPr>
      <w:r>
        <w:tab/>
        <w:t>(a)</w:t>
      </w:r>
      <w:r>
        <w:tab/>
        <w:t>amend the timetable, whether on the case manager’s own initiative or on a party’s request;</w:t>
      </w:r>
    </w:p>
    <w:p>
      <w:pPr>
        <w:pStyle w:val="Indenta"/>
      </w:pPr>
      <w:r>
        <w:tab/>
        <w:t>(b)</w:t>
      </w:r>
      <w:r>
        <w:tab/>
        <w:t>at any time direct the parties to explain in writing why the timetable has not been complied with;</w:t>
      </w:r>
    </w:p>
    <w:p>
      <w:pPr>
        <w:pStyle w:val="Indenta"/>
      </w:pPr>
      <w:r>
        <w:tab/>
        <w:t>(c)</w:t>
      </w:r>
      <w:r>
        <w:tab/>
        <w:t>at any time, by notice, direct the parties to attend a hearing and explain why the timetable has not been complied with;</w:t>
      </w:r>
    </w:p>
    <w:p>
      <w:pPr>
        <w:pStyle w:val="Indenta"/>
      </w:pPr>
      <w:r>
        <w:tab/>
        <w:t>(d)</w:t>
      </w:r>
      <w:r>
        <w:tab/>
        <w:t>for the purposes of a hearing under paragraph (c), direct the parties to file an affidavit in response to the direction at any time that the case manager considers just;</w:t>
      </w:r>
    </w:p>
    <w:p>
      <w:pPr>
        <w:pStyle w:val="Indenta"/>
      </w:pPr>
      <w:r>
        <w:tab/>
        <w:t>(e)</w:t>
      </w:r>
      <w:r>
        <w:tab/>
        <w:t>after a hearing under paragraph (c) —</w:t>
      </w:r>
    </w:p>
    <w:p>
      <w:pPr>
        <w:pStyle w:val="Indenti"/>
      </w:pPr>
      <w:r>
        <w:tab/>
        <w:t>(i)</w:t>
      </w:r>
      <w:r>
        <w:tab/>
        <w:t>amend the timetable;</w:t>
      </w:r>
    </w:p>
    <w:p>
      <w:pPr>
        <w:pStyle w:val="Indenti"/>
      </w:pPr>
      <w:r>
        <w:lastRenderedPageBreak/>
        <w:tab/>
        <w:t>(ii)</w:t>
      </w:r>
      <w:r>
        <w:tab/>
        <w:t>make any case management direction the case manager considers just;</w:t>
      </w:r>
    </w:p>
    <w:p>
      <w:pPr>
        <w:pStyle w:val="Indenti"/>
      </w:pPr>
      <w:r>
        <w:tab/>
        <w:t>(iii)</w:t>
      </w:r>
      <w:r>
        <w:tab/>
        <w:t>make any enforcement order the case manager considers just;</w:t>
      </w:r>
    </w:p>
    <w:p>
      <w:pPr>
        <w:pStyle w:val="Indenta"/>
      </w:pPr>
      <w:r>
        <w:tab/>
        <w:t>(f)</w:t>
      </w:r>
      <w:r>
        <w:tab/>
        <w:t>if a party does not comply with the timetable, obey a direction under paragraph (c) or file an affidavit as directed, make any case management direction or enforcement order the case manager considers just.</w:t>
      </w:r>
    </w:p>
    <w:p>
      <w:pPr>
        <w:pStyle w:val="Subsection"/>
      </w:pPr>
      <w:r>
        <w:tab/>
        <w:t>(4)</w:t>
      </w:r>
      <w:r>
        <w:tab/>
        <w:t>If the case manager is a master, subrule (3)(e) and (f) are subject to Order 60 rule 1(3) and (4).</w:t>
      </w:r>
    </w:p>
    <w:p>
      <w:pPr>
        <w:pStyle w:val="Subsection"/>
      </w:pPr>
      <w:r>
        <w:tab/>
        <w:t>(5)</w:t>
      </w:r>
      <w:r>
        <w:tab/>
        <w:t>If the case manager is a registrar, subrule (3)(e) and (f) are subject to Order 60A rule 2(2), (3) and (4).</w:t>
      </w:r>
    </w:p>
    <w:p>
      <w:pPr>
        <w:pStyle w:val="Subsection"/>
      </w:pPr>
      <w:r>
        <w:tab/>
        <w:t>(6)</w:t>
      </w:r>
      <w:r>
        <w:tab/>
        <w:t xml:space="preserve">If a direction is made under subrule (3)(b), the parties and their legal practitioners must — </w:t>
      </w:r>
    </w:p>
    <w:p>
      <w:pPr>
        <w:pStyle w:val="Indenta"/>
      </w:pPr>
      <w:r>
        <w:tab/>
        <w:t>(a)</w:t>
      </w:r>
      <w:r>
        <w:tab/>
        <w:t xml:space="preserve">give the Court the explanation within the time specified in the direction; and </w:t>
      </w:r>
    </w:p>
    <w:p>
      <w:pPr>
        <w:pStyle w:val="Indenta"/>
      </w:pPr>
      <w:r>
        <w:tab/>
        <w:t>(b)</w:t>
      </w:r>
      <w:r>
        <w:tab/>
        <w:t>serve the explanation on each other party.</w:t>
      </w:r>
    </w:p>
    <w:p>
      <w:pPr>
        <w:pStyle w:val="Footnotesection"/>
      </w:pPr>
      <w:r>
        <w:tab/>
        <w:t>[Rule 6 inserted: Gazette 16 Aug 2017 p. 4397</w:t>
      </w:r>
      <w:r>
        <w:noBreakHyphen/>
        <w:t>9; amended: SL 2022/74 r. 15.]</w:t>
      </w:r>
    </w:p>
    <w:p>
      <w:pPr>
        <w:pStyle w:val="Heading5"/>
      </w:pPr>
      <w:bookmarkStart w:id="52" w:name="_Toc129077362"/>
      <w:r>
        <w:rPr>
          <w:rStyle w:val="CharSectno"/>
        </w:rPr>
        <w:t>7</w:t>
      </w:r>
      <w:r>
        <w:t>.</w:t>
      </w:r>
      <w:r>
        <w:tab/>
        <w:t>Attendance at proceedings under this Order</w:t>
      </w:r>
      <w:bookmarkEnd w:id="52"/>
    </w:p>
    <w:p>
      <w:pPr>
        <w:pStyle w:val="Subsection"/>
      </w:pPr>
      <w:r>
        <w:tab/>
        <w:t>(1)</w:t>
      </w:r>
      <w:r>
        <w:tab/>
        <w:t>A party who is represented by a legal practitioner need not attend a proceeding under this Order unless subpoenaed or directed to do so by the case manager.</w:t>
      </w:r>
    </w:p>
    <w:p>
      <w:pPr>
        <w:pStyle w:val="Subsection"/>
      </w:pPr>
      <w:r>
        <w:tab/>
        <w:t>(2)</w:t>
      </w:r>
      <w:r>
        <w:tab/>
        <w:t xml:space="preserve">Unless the case manager directs otherwise, subrule (1) does not apply to — </w:t>
      </w:r>
    </w:p>
    <w:p>
      <w:pPr>
        <w:pStyle w:val="Indenta"/>
      </w:pPr>
      <w:r>
        <w:tab/>
        <w:t>(a)</w:t>
      </w:r>
      <w:r>
        <w:tab/>
        <w:t>a conference conducted by a mediator under rule 8; or</w:t>
      </w:r>
    </w:p>
    <w:p>
      <w:pPr>
        <w:pStyle w:val="Indenta"/>
      </w:pPr>
      <w:r>
        <w:tab/>
        <w:t>(b)</w:t>
      </w:r>
      <w:r>
        <w:tab/>
        <w:t xml:space="preserve">a strategic conference held under rule 14A; or </w:t>
      </w:r>
    </w:p>
    <w:p>
      <w:pPr>
        <w:pStyle w:val="Indenta"/>
      </w:pPr>
      <w:r>
        <w:tab/>
        <w:t>(c)</w:t>
      </w:r>
      <w:r>
        <w:tab/>
        <w:t>the first case management conference for the case referred to in rule 18(1).</w:t>
      </w:r>
    </w:p>
    <w:p>
      <w:pPr>
        <w:pStyle w:val="Subsection"/>
      </w:pPr>
      <w:r>
        <w:lastRenderedPageBreak/>
        <w:tab/>
        <w:t>(3)</w:t>
      </w:r>
      <w:r>
        <w:tab/>
        <w:t>If there is no legal practitioner on the record for a party that is a body corporate, the case manager presiding at a proceeding under this Order may permit a person who is not a legal practitioner to represent the party.</w:t>
      </w:r>
    </w:p>
    <w:p>
      <w:pPr>
        <w:pStyle w:val="Footnotesection"/>
      </w:pPr>
      <w:r>
        <w:tab/>
        <w:t>[Rule 7 inserted: Gazette 16 Aug 2017 p. 4399; amended: SL 2022/74 r. 15.]</w:t>
      </w:r>
    </w:p>
    <w:p>
      <w:pPr>
        <w:pStyle w:val="Heading5"/>
      </w:pPr>
      <w:bookmarkStart w:id="53" w:name="_Toc129077363"/>
      <w:r>
        <w:rPr>
          <w:rStyle w:val="CharSectno"/>
        </w:rPr>
        <w:t>8</w:t>
      </w:r>
      <w:r>
        <w:t>.</w:t>
      </w:r>
      <w:r>
        <w:tab/>
        <w:t>Conferences of parties with mediator</w:t>
      </w:r>
      <w:bookmarkEnd w:id="53"/>
    </w:p>
    <w:p>
      <w:pPr>
        <w:pStyle w:val="Subsection"/>
      </w:pPr>
      <w:r>
        <w:tab/>
        <w:t>(1)</w:t>
      </w:r>
      <w:r>
        <w:tab/>
        <w:t>The case manager for a case may, by notice, direct that a conference conducted by a mediator be held for the case.</w:t>
      </w:r>
    </w:p>
    <w:p>
      <w:pPr>
        <w:pStyle w:val="Subsection"/>
      </w:pPr>
      <w:r>
        <w:tab/>
        <w:t>(2)</w:t>
      </w:r>
      <w:r>
        <w:tab/>
        <w:t>The case manager must direct whether the mediator is to be an approved mediator or some other person.</w:t>
      </w:r>
    </w:p>
    <w:p>
      <w:pPr>
        <w:pStyle w:val="Subsection"/>
      </w:pPr>
      <w:r>
        <w:tab/>
        <w:t>(3)</w:t>
      </w:r>
      <w:r>
        <w:tab/>
        <w:t>The case manager must not direct that the mediator is to be a person who is not an approved mediator unless the parties consent.</w:t>
      </w:r>
    </w:p>
    <w:p>
      <w:pPr>
        <w:pStyle w:val="Subsection"/>
      </w:pPr>
      <w:r>
        <w:tab/>
        <w:t>(3A)</w:t>
      </w:r>
      <w:r>
        <w:tab/>
        <w:t xml:space="preserve">The following persons must attend the conference unless the mediator or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Indenta"/>
      </w:pPr>
      <w:r>
        <w:tab/>
        <w:t>(c)</w:t>
      </w:r>
      <w:r>
        <w:tab/>
        <w:t xml:space="preserve">if a party is not an individual, a representative of the party with authority to conduct settlement negotiations and to settle the case; </w:t>
      </w:r>
    </w:p>
    <w:p>
      <w:pPr>
        <w:pStyle w:val="Indenta"/>
      </w:pPr>
      <w:r>
        <w:tab/>
        <w:t>(d)</w:t>
      </w:r>
      <w:r>
        <w:tab/>
        <w:t>if settlement negotiations are to be conducted on behalf of a party by its insurer, a representative of the insurer with authority to conduct settlement negotiations and to settle the case.</w:t>
      </w:r>
    </w:p>
    <w:p>
      <w:pPr>
        <w:pStyle w:val="Subsection"/>
      </w:pPr>
      <w:r>
        <w:tab/>
        <w:t>(4)</w:t>
      </w:r>
      <w:r>
        <w:tab/>
        <w:t>In the absence of any other direction made by the case manager —</w:t>
      </w:r>
    </w:p>
    <w:p>
      <w:pPr>
        <w:pStyle w:val="Indenta"/>
      </w:pPr>
      <w:r>
        <w:tab/>
        <w:t>(a)</w:t>
      </w:r>
      <w:r>
        <w:tab/>
        <w:t>the conference must take place at the time and place directed; and</w:t>
      </w:r>
    </w:p>
    <w:p>
      <w:pPr>
        <w:pStyle w:val="Indenta"/>
      </w:pPr>
      <w:r>
        <w:lastRenderedPageBreak/>
        <w:tab/>
        <w:t>(b)</w:t>
      </w:r>
      <w:r>
        <w:tab/>
        <w:t>if the case manager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r>
        <w:tab/>
        <w:t>[Rule 8 inserted: Gazette 28 Jul 2010 p. 3449-50; amended: Gazette 16 Aug 2017 p. 4399</w:t>
      </w:r>
      <w:r>
        <w:noBreakHyphen/>
        <w:t>400; SL 2022/74 r. 15.]</w:t>
      </w:r>
    </w:p>
    <w:p>
      <w:pPr>
        <w:pStyle w:val="Heading5"/>
      </w:pPr>
      <w:bookmarkStart w:id="54" w:name="_Toc129077364"/>
      <w:r>
        <w:rPr>
          <w:rStyle w:val="CharSectno"/>
        </w:rPr>
        <w:lastRenderedPageBreak/>
        <w:t>9</w:t>
      </w:r>
      <w:r>
        <w:t>.</w:t>
      </w:r>
      <w:r>
        <w:tab/>
        <w:t>Referees</w:t>
      </w:r>
      <w:bookmarkEnd w:id="54"/>
    </w:p>
    <w:p>
      <w:pPr>
        <w:pStyle w:val="Subsection"/>
      </w:pPr>
      <w:r>
        <w:tab/>
        <w:t>(1)</w:t>
      </w:r>
      <w:r>
        <w:tab/>
        <w:t>This rule applies if the case manager for a case directs that a referee give the Court a report on any question or issue of fact.</w:t>
      </w:r>
    </w:p>
    <w:p>
      <w:pPr>
        <w:pStyle w:val="Subsection"/>
      </w:pPr>
      <w:r>
        <w:tab/>
        <w:t>(2)</w:t>
      </w:r>
      <w:r>
        <w:tab/>
        <w:t>The case manager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case manager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r>
        <w:tab/>
        <w:t>[Rule 9 inserted: Gazette 28 Jul 2010 p. 3450-1; amended: Gazette 16 Aug 2017 p. 4400</w:t>
      </w:r>
      <w:r>
        <w:noBreakHyphen/>
        <w:t>1.]</w:t>
      </w:r>
    </w:p>
    <w:p>
      <w:pPr>
        <w:pStyle w:val="Heading3"/>
      </w:pPr>
      <w:bookmarkStart w:id="55" w:name="_Toc129073293"/>
      <w:bookmarkStart w:id="56" w:name="_Toc129074576"/>
      <w:bookmarkStart w:id="57" w:name="_Toc129077365"/>
      <w:r>
        <w:rPr>
          <w:rStyle w:val="CharDivNo"/>
        </w:rPr>
        <w:lastRenderedPageBreak/>
        <w:t>Division 3</w:t>
      </w:r>
      <w:r>
        <w:t> — </w:t>
      </w:r>
      <w:r>
        <w:rPr>
          <w:rStyle w:val="CharDivText"/>
        </w:rPr>
        <w:t>Cases on the CMC List</w:t>
      </w:r>
      <w:bookmarkEnd w:id="55"/>
      <w:bookmarkEnd w:id="56"/>
      <w:bookmarkEnd w:id="57"/>
    </w:p>
    <w:p>
      <w:pPr>
        <w:pStyle w:val="Footnoteheading"/>
      </w:pPr>
      <w:r>
        <w:tab/>
        <w:t>[Heading inserted: Gazette 28 Jul 2010 p. 3451.]</w:t>
      </w:r>
    </w:p>
    <w:p>
      <w:pPr>
        <w:pStyle w:val="Heading5"/>
      </w:pPr>
      <w:bookmarkStart w:id="58" w:name="_Toc129077366"/>
      <w:r>
        <w:rPr>
          <w:rStyle w:val="CharSectno"/>
        </w:rPr>
        <w:t>10</w:t>
      </w:r>
      <w:r>
        <w:t>.</w:t>
      </w:r>
      <w:r>
        <w:tab/>
        <w:t>Application of this Division</w:t>
      </w:r>
      <w:bookmarkEnd w:id="58"/>
    </w:p>
    <w:p>
      <w:pPr>
        <w:pStyle w:val="Subsection"/>
      </w:pPr>
      <w:r>
        <w:tab/>
      </w:r>
      <w:r>
        <w:tab/>
        <w:t>This Division applies to every CMC List case unless and to the extent it is directed otherwise by a CMC List case manager.</w:t>
      </w:r>
    </w:p>
    <w:p>
      <w:pPr>
        <w:pStyle w:val="Footnotesection"/>
      </w:pPr>
      <w:r>
        <w:tab/>
        <w:t>[Rule 10 inserted: Gazette 28 Jul 2010 p. 3451; amended: Gazette 16 Aug 2017 p. 4401.]</w:t>
      </w:r>
    </w:p>
    <w:p>
      <w:pPr>
        <w:pStyle w:val="Heading5"/>
      </w:pPr>
      <w:bookmarkStart w:id="59" w:name="_Toc129077367"/>
      <w:r>
        <w:rPr>
          <w:rStyle w:val="CharSectno"/>
        </w:rPr>
        <w:t>11</w:t>
      </w:r>
      <w:r>
        <w:t>.</w:t>
      </w:r>
      <w:r>
        <w:tab/>
        <w:t>Cases on CMC List</w:t>
      </w:r>
      <w:bookmarkEnd w:id="59"/>
    </w:p>
    <w:p>
      <w:pPr>
        <w:pStyle w:val="Subsection"/>
      </w:pPr>
      <w:r>
        <w:tab/>
      </w:r>
      <w:r>
        <w:tab/>
        <w:t>These cases are on the CMC List —</w:t>
      </w:r>
    </w:p>
    <w:p>
      <w:pPr>
        <w:pStyle w:val="Indenta"/>
      </w:pPr>
      <w:r>
        <w:tab/>
        <w:t>(a)</w:t>
      </w:r>
      <w:r>
        <w:tab/>
        <w:t>any case in which defamation is alleged;</w:t>
      </w:r>
    </w:p>
    <w:p>
      <w:pPr>
        <w:pStyle w:val="Indenta"/>
      </w:pPr>
      <w:r>
        <w:tab/>
        <w:t>(ba)</w:t>
      </w:r>
      <w:r>
        <w:tab/>
        <w:t>any case in which there is an application for —</w:t>
      </w:r>
    </w:p>
    <w:p>
      <w:pPr>
        <w:pStyle w:val="Indenti"/>
      </w:pPr>
      <w:r>
        <w:tab/>
        <w:t>(i)</w:t>
      </w:r>
      <w:r>
        <w:tab/>
        <w:t>judicial review to which Order 56 applies; or</w:t>
      </w:r>
    </w:p>
    <w:p>
      <w:pPr>
        <w:pStyle w:val="Indenti"/>
      </w:pPr>
      <w:r>
        <w:tab/>
        <w:t>(ii)</w:t>
      </w:r>
      <w:r>
        <w:tab/>
        <w:t xml:space="preserve">a review order under the </w:t>
      </w:r>
      <w:r>
        <w:rPr>
          <w:i/>
        </w:rPr>
        <w:t>Magistrates Court Act 2004</w:t>
      </w:r>
      <w:r>
        <w:t xml:space="preserve"> section 36; or</w:t>
      </w:r>
    </w:p>
    <w:p>
      <w:pPr>
        <w:pStyle w:val="Indenti"/>
      </w:pPr>
      <w:r>
        <w:tab/>
        <w:t>(iii)</w:t>
      </w:r>
      <w:r>
        <w:tab/>
        <w:t xml:space="preserve">a writ of habeas corpus or an information of </w:t>
      </w:r>
      <w:r>
        <w:rPr>
          <w:i/>
        </w:rPr>
        <w:t>quo warranto</w:t>
      </w:r>
      <w:r>
        <w:t>;</w:t>
      </w:r>
    </w:p>
    <w:p>
      <w:pPr>
        <w:pStyle w:val="Indenta"/>
      </w:pPr>
      <w:r>
        <w:tab/>
        <w:t>(b)</w:t>
      </w:r>
      <w:r>
        <w:tab/>
        <w:t>any case that is directed to be on the list under rule 13;</w:t>
      </w:r>
    </w:p>
    <w:p>
      <w:pPr>
        <w:pStyle w:val="Indenta"/>
      </w:pPr>
      <w:r>
        <w:tab/>
        <w:t>(ca)</w:t>
      </w:r>
      <w:r>
        <w:tab/>
        <w:t xml:space="preserve">any case involving proceedings to which the </w:t>
      </w:r>
      <w:r>
        <w:rPr>
          <w:i/>
        </w:rPr>
        <w:t>Supreme Court (Arbitration) Rules 2016</w:t>
      </w:r>
      <w:r>
        <w:t xml:space="preserve"> apply;</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r>
        <w:tab/>
        <w:t>[Rule 11 inserted: Gazette 28 Jul 2010 p. 3451-2; amended: Gazette 15 Mar 2013 p. 1206; 23 Apr 2013 p. 1591 (disallowed: Gazette 1 Nov 2013 p. 4910); 17 Dec 2013 p. 6231; 16 Aug 2017 p. 4401.]</w:t>
      </w:r>
    </w:p>
    <w:p>
      <w:pPr>
        <w:pStyle w:val="Heading5"/>
        <w:spacing w:before="180"/>
      </w:pPr>
      <w:bookmarkStart w:id="60" w:name="_Toc129077368"/>
      <w:r>
        <w:rPr>
          <w:rStyle w:val="CharSectno"/>
        </w:rPr>
        <w:lastRenderedPageBreak/>
        <w:t>12</w:t>
      </w:r>
      <w:r>
        <w:t>.</w:t>
      </w:r>
      <w:r>
        <w:tab/>
        <w:t>Headings to documents</w:t>
      </w:r>
      <w:bookmarkEnd w:id="60"/>
    </w:p>
    <w:p>
      <w:pPr>
        <w:pStyle w:val="Subsection"/>
      </w:pPr>
      <w:r>
        <w:tab/>
      </w:r>
      <w:r>
        <w:tab/>
        <w:t>The heading of every document filed or issued in a CMC List case must include “Commercial and Managed Cases List” under “In the Supreme Court of Western Australia”.</w:t>
      </w:r>
    </w:p>
    <w:p>
      <w:pPr>
        <w:pStyle w:val="Footnotesection"/>
      </w:pPr>
      <w:r>
        <w:tab/>
        <w:t>[Rule 12 inserted: Gazette 28 Jul 2010 p. 3452.]</w:t>
      </w:r>
    </w:p>
    <w:p>
      <w:pPr>
        <w:pStyle w:val="Heading5"/>
      </w:pPr>
      <w:bookmarkStart w:id="61" w:name="_Toc129077369"/>
      <w:r>
        <w:rPr>
          <w:rStyle w:val="CharSectno"/>
        </w:rPr>
        <w:t>13</w:t>
      </w:r>
      <w:r>
        <w:t>.</w:t>
      </w:r>
      <w:r>
        <w:tab/>
        <w:t>CMC List case manager may direct case to be on or taken off CMC List</w:t>
      </w:r>
      <w:bookmarkEnd w:id="61"/>
    </w:p>
    <w:p>
      <w:pPr>
        <w:pStyle w:val="Subsection"/>
      </w:pPr>
      <w:r>
        <w:tab/>
        <w:t>(1)</w:t>
      </w:r>
      <w:r>
        <w:tab/>
        <w:t>Only a CMC List case manager can direct that a case be admitted to or taken off the CMC List.</w:t>
      </w:r>
    </w:p>
    <w:p>
      <w:pPr>
        <w:pStyle w:val="Subsection"/>
      </w:pPr>
      <w:r>
        <w:tab/>
        <w:t>(2)</w:t>
      </w:r>
      <w:r>
        <w:tab/>
        <w:t>A CMC List case manager, on the case manager’s own initiative or on a request made under rule 14, may direct a case to be admitted to the CMC List.</w:t>
      </w:r>
    </w:p>
    <w:p>
      <w:pPr>
        <w:pStyle w:val="Subsection"/>
      </w:pPr>
      <w:r>
        <w:tab/>
        <w:t>(3)</w:t>
      </w:r>
      <w:r>
        <w:tab/>
        <w:t>A CMC List case manager, on the case manager’s own initiative or on a request by a party, may direct a CMC List case to be taken off the CMC List.</w:t>
      </w:r>
    </w:p>
    <w:p>
      <w:pPr>
        <w:pStyle w:val="Footnotesection"/>
      </w:pPr>
      <w:r>
        <w:tab/>
        <w:t>[Rule 13 inserted: Gazette 16 Aug 2017 p. 4401</w:t>
      </w:r>
      <w:r>
        <w:noBreakHyphen/>
        <w:t>2.]</w:t>
      </w:r>
    </w:p>
    <w:p>
      <w:pPr>
        <w:pStyle w:val="Heading5"/>
      </w:pPr>
      <w:bookmarkStart w:id="62" w:name="_Toc129077370"/>
      <w:r>
        <w:rPr>
          <w:rStyle w:val="CharSectno"/>
        </w:rPr>
        <w:t>14</w:t>
      </w:r>
      <w:r>
        <w:t>.</w:t>
      </w:r>
      <w:r>
        <w:tab/>
        <w:t>Requesting case be put on CMC List</w:t>
      </w:r>
      <w:bookmarkEnd w:id="62"/>
    </w:p>
    <w:p>
      <w:pPr>
        <w:pStyle w:val="Subsection"/>
      </w:pPr>
      <w:r>
        <w:tab/>
        <w:t>(1)</w:t>
      </w:r>
      <w:r>
        <w:tab/>
        <w:t>A party to a case may request a direction that the case be admitted to the CMC List.</w:t>
      </w:r>
    </w:p>
    <w:p>
      <w:pPr>
        <w:pStyle w:val="Subsection"/>
      </w:pPr>
      <w:r>
        <w:tab/>
        <w:t>(2)</w:t>
      </w:r>
      <w:r>
        <w:tab/>
        <w:t xml:space="preserve">The request must not be made until after the first of the following events occurs — </w:t>
      </w:r>
    </w:p>
    <w:p>
      <w:pPr>
        <w:pStyle w:val="Indenta"/>
      </w:pPr>
      <w:r>
        <w:tab/>
        <w:t>(a)</w:t>
      </w:r>
      <w:r>
        <w:tab/>
        <w:t>an appearance has been entered by each party who is required to do so;</w:t>
      </w:r>
    </w:p>
    <w:p>
      <w:pPr>
        <w:pStyle w:val="Indenta"/>
      </w:pPr>
      <w:r>
        <w:tab/>
        <w:t>(b)</w:t>
      </w:r>
      <w:r>
        <w:tab/>
        <w:t>the time limited for appearing expires.</w:t>
      </w:r>
    </w:p>
    <w:p>
      <w:pPr>
        <w:pStyle w:val="Subsection"/>
      </w:pPr>
      <w:r>
        <w:tab/>
        <w:t>(3)</w:t>
      </w:r>
      <w:r>
        <w:tab/>
        <w:t xml:space="preserve">The request is a request under rule 5A and must — </w:t>
      </w:r>
    </w:p>
    <w:p>
      <w:pPr>
        <w:pStyle w:val="Indenta"/>
      </w:pPr>
      <w:r>
        <w:tab/>
        <w:t>(a)</w:t>
      </w:r>
      <w:r>
        <w:tab/>
        <w:t xml:space="preserve">be made by letter in accordance with rule 5B(1) and (2); and </w:t>
      </w:r>
    </w:p>
    <w:p>
      <w:pPr>
        <w:pStyle w:val="Indenta"/>
        <w:keepNext/>
      </w:pPr>
      <w:r>
        <w:lastRenderedPageBreak/>
        <w:tab/>
        <w:t>(b)</w:t>
      </w:r>
      <w:r>
        <w:tab/>
        <w:t xml:space="preserve">contain the email address (if any) — </w:t>
      </w:r>
    </w:p>
    <w:p>
      <w:pPr>
        <w:pStyle w:val="Indenti"/>
      </w:pPr>
      <w:r>
        <w:tab/>
        <w:t>(i)</w:t>
      </w:r>
      <w:r>
        <w:tab/>
        <w:t xml:space="preserve">of each party to the case, other than a party who is required to enter an appearance and has not; and </w:t>
      </w:r>
    </w:p>
    <w:p>
      <w:pPr>
        <w:pStyle w:val="Indenti"/>
      </w:pPr>
      <w:r>
        <w:tab/>
        <w:t>(ii)</w:t>
      </w:r>
      <w:r>
        <w:tab/>
        <w:t>that was provided by a party in accordance with Order 71A rule 3.</w:t>
      </w:r>
    </w:p>
    <w:p>
      <w:pPr>
        <w:pStyle w:val="Subsection"/>
      </w:pPr>
      <w:r>
        <w:tab/>
        <w:t>(4)</w:t>
      </w:r>
      <w:r>
        <w:tab/>
        <w:t>A request made under this rule must be decided by a CMC List case manager.</w:t>
      </w:r>
    </w:p>
    <w:p>
      <w:pPr>
        <w:pStyle w:val="Subsection"/>
      </w:pPr>
      <w:r>
        <w:tab/>
        <w:t>(5)</w:t>
      </w:r>
      <w:r>
        <w:tab/>
        <w:t>At the hearing of the request, the CMC List case manager, if satisfied the case should be subject to this Division, may direct the case be admitted to the CMC List unless a party shows cause why it should not be admitted.</w:t>
      </w:r>
    </w:p>
    <w:p>
      <w:pPr>
        <w:pStyle w:val="Footnotesection"/>
      </w:pPr>
      <w:r>
        <w:tab/>
        <w:t>[Rule 14 inserted: Gazette 16 Aug 2017 p. 4402.]</w:t>
      </w:r>
    </w:p>
    <w:p>
      <w:pPr>
        <w:pStyle w:val="Heading5"/>
      </w:pPr>
      <w:bookmarkStart w:id="63" w:name="_Toc129077371"/>
      <w:r>
        <w:rPr>
          <w:rStyle w:val="CharSectno"/>
        </w:rPr>
        <w:t>14A</w:t>
      </w:r>
      <w:r>
        <w:t>.</w:t>
      </w:r>
      <w:r>
        <w:tab/>
        <w:t>Strategic conferences</w:t>
      </w:r>
      <w:bookmarkEnd w:id="63"/>
    </w:p>
    <w:p>
      <w:pPr>
        <w:pStyle w:val="Subsection"/>
      </w:pPr>
      <w:r>
        <w:tab/>
        <w:t>(1)</w:t>
      </w:r>
      <w:r>
        <w:tab/>
        <w:t xml:space="preserve">In this rule — </w:t>
      </w:r>
    </w:p>
    <w:p>
      <w:pPr>
        <w:pStyle w:val="Defstart"/>
      </w:pPr>
      <w:r>
        <w:tab/>
      </w:r>
      <w:r>
        <w:rPr>
          <w:b/>
          <w:i/>
        </w:rPr>
        <w:t>strategic conference</w:t>
      </w:r>
      <w:r>
        <w:t xml:space="preserve"> means a conference at which it is to be demonstrated how a party to a case proposes to attain the objects referred to in Order 1 rule 4B(1).</w:t>
      </w:r>
    </w:p>
    <w:p>
      <w:pPr>
        <w:pStyle w:val="Subsection"/>
      </w:pPr>
      <w:r>
        <w:tab/>
        <w:t>(2)</w:t>
      </w:r>
      <w:r>
        <w:tab/>
        <w:t>The CMC List case manager may, by notice, direct that a strategic conference be held for the case.</w:t>
      </w:r>
    </w:p>
    <w:p>
      <w:pPr>
        <w:pStyle w:val="Subsection"/>
      </w:pPr>
      <w:r>
        <w:tab/>
        <w:t>(3)</w:t>
      </w:r>
      <w:r>
        <w:tab/>
        <w:t xml:space="preserve">The following persons must attend the conference unless the case manager directs otherwise — </w:t>
      </w:r>
    </w:p>
    <w:p>
      <w:pPr>
        <w:pStyle w:val="Indenta"/>
      </w:pPr>
      <w:r>
        <w:tab/>
        <w:t>(a)</w:t>
      </w:r>
      <w:r>
        <w:tab/>
        <w:t>each party to the case;</w:t>
      </w:r>
    </w:p>
    <w:p>
      <w:pPr>
        <w:pStyle w:val="Indenta"/>
      </w:pPr>
      <w:r>
        <w:tab/>
        <w:t>(b)</w:t>
      </w:r>
      <w:r>
        <w:tab/>
        <w:t>if a party is represented by a legal practitioner, the legal practitioner.</w:t>
      </w:r>
    </w:p>
    <w:p>
      <w:pPr>
        <w:pStyle w:val="Footnotesection"/>
      </w:pPr>
      <w:r>
        <w:tab/>
        <w:t>[Rule 14A inserted: Gazette 16 Aug 2017 p. 4403; amended: SL 2022/74 r. 15.]</w:t>
      </w:r>
    </w:p>
    <w:p>
      <w:pPr>
        <w:pStyle w:val="Heading5"/>
        <w:rPr>
          <w:snapToGrid w:val="0"/>
        </w:rPr>
      </w:pPr>
      <w:bookmarkStart w:id="64" w:name="_Toc129077372"/>
      <w:r>
        <w:rPr>
          <w:rStyle w:val="CharSectno"/>
        </w:rPr>
        <w:t>15</w:t>
      </w:r>
      <w:r>
        <w:t>.</w:t>
      </w:r>
      <w:r>
        <w:tab/>
        <w:t>Interlocutory hearings</w:t>
      </w:r>
      <w:bookmarkEnd w:id="64"/>
      <w:r>
        <w:t xml:space="preserve"> </w:t>
      </w:r>
    </w:p>
    <w:p>
      <w:pPr>
        <w:pStyle w:val="Subsection"/>
        <w:rPr>
          <w:snapToGrid w:val="0"/>
        </w:rPr>
      </w:pPr>
      <w:r>
        <w:tab/>
        <w:t>(1)</w:t>
      </w:r>
      <w:r>
        <w:tab/>
      </w:r>
      <w:r>
        <w:rPr>
          <w:snapToGrid w:val="0"/>
        </w:rPr>
        <w:t xml:space="preserve">The </w:t>
      </w:r>
      <w:r>
        <w:t>CMC List case manager may hear any interlocutory matter relating to the case, or may refer the matter to a</w:t>
      </w:r>
      <w:r>
        <w:rPr>
          <w:snapToGrid w:val="0"/>
        </w:rPr>
        <w:t xml:space="preserve"> judge or master </w:t>
      </w:r>
      <w:r>
        <w:rPr>
          <w:snapToGrid w:val="0"/>
        </w:rPr>
        <w:lastRenderedPageBreak/>
        <w:t>for hearing who has and may exercise all powers of the case manager.</w:t>
      </w:r>
    </w:p>
    <w:p>
      <w:pPr>
        <w:pStyle w:val="Subsection"/>
      </w:pPr>
      <w:r>
        <w:tab/>
        <w:t>(2)</w:t>
      </w:r>
      <w:r>
        <w:tab/>
        <w:t>If the CMC List case manager is a master, subrule (1) is subject to Order 60 rule 1(3) and (4).</w:t>
      </w:r>
    </w:p>
    <w:p>
      <w:pPr>
        <w:pStyle w:val="Footnotesection"/>
      </w:pPr>
      <w:r>
        <w:tab/>
        <w:t>[Rule 15 inserted: Gazette 28 Jul 2010 p. 3453; amended: Gazette 13 Nov 2015 p. 4645; 16 Aug 2017 p. 4403.]</w:t>
      </w:r>
    </w:p>
    <w:p>
      <w:pPr>
        <w:pStyle w:val="Heading3"/>
      </w:pPr>
      <w:bookmarkStart w:id="65" w:name="_Toc129073301"/>
      <w:bookmarkStart w:id="66" w:name="_Toc129074584"/>
      <w:bookmarkStart w:id="67" w:name="_Toc129077373"/>
      <w:r>
        <w:rPr>
          <w:rStyle w:val="CharDivNo"/>
        </w:rPr>
        <w:t>Division 4</w:t>
      </w:r>
      <w:r>
        <w:t> — </w:t>
      </w:r>
      <w:r>
        <w:rPr>
          <w:rStyle w:val="CharDivText"/>
        </w:rPr>
        <w:t>Cases not on the CMC List</w:t>
      </w:r>
      <w:bookmarkEnd w:id="65"/>
      <w:bookmarkEnd w:id="66"/>
      <w:bookmarkEnd w:id="67"/>
    </w:p>
    <w:p>
      <w:pPr>
        <w:pStyle w:val="Footnoteheading"/>
        <w:keepNext/>
      </w:pPr>
      <w:r>
        <w:tab/>
        <w:t>[Heading inserted: Gazette 28 Jul 2010 p. 3453.]</w:t>
      </w:r>
    </w:p>
    <w:p>
      <w:pPr>
        <w:pStyle w:val="Heading5"/>
      </w:pPr>
      <w:bookmarkStart w:id="68" w:name="_Toc129077374"/>
      <w:r>
        <w:rPr>
          <w:rStyle w:val="CharSectno"/>
        </w:rPr>
        <w:t>16</w:t>
      </w:r>
      <w:r>
        <w:t>.</w:t>
      </w:r>
      <w:r>
        <w:tab/>
        <w:t>Application of this Division</w:t>
      </w:r>
      <w:bookmarkEnd w:id="68"/>
    </w:p>
    <w:p>
      <w:pPr>
        <w:pStyle w:val="Subsection"/>
      </w:pPr>
      <w:r>
        <w:tab/>
      </w:r>
      <w:r>
        <w:tab/>
        <w:t>This Division applies to every case that is not on the CMC List unless and to the extent it is ordered otherwise by a judge or master.</w:t>
      </w:r>
    </w:p>
    <w:p>
      <w:pPr>
        <w:pStyle w:val="Footnotesection"/>
      </w:pPr>
      <w:r>
        <w:tab/>
        <w:t>[Rule 16 inserted: Gazette 28 Jul 2010 p. 3453.]</w:t>
      </w:r>
    </w:p>
    <w:p>
      <w:pPr>
        <w:pStyle w:val="Ednotesection"/>
      </w:pPr>
      <w:r>
        <w:t>[</w:t>
      </w:r>
      <w:r>
        <w:rPr>
          <w:b/>
        </w:rPr>
        <w:t>17.</w:t>
      </w:r>
      <w:r>
        <w:tab/>
        <w:t>Deleted: Gazette 16 Aug 2017 p. 4404.]</w:t>
      </w:r>
    </w:p>
    <w:p>
      <w:pPr>
        <w:pStyle w:val="Heading5"/>
      </w:pPr>
      <w:bookmarkStart w:id="69" w:name="_Toc129077375"/>
      <w:r>
        <w:rPr>
          <w:rStyle w:val="CharSectno"/>
        </w:rPr>
        <w:t>18</w:t>
      </w:r>
      <w:r>
        <w:t>.</w:t>
      </w:r>
      <w:r>
        <w:tab/>
        <w:t>Case management conferences for cases not on CMC List</w:t>
      </w:r>
      <w:bookmarkEnd w:id="69"/>
    </w:p>
    <w:p>
      <w:pPr>
        <w:pStyle w:val="Subsection"/>
      </w:pPr>
      <w:r>
        <w:tab/>
        <w:t>(1)</w:t>
      </w:r>
      <w:r>
        <w:tab/>
        <w:t>The case manager for a case may, by notice, direct that the first case management conference be held for the case.</w:t>
      </w:r>
    </w:p>
    <w:p>
      <w:pPr>
        <w:pStyle w:val="Subsection"/>
      </w:pPr>
      <w:r>
        <w:tab/>
        <w:t>(2)</w:t>
      </w:r>
      <w:r>
        <w:tab/>
        <w:t xml:space="preserve">The following persons must attend the first case management conference for a case unless the case manager directs otherwise — </w:t>
      </w:r>
    </w:p>
    <w:p>
      <w:pPr>
        <w:pStyle w:val="Indenta"/>
      </w:pPr>
      <w:r>
        <w:tab/>
        <w:t>(a)</w:t>
      </w:r>
      <w:r>
        <w:tab/>
        <w:t xml:space="preserve">each party to the case; </w:t>
      </w:r>
    </w:p>
    <w:p>
      <w:pPr>
        <w:pStyle w:val="Indenta"/>
      </w:pPr>
      <w:r>
        <w:tab/>
        <w:t>(b)</w:t>
      </w:r>
      <w:r>
        <w:tab/>
        <w:t>if a party is represented by a legal practitioner, the legal practitioner.</w:t>
      </w:r>
    </w:p>
    <w:p>
      <w:pPr>
        <w:pStyle w:val="Subsection"/>
      </w:pPr>
      <w:r>
        <w:tab/>
        <w:t>(3)</w:t>
      </w:r>
      <w:r>
        <w:tab/>
        <w:t xml:space="preserve">At any case management conference the case manager may inquire into the following — </w:t>
      </w:r>
    </w:p>
    <w:p>
      <w:pPr>
        <w:pStyle w:val="Indenta"/>
      </w:pPr>
      <w:r>
        <w:tab/>
        <w:t>(a)</w:t>
      </w:r>
      <w:r>
        <w:tab/>
        <w:t>whether pleadings or any specified pleadings are necessary;</w:t>
      </w:r>
    </w:p>
    <w:p>
      <w:pPr>
        <w:pStyle w:val="Indenta"/>
      </w:pPr>
      <w:r>
        <w:tab/>
        <w:t>(b)</w:t>
      </w:r>
      <w:r>
        <w:tab/>
        <w:t xml:space="preserve">the state of the pleadings and whether the times prescribed by these rules for pleadings are being </w:t>
      </w:r>
      <w:r>
        <w:lastRenderedPageBreak/>
        <w:t>complied with and if not, the reasons for the non</w:t>
      </w:r>
      <w:r>
        <w:noBreakHyphen/>
        <w:t>compliance;</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any party intends to adduce expert evidence at the trial;</w:t>
      </w:r>
    </w:p>
    <w:p>
      <w:pPr>
        <w:pStyle w:val="Indenta"/>
      </w:pPr>
      <w:r>
        <w:tab/>
        <w:t>(g)</w:t>
      </w:r>
      <w:r>
        <w:tab/>
        <w:t>whether a conference of the parties with a mediator is needed and if so, when;</w:t>
      </w:r>
    </w:p>
    <w:p>
      <w:pPr>
        <w:pStyle w:val="Indenta"/>
      </w:pPr>
      <w:r>
        <w:tab/>
        <w:t>(h)</w:t>
      </w:r>
      <w:r>
        <w:tab/>
        <w:t>the likely length of the trial;</w:t>
      </w:r>
    </w:p>
    <w:p>
      <w:pPr>
        <w:pStyle w:val="Indenta"/>
      </w:pPr>
      <w:r>
        <w:tab/>
        <w:t>(i)</w:t>
      </w:r>
      <w:r>
        <w:tab/>
        <w:t>any other matter relevant to ensuring the case is managed in accordance with Order 1 rule 4B.</w:t>
      </w:r>
    </w:p>
    <w:p>
      <w:pPr>
        <w:pStyle w:val="Subsection"/>
      </w:pPr>
      <w:r>
        <w:tab/>
        <w:t>(4)</w:t>
      </w:r>
      <w:r>
        <w:tab/>
        <w:t>A case is not to be entered for trial unless the case manager has conducted a full case evaluation at one or more case management conferences for the case.</w:t>
      </w:r>
    </w:p>
    <w:p>
      <w:pPr>
        <w:pStyle w:val="Subsection"/>
      </w:pPr>
      <w:r>
        <w:tab/>
        <w:t>(5)</w:t>
      </w:r>
      <w:r>
        <w:tab/>
        <w:t>The case manager may, at the request of a party, or on the case manager’s own initiative, make a direction that subrule (4) does not apply to the case.</w:t>
      </w:r>
    </w:p>
    <w:p>
      <w:pPr>
        <w:pStyle w:val="Subsection"/>
      </w:pPr>
      <w:r>
        <w:tab/>
        <w:t>(6)</w:t>
      </w:r>
      <w:r>
        <w:tab/>
        <w:t>The case manager may conduct a full case evaluation referred to in subrule (4) by inquiring into the following —</w:t>
      </w:r>
    </w:p>
    <w:p>
      <w:pPr>
        <w:pStyle w:val="Indenta"/>
      </w:pPr>
      <w:r>
        <w:tab/>
        <w:t>(a)</w:t>
      </w:r>
      <w:r>
        <w:tab/>
        <w:t>the state of the pleadings and if they are not closed, the reasons for that;</w:t>
      </w:r>
    </w:p>
    <w:p>
      <w:pPr>
        <w:pStyle w:val="Indenta"/>
      </w:pPr>
      <w:r>
        <w:tab/>
        <w:t>(b)</w:t>
      </w:r>
      <w:r>
        <w:tab/>
        <w:t>whether a conference of the parties with a mediator is needed and if so, when;</w:t>
      </w:r>
    </w:p>
    <w:p>
      <w:pPr>
        <w:pStyle w:val="Indenta"/>
      </w:pPr>
      <w:r>
        <w:tab/>
        <w:t>(c)</w:t>
      </w:r>
      <w:r>
        <w:tab/>
        <w:t>the content of any report or document containing expert evidence or the substance of expert evidence and whether a conference between experts is needed;</w:t>
      </w:r>
    </w:p>
    <w:p>
      <w:pPr>
        <w:pStyle w:val="Indenta"/>
      </w:pPr>
      <w:r>
        <w:tab/>
        <w:t>(d)</w:t>
      </w:r>
      <w:r>
        <w:tab/>
        <w:t>whether the case, at the time of the listing conference, will be ready for trial and if not, the reasons for not being ready;</w:t>
      </w:r>
    </w:p>
    <w:p>
      <w:pPr>
        <w:pStyle w:val="Indenta"/>
      </w:pPr>
      <w:r>
        <w:lastRenderedPageBreak/>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each witness to give evidence;</w:t>
      </w:r>
    </w:p>
    <w:p>
      <w:pPr>
        <w:pStyle w:val="Indenta"/>
      </w:pPr>
      <w:r>
        <w:tab/>
        <w:t>(g)</w:t>
      </w:r>
      <w:r>
        <w:tab/>
        <w:t>the administrative resources likely to be needed for the trial.</w:t>
      </w:r>
    </w:p>
    <w:p>
      <w:pPr>
        <w:pStyle w:val="Subsection"/>
      </w:pPr>
      <w:r>
        <w:tab/>
        <w:t>(7)</w:t>
      </w:r>
      <w:r>
        <w:tab/>
        <w:t>The first and any other case management conference may be held even if, at the time of the case management conference, not all parties to the case have been served with the originating process or have entered appearances.</w:t>
      </w:r>
    </w:p>
    <w:p>
      <w:pPr>
        <w:pStyle w:val="Footnotesection"/>
      </w:pPr>
      <w:r>
        <w:tab/>
        <w:t>[Rule 18 inserted: Gazette 16 Aug 2017 p. 4404</w:t>
      </w:r>
      <w:r>
        <w:noBreakHyphen/>
        <w:t>6; amended: SL 2022/74 r. 15.]</w:t>
      </w:r>
    </w:p>
    <w:p>
      <w:pPr>
        <w:pStyle w:val="Heading5"/>
      </w:pPr>
      <w:bookmarkStart w:id="70" w:name="_Toc129077376"/>
      <w:r>
        <w:rPr>
          <w:rStyle w:val="CharSectno"/>
        </w:rPr>
        <w:t>19</w:t>
      </w:r>
      <w:r>
        <w:t>.</w:t>
      </w:r>
      <w:r>
        <w:tab/>
        <w:t>Powers of case manager at case management conferences for cases not on CMC List</w:t>
      </w:r>
      <w:bookmarkEnd w:id="70"/>
    </w:p>
    <w:p>
      <w:pPr>
        <w:pStyle w:val="Subsection"/>
      </w:pPr>
      <w:r>
        <w:tab/>
        <w:t>(1)</w:t>
      </w:r>
      <w:r>
        <w:tab/>
        <w:t>At any case management conference the case manager may at the request of a party or on the case manager’s own initiative do one or more of the following —</w:t>
      </w:r>
    </w:p>
    <w:p>
      <w:pPr>
        <w:pStyle w:val="Indenta"/>
      </w:pPr>
      <w:r>
        <w:tab/>
        <w:t>(a)</w:t>
      </w:r>
      <w:r>
        <w:tab/>
        <w:t>make any interlocutory order the case manager considers just;</w:t>
      </w:r>
    </w:p>
    <w:p>
      <w:pPr>
        <w:pStyle w:val="Indenta"/>
      </w:pPr>
      <w:r>
        <w:tab/>
        <w:t>(b)</w:t>
      </w:r>
      <w:r>
        <w:tab/>
        <w:t>make any case management direction the case manager considers just;</w:t>
      </w:r>
    </w:p>
    <w:p>
      <w:pPr>
        <w:pStyle w:val="Indenta"/>
      </w:pPr>
      <w:r>
        <w:tab/>
        <w:t>(c)</w:t>
      </w:r>
      <w:r>
        <w:tab/>
        <w:t>make any enforcement order the case manager considers just.</w:t>
      </w:r>
    </w:p>
    <w:p>
      <w:pPr>
        <w:pStyle w:val="Subsection"/>
      </w:pPr>
      <w:r>
        <w:tab/>
        <w:t>(2)</w:t>
      </w:r>
      <w:r>
        <w:tab/>
        <w:t>If the case manager is a master, subrule (1) is subject to Order 60 rule 1(3) and (4).</w:t>
      </w:r>
    </w:p>
    <w:p>
      <w:pPr>
        <w:pStyle w:val="Subsection"/>
      </w:pPr>
      <w:r>
        <w:tab/>
        <w:t>(3)</w:t>
      </w:r>
      <w:r>
        <w:tab/>
        <w:t>If the case manager is a registrar, subrule (1) is subject to Order 60A rule 2(2), (3) and (4).</w:t>
      </w:r>
    </w:p>
    <w:p>
      <w:pPr>
        <w:pStyle w:val="Subsection"/>
      </w:pPr>
      <w:r>
        <w:tab/>
        <w:t>(4)</w:t>
      </w:r>
      <w:r>
        <w:tab/>
        <w:t xml:space="preserve">The case manager may at the request of a party or on the case manager’s own initiative, arrange for one or more further case management conferences to be held but any further case </w:t>
      </w:r>
      <w:r>
        <w:lastRenderedPageBreak/>
        <w:t>management conference must not be held on or after the date of the listing conference.</w:t>
      </w:r>
    </w:p>
    <w:p>
      <w:pPr>
        <w:pStyle w:val="Subsection"/>
      </w:pPr>
      <w:r>
        <w:tab/>
        <w:t>(5)</w:t>
      </w:r>
      <w:r>
        <w:tab/>
        <w:t>The case manager may at the request of a party or on the case manager’s own initiative, adjourn any case management conference from time to time but not to a date on or after the date of the listing conference.</w:t>
      </w:r>
    </w:p>
    <w:p>
      <w:pPr>
        <w:pStyle w:val="Footnotesection"/>
      </w:pPr>
      <w:r>
        <w:tab/>
        <w:t>[Rule 19 inserted: Gazette 16 Aug 2017 p. 4406</w:t>
      </w:r>
      <w:r>
        <w:noBreakHyphen/>
        <w:t>7.]</w:t>
      </w:r>
    </w:p>
    <w:p>
      <w:pPr>
        <w:pStyle w:val="Heading5"/>
      </w:pPr>
      <w:bookmarkStart w:id="71" w:name="_Toc129077377"/>
      <w:r>
        <w:rPr>
          <w:rStyle w:val="CharSectno"/>
        </w:rPr>
        <w:t>20</w:t>
      </w:r>
      <w:r>
        <w:t>.</w:t>
      </w:r>
      <w:r>
        <w:tab/>
        <w:t>Listing conference</w:t>
      </w:r>
      <w:bookmarkEnd w:id="71"/>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keepNext/>
      </w:pPr>
      <w:r>
        <w:lastRenderedPageBreak/>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r>
        <w:tab/>
        <w:t>[Rule 20 inserted: Gazette 28 Jul 2010 p. 3458-9.]</w:t>
      </w:r>
    </w:p>
    <w:p>
      <w:pPr>
        <w:pStyle w:val="Heading3"/>
      </w:pPr>
      <w:bookmarkStart w:id="72" w:name="_Toc129073306"/>
      <w:bookmarkStart w:id="73" w:name="_Toc129074589"/>
      <w:bookmarkStart w:id="74" w:name="_Toc129077378"/>
      <w:r>
        <w:rPr>
          <w:rStyle w:val="CharDivNo"/>
        </w:rPr>
        <w:t>Division 5</w:t>
      </w:r>
      <w:r>
        <w:t> — </w:t>
      </w:r>
      <w:r>
        <w:rPr>
          <w:rStyle w:val="CharDivText"/>
        </w:rPr>
        <w:t>Inactive Cases List</w:t>
      </w:r>
      <w:bookmarkEnd w:id="72"/>
      <w:bookmarkEnd w:id="73"/>
      <w:bookmarkEnd w:id="74"/>
    </w:p>
    <w:p>
      <w:pPr>
        <w:pStyle w:val="Footnoteheading"/>
      </w:pPr>
      <w:r>
        <w:tab/>
        <w:t>[Heading inserted: Gazette 28 Jul 2010 p. 3459.]</w:t>
      </w:r>
    </w:p>
    <w:p>
      <w:pPr>
        <w:pStyle w:val="Heading5"/>
      </w:pPr>
      <w:bookmarkStart w:id="75" w:name="_Toc129077379"/>
      <w:r>
        <w:rPr>
          <w:rStyle w:val="CharSectno"/>
        </w:rPr>
        <w:t>21</w:t>
      </w:r>
      <w:r>
        <w:t>.</w:t>
      </w:r>
      <w:r>
        <w:tab/>
        <w:t>Term used: Inactive Cases List</w:t>
      </w:r>
      <w:bookmarkEnd w:id="75"/>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for the purposes of this Division.</w:t>
      </w:r>
    </w:p>
    <w:p>
      <w:pPr>
        <w:pStyle w:val="Footnotesection"/>
      </w:pPr>
      <w:r>
        <w:tab/>
        <w:t>[Rule 21 inserted: Gazette 28 Jul 2010 p. 3459; amended: Gazette 16 Aug 2017 p. 4407.]</w:t>
      </w:r>
    </w:p>
    <w:p>
      <w:pPr>
        <w:pStyle w:val="Heading5"/>
      </w:pPr>
      <w:bookmarkStart w:id="76" w:name="_Toc129077380"/>
      <w:r>
        <w:rPr>
          <w:rStyle w:val="CharSectno"/>
        </w:rPr>
        <w:t>22</w:t>
      </w:r>
      <w:r>
        <w:t>.</w:t>
      </w:r>
      <w:r>
        <w:tab/>
        <w:t>Case manager may direct party to show cause</w:t>
      </w:r>
      <w:bookmarkEnd w:id="76"/>
    </w:p>
    <w:p>
      <w:pPr>
        <w:pStyle w:val="Subsection"/>
      </w:pPr>
      <w:r>
        <w:tab/>
        <w:t>(1)</w:t>
      </w:r>
      <w:r>
        <w:tab/>
        <w:t>The case manager for a case may at any time, by notice, direct the parties to attend a hearing before a case manager to show cause why the case should not be put on the Inactive Cases List.</w:t>
      </w:r>
    </w:p>
    <w:p>
      <w:pPr>
        <w:pStyle w:val="Subsection"/>
      </w:pPr>
      <w:r>
        <w:tab/>
        <w:t>(2)</w:t>
      </w:r>
      <w:r>
        <w:tab/>
        <w:t>The date of the hearing must be at least 7 days after the date on which the direction is made.</w:t>
      </w:r>
    </w:p>
    <w:p>
      <w:pPr>
        <w:pStyle w:val="Subsection"/>
      </w:pPr>
      <w:r>
        <w:tab/>
        <w:t>(3)</w:t>
      </w:r>
      <w:r>
        <w:tab/>
        <w:t>The direction  does not prevent any party to the case from taking any procedural step in the case.</w:t>
      </w:r>
    </w:p>
    <w:p>
      <w:pPr>
        <w:pStyle w:val="Subsection"/>
      </w:pPr>
      <w:r>
        <w:tab/>
        <w:t>(4)</w:t>
      </w:r>
      <w:r>
        <w:tab/>
        <w:t xml:space="preserve">At the hearing the case manager may order that the case be put on the Inactive Cases List if not satisfied that the case is being </w:t>
      </w:r>
      <w:r>
        <w:lastRenderedPageBreak/>
        <w:t>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r>
        <w:tab/>
        <w:t>[Rule 22 inserted: Gazette 16 Aug 2017 p. 4407.]</w:t>
      </w:r>
    </w:p>
    <w:p>
      <w:pPr>
        <w:pStyle w:val="Heading5"/>
      </w:pPr>
      <w:bookmarkStart w:id="77" w:name="_Toc129077381"/>
      <w:r>
        <w:rPr>
          <w:rStyle w:val="CharSectno"/>
        </w:rPr>
        <w:t>23</w:t>
      </w:r>
      <w:r>
        <w:t>.</w:t>
      </w:r>
      <w:r>
        <w:tab/>
        <w:t>Springing order that case be put on Inactive Cases List</w:t>
      </w:r>
      <w:bookmarkEnd w:id="77"/>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ind w:left="890" w:hanging="890"/>
      </w:pPr>
      <w:r>
        <w:tab/>
        <w:t>[Rule 23 inserted: Gazette 28 Jul 2010 p. 3460.]</w:t>
      </w:r>
    </w:p>
    <w:p>
      <w:pPr>
        <w:pStyle w:val="Heading5"/>
        <w:spacing w:before="180"/>
      </w:pPr>
      <w:bookmarkStart w:id="78" w:name="_Toc129077382"/>
      <w:r>
        <w:rPr>
          <w:rStyle w:val="CharSectno"/>
        </w:rPr>
        <w:t>24</w:t>
      </w:r>
      <w:r>
        <w:t>.</w:t>
      </w:r>
      <w:r>
        <w:tab/>
        <w:t>Cases inactive for 12 months deemed inactive</w:t>
      </w:r>
      <w:bookmarkEnd w:id="78"/>
    </w:p>
    <w:p>
      <w:pPr>
        <w:pStyle w:val="Subsection"/>
        <w:spacing w:before="120"/>
      </w:pPr>
      <w:r>
        <w:tab/>
      </w:r>
      <w:r>
        <w:tab/>
        <w:t>If no procedural step is taken in a case for 12 months by any party to the case, the case is taken to be inactive unless the case manager for the case orders otherwise.</w:t>
      </w:r>
    </w:p>
    <w:p>
      <w:pPr>
        <w:pStyle w:val="Footnotesection"/>
      </w:pPr>
      <w:r>
        <w:tab/>
        <w:t>[Rule 24 inserted: Gazette 28 Jul 2010 p. 3460.]</w:t>
      </w:r>
    </w:p>
    <w:p>
      <w:pPr>
        <w:pStyle w:val="Heading5"/>
      </w:pPr>
      <w:bookmarkStart w:id="79" w:name="_Toc129077383"/>
      <w:r>
        <w:rPr>
          <w:rStyle w:val="CharSectno"/>
        </w:rPr>
        <w:t>25</w:t>
      </w:r>
      <w:r>
        <w:t>.</w:t>
      </w:r>
      <w:r>
        <w:tab/>
        <w:t>Parties to be notified of case being on Inactive Cases List</w:t>
      </w:r>
      <w:bookmarkEnd w:id="79"/>
    </w:p>
    <w:p>
      <w:pPr>
        <w:pStyle w:val="Subsection"/>
      </w:pPr>
      <w:r>
        <w:tab/>
        <w:t>(1)</w:t>
      </w:r>
      <w:r>
        <w:tab/>
        <w:t xml:space="preserve">When an order is made under rule 22(4), or an order made under rule 23(1) takes effect, or a case is taken to be inactive under rule 24, the Principal Registrar must — </w:t>
      </w:r>
    </w:p>
    <w:p>
      <w:pPr>
        <w:pStyle w:val="Indenta"/>
      </w:pPr>
      <w:r>
        <w:tab/>
        <w:t>(a)</w:t>
      </w:r>
      <w:r>
        <w:tab/>
        <w:t>put the case on the Inactive Cases List; and</w:t>
      </w:r>
    </w:p>
    <w:p>
      <w:pPr>
        <w:pStyle w:val="Indenta"/>
      </w:pPr>
      <w:r>
        <w:tab/>
        <w:t>(b)</w:t>
      </w:r>
      <w:r>
        <w:tab/>
        <w:t xml:space="preserve">give all parties to the case written notice of — </w:t>
      </w:r>
    </w:p>
    <w:p>
      <w:pPr>
        <w:pStyle w:val="Indenti"/>
      </w:pPr>
      <w:r>
        <w:tab/>
        <w:t>(i)</w:t>
      </w:r>
      <w:r>
        <w:tab/>
        <w:t>the fact that the case is on the Inactive Cases List and why; and</w:t>
      </w:r>
    </w:p>
    <w:p>
      <w:pPr>
        <w:pStyle w:val="Indenti"/>
      </w:pPr>
      <w:r>
        <w:tab/>
        <w:t>(ii)</w:t>
      </w:r>
      <w:r>
        <w:tab/>
        <w:t>the effect of rule 28.</w:t>
      </w:r>
    </w:p>
    <w:p>
      <w:pPr>
        <w:pStyle w:val="Subsection"/>
      </w:pPr>
      <w:r>
        <w:lastRenderedPageBreak/>
        <w:tab/>
        <w:t>(2)</w:t>
      </w:r>
      <w:r>
        <w:tab/>
        <w:t xml:space="preserve">If under subrule (1)(b) written notice is given to a party to the case by giving the notice to a legal practitioner for the party, the legal practitioner must, as soon as practicable after receiving the notice, notify the party of — </w:t>
      </w:r>
    </w:p>
    <w:p>
      <w:pPr>
        <w:pStyle w:val="Indenta"/>
      </w:pPr>
      <w:r>
        <w:tab/>
        <w:t>(a)</w:t>
      </w:r>
      <w:r>
        <w:tab/>
        <w:t>the fact that the case is on the Inactive Cases List and why; and</w:t>
      </w:r>
    </w:p>
    <w:p>
      <w:pPr>
        <w:pStyle w:val="Indenta"/>
      </w:pPr>
      <w:r>
        <w:tab/>
        <w:t>(b)</w:t>
      </w:r>
      <w:r>
        <w:tab/>
        <w:t>the effect of rule 28.</w:t>
      </w:r>
    </w:p>
    <w:p>
      <w:pPr>
        <w:pStyle w:val="Footnotesection"/>
      </w:pPr>
      <w:r>
        <w:tab/>
        <w:t>[Rule 25 inserted: Gazette 16 Aug 2017 p. 4408; SL 2022/74 r. 15.]</w:t>
      </w:r>
    </w:p>
    <w:p>
      <w:pPr>
        <w:pStyle w:val="Heading5"/>
        <w:spacing w:before="180"/>
      </w:pPr>
      <w:bookmarkStart w:id="80" w:name="_Toc129077384"/>
      <w:r>
        <w:rPr>
          <w:rStyle w:val="CharSectno"/>
        </w:rPr>
        <w:t>26</w:t>
      </w:r>
      <w:r>
        <w:t>.</w:t>
      </w:r>
      <w:r>
        <w:tab/>
        <w:t>Consequences of case being on Inactive Cases List</w:t>
      </w:r>
      <w:bookmarkEnd w:id="80"/>
    </w:p>
    <w:p>
      <w:pPr>
        <w:pStyle w:val="Subsection"/>
      </w:pPr>
      <w:r>
        <w:tab/>
        <w:t>(1)</w:t>
      </w:r>
      <w:r>
        <w:tab/>
        <w:t>If a case is on the Inactive Cases List, only these documents may be filed in the Court in relation to the case —</w:t>
      </w:r>
    </w:p>
    <w:p>
      <w:pPr>
        <w:pStyle w:val="Indenta"/>
      </w:pPr>
      <w:r>
        <w:tab/>
        <w:t>(a)</w:t>
      </w:r>
      <w:r>
        <w:tab/>
        <w:t>a request for an order under rule 27(1);</w:t>
      </w:r>
    </w:p>
    <w:p>
      <w:pPr>
        <w:pStyle w:val="Indenta"/>
      </w:pPr>
      <w:r>
        <w:tab/>
        <w:t>(b)</w:t>
      </w:r>
      <w:r>
        <w:tab/>
        <w:t>a notice of discontinuance by the plaintiff under Order 23 rule 2;</w:t>
      </w:r>
    </w:p>
    <w:p>
      <w:pPr>
        <w:pStyle w:val="Indenta"/>
      </w:pPr>
      <w:r>
        <w:tab/>
        <w:t>(c)</w:t>
      </w:r>
      <w:r>
        <w:tab/>
        <w:t>a request made by the plaintiff or the defendant for leave under Order 23 rule 2;</w:t>
      </w:r>
    </w:p>
    <w:p>
      <w:pPr>
        <w:pStyle w:val="Indenta"/>
      </w:pPr>
      <w:r>
        <w:tab/>
        <w:t>(d)</w:t>
      </w:r>
      <w:r>
        <w:tab/>
        <w:t>a written consent under Order 43 rule 16 to the making of an order that would finally dispose of the case.</w:t>
      </w:r>
    </w:p>
    <w:p>
      <w:pPr>
        <w:pStyle w:val="Subsection"/>
      </w:pPr>
      <w:r>
        <w:tab/>
        <w:t>(2)</w:t>
      </w:r>
      <w:r>
        <w:tab/>
        <w:t>If the plaintiff or defendant in a case on the Inactive Cases List files a request for leave under Order 23 rule 2, the Court may grant leave under that rule even though the case has not been removed from that list.</w:t>
      </w:r>
    </w:p>
    <w:p>
      <w:pPr>
        <w:pStyle w:val="Subsection"/>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Footnotesection"/>
      </w:pPr>
      <w:r>
        <w:tab/>
        <w:t>[Rule 26 inserted: Gazette 12 Jun 2012 p. 2445-6; amended: Gazette 16 Aug 2017 p. 4408</w:t>
      </w:r>
      <w:r>
        <w:noBreakHyphen/>
        <w:t>9.]</w:t>
      </w:r>
    </w:p>
    <w:p>
      <w:pPr>
        <w:pStyle w:val="Heading5"/>
      </w:pPr>
      <w:bookmarkStart w:id="81" w:name="_Toc129077385"/>
      <w:r>
        <w:rPr>
          <w:rStyle w:val="CharSectno"/>
        </w:rPr>
        <w:lastRenderedPageBreak/>
        <w:t>27</w:t>
      </w:r>
      <w:r>
        <w:t>.</w:t>
      </w:r>
      <w:r>
        <w:tab/>
        <w:t>Removing cases from Inactive Cases List</w:t>
      </w:r>
      <w:bookmarkEnd w:id="81"/>
    </w:p>
    <w:p>
      <w:pPr>
        <w:pStyle w:val="Subsection"/>
      </w:pPr>
      <w:r>
        <w:tab/>
        <w:t>(1)</w:t>
      </w:r>
      <w:r>
        <w:tab/>
        <w:t>Any party to a case on the Inactive Cases List may make a request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r>
        <w:tab/>
        <w:t>[Rule 27 inserted: Gazette 28 Jul 2010 p. 3461; amended: Gazette 16 Aug 2017 p. 4409.]</w:t>
      </w:r>
    </w:p>
    <w:p>
      <w:pPr>
        <w:pStyle w:val="Heading5"/>
      </w:pPr>
      <w:bookmarkStart w:id="82" w:name="_Toc129077386"/>
      <w:r>
        <w:rPr>
          <w:rStyle w:val="CharSectno"/>
        </w:rPr>
        <w:t>28</w:t>
      </w:r>
      <w:r>
        <w:t>.</w:t>
      </w:r>
      <w:r>
        <w:tab/>
        <w:t>Certain cases taken to have been dismissed</w:t>
      </w:r>
      <w:bookmarkEnd w:id="82"/>
    </w:p>
    <w:p>
      <w:pPr>
        <w:pStyle w:val="Subsection"/>
      </w:pPr>
      <w:r>
        <w:tab/>
        <w:t>(1)</w:t>
      </w:r>
      <w:r>
        <w:tab/>
        <w:t>If a case is on the Inactive Cases List for 6 continuous months after the date on which notice is given under rule 25(1)(b) to the parties to the case, the case is taken to have been dismissed for want of prosecution.</w:t>
      </w:r>
    </w:p>
    <w:p>
      <w:pPr>
        <w:pStyle w:val="Subsection"/>
      </w:pPr>
      <w:r>
        <w:tab/>
        <w:t>(1A)</w:t>
      </w:r>
      <w:r>
        <w:tab/>
        <w:t>If notice is given under rule 25(1)(b) to different parties to the case on different dates, then, for the purposes of subrule (1), notice is taken to have been given on the last of those dates.</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p>
      <w:pPr>
        <w:pStyle w:val="Subsection"/>
      </w:pPr>
      <w:r>
        <w:tab/>
        <w:t>(4)</w:t>
      </w:r>
      <w:r>
        <w:tab/>
        <w:t>Notwithstanding a case is dismissed under subrule (1) or (2) —</w:t>
      </w:r>
    </w:p>
    <w:p>
      <w:pPr>
        <w:pStyle w:val="Indenta"/>
      </w:pPr>
      <w:r>
        <w:tab/>
        <w:t>(a)</w:t>
      </w:r>
      <w:r>
        <w:tab/>
        <w:t>any party to the case may apply for an order for costs; and</w:t>
      </w:r>
    </w:p>
    <w:p>
      <w:pPr>
        <w:pStyle w:val="Indenta"/>
      </w:pPr>
      <w:r>
        <w:lastRenderedPageBreak/>
        <w:tab/>
        <w:t>(b)</w:t>
      </w:r>
      <w:r>
        <w:tab/>
        <w:t>the Court may make an order as to costs.</w:t>
      </w:r>
    </w:p>
    <w:p>
      <w:pPr>
        <w:pStyle w:val="Footnotesection"/>
      </w:pPr>
      <w:r>
        <w:tab/>
        <w:t>[Rule 28 inserted: Gazette 28 Jul 2010 p. 3461; amended: Gazette 12 Jun 2012 p. 2446; 16 Aug 2017 p. 4409.]</w:t>
      </w:r>
    </w:p>
    <w:p>
      <w:pPr>
        <w:pStyle w:val="Heading2"/>
        <w:rPr>
          <w:b w:val="0"/>
        </w:rPr>
      </w:pPr>
      <w:bookmarkStart w:id="83" w:name="_Toc129073315"/>
      <w:bookmarkStart w:id="84" w:name="_Toc129074598"/>
      <w:bookmarkStart w:id="85" w:name="_Toc129077387"/>
      <w:r>
        <w:rPr>
          <w:rStyle w:val="CharPartNo"/>
        </w:rPr>
        <w:lastRenderedPageBreak/>
        <w:t>Order 4</w:t>
      </w:r>
      <w:r>
        <w:rPr>
          <w:rStyle w:val="CharDivNo"/>
        </w:rPr>
        <w:t> </w:t>
      </w:r>
      <w:r>
        <w:t>—</w:t>
      </w:r>
      <w:r>
        <w:rPr>
          <w:rStyle w:val="CharDivText"/>
        </w:rPr>
        <w:t> </w:t>
      </w:r>
      <w:r>
        <w:rPr>
          <w:rStyle w:val="CharPartText"/>
        </w:rPr>
        <w:t>Mode of commencing proceedings: applications in pending proceedings</w:t>
      </w:r>
      <w:bookmarkEnd w:id="83"/>
      <w:bookmarkEnd w:id="84"/>
      <w:bookmarkEnd w:id="85"/>
    </w:p>
    <w:p>
      <w:pPr>
        <w:pStyle w:val="Heading5"/>
        <w:rPr>
          <w:snapToGrid w:val="0"/>
        </w:rPr>
      </w:pPr>
      <w:bookmarkStart w:id="86" w:name="_Toc129077388"/>
      <w:r>
        <w:rPr>
          <w:rStyle w:val="CharSectno"/>
        </w:rPr>
        <w:t>1</w:t>
      </w:r>
      <w:r>
        <w:rPr>
          <w:snapToGrid w:val="0"/>
        </w:rPr>
        <w:t>.</w:t>
      </w:r>
      <w:r>
        <w:rPr>
          <w:snapToGrid w:val="0"/>
        </w:rPr>
        <w:tab/>
        <w:t>Commencing civil proceedings</w:t>
      </w:r>
      <w:bookmarkEnd w:id="86"/>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87" w:name="_Toc129077389"/>
      <w:r>
        <w:rPr>
          <w:rStyle w:val="CharSectno"/>
        </w:rPr>
        <w:t>2</w:t>
      </w:r>
      <w:r>
        <w:t>.</w:t>
      </w:r>
      <w:r>
        <w:tab/>
        <w:t>Applications in pending proceedings</w:t>
      </w:r>
      <w:bookmarkEnd w:id="87"/>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Gazette 28 Oct 1996 p. 5674.] </w:t>
      </w:r>
    </w:p>
    <w:p>
      <w:pPr>
        <w:pStyle w:val="Heading5"/>
        <w:rPr>
          <w:snapToGrid w:val="0"/>
        </w:rPr>
      </w:pPr>
      <w:bookmarkStart w:id="88" w:name="_Toc129077390"/>
      <w:r>
        <w:rPr>
          <w:rStyle w:val="CharSectno"/>
        </w:rPr>
        <w:t>3</w:t>
      </w:r>
      <w:r>
        <w:rPr>
          <w:snapToGrid w:val="0"/>
        </w:rPr>
        <w:t>.</w:t>
      </w:r>
      <w:r>
        <w:rPr>
          <w:snapToGrid w:val="0"/>
        </w:rPr>
        <w:tab/>
        <w:t>Individual may act in person or by solicitor; body corporate must act by solicitor</w:t>
      </w:r>
      <w:bookmarkEnd w:id="88"/>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Gazette 28 Jun 2011 p. 2552.]</w:t>
      </w:r>
    </w:p>
    <w:p>
      <w:pPr>
        <w:pStyle w:val="Heading2"/>
      </w:pPr>
      <w:bookmarkStart w:id="89" w:name="_Toc129073319"/>
      <w:bookmarkStart w:id="90" w:name="_Toc129074602"/>
      <w:bookmarkStart w:id="91" w:name="_Toc129077391"/>
      <w:r>
        <w:rPr>
          <w:rStyle w:val="CharPartNo"/>
        </w:rPr>
        <w:lastRenderedPageBreak/>
        <w:t>Order 4AA</w:t>
      </w:r>
      <w:r>
        <w:rPr>
          <w:rStyle w:val="CharDivNo"/>
        </w:rPr>
        <w:t> </w:t>
      </w:r>
      <w:r>
        <w:t>—</w:t>
      </w:r>
      <w:r>
        <w:rPr>
          <w:rStyle w:val="CharDivText"/>
        </w:rPr>
        <w:t> </w:t>
      </w:r>
      <w:r>
        <w:rPr>
          <w:rStyle w:val="CharPartText"/>
        </w:rPr>
        <w:t>Mortgage actions</w:t>
      </w:r>
      <w:bookmarkEnd w:id="89"/>
      <w:bookmarkEnd w:id="90"/>
      <w:bookmarkEnd w:id="91"/>
    </w:p>
    <w:p>
      <w:pPr>
        <w:pStyle w:val="Footnoteheading"/>
      </w:pPr>
      <w:r>
        <w:tab/>
        <w:t>[Heading inserted: Gazette 16 Nov 2016 p. 5186.]</w:t>
      </w:r>
    </w:p>
    <w:p>
      <w:pPr>
        <w:pStyle w:val="Heading5"/>
      </w:pPr>
      <w:bookmarkStart w:id="92" w:name="_Toc129077392"/>
      <w:r>
        <w:rPr>
          <w:rStyle w:val="CharSectno"/>
        </w:rPr>
        <w:t>1</w:t>
      </w:r>
      <w:r>
        <w:t>.</w:t>
      </w:r>
      <w:r>
        <w:tab/>
        <w:t>Terms used</w:t>
      </w:r>
      <w:bookmarkEnd w:id="92"/>
    </w:p>
    <w:p>
      <w:pPr>
        <w:pStyle w:val="Subsection"/>
      </w:pPr>
      <w:r>
        <w:tab/>
        <w:t>(1)</w:t>
      </w:r>
      <w:r>
        <w:tab/>
        <w:t xml:space="preserve">In this Order — </w:t>
      </w:r>
    </w:p>
    <w:p>
      <w:pPr>
        <w:pStyle w:val="Defstart"/>
      </w:pPr>
      <w:r>
        <w:tab/>
      </w:r>
      <w:r>
        <w:rPr>
          <w:rStyle w:val="CharDefText"/>
        </w:rPr>
        <w:t>mortgage</w:t>
      </w:r>
      <w:r>
        <w:t xml:space="preserve"> includes a legal and an equitable mortgage and a legal and an equitable charge, whether or not the mortgage or charge is registered under the </w:t>
      </w:r>
      <w:r>
        <w:rPr>
          <w:i/>
        </w:rPr>
        <w:t>Transfer of Land Act 1893</w:t>
      </w:r>
      <w:r>
        <w:t>;</w:t>
      </w:r>
    </w:p>
    <w:p>
      <w:pPr>
        <w:pStyle w:val="Defstart"/>
      </w:pPr>
      <w:r>
        <w:tab/>
      </w:r>
      <w:r>
        <w:rPr>
          <w:rStyle w:val="CharDefText"/>
        </w:rPr>
        <w:t>mortgage action</w:t>
      </w:r>
      <w:r>
        <w:t xml:space="preserve"> means proceedings to which this Order applies.</w:t>
      </w:r>
    </w:p>
    <w:p>
      <w:pPr>
        <w:pStyle w:val="Subsection"/>
      </w:pPr>
      <w:r>
        <w:tab/>
        <w:t>(2)</w:t>
      </w:r>
      <w:r>
        <w:tab/>
        <w:t xml:space="preserve">In this Order, </w:t>
      </w:r>
      <w:r>
        <w:rPr>
          <w:rStyle w:val="CharDefText"/>
        </w:rPr>
        <w:t>mortgagee</w:t>
      </w:r>
      <w:r>
        <w:t xml:space="preserve"> and </w:t>
      </w:r>
      <w:r>
        <w:rPr>
          <w:rStyle w:val="CharDefText"/>
        </w:rPr>
        <w:t>mortgagor</w:t>
      </w:r>
      <w:r>
        <w:t xml:space="preserve"> have meanings that correspond to the meaning of </w:t>
      </w:r>
      <w:r>
        <w:rPr>
          <w:b/>
          <w:i/>
        </w:rPr>
        <w:t>mortgage</w:t>
      </w:r>
      <w:r>
        <w:t>.</w:t>
      </w:r>
    </w:p>
    <w:p>
      <w:pPr>
        <w:pStyle w:val="Footnotesection"/>
      </w:pPr>
      <w:r>
        <w:tab/>
        <w:t>[Rule 1 inserted: Gazette 16 Nov 2016 p. 5186.]</w:t>
      </w:r>
    </w:p>
    <w:p>
      <w:pPr>
        <w:pStyle w:val="Heading5"/>
      </w:pPr>
      <w:bookmarkStart w:id="93" w:name="_Toc129077393"/>
      <w:r>
        <w:rPr>
          <w:rStyle w:val="CharSectno"/>
        </w:rPr>
        <w:t>2</w:t>
      </w:r>
      <w:r>
        <w:t>.</w:t>
      </w:r>
      <w:r>
        <w:tab/>
        <w:t>Application</w:t>
      </w:r>
      <w:bookmarkEnd w:id="93"/>
    </w:p>
    <w:p>
      <w:pPr>
        <w:pStyle w:val="Subsection"/>
      </w:pPr>
      <w:r>
        <w:tab/>
        <w:t>(1)</w:t>
      </w:r>
      <w:r>
        <w:tab/>
        <w:t xml:space="preserve">This Order applies to any proceedings by a mortgagee or mortgagor, or by any person who has the right to foreclose or redeem any mortgage, if in the proceedings there is a claim for relief of any of the following kinds — </w:t>
      </w:r>
    </w:p>
    <w:p>
      <w:pPr>
        <w:pStyle w:val="Indenta"/>
      </w:pPr>
      <w:r>
        <w:tab/>
        <w:t>(a)</w:t>
      </w:r>
      <w:r>
        <w:tab/>
        <w:t xml:space="preserve">delivery of possession (whether before or after foreclosure or without foreclosure) to the mortgagee by — </w:t>
      </w:r>
    </w:p>
    <w:p>
      <w:pPr>
        <w:pStyle w:val="Indenti"/>
      </w:pPr>
      <w:r>
        <w:tab/>
        <w:t>(i)</w:t>
      </w:r>
      <w:r>
        <w:tab/>
        <w:t>the mortgagor; or</w:t>
      </w:r>
    </w:p>
    <w:p>
      <w:pPr>
        <w:pStyle w:val="Indenti"/>
      </w:pPr>
      <w:r>
        <w:tab/>
        <w:t>(ii)</w:t>
      </w:r>
      <w:r>
        <w:tab/>
        <w:t>any other person who is, or is alleged to be, in possession of the property;</w:t>
      </w:r>
    </w:p>
    <w:p>
      <w:pPr>
        <w:pStyle w:val="Indenta"/>
      </w:pPr>
      <w:r>
        <w:tab/>
        <w:t>(b)</w:t>
      </w:r>
      <w:r>
        <w:tab/>
        <w:t>foreclosure;</w:t>
      </w:r>
    </w:p>
    <w:p>
      <w:pPr>
        <w:pStyle w:val="Indenta"/>
      </w:pPr>
      <w:r>
        <w:tab/>
        <w:t>(c)</w:t>
      </w:r>
      <w:r>
        <w:tab/>
        <w:t>sale of the mortgaged property;</w:t>
      </w:r>
    </w:p>
    <w:p>
      <w:pPr>
        <w:pStyle w:val="Indenta"/>
      </w:pPr>
      <w:r>
        <w:tab/>
        <w:t>(d)</w:t>
      </w:r>
      <w:r>
        <w:tab/>
        <w:t>redemption;</w:t>
      </w:r>
    </w:p>
    <w:p>
      <w:pPr>
        <w:pStyle w:val="Indenta"/>
      </w:pPr>
      <w:r>
        <w:tab/>
        <w:t>(e)</w:t>
      </w:r>
      <w:r>
        <w:tab/>
        <w:t>reconveyance of the property or its release from the security;</w:t>
      </w:r>
    </w:p>
    <w:p>
      <w:pPr>
        <w:pStyle w:val="Indenta"/>
      </w:pPr>
      <w:r>
        <w:tab/>
        <w:t>(f)</w:t>
      </w:r>
      <w:r>
        <w:tab/>
        <w:t>delivery of possession by the mortgagee.</w:t>
      </w:r>
    </w:p>
    <w:p>
      <w:pPr>
        <w:pStyle w:val="Subsection"/>
      </w:pPr>
      <w:r>
        <w:lastRenderedPageBreak/>
        <w:tab/>
        <w:t>(2)</w:t>
      </w:r>
      <w:r>
        <w:tab/>
        <w:t xml:space="preserve">Nothing in this Order extends or affects the powers of sale or foreclosure conferred by the </w:t>
      </w:r>
      <w:r>
        <w:rPr>
          <w:i/>
        </w:rPr>
        <w:t>Transfer of Land Act 1893</w:t>
      </w:r>
      <w:r>
        <w:t xml:space="preserve"> Part IV Division 3.</w:t>
      </w:r>
    </w:p>
    <w:p>
      <w:pPr>
        <w:pStyle w:val="Footnotesection"/>
      </w:pPr>
      <w:r>
        <w:tab/>
        <w:t>[Rule 2 inserted: Gazette 16 Nov 2016 p. 5186</w:t>
      </w:r>
      <w:r>
        <w:noBreakHyphen/>
        <w:t>7.]</w:t>
      </w:r>
    </w:p>
    <w:p>
      <w:pPr>
        <w:pStyle w:val="Heading5"/>
      </w:pPr>
      <w:bookmarkStart w:id="94" w:name="_Toc129077394"/>
      <w:r>
        <w:rPr>
          <w:rStyle w:val="CharSectno"/>
        </w:rPr>
        <w:t>3</w:t>
      </w:r>
      <w:r>
        <w:t>.</w:t>
      </w:r>
      <w:r>
        <w:tab/>
        <w:t>Commencing mortgage actions</w:t>
      </w:r>
      <w:bookmarkEnd w:id="94"/>
    </w:p>
    <w:p>
      <w:pPr>
        <w:pStyle w:val="Subsection"/>
      </w:pPr>
      <w:r>
        <w:tab/>
        <w:t>(1)</w:t>
      </w:r>
      <w:r>
        <w:tab/>
        <w:t>A mortgage action must be begun by writ unless the mortgage action is a defendant’s application for an order for delivery of possession referred to in subrule (3).</w:t>
      </w:r>
    </w:p>
    <w:p>
      <w:pPr>
        <w:pStyle w:val="Subsection"/>
      </w:pPr>
      <w:r>
        <w:tab/>
        <w:t>(2)</w:t>
      </w:r>
      <w:r>
        <w:tab/>
        <w:t>If the writ is indorsed with a claim for relief of a kind referred to in rule 2(1)(a), (b) or (c), a notice in Form 4 must be attached to the front of the writ when the writ is served.</w:t>
      </w:r>
    </w:p>
    <w:p>
      <w:pPr>
        <w:pStyle w:val="Subsection"/>
      </w:pPr>
      <w:r>
        <w:tab/>
        <w:t>(3)</w:t>
      </w:r>
      <w:r>
        <w:tab/>
        <w:t xml:space="preserve">A defendant in a mortgage action for redemption may apply by motion or summons for an order for delivery to the defendant of possession of the mortgaged property if — </w:t>
      </w:r>
    </w:p>
    <w:p>
      <w:pPr>
        <w:pStyle w:val="Indenta"/>
      </w:pPr>
      <w:r>
        <w:tab/>
        <w:t>(a)</w:t>
      </w:r>
      <w:r>
        <w:tab/>
        <w:t>the plaintiff has failed to redeem; and</w:t>
      </w:r>
    </w:p>
    <w:p>
      <w:pPr>
        <w:pStyle w:val="Indenta"/>
      </w:pPr>
      <w:r>
        <w:tab/>
        <w:t>(b)</w:t>
      </w:r>
      <w:r>
        <w:tab/>
        <w:t>foreclosure has taken place.</w:t>
      </w:r>
    </w:p>
    <w:p>
      <w:pPr>
        <w:pStyle w:val="Subsection"/>
      </w:pPr>
      <w:r>
        <w:tab/>
        <w:t>(4)</w:t>
      </w:r>
      <w:r>
        <w:tab/>
        <w:t>On an application made under subrule (3) the Court may make whatever order it thinks fit.</w:t>
      </w:r>
    </w:p>
    <w:p>
      <w:pPr>
        <w:pStyle w:val="Footnotesection"/>
      </w:pPr>
      <w:r>
        <w:tab/>
        <w:t>[Rule 3 inserted: Gazette 16 Nov 2016 p. 5187.]</w:t>
      </w:r>
    </w:p>
    <w:p>
      <w:pPr>
        <w:pStyle w:val="Heading5"/>
      </w:pPr>
      <w:bookmarkStart w:id="95" w:name="_Toc129077395"/>
      <w:r>
        <w:rPr>
          <w:rStyle w:val="CharSectno"/>
        </w:rPr>
        <w:t>4</w:t>
      </w:r>
      <w:r>
        <w:t>.</w:t>
      </w:r>
      <w:r>
        <w:tab/>
        <w:t>Transitional provision for former Order 62A</w:t>
      </w:r>
      <w:bookmarkEnd w:id="95"/>
    </w:p>
    <w:p>
      <w:pPr>
        <w:pStyle w:val="Subsection"/>
      </w:pPr>
      <w:r>
        <w:tab/>
        <w:t>(1)</w:t>
      </w:r>
      <w:r>
        <w:tab/>
        <w:t xml:space="preserve">In this rule — </w:t>
      </w:r>
    </w:p>
    <w:p>
      <w:pPr>
        <w:pStyle w:val="Defstart"/>
      </w:pPr>
      <w:r>
        <w:tab/>
      </w:r>
      <w:r>
        <w:rPr>
          <w:rStyle w:val="CharDefText"/>
        </w:rPr>
        <w:t>commencement day</w:t>
      </w:r>
      <w:r>
        <w:t xml:space="preserve"> means the day on which the </w:t>
      </w:r>
      <w:r>
        <w:rPr>
          <w:i/>
        </w:rPr>
        <w:t>Supreme Court Amendment Rules 2016</w:t>
      </w:r>
      <w:r>
        <w:t xml:space="preserve"> rule 13 comes into operation;</w:t>
      </w:r>
    </w:p>
    <w:p>
      <w:pPr>
        <w:pStyle w:val="Defstart"/>
      </w:pPr>
      <w:r>
        <w:tab/>
      </w:r>
      <w:r>
        <w:rPr>
          <w:rStyle w:val="CharDefText"/>
        </w:rPr>
        <w:t>former Order 62A</w:t>
      </w:r>
      <w:r>
        <w:t xml:space="preserve"> means Order 62A as in effect immediately before it was deleted by the </w:t>
      </w:r>
      <w:r>
        <w:rPr>
          <w:i/>
        </w:rPr>
        <w:t>Supreme Court Amendment Rules 2016</w:t>
      </w:r>
      <w:r>
        <w:t xml:space="preserve"> rule 13;</w:t>
      </w:r>
    </w:p>
    <w:p>
      <w:pPr>
        <w:pStyle w:val="Defstart"/>
      </w:pPr>
      <w:r>
        <w:tab/>
      </w:r>
      <w:r>
        <w:rPr>
          <w:rStyle w:val="CharDefText"/>
        </w:rPr>
        <w:t>transitional proceedings</w:t>
      </w:r>
      <w:r>
        <w:t xml:space="preserve"> means proceedings to which former Order 62A applied immediately before commencement day.</w:t>
      </w:r>
    </w:p>
    <w:p>
      <w:pPr>
        <w:pStyle w:val="Subsection"/>
        <w:keepNext/>
      </w:pPr>
      <w:r>
        <w:lastRenderedPageBreak/>
        <w:tab/>
        <w:t>(2)</w:t>
      </w:r>
      <w:r>
        <w:tab/>
        <w:t xml:space="preserve">Former Order 62A applies to and in relation to the following as if former Order 62A had not been deleted — </w:t>
      </w:r>
    </w:p>
    <w:p>
      <w:pPr>
        <w:pStyle w:val="Indenta"/>
      </w:pPr>
      <w:r>
        <w:tab/>
        <w:t>(a)</w:t>
      </w:r>
      <w:r>
        <w:tab/>
        <w:t>transitional proceedings begun by originating summons before commencement day;</w:t>
      </w:r>
    </w:p>
    <w:p>
      <w:pPr>
        <w:pStyle w:val="Indenta"/>
      </w:pPr>
      <w:r>
        <w:tab/>
        <w:t>(b)</w:t>
      </w:r>
      <w:r>
        <w:tab/>
        <w:t>transitional proceedings begun by writ if the writ was served before commencement day.</w:t>
      </w:r>
    </w:p>
    <w:p>
      <w:pPr>
        <w:pStyle w:val="Footnotesection"/>
      </w:pPr>
      <w:r>
        <w:tab/>
        <w:t>[Rule 4 inserted: Gazette 16 Nov 2016 p. 5187</w:t>
      </w:r>
      <w:r>
        <w:noBreakHyphen/>
        <w:t>8.]</w:t>
      </w:r>
    </w:p>
    <w:p>
      <w:pPr>
        <w:pStyle w:val="Heading2"/>
        <w:rPr>
          <w:b w:val="0"/>
        </w:rPr>
      </w:pPr>
      <w:bookmarkStart w:id="96" w:name="_Toc129073324"/>
      <w:bookmarkStart w:id="97" w:name="_Toc129074607"/>
      <w:bookmarkStart w:id="98" w:name="_Toc129077396"/>
      <w:r>
        <w:rPr>
          <w:rStyle w:val="CharPartNo"/>
        </w:rPr>
        <w:lastRenderedPageBreak/>
        <w:t>Order 5</w:t>
      </w:r>
      <w:r>
        <w:t> — </w:t>
      </w:r>
      <w:r>
        <w:rPr>
          <w:rStyle w:val="CharPartText"/>
        </w:rPr>
        <w:t>Writs of summons</w:t>
      </w:r>
      <w:bookmarkEnd w:id="96"/>
      <w:bookmarkEnd w:id="97"/>
      <w:bookmarkEnd w:id="98"/>
    </w:p>
    <w:p>
      <w:pPr>
        <w:pStyle w:val="Heading5"/>
        <w:rPr>
          <w:snapToGrid w:val="0"/>
        </w:rPr>
      </w:pPr>
      <w:bookmarkStart w:id="99" w:name="_Toc129077397"/>
      <w:r>
        <w:rPr>
          <w:rStyle w:val="CharSectno"/>
        </w:rPr>
        <w:t>1</w:t>
      </w:r>
      <w:r>
        <w:rPr>
          <w:snapToGrid w:val="0"/>
        </w:rPr>
        <w:t>.</w:t>
      </w:r>
      <w:r>
        <w:rPr>
          <w:snapToGrid w:val="0"/>
        </w:rPr>
        <w:tab/>
        <w:t>Form of writ</w:t>
      </w:r>
      <w:bookmarkEnd w:id="99"/>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pPr>
      <w:bookmarkStart w:id="100" w:name="_Toc129077398"/>
      <w:r>
        <w:rPr>
          <w:rStyle w:val="CharSectno"/>
        </w:rPr>
        <w:t>2</w:t>
      </w:r>
      <w:r>
        <w:t>.</w:t>
      </w:r>
      <w:r>
        <w:tab/>
        <w:t>Writ for service outside WA, form of</w:t>
      </w:r>
      <w:bookmarkEnd w:id="100"/>
    </w:p>
    <w:p>
      <w:pPr>
        <w:pStyle w:val="Subsection"/>
      </w:pPr>
      <w:r>
        <w:tab/>
      </w:r>
      <w:r>
        <w:tab/>
        <w:t>A writ to be served outside the State shall be in the form of Form 3.</w:t>
      </w:r>
    </w:p>
    <w:p>
      <w:pPr>
        <w:pStyle w:val="Footnotesection"/>
      </w:pPr>
      <w:r>
        <w:tab/>
        <w:t>[Rule 2 inserted: Gazette 12 Jun 2012 p. 2446.]</w:t>
      </w:r>
    </w:p>
    <w:p>
      <w:pPr>
        <w:pStyle w:val="Heading5"/>
        <w:rPr>
          <w:snapToGrid w:val="0"/>
        </w:rPr>
      </w:pPr>
      <w:bookmarkStart w:id="101" w:name="_Toc129077399"/>
      <w:r>
        <w:rPr>
          <w:rStyle w:val="CharSectno"/>
        </w:rPr>
        <w:t>3</w:t>
      </w:r>
      <w:r>
        <w:rPr>
          <w:snapToGrid w:val="0"/>
        </w:rPr>
        <w:t>.</w:t>
      </w:r>
      <w:r>
        <w:rPr>
          <w:snapToGrid w:val="0"/>
        </w:rPr>
        <w:tab/>
        <w:t>Place of trial to be shown</w:t>
      </w:r>
      <w:bookmarkEnd w:id="101"/>
    </w:p>
    <w:p>
      <w:pPr>
        <w:pStyle w:val="Subsection"/>
      </w:pPr>
      <w:r>
        <w:tab/>
      </w:r>
      <w:r>
        <w:tab/>
        <w:t>In all cases in which it is proposed that the trial shall be elsewhere than in Perth, the writ must show the proposed place of trial.</w:t>
      </w:r>
    </w:p>
    <w:p>
      <w:pPr>
        <w:pStyle w:val="Heading5"/>
        <w:rPr>
          <w:snapToGrid w:val="0"/>
        </w:rPr>
      </w:pPr>
      <w:bookmarkStart w:id="102" w:name="_Toc129077400"/>
      <w:r>
        <w:rPr>
          <w:rStyle w:val="CharSectno"/>
        </w:rPr>
        <w:t>4</w:t>
      </w:r>
      <w:r>
        <w:rPr>
          <w:snapToGrid w:val="0"/>
        </w:rPr>
        <w:t>.</w:t>
      </w:r>
      <w:r>
        <w:rPr>
          <w:snapToGrid w:val="0"/>
        </w:rPr>
        <w:tab/>
        <w:t>Place of issue</w:t>
      </w:r>
      <w:bookmarkEnd w:id="102"/>
      <w:r>
        <w:rPr>
          <w:snapToGrid w:val="0"/>
        </w:rPr>
        <w:t xml:space="preserve"> </w:t>
      </w:r>
    </w:p>
    <w:p>
      <w:pPr>
        <w:pStyle w:val="Subsection"/>
      </w:pPr>
      <w:r>
        <w:tab/>
      </w:r>
      <w:r>
        <w:tab/>
        <w:t>Every writ shall be issued out of the Central Office.</w:t>
      </w:r>
    </w:p>
    <w:p>
      <w:pPr>
        <w:pStyle w:val="Heading5"/>
        <w:rPr>
          <w:snapToGrid w:val="0"/>
        </w:rPr>
      </w:pPr>
      <w:bookmarkStart w:id="103" w:name="_Toc129077401"/>
      <w:r>
        <w:rPr>
          <w:rStyle w:val="CharSectno"/>
        </w:rPr>
        <w:t>5</w:t>
      </w:r>
      <w:r>
        <w:rPr>
          <w:snapToGrid w:val="0"/>
        </w:rPr>
        <w:t>.</w:t>
      </w:r>
      <w:r>
        <w:rPr>
          <w:snapToGrid w:val="0"/>
        </w:rPr>
        <w:tab/>
        <w:t>Preparation of writ</w:t>
      </w:r>
      <w:bookmarkEnd w:id="103"/>
    </w:p>
    <w:p>
      <w:pPr>
        <w:pStyle w:val="Subsection"/>
      </w:pPr>
      <w:r>
        <w:tab/>
      </w:r>
      <w:r>
        <w:tab/>
        <w:t>Writs shall be prepared by the plaintiff or his solicitor.</w:t>
      </w:r>
    </w:p>
    <w:p>
      <w:pPr>
        <w:pStyle w:val="Heading5"/>
        <w:rPr>
          <w:snapToGrid w:val="0"/>
        </w:rPr>
      </w:pPr>
      <w:bookmarkStart w:id="104" w:name="_Toc129077402"/>
      <w:r>
        <w:rPr>
          <w:rStyle w:val="CharSectno"/>
        </w:rPr>
        <w:t>6</w:t>
      </w:r>
      <w:r>
        <w:rPr>
          <w:snapToGrid w:val="0"/>
        </w:rPr>
        <w:t>.</w:t>
      </w:r>
      <w:r>
        <w:rPr>
          <w:snapToGrid w:val="0"/>
        </w:rPr>
        <w:tab/>
        <w:t>Sealing of writ</w:t>
      </w:r>
      <w:bookmarkEnd w:id="104"/>
    </w:p>
    <w:p>
      <w:pPr>
        <w:pStyle w:val="Subsection"/>
      </w:pPr>
      <w:r>
        <w:tab/>
      </w:r>
      <w:r>
        <w:tab/>
        <w:t>Issue of a writ takes place upon its being sealed by the proper officer.</w:t>
      </w:r>
    </w:p>
    <w:p>
      <w:pPr>
        <w:pStyle w:val="Heading5"/>
        <w:rPr>
          <w:snapToGrid w:val="0"/>
        </w:rPr>
      </w:pPr>
      <w:bookmarkStart w:id="105" w:name="_Toc129077403"/>
      <w:r>
        <w:rPr>
          <w:rStyle w:val="CharSectno"/>
        </w:rPr>
        <w:t>7</w:t>
      </w:r>
      <w:r>
        <w:rPr>
          <w:snapToGrid w:val="0"/>
        </w:rPr>
        <w:t>.</w:t>
      </w:r>
      <w:r>
        <w:rPr>
          <w:snapToGrid w:val="0"/>
        </w:rPr>
        <w:tab/>
        <w:t>Copy to be left with officer</w:t>
      </w:r>
      <w:bookmarkEnd w:id="105"/>
    </w:p>
    <w:p>
      <w:pPr>
        <w:pStyle w:val="Subsection"/>
      </w:pPr>
      <w:r>
        <w:tab/>
        <w:t>(1)</w:t>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Subsection"/>
      </w:pPr>
      <w:r>
        <w:lastRenderedPageBreak/>
        <w:tab/>
        <w:t>(2)</w:t>
      </w:r>
      <w:r>
        <w:tab/>
        <w:t>Subrule (1) does not apply if the writ is filed electronically.</w:t>
      </w:r>
    </w:p>
    <w:p>
      <w:pPr>
        <w:pStyle w:val="Footnotesection"/>
      </w:pPr>
      <w:r>
        <w:tab/>
        <w:t>[Rule 7 amended: Gazette 27 Feb 2018 p. 554.]</w:t>
      </w:r>
    </w:p>
    <w:p>
      <w:pPr>
        <w:pStyle w:val="Heading5"/>
      </w:pPr>
      <w:bookmarkStart w:id="106" w:name="_Toc129077404"/>
      <w:r>
        <w:rPr>
          <w:rStyle w:val="CharSectno"/>
        </w:rPr>
        <w:t>8</w:t>
      </w:r>
      <w:r>
        <w:t>.</w:t>
      </w:r>
      <w:r>
        <w:tab/>
        <w:t>Writ to be recorded when issued</w:t>
      </w:r>
      <w:bookmarkEnd w:id="106"/>
    </w:p>
    <w:p>
      <w:pPr>
        <w:pStyle w:val="Subsection"/>
      </w:pPr>
      <w:r>
        <w:tab/>
      </w:r>
      <w:r>
        <w:tab/>
        <w:t>The proper officer must record, in the manner directed by the Chief Justice from time to time, a writ when it is issued.</w:t>
      </w:r>
    </w:p>
    <w:p>
      <w:pPr>
        <w:pStyle w:val="Footnotesection"/>
      </w:pPr>
      <w:r>
        <w:tab/>
        <w:t>[Rule 8 inserted: Gazette 27 Feb 2018 p. 554.]</w:t>
      </w:r>
    </w:p>
    <w:p>
      <w:pPr>
        <w:pStyle w:val="Heading5"/>
        <w:spacing w:before="180"/>
      </w:pPr>
      <w:bookmarkStart w:id="107" w:name="_Toc129077405"/>
      <w:r>
        <w:rPr>
          <w:rStyle w:val="CharSectno"/>
        </w:rPr>
        <w:t>9</w:t>
      </w:r>
      <w:r>
        <w:t>.</w:t>
      </w:r>
      <w:r>
        <w:tab/>
        <w:t>Writ for service outside Australia, leave to issue needed</w:t>
      </w:r>
      <w:bookmarkEnd w:id="107"/>
    </w:p>
    <w:p>
      <w:pPr>
        <w:pStyle w:val="Subsection"/>
      </w:pPr>
      <w:r>
        <w:tab/>
      </w:r>
      <w:r>
        <w:tab/>
        <w:t>A writ for service outside Australia shall not be issued without the leave of the Court.</w:t>
      </w:r>
    </w:p>
    <w:p>
      <w:pPr>
        <w:pStyle w:val="Footnotesection"/>
      </w:pPr>
      <w:r>
        <w:tab/>
        <w:t>[Rule 9 inserted: Gazette 12 Jun 2012 p. 2446.]</w:t>
      </w:r>
    </w:p>
    <w:p>
      <w:pPr>
        <w:pStyle w:val="Heading5"/>
        <w:spacing w:before="180"/>
        <w:rPr>
          <w:snapToGrid w:val="0"/>
        </w:rPr>
      </w:pPr>
      <w:bookmarkStart w:id="108" w:name="_Toc129077406"/>
      <w:r>
        <w:rPr>
          <w:rStyle w:val="CharSectno"/>
        </w:rPr>
        <w:t>10</w:t>
      </w:r>
      <w:r>
        <w:rPr>
          <w:snapToGrid w:val="0"/>
        </w:rPr>
        <w:t>.</w:t>
      </w:r>
      <w:r>
        <w:rPr>
          <w:snapToGrid w:val="0"/>
        </w:rPr>
        <w:tab/>
        <w:t>All writs to be in name of Chief Justice or Senior Puisne Judge</w:t>
      </w:r>
      <w:bookmarkEnd w:id="108"/>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spacing w:before="180"/>
        <w:rPr>
          <w:snapToGrid w:val="0"/>
        </w:rPr>
      </w:pPr>
      <w:bookmarkStart w:id="109" w:name="_Toc129077407"/>
      <w:r>
        <w:rPr>
          <w:rStyle w:val="CharSectno"/>
        </w:rPr>
        <w:t>11</w:t>
      </w:r>
      <w:r>
        <w:rPr>
          <w:snapToGrid w:val="0"/>
        </w:rPr>
        <w:t>.</w:t>
      </w:r>
      <w:r>
        <w:rPr>
          <w:snapToGrid w:val="0"/>
        </w:rPr>
        <w:tab/>
        <w:t>Time for appearance to be stated in writ</w:t>
      </w:r>
      <w:bookmarkEnd w:id="109"/>
    </w:p>
    <w:p>
      <w:pPr>
        <w:pStyle w:val="Subsection"/>
        <w:spacing w:after="20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In the State of Western Australia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pPr>
            <w:r>
              <w:tab/>
              <w:t>Less than 300 km from Perth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300 km but less than 600 km from Perth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Australia </w:t>
            </w:r>
          </w:p>
        </w:tc>
        <w:tc>
          <w:tcPr>
            <w:tcW w:w="1688" w:type="dxa"/>
            <w:tcBorders>
              <w:left w:val="single" w:sz="4" w:space="0" w:color="auto"/>
            </w:tcBorders>
          </w:tcPr>
          <w:p>
            <w:pPr>
              <w:pStyle w:val="TableNAm"/>
              <w:ind w:right="-133"/>
            </w:pPr>
            <w:r>
              <w:t>See subrule (2).</w:t>
            </w:r>
          </w:p>
        </w:tc>
      </w:tr>
      <w:tr>
        <w:tc>
          <w:tcPr>
            <w:tcW w:w="4549" w:type="dxa"/>
            <w:tcBorders>
              <w:bottom w:val="single" w:sz="4" w:space="0" w:color="auto"/>
            </w:tcBorders>
          </w:tcPr>
          <w:p>
            <w:pPr>
              <w:pStyle w:val="TableNAm"/>
              <w:ind w:left="568" w:hanging="568"/>
            </w:pPr>
            <w:r>
              <w:lastRenderedPageBreak/>
              <w:t>(3)</w:t>
            </w:r>
            <w:r>
              <w:tab/>
              <w:t>Outside Australia ................................</w:t>
            </w:r>
          </w:p>
        </w:tc>
        <w:tc>
          <w:tcPr>
            <w:tcW w:w="1688" w:type="dxa"/>
            <w:tcBorders>
              <w:left w:val="single" w:sz="4" w:space="0" w:color="auto"/>
              <w:bottom w:val="single" w:sz="4" w:space="0" w:color="auto"/>
            </w:tcBorders>
          </w:tcPr>
          <w:p>
            <w:pPr>
              <w:pStyle w:val="TableNAm"/>
              <w:ind w:right="-133"/>
            </w:pPr>
            <w:r>
              <w:t>See subrule (3).</w:t>
            </w:r>
          </w:p>
        </w:tc>
      </w:tr>
    </w:tbl>
    <w:p>
      <w:pPr>
        <w:pStyle w:val="Subsection"/>
      </w:pPr>
      <w:r>
        <w:tab/>
        <w:t>(2)</w:t>
      </w:r>
      <w:r>
        <w:tab/>
        <w:t xml:space="preserve">In respect of a writ to be served outside the State but within Australia, the time must accord with the </w:t>
      </w:r>
      <w:r>
        <w:rPr>
          <w:i/>
          <w:iCs/>
        </w:rPr>
        <w:t>Service and Execution of Process Act 1992</w:t>
      </w:r>
      <w:r>
        <w:t xml:space="preserve"> (Commonwealth).</w:t>
      </w:r>
    </w:p>
    <w:p>
      <w:pPr>
        <w:pStyle w:val="Subsection"/>
      </w:pPr>
      <w:r>
        <w:tab/>
        <w:t>(3)</w:t>
      </w:r>
      <w:r>
        <w:tab/>
        <w:t>In respect of a writ to be served outside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Gazette 7 Dec 1973 p. 4488; 14 Dec 1979 p. 3869; 3 Jul 2009 p. 2683; 12 Jun 2012 p. 2453.] </w:t>
      </w:r>
    </w:p>
    <w:p>
      <w:pPr>
        <w:pStyle w:val="Heading2"/>
        <w:rPr>
          <w:b w:val="0"/>
        </w:rPr>
      </w:pPr>
      <w:bookmarkStart w:id="110" w:name="_Toc129073336"/>
      <w:bookmarkStart w:id="111" w:name="_Toc129074619"/>
      <w:bookmarkStart w:id="112" w:name="_Toc129077408"/>
      <w:r>
        <w:rPr>
          <w:rStyle w:val="CharPartNo"/>
        </w:rPr>
        <w:lastRenderedPageBreak/>
        <w:t>Order 6</w:t>
      </w:r>
      <w:r>
        <w:t> — </w:t>
      </w:r>
      <w:r>
        <w:rPr>
          <w:rStyle w:val="CharPartText"/>
        </w:rPr>
        <w:t>Indorsement of claim: other indorsements</w:t>
      </w:r>
      <w:bookmarkEnd w:id="110"/>
      <w:bookmarkEnd w:id="111"/>
      <w:bookmarkEnd w:id="112"/>
    </w:p>
    <w:p>
      <w:pPr>
        <w:pStyle w:val="Heading5"/>
        <w:rPr>
          <w:snapToGrid w:val="0"/>
        </w:rPr>
      </w:pPr>
      <w:bookmarkStart w:id="113" w:name="_Toc129077409"/>
      <w:r>
        <w:rPr>
          <w:rStyle w:val="CharSectno"/>
        </w:rPr>
        <w:t>1</w:t>
      </w:r>
      <w:r>
        <w:rPr>
          <w:snapToGrid w:val="0"/>
        </w:rPr>
        <w:t>.</w:t>
      </w:r>
      <w:r>
        <w:rPr>
          <w:snapToGrid w:val="0"/>
        </w:rPr>
        <w:tab/>
        <w:t>Nature of claim etc. to be indorsed on writ</w:t>
      </w:r>
      <w:bookmarkEnd w:id="113"/>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Gazette 28 Jun 2011 p. 2552.]</w:t>
      </w:r>
    </w:p>
    <w:p>
      <w:pPr>
        <w:pStyle w:val="Heading5"/>
        <w:rPr>
          <w:snapToGrid w:val="0"/>
        </w:rPr>
      </w:pPr>
      <w:bookmarkStart w:id="114" w:name="_Toc129077410"/>
      <w:r>
        <w:rPr>
          <w:rStyle w:val="CharSectno"/>
        </w:rPr>
        <w:t>2</w:t>
      </w:r>
      <w:r>
        <w:rPr>
          <w:snapToGrid w:val="0"/>
        </w:rPr>
        <w:t>.</w:t>
      </w:r>
      <w:r>
        <w:rPr>
          <w:snapToGrid w:val="0"/>
        </w:rPr>
        <w:tab/>
        <w:t>Action for defamation by publication</w:t>
      </w:r>
      <w:bookmarkEnd w:id="114"/>
    </w:p>
    <w:p>
      <w:pPr>
        <w:pStyle w:val="Subsection"/>
      </w:pPr>
      <w:r>
        <w:tab/>
      </w:r>
      <w:r>
        <w:tab/>
        <w:t>In actions for defamation by publication the indorsement must state sufficient particulars to enable the publications in respect of which the action is brought to be identified.</w:t>
      </w:r>
    </w:p>
    <w:p>
      <w:pPr>
        <w:pStyle w:val="Footnotesection"/>
      </w:pPr>
      <w:r>
        <w:tab/>
        <w:t>[Rule 2 amended: Gazette 16 Aug 2017 p. 4409.]</w:t>
      </w:r>
    </w:p>
    <w:p>
      <w:pPr>
        <w:pStyle w:val="Heading5"/>
        <w:rPr>
          <w:snapToGrid w:val="0"/>
        </w:rPr>
      </w:pPr>
      <w:bookmarkStart w:id="115" w:name="_Toc129077411"/>
      <w:r>
        <w:rPr>
          <w:rStyle w:val="CharSectno"/>
        </w:rPr>
        <w:t>3</w:t>
      </w:r>
      <w:r>
        <w:rPr>
          <w:snapToGrid w:val="0"/>
        </w:rPr>
        <w:t>.</w:t>
      </w:r>
      <w:r>
        <w:rPr>
          <w:snapToGrid w:val="0"/>
        </w:rPr>
        <w:tab/>
        <w:t>Statement of claim may be indorsed on writ in some actions</w:t>
      </w:r>
      <w:bookmarkEnd w:id="115"/>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defamation, malicious prosecution, false imprisonment, seduction or breach of promise of marriage,</w:t>
      </w:r>
    </w:p>
    <w:p>
      <w:pPr>
        <w:pStyle w:val="Subsection"/>
      </w:pPr>
      <w:r>
        <w:tab/>
      </w:r>
      <w:r>
        <w:tab/>
        <w:t>a statement of claim may, at the option of the plaintiff, be indorsed on the writ.</w:t>
      </w:r>
    </w:p>
    <w:p>
      <w:pPr>
        <w:pStyle w:val="Footnotesection"/>
      </w:pPr>
      <w:r>
        <w:tab/>
        <w:t>[Rule 3 amended: Gazette 16 Aug 2017 p. 4410.]</w:t>
      </w:r>
    </w:p>
    <w:p>
      <w:pPr>
        <w:pStyle w:val="Heading5"/>
        <w:rPr>
          <w:snapToGrid w:val="0"/>
        </w:rPr>
      </w:pPr>
      <w:bookmarkStart w:id="116" w:name="_Toc129077412"/>
      <w:r>
        <w:rPr>
          <w:rStyle w:val="CharSectno"/>
        </w:rPr>
        <w:t>4</w:t>
      </w:r>
      <w:r>
        <w:rPr>
          <w:snapToGrid w:val="0"/>
        </w:rPr>
        <w:t>.</w:t>
      </w:r>
      <w:r>
        <w:rPr>
          <w:snapToGrid w:val="0"/>
        </w:rPr>
        <w:tab/>
        <w:t>Claim for liquidated demand, indorsements required for, costs etc.</w:t>
      </w:r>
      <w:bookmarkEnd w:id="116"/>
    </w:p>
    <w:p>
      <w:pPr>
        <w:pStyle w:val="Subsection"/>
      </w:pPr>
      <w:r>
        <w:tab/>
      </w:r>
      <w:r>
        <w:tab/>
        <w:t xml:space="preserve">Where the plaintiff’s claim is for a debt or liquidated demand only, the writ before it is issued must be indorsed with a </w:t>
      </w:r>
      <w:r>
        <w:lastRenderedPageBreak/>
        <w:t>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17" w:name="_Toc129077413"/>
      <w:r>
        <w:rPr>
          <w:rStyle w:val="CharSectno"/>
        </w:rPr>
        <w:t>5</w:t>
      </w:r>
      <w:r>
        <w:rPr>
          <w:snapToGrid w:val="0"/>
        </w:rPr>
        <w:t>.</w:t>
      </w:r>
      <w:r>
        <w:rPr>
          <w:snapToGrid w:val="0"/>
        </w:rPr>
        <w:tab/>
        <w:t>Representative character</w:t>
      </w:r>
      <w:bookmarkEnd w:id="117"/>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18" w:name="_Toc129077414"/>
      <w:r>
        <w:rPr>
          <w:rStyle w:val="CharSectno"/>
        </w:rPr>
        <w:t>6</w:t>
      </w:r>
      <w:r>
        <w:rPr>
          <w:snapToGrid w:val="0"/>
        </w:rPr>
        <w:t>.</w:t>
      </w:r>
      <w:r>
        <w:rPr>
          <w:snapToGrid w:val="0"/>
        </w:rPr>
        <w:tab/>
        <w:t>Claim for account</w:t>
      </w:r>
      <w:bookmarkEnd w:id="118"/>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19" w:name="_Toc129077415"/>
      <w:r>
        <w:rPr>
          <w:rStyle w:val="CharSectno"/>
        </w:rPr>
        <w:t>7</w:t>
      </w:r>
      <w:r>
        <w:t>.</w:t>
      </w:r>
      <w:r>
        <w:tab/>
        <w:t>Writ etc. to state contact details</w:t>
      </w:r>
      <w:bookmarkEnd w:id="119"/>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Gazette 21 Feb 2007 p. 534.]</w:t>
      </w:r>
    </w:p>
    <w:p>
      <w:pPr>
        <w:pStyle w:val="Ednotesection"/>
      </w:pPr>
      <w:r>
        <w:t>[</w:t>
      </w:r>
      <w:r>
        <w:rPr>
          <w:b/>
        </w:rPr>
        <w:t>8</w:t>
      </w:r>
      <w:r>
        <w:rPr>
          <w:b/>
        </w:rPr>
        <w:noBreakHyphen/>
        <w:t>11.</w:t>
      </w:r>
      <w:r>
        <w:tab/>
        <w:t>Deleted: Gazette 21 Feb 2007 p. 534.]</w:t>
      </w:r>
    </w:p>
    <w:p>
      <w:pPr>
        <w:pStyle w:val="Heading2"/>
        <w:rPr>
          <w:b w:val="0"/>
        </w:rPr>
      </w:pPr>
      <w:bookmarkStart w:id="120" w:name="_Toc129073344"/>
      <w:bookmarkStart w:id="121" w:name="_Toc129074627"/>
      <w:bookmarkStart w:id="122" w:name="_Toc129077416"/>
      <w:r>
        <w:rPr>
          <w:rStyle w:val="CharPartNo"/>
        </w:rPr>
        <w:lastRenderedPageBreak/>
        <w:t>Order 7</w:t>
      </w:r>
      <w:r>
        <w:t> — </w:t>
      </w:r>
      <w:r>
        <w:rPr>
          <w:rStyle w:val="CharPartText"/>
        </w:rPr>
        <w:t>Duration and renewal of writ: concurrent writs</w:t>
      </w:r>
      <w:bookmarkEnd w:id="120"/>
      <w:bookmarkEnd w:id="121"/>
      <w:bookmarkEnd w:id="122"/>
    </w:p>
    <w:p>
      <w:pPr>
        <w:pStyle w:val="Heading5"/>
        <w:rPr>
          <w:snapToGrid w:val="0"/>
        </w:rPr>
      </w:pPr>
      <w:bookmarkStart w:id="123" w:name="_Toc129077417"/>
      <w:r>
        <w:rPr>
          <w:rStyle w:val="CharSectno"/>
        </w:rPr>
        <w:t>1</w:t>
      </w:r>
      <w:r>
        <w:rPr>
          <w:snapToGrid w:val="0"/>
        </w:rPr>
        <w:t>.</w:t>
      </w:r>
      <w:r>
        <w:rPr>
          <w:snapToGrid w:val="0"/>
        </w:rPr>
        <w:tab/>
        <w:t>Duration and renewal of writ</w:t>
      </w:r>
      <w:bookmarkEnd w:id="123"/>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24" w:name="_Toc129077418"/>
      <w:r>
        <w:rPr>
          <w:rStyle w:val="CharSectno"/>
        </w:rPr>
        <w:t>2</w:t>
      </w:r>
      <w:r>
        <w:rPr>
          <w:snapToGrid w:val="0"/>
        </w:rPr>
        <w:t>.</w:t>
      </w:r>
      <w:r>
        <w:rPr>
          <w:snapToGrid w:val="0"/>
        </w:rPr>
        <w:tab/>
        <w:t>Proof of extension of validity of writ</w:t>
      </w:r>
      <w:bookmarkEnd w:id="124"/>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25" w:name="_Toc129077419"/>
      <w:r>
        <w:rPr>
          <w:rStyle w:val="CharSectno"/>
        </w:rPr>
        <w:lastRenderedPageBreak/>
        <w:t>3</w:t>
      </w:r>
      <w:r>
        <w:rPr>
          <w:snapToGrid w:val="0"/>
        </w:rPr>
        <w:t>.</w:t>
      </w:r>
      <w:r>
        <w:rPr>
          <w:snapToGrid w:val="0"/>
        </w:rPr>
        <w:tab/>
        <w:t>Concurrent writs</w:t>
      </w:r>
      <w:bookmarkEnd w:id="125"/>
    </w:p>
    <w:p>
      <w:pPr>
        <w:pStyle w:val="Subsection"/>
        <w:spacing w:before="180"/>
      </w:pPr>
      <w:r>
        <w:tab/>
        <w:t>(1)</w:t>
      </w:r>
      <w:r>
        <w:tab/>
        <w:t>One or more concurrent writs may, at the request of the plaintiff, be issued at the time when the original writ is issued or at any time thereafter before the original writ ceases to be valid.</w:t>
      </w:r>
    </w:p>
    <w:p>
      <w:pPr>
        <w:pStyle w:val="Subsection"/>
        <w:spacing w:before="180"/>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spacing w:before="180"/>
      </w:pPr>
      <w:r>
        <w:tab/>
        <w:t>(3)</w:t>
      </w:r>
      <w:r>
        <w:tab/>
        <w:t>Without affecting the generality of subrule (1) —</w:t>
      </w:r>
    </w:p>
    <w:p>
      <w:pPr>
        <w:pStyle w:val="Indenta"/>
      </w:pPr>
      <w:r>
        <w:tab/>
        <w:t>(a)</w:t>
      </w:r>
      <w:r>
        <w:tab/>
        <w:t>a writ to be served within the jurisdiction may be issued as a concurrent writ with one to be served out of the jurisdiction; and</w:t>
      </w:r>
    </w:p>
    <w:p>
      <w:pPr>
        <w:pStyle w:val="Indenta"/>
      </w:pPr>
      <w:r>
        <w:tab/>
        <w:t>(b)</w:t>
      </w:r>
      <w:r>
        <w:tab/>
        <w:t>a writ to be served out of the jurisdiction may be issued as a concurrent writ with one to be served within the jurisdiction.</w:t>
      </w:r>
    </w:p>
    <w:p>
      <w:pPr>
        <w:pStyle w:val="Subsection"/>
        <w:spacing w:before="180"/>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Subsection"/>
      </w:pPr>
      <w:r>
        <w:tab/>
        <w:t>(5)</w:t>
      </w:r>
      <w:r>
        <w:tab/>
        <w:t xml:space="preserve">Subrule (6) applies if — </w:t>
      </w:r>
    </w:p>
    <w:p>
      <w:pPr>
        <w:pStyle w:val="Indenta"/>
      </w:pPr>
      <w:r>
        <w:tab/>
        <w:t>(a)</w:t>
      </w:r>
      <w:r>
        <w:tab/>
        <w:t>an original writ is sealed and issued to the plaintiff by means of the ECMS; or</w:t>
      </w:r>
    </w:p>
    <w:p>
      <w:pPr>
        <w:pStyle w:val="Indenta"/>
      </w:pPr>
      <w:r>
        <w:tab/>
        <w:t>(b)</w:t>
      </w:r>
      <w:r>
        <w:tab/>
        <w:t>the plaintiff has lawful access to an original writ in the ECMS.</w:t>
      </w:r>
    </w:p>
    <w:p>
      <w:pPr>
        <w:pStyle w:val="Subsection"/>
      </w:pPr>
      <w:r>
        <w:tab/>
        <w:t>(6)</w:t>
      </w:r>
      <w:r>
        <w:tab/>
        <w:t xml:space="preserve">If this subrule applies — </w:t>
      </w:r>
    </w:p>
    <w:p>
      <w:pPr>
        <w:pStyle w:val="Indenta"/>
      </w:pPr>
      <w:r>
        <w:tab/>
        <w:t>(a)</w:t>
      </w:r>
      <w:r>
        <w:tab/>
        <w:t>the plaintiff may print from the ECMS 1 or more copies of the original writ; and</w:t>
      </w:r>
    </w:p>
    <w:p>
      <w:pPr>
        <w:pStyle w:val="Indenta"/>
      </w:pPr>
      <w:r>
        <w:tab/>
        <w:t>(b)</w:t>
      </w:r>
      <w:r>
        <w:tab/>
        <w:t>a printed copy may be treated as a concurrent writ despite subrule (2) not having been complied with.</w:t>
      </w:r>
    </w:p>
    <w:p>
      <w:pPr>
        <w:pStyle w:val="Footnotesection"/>
      </w:pPr>
      <w:r>
        <w:tab/>
        <w:t>[Rule 3 amended: Gazette 28 Jun 2011 p. 2552; 12 Jun 2012 p. 2447; 27 Feb 2018 p. 555; 31 Dec 2019 p 4677.]</w:t>
      </w:r>
    </w:p>
    <w:p>
      <w:pPr>
        <w:pStyle w:val="Heading5"/>
        <w:rPr>
          <w:snapToGrid w:val="0"/>
        </w:rPr>
      </w:pPr>
      <w:bookmarkStart w:id="126" w:name="_Toc129077420"/>
      <w:r>
        <w:rPr>
          <w:rStyle w:val="CharSectno"/>
        </w:rPr>
        <w:lastRenderedPageBreak/>
        <w:t>4</w:t>
      </w:r>
      <w:r>
        <w:rPr>
          <w:snapToGrid w:val="0"/>
        </w:rPr>
        <w:t>.</w:t>
      </w:r>
      <w:r>
        <w:rPr>
          <w:snapToGrid w:val="0"/>
        </w:rPr>
        <w:tab/>
        <w:t>Unserved writs may be struck out</w:t>
      </w:r>
      <w:bookmarkEnd w:id="126"/>
      <w:r>
        <w:rPr>
          <w:snapToGrid w:val="0"/>
        </w:rPr>
        <w:t xml:space="preserve"> </w:t>
      </w:r>
    </w:p>
    <w:p>
      <w:pPr>
        <w:pStyle w:val="Subsection"/>
        <w:spacing w:before="180"/>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spacing w:before="180"/>
        <w:rPr>
          <w:snapToGrid w:val="0"/>
        </w:rPr>
      </w:pPr>
      <w:r>
        <w:rPr>
          <w:snapToGrid w:val="0"/>
        </w:rPr>
        <w:tab/>
      </w:r>
      <w:r>
        <w:rPr>
          <w:snapToGrid w:val="0"/>
        </w:rPr>
        <w:tab/>
        <w:t xml:space="preserve">the Court </w:t>
      </w:r>
      <w:r>
        <w:t>may, by notice, direct that a hearing be held, at least 7 days after the direction is made, where the plaintiff must show cause why the writ should not be struck out.</w:t>
      </w:r>
    </w:p>
    <w:p>
      <w:pPr>
        <w:pStyle w:val="Subsection"/>
        <w:keepNext/>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Gazette 28 Oct 1996 p. 5674</w:t>
      </w:r>
      <w:r>
        <w:noBreakHyphen/>
        <w:t xml:space="preserve">5; amended: Gazette 16 Aug 2017 p. 4410.] </w:t>
      </w:r>
    </w:p>
    <w:p>
      <w:pPr>
        <w:pStyle w:val="Heading2"/>
        <w:spacing w:before="240"/>
        <w:rPr>
          <w:b w:val="0"/>
        </w:rPr>
      </w:pPr>
      <w:bookmarkStart w:id="127" w:name="_Toc129073349"/>
      <w:bookmarkStart w:id="128" w:name="_Toc129074632"/>
      <w:bookmarkStart w:id="129" w:name="_Toc129077421"/>
      <w:r>
        <w:rPr>
          <w:rStyle w:val="CharPartNo"/>
        </w:rPr>
        <w:lastRenderedPageBreak/>
        <w:t>Order 8</w:t>
      </w:r>
      <w:r>
        <w:t> — </w:t>
      </w:r>
      <w:r>
        <w:rPr>
          <w:rStyle w:val="CharPartText"/>
        </w:rPr>
        <w:t>Disclosure by solicitors: change of solicitors</w:t>
      </w:r>
      <w:bookmarkEnd w:id="127"/>
      <w:bookmarkEnd w:id="128"/>
      <w:bookmarkEnd w:id="129"/>
    </w:p>
    <w:p>
      <w:pPr>
        <w:pStyle w:val="Heading5"/>
        <w:rPr>
          <w:snapToGrid w:val="0"/>
        </w:rPr>
      </w:pPr>
      <w:bookmarkStart w:id="130" w:name="_Toc129077422"/>
      <w:r>
        <w:rPr>
          <w:rStyle w:val="CharSectno"/>
        </w:rPr>
        <w:t>1</w:t>
      </w:r>
      <w:r>
        <w:rPr>
          <w:snapToGrid w:val="0"/>
        </w:rPr>
        <w:t>.</w:t>
      </w:r>
      <w:r>
        <w:rPr>
          <w:snapToGrid w:val="0"/>
        </w:rPr>
        <w:tab/>
        <w:t>Solicitor to declare, if required to, whether writ issued by him</w:t>
      </w:r>
      <w:bookmarkEnd w:id="130"/>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31" w:name="_Toc129077423"/>
      <w:r>
        <w:rPr>
          <w:rStyle w:val="CharSectno"/>
        </w:rPr>
        <w:t>2</w:t>
      </w:r>
      <w:r>
        <w:rPr>
          <w:snapToGrid w:val="0"/>
        </w:rPr>
        <w:t>.</w:t>
      </w:r>
      <w:r>
        <w:rPr>
          <w:snapToGrid w:val="0"/>
        </w:rPr>
        <w:tab/>
        <w:t>Change of solicitor</w:t>
      </w:r>
      <w:bookmarkEnd w:id="131"/>
    </w:p>
    <w:p>
      <w:pPr>
        <w:pStyle w:val="Subsection"/>
        <w:rPr>
          <w:snapToGrid w:val="0"/>
        </w:rPr>
      </w:pPr>
      <w:r>
        <w:rPr>
          <w:snapToGrid w:val="0"/>
        </w:rPr>
        <w:tab/>
        <w:t>(1)</w:t>
      </w:r>
      <w:r>
        <w:rPr>
          <w:snapToGrid w:val="0"/>
        </w:rPr>
        <w:tab/>
        <w:t xml:space="preserve">A party suing or defending by a solicitor may change his solicitor without an order for that purpose, upon notice of such change being </w:t>
      </w:r>
      <w:r>
        <w:t xml:space="preserve">filed, </w:t>
      </w:r>
      <w:r>
        <w:rPr>
          <w:snapToGrid w:val="0"/>
        </w:rPr>
        <w:t>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Footnotesection"/>
      </w:pPr>
      <w:r>
        <w:tab/>
        <w:t>[Rule 2 amended: Gazette 27 Feb 2018 p. 555.]</w:t>
      </w:r>
    </w:p>
    <w:p>
      <w:pPr>
        <w:pStyle w:val="Ednotesection"/>
      </w:pPr>
      <w:r>
        <w:lastRenderedPageBreak/>
        <w:t>[</w:t>
      </w:r>
      <w:r>
        <w:rPr>
          <w:b/>
        </w:rPr>
        <w:t>3.</w:t>
      </w:r>
      <w:r>
        <w:tab/>
        <w:t>Deleted: Gazette 27 Feb 2018 p. 555.]</w:t>
      </w:r>
    </w:p>
    <w:p>
      <w:pPr>
        <w:pStyle w:val="Heading5"/>
        <w:rPr>
          <w:snapToGrid w:val="0"/>
        </w:rPr>
      </w:pPr>
      <w:bookmarkStart w:id="132" w:name="_Toc129077424"/>
      <w:r>
        <w:rPr>
          <w:rStyle w:val="CharSectno"/>
        </w:rPr>
        <w:t>4</w:t>
      </w:r>
      <w:r>
        <w:rPr>
          <w:snapToGrid w:val="0"/>
        </w:rPr>
        <w:t>.</w:t>
      </w:r>
      <w:r>
        <w:rPr>
          <w:snapToGrid w:val="0"/>
        </w:rPr>
        <w:tab/>
        <w:t>Appointment of solicitor by self-represented person</w:t>
      </w:r>
      <w:bookmarkEnd w:id="132"/>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a notice of appointment of a solicitor and rule 2(2) shall with the necessary modifications, apply in relation to a notice of appointment of a solicitor as it applies in relation to a notice of change of solicitor.</w:t>
      </w:r>
    </w:p>
    <w:p>
      <w:pPr>
        <w:pStyle w:val="Footnotesection"/>
      </w:pPr>
      <w:r>
        <w:tab/>
        <w:t>[Rule 4 amended: Gazette 27 Feb 2018 p. 555.]</w:t>
      </w:r>
    </w:p>
    <w:p>
      <w:pPr>
        <w:pStyle w:val="Heading5"/>
        <w:rPr>
          <w:snapToGrid w:val="0"/>
        </w:rPr>
      </w:pPr>
      <w:bookmarkStart w:id="133" w:name="_Toc129077425"/>
      <w:r>
        <w:rPr>
          <w:rStyle w:val="CharSectno"/>
        </w:rPr>
        <w:t>5</w:t>
      </w:r>
      <w:r>
        <w:rPr>
          <w:snapToGrid w:val="0"/>
        </w:rPr>
        <w:t>.</w:t>
      </w:r>
      <w:r>
        <w:rPr>
          <w:snapToGrid w:val="0"/>
        </w:rPr>
        <w:tab/>
        <w:t>Intention to act in person, notice of</w:t>
      </w:r>
      <w:bookmarkEnd w:id="133"/>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Gazette 21 Feb 2007 p. 534.]</w:t>
      </w:r>
    </w:p>
    <w:p>
      <w:pPr>
        <w:pStyle w:val="Heading5"/>
      </w:pPr>
      <w:bookmarkStart w:id="134" w:name="_Toc129077426"/>
      <w:r>
        <w:rPr>
          <w:rStyle w:val="CharSectno"/>
        </w:rPr>
        <w:t>5A</w:t>
      </w:r>
      <w:r>
        <w:t>.</w:t>
      </w:r>
      <w:r>
        <w:tab/>
        <w:t>Form and content of notices</w:t>
      </w:r>
      <w:bookmarkEnd w:id="134"/>
    </w:p>
    <w:p>
      <w:pPr>
        <w:pStyle w:val="Subsection"/>
      </w:pPr>
      <w:r>
        <w:tab/>
      </w:r>
      <w:r>
        <w:tab/>
        <w:t xml:space="preserve">A notice filed under rule 2, 3, 4 or 5 — </w:t>
      </w:r>
    </w:p>
    <w:p>
      <w:pPr>
        <w:pStyle w:val="Indenta"/>
      </w:pPr>
      <w:r>
        <w:tab/>
        <w:t>(a)</w:t>
      </w:r>
      <w:r>
        <w:tab/>
        <w:t>must be in Form 5AA; and</w:t>
      </w:r>
    </w:p>
    <w:p>
      <w:pPr>
        <w:pStyle w:val="Indenta"/>
      </w:pPr>
      <w:r>
        <w:tab/>
        <w:t>(b)</w:t>
      </w:r>
      <w:r>
        <w:tab/>
        <w:t xml:space="preserve">must state, in accordance with Order 71A — </w:t>
      </w:r>
    </w:p>
    <w:p>
      <w:pPr>
        <w:pStyle w:val="Indenti"/>
      </w:pPr>
      <w:r>
        <w:tab/>
        <w:t>(i)</w:t>
      </w:r>
      <w:r>
        <w:tab/>
        <w:t>the party’s geographical address; and</w:t>
      </w:r>
    </w:p>
    <w:p>
      <w:pPr>
        <w:pStyle w:val="Indenti"/>
      </w:pPr>
      <w:r>
        <w:tab/>
        <w:t>(ii)</w:t>
      </w:r>
      <w:r>
        <w:tab/>
        <w:t>the party’s service details.</w:t>
      </w:r>
    </w:p>
    <w:p>
      <w:pPr>
        <w:pStyle w:val="Footnotesection"/>
        <w:ind w:left="890" w:hanging="890"/>
      </w:pPr>
      <w:r>
        <w:tab/>
        <w:t>[Rule 5A inserted: Gazette 13 Nov 2015 p. 4645.]</w:t>
      </w:r>
    </w:p>
    <w:p>
      <w:pPr>
        <w:pStyle w:val="Heading5"/>
        <w:spacing w:before="240"/>
        <w:rPr>
          <w:snapToGrid w:val="0"/>
        </w:rPr>
      </w:pPr>
      <w:bookmarkStart w:id="135" w:name="_Toc129077427"/>
      <w:r>
        <w:rPr>
          <w:rStyle w:val="CharSectno"/>
        </w:rPr>
        <w:t>6</w:t>
      </w:r>
      <w:r>
        <w:rPr>
          <w:snapToGrid w:val="0"/>
        </w:rPr>
        <w:t>.</w:t>
      </w:r>
      <w:r>
        <w:rPr>
          <w:snapToGrid w:val="0"/>
        </w:rPr>
        <w:tab/>
        <w:t>Removal of solicitor from record</w:t>
      </w:r>
      <w:bookmarkEnd w:id="135"/>
    </w:p>
    <w:p>
      <w:pPr>
        <w:pStyle w:val="Subsection"/>
        <w:spacing w:before="180"/>
        <w:rPr>
          <w:snapToGrid w:val="0"/>
        </w:rPr>
      </w:pPr>
      <w:r>
        <w:rPr>
          <w:snapToGrid w:val="0"/>
        </w:rPr>
        <w:tab/>
        <w:t>(1)</w:t>
      </w:r>
      <w:r>
        <w:rPr>
          <w:snapToGrid w:val="0"/>
        </w:rPr>
        <w:tab/>
        <w:t xml:space="preserve">Where a solicitor who has acted for a party in a cause or matter has died or become bankrupt, or cannot be found or has ceased to have the right of practising in the Court, or for any other </w:t>
      </w:r>
      <w:r>
        <w:rPr>
          <w:snapToGrid w:val="0"/>
        </w:rPr>
        <w:lastRenderedPageBreak/>
        <w:t>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a certificate signed by him or his solicitor that the order has been duly served as aforesaid.</w:t>
      </w:r>
    </w:p>
    <w:p>
      <w:pPr>
        <w:pStyle w:val="Footnotesection"/>
      </w:pPr>
      <w:r>
        <w:tab/>
        <w:t>[Rule 6 amended: Gazette 27 Feb 2018 p. 555.]</w:t>
      </w:r>
    </w:p>
    <w:p>
      <w:pPr>
        <w:pStyle w:val="Heading5"/>
        <w:spacing w:before="240"/>
        <w:rPr>
          <w:snapToGrid w:val="0"/>
        </w:rPr>
      </w:pPr>
      <w:bookmarkStart w:id="136" w:name="_Toc129077428"/>
      <w:r>
        <w:rPr>
          <w:rStyle w:val="CharSectno"/>
        </w:rPr>
        <w:t>7</w:t>
      </w:r>
      <w:r>
        <w:rPr>
          <w:snapToGrid w:val="0"/>
        </w:rPr>
        <w:t>.</w:t>
      </w:r>
      <w:r>
        <w:rPr>
          <w:snapToGrid w:val="0"/>
        </w:rPr>
        <w:tab/>
        <w:t>Withdrawal of solicitor who has ceased to act for party</w:t>
      </w:r>
      <w:bookmarkEnd w:id="136"/>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a certificate signed by him that the order has been duly served as aforesaid,</w:t>
      </w:r>
    </w:p>
    <w:p>
      <w:pPr>
        <w:pStyle w:val="Subsection"/>
        <w:spacing w:before="120"/>
        <w:rPr>
          <w:snapToGrid w:val="0"/>
        </w:rPr>
      </w:pPr>
      <w:r>
        <w:rPr>
          <w:snapToGrid w:val="0"/>
        </w:rPr>
        <w:lastRenderedPageBreak/>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spacing w:before="120"/>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spacing w:before="120"/>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spacing w:before="80"/>
        <w:ind w:left="890" w:hanging="890"/>
      </w:pPr>
      <w:r>
        <w:tab/>
        <w:t xml:space="preserve">[Rule 7 amended: Gazette 15 Jun 1973 p. 2247; 23 May 1975 p. 1404; 28 Jun 2011 p. 2552 and 2553; 27 Feb 2018 p. 555.] </w:t>
      </w:r>
    </w:p>
    <w:p>
      <w:pPr>
        <w:pStyle w:val="Heading5"/>
        <w:spacing w:before="180"/>
        <w:rPr>
          <w:snapToGrid w:val="0"/>
        </w:rPr>
      </w:pPr>
      <w:bookmarkStart w:id="137" w:name="_Toc129077429"/>
      <w:r>
        <w:rPr>
          <w:rStyle w:val="CharSectno"/>
        </w:rPr>
        <w:t>8</w:t>
      </w:r>
      <w:r>
        <w:rPr>
          <w:snapToGrid w:val="0"/>
        </w:rPr>
        <w:t>.</w:t>
      </w:r>
      <w:r>
        <w:rPr>
          <w:snapToGrid w:val="0"/>
        </w:rPr>
        <w:tab/>
        <w:t>Effect of order made under this Order</w:t>
      </w:r>
      <w:bookmarkEnd w:id="137"/>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38" w:name="_Toc129077430"/>
      <w:r>
        <w:rPr>
          <w:rStyle w:val="CharSectno"/>
        </w:rPr>
        <w:t>9</w:t>
      </w:r>
      <w:r>
        <w:t>.</w:t>
      </w:r>
      <w:r>
        <w:tab/>
        <w:t>Service details of party whose solicitor is removed</w:t>
      </w:r>
      <w:bookmarkEnd w:id="138"/>
    </w:p>
    <w:p>
      <w:pPr>
        <w:pStyle w:val="Subsection"/>
        <w:spacing w:before="120"/>
      </w:pPr>
      <w:r>
        <w:tab/>
      </w:r>
      <w:r>
        <w:tab/>
        <w:t xml:space="preserve">If — </w:t>
      </w:r>
    </w:p>
    <w:p>
      <w:pPr>
        <w:pStyle w:val="Indenta"/>
        <w:spacing w:before="60"/>
      </w:pPr>
      <w:r>
        <w:tab/>
        <w:t>(a)</w:t>
      </w:r>
      <w:r>
        <w:tab/>
        <w:t>an order is made under rule 6 in respect of the solicitor of a party; or</w:t>
      </w:r>
    </w:p>
    <w:p>
      <w:pPr>
        <w:pStyle w:val="Indenta"/>
        <w:keepLines/>
        <w:spacing w:before="60"/>
      </w:pPr>
      <w:r>
        <w:tab/>
        <w:t>(b)</w:t>
      </w:r>
      <w:r>
        <w:tab/>
        <w:t>an order is made under rule 7 in respect of the solicitor of a party, and the solicitor has complied with rule 7(1),</w:t>
      </w:r>
    </w:p>
    <w:p>
      <w:pPr>
        <w:pStyle w:val="Subsection"/>
        <w:keepLines/>
        <w:widowControl w:val="0"/>
        <w:spacing w:before="120"/>
      </w:pPr>
      <w:r>
        <w:tab/>
      </w:r>
      <w:r>
        <w:tab/>
        <w:t xml:space="preserve">the party’s service details are to be taken to be the party’s geographical address stated on the most recently filed document until — </w:t>
      </w:r>
    </w:p>
    <w:p>
      <w:pPr>
        <w:pStyle w:val="Indenta"/>
        <w:keepLines/>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Gazette 21 Feb 2007 p. 534</w:t>
      </w:r>
      <w:r>
        <w:noBreakHyphen/>
        <w:t>5.]</w:t>
      </w:r>
    </w:p>
    <w:p>
      <w:pPr>
        <w:pStyle w:val="Ednotesection"/>
      </w:pPr>
      <w:r>
        <w:t>[</w:t>
      </w:r>
      <w:r>
        <w:rPr>
          <w:b/>
        </w:rPr>
        <w:t>10.</w:t>
      </w:r>
      <w:r>
        <w:tab/>
        <w:t>Deleted: Gazette 21 Feb 2007 p. 534.]</w:t>
      </w:r>
    </w:p>
    <w:p>
      <w:pPr>
        <w:pStyle w:val="Heading5"/>
        <w:rPr>
          <w:snapToGrid w:val="0"/>
        </w:rPr>
      </w:pPr>
      <w:bookmarkStart w:id="139" w:name="_Toc129077431"/>
      <w:r>
        <w:rPr>
          <w:rStyle w:val="CharSectno"/>
        </w:rPr>
        <w:lastRenderedPageBreak/>
        <w:t>11</w:t>
      </w:r>
      <w:r>
        <w:rPr>
          <w:snapToGrid w:val="0"/>
        </w:rPr>
        <w:t>.</w:t>
      </w:r>
      <w:r>
        <w:rPr>
          <w:snapToGrid w:val="0"/>
        </w:rPr>
        <w:tab/>
        <w:t>Solicitor not to act for adverse parties</w:t>
      </w:r>
      <w:bookmarkEnd w:id="13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40" w:name="_Toc129077432"/>
      <w:r>
        <w:rPr>
          <w:rStyle w:val="CharSectno"/>
        </w:rPr>
        <w:t>12</w:t>
      </w:r>
      <w:r>
        <w:rPr>
          <w:snapToGrid w:val="0"/>
        </w:rPr>
        <w:t>.</w:t>
      </w:r>
      <w:r>
        <w:rPr>
          <w:snapToGrid w:val="0"/>
        </w:rPr>
        <w:tab/>
        <w:t>Legal practitioner or clerk not to be security</w:t>
      </w:r>
      <w:bookmarkEnd w:id="140"/>
    </w:p>
    <w:p>
      <w:pPr>
        <w:pStyle w:val="Subsection"/>
        <w:rPr>
          <w:snapToGrid w:val="0"/>
        </w:rPr>
      </w:pPr>
      <w:r>
        <w:rPr>
          <w:snapToGrid w:val="0"/>
        </w:rPr>
        <w:tab/>
      </w:r>
      <w:r>
        <w:rPr>
          <w:snapToGrid w:val="0"/>
        </w:rPr>
        <w:tab/>
        <w:t xml:space="preserve">No </w:t>
      </w:r>
      <w:r>
        <w:t>legal practitioner</w:t>
      </w:r>
      <w:r>
        <w:rPr>
          <w:snapToGrid w:val="0"/>
        </w:rPr>
        <w:t xml:space="preserve"> or articled or other clerk to a </w:t>
      </w:r>
      <w:r>
        <w:t>legal practitioner</w:t>
      </w:r>
      <w:r>
        <w:rPr>
          <w:snapToGrid w:val="0"/>
        </w:rPr>
        <w:t xml:space="preserve"> shall be security for any party in any court without the leave of a judge.</w:t>
      </w:r>
    </w:p>
    <w:p>
      <w:pPr>
        <w:pStyle w:val="Footnotesection"/>
      </w:pPr>
      <w:r>
        <w:tab/>
        <w:t>[Rule 12 amended: SL 2022/74 r. 15.]</w:t>
      </w:r>
    </w:p>
    <w:p>
      <w:pPr>
        <w:pStyle w:val="Heading2"/>
      </w:pPr>
      <w:bookmarkStart w:id="141" w:name="_Toc129073361"/>
      <w:bookmarkStart w:id="142" w:name="_Toc129074644"/>
      <w:bookmarkStart w:id="143" w:name="_Toc129077433"/>
      <w:r>
        <w:rPr>
          <w:rStyle w:val="CharPartNo"/>
        </w:rPr>
        <w:lastRenderedPageBreak/>
        <w:t>Order 9A</w:t>
      </w:r>
      <w:r>
        <w:rPr>
          <w:rStyle w:val="CharDivNo"/>
        </w:rPr>
        <w:t> </w:t>
      </w:r>
      <w:r>
        <w:t>—</w:t>
      </w:r>
      <w:r>
        <w:rPr>
          <w:rStyle w:val="CharDivText"/>
        </w:rPr>
        <w:t> </w:t>
      </w:r>
      <w:r>
        <w:rPr>
          <w:rStyle w:val="CharPartText"/>
        </w:rPr>
        <w:t>Interested non</w:t>
      </w:r>
      <w:r>
        <w:rPr>
          <w:rStyle w:val="CharPartText"/>
        </w:rPr>
        <w:noBreakHyphen/>
        <w:t>parties</w:t>
      </w:r>
      <w:bookmarkEnd w:id="141"/>
      <w:bookmarkEnd w:id="142"/>
      <w:bookmarkEnd w:id="143"/>
    </w:p>
    <w:p>
      <w:pPr>
        <w:pStyle w:val="Footnoteheading"/>
      </w:pPr>
      <w:r>
        <w:tab/>
        <w:t>[Heading inserted: Gazette 12 Jun 2012 p. 2447.]</w:t>
      </w:r>
    </w:p>
    <w:p>
      <w:pPr>
        <w:pStyle w:val="Heading5"/>
      </w:pPr>
      <w:bookmarkStart w:id="144" w:name="_Toc129077434"/>
      <w:r>
        <w:rPr>
          <w:rStyle w:val="CharSectno"/>
        </w:rPr>
        <w:t>1</w:t>
      </w:r>
      <w:r>
        <w:t>.</w:t>
      </w:r>
      <w:r>
        <w:tab/>
        <w:t>Term used: interested non</w:t>
      </w:r>
      <w:r>
        <w:noBreakHyphen/>
        <w:t>party</w:t>
      </w:r>
      <w:bookmarkEnd w:id="144"/>
    </w:p>
    <w:p>
      <w:pPr>
        <w:pStyle w:val="Subsection"/>
      </w:pPr>
      <w:r>
        <w:tab/>
      </w:r>
      <w:r>
        <w:tab/>
        <w:t xml:space="preserve">In this Order — </w:t>
      </w:r>
    </w:p>
    <w:p>
      <w:pPr>
        <w:pStyle w:val="Defstart"/>
      </w:pPr>
      <w:r>
        <w:tab/>
      </w:r>
      <w:r>
        <w:rPr>
          <w:rStyle w:val="CharDefText"/>
        </w:rPr>
        <w:t>interested non</w:t>
      </w:r>
      <w:r>
        <w:rPr>
          <w:rStyle w:val="CharDefText"/>
        </w:rPr>
        <w:noBreakHyphen/>
        <w:t>party</w:t>
      </w:r>
      <w:r>
        <w:t xml:space="preserve">, in relation to a party to a case, means a person, other than a legal practitioner for the party, who — </w:t>
      </w:r>
    </w:p>
    <w:p>
      <w:pPr>
        <w:pStyle w:val="Defpara"/>
      </w:pPr>
      <w:r>
        <w:tab/>
        <w:t>(a)</w:t>
      </w:r>
      <w:r>
        <w:tab/>
        <w:t>provides funding or other financial assistance to the party for the purposes of conducting the case; and</w:t>
      </w:r>
    </w:p>
    <w:p>
      <w:pPr>
        <w:pStyle w:val="Defpara"/>
      </w:pPr>
      <w:r>
        <w:tab/>
        <w:t>(b)</w:t>
      </w:r>
      <w:r>
        <w:tab/>
        <w:t>exercises direct or indirect control or influence over the way in which the party conducts the case.</w:t>
      </w:r>
    </w:p>
    <w:p>
      <w:pPr>
        <w:pStyle w:val="Footnotesection"/>
      </w:pPr>
      <w:r>
        <w:tab/>
        <w:t>[Rule 1 inserted: Gazette 12 Jun 2012 p. 2447; amended: SL 2022/74 r. 15.]</w:t>
      </w:r>
    </w:p>
    <w:p>
      <w:pPr>
        <w:pStyle w:val="Heading5"/>
      </w:pPr>
      <w:bookmarkStart w:id="145" w:name="_Toc129077435"/>
      <w:r>
        <w:rPr>
          <w:rStyle w:val="CharSectno"/>
        </w:rPr>
        <w:t>2</w:t>
      </w:r>
      <w:r>
        <w:t>.</w:t>
      </w:r>
      <w:r>
        <w:tab/>
        <w:t>Parties to advise identity of interested non</w:t>
      </w:r>
      <w:r>
        <w:noBreakHyphen/>
        <w:t>parties</w:t>
      </w:r>
      <w:bookmarkEnd w:id="145"/>
    </w:p>
    <w:p>
      <w:pPr>
        <w:pStyle w:val="Subsection"/>
      </w:pPr>
      <w:r>
        <w:tab/>
        <w:t>(1)</w:t>
      </w:r>
      <w:r>
        <w:tab/>
        <w:t>A party to a case must notify the Principal Registrar and each other party to the case of the identity of any person who is an interested non</w:t>
      </w:r>
      <w:r>
        <w:noBreakHyphen/>
        <w:t>party in relation to the party to the case.</w:t>
      </w:r>
    </w:p>
    <w:p>
      <w:pPr>
        <w:pStyle w:val="Subsection"/>
      </w:pPr>
      <w:r>
        <w:tab/>
        <w:t>(2)</w:t>
      </w:r>
      <w:r>
        <w:tab/>
        <w:t>The notice is to be given in writing as soon as is reasonably practicable after the person becomes an interested non</w:t>
      </w:r>
      <w:r>
        <w:noBreakHyphen/>
        <w:t>party in relation to the party to the case.</w:t>
      </w:r>
    </w:p>
    <w:p>
      <w:pPr>
        <w:pStyle w:val="Footnotesection"/>
      </w:pPr>
      <w:r>
        <w:tab/>
        <w:t>[Rule 2 inserted: Gazette 12 Jun 2012 p. 2447.]</w:t>
      </w:r>
    </w:p>
    <w:p>
      <w:pPr>
        <w:pStyle w:val="Heading5"/>
      </w:pPr>
      <w:bookmarkStart w:id="146" w:name="_Toc129077436"/>
      <w:r>
        <w:rPr>
          <w:rStyle w:val="CharSectno"/>
        </w:rPr>
        <w:t>3</w:t>
      </w:r>
      <w:r>
        <w:t>.</w:t>
      </w:r>
      <w:r>
        <w:tab/>
        <w:t>Duties of interested non</w:t>
      </w:r>
      <w:r>
        <w:noBreakHyphen/>
        <w:t>party</w:t>
      </w:r>
      <w:bookmarkEnd w:id="146"/>
    </w:p>
    <w:p>
      <w:pPr>
        <w:pStyle w:val="Subsection"/>
      </w:pPr>
      <w:r>
        <w:tab/>
      </w:r>
      <w:r>
        <w:tab/>
        <w:t>The duties to the Court of an interested non</w:t>
      </w:r>
      <w:r>
        <w:noBreakHyphen/>
        <w:t xml:space="preserve">party in relation to a party to a case are the following — </w:t>
      </w:r>
    </w:p>
    <w:p>
      <w:pPr>
        <w:pStyle w:val="Indenta"/>
      </w:pPr>
      <w:r>
        <w:tab/>
        <w:t>(a)</w:t>
      </w:r>
      <w:r>
        <w:tab/>
        <w:t>not to engage in conduct which is misleading or deceptive, or to aid, abet or induce such conduct, in connection with the conduct of the case;</w:t>
      </w:r>
    </w:p>
    <w:p>
      <w:pPr>
        <w:pStyle w:val="Indenta"/>
      </w:pPr>
      <w:r>
        <w:tab/>
        <w:t>(b)</w:t>
      </w:r>
      <w:r>
        <w:tab/>
        <w:t>to cooperate with the parties and the Court in connection with the conduct of the case;</w:t>
      </w:r>
    </w:p>
    <w:p>
      <w:pPr>
        <w:pStyle w:val="Indenta"/>
      </w:pPr>
      <w:r>
        <w:lastRenderedPageBreak/>
        <w:tab/>
        <w:t>(c)</w:t>
      </w:r>
      <w:r>
        <w:tab/>
        <w:t xml:space="preserve">to use reasonable endeavours to ensure that the goal in Order 1 rule 4A and the objects in Order 1 rule 4B are attained. </w:t>
      </w:r>
    </w:p>
    <w:p>
      <w:pPr>
        <w:pStyle w:val="Footnotesection"/>
      </w:pPr>
      <w:r>
        <w:tab/>
        <w:t>[Rule 3 inserted: Gazette 12 Jun 2012 p. 2447-8.]</w:t>
      </w:r>
    </w:p>
    <w:p>
      <w:pPr>
        <w:pStyle w:val="Heading2"/>
        <w:rPr>
          <w:b w:val="0"/>
        </w:rPr>
      </w:pPr>
      <w:bookmarkStart w:id="147" w:name="_Toc129073365"/>
      <w:bookmarkStart w:id="148" w:name="_Toc129074648"/>
      <w:bookmarkStart w:id="149" w:name="_Toc129077437"/>
      <w:r>
        <w:rPr>
          <w:rStyle w:val="CharPartNo"/>
        </w:rPr>
        <w:lastRenderedPageBreak/>
        <w:t>Order 9</w:t>
      </w:r>
      <w:r>
        <w:t> — </w:t>
      </w:r>
      <w:r>
        <w:rPr>
          <w:rStyle w:val="CharPartText"/>
        </w:rPr>
        <w:t>Service of originating process: general provisions</w:t>
      </w:r>
      <w:bookmarkEnd w:id="147"/>
      <w:bookmarkEnd w:id="148"/>
      <w:bookmarkEnd w:id="149"/>
    </w:p>
    <w:p>
      <w:pPr>
        <w:pStyle w:val="Heading5"/>
        <w:rPr>
          <w:snapToGrid w:val="0"/>
        </w:rPr>
      </w:pPr>
      <w:bookmarkStart w:id="150" w:name="_Toc129077438"/>
      <w:r>
        <w:rPr>
          <w:rStyle w:val="CharSectno"/>
        </w:rPr>
        <w:t>1</w:t>
      </w:r>
      <w:r>
        <w:rPr>
          <w:snapToGrid w:val="0"/>
        </w:rPr>
        <w:t>.</w:t>
      </w:r>
      <w:r>
        <w:rPr>
          <w:snapToGrid w:val="0"/>
        </w:rPr>
        <w:tab/>
        <w:t>Service of writ, general provisions</w:t>
      </w:r>
      <w:bookmarkEnd w:id="150"/>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pPr>
      <w:r>
        <w:tab/>
        <w:t>(4)</w:t>
      </w:r>
      <w:r>
        <w:tab/>
        <w:t xml:space="preserve">Where a writ is served on a defendant otherwise than by virtue of subrule (2) or (3), then subject to Order 10 rule 9(9), the plaintiff in the action begun by the writ is not entitled to enter judgment against the defendant in default of appearance or in default of defence unless, within 3 days after service, the person serving it indorses on the sealed copy of the writ the following particulars — </w:t>
      </w:r>
    </w:p>
    <w:p>
      <w:pPr>
        <w:pStyle w:val="Indenta"/>
      </w:pPr>
      <w:r>
        <w:tab/>
        <w:t>(a)</w:t>
      </w:r>
      <w:r>
        <w:tab/>
        <w:t>the day of the week and date on which it was served;</w:t>
      </w:r>
    </w:p>
    <w:p>
      <w:pPr>
        <w:pStyle w:val="Indenta"/>
      </w:pPr>
      <w:r>
        <w:tab/>
        <w:t>(b)</w:t>
      </w:r>
      <w:r>
        <w:tab/>
        <w:t>where it was served;</w:t>
      </w:r>
    </w:p>
    <w:p>
      <w:pPr>
        <w:pStyle w:val="Indenta"/>
      </w:pPr>
      <w:r>
        <w:tab/>
        <w:t>(c)</w:t>
      </w:r>
      <w:r>
        <w:tab/>
        <w:t>the person on whom it was served;</w:t>
      </w:r>
    </w:p>
    <w:p>
      <w:pPr>
        <w:pStyle w:val="Indenta"/>
      </w:pPr>
      <w:r>
        <w:tab/>
        <w:t>(d)</w:t>
      </w:r>
      <w:r>
        <w:tab/>
        <w:t>if the person on whom it was served is not the defendant — the capacity in which the person was served;</w:t>
      </w:r>
    </w:p>
    <w:p>
      <w:pPr>
        <w:pStyle w:val="Indenta"/>
      </w:pPr>
      <w:r>
        <w:tab/>
        <w:t>(e)</w:t>
      </w:r>
      <w:r>
        <w:tab/>
        <w:t>if under Order 4AA rule 3(2) a Form 4 must be attached to the writ when it is served — a statement that the Form 4 was attached to the front of the writ when it was served.</w:t>
      </w:r>
    </w:p>
    <w:p>
      <w:pPr>
        <w:pStyle w:val="Footnotesection"/>
      </w:pPr>
      <w:r>
        <w:lastRenderedPageBreak/>
        <w:tab/>
        <w:t>[Rule 1 amended: Gazette 28 Jun 2011 p. 2552; 16 Nov 2016 p. 5188</w:t>
      </w:r>
      <w:r>
        <w:noBreakHyphen/>
        <w:t>9.]</w:t>
      </w:r>
    </w:p>
    <w:p>
      <w:pPr>
        <w:pStyle w:val="Heading5"/>
        <w:rPr>
          <w:snapToGrid w:val="0"/>
        </w:rPr>
      </w:pPr>
      <w:bookmarkStart w:id="151" w:name="_Toc129077439"/>
      <w:r>
        <w:rPr>
          <w:rStyle w:val="CharSectno"/>
        </w:rPr>
        <w:t>2</w:t>
      </w:r>
      <w:r>
        <w:rPr>
          <w:snapToGrid w:val="0"/>
        </w:rPr>
        <w:t>.</w:t>
      </w:r>
      <w:r>
        <w:rPr>
          <w:snapToGrid w:val="0"/>
        </w:rPr>
        <w:tab/>
        <w:t>Service of writ as to contract on agent of principal who is outside WA</w:t>
      </w:r>
      <w:bookmarkEnd w:id="151"/>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spacing w:before="100"/>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spacing w:before="100"/>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spacing w:before="100"/>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spacing w:before="180"/>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40"/>
        <w:rPr>
          <w:snapToGrid w:val="0"/>
        </w:rPr>
      </w:pPr>
      <w:bookmarkStart w:id="152" w:name="_Toc129077440"/>
      <w:r>
        <w:rPr>
          <w:rStyle w:val="CharSectno"/>
        </w:rPr>
        <w:t>3</w:t>
      </w:r>
      <w:r>
        <w:rPr>
          <w:snapToGrid w:val="0"/>
        </w:rPr>
        <w:t>.</w:t>
      </w:r>
      <w:r>
        <w:rPr>
          <w:snapToGrid w:val="0"/>
        </w:rPr>
        <w:tab/>
        <w:t>Serving writ in accordance with contract, effect of</w:t>
      </w:r>
      <w:bookmarkEnd w:id="152"/>
    </w:p>
    <w:p>
      <w:pPr>
        <w:pStyle w:val="Subsection"/>
        <w:spacing w:before="180"/>
        <w:rPr>
          <w:snapToGrid w:val="0"/>
        </w:rPr>
      </w:pPr>
      <w:r>
        <w:rPr>
          <w:snapToGrid w:val="0"/>
        </w:rPr>
        <w:tab/>
        <w:t>(1)</w:t>
      </w:r>
      <w:r>
        <w:rPr>
          <w:snapToGrid w:val="0"/>
        </w:rPr>
        <w:tab/>
        <w:t>Where — </w:t>
      </w:r>
    </w:p>
    <w:p>
      <w:pPr>
        <w:pStyle w:val="Indenta"/>
      </w:pPr>
      <w:r>
        <w:tab/>
        <w:t>(a)</w:t>
      </w:r>
      <w:r>
        <w:tab/>
        <w:t xml:space="preserve">a contract contains a term to the effect that the Supreme Court shall have jurisdiction to hear and determine any </w:t>
      </w:r>
      <w:r>
        <w:lastRenderedPageBreak/>
        <w:t>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spacing w:before="180"/>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spacing w:before="180"/>
      </w:pPr>
      <w:r>
        <w:tab/>
        <w:t>(2)</w:t>
      </w:r>
      <w:r>
        <w:tab/>
        <w:t>A writ served outside Australia in accordance with a contract shall not be deemed to have been duly served on the defendant by virtue of subrule (1) unless leave to serve the writ outside Australia has been granted under Order 10 rule 1 or 2.</w:t>
      </w:r>
    </w:p>
    <w:p>
      <w:pPr>
        <w:pStyle w:val="Footnotesection"/>
      </w:pPr>
      <w:r>
        <w:tab/>
        <w:t>[Rule 3 amended: Gazette 28 Jun 2011 p. 2552; 12 Jun 2012 p. 2448.]</w:t>
      </w:r>
    </w:p>
    <w:p>
      <w:pPr>
        <w:pStyle w:val="Heading5"/>
        <w:spacing w:before="240"/>
        <w:rPr>
          <w:snapToGrid w:val="0"/>
        </w:rPr>
      </w:pPr>
      <w:bookmarkStart w:id="153" w:name="_Toc129077441"/>
      <w:r>
        <w:rPr>
          <w:rStyle w:val="CharSectno"/>
        </w:rPr>
        <w:t>4</w:t>
      </w:r>
      <w:r>
        <w:rPr>
          <w:snapToGrid w:val="0"/>
        </w:rPr>
        <w:t>.</w:t>
      </w:r>
      <w:r>
        <w:rPr>
          <w:snapToGrid w:val="0"/>
        </w:rPr>
        <w:tab/>
        <w:t>Writ for possession of land where no person in possession, service of</w:t>
      </w:r>
      <w:bookmarkEnd w:id="153"/>
    </w:p>
    <w:p>
      <w:pPr>
        <w:pStyle w:val="Subsection"/>
        <w:spacing w:before="180"/>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w:t>
      </w:r>
      <w:r>
        <w:rPr>
          <w:snapToGrid w:val="0"/>
        </w:rPr>
        <w:lastRenderedPageBreak/>
        <w:t>a copy of the writ to the door of the dwelling house or to some conspicuous part of the land shall be treated as good service on that defendant.</w:t>
      </w:r>
    </w:p>
    <w:p>
      <w:pPr>
        <w:pStyle w:val="Heading5"/>
        <w:rPr>
          <w:snapToGrid w:val="0"/>
        </w:rPr>
      </w:pPr>
      <w:bookmarkStart w:id="154" w:name="_Toc129077442"/>
      <w:r>
        <w:rPr>
          <w:rStyle w:val="CharSectno"/>
        </w:rPr>
        <w:t>5</w:t>
      </w:r>
      <w:r>
        <w:rPr>
          <w:snapToGrid w:val="0"/>
        </w:rPr>
        <w:t>.</w:t>
      </w:r>
      <w:r>
        <w:rPr>
          <w:snapToGrid w:val="0"/>
        </w:rPr>
        <w:tab/>
        <w:t>Service of other originating process</w:t>
      </w:r>
      <w:bookmarkEnd w:id="154"/>
    </w:p>
    <w:p>
      <w:pPr>
        <w:pStyle w:val="Subsection"/>
        <w:keepNext/>
        <w:keepLines/>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Gazette 28 Jun 2011 p. 2553.]</w:t>
      </w:r>
    </w:p>
    <w:p>
      <w:pPr>
        <w:pStyle w:val="Heading2"/>
        <w:rPr>
          <w:b w:val="0"/>
        </w:rPr>
      </w:pPr>
      <w:bookmarkStart w:id="155" w:name="_Toc129073371"/>
      <w:bookmarkStart w:id="156" w:name="_Toc129074654"/>
      <w:bookmarkStart w:id="157" w:name="_Toc129077443"/>
      <w:r>
        <w:rPr>
          <w:rStyle w:val="CharPartNo"/>
        </w:rPr>
        <w:lastRenderedPageBreak/>
        <w:t>Order 10</w:t>
      </w:r>
      <w:r>
        <w:t> — </w:t>
      </w:r>
      <w:r>
        <w:rPr>
          <w:rStyle w:val="CharPartText"/>
        </w:rPr>
        <w:t>Service out of the jurisdiction</w:t>
      </w:r>
      <w:bookmarkEnd w:id="155"/>
      <w:bookmarkEnd w:id="156"/>
      <w:bookmarkEnd w:id="157"/>
    </w:p>
    <w:p>
      <w:pPr>
        <w:pStyle w:val="Heading5"/>
        <w:spacing w:before="240"/>
      </w:pPr>
      <w:bookmarkStart w:id="158" w:name="_Toc129077444"/>
      <w:r>
        <w:rPr>
          <w:rStyle w:val="CharSectno"/>
        </w:rPr>
        <w:t>1A</w:t>
      </w:r>
      <w:r>
        <w:t>.</w:t>
      </w:r>
      <w:r>
        <w:tab/>
        <w:t>When leave to serve is required; application of r. 9 to 11</w:t>
      </w:r>
      <w:bookmarkEnd w:id="158"/>
    </w:p>
    <w:p>
      <w:pPr>
        <w:pStyle w:val="Subsection"/>
      </w:pPr>
      <w:r>
        <w:tab/>
        <w:t>(1)</w:t>
      </w:r>
      <w:r>
        <w:tab/>
        <w:t xml:space="preserve">A writ served on a person outside the State but in Australia has no effect unless the person was served under the </w:t>
      </w:r>
      <w:r>
        <w:rPr>
          <w:i/>
          <w:iCs/>
        </w:rPr>
        <w:t>Service and Execution of Process Act 1992</w:t>
      </w:r>
      <w:r>
        <w:t xml:space="preserve"> (Commonwealth).</w:t>
      </w:r>
    </w:p>
    <w:p>
      <w:pPr>
        <w:pStyle w:val="Subsection"/>
      </w:pPr>
      <w:r>
        <w:tab/>
        <w:t>(2)</w:t>
      </w:r>
      <w:r>
        <w:tab/>
        <w:t xml:space="preserve">A writ served on a person outside Australia, except a writ served on a person in New Zealand under the </w:t>
      </w:r>
      <w:r>
        <w:rPr>
          <w:i/>
        </w:rPr>
        <w:t>Trans</w:t>
      </w:r>
      <w:r>
        <w:rPr>
          <w:i/>
        </w:rPr>
        <w:noBreakHyphen/>
        <w:t xml:space="preserve">Tasman Proceedings Act 2010 </w:t>
      </w:r>
      <w:r>
        <w:t>(Commonwealth),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(3A)</w:t>
      </w:r>
      <w:r>
        <w:tab/>
        <w:t xml:space="preserve">A writ served on a person in New Zealand has no effect unless it is served under the </w:t>
      </w:r>
      <w:r>
        <w:rPr>
          <w:i/>
        </w:rPr>
        <w:t>Trans</w:t>
      </w:r>
      <w:r>
        <w:rPr>
          <w:i/>
        </w:rPr>
        <w:noBreakHyphen/>
        <w:t xml:space="preserve">Tasman Proceedings Act 2010 </w:t>
      </w:r>
      <w:r>
        <w:t>(Commonwealth).</w:t>
      </w:r>
    </w:p>
    <w:p>
      <w:pPr>
        <w:pStyle w:val="Subsection"/>
      </w:pPr>
      <w:r>
        <w:tab/>
        <w:t>(3)</w:t>
      </w:r>
      <w:r>
        <w:tab/>
        <w:t>Rules 9 to 11 do not apply to or in relation to the service of a writ on a person outside Australia under the convention referred to in Order 11A.</w:t>
      </w:r>
    </w:p>
    <w:p>
      <w:pPr>
        <w:pStyle w:val="Footnotesection"/>
      </w:pPr>
      <w:r>
        <w:tab/>
        <w:t>[Rule 1A inserted: Gazette 3 Jul 2009 p. 2683</w:t>
      </w:r>
      <w:r>
        <w:noBreakHyphen/>
        <w:t xml:space="preserve">4; amended: Gazette 12 Jun 2012 p. 2448 and 2453; 3 Aug 2012 p. 3749.] </w:t>
      </w:r>
    </w:p>
    <w:p>
      <w:pPr>
        <w:pStyle w:val="Heading5"/>
        <w:spacing w:before="240"/>
        <w:rPr>
          <w:snapToGrid w:val="0"/>
        </w:rPr>
      </w:pPr>
      <w:bookmarkStart w:id="159" w:name="_Toc129077445"/>
      <w:r>
        <w:rPr>
          <w:rStyle w:val="CharSectno"/>
        </w:rPr>
        <w:t>1</w:t>
      </w:r>
      <w:r>
        <w:rPr>
          <w:snapToGrid w:val="0"/>
        </w:rPr>
        <w:t>.</w:t>
      </w:r>
      <w:r>
        <w:rPr>
          <w:snapToGrid w:val="0"/>
        </w:rPr>
        <w:tab/>
        <w:t>When service out of jurisdiction is permissible</w:t>
      </w:r>
      <w:bookmarkEnd w:id="159"/>
    </w:p>
    <w:p>
      <w:pPr>
        <w:pStyle w:val="Subsection"/>
        <w:rPr>
          <w:snapToGrid w:val="0"/>
        </w:rPr>
      </w:pPr>
      <w:r>
        <w:rPr>
          <w:snapToGrid w:val="0"/>
        </w:rPr>
        <w:tab/>
        <w:t>(1)</w:t>
      </w:r>
      <w:r>
        <w:rPr>
          <w:snapToGrid w:val="0"/>
        </w:rPr>
        <w:tab/>
      </w:r>
      <w:r>
        <w:t>The Court may grant leave to serve a person outside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 xml:space="preserve">land (with or without rents or profits) or other property situate within the State, or the </w:t>
      </w:r>
      <w:r>
        <w:lastRenderedPageBreak/>
        <w:t>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which by its terms or implications is governed by the law of Western Australia;</w:t>
      </w:r>
    </w:p>
    <w:p>
      <w:pPr>
        <w:pStyle w:val="Indenta"/>
        <w:rPr>
          <w:snapToGrid w:val="0"/>
        </w:rPr>
      </w:pPr>
      <w:r>
        <w:rPr>
          <w:snapToGrid w:val="0"/>
        </w:rPr>
        <w:tab/>
        <w:t>(f)</w:t>
      </w:r>
      <w:r>
        <w:rPr>
          <w:snapToGrid w:val="0"/>
        </w:rPr>
        <w:tab/>
        <w:t xml:space="preserve">the action is brought in respect of a breach committed within the jurisdiction of a contract wherever made and irrespective of the fact, if such be the case, that the breach was preceded or accompanied by a breach committed out of the jurisdiction that rendered </w:t>
      </w:r>
      <w:r>
        <w:rPr>
          <w:snapToGrid w:val="0"/>
        </w:rPr>
        <w:lastRenderedPageBreak/>
        <w:t>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spacing w:before="180"/>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w:t>
      </w:r>
      <w:r>
        <w:rPr>
          <w:snapToGrid w:val="0"/>
        </w:rPr>
        <w:lastRenderedPageBreak/>
        <w:t xml:space="preserve">expression </w:t>
      </w:r>
      <w:r>
        <w:rPr>
          <w:rStyle w:val="CharDefText"/>
        </w:rPr>
        <w:t>mortgagor</w:t>
      </w:r>
      <w:r>
        <w:rPr>
          <w:snapToGrid w:val="0"/>
        </w:rPr>
        <w:t xml:space="preserve"> means a party for the time being entitled to or interested in property subject to a mortgage.</w:t>
      </w:r>
    </w:p>
    <w:p>
      <w:pPr>
        <w:pStyle w:val="Footnotesection"/>
      </w:pPr>
      <w:r>
        <w:tab/>
        <w:t xml:space="preserve">[Rule 1 amended: Gazette 3 Jul 2009 p. 2684; 28 Jun 2011 p. 2552 and 2553; 12 Jun 2012 p. 2448 and 2453.] </w:t>
      </w:r>
    </w:p>
    <w:p>
      <w:pPr>
        <w:pStyle w:val="Heading5"/>
        <w:rPr>
          <w:snapToGrid w:val="0"/>
        </w:rPr>
      </w:pPr>
      <w:bookmarkStart w:id="160" w:name="_Toc129077446"/>
      <w:r>
        <w:rPr>
          <w:rStyle w:val="CharSectno"/>
        </w:rPr>
        <w:t>2</w:t>
      </w:r>
      <w:r>
        <w:rPr>
          <w:snapToGrid w:val="0"/>
        </w:rPr>
        <w:t>.</w:t>
      </w:r>
      <w:r>
        <w:rPr>
          <w:snapToGrid w:val="0"/>
        </w:rPr>
        <w:tab/>
        <w:t>Service out of jurisdiction of writ etc. as to contract</w:t>
      </w:r>
      <w:bookmarkEnd w:id="160"/>
    </w:p>
    <w:p>
      <w:pPr>
        <w:pStyle w:val="Subsection"/>
        <w:rPr>
          <w:snapToGrid w:val="0"/>
        </w:rPr>
      </w:pPr>
      <w:r>
        <w:rPr>
          <w:snapToGrid w:val="0"/>
        </w:rPr>
        <w:tab/>
      </w:r>
      <w:r>
        <w:rPr>
          <w:snapToGrid w:val="0"/>
        </w:rPr>
        <w:tab/>
        <w:t xml:space="preserve">Where it appears to the Court that a contract contains a term to the effect that the Supreme Court shall have jurisdiction to hear and determine any action in respect of the contract, the Court </w:t>
      </w:r>
      <w:r>
        <w:t>may</w:t>
      </w:r>
      <w:r>
        <w:rPr>
          <w:snapToGrid w:val="0"/>
        </w:rPr>
        <w:t xml:space="preserve"> grant leave</w:t>
      </w:r>
      <w:r>
        <w:t xml:space="preserve"> to serve a person outside Australia with a writ, or notice of a writ, that begins such an action.</w:t>
      </w:r>
    </w:p>
    <w:p>
      <w:pPr>
        <w:pStyle w:val="Footnotesection"/>
      </w:pPr>
      <w:r>
        <w:tab/>
        <w:t xml:space="preserve">[Rule 2 amended: Gazette 3 Jul 2009 p. 2684; 12 Jun 2012 p. 2448 and 2453.] </w:t>
      </w:r>
    </w:p>
    <w:p>
      <w:pPr>
        <w:pStyle w:val="Ednotesection"/>
      </w:pPr>
      <w:r>
        <w:t>[</w:t>
      </w:r>
      <w:r>
        <w:rPr>
          <w:b/>
        </w:rPr>
        <w:t>3.</w:t>
      </w:r>
      <w:r>
        <w:tab/>
        <w:t>Deleted: Gazette 12 Jun 2012 p. 2448.]</w:t>
      </w:r>
    </w:p>
    <w:p>
      <w:pPr>
        <w:pStyle w:val="Heading5"/>
        <w:rPr>
          <w:snapToGrid w:val="0"/>
        </w:rPr>
      </w:pPr>
      <w:bookmarkStart w:id="161" w:name="_Toc129077447"/>
      <w:r>
        <w:rPr>
          <w:rStyle w:val="CharSectno"/>
        </w:rPr>
        <w:t>4</w:t>
      </w:r>
      <w:r>
        <w:rPr>
          <w:snapToGrid w:val="0"/>
        </w:rPr>
        <w:t>.</w:t>
      </w:r>
      <w:r>
        <w:rPr>
          <w:snapToGrid w:val="0"/>
        </w:rPr>
        <w:tab/>
        <w:t>Application for leave under r. 1 or 2</w:t>
      </w:r>
      <w:bookmarkEnd w:id="161"/>
    </w:p>
    <w:p>
      <w:pPr>
        <w:pStyle w:val="Subsection"/>
      </w:pPr>
      <w:r>
        <w:tab/>
        <w:t>(1)</w:t>
      </w:r>
      <w:r>
        <w:tab/>
        <w:t>An application for a grant of leave under rule 1 or 2 must be supported by an affidavit that states —</w:t>
      </w:r>
    </w:p>
    <w:p>
      <w:pPr>
        <w:pStyle w:val="Indenta"/>
      </w:pPr>
      <w:r>
        <w:tab/>
        <w:t>(a)</w:t>
      </w:r>
      <w:r>
        <w:tab/>
        <w:t>that in the deponent’s belief, the plaintiff has a good cause of action; and</w:t>
      </w:r>
    </w:p>
    <w:p>
      <w:pPr>
        <w:pStyle w:val="Indenta"/>
      </w:pPr>
      <w:r>
        <w:tab/>
        <w:t>(b)</w:t>
      </w:r>
      <w:r>
        <w:tab/>
        <w:t>where, outside Australia, the person to be served is or probably may be.</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Gazette 15 Jun 1973 p. 2247; 12 Jun 2012 p. 2448.] </w:t>
      </w:r>
    </w:p>
    <w:p>
      <w:pPr>
        <w:pStyle w:val="Heading5"/>
      </w:pPr>
      <w:bookmarkStart w:id="162" w:name="_Toc129077448"/>
      <w:r>
        <w:rPr>
          <w:rStyle w:val="CharSectno"/>
        </w:rPr>
        <w:t>5</w:t>
      </w:r>
      <w:r>
        <w:t>.</w:t>
      </w:r>
      <w:r>
        <w:tab/>
        <w:t>Time for appearance</w:t>
      </w:r>
      <w:bookmarkEnd w:id="162"/>
    </w:p>
    <w:p>
      <w:pPr>
        <w:pStyle w:val="Subsection"/>
      </w:pPr>
      <w:r>
        <w:tab/>
        <w:t>(1)</w:t>
      </w:r>
      <w:r>
        <w:tab/>
        <w:t>An order made under this Order granting leave to serve a writ outside Australia must limit the time within which the person to be served can enter an appearance.</w:t>
      </w:r>
    </w:p>
    <w:p>
      <w:pPr>
        <w:pStyle w:val="Subsection"/>
      </w:pPr>
      <w:r>
        <w:lastRenderedPageBreak/>
        <w:tab/>
        <w:t>(2)</w:t>
      </w:r>
      <w:r>
        <w:tab/>
        <w:t>In fixing that limit, the Court must have regard to the place or country where the writ is to be served.</w:t>
      </w:r>
    </w:p>
    <w:p>
      <w:pPr>
        <w:pStyle w:val="Subsection"/>
      </w:pPr>
      <w:r>
        <w:tab/>
        <w:t>(3)</w:t>
      </w:r>
      <w:r>
        <w:tab/>
        <w:t>If the writ is to be served under the convention referred to in Order 11A, subrule (1) is subject to that Order.</w:t>
      </w:r>
    </w:p>
    <w:p>
      <w:pPr>
        <w:pStyle w:val="Footnotesection"/>
      </w:pPr>
      <w:r>
        <w:tab/>
        <w:t>[Rule 5 inserted: Gazette 12 Jun 2012 p. 2449.]</w:t>
      </w:r>
    </w:p>
    <w:p>
      <w:pPr>
        <w:pStyle w:val="Ednotesection"/>
      </w:pPr>
      <w:r>
        <w:t>[</w:t>
      </w:r>
      <w:r>
        <w:rPr>
          <w:b/>
        </w:rPr>
        <w:t>6.</w:t>
      </w:r>
      <w:r>
        <w:tab/>
        <w:t>Deleted: Gazette 12 Jun 2012 p. 2449.]</w:t>
      </w:r>
    </w:p>
    <w:p>
      <w:pPr>
        <w:pStyle w:val="Heading5"/>
      </w:pPr>
      <w:bookmarkStart w:id="163" w:name="_Toc129077449"/>
      <w:r>
        <w:rPr>
          <w:rStyle w:val="CharSectno"/>
        </w:rPr>
        <w:t>7</w:t>
      </w:r>
      <w:r>
        <w:t>.</w:t>
      </w:r>
      <w:r>
        <w:tab/>
        <w:t>Other documents, service of outside Australia</w:t>
      </w:r>
      <w:bookmarkEnd w:id="163"/>
    </w:p>
    <w:p>
      <w:pPr>
        <w:pStyle w:val="Subsection"/>
      </w:pPr>
      <w:r>
        <w:tab/>
      </w: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Footnotesection"/>
      </w:pPr>
      <w:r>
        <w:tab/>
        <w:t>[Rule 7 inserted: Gazette 12 Jun 2012 p. 2449.]</w:t>
      </w:r>
    </w:p>
    <w:p>
      <w:pPr>
        <w:pStyle w:val="Heading5"/>
        <w:keepLines w:val="0"/>
        <w:rPr>
          <w:snapToGrid w:val="0"/>
        </w:rPr>
      </w:pPr>
      <w:bookmarkStart w:id="164" w:name="_Toc129077450"/>
      <w:r>
        <w:rPr>
          <w:rStyle w:val="CharSectno"/>
        </w:rPr>
        <w:t>8</w:t>
      </w:r>
      <w:r>
        <w:rPr>
          <w:snapToGrid w:val="0"/>
        </w:rPr>
        <w:t>.</w:t>
      </w:r>
      <w:r>
        <w:rPr>
          <w:snapToGrid w:val="0"/>
        </w:rPr>
        <w:tab/>
        <w:t>Saving of existing practice</w:t>
      </w:r>
      <w:bookmarkEnd w:id="164"/>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65" w:name="_Toc129077451"/>
      <w:r>
        <w:rPr>
          <w:rStyle w:val="CharSectno"/>
        </w:rPr>
        <w:t>9</w:t>
      </w:r>
      <w:r>
        <w:rPr>
          <w:snapToGrid w:val="0"/>
        </w:rPr>
        <w:t>.</w:t>
      </w:r>
      <w:r>
        <w:rPr>
          <w:snapToGrid w:val="0"/>
        </w:rPr>
        <w:tab/>
        <w:t>Service abroad through foreign or diplomatic officials</w:t>
      </w:r>
      <w:bookmarkEnd w:id="165"/>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the United Kingdom;</w:t>
      </w:r>
    </w:p>
    <w:p>
      <w:pPr>
        <w:pStyle w:val="Indenta"/>
      </w:pPr>
      <w:r>
        <w:tab/>
        <w:t>(b)</w:t>
      </w:r>
      <w:r>
        <w:tab/>
        <w:t xml:space="preserve">any country listed in Schedule 3 to the </w:t>
      </w:r>
      <w:r>
        <w:rPr>
          <w:i/>
          <w:iCs/>
        </w:rPr>
        <w:t>British Nationality Act 1981</w:t>
      </w:r>
      <w:r>
        <w:t xml:space="preserve"> (United Kingdom);</w:t>
      </w:r>
    </w:p>
    <w:p>
      <w:pPr>
        <w:pStyle w:val="Indenta"/>
        <w:rPr>
          <w:snapToGrid w:val="0"/>
        </w:rPr>
      </w:pPr>
      <w:r>
        <w:rPr>
          <w:snapToGrid w:val="0"/>
        </w:rPr>
        <w:tab/>
        <w:t>(c)</w:t>
      </w:r>
      <w:r>
        <w:rPr>
          <w:snapToGrid w:val="0"/>
        </w:rPr>
        <w:tab/>
        <w:t>any British possession.</w:t>
      </w:r>
    </w:p>
    <w:p>
      <w:pPr>
        <w:pStyle w:val="Subsection"/>
      </w:pPr>
      <w:r>
        <w:lastRenderedPageBreak/>
        <w:tab/>
        <w:t>(2)</w:t>
      </w:r>
      <w:r>
        <w:tab/>
        <w:t>If leave is granted to serve a writ on a person in a foreign country and a convention about such service applies to the country and to Australia or this State, the notice may be served —</w:t>
      </w:r>
    </w:p>
    <w:p>
      <w:pPr>
        <w:pStyle w:val="Indenta"/>
      </w:pPr>
      <w:r>
        <w:tab/>
        <w:t>(a)</w:t>
      </w:r>
      <w:r>
        <w:tab/>
        <w:t>through the judicial authorities of that country; or</w:t>
      </w:r>
    </w:p>
    <w:p>
      <w:pPr>
        <w:pStyle w:val="Indenta"/>
      </w:pPr>
      <w:r>
        <w:tab/>
        <w:t>(b)</w:t>
      </w:r>
      <w:r>
        <w:tab/>
        <w:t>through a British or Australian diplomatic or consular agent in that country (subject to any provision of the convention as to the nationality of persons who may be so served).</w:t>
      </w:r>
    </w:p>
    <w:p>
      <w:pPr>
        <w:pStyle w:val="Subsection"/>
      </w:pPr>
      <w:r>
        <w:tab/>
        <w:t>(3)</w:t>
      </w:r>
      <w:r>
        <w:tab/>
        <w:t>If leave is granted to serve a writ on a person in a country and there is no such convention, the notice may be served —</w:t>
      </w:r>
    </w:p>
    <w:p>
      <w:pPr>
        <w:pStyle w:val="Indenta"/>
      </w:pPr>
      <w:r>
        <w:tab/>
        <w:t>(a)</w:t>
      </w:r>
      <w:r>
        <w:tab/>
        <w:t>through the government of that country, if the government is willing to effect service; or</w:t>
      </w:r>
    </w:p>
    <w:p>
      <w:pPr>
        <w:pStyle w:val="Indenta"/>
      </w:pPr>
      <w:r>
        <w:tab/>
        <w:t>(b)</w:t>
      </w:r>
      <w:r>
        <w:tab/>
        <w:t>through a British or Australian diplomatic or consular agent in that country except where service through such an authority is contrary to the law of that country.</w:t>
      </w:r>
    </w:p>
    <w:p>
      <w:pPr>
        <w:pStyle w:val="Subsection"/>
      </w:pPr>
      <w:r>
        <w:tab/>
        <w:t>(4)</w:t>
      </w:r>
      <w:r>
        <w:tab/>
        <w:t>A person who wishes to serve a writ by a method described in subrule (2) or (3) must file a request for service of the writ by that method, together with a copy of the writ and, unless the request and the copy of the writ are filed electronically, an additional copy of the writ for each person to be served.</w:t>
      </w:r>
    </w:p>
    <w:p>
      <w:pPr>
        <w:pStyle w:val="Subsection"/>
        <w:rPr>
          <w:snapToGrid w:val="0"/>
        </w:rPr>
      </w:pPr>
      <w:r>
        <w:rPr>
          <w:snapToGrid w:val="0"/>
        </w:rPr>
        <w:tab/>
        <w:t>(5)</w:t>
      </w:r>
      <w:r>
        <w:rPr>
          <w:snapToGrid w:val="0"/>
        </w:rPr>
        <w:tab/>
        <w:t xml:space="preserve">Every copy of a </w:t>
      </w:r>
      <w:r>
        <w:t>writ</w:t>
      </w:r>
      <w:r>
        <w:rPr>
          <w:snapToGrid w:val="0"/>
        </w:rPr>
        <w:t xml:space="preserve"> </w:t>
      </w:r>
      <w:r>
        <w:t>filed</w:t>
      </w:r>
      <w:r>
        <w:rPr>
          <w:snapToGrid w:val="0"/>
        </w:rPr>
        <w:t xml:space="preserve"> under </w:t>
      </w:r>
      <w:r>
        <w:t>subrule</w:t>
      </w:r>
      <w:r>
        <w:rPr>
          <w:snapToGrid w:val="0"/>
        </w:rPr>
        <w:t xml:space="preserve"> (4) shall be accompanied by a translation of the </w:t>
      </w:r>
      <w:r>
        <w:t>writ</w:t>
      </w:r>
      <w:r>
        <w:rPr>
          <w:snapToGrid w:val="0"/>
        </w:rPr>
        <w:t xml:space="preserv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w:t>
      </w:r>
      <w:r>
        <w:t>writ</w:t>
      </w:r>
      <w:r>
        <w:rPr>
          <w:snapToGrid w:val="0"/>
        </w:rPr>
        <w:t xml:space="preserv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lastRenderedPageBreak/>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The document to be served shall be sealed with the seal of the Supreme Court and shall be forwarded by the Principal Registrar to the Attorney General for Western Australia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writ under this rule, no indorsement of service under Order 9 rule 1(4) shall be required.</w:t>
      </w:r>
    </w:p>
    <w:p>
      <w:pPr>
        <w:pStyle w:val="Footnotesection"/>
      </w:pPr>
      <w:r>
        <w:tab/>
        <w:t xml:space="preserve">[Rule 9 amended: Gazette 14 Dec 1979 p. 3869; 3 Jul 2009 p. 2685; 28 Jun 2011 p. 2552; 12 Jun 2012 p. 2449-50; 27 Feb 2018 p. 556.] </w:t>
      </w:r>
    </w:p>
    <w:p>
      <w:pPr>
        <w:pStyle w:val="Heading5"/>
        <w:rPr>
          <w:snapToGrid w:val="0"/>
        </w:rPr>
      </w:pPr>
      <w:bookmarkStart w:id="166" w:name="_Toc129077452"/>
      <w:r>
        <w:rPr>
          <w:rStyle w:val="CharSectno"/>
        </w:rPr>
        <w:t>10</w:t>
      </w:r>
      <w:r>
        <w:rPr>
          <w:snapToGrid w:val="0"/>
        </w:rPr>
        <w:t>.</w:t>
      </w:r>
      <w:r>
        <w:rPr>
          <w:snapToGrid w:val="0"/>
        </w:rPr>
        <w:tab/>
        <w:t>Service abroad, general and saving provisions</w:t>
      </w:r>
      <w:bookmarkEnd w:id="166"/>
    </w:p>
    <w:p>
      <w:pPr>
        <w:pStyle w:val="Subsection"/>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Subsection"/>
        <w:rPr>
          <w:snapToGrid w:val="0"/>
        </w:rPr>
      </w:pPr>
      <w:r>
        <w:rPr>
          <w:snapToGrid w:val="0"/>
        </w:rPr>
        <w:tab/>
        <w:t>(2)</w:t>
      </w:r>
      <w:r>
        <w:rPr>
          <w:snapToGrid w:val="0"/>
        </w:rPr>
        <w:tab/>
        <w:t xml:space="preserve">Nothing in this rule or in any order or direction of the Court made by virtue of it shall authorise or require the doing of </w:t>
      </w:r>
      <w:r>
        <w:rPr>
          <w:snapToGrid w:val="0"/>
        </w:rPr>
        <w:lastRenderedPageBreak/>
        <w:t>anything in a country in which service is to be effected which is contrary to the law of that country.</w:t>
      </w:r>
    </w:p>
    <w:p>
      <w:pPr>
        <w:pStyle w:val="Subsection"/>
        <w:rPr>
          <w:snapToGrid w:val="0"/>
        </w:rPr>
      </w:pPr>
      <w:r>
        <w:rPr>
          <w:snapToGrid w:val="0"/>
        </w:rPr>
        <w:tab/>
        <w:t>(3)</w:t>
      </w:r>
      <w:r>
        <w:rPr>
          <w:snapToGrid w:val="0"/>
        </w:rPr>
        <w:tab/>
      </w:r>
      <w:r>
        <w:t>A writ to be served outside Australia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Footnotesection"/>
      </w:pPr>
      <w:r>
        <w:tab/>
        <w:t>[Rule 10 amended: Gazette 12 Jun 2012 p. 2450.]</w:t>
      </w:r>
    </w:p>
    <w:p>
      <w:pPr>
        <w:pStyle w:val="Heading5"/>
        <w:keepLines w:val="0"/>
        <w:rPr>
          <w:snapToGrid w:val="0"/>
        </w:rPr>
      </w:pPr>
      <w:bookmarkStart w:id="167" w:name="_Toc129077453"/>
      <w:r>
        <w:rPr>
          <w:rStyle w:val="CharSectno"/>
        </w:rPr>
        <w:t>11</w:t>
      </w:r>
      <w:r>
        <w:rPr>
          <w:snapToGrid w:val="0"/>
        </w:rPr>
        <w:t>.</w:t>
      </w:r>
      <w:r>
        <w:rPr>
          <w:snapToGrid w:val="0"/>
        </w:rPr>
        <w:tab/>
        <w:t>Undertaking to pay expenses of service</w:t>
      </w:r>
      <w:bookmarkEnd w:id="167"/>
    </w:p>
    <w:p>
      <w:pPr>
        <w:pStyle w:val="Subsection"/>
        <w:keepLines/>
        <w:rPr>
          <w:snapToGrid w:val="0"/>
        </w:rPr>
      </w:pPr>
      <w:r>
        <w:rPr>
          <w:snapToGrid w:val="0"/>
        </w:rPr>
        <w:tab/>
      </w:r>
      <w:r>
        <w:rPr>
          <w:snapToGrid w:val="0"/>
        </w:rPr>
        <w:tab/>
        <w:t>Every request filed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Footnotesection"/>
      </w:pPr>
      <w:r>
        <w:tab/>
        <w:t>[Rule 11 amended: Gazette 27 Feb 2018 p. 556.]</w:t>
      </w:r>
    </w:p>
    <w:p>
      <w:pPr>
        <w:pStyle w:val="Heading2"/>
        <w:rPr>
          <w:b w:val="0"/>
        </w:rPr>
      </w:pPr>
      <w:bookmarkStart w:id="168" w:name="_Toc129073382"/>
      <w:bookmarkStart w:id="169" w:name="_Toc129074665"/>
      <w:bookmarkStart w:id="170" w:name="_Toc129077454"/>
      <w:r>
        <w:rPr>
          <w:rStyle w:val="CharPartNo"/>
        </w:rPr>
        <w:lastRenderedPageBreak/>
        <w:t>Order 11</w:t>
      </w:r>
      <w:r>
        <w:t> — </w:t>
      </w:r>
      <w:r>
        <w:rPr>
          <w:rStyle w:val="CharPartText"/>
        </w:rPr>
        <w:t>Service of foreign process</w:t>
      </w:r>
      <w:bookmarkEnd w:id="168"/>
      <w:bookmarkEnd w:id="169"/>
      <w:bookmarkEnd w:id="170"/>
    </w:p>
    <w:p>
      <w:pPr>
        <w:pStyle w:val="Ednotesection"/>
      </w:pPr>
      <w:r>
        <w:t>[</w:t>
      </w:r>
      <w:r>
        <w:rPr>
          <w:b/>
        </w:rPr>
        <w:t>1A.</w:t>
      </w:r>
      <w:r>
        <w:tab/>
        <w:t>Deleted: Gazette 3 Jul 2009 p. 2685.]</w:t>
      </w:r>
    </w:p>
    <w:p>
      <w:pPr>
        <w:pStyle w:val="Heading5"/>
        <w:rPr>
          <w:snapToGrid w:val="0"/>
        </w:rPr>
      </w:pPr>
      <w:bookmarkStart w:id="171" w:name="_Toc129077455"/>
      <w:r>
        <w:rPr>
          <w:rStyle w:val="CharSectno"/>
        </w:rPr>
        <w:t>1</w:t>
      </w:r>
      <w:r>
        <w:rPr>
          <w:snapToGrid w:val="0"/>
        </w:rPr>
        <w:t>.</w:t>
      </w:r>
      <w:r>
        <w:rPr>
          <w:snapToGrid w:val="0"/>
        </w:rPr>
        <w:tab/>
        <w:t>Terms used</w:t>
      </w:r>
      <w:bookmarkEnd w:id="17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72" w:name="_Toc129077456"/>
      <w:r>
        <w:rPr>
          <w:rStyle w:val="CharSectno"/>
        </w:rPr>
        <w:t>2A</w:t>
      </w:r>
      <w:r>
        <w:t>.</w:t>
      </w:r>
      <w:r>
        <w:tab/>
        <w:t>Application of this Order</w:t>
      </w:r>
      <w:bookmarkEnd w:id="17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Subsection"/>
      </w:pPr>
      <w:r>
        <w:tab/>
        <w:t>(3)</w:t>
      </w:r>
      <w:r>
        <w:tab/>
        <w:t>A letter of request referred to in subrule (1), any document that accompanies the letter of request and any other document to be filed for the purposes of this Order cannot be filed electronically.</w:t>
      </w:r>
    </w:p>
    <w:p>
      <w:pPr>
        <w:pStyle w:val="Footnotesection"/>
      </w:pPr>
      <w:r>
        <w:tab/>
        <w:t xml:space="preserve">[Rule 2A inserted: Gazette 3 Jul 2009 p. 2685; amended: Gazette 27 Feb 2018 p. 556.] </w:t>
      </w:r>
    </w:p>
    <w:p>
      <w:pPr>
        <w:pStyle w:val="Heading5"/>
        <w:rPr>
          <w:snapToGrid w:val="0"/>
        </w:rPr>
      </w:pPr>
      <w:bookmarkStart w:id="173" w:name="_Toc129077457"/>
      <w:r>
        <w:rPr>
          <w:rStyle w:val="CharSectno"/>
        </w:rPr>
        <w:t>2</w:t>
      </w:r>
      <w:r>
        <w:rPr>
          <w:snapToGrid w:val="0"/>
        </w:rPr>
        <w:t>.</w:t>
      </w:r>
      <w:r>
        <w:rPr>
          <w:snapToGrid w:val="0"/>
        </w:rPr>
        <w:tab/>
        <w:t>Service pursuant to letter of request for service</w:t>
      </w:r>
      <w:bookmarkEnd w:id="173"/>
    </w:p>
    <w:p>
      <w:pPr>
        <w:pStyle w:val="Subsection"/>
        <w:rPr>
          <w:snapToGrid w:val="0"/>
        </w:rPr>
      </w:pPr>
      <w:r>
        <w:rPr>
          <w:snapToGrid w:val="0"/>
        </w:rPr>
        <w:tab/>
        <w:t>(1)</w:t>
      </w:r>
      <w:r>
        <w:rPr>
          <w:snapToGrid w:val="0"/>
        </w:rPr>
        <w:tab/>
        <w:t xml:space="preserve">This rule applies to the service of any process required to be served in any civil or commercial proceedings pending before a court or other tribunal of a foreign country where a letter of request from such a tribunal for service on a person in Western </w:t>
      </w:r>
      <w:r>
        <w:rPr>
          <w:snapToGrid w:val="0"/>
        </w:rPr>
        <w:lastRenderedPageBreak/>
        <w:t>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w:t>
      </w:r>
      <w:r>
        <w:t xml:space="preserve"> Court.</w:t>
      </w:r>
    </w:p>
    <w:p>
      <w:pPr>
        <w:pStyle w:val="Footnotesection"/>
      </w:pPr>
      <w:r>
        <w:tab/>
        <w:t xml:space="preserve">[Rule 2 amended: Gazette 14 Dec 1979 p. 3869; 12 Jun 2012 p. 2450.] </w:t>
      </w:r>
    </w:p>
    <w:p>
      <w:pPr>
        <w:pStyle w:val="Heading5"/>
        <w:rPr>
          <w:snapToGrid w:val="0"/>
        </w:rPr>
      </w:pPr>
      <w:bookmarkStart w:id="174" w:name="_Toc129077458"/>
      <w:r>
        <w:rPr>
          <w:rStyle w:val="CharSectno"/>
        </w:rPr>
        <w:t>3</w:t>
      </w:r>
      <w:r>
        <w:rPr>
          <w:snapToGrid w:val="0"/>
        </w:rPr>
        <w:t>.</w:t>
      </w:r>
      <w:r>
        <w:rPr>
          <w:snapToGrid w:val="0"/>
        </w:rPr>
        <w:tab/>
        <w:t>Service under Convention</w:t>
      </w:r>
      <w:bookmarkEnd w:id="174"/>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keepNext/>
        <w:rPr>
          <w:snapToGrid w:val="0"/>
        </w:rPr>
      </w:pPr>
      <w:r>
        <w:rPr>
          <w:snapToGrid w:val="0"/>
        </w:rPr>
        <w:lastRenderedPageBreak/>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w:t>
      </w:r>
      <w:r>
        <w:t xml:space="preserve"> Court.</w:t>
      </w:r>
    </w:p>
    <w:p>
      <w:pPr>
        <w:pStyle w:val="Footnotesection"/>
      </w:pPr>
      <w:r>
        <w:tab/>
        <w:t xml:space="preserve">[Rule 3 amended: Gazette 14 Dec 1979 p. 3869; 12 Jun 2012 p. 2450 and 2453.] </w:t>
      </w:r>
    </w:p>
    <w:p>
      <w:pPr>
        <w:pStyle w:val="Heading5"/>
        <w:rPr>
          <w:snapToGrid w:val="0"/>
        </w:rPr>
      </w:pPr>
      <w:bookmarkStart w:id="175" w:name="_Toc129077459"/>
      <w:r>
        <w:rPr>
          <w:rStyle w:val="CharSectno"/>
        </w:rPr>
        <w:t>4</w:t>
      </w:r>
      <w:r>
        <w:rPr>
          <w:snapToGrid w:val="0"/>
        </w:rPr>
        <w:t>.</w:t>
      </w:r>
      <w:r>
        <w:rPr>
          <w:snapToGrid w:val="0"/>
        </w:rPr>
        <w:tab/>
        <w:t>Service to be through sheriff</w:t>
      </w:r>
      <w:bookmarkEnd w:id="175"/>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76" w:name="_Toc129077460"/>
      <w:r>
        <w:rPr>
          <w:rStyle w:val="CharSectno"/>
        </w:rPr>
        <w:lastRenderedPageBreak/>
        <w:t>5</w:t>
      </w:r>
      <w:r>
        <w:rPr>
          <w:snapToGrid w:val="0"/>
        </w:rPr>
        <w:t>.</w:t>
      </w:r>
      <w:r>
        <w:rPr>
          <w:snapToGrid w:val="0"/>
        </w:rPr>
        <w:tab/>
        <w:t>Consequential orders</w:t>
      </w:r>
      <w:bookmarkEnd w:id="176"/>
    </w:p>
    <w:p>
      <w:pPr>
        <w:pStyle w:val="Subsection"/>
        <w:keepNext/>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Gazette 19 Apr 2005 p. 1298.]</w:t>
      </w:r>
    </w:p>
    <w:p>
      <w:pPr>
        <w:pStyle w:val="Heading2"/>
      </w:pPr>
      <w:bookmarkStart w:id="177" w:name="_Toc129073389"/>
      <w:bookmarkStart w:id="178" w:name="_Toc129074672"/>
      <w:bookmarkStart w:id="179" w:name="_Toc129077461"/>
      <w:r>
        <w:rPr>
          <w:rStyle w:val="CharPartNo"/>
        </w:rPr>
        <w:lastRenderedPageBreak/>
        <w:t>Order 11A</w:t>
      </w:r>
      <w:r>
        <w:rPr>
          <w:b w:val="0"/>
        </w:rPr>
        <w:t> </w:t>
      </w:r>
      <w:r>
        <w:t>—</w:t>
      </w:r>
      <w:r>
        <w:rPr>
          <w:b w:val="0"/>
        </w:rPr>
        <w:t> </w:t>
      </w:r>
      <w:r>
        <w:rPr>
          <w:rStyle w:val="CharPartText"/>
        </w:rPr>
        <w:t>Service under the Hague Convention</w:t>
      </w:r>
      <w:bookmarkEnd w:id="177"/>
      <w:bookmarkEnd w:id="178"/>
      <w:bookmarkEnd w:id="179"/>
    </w:p>
    <w:p>
      <w:pPr>
        <w:pStyle w:val="Footnoteheading"/>
      </w:pPr>
      <w:r>
        <w:tab/>
        <w:t xml:space="preserve">[Heading inserted: Gazette 3 Jul 2009 p. 2685.] </w:t>
      </w:r>
    </w:p>
    <w:p>
      <w:pPr>
        <w:pStyle w:val="Heading3"/>
      </w:pPr>
      <w:bookmarkStart w:id="180" w:name="_Toc129073390"/>
      <w:bookmarkStart w:id="181" w:name="_Toc129074673"/>
      <w:bookmarkStart w:id="182" w:name="_Toc129077462"/>
      <w:r>
        <w:rPr>
          <w:rStyle w:val="CharDivNo"/>
        </w:rPr>
        <w:t>Division 1</w:t>
      </w:r>
      <w:r>
        <w:t> — </w:t>
      </w:r>
      <w:r>
        <w:rPr>
          <w:rStyle w:val="CharDivText"/>
        </w:rPr>
        <w:t>Preliminary</w:t>
      </w:r>
      <w:bookmarkEnd w:id="180"/>
      <w:bookmarkEnd w:id="181"/>
      <w:bookmarkEnd w:id="182"/>
    </w:p>
    <w:p>
      <w:pPr>
        <w:pStyle w:val="Footnoteheading"/>
      </w:pPr>
      <w:r>
        <w:tab/>
        <w:t xml:space="preserve">[Heading inserted: Gazette 3 Jul 2009 p. 2685.] </w:t>
      </w:r>
    </w:p>
    <w:p>
      <w:pPr>
        <w:pStyle w:val="PermNoteHeading"/>
      </w:pPr>
      <w:r>
        <w:tab/>
        <w:t>Note:</w:t>
      </w:r>
    </w:p>
    <w:p>
      <w:pPr>
        <w:pStyle w:val="PermNoteText"/>
      </w:pPr>
      <w:r>
        <w:tab/>
        <w:t>1.</w:t>
      </w:r>
      <w:r>
        <w:tab/>
        <w:t xml:space="preserve">This Order forms part of a scheme to implement Australia’s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PermNoteText"/>
      </w:pPr>
      <w:r>
        <w:tab/>
        <w:t>2.</w:t>
      </w:r>
      <w:r>
        <w:tab/>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PermNoteText"/>
      </w:pPr>
      <w:r>
        <w:tab/>
        <w:t>3.</w:t>
      </w:r>
      <w:r>
        <w:tab/>
        <w:t>Information about the Hague Convention, including a copy of the Hague Convention, a list of all Contracting States, details of declarations and reservations made under the Hague Convention by each of those States and the names and addresses of the central and other authorities of each of those States can be found at the website of the Hague Conference on Private International Law.</w:t>
      </w:r>
    </w:p>
    <w:p>
      <w:pPr>
        <w:pStyle w:val="Footnotesection"/>
      </w:pPr>
      <w:r>
        <w:tab/>
        <w:t>[Note amended: SL 2020/242 r. 4.]</w:t>
      </w:r>
    </w:p>
    <w:p>
      <w:pPr>
        <w:pStyle w:val="Heading5"/>
      </w:pPr>
      <w:bookmarkStart w:id="183" w:name="_Toc129077463"/>
      <w:r>
        <w:rPr>
          <w:rStyle w:val="CharSectno"/>
        </w:rPr>
        <w:t>1</w:t>
      </w:r>
      <w:r>
        <w:t>.</w:t>
      </w:r>
      <w:r>
        <w:tab/>
        <w:t>Terms used</w:t>
      </w:r>
      <w:bookmarkEnd w:id="183"/>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competent to receive requests for service abroad emanating from Australia;</w:t>
      </w:r>
    </w:p>
    <w:p>
      <w:pPr>
        <w:pStyle w:val="Defstart"/>
      </w:pPr>
      <w:r>
        <w:lastRenderedPageBreak/>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Australia,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lastRenderedPageBreak/>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done at the Hague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Western Australia.</w:t>
      </w:r>
    </w:p>
    <w:p>
      <w:pPr>
        <w:pStyle w:val="Footnotesection"/>
      </w:pPr>
      <w:r>
        <w:tab/>
        <w:t>[Rule 1 inserted: Gazette 3 Jul 2009 p. 2686</w:t>
      </w:r>
      <w:r>
        <w:noBreakHyphen/>
        <w:t xml:space="preserve">7.] </w:t>
      </w:r>
    </w:p>
    <w:p>
      <w:pPr>
        <w:pStyle w:val="Heading5"/>
      </w:pPr>
      <w:bookmarkStart w:id="184" w:name="_Toc129077464"/>
      <w:r>
        <w:rPr>
          <w:rStyle w:val="CharSectno"/>
        </w:rPr>
        <w:t>2</w:t>
      </w:r>
      <w:r>
        <w:t>.</w:t>
      </w:r>
      <w:r>
        <w:tab/>
        <w:t>Provisions of this Order to prevail</w:t>
      </w:r>
      <w:bookmarkEnd w:id="184"/>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Gazette 3 Jul 2009 p. 2687.] </w:t>
      </w:r>
    </w:p>
    <w:p>
      <w:pPr>
        <w:pStyle w:val="Heading3"/>
      </w:pPr>
      <w:bookmarkStart w:id="185" w:name="_Toc129073393"/>
      <w:bookmarkStart w:id="186" w:name="_Toc129074676"/>
      <w:bookmarkStart w:id="187" w:name="_Toc129077465"/>
      <w:r>
        <w:rPr>
          <w:rStyle w:val="CharDivNo"/>
        </w:rPr>
        <w:t>Division 2</w:t>
      </w:r>
      <w:r>
        <w:t> — </w:t>
      </w:r>
      <w:r>
        <w:rPr>
          <w:rStyle w:val="CharDivText"/>
        </w:rPr>
        <w:t>Service abroad of local judicial documents</w:t>
      </w:r>
      <w:bookmarkEnd w:id="185"/>
      <w:bookmarkEnd w:id="186"/>
      <w:bookmarkEnd w:id="187"/>
    </w:p>
    <w:p>
      <w:pPr>
        <w:pStyle w:val="Footnoteheading"/>
      </w:pPr>
      <w:r>
        <w:tab/>
        <w:t xml:space="preserve">[Heading inserted: Gazette 3 Jul 2009 p. 2687.] </w:t>
      </w:r>
    </w:p>
    <w:p>
      <w:pPr>
        <w:pStyle w:val="Heading5"/>
      </w:pPr>
      <w:bookmarkStart w:id="188" w:name="_Toc129077466"/>
      <w:r>
        <w:rPr>
          <w:rStyle w:val="CharSectno"/>
        </w:rPr>
        <w:t>3</w:t>
      </w:r>
      <w:r>
        <w:t>.</w:t>
      </w:r>
      <w:r>
        <w:tab/>
        <w:t>Application of this Division</w:t>
      </w:r>
      <w:bookmarkEnd w:id="188"/>
    </w:p>
    <w:p>
      <w:pPr>
        <w:pStyle w:val="Subsection"/>
      </w:pPr>
      <w:r>
        <w:tab/>
        <w:t>(1)</w:t>
      </w:r>
      <w:r>
        <w:tab/>
        <w:t>Subject to subrule (2), this Division applies to service in a Convention country of a local judicial document.</w:t>
      </w:r>
    </w:p>
    <w:p>
      <w:pPr>
        <w:pStyle w:val="Subsection"/>
        <w:keepLines/>
      </w:pPr>
      <w:r>
        <w:lastRenderedPageBreak/>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Gazette 3 Jul 2009 p. 2687.] </w:t>
      </w:r>
    </w:p>
    <w:p>
      <w:pPr>
        <w:pStyle w:val="Heading5"/>
      </w:pPr>
      <w:bookmarkStart w:id="189" w:name="_Toc129077467"/>
      <w:r>
        <w:rPr>
          <w:rStyle w:val="CharSectno"/>
        </w:rPr>
        <w:t>4</w:t>
      </w:r>
      <w:r>
        <w:t>.</w:t>
      </w:r>
      <w:r>
        <w:tab/>
        <w:t>Application for request for service abroad</w:t>
      </w:r>
      <w:bookmarkEnd w:id="189"/>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(1A)</w:t>
      </w:r>
      <w:r>
        <w:tab/>
        <w:t>If the local judicial document is a document of the Court, the application, and any other document to be filed for the purposes of this rule, must be filed electronically.</w:t>
      </w:r>
    </w:p>
    <w:p>
      <w:pPr>
        <w:pStyle w:val="Subsection"/>
      </w:pPr>
      <w:r>
        <w:tab/>
        <w:t>(1B)</w:t>
      </w:r>
      <w:r>
        <w:tab/>
        <w:t>If the local judicial document is not a document of the Court, the application, and any other document to be filed for the purposes of this rule, cannot be filed electronically.</w:t>
      </w:r>
    </w:p>
    <w:p>
      <w:pPr>
        <w:pStyle w:val="Subsection"/>
      </w:pPr>
      <w:r>
        <w:tab/>
        <w:t>(2)</w:t>
      </w:r>
      <w:r>
        <w:tab/>
        <w:t>The application must be accompanied by each of the following documents (if the application is filed electronically) or 3 copies of each of those documents (if the application is not filed electronically)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lastRenderedPageBreak/>
        <w:tab/>
        <w:t>(3)</w:t>
      </w:r>
      <w:r>
        <w:tab/>
        <w:t>The application must contain a written undertaking to the Court, signed by the legal practitioner on the record for the applicant in the proceedings to which the local judicial document relates or, if there is no legal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lastRenderedPageBreak/>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keepNext/>
      </w:pPr>
      <w:r>
        <w:tab/>
        <w:t>(b)</w:t>
      </w:r>
      <w:r>
        <w:tab/>
        <w:t>the translator’s full name and address and his or her qualifications for making the translation.</w:t>
      </w:r>
    </w:p>
    <w:p>
      <w:pPr>
        <w:pStyle w:val="Footnotesection"/>
      </w:pPr>
      <w:r>
        <w:tab/>
        <w:t>[Rule 4 inserted: Gazette 3 Jul 2009 p. 2687</w:t>
      </w:r>
      <w:r>
        <w:noBreakHyphen/>
        <w:t xml:space="preserve">9; amended: Gazette 27 Feb 2018 p. 557; SL 2022/74 r. 15.] </w:t>
      </w:r>
    </w:p>
    <w:p>
      <w:pPr>
        <w:pStyle w:val="Heading5"/>
      </w:pPr>
      <w:bookmarkStart w:id="190" w:name="_Toc129077468"/>
      <w:r>
        <w:rPr>
          <w:rStyle w:val="CharSectno"/>
        </w:rPr>
        <w:t>5</w:t>
      </w:r>
      <w:r>
        <w:t>.</w:t>
      </w:r>
      <w:r>
        <w:tab/>
        <w:t>How application to be dealt with</w:t>
      </w:r>
      <w:bookmarkEnd w:id="190"/>
    </w:p>
    <w:p>
      <w:pPr>
        <w:pStyle w:val="Subsection"/>
      </w:pPr>
      <w:r>
        <w:tab/>
        <w:t>(1)</w:t>
      </w:r>
      <w:r>
        <w:tab/>
        <w:t>If satisfied that the application and its accompanying documents comply with rule 4, the registrar —</w:t>
      </w:r>
    </w:p>
    <w:p>
      <w:pPr>
        <w:pStyle w:val="Indenta"/>
      </w:pPr>
      <w:r>
        <w:tab/>
        <w:t>(a)</w:t>
      </w:r>
      <w:r>
        <w:tab/>
        <w:t>must sign the request for service abroad; and</w:t>
      </w:r>
    </w:p>
    <w:p>
      <w:pPr>
        <w:pStyle w:val="Indenta"/>
      </w:pPr>
      <w:r>
        <w:tab/>
        <w:t>(b)</w:t>
      </w:r>
      <w:r>
        <w:tab/>
        <w:t xml:space="preserve">must forward 2 copies of the relevant documents — </w:t>
      </w:r>
    </w:p>
    <w:p>
      <w:pPr>
        <w:pStyle w:val="Indenti"/>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pPr>
      <w:r>
        <w:tab/>
        <w:t>(a)</w:t>
      </w:r>
      <w:r>
        <w:tab/>
        <w:t>the request for service abroad (duly signed);</w:t>
      </w:r>
    </w:p>
    <w:p>
      <w:pPr>
        <w:pStyle w:val="Indenta"/>
      </w:pPr>
      <w:r>
        <w:tab/>
        <w:t>(b)</w:t>
      </w:r>
      <w:r>
        <w:tab/>
        <w:t>the document to be served;</w:t>
      </w:r>
    </w:p>
    <w:p>
      <w:pPr>
        <w:pStyle w:val="Indenta"/>
      </w:pPr>
      <w:r>
        <w:tab/>
        <w:t>(c)</w:t>
      </w:r>
      <w:r>
        <w:tab/>
        <w:t>the summary of the document to be served;</w:t>
      </w:r>
    </w:p>
    <w:p>
      <w:pPr>
        <w:pStyle w:val="Indenta"/>
      </w:pPr>
      <w:r>
        <w:tab/>
        <w:t>(d)</w:t>
      </w:r>
      <w:r>
        <w:tab/>
        <w:t>if required under rule 4(2)(d), a translation into the relevant language of each of the documents mentioned in paragraphs (b) and (c).</w:t>
      </w:r>
    </w:p>
    <w:p>
      <w:pPr>
        <w:pStyle w:val="Subsection"/>
      </w:pPr>
      <w:r>
        <w:lastRenderedPageBreak/>
        <w:tab/>
        <w:t>(3)</w:t>
      </w:r>
      <w:r>
        <w:tab/>
        <w:t>If not satisfied that the application or any of its accompanying documents complies with rule 4, the registrar must inform the applicant of the respects in which the application or document fails to comply.</w:t>
      </w:r>
    </w:p>
    <w:p>
      <w:pPr>
        <w:pStyle w:val="Footnotesection"/>
        <w:ind w:left="890" w:hanging="890"/>
      </w:pPr>
      <w:r>
        <w:tab/>
        <w:t xml:space="preserve">[Rule 5 inserted: Gazette 3 Jul 2009 p. 2689.] </w:t>
      </w:r>
    </w:p>
    <w:p>
      <w:pPr>
        <w:pStyle w:val="Heading5"/>
      </w:pPr>
      <w:bookmarkStart w:id="191" w:name="_Toc129077469"/>
      <w:r>
        <w:rPr>
          <w:rStyle w:val="CharSectno"/>
        </w:rPr>
        <w:t>6</w:t>
      </w:r>
      <w:r>
        <w:t>.</w:t>
      </w:r>
      <w:r>
        <w:tab/>
        <w:t>Procedure on receipt of certificate of service</w:t>
      </w:r>
      <w:bookmarkEnd w:id="191"/>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legal practitioner on the record for the applicant in those proceedings; or</w:t>
      </w:r>
    </w:p>
    <w:p>
      <w:pPr>
        <w:pStyle w:val="Indenti"/>
        <w:spacing w:before="120"/>
      </w:pPr>
      <w:r>
        <w:tab/>
        <w:t>(ii)</w:t>
      </w:r>
      <w:r>
        <w:tab/>
        <w:t>if there is no legal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legal practitioner or applicant who gave the undertaking mentioned in rule 4(3) a notice specifying the amount of those costs.</w:t>
      </w:r>
    </w:p>
    <w:p>
      <w:pPr>
        <w:pStyle w:val="Subsection"/>
        <w:spacing w:before="200"/>
      </w:pPr>
      <w:r>
        <w:lastRenderedPageBreak/>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Gazette 3 Jul 2009 p. 2689</w:t>
      </w:r>
      <w:r>
        <w:noBreakHyphen/>
        <w:t xml:space="preserve">90; amended: SL 2022/74 r. 15.] </w:t>
      </w:r>
    </w:p>
    <w:p>
      <w:pPr>
        <w:pStyle w:val="Heading5"/>
      </w:pPr>
      <w:bookmarkStart w:id="192" w:name="_Toc129077470"/>
      <w:r>
        <w:rPr>
          <w:rStyle w:val="CharSectno"/>
        </w:rPr>
        <w:t>7</w:t>
      </w:r>
      <w:r>
        <w:t>.</w:t>
      </w:r>
      <w:r>
        <w:tab/>
        <w:t>Payment of costs</w:t>
      </w:r>
      <w:bookmarkEnd w:id="192"/>
    </w:p>
    <w:p>
      <w:pPr>
        <w:pStyle w:val="Subsection"/>
      </w:pPr>
      <w:r>
        <w:tab/>
        <w:t>(1)</w:t>
      </w:r>
      <w:r>
        <w:tab/>
        <w:t>On receipt of a notice under rule 6(3) in relation to the costs of service, the legal practitioner or applicant, as the case may be, must pay into the Central Office the amount specified in the notice as the amount of those costs.</w:t>
      </w:r>
    </w:p>
    <w:p>
      <w:pPr>
        <w:pStyle w:val="Subsection"/>
      </w:pPr>
      <w:r>
        <w:tab/>
        <w:t>(2)</w:t>
      </w:r>
      <w:r>
        <w:tab/>
        <w:t>If the legal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keepNext/>
      </w:pPr>
      <w:r>
        <w:tab/>
        <w:t>(b)</w:t>
      </w:r>
      <w:r>
        <w:tab/>
        <w:t>the registrar may take such steps as are appropriate to enforce the undertaking for payment of those costs.</w:t>
      </w:r>
    </w:p>
    <w:p>
      <w:pPr>
        <w:pStyle w:val="Footnotesection"/>
      </w:pPr>
      <w:r>
        <w:tab/>
        <w:t>[Rule 7 inserted: Gazette 3 Jul 2009 p. 2690</w:t>
      </w:r>
      <w:r>
        <w:noBreakHyphen/>
        <w:t xml:space="preserve">1; amended: Gazette 27 Feb 2018 p. 557; SL 2022/74 r. 15.] </w:t>
      </w:r>
    </w:p>
    <w:p>
      <w:pPr>
        <w:pStyle w:val="Heading5"/>
      </w:pPr>
      <w:bookmarkStart w:id="193" w:name="_Toc129077471"/>
      <w:r>
        <w:rPr>
          <w:rStyle w:val="CharSectno"/>
        </w:rPr>
        <w:lastRenderedPageBreak/>
        <w:t>8</w:t>
      </w:r>
      <w:r>
        <w:t>.</w:t>
      </w:r>
      <w:r>
        <w:tab/>
        <w:t>Evidence of service</w:t>
      </w:r>
      <w:bookmarkEnd w:id="193"/>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Gazette 3 Jul 2009 p. 2691.] </w:t>
      </w:r>
    </w:p>
    <w:p>
      <w:pPr>
        <w:pStyle w:val="Heading3"/>
      </w:pPr>
      <w:bookmarkStart w:id="194" w:name="_Toc129073400"/>
      <w:bookmarkStart w:id="195" w:name="_Toc129074683"/>
      <w:bookmarkStart w:id="196" w:name="_Toc129077472"/>
      <w:r>
        <w:rPr>
          <w:rStyle w:val="CharDivNo"/>
        </w:rPr>
        <w:t>Division 3</w:t>
      </w:r>
      <w:r>
        <w:t> — </w:t>
      </w:r>
      <w:r>
        <w:rPr>
          <w:rStyle w:val="CharDivText"/>
        </w:rPr>
        <w:t>Default judgment following service abroad of initiating process</w:t>
      </w:r>
      <w:bookmarkEnd w:id="194"/>
      <w:bookmarkEnd w:id="195"/>
      <w:bookmarkEnd w:id="196"/>
    </w:p>
    <w:p>
      <w:pPr>
        <w:pStyle w:val="Footnoteheading"/>
        <w:keepNext/>
      </w:pPr>
      <w:r>
        <w:tab/>
        <w:t>[Heading inserted: Gazette 3 Jul 2009 p. 2691.]</w:t>
      </w:r>
    </w:p>
    <w:p>
      <w:pPr>
        <w:pStyle w:val="Heading5"/>
      </w:pPr>
      <w:bookmarkStart w:id="197" w:name="_Toc129077473"/>
      <w:r>
        <w:rPr>
          <w:rStyle w:val="CharSectno"/>
        </w:rPr>
        <w:t>9</w:t>
      </w:r>
      <w:r>
        <w:t>.</w:t>
      </w:r>
      <w:r>
        <w:tab/>
        <w:t>Application of this Division</w:t>
      </w:r>
      <w:bookmarkEnd w:id="197"/>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Gazette 3 Jul 2009 p. 2691.] </w:t>
      </w:r>
    </w:p>
    <w:p>
      <w:pPr>
        <w:pStyle w:val="Heading5"/>
      </w:pPr>
      <w:bookmarkStart w:id="198" w:name="_Toc129077474"/>
      <w:r>
        <w:rPr>
          <w:rStyle w:val="CharSectno"/>
        </w:rPr>
        <w:t>10</w:t>
      </w:r>
      <w:r>
        <w:t>.</w:t>
      </w:r>
      <w:r>
        <w:tab/>
        <w:t>Restriction on power to enter default judgment if certificate of service filed</w:t>
      </w:r>
      <w:bookmarkEnd w:id="198"/>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lastRenderedPageBreak/>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6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spacing w:before="60"/>
      </w:pPr>
      <w:r>
        <w:tab/>
        <w:t>(iii)</w:t>
      </w:r>
      <w:r>
        <w:tab/>
        <w:t>if the applicant did not request a particular method of service, in circumstances where the defendant accepted the document voluntarily;</w:t>
      </w:r>
    </w:p>
    <w:p>
      <w:pPr>
        <w:pStyle w:val="Indenta"/>
        <w:spacing w:before="60"/>
      </w:pPr>
      <w:r>
        <w:tab/>
      </w:r>
      <w:r>
        <w:tab/>
        <w:t>and</w:t>
      </w:r>
    </w:p>
    <w:p>
      <w:pPr>
        <w:pStyle w:val="Indenta"/>
      </w:pPr>
      <w:r>
        <w:tab/>
        <w:t>(b)</w:t>
      </w:r>
      <w:r>
        <w:tab/>
        <w:t>the initiating process was served in sufficient time to enable the defendant to enter an appearance in the proceedings.</w:t>
      </w:r>
    </w:p>
    <w:p>
      <w:pPr>
        <w:pStyle w:val="Subsection"/>
        <w:spacing w:before="120"/>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spacing w:before="100"/>
        <w:ind w:left="890" w:hanging="890"/>
      </w:pPr>
      <w:r>
        <w:tab/>
        <w:t>[Rule 10 inserted: Gazette 3 Jul 2009 p. 2691</w:t>
      </w:r>
      <w:r>
        <w:noBreakHyphen/>
        <w:t xml:space="preserve">2.] </w:t>
      </w:r>
    </w:p>
    <w:p>
      <w:pPr>
        <w:pStyle w:val="Heading5"/>
        <w:spacing w:before="180"/>
      </w:pPr>
      <w:bookmarkStart w:id="199" w:name="_Toc129077475"/>
      <w:r>
        <w:rPr>
          <w:rStyle w:val="CharSectno"/>
        </w:rPr>
        <w:lastRenderedPageBreak/>
        <w:t>11</w:t>
      </w:r>
      <w:r>
        <w:t>.</w:t>
      </w:r>
      <w:r>
        <w:tab/>
        <w:t>Restriction on power to enter default judgment if certificate of service not filed</w:t>
      </w:r>
      <w:bookmarkEnd w:id="199"/>
    </w:p>
    <w:p>
      <w:pPr>
        <w:pStyle w:val="Subsection"/>
        <w:keepNext/>
        <w:spacing w:before="120"/>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spacing w:before="120"/>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Gazette 3 Jul 2009 p. 2692</w:t>
      </w:r>
      <w:r>
        <w:noBreakHyphen/>
        <w:t xml:space="preserve">3.] </w:t>
      </w:r>
    </w:p>
    <w:p>
      <w:pPr>
        <w:pStyle w:val="Heading5"/>
      </w:pPr>
      <w:bookmarkStart w:id="200" w:name="_Toc129077476"/>
      <w:r>
        <w:rPr>
          <w:rStyle w:val="CharSectno"/>
        </w:rPr>
        <w:t>12</w:t>
      </w:r>
      <w:r>
        <w:t>.</w:t>
      </w:r>
      <w:r>
        <w:tab/>
        <w:t>Setting aside judgment in default of appearance</w:t>
      </w:r>
      <w:bookmarkEnd w:id="200"/>
    </w:p>
    <w:p>
      <w:pPr>
        <w:pStyle w:val="Subsection"/>
      </w:pPr>
      <w:r>
        <w:tab/>
        <w:t>(1)</w:t>
      </w:r>
      <w:r>
        <w:tab/>
        <w:t>This rule applies if default judgment has been entered against the defendant in proceedings to which this Division applies.</w:t>
      </w:r>
    </w:p>
    <w:p>
      <w:pPr>
        <w:pStyle w:val="Subsection"/>
      </w:pPr>
      <w:r>
        <w:lastRenderedPageBreak/>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Gazette 3 Jul 2009 p. 2693.] </w:t>
      </w:r>
    </w:p>
    <w:p>
      <w:pPr>
        <w:pStyle w:val="Heading3"/>
      </w:pPr>
      <w:bookmarkStart w:id="201" w:name="_Toc129073405"/>
      <w:bookmarkStart w:id="202" w:name="_Toc129074688"/>
      <w:bookmarkStart w:id="203" w:name="_Toc129077477"/>
      <w:r>
        <w:rPr>
          <w:rStyle w:val="CharDivNo"/>
        </w:rPr>
        <w:t>Division 4</w:t>
      </w:r>
      <w:r>
        <w:t> — </w:t>
      </w:r>
      <w:r>
        <w:rPr>
          <w:rStyle w:val="CharDivText"/>
        </w:rPr>
        <w:t>Local service of foreign judicial documents</w:t>
      </w:r>
      <w:bookmarkEnd w:id="201"/>
      <w:bookmarkEnd w:id="202"/>
      <w:bookmarkEnd w:id="203"/>
    </w:p>
    <w:p>
      <w:pPr>
        <w:pStyle w:val="Footnoteheading"/>
      </w:pPr>
      <w:r>
        <w:tab/>
        <w:t xml:space="preserve">[Heading inserted: Gazette 3 Jul 2009 p. 2693.] </w:t>
      </w:r>
    </w:p>
    <w:p>
      <w:pPr>
        <w:pStyle w:val="Heading5"/>
      </w:pPr>
      <w:bookmarkStart w:id="204" w:name="_Toc129077478"/>
      <w:r>
        <w:rPr>
          <w:rStyle w:val="CharSectno"/>
        </w:rPr>
        <w:t>13</w:t>
      </w:r>
      <w:r>
        <w:t>.</w:t>
      </w:r>
      <w:r>
        <w:tab/>
        <w:t>Application of this Division</w:t>
      </w:r>
      <w:bookmarkEnd w:id="204"/>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lastRenderedPageBreak/>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keepNext/>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Subsection"/>
      </w:pPr>
      <w:r>
        <w:tab/>
        <w:t>(4)</w:t>
      </w:r>
      <w:r>
        <w:tab/>
        <w:t>A request for service referred to in subrule (2), and any other document to be filed for the purposes of this rule, cannot be filed electronically.</w:t>
      </w:r>
    </w:p>
    <w:p>
      <w:pPr>
        <w:pStyle w:val="Footnotesection"/>
      </w:pPr>
      <w:r>
        <w:tab/>
        <w:t>[Rule 13 inserted: Gazette 3 Jul 2009 p. 2693</w:t>
      </w:r>
      <w:r>
        <w:noBreakHyphen/>
        <w:t xml:space="preserve">4; amended: Gazette 27 Feb 2018 p. 557.] </w:t>
      </w:r>
    </w:p>
    <w:p>
      <w:pPr>
        <w:pStyle w:val="Heading5"/>
      </w:pPr>
      <w:bookmarkStart w:id="205" w:name="_Toc129077479"/>
      <w:r>
        <w:rPr>
          <w:rStyle w:val="CharSectno"/>
        </w:rPr>
        <w:t>14</w:t>
      </w:r>
      <w:r>
        <w:t>.</w:t>
      </w:r>
      <w:r>
        <w:tab/>
        <w:t>Certain documents to be referred back to Attorney</w:t>
      </w:r>
      <w:r>
        <w:noBreakHyphen/>
        <w:t>General’s Department of Commonwealth</w:t>
      </w:r>
      <w:bookmarkEnd w:id="205"/>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that compliance with the request may infringe Australia’s sovereignty or security; or</w:t>
      </w:r>
    </w:p>
    <w:p>
      <w:pPr>
        <w:pStyle w:val="Indenta"/>
      </w:pPr>
      <w:r>
        <w:lastRenderedPageBreak/>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PermNoteHeading"/>
      </w:pPr>
      <w:r>
        <w:tab/>
        <w:t>Note:</w:t>
      </w:r>
    </w:p>
    <w:p>
      <w:pPr>
        <w:pStyle w:val="PermNoteText"/>
      </w:pPr>
      <w:r>
        <w:tab/>
      </w:r>
      <w:r>
        <w:tab/>
        <w:t>The Attorney</w:t>
      </w:r>
      <w:r>
        <w:noBreakHyphen/>
        <w:t>General’s Department of the Commonwealth will deal with misdirected and non</w:t>
      </w:r>
      <w:r>
        <w:noBreakHyphen/>
        <w:t>compliant requests, make arrangements for the service of extrajudicial documents and assess and decide questions concerning Australia’s sovereignty and security.</w:t>
      </w:r>
    </w:p>
    <w:p>
      <w:pPr>
        <w:pStyle w:val="Footnotesection"/>
      </w:pPr>
      <w:r>
        <w:tab/>
        <w:t xml:space="preserve">[Rule 14 inserted: Gazette 3 Jul 2009 p. 2694.] </w:t>
      </w:r>
    </w:p>
    <w:p>
      <w:pPr>
        <w:pStyle w:val="Heading5"/>
      </w:pPr>
      <w:bookmarkStart w:id="206" w:name="_Toc129077480"/>
      <w:r>
        <w:rPr>
          <w:rStyle w:val="CharSectno"/>
        </w:rPr>
        <w:t>15</w:t>
      </w:r>
      <w:r>
        <w:t>.</w:t>
      </w:r>
      <w:r>
        <w:tab/>
        <w:t>Service</w:t>
      </w:r>
      <w:bookmarkEnd w:id="206"/>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lastRenderedPageBreak/>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Gazette 3 Jul 2009 p. 2694</w:t>
      </w:r>
      <w:r>
        <w:noBreakHyphen/>
        <w:t xml:space="preserve">5.] </w:t>
      </w:r>
    </w:p>
    <w:p>
      <w:pPr>
        <w:pStyle w:val="Heading5"/>
      </w:pPr>
      <w:bookmarkStart w:id="207" w:name="_Toc129077481"/>
      <w:r>
        <w:rPr>
          <w:rStyle w:val="CharSectno"/>
        </w:rPr>
        <w:t>16</w:t>
      </w:r>
      <w:r>
        <w:t>.</w:t>
      </w:r>
      <w:r>
        <w:tab/>
        <w:t>Affidavit as to service</w:t>
      </w:r>
      <w:bookmarkEnd w:id="207"/>
    </w:p>
    <w:p>
      <w:pPr>
        <w:pStyle w:val="Subsection"/>
      </w:pPr>
      <w:r>
        <w:tab/>
        <w:t>(1)</w:t>
      </w:r>
      <w:r>
        <w:tab/>
        <w:t>If service of a document has been effected pursuant to a request for service in this jurisdiction, the person by whom service has been effected must file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file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filed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 xml:space="preserve">must forward the certificate of service, together with a statement as to the costs incurred in relation to the service or attempted service of the document, directly to </w:t>
      </w:r>
      <w:r>
        <w:lastRenderedPageBreak/>
        <w:t>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Subsection"/>
      </w:pPr>
      <w:r>
        <w:tab/>
        <w:t>(5)</w:t>
      </w:r>
      <w:r>
        <w:tab/>
        <w:t>An affidavit as to service to be filed in accordance with this rule cannot be filed electronically.</w:t>
      </w:r>
    </w:p>
    <w:p>
      <w:pPr>
        <w:pStyle w:val="Footnotesection"/>
      </w:pPr>
      <w:r>
        <w:tab/>
        <w:t>[Rule 16 inserted: Gazette 3 Jul 2009 p. 2695</w:t>
      </w:r>
      <w:r>
        <w:noBreakHyphen/>
        <w:t xml:space="preserve">6; amended: Gazette 27 Feb 2018 p. 558.] </w:t>
      </w:r>
    </w:p>
    <w:p>
      <w:pPr>
        <w:pStyle w:val="Ednotepart"/>
      </w:pPr>
      <w:r>
        <w:t>[Orders 11B and 11C deleted: Gazette 3 Jul 2009 p. 2685.]</w:t>
      </w:r>
    </w:p>
    <w:p>
      <w:pPr>
        <w:pStyle w:val="Heading2"/>
        <w:rPr>
          <w:b w:val="0"/>
        </w:rPr>
      </w:pPr>
      <w:bookmarkStart w:id="208" w:name="_Toc129073410"/>
      <w:bookmarkStart w:id="209" w:name="_Toc129074693"/>
      <w:bookmarkStart w:id="210" w:name="_Toc129077482"/>
      <w:r>
        <w:rPr>
          <w:rStyle w:val="CharPartNo"/>
        </w:rPr>
        <w:lastRenderedPageBreak/>
        <w:t>Order 12</w:t>
      </w:r>
      <w:r>
        <w:rPr>
          <w:rStyle w:val="CharDivNo"/>
        </w:rPr>
        <w:t> </w:t>
      </w:r>
      <w:r>
        <w:t>—</w:t>
      </w:r>
      <w:r>
        <w:rPr>
          <w:rStyle w:val="CharDivText"/>
        </w:rPr>
        <w:t> </w:t>
      </w:r>
      <w:r>
        <w:rPr>
          <w:rStyle w:val="CharPartText"/>
        </w:rPr>
        <w:t>Appearance</w:t>
      </w:r>
      <w:bookmarkEnd w:id="208"/>
      <w:bookmarkEnd w:id="209"/>
      <w:bookmarkEnd w:id="210"/>
    </w:p>
    <w:p>
      <w:pPr>
        <w:pStyle w:val="Heading5"/>
        <w:rPr>
          <w:snapToGrid w:val="0"/>
        </w:rPr>
      </w:pPr>
      <w:bookmarkStart w:id="211" w:name="_Toc129077483"/>
      <w:r>
        <w:rPr>
          <w:rStyle w:val="CharSectno"/>
        </w:rPr>
        <w:t>1</w:t>
      </w:r>
      <w:r>
        <w:rPr>
          <w:snapToGrid w:val="0"/>
        </w:rPr>
        <w:t>.</w:t>
      </w:r>
      <w:r>
        <w:rPr>
          <w:snapToGrid w:val="0"/>
        </w:rPr>
        <w:tab/>
        <w:t>Who may enter appearance</w:t>
      </w:r>
      <w:bookmarkEnd w:id="211"/>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 xml:space="preserve">legal practitioner </w:t>
      </w:r>
      <w:r>
        <w:rPr>
          <w:snapToGrid w:val="0"/>
        </w:rPr>
        <w:t>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legal practitioner.</w:t>
      </w:r>
    </w:p>
    <w:p>
      <w:pPr>
        <w:pStyle w:val="Ednotesubsection"/>
      </w:pPr>
      <w:r>
        <w:tab/>
      </w:r>
      <w:r>
        <w:tab/>
        <w:t xml:space="preserve">[Rule 1 amended: Gazette 7 Oct 1977 p. 3602; 22 Feb 2008 p. 634; 28 Jun 2011 p. 2552; SL 2022/74 r. 15.] </w:t>
      </w:r>
    </w:p>
    <w:p>
      <w:pPr>
        <w:pStyle w:val="Heading5"/>
      </w:pPr>
      <w:bookmarkStart w:id="212" w:name="_Toc129077484"/>
      <w:r>
        <w:rPr>
          <w:rStyle w:val="CharSectno"/>
        </w:rPr>
        <w:t>2</w:t>
      </w:r>
      <w:r>
        <w:t>.</w:t>
      </w:r>
      <w:r>
        <w:tab/>
        <w:t>How to enter an appearance</w:t>
      </w:r>
      <w:bookmarkEnd w:id="212"/>
    </w:p>
    <w:p>
      <w:pPr>
        <w:pStyle w:val="Subsection"/>
      </w:pPr>
      <w:r>
        <w:tab/>
        <w:t>(1)</w:t>
      </w:r>
      <w:r>
        <w:tab/>
        <w:t xml:space="preserve">To enter an appearance, a defendant must file 2 copies of a Form No. 6 signed by — </w:t>
      </w:r>
    </w:p>
    <w:p>
      <w:pPr>
        <w:pStyle w:val="Indenta"/>
      </w:pPr>
      <w:r>
        <w:tab/>
        <w:t>(a)</w:t>
      </w:r>
      <w:r>
        <w:tab/>
        <w:t>the legal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legal practitioner acts for 2 or more defendants in one action, a memorandum of appearance may relate to more than one of those defendants.</w:t>
      </w:r>
    </w:p>
    <w:p>
      <w:pPr>
        <w:pStyle w:val="Footnotesection"/>
      </w:pPr>
      <w:r>
        <w:tab/>
        <w:t xml:space="preserve">[Rule 2 inserted: Gazette 22 Feb 2008 p. 634; amended: SL 2022/74 r. 15.] </w:t>
      </w:r>
    </w:p>
    <w:p>
      <w:pPr>
        <w:pStyle w:val="Heading5"/>
        <w:rPr>
          <w:snapToGrid w:val="0"/>
        </w:rPr>
      </w:pPr>
      <w:bookmarkStart w:id="213" w:name="_Toc129077485"/>
      <w:r>
        <w:rPr>
          <w:rStyle w:val="CharSectno"/>
        </w:rPr>
        <w:t>3</w:t>
      </w:r>
      <w:r>
        <w:rPr>
          <w:snapToGrid w:val="0"/>
        </w:rPr>
        <w:t>.</w:t>
      </w:r>
      <w:r>
        <w:rPr>
          <w:snapToGrid w:val="0"/>
        </w:rPr>
        <w:tab/>
        <w:t>Procedure on receipt of requisite documents</w:t>
      </w:r>
      <w:bookmarkEnd w:id="213"/>
    </w:p>
    <w:p>
      <w:pPr>
        <w:pStyle w:val="Subsection"/>
        <w:rPr>
          <w:snapToGrid w:val="0"/>
        </w:rPr>
      </w:pPr>
      <w:r>
        <w:rPr>
          <w:snapToGrid w:val="0"/>
        </w:rPr>
        <w:tab/>
      </w:r>
      <w:r>
        <w:rPr>
          <w:snapToGrid w:val="0"/>
        </w:rPr>
        <w:tab/>
        <w:t xml:space="preserve">On receiving the requisite documents the proper officer must in all cases affix to the copy of the memorandum of appearance an </w:t>
      </w:r>
      <w:r>
        <w:rPr>
          <w:snapToGrid w:val="0"/>
        </w:rPr>
        <w:lastRenderedPageBreak/>
        <w:t xml:space="preserve">official stamp showing the date on which he received those documents, </w:t>
      </w:r>
      <w:r>
        <w:t xml:space="preserve">record the entry of appearance, </w:t>
      </w:r>
      <w:r>
        <w:rPr>
          <w:snapToGrid w:val="0"/>
        </w:rPr>
        <w:t>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Gazette 15 Jun 1973 p. 2247; 27 Feb 2018 p. 558.] </w:t>
      </w:r>
    </w:p>
    <w:p>
      <w:pPr>
        <w:pStyle w:val="Heading5"/>
      </w:pPr>
      <w:bookmarkStart w:id="214" w:name="_Toc129077486"/>
      <w:r>
        <w:rPr>
          <w:rStyle w:val="CharSectno"/>
        </w:rPr>
        <w:t>4</w:t>
      </w:r>
      <w:r>
        <w:t>.</w:t>
      </w:r>
      <w:r>
        <w:tab/>
        <w:t>Appearance to be served on plaintiff</w:t>
      </w:r>
      <w:bookmarkEnd w:id="214"/>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Gazette 22 Feb 2008 p. 635.] </w:t>
      </w:r>
    </w:p>
    <w:p>
      <w:pPr>
        <w:pStyle w:val="Heading5"/>
        <w:rPr>
          <w:snapToGrid w:val="0"/>
        </w:rPr>
      </w:pPr>
      <w:bookmarkStart w:id="215" w:name="_Toc129077487"/>
      <w:r>
        <w:rPr>
          <w:rStyle w:val="CharSectno"/>
        </w:rPr>
        <w:t>5</w:t>
      </w:r>
      <w:r>
        <w:rPr>
          <w:snapToGrid w:val="0"/>
        </w:rPr>
        <w:t>.</w:t>
      </w:r>
      <w:r>
        <w:rPr>
          <w:snapToGrid w:val="0"/>
        </w:rPr>
        <w:tab/>
        <w:t>Late appearance</w:t>
      </w:r>
      <w:bookmarkEnd w:id="215"/>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Gazette 28 Jun 2011 p. 2552.]</w:t>
      </w:r>
    </w:p>
    <w:p>
      <w:pPr>
        <w:pStyle w:val="Heading5"/>
        <w:rPr>
          <w:snapToGrid w:val="0"/>
        </w:rPr>
      </w:pPr>
      <w:bookmarkStart w:id="216" w:name="_Toc129077488"/>
      <w:r>
        <w:rPr>
          <w:rStyle w:val="CharSectno"/>
        </w:rPr>
        <w:t>6</w:t>
      </w:r>
      <w:r>
        <w:rPr>
          <w:snapToGrid w:val="0"/>
        </w:rPr>
        <w:t>.</w:t>
      </w:r>
      <w:r>
        <w:rPr>
          <w:snapToGrid w:val="0"/>
        </w:rPr>
        <w:tab/>
        <w:t>Conditional appearance</w:t>
      </w:r>
      <w:bookmarkEnd w:id="216"/>
    </w:p>
    <w:p>
      <w:pPr>
        <w:pStyle w:val="Subsection"/>
        <w:rPr>
          <w:snapToGrid w:val="0"/>
        </w:rPr>
      </w:pPr>
      <w:r>
        <w:rPr>
          <w:snapToGrid w:val="0"/>
        </w:rPr>
        <w:tab/>
        <w:t>(1)</w:t>
      </w:r>
      <w:r>
        <w:rPr>
          <w:snapToGrid w:val="0"/>
        </w:rPr>
        <w:tab/>
        <w:t xml:space="preserve">A defendant in any cause may enter a conditional appearance denying the jurisdiction of the Court or reserving the right to apply to the Court to set aside the originating process, or the notice thereof, or the service of the originating process, or notice </w:t>
      </w:r>
      <w:r>
        <w:rPr>
          <w:snapToGrid w:val="0"/>
        </w:rPr>
        <w:lastRenderedPageBreak/>
        <w:t>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pPr>
      <w:bookmarkStart w:id="217" w:name="_Toc129077489"/>
      <w:r>
        <w:rPr>
          <w:rStyle w:val="CharSectno"/>
        </w:rPr>
        <w:t>7</w:t>
      </w:r>
      <w:r>
        <w:t>.</w:t>
      </w:r>
      <w:r>
        <w:tab/>
        <w:t>Setting aside writ etc. before appearance</w:t>
      </w:r>
      <w:bookmarkEnd w:id="217"/>
    </w:p>
    <w:p>
      <w:pPr>
        <w:pStyle w:val="Subsection"/>
      </w:pPr>
      <w:r>
        <w:tab/>
      </w:r>
      <w:r>
        <w:tab/>
        <w:t>A defendant to an action, at any time before entering an appearance in it, may serve notice of motion to —</w:t>
      </w:r>
    </w:p>
    <w:p>
      <w:pPr>
        <w:pStyle w:val="Indenta"/>
      </w:pPr>
      <w:r>
        <w:tab/>
        <w:t>(a)</w:t>
      </w:r>
      <w:r>
        <w:tab/>
        <w:t>set aside the writ or service of the writ on the defendant; or</w:t>
      </w:r>
    </w:p>
    <w:p>
      <w:pPr>
        <w:pStyle w:val="Indenta"/>
      </w:pPr>
      <w:r>
        <w:tab/>
        <w:t>(b)</w:t>
      </w:r>
      <w:r>
        <w:tab/>
        <w:t>discharge any order that granted leave to serve the writ on the defendant outside Australia.</w:t>
      </w:r>
    </w:p>
    <w:p>
      <w:pPr>
        <w:pStyle w:val="Footnotesection"/>
      </w:pPr>
      <w:r>
        <w:tab/>
        <w:t>[Rule 7 inserted: Gazette 12 Jun 2012 p. 2451.]</w:t>
      </w:r>
    </w:p>
    <w:p>
      <w:pPr>
        <w:pStyle w:val="Heading5"/>
        <w:rPr>
          <w:snapToGrid w:val="0"/>
        </w:rPr>
      </w:pPr>
      <w:bookmarkStart w:id="218" w:name="_Toc129077490"/>
      <w:r>
        <w:rPr>
          <w:rStyle w:val="CharSectno"/>
        </w:rPr>
        <w:t>8</w:t>
      </w:r>
      <w:r>
        <w:rPr>
          <w:snapToGrid w:val="0"/>
        </w:rPr>
        <w:t>.</w:t>
      </w:r>
      <w:r>
        <w:rPr>
          <w:snapToGrid w:val="0"/>
        </w:rPr>
        <w:tab/>
        <w:t>Person not named may defend action for possession of land</w:t>
      </w:r>
      <w:bookmarkEnd w:id="218"/>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19" w:name="_Toc129077491"/>
      <w:r>
        <w:rPr>
          <w:rStyle w:val="CharSectno"/>
        </w:rPr>
        <w:t>9</w:t>
      </w:r>
      <w:r>
        <w:rPr>
          <w:snapToGrid w:val="0"/>
        </w:rPr>
        <w:t>.</w:t>
      </w:r>
      <w:r>
        <w:rPr>
          <w:snapToGrid w:val="0"/>
        </w:rPr>
        <w:tab/>
        <w:t>Person appearing under r. 8 to be named as defendant</w:t>
      </w:r>
      <w:bookmarkEnd w:id="219"/>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20" w:name="_Toc129077492"/>
      <w:r>
        <w:rPr>
          <w:rStyle w:val="CharSectno"/>
        </w:rPr>
        <w:lastRenderedPageBreak/>
        <w:t>10</w:t>
      </w:r>
      <w:r>
        <w:rPr>
          <w:snapToGrid w:val="0"/>
        </w:rPr>
        <w:t>.</w:t>
      </w:r>
      <w:r>
        <w:rPr>
          <w:snapToGrid w:val="0"/>
        </w:rPr>
        <w:tab/>
        <w:t>Limiting defence in action for possession of land</w:t>
      </w:r>
      <w:bookmarkEnd w:id="220"/>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Gazette 28 Jun 2011 p. 2552.]</w:t>
      </w:r>
    </w:p>
    <w:p>
      <w:pPr>
        <w:pStyle w:val="Heading2"/>
      </w:pPr>
      <w:bookmarkStart w:id="221" w:name="_Toc129073421"/>
      <w:bookmarkStart w:id="222" w:name="_Toc129074704"/>
      <w:bookmarkStart w:id="223" w:name="_Toc129077493"/>
      <w:r>
        <w:rPr>
          <w:rStyle w:val="CharPartNo"/>
        </w:rPr>
        <w:lastRenderedPageBreak/>
        <w:t>Order 13</w:t>
      </w:r>
      <w:r>
        <w:rPr>
          <w:rStyle w:val="CharDivNo"/>
        </w:rPr>
        <w:t> </w:t>
      </w:r>
      <w:r>
        <w:t>—</w:t>
      </w:r>
      <w:r>
        <w:rPr>
          <w:rStyle w:val="CharDivText"/>
        </w:rPr>
        <w:t> </w:t>
      </w:r>
      <w:r>
        <w:rPr>
          <w:rStyle w:val="CharPartText"/>
        </w:rPr>
        <w:t>Judgment in default of appearance to writ</w:t>
      </w:r>
      <w:bookmarkEnd w:id="221"/>
      <w:bookmarkEnd w:id="222"/>
      <w:bookmarkEnd w:id="223"/>
    </w:p>
    <w:p>
      <w:pPr>
        <w:pStyle w:val="Footnoteheading"/>
      </w:pPr>
      <w:r>
        <w:tab/>
        <w:t>[Heading inserted: Gazette 16 Nov 2016 p. 5189.]</w:t>
      </w:r>
    </w:p>
    <w:p>
      <w:pPr>
        <w:pStyle w:val="Heading5"/>
      </w:pPr>
      <w:bookmarkStart w:id="224" w:name="_Toc129077494"/>
      <w:r>
        <w:rPr>
          <w:rStyle w:val="CharSectno"/>
        </w:rPr>
        <w:t>1</w:t>
      </w:r>
      <w:r>
        <w:t>.</w:t>
      </w:r>
      <w:r>
        <w:tab/>
        <w:t>Plaintiff may enter judgment if defendant fails to enter appearance</w:t>
      </w:r>
      <w:bookmarkEnd w:id="224"/>
    </w:p>
    <w:p>
      <w:pPr>
        <w:pStyle w:val="Subsection"/>
      </w:pPr>
      <w:r>
        <w:tab/>
        <w:t>(1)</w:t>
      </w:r>
      <w:r>
        <w:tab/>
        <w:t>This Order applies only to proceedings commenced by writ.</w:t>
      </w:r>
    </w:p>
    <w:p>
      <w:pPr>
        <w:pStyle w:val="Subsection"/>
      </w:pPr>
      <w:r>
        <w:tab/>
        <w:t>(2)</w:t>
      </w:r>
      <w:r>
        <w:tab/>
        <w:t>If a defendant does not enter an appearance within the time limited for appearing, the plaintiff may enter judgment against that defendant in accordance with this Order.</w:t>
      </w:r>
    </w:p>
    <w:p>
      <w:pPr>
        <w:pStyle w:val="Subsection"/>
      </w:pPr>
      <w:r>
        <w:tab/>
        <w:t>(3)</w:t>
      </w:r>
      <w:r>
        <w:tab/>
        <w:t xml:space="preserve">Judgment must not be entered against a defendant under this Order unless — </w:t>
      </w:r>
    </w:p>
    <w:p>
      <w:pPr>
        <w:pStyle w:val="Indenta"/>
      </w:pPr>
      <w:r>
        <w:tab/>
        <w:t>(a)</w:t>
      </w:r>
      <w:r>
        <w:tab/>
        <w:t>an affidavit is filed by or on behalf of the plaintiff proving service of the writ on the defendant and indorsement of service in accordance with Order 9 rule 1(4); or</w:t>
      </w:r>
    </w:p>
    <w:p>
      <w:pPr>
        <w:pStyle w:val="Indenta"/>
      </w:pPr>
      <w:r>
        <w:tab/>
        <w:t>(b)</w:t>
      </w:r>
      <w:r>
        <w:tab/>
        <w:t>the plaintiff produces the writ indorsed by the defendant’s solicitor with a statement that the defendant’s solicitor accepts service of the writ on the defendant’s behalf.</w:t>
      </w:r>
    </w:p>
    <w:p>
      <w:pPr>
        <w:pStyle w:val="Subsection"/>
      </w:pPr>
      <w:r>
        <w:tab/>
        <w:t>(4)</w:t>
      </w:r>
      <w:r>
        <w:tab/>
        <w:t>The Court may require to be satisfied in whatever manner it thinks fit that the defendant has failed to enter an appearance.</w:t>
      </w:r>
    </w:p>
    <w:p>
      <w:pPr>
        <w:pStyle w:val="Footnotesection"/>
      </w:pPr>
      <w:r>
        <w:tab/>
        <w:t>[Rule 1 inserted: Gazette 16 Nov 2016 p. 5189</w:t>
      </w:r>
      <w:r>
        <w:noBreakHyphen/>
        <w:t>90.]</w:t>
      </w:r>
    </w:p>
    <w:p>
      <w:pPr>
        <w:pStyle w:val="Heading5"/>
      </w:pPr>
      <w:bookmarkStart w:id="225" w:name="_Toc129077495"/>
      <w:r>
        <w:rPr>
          <w:rStyle w:val="CharSectno"/>
        </w:rPr>
        <w:t>2</w:t>
      </w:r>
      <w:r>
        <w:t>.</w:t>
      </w:r>
      <w:r>
        <w:tab/>
        <w:t>Claim for liquidated demand</w:t>
      </w:r>
      <w:bookmarkEnd w:id="225"/>
    </w:p>
    <w:p>
      <w:pPr>
        <w:pStyle w:val="Subsection"/>
      </w:pPr>
      <w:r>
        <w:tab/>
        <w:t>(1)</w:t>
      </w:r>
      <w:r>
        <w:tab/>
        <w:t xml:space="preserve">If the writ is indorsed with a claim for a liquidated demand only, then, if a defendant fails to enter an appearance within the time limited for appearing, the plaintiff may — </w:t>
      </w:r>
    </w:p>
    <w:p>
      <w:pPr>
        <w:pStyle w:val="Indenta"/>
      </w:pPr>
      <w:r>
        <w:tab/>
        <w:t>(a)</w:t>
      </w:r>
      <w:r>
        <w:tab/>
        <w:t>enter judgment against the defendant for a sum not exceeding that claimed by the writ in respect of the demand and costs; and</w:t>
      </w:r>
    </w:p>
    <w:p>
      <w:pPr>
        <w:pStyle w:val="Indenta"/>
        <w:keepNext/>
      </w:pPr>
      <w:r>
        <w:lastRenderedPageBreak/>
        <w:tab/>
        <w:t>(b)</w:t>
      </w:r>
      <w:r>
        <w:tab/>
        <w:t>proceed with the action against the other defendants, if any, unless the defendants are sued in the alternative.</w:t>
      </w:r>
    </w:p>
    <w:p>
      <w:pPr>
        <w:pStyle w:val="Subsection"/>
      </w:pPr>
      <w:r>
        <w:tab/>
        <w:t>(2)</w:t>
      </w:r>
      <w:r>
        <w:tab/>
        <w:t>On a judgment under this rule, the plaintiff may issue execution on the judgment.</w:t>
      </w:r>
    </w:p>
    <w:p>
      <w:pPr>
        <w:pStyle w:val="Subsection"/>
      </w:pPr>
      <w:r>
        <w:tab/>
        <w:t>(3)</w:t>
      </w:r>
      <w:r>
        <w:tab/>
        <w:t>A claim is not excluded from this rule just because part of it is for interest under section 32 of the Act at a rate that is not higher than that payable on judgment debts at the date of the writ.</w:t>
      </w:r>
    </w:p>
    <w:p>
      <w:pPr>
        <w:pStyle w:val="Footnotesection"/>
      </w:pPr>
      <w:r>
        <w:tab/>
        <w:t>[Rule 2 inserted: Gazette 16 Nov 2016 p. 5190.]</w:t>
      </w:r>
    </w:p>
    <w:p>
      <w:pPr>
        <w:pStyle w:val="Heading5"/>
      </w:pPr>
      <w:bookmarkStart w:id="226" w:name="_Toc129077496"/>
      <w:r>
        <w:rPr>
          <w:rStyle w:val="CharSectno"/>
        </w:rPr>
        <w:t>3</w:t>
      </w:r>
      <w:r>
        <w:t>.</w:t>
      </w:r>
      <w:r>
        <w:tab/>
        <w:t>Claims for unliquidated damages</w:t>
      </w:r>
      <w:bookmarkEnd w:id="226"/>
    </w:p>
    <w:p>
      <w:pPr>
        <w:pStyle w:val="Subsection"/>
      </w:pPr>
      <w:r>
        <w:tab/>
        <w:t>(1)</w:t>
      </w:r>
      <w:r>
        <w:tab/>
        <w:t xml:space="preserve">If the writ is indorsed with a claim for unliquidated damages only, then, if a defendant fails to enter an appearance within the time limited for appearing, the plaintiff may — </w:t>
      </w:r>
    </w:p>
    <w:p>
      <w:pPr>
        <w:pStyle w:val="Indenta"/>
      </w:pPr>
      <w:r>
        <w:tab/>
        <w:t>(a)</w:t>
      </w:r>
      <w:r>
        <w:tab/>
        <w:t>enter judgment against the defendant and obtain an order for directions for the assessment of damages; and</w:t>
      </w:r>
    </w:p>
    <w:p>
      <w:pPr>
        <w:pStyle w:val="Indenta"/>
      </w:pPr>
      <w:r>
        <w:tab/>
        <w:t>(b)</w:t>
      </w:r>
      <w:r>
        <w:tab/>
        <w:t>proceed with the action against the other defendants, if any, unless the defendants are sued in the alternative.</w:t>
      </w:r>
    </w:p>
    <w:p>
      <w:pPr>
        <w:pStyle w:val="Subsection"/>
      </w:pPr>
      <w:r>
        <w:tab/>
        <w:t>(2)</w:t>
      </w:r>
      <w:r>
        <w:tab/>
        <w:t xml:space="preserve">On a judgment under this rule — </w:t>
      </w:r>
    </w:p>
    <w:p>
      <w:pPr>
        <w:pStyle w:val="Indenta"/>
      </w:pPr>
      <w:r>
        <w:tab/>
        <w:t>(a)</w:t>
      </w:r>
      <w:r>
        <w:tab/>
        <w:t>damages are to be assessed by a master unless the Court orders otherwise; and</w:t>
      </w:r>
    </w:p>
    <w:p>
      <w:pPr>
        <w:pStyle w:val="Indenta"/>
      </w:pPr>
      <w:r>
        <w:tab/>
        <w:t>(b)</w:t>
      </w:r>
      <w:r>
        <w:tab/>
        <w:t>judgment after the assessment of damages is to be entered as a default judgment under this rule; and</w:t>
      </w:r>
    </w:p>
    <w:p>
      <w:pPr>
        <w:pStyle w:val="Indenta"/>
      </w:pPr>
      <w:r>
        <w:tab/>
        <w:t>(c)</w:t>
      </w:r>
      <w:r>
        <w:tab/>
        <w:t>the plaintiff may issue execution on the judgment.</w:t>
      </w:r>
    </w:p>
    <w:p>
      <w:pPr>
        <w:pStyle w:val="Footnotesection"/>
      </w:pPr>
      <w:r>
        <w:tab/>
        <w:t>[Rule 3 inserted: Gazette 16 Nov 2016 p. 5190</w:t>
      </w:r>
      <w:r>
        <w:noBreakHyphen/>
        <w:t>1.]</w:t>
      </w:r>
    </w:p>
    <w:p>
      <w:pPr>
        <w:pStyle w:val="Heading5"/>
      </w:pPr>
      <w:bookmarkStart w:id="227" w:name="_Toc129077497"/>
      <w:r>
        <w:rPr>
          <w:rStyle w:val="CharSectno"/>
        </w:rPr>
        <w:t>4</w:t>
      </w:r>
      <w:r>
        <w:t>.</w:t>
      </w:r>
      <w:r>
        <w:tab/>
        <w:t>Claim relating to detention of goods (excluding mortgage actions)</w:t>
      </w:r>
      <w:bookmarkEnd w:id="227"/>
    </w:p>
    <w:p>
      <w:pPr>
        <w:pStyle w:val="Subsection"/>
        <w:keepNext/>
      </w:pPr>
      <w:r>
        <w:tab/>
        <w:t>(1)</w:t>
      </w:r>
      <w:r>
        <w:tab/>
        <w:t xml:space="preserve">If the writ is indorsed with a claim relating to the detention of goods only and is not a mortgage action, then, if a defendant </w:t>
      </w:r>
      <w:r>
        <w:lastRenderedPageBreak/>
        <w:t xml:space="preserve">fails to enter an appearance within the time limited for appearing, the plaintiff may — </w:t>
      </w:r>
    </w:p>
    <w:p>
      <w:pPr>
        <w:pStyle w:val="Indenta"/>
      </w:pPr>
      <w:r>
        <w:tab/>
        <w:t>(a)</w:t>
      </w:r>
      <w:r>
        <w:tab/>
        <w:t>at the plaintif</w:t>
      </w:r>
      <w:r>
        <w:rPr>
          <w:spacing w:val="20"/>
        </w:rPr>
        <w:t>f</w:t>
      </w:r>
      <w:r>
        <w:t xml:space="preserve">’s option, enter judgment against the defendant either — </w:t>
      </w:r>
    </w:p>
    <w:p>
      <w:pPr>
        <w:pStyle w:val="Indenti"/>
      </w:pPr>
      <w:r>
        <w:tab/>
        <w:t>(i)</w:t>
      </w:r>
      <w:r>
        <w:tab/>
        <w:t>for the delivery of the goods or their value to be assessed and costs; or</w:t>
      </w:r>
    </w:p>
    <w:p>
      <w:pPr>
        <w:pStyle w:val="Indenti"/>
      </w:pPr>
      <w:r>
        <w:tab/>
        <w:t>(ii)</w:t>
      </w:r>
      <w:r>
        <w:tab/>
        <w:t>for the value of the goods to be assessed and costs;</w:t>
      </w:r>
    </w:p>
    <w:p>
      <w:pPr>
        <w:pStyle w:val="Indenta"/>
      </w:pPr>
      <w:r>
        <w:tab/>
      </w:r>
      <w:r>
        <w:tab/>
        <w:t>and</w:t>
      </w:r>
    </w:p>
    <w:p>
      <w:pPr>
        <w:pStyle w:val="Indenta"/>
      </w:pPr>
      <w:r>
        <w:tab/>
        <w:t>(b)</w:t>
      </w:r>
      <w:r>
        <w:tab/>
        <w:t>proceed with the action against the other defendants, if any, unless the defendants are sued in the alternative.</w:t>
      </w:r>
    </w:p>
    <w:p>
      <w:pPr>
        <w:pStyle w:val="Subsection"/>
      </w:pPr>
      <w:r>
        <w:tab/>
        <w:t>(2)</w:t>
      </w:r>
      <w:r>
        <w:tab/>
        <w:t>On a judgment under this rule —</w:t>
      </w:r>
    </w:p>
    <w:p>
      <w:pPr>
        <w:pStyle w:val="Indenta"/>
      </w:pPr>
      <w:r>
        <w:tab/>
        <w:t>(a)</w:t>
      </w:r>
      <w:r>
        <w:tab/>
        <w:t>the value of the goods is to be assessed by a master unless the Court orders otherwise; and</w:t>
      </w:r>
    </w:p>
    <w:p>
      <w:pPr>
        <w:pStyle w:val="Indenta"/>
      </w:pPr>
      <w:r>
        <w:tab/>
        <w:t>(b)</w:t>
      </w:r>
      <w:r>
        <w:tab/>
        <w:t>judgment after the assessment of the value of the goods is to be entered as a default judgment under this rule; and</w:t>
      </w:r>
    </w:p>
    <w:p>
      <w:pPr>
        <w:pStyle w:val="Indenta"/>
      </w:pPr>
      <w:r>
        <w:tab/>
        <w:t>(c)</w:t>
      </w:r>
      <w:r>
        <w:tab/>
        <w:t>the plaintiff may issue execution on the judgment, except as provided in subrule (3).</w:t>
      </w:r>
    </w:p>
    <w:p>
      <w:pPr>
        <w:pStyle w:val="Subsection"/>
      </w:pPr>
      <w:r>
        <w:tab/>
        <w:t>(3)</w:t>
      </w:r>
      <w:r>
        <w:tab/>
        <w:t>If the judgment is for the delivery of goods it cannot be enforced against any defendant unless judgment has been entered or obtained against all other defendants, if any.</w:t>
      </w:r>
    </w:p>
    <w:p>
      <w:pPr>
        <w:pStyle w:val="Footnotesection"/>
      </w:pPr>
      <w:r>
        <w:tab/>
        <w:t>[Rule 4 inserted: Gazette 16 Nov 2016 p. 5191</w:t>
      </w:r>
      <w:r>
        <w:noBreakHyphen/>
        <w:t>2.]</w:t>
      </w:r>
    </w:p>
    <w:p>
      <w:pPr>
        <w:pStyle w:val="Heading5"/>
      </w:pPr>
      <w:bookmarkStart w:id="228" w:name="_Toc129077498"/>
      <w:r>
        <w:rPr>
          <w:rStyle w:val="CharSectno"/>
        </w:rPr>
        <w:t>5</w:t>
      </w:r>
      <w:r>
        <w:t>.</w:t>
      </w:r>
      <w:r>
        <w:tab/>
        <w:t>Claim for possession of land (excluding mortgage actions)</w:t>
      </w:r>
      <w:bookmarkEnd w:id="228"/>
    </w:p>
    <w:p>
      <w:pPr>
        <w:pStyle w:val="Subsection"/>
      </w:pPr>
      <w:r>
        <w:tab/>
        <w:t>(1)</w:t>
      </w:r>
      <w:r>
        <w:tab/>
        <w:t xml:space="preserve">If the writ is indorsed with a claim for possession of land only, then, if a defendant fails to enter an appearance within the time limited for appearing, the plaintiff may, on complying with subrule (2) — </w:t>
      </w:r>
    </w:p>
    <w:p>
      <w:pPr>
        <w:pStyle w:val="Indenta"/>
      </w:pPr>
      <w:r>
        <w:tab/>
        <w:t>(a)</w:t>
      </w:r>
      <w:r>
        <w:tab/>
        <w:t>enter judgment for possession of the land against the defendant and costs; and</w:t>
      </w:r>
    </w:p>
    <w:p>
      <w:pPr>
        <w:pStyle w:val="Indenta"/>
      </w:pPr>
      <w:r>
        <w:lastRenderedPageBreak/>
        <w:tab/>
        <w:t>(b)</w:t>
      </w:r>
      <w:r>
        <w:tab/>
        <w:t>proceed with the action against the other defendants, if any.</w:t>
      </w:r>
    </w:p>
    <w:p>
      <w:pPr>
        <w:pStyle w:val="Subsection"/>
      </w:pPr>
      <w:r>
        <w:tab/>
        <w:t>(2)</w:t>
      </w:r>
      <w:r>
        <w:tab/>
        <w:t>In order to enter judgment under this rule, the plaintiff must file a certificate from the plaintif</w:t>
      </w:r>
      <w:r>
        <w:rPr>
          <w:spacing w:val="20"/>
        </w:rPr>
        <w:t>f</w:t>
      </w:r>
      <w:r>
        <w:t>’s solicitor or, if suing in person, an affidavit stating that the plaintiff is not claiming relief of any of the kinds referred to in Order 4AA rule 2(1).</w:t>
      </w:r>
    </w:p>
    <w:p>
      <w:pPr>
        <w:pStyle w:val="Subsection"/>
      </w:pPr>
      <w:r>
        <w:tab/>
        <w:t>(3)</w:t>
      </w:r>
      <w:r>
        <w:tab/>
        <w:t>On a judgment under this rule, the plaintiff may issue execution of the judgment, except as provided in subrule (4).</w:t>
      </w:r>
    </w:p>
    <w:p>
      <w:pPr>
        <w:pStyle w:val="Subsection"/>
      </w:pPr>
      <w:r>
        <w:tab/>
        <w:t>(4)</w:t>
      </w:r>
      <w:r>
        <w:tab/>
        <w:t>If there is more than one defendant, judgment entered under this rule cannot be enforced against any defendant unless judgment has been entered or obtained against all the defendants.</w:t>
      </w:r>
    </w:p>
    <w:p>
      <w:pPr>
        <w:pStyle w:val="Footnotesection"/>
      </w:pPr>
      <w:r>
        <w:tab/>
        <w:t>[Rule 5 inserted: Gazette 16 Nov 2016 p. 5192.]</w:t>
      </w:r>
    </w:p>
    <w:p>
      <w:pPr>
        <w:pStyle w:val="Heading5"/>
      </w:pPr>
      <w:bookmarkStart w:id="229" w:name="_Toc129077499"/>
      <w:r>
        <w:rPr>
          <w:rStyle w:val="CharSectno"/>
        </w:rPr>
        <w:t>6</w:t>
      </w:r>
      <w:r>
        <w:t>.</w:t>
      </w:r>
      <w:r>
        <w:tab/>
        <w:t>Mortgage actions</w:t>
      </w:r>
      <w:bookmarkEnd w:id="229"/>
    </w:p>
    <w:p>
      <w:pPr>
        <w:pStyle w:val="Subsection"/>
      </w:pPr>
      <w:r>
        <w:tab/>
        <w:t>(1)</w:t>
      </w:r>
      <w:r>
        <w:tab/>
        <w:t xml:space="preserve">If an action begun by writ is a mortgage action, then, if a defendant fails to enter an appearance within the time limited for appearing, the plaintiff may, subject to subrules (2) and (3) — </w:t>
      </w:r>
    </w:p>
    <w:p>
      <w:pPr>
        <w:pStyle w:val="Indenta"/>
      </w:pPr>
      <w:r>
        <w:tab/>
        <w:t>(a)</w:t>
      </w:r>
      <w:r>
        <w:tab/>
        <w:t>enter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If the writ is indorsed with a claim for relief of a kind referred to in Order 4AA rule 2(1)(a), (b) or (c), in order to enter judgment under this rule, the plaintiff must, after the time limited for appearing has expired — </w:t>
      </w:r>
    </w:p>
    <w:p>
      <w:pPr>
        <w:pStyle w:val="Indenta"/>
      </w:pPr>
      <w:r>
        <w:tab/>
        <w:t>(a)</w:t>
      </w:r>
      <w:r>
        <w:tab/>
        <w:t>serve on the defendant a notice in Form 36A with a copy of the writ and Form 4 attached to it; and</w:t>
      </w:r>
    </w:p>
    <w:p>
      <w:pPr>
        <w:pStyle w:val="Indenta"/>
      </w:pPr>
      <w:r>
        <w:tab/>
        <w:t>(b)</w:t>
      </w:r>
      <w:r>
        <w:tab/>
        <w:t xml:space="preserve">not less than 11 days after serving the notice, file but need not serve — </w:t>
      </w:r>
    </w:p>
    <w:p>
      <w:pPr>
        <w:pStyle w:val="Indenti"/>
      </w:pPr>
      <w:r>
        <w:tab/>
        <w:t>(i)</w:t>
      </w:r>
      <w:r>
        <w:tab/>
        <w:t>a request to enter default judgment in Form 36B; and</w:t>
      </w:r>
    </w:p>
    <w:p>
      <w:pPr>
        <w:pStyle w:val="Indenti"/>
      </w:pPr>
      <w:r>
        <w:lastRenderedPageBreak/>
        <w:tab/>
        <w:t>(ii)</w:t>
      </w:r>
      <w:r>
        <w:tab/>
        <w:t>an affidavit in support that complies with rule 7.</w:t>
      </w:r>
    </w:p>
    <w:p>
      <w:pPr>
        <w:pStyle w:val="Subsection"/>
      </w:pPr>
      <w:r>
        <w:tab/>
        <w:t>(3)</w:t>
      </w:r>
      <w:r>
        <w:tab/>
        <w:t xml:space="preserve">If, in addition to a claim for relief of a kind referred to in Order 4AA rule 2(1)(a), (b) or (c), the writ is also indorsed with a claim for payment of money secured by the mortgage, the Form 36B request to enter default judgment must certify — </w:t>
      </w:r>
    </w:p>
    <w:p>
      <w:pPr>
        <w:pStyle w:val="Indenta"/>
      </w:pPr>
      <w:r>
        <w:tab/>
        <w:t>(a)</w:t>
      </w:r>
      <w:r>
        <w:tab/>
        <w:t>the amount owing to the plaintiff under the mortgage as at the date of the filing of the request; and</w:t>
      </w:r>
    </w:p>
    <w:p>
      <w:pPr>
        <w:pStyle w:val="Indenta"/>
      </w:pPr>
      <w:r>
        <w:tab/>
        <w:t>(b)</w:t>
      </w:r>
      <w:r>
        <w:tab/>
        <w:t>if the claims include a claim for interest after judgment, the amount of a day’s interest.</w:t>
      </w:r>
    </w:p>
    <w:p>
      <w:pPr>
        <w:pStyle w:val="Subsection"/>
      </w:pPr>
      <w:r>
        <w:tab/>
        <w:t>(4)</w:t>
      </w:r>
      <w:r>
        <w:tab/>
        <w:t>On a judgment under this rule, the plaintiff may issue execution on the judgment, except as provided in subrule (5).</w:t>
      </w:r>
    </w:p>
    <w:p>
      <w:pPr>
        <w:pStyle w:val="Subsection"/>
      </w:pPr>
      <w:r>
        <w:tab/>
        <w:t>(5)</w:t>
      </w:r>
      <w:r>
        <w:tab/>
        <w:t>If there is more than one defendant, judgment entered under this rule cannot be enforced against any defendant unless judgment has been entered or obtained against all the defendants.</w:t>
      </w:r>
    </w:p>
    <w:p>
      <w:pPr>
        <w:pStyle w:val="Subsection"/>
      </w:pPr>
      <w:r>
        <w:tab/>
        <w:t>(6)</w:t>
      </w:r>
      <w:r>
        <w:tab/>
        <w:t>Unless the Court orders otherwise, if judgment against a defendant under this rule is for the kind of relief referred to in Order 4AA rule 2(1)(a), within 28 days after service of the judgment the defendant must give the plaintiff possession of the mortgaged property.</w:t>
      </w:r>
    </w:p>
    <w:p>
      <w:pPr>
        <w:pStyle w:val="Footnotesection"/>
      </w:pPr>
      <w:r>
        <w:tab/>
        <w:t>[Rule 6 inserted: Gazette 16 Nov 2016 p. 5192</w:t>
      </w:r>
      <w:r>
        <w:noBreakHyphen/>
        <w:t>4.]</w:t>
      </w:r>
    </w:p>
    <w:p>
      <w:pPr>
        <w:pStyle w:val="Heading5"/>
      </w:pPr>
      <w:bookmarkStart w:id="230" w:name="_Toc129077500"/>
      <w:r>
        <w:rPr>
          <w:rStyle w:val="CharSectno"/>
        </w:rPr>
        <w:t>7</w:t>
      </w:r>
      <w:r>
        <w:t>.</w:t>
      </w:r>
      <w:r>
        <w:tab/>
        <w:t>Content of affidavit required by r. 6(2)(b)(ii)</w:t>
      </w:r>
      <w:bookmarkEnd w:id="230"/>
    </w:p>
    <w:p>
      <w:pPr>
        <w:pStyle w:val="Subsection"/>
      </w:pPr>
      <w:r>
        <w:tab/>
        <w:t>(1)</w:t>
      </w:r>
      <w:r>
        <w:tab/>
        <w:t xml:space="preserve">In this rule — </w:t>
      </w:r>
    </w:p>
    <w:p>
      <w:pPr>
        <w:pStyle w:val="Defstart"/>
      </w:pPr>
      <w:r>
        <w:tab/>
      </w:r>
      <w:r>
        <w:rPr>
          <w:rStyle w:val="CharDefText"/>
        </w:rPr>
        <w:t>mortgage</w:t>
      </w:r>
      <w:r>
        <w:t xml:space="preserve">, </w:t>
      </w:r>
      <w:r>
        <w:rPr>
          <w:rStyle w:val="CharDefText"/>
        </w:rPr>
        <w:t>mortgagee</w:t>
      </w:r>
      <w:r>
        <w:t xml:space="preserve"> and </w:t>
      </w:r>
      <w:r>
        <w:rPr>
          <w:rStyle w:val="CharDefText"/>
        </w:rPr>
        <w:t>mortgagor</w:t>
      </w:r>
      <w:r>
        <w:t xml:space="preserve"> have the meanings given in Order 4AA rule 1.</w:t>
      </w:r>
    </w:p>
    <w:p>
      <w:pPr>
        <w:pStyle w:val="Subsection"/>
      </w:pPr>
      <w:r>
        <w:tab/>
        <w:t>(2)</w:t>
      </w:r>
      <w:r>
        <w:tab/>
        <w:t xml:space="preserve">An affidavit in support filed under rule 6(2)(b)(ii) must — </w:t>
      </w:r>
    </w:p>
    <w:p>
      <w:pPr>
        <w:pStyle w:val="Indenta"/>
      </w:pPr>
      <w:r>
        <w:tab/>
        <w:t>(a)</w:t>
      </w:r>
      <w:r>
        <w:tab/>
        <w:t>specify the property that is mortgaged; and</w:t>
      </w:r>
    </w:p>
    <w:p>
      <w:pPr>
        <w:pStyle w:val="Indenta"/>
      </w:pPr>
      <w:r>
        <w:tab/>
        <w:t>(b)</w:t>
      </w:r>
      <w:r>
        <w:tab/>
        <w:t>specify the person who is the proprietor of the mortgaged property; and</w:t>
      </w:r>
    </w:p>
    <w:p>
      <w:pPr>
        <w:pStyle w:val="Indenta"/>
        <w:keepNext/>
      </w:pPr>
      <w:r>
        <w:lastRenderedPageBreak/>
        <w:tab/>
        <w:t>(c)</w:t>
      </w:r>
      <w:r>
        <w:tab/>
        <w:t xml:space="preserve">have attached to it a copy of — </w:t>
      </w:r>
    </w:p>
    <w:p>
      <w:pPr>
        <w:pStyle w:val="Indenti"/>
      </w:pPr>
      <w:r>
        <w:tab/>
        <w:t>(i)</w:t>
      </w:r>
      <w:r>
        <w:tab/>
        <w:t>the certificate of title or other document that is evidence of title to the mortgaged property; and</w:t>
      </w:r>
    </w:p>
    <w:p>
      <w:pPr>
        <w:pStyle w:val="Indenti"/>
      </w:pPr>
      <w:r>
        <w:tab/>
        <w:t>(ii)</w:t>
      </w:r>
      <w:r>
        <w:tab/>
        <w:t>the mortgage;</w:t>
      </w:r>
    </w:p>
    <w:p>
      <w:pPr>
        <w:pStyle w:val="Indenta"/>
      </w:pPr>
      <w:r>
        <w:tab/>
      </w:r>
      <w:r>
        <w:tab/>
        <w:t>and</w:t>
      </w:r>
    </w:p>
    <w:p>
      <w:pPr>
        <w:pStyle w:val="Indenta"/>
      </w:pPr>
      <w:r>
        <w:tab/>
        <w:t>(d)</w:t>
      </w:r>
      <w:r>
        <w:tab/>
        <w:t xml:space="preserve">give particulars of the default or other circumstances that are put forward as entitling the plaintiff to the relief sought, including — </w:t>
      </w:r>
    </w:p>
    <w:p>
      <w:pPr>
        <w:pStyle w:val="Indenti"/>
      </w:pPr>
      <w:r>
        <w:tab/>
        <w:t>(i)</w:t>
      </w:r>
      <w:r>
        <w:tab/>
        <w:t>a reference to the provision of the mortgage that the defendant is alleged to have breached; and</w:t>
      </w:r>
    </w:p>
    <w:p>
      <w:pPr>
        <w:pStyle w:val="Indenti"/>
      </w:pPr>
      <w:r>
        <w:tab/>
        <w:t>(ii)</w:t>
      </w:r>
      <w:r>
        <w:tab/>
        <w:t>a reference to the provision of the mortgage that entitles the plaintiff to the relief sought; and</w:t>
      </w:r>
    </w:p>
    <w:p>
      <w:pPr>
        <w:pStyle w:val="Indenti"/>
      </w:pPr>
      <w:r>
        <w:tab/>
        <w:t>(iii)</w:t>
      </w:r>
      <w:r>
        <w:tab/>
        <w:t>if the writ is indorsed with a claim for payment of money secured by the mortgage, a reference to any non</w:t>
      </w:r>
      <w:r>
        <w:noBreakHyphen/>
        <w:t>merger provision of the mortgage that allows the recovery of interest at mortgage rates after judgment; and</w:t>
      </w:r>
    </w:p>
    <w:p>
      <w:pPr>
        <w:pStyle w:val="Indenti"/>
      </w:pPr>
      <w:r>
        <w:tab/>
        <w:t>(iv)</w:t>
      </w:r>
      <w:r>
        <w:tab/>
        <w:t>a statement as to whether or not notice of that default or those circumstances is required to be given to the defendant under the mortgage or a written law; and</w:t>
      </w:r>
    </w:p>
    <w:p>
      <w:pPr>
        <w:pStyle w:val="Indenti"/>
      </w:pPr>
      <w:r>
        <w:tab/>
        <w:t>(v)</w:t>
      </w:r>
      <w:r>
        <w:tab/>
        <w:t>if notice is required, details of compliance with that requirement;</w:t>
      </w:r>
    </w:p>
    <w:p>
      <w:pPr>
        <w:pStyle w:val="Indenta"/>
      </w:pPr>
      <w:r>
        <w:tab/>
      </w:r>
      <w:r>
        <w:tab/>
        <w:t>and</w:t>
      </w:r>
    </w:p>
    <w:p>
      <w:pPr>
        <w:pStyle w:val="Indenta"/>
      </w:pPr>
      <w:r>
        <w:tab/>
        <w:t>(e)</w:t>
      </w:r>
      <w:r>
        <w:tab/>
        <w:t xml:space="preserve">if the claim against the defendant is for sale or possession of mortgaged property — </w:t>
      </w:r>
    </w:p>
    <w:p>
      <w:pPr>
        <w:pStyle w:val="Indenti"/>
      </w:pPr>
      <w:r>
        <w:tab/>
        <w:t>(i)</w:t>
      </w:r>
      <w:r>
        <w:tab/>
        <w:t>state that Order 4AA rule 3(2) and Order 13 rule 6(2)(a) have been complied with; and</w:t>
      </w:r>
    </w:p>
    <w:p>
      <w:pPr>
        <w:pStyle w:val="Indenti"/>
        <w:keepLines/>
      </w:pPr>
      <w:r>
        <w:tab/>
        <w:t>(ii)</w:t>
      </w:r>
      <w:r>
        <w:tab/>
        <w:t>give details of every person who, to the best of the plaintif</w:t>
      </w:r>
      <w:r>
        <w:rPr>
          <w:spacing w:val="20"/>
        </w:rPr>
        <w:t>f</w:t>
      </w:r>
      <w:r>
        <w:t>’s knowledge, is in possession of the property and the grounds for concluding that the person is in possession; and</w:t>
      </w:r>
    </w:p>
    <w:p>
      <w:pPr>
        <w:pStyle w:val="Indenti"/>
      </w:pPr>
      <w:r>
        <w:lastRenderedPageBreak/>
        <w:tab/>
        <w:t>(iii)</w:t>
      </w:r>
      <w:r>
        <w:tab/>
        <w:t xml:space="preserve">if one or more of the people who are in possession of the property are tenants of the property, give details of the steps taken by the plaintiff to comply with any applicable requirements of the </w:t>
      </w:r>
      <w:r>
        <w:rPr>
          <w:i/>
        </w:rPr>
        <w:t>Residential Tenancies Act 1987</w:t>
      </w:r>
      <w:r>
        <w:t>;</w:t>
      </w:r>
    </w:p>
    <w:p>
      <w:pPr>
        <w:pStyle w:val="Indenta"/>
      </w:pPr>
      <w:r>
        <w:tab/>
      </w:r>
      <w:r>
        <w:tab/>
        <w:t>and</w:t>
      </w:r>
    </w:p>
    <w:p>
      <w:pPr>
        <w:pStyle w:val="Indenta"/>
      </w:pPr>
      <w:r>
        <w:tab/>
        <w:t>(f)</w:t>
      </w:r>
      <w:r>
        <w:tab/>
        <w:t xml:space="preserve">specify the following as at the date of the affidavit — </w:t>
      </w:r>
    </w:p>
    <w:p>
      <w:pPr>
        <w:pStyle w:val="Indenti"/>
      </w:pPr>
      <w:r>
        <w:tab/>
        <w:t>(i)</w:t>
      </w:r>
      <w:r>
        <w:tab/>
        <w:t>the amount owing to the plaintiff under the mortgage;</w:t>
      </w:r>
    </w:p>
    <w:p>
      <w:pPr>
        <w:pStyle w:val="Indenti"/>
      </w:pPr>
      <w:r>
        <w:tab/>
        <w:t>(ii)</w:t>
      </w:r>
      <w:r>
        <w:tab/>
        <w:t>the interest rate (as a percentage) under the mortgage;</w:t>
      </w:r>
    </w:p>
    <w:p>
      <w:pPr>
        <w:pStyle w:val="Indenti"/>
      </w:pPr>
      <w:r>
        <w:tab/>
        <w:t>(iii)</w:t>
      </w:r>
      <w:r>
        <w:tab/>
        <w:t>if the claim includes a claim for interest to judgment, the amount of a day’s interest;</w:t>
      </w:r>
    </w:p>
    <w:p>
      <w:pPr>
        <w:pStyle w:val="Indenta"/>
      </w:pPr>
      <w:r>
        <w:tab/>
      </w:r>
      <w:r>
        <w:tab/>
        <w:t>and</w:t>
      </w:r>
    </w:p>
    <w:p>
      <w:pPr>
        <w:pStyle w:val="Indenta"/>
      </w:pPr>
      <w:r>
        <w:tab/>
        <w:t>(g)</w:t>
      </w:r>
      <w:r>
        <w:tab/>
        <w:t>if the plaintiff is claiming costs (other than an order that the defendant pay the plaintif</w:t>
      </w:r>
      <w:r>
        <w:rPr>
          <w:spacing w:val="20"/>
        </w:rPr>
        <w:t>f</w:t>
      </w:r>
      <w:r>
        <w:t>’s costs to be taxed if not agreed), state the basis on which the plaintiff claims those costs.</w:t>
      </w:r>
    </w:p>
    <w:p>
      <w:pPr>
        <w:pStyle w:val="PermNoteHeading"/>
      </w:pPr>
      <w:r>
        <w:tab/>
        <w:t>Example for this subrule:</w:t>
      </w:r>
    </w:p>
    <w:p>
      <w:pPr>
        <w:pStyle w:val="PermNoteText"/>
      </w:pPr>
      <w:r>
        <w:tab/>
      </w:r>
      <w:r>
        <w:tab/>
        <w:t>A claim for indemnity costs must refer to the provision in the mortgage that entitles the plaintiff to those costs.</w:t>
      </w:r>
    </w:p>
    <w:p>
      <w:pPr>
        <w:pStyle w:val="Subsection"/>
      </w:pPr>
      <w:r>
        <w:tab/>
        <w:t>(3)</w:t>
      </w:r>
      <w:r>
        <w:tab/>
        <w:t>More than one affidavit may be used to comply with rule 6(2)(b)(ii) and this rule.</w:t>
      </w:r>
    </w:p>
    <w:p>
      <w:pPr>
        <w:pStyle w:val="Footnotesection"/>
      </w:pPr>
      <w:r>
        <w:tab/>
        <w:t>[Rule 7 inserted: Gazette 16 Nov 2016 p. 5194</w:t>
      </w:r>
      <w:r>
        <w:noBreakHyphen/>
        <w:t>6.]</w:t>
      </w:r>
    </w:p>
    <w:p>
      <w:pPr>
        <w:pStyle w:val="Heading5"/>
      </w:pPr>
      <w:bookmarkStart w:id="231" w:name="_Toc129077501"/>
      <w:r>
        <w:rPr>
          <w:rStyle w:val="CharSectno"/>
        </w:rPr>
        <w:t>8</w:t>
      </w:r>
      <w:r>
        <w:t>.</w:t>
      </w:r>
      <w:r>
        <w:tab/>
        <w:t>Writs for 2 or more claims to which r. 2 to 6 apply</w:t>
      </w:r>
      <w:bookmarkEnd w:id="231"/>
    </w:p>
    <w:p>
      <w:pPr>
        <w:pStyle w:val="Subsection"/>
        <w:keepNext/>
      </w:pPr>
      <w:r>
        <w:tab/>
      </w:r>
      <w:r>
        <w:tab/>
        <w:t xml:space="preserve">If the writ is indorsed with 2 or more claims to which rules 2 to 6 apply, and no other claim, then, if a defendant fails to enter an appearance within the time limited for appearing, the plaintiff may — </w:t>
      </w:r>
    </w:p>
    <w:p>
      <w:pPr>
        <w:pStyle w:val="Indenta"/>
      </w:pPr>
      <w:r>
        <w:tab/>
        <w:t>(a)</w:t>
      </w:r>
      <w:r>
        <w:tab/>
        <w:t xml:space="preserve">enter against the defendant, in respect of any claim with which the writ is indorsed, whatever judgment the </w:t>
      </w:r>
      <w:r>
        <w:lastRenderedPageBreak/>
        <w:t>plaintiff would be entitled to enter under those rules as if that were the only claim made by the plaintiff against the defendant; and</w:t>
      </w:r>
    </w:p>
    <w:p>
      <w:pPr>
        <w:pStyle w:val="Indenta"/>
      </w:pPr>
      <w:r>
        <w:tab/>
        <w:t>(b)</w:t>
      </w:r>
      <w:r>
        <w:tab/>
        <w:t>proceed with the action against the other defendants, if any, unless those rules otherwise provide.</w:t>
      </w:r>
    </w:p>
    <w:p>
      <w:pPr>
        <w:pStyle w:val="Footnotesection"/>
      </w:pPr>
      <w:r>
        <w:tab/>
        <w:t>[Rule 8 inserted: Gazette 16 Nov 2016 p. 5196</w:t>
      </w:r>
      <w:r>
        <w:noBreakHyphen/>
        <w:t>7.]</w:t>
      </w:r>
    </w:p>
    <w:p>
      <w:pPr>
        <w:pStyle w:val="Heading5"/>
      </w:pPr>
      <w:bookmarkStart w:id="232" w:name="_Toc129077502"/>
      <w:r>
        <w:rPr>
          <w:rStyle w:val="CharSectno"/>
        </w:rPr>
        <w:t>9</w:t>
      </w:r>
      <w:r>
        <w:t>.</w:t>
      </w:r>
      <w:r>
        <w:tab/>
        <w:t>Writs for other claims</w:t>
      </w:r>
      <w:bookmarkEnd w:id="232"/>
    </w:p>
    <w:p>
      <w:pPr>
        <w:pStyle w:val="Subsection"/>
      </w:pPr>
      <w:r>
        <w:tab/>
        <w:t>(1)</w:t>
      </w:r>
      <w:r>
        <w:tab/>
        <w:t xml:space="preserve">If the writ is indorsed with a claim to which none of rules 2 to 6 apply, then, if a defendant fails to enter an appearance within the time limited for appearing, the plaintiff may, on complying with subrule (2) — </w:t>
      </w:r>
    </w:p>
    <w:p>
      <w:pPr>
        <w:pStyle w:val="Indenta"/>
      </w:pPr>
      <w:r>
        <w:tab/>
        <w:t>(a)</w:t>
      </w:r>
      <w:r>
        <w:tab/>
        <w:t>apply to the Court on motion for judgment against the defendant for the relief sought and costs; and</w:t>
      </w:r>
    </w:p>
    <w:p>
      <w:pPr>
        <w:pStyle w:val="Indenta"/>
      </w:pPr>
      <w:r>
        <w:tab/>
        <w:t>(b)</w:t>
      </w:r>
      <w:r>
        <w:tab/>
        <w:t>proceed with the action against the other defendants, if any, unless the defendants are sued in the alternative.</w:t>
      </w:r>
    </w:p>
    <w:p>
      <w:pPr>
        <w:pStyle w:val="Subsection"/>
      </w:pPr>
      <w:r>
        <w:tab/>
        <w:t>(2)</w:t>
      </w:r>
      <w:r>
        <w:tab/>
        <w:t xml:space="preserve">In order to enter judgment under this rule — </w:t>
      </w:r>
    </w:p>
    <w:p>
      <w:pPr>
        <w:pStyle w:val="Indenta"/>
      </w:pPr>
      <w:r>
        <w:tab/>
        <w:t>(a)</w:t>
      </w:r>
      <w:r>
        <w:tab/>
        <w:t>if the statement of claim was not indorsed on or served with the writ, the plaintiff must serve the statement of claim on the defendant; and</w:t>
      </w:r>
    </w:p>
    <w:p>
      <w:pPr>
        <w:pStyle w:val="Indenta"/>
      </w:pPr>
      <w:r>
        <w:tab/>
        <w:t>(b)</w:t>
      </w:r>
      <w:r>
        <w:tab/>
        <w:t>the plaintiff must produce a certificate issued by the proper officer on the day of the hearing stating that no appearance has been entered by the defendant against whom it is sought to enter judgment.</w:t>
      </w:r>
    </w:p>
    <w:p>
      <w:pPr>
        <w:pStyle w:val="Subsection"/>
      </w:pPr>
      <w:r>
        <w:tab/>
        <w:t>(3)</w:t>
      </w:r>
      <w:r>
        <w:tab/>
        <w:t>On a judgment under this rule, the plaintiff may issue execution on the judgment, except as provided in subrule (4).</w:t>
      </w:r>
    </w:p>
    <w:p>
      <w:pPr>
        <w:pStyle w:val="Subsection"/>
        <w:keepNext/>
      </w:pPr>
      <w:r>
        <w:tab/>
        <w:t>(4)</w:t>
      </w:r>
      <w:r>
        <w:tab/>
        <w:t>If there is more than one defendant, judgment entered under this rule cannot be enforced against any defendant without leave of the Court.</w:t>
      </w:r>
    </w:p>
    <w:p>
      <w:pPr>
        <w:pStyle w:val="Footnotesection"/>
      </w:pPr>
      <w:r>
        <w:tab/>
        <w:t>[Rule 9 inserted: Gazette 16 Nov 2016 p. 5197.]</w:t>
      </w:r>
    </w:p>
    <w:p>
      <w:pPr>
        <w:pStyle w:val="Heading5"/>
      </w:pPr>
      <w:bookmarkStart w:id="233" w:name="_Toc129077503"/>
      <w:r>
        <w:rPr>
          <w:rStyle w:val="CharSectno"/>
        </w:rPr>
        <w:lastRenderedPageBreak/>
        <w:t>10</w:t>
      </w:r>
      <w:r>
        <w:t>.</w:t>
      </w:r>
      <w:r>
        <w:tab/>
        <w:t>Entry of judgment for costs only upon writs for other claims</w:t>
      </w:r>
      <w:bookmarkEnd w:id="233"/>
    </w:p>
    <w:p>
      <w:pPr>
        <w:pStyle w:val="Subsection"/>
      </w:pPr>
      <w:r>
        <w:tab/>
        <w:t>(1)</w:t>
      </w:r>
      <w:r>
        <w:tab/>
        <w:t xml:space="preserve">This rule applies if — </w:t>
      </w:r>
    </w:p>
    <w:p>
      <w:pPr>
        <w:pStyle w:val="Indenta"/>
      </w:pPr>
      <w:r>
        <w:tab/>
        <w:t>(a)</w:t>
      </w:r>
      <w:r>
        <w:tab/>
        <w:t>the writ is indorsed with a claim to which none of rules 2 to 6 apply; but</w:t>
      </w:r>
    </w:p>
    <w:p>
      <w:pPr>
        <w:pStyle w:val="Indenta"/>
      </w:pPr>
      <w:r>
        <w:tab/>
        <w:t>(b)</w:t>
      </w:r>
      <w:r>
        <w:tab/>
        <w:t xml:space="preserve">it has become unnecessary for the plaintiff to proceed with the action — </w:t>
      </w:r>
    </w:p>
    <w:p>
      <w:pPr>
        <w:pStyle w:val="Indenti"/>
      </w:pPr>
      <w:r>
        <w:tab/>
        <w:t>(i)</w:t>
      </w:r>
      <w:r>
        <w:tab/>
        <w:t>because the defendant has satisfied the claim or complied with the demands of the claim; or</w:t>
      </w:r>
    </w:p>
    <w:p>
      <w:pPr>
        <w:pStyle w:val="Indenti"/>
      </w:pPr>
      <w:r>
        <w:tab/>
        <w:t>(ii)</w:t>
      </w:r>
      <w:r>
        <w:tab/>
        <w:t>for any other similar reason.</w:t>
      </w:r>
    </w:p>
    <w:p>
      <w:pPr>
        <w:pStyle w:val="Subsection"/>
      </w:pPr>
      <w:r>
        <w:tab/>
        <w:t>(2)</w:t>
      </w:r>
      <w:r>
        <w:tab/>
        <w:t>If this rule applies, then, if the defendant fails to enter an appearance within the time limited for appearing, the plaintiff may, with the leave of the Court, enter judgment against the defendant for costs.</w:t>
      </w:r>
    </w:p>
    <w:p>
      <w:pPr>
        <w:pStyle w:val="Subsection"/>
      </w:pPr>
      <w:r>
        <w:tab/>
        <w:t>(3)</w:t>
      </w:r>
      <w:r>
        <w:tab/>
        <w:t>The application for the leave must be by summons.</w:t>
      </w:r>
    </w:p>
    <w:p>
      <w:pPr>
        <w:pStyle w:val="Subsection"/>
      </w:pPr>
      <w:r>
        <w:tab/>
        <w:t>(4)</w:t>
      </w:r>
      <w:r>
        <w:tab/>
        <w:t>Unless the Court orders otherwise, and regardless of Order 72 rule 8, the summons must be served on the defendant against whom it is sought to enter judgment.</w:t>
      </w:r>
    </w:p>
    <w:p>
      <w:pPr>
        <w:pStyle w:val="Footnotesection"/>
      </w:pPr>
      <w:r>
        <w:tab/>
        <w:t>[Rule 10 inserted: Gazette 16 Nov 2016 p. 5198.]</w:t>
      </w:r>
    </w:p>
    <w:p>
      <w:pPr>
        <w:pStyle w:val="Heading5"/>
      </w:pPr>
      <w:bookmarkStart w:id="234" w:name="_Toc129077504"/>
      <w:r>
        <w:rPr>
          <w:rStyle w:val="CharSectno"/>
        </w:rPr>
        <w:t>11</w:t>
      </w:r>
      <w:r>
        <w:t>.</w:t>
      </w:r>
      <w:r>
        <w:tab/>
        <w:t>Reference to Court in case of doubt or difficulty</w:t>
      </w:r>
      <w:bookmarkEnd w:id="234"/>
    </w:p>
    <w:p>
      <w:pPr>
        <w:pStyle w:val="Subsection"/>
      </w:pPr>
      <w:r>
        <w:tab/>
      </w:r>
      <w:r>
        <w:tab/>
        <w:t>In any case in which the plaintiff claims to be entitled under this Order to enter judgment in default of the defendant’s appearance, the Court may, if any doubt or difficulty arises in relation to that claim, direct that it be brought before the Court on motion or by summons.</w:t>
      </w:r>
    </w:p>
    <w:p>
      <w:pPr>
        <w:pStyle w:val="Footnotesection"/>
      </w:pPr>
      <w:r>
        <w:tab/>
        <w:t>[Rule 11 inserted: Gazette 16 Nov 2016 p. 5198.]</w:t>
      </w:r>
    </w:p>
    <w:p>
      <w:pPr>
        <w:pStyle w:val="Heading5"/>
      </w:pPr>
      <w:bookmarkStart w:id="235" w:name="_Toc129077505"/>
      <w:r>
        <w:rPr>
          <w:rStyle w:val="CharSectno"/>
        </w:rPr>
        <w:t>12</w:t>
      </w:r>
      <w:r>
        <w:t>.</w:t>
      </w:r>
      <w:r>
        <w:tab/>
        <w:t>Default judgment to inform defendant of certain matters</w:t>
      </w:r>
      <w:bookmarkEnd w:id="235"/>
    </w:p>
    <w:p>
      <w:pPr>
        <w:pStyle w:val="Subsection"/>
      </w:pPr>
      <w:r>
        <w:tab/>
      </w:r>
      <w:r>
        <w:tab/>
        <w:t xml:space="preserve">A default judgment must contain a statement informing the defendant of the defendant’s right — </w:t>
      </w:r>
    </w:p>
    <w:p>
      <w:pPr>
        <w:pStyle w:val="Indenta"/>
      </w:pPr>
      <w:r>
        <w:tab/>
        <w:t>(a)</w:t>
      </w:r>
      <w:r>
        <w:tab/>
        <w:t>to apply to have the default judgment set aside or varied; and</w:t>
      </w:r>
    </w:p>
    <w:p>
      <w:pPr>
        <w:pStyle w:val="Indenta"/>
      </w:pPr>
      <w:r>
        <w:lastRenderedPageBreak/>
        <w:tab/>
        <w:t>(b)</w:t>
      </w:r>
      <w:r>
        <w:tab/>
        <w:t xml:space="preserve">if applicable, to apply under the </w:t>
      </w:r>
      <w:r>
        <w:rPr>
          <w:i/>
        </w:rPr>
        <w:t>Civil Judgments Enforcement Act 2004</w:t>
      </w:r>
      <w:r>
        <w:t xml:space="preserve"> section 15 for an order suspending the enforcement of all or part of the default judgment.</w:t>
      </w:r>
    </w:p>
    <w:p>
      <w:pPr>
        <w:pStyle w:val="Footnotesection"/>
      </w:pPr>
      <w:r>
        <w:tab/>
        <w:t>[Rule 12 inserted: Gazette 16 Nov 2016 p. 5198</w:t>
      </w:r>
      <w:r>
        <w:noBreakHyphen/>
        <w:t>9.]</w:t>
      </w:r>
    </w:p>
    <w:p>
      <w:pPr>
        <w:pStyle w:val="Heading5"/>
      </w:pPr>
      <w:bookmarkStart w:id="236" w:name="_Toc129077506"/>
      <w:r>
        <w:rPr>
          <w:rStyle w:val="CharSectno"/>
        </w:rPr>
        <w:t>13</w:t>
      </w:r>
      <w:r>
        <w:t>.</w:t>
      </w:r>
      <w:r>
        <w:tab/>
        <w:t>Service of default judgment</w:t>
      </w:r>
      <w:bookmarkEnd w:id="236"/>
    </w:p>
    <w:p>
      <w:pPr>
        <w:pStyle w:val="Subsection"/>
      </w:pPr>
      <w:r>
        <w:tab/>
        <w:t>(1)</w:t>
      </w:r>
      <w:r>
        <w:tab/>
        <w:t>A plaintiff who obtains a default judgment must serve the judgment on the defendant as soon as practicable after the judgment is entered.</w:t>
      </w:r>
    </w:p>
    <w:p>
      <w:pPr>
        <w:pStyle w:val="Subsection"/>
      </w:pPr>
      <w:r>
        <w:tab/>
        <w:t>(2)</w:t>
      </w:r>
      <w:r>
        <w:tab/>
        <w:t>The defendant must be served personally with the default judgment.</w:t>
      </w:r>
    </w:p>
    <w:p>
      <w:pPr>
        <w:pStyle w:val="Footnotesection"/>
      </w:pPr>
      <w:r>
        <w:tab/>
        <w:t>[Rule 13 inserted: Gazette 16 Nov 2016 p. 5199.]</w:t>
      </w:r>
    </w:p>
    <w:p>
      <w:pPr>
        <w:pStyle w:val="Heading5"/>
      </w:pPr>
      <w:bookmarkStart w:id="237" w:name="_Toc129077507"/>
      <w:r>
        <w:rPr>
          <w:rStyle w:val="CharSectno"/>
        </w:rPr>
        <w:t>14</w:t>
      </w:r>
      <w:r>
        <w:t>.</w:t>
      </w:r>
      <w:r>
        <w:tab/>
        <w:t>Setting aside or varying default judgment</w:t>
      </w:r>
      <w:bookmarkEnd w:id="237"/>
    </w:p>
    <w:p>
      <w:pPr>
        <w:pStyle w:val="Subsection"/>
      </w:pPr>
      <w:r>
        <w:tab/>
      </w:r>
      <w:r>
        <w:tab/>
        <w:t>The Court may, on whatever terms it thinks just, set aside or vary any default judgment entered under this Order.</w:t>
      </w:r>
    </w:p>
    <w:p>
      <w:pPr>
        <w:pStyle w:val="Footnotesection"/>
      </w:pPr>
      <w:r>
        <w:tab/>
        <w:t>[Rule 14 inserted: Gazette 16 Nov 2016 p. 5199.]</w:t>
      </w:r>
    </w:p>
    <w:p>
      <w:pPr>
        <w:pStyle w:val="Heading2"/>
        <w:rPr>
          <w:b w:val="0"/>
        </w:rPr>
      </w:pPr>
      <w:bookmarkStart w:id="238" w:name="_Toc129073436"/>
      <w:bookmarkStart w:id="239" w:name="_Toc129074719"/>
      <w:bookmarkStart w:id="240" w:name="_Toc129077508"/>
      <w:r>
        <w:rPr>
          <w:rStyle w:val="CharPartNo"/>
        </w:rPr>
        <w:lastRenderedPageBreak/>
        <w:t>Order 14</w:t>
      </w:r>
      <w:r>
        <w:t> — </w:t>
      </w:r>
      <w:r>
        <w:rPr>
          <w:rStyle w:val="CharPartText"/>
        </w:rPr>
        <w:t>Summary judgment</w:t>
      </w:r>
      <w:bookmarkEnd w:id="238"/>
      <w:bookmarkEnd w:id="239"/>
      <w:bookmarkEnd w:id="240"/>
    </w:p>
    <w:p>
      <w:pPr>
        <w:pStyle w:val="Heading5"/>
        <w:rPr>
          <w:snapToGrid w:val="0"/>
        </w:rPr>
      </w:pPr>
      <w:bookmarkStart w:id="241" w:name="_Toc129077509"/>
      <w:r>
        <w:rPr>
          <w:rStyle w:val="CharSectno"/>
        </w:rPr>
        <w:t>1</w:t>
      </w:r>
      <w:r>
        <w:rPr>
          <w:snapToGrid w:val="0"/>
        </w:rPr>
        <w:t>.</w:t>
      </w:r>
      <w:r>
        <w:rPr>
          <w:snapToGrid w:val="0"/>
        </w:rPr>
        <w:tab/>
        <w:t>When plaintiff may apply for summary judgment</w:t>
      </w:r>
      <w:bookmarkEnd w:id="241"/>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Gazette 5 Jun 1992 p. 2279; 28 Oct 1996 p. 5675.] </w:t>
      </w:r>
    </w:p>
    <w:p>
      <w:pPr>
        <w:pStyle w:val="Heading5"/>
        <w:rPr>
          <w:snapToGrid w:val="0"/>
        </w:rPr>
      </w:pPr>
      <w:bookmarkStart w:id="242" w:name="_Toc129077510"/>
      <w:r>
        <w:rPr>
          <w:rStyle w:val="CharSectno"/>
        </w:rPr>
        <w:t>2</w:t>
      </w:r>
      <w:r>
        <w:rPr>
          <w:snapToGrid w:val="0"/>
        </w:rPr>
        <w:t>.</w:t>
      </w:r>
      <w:r>
        <w:rPr>
          <w:snapToGrid w:val="0"/>
        </w:rPr>
        <w:tab/>
        <w:t>Application under r. 1, how to make</w:t>
      </w:r>
      <w:bookmarkEnd w:id="242"/>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Gazette 3 Oct 1975 p. 3769.] </w:t>
      </w:r>
    </w:p>
    <w:p>
      <w:pPr>
        <w:pStyle w:val="Heading5"/>
        <w:rPr>
          <w:snapToGrid w:val="0"/>
        </w:rPr>
      </w:pPr>
      <w:bookmarkStart w:id="243" w:name="_Toc129077511"/>
      <w:r>
        <w:rPr>
          <w:rStyle w:val="CharSectno"/>
        </w:rPr>
        <w:lastRenderedPageBreak/>
        <w:t>3</w:t>
      </w:r>
      <w:r>
        <w:rPr>
          <w:snapToGrid w:val="0"/>
        </w:rPr>
        <w:t>.</w:t>
      </w:r>
      <w:r>
        <w:rPr>
          <w:snapToGrid w:val="0"/>
        </w:rPr>
        <w:tab/>
        <w:t>Judgment may be given for plaintiff</w:t>
      </w:r>
      <w:bookmarkEnd w:id="24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44" w:name="_Toc129077512"/>
      <w:r>
        <w:rPr>
          <w:rStyle w:val="CharSectno"/>
        </w:rPr>
        <w:t>4</w:t>
      </w:r>
      <w:r>
        <w:rPr>
          <w:snapToGrid w:val="0"/>
        </w:rPr>
        <w:t>.</w:t>
      </w:r>
      <w:r>
        <w:rPr>
          <w:snapToGrid w:val="0"/>
        </w:rPr>
        <w:tab/>
        <w:t>Defendant may be given leave to defend</w:t>
      </w:r>
      <w:bookmarkEnd w:id="244"/>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lastRenderedPageBreak/>
        <w:t>[</w:t>
      </w:r>
      <w:r>
        <w:rPr>
          <w:b/>
        </w:rPr>
        <w:t>5.</w:t>
      </w:r>
      <w:r>
        <w:rPr>
          <w:b/>
        </w:rPr>
        <w:tab/>
      </w:r>
      <w:r>
        <w:t xml:space="preserve">Deleted: Gazette 28 Oct 1996 p. 5675.] </w:t>
      </w:r>
    </w:p>
    <w:p>
      <w:pPr>
        <w:pStyle w:val="Heading5"/>
        <w:spacing w:before="260"/>
        <w:rPr>
          <w:snapToGrid w:val="0"/>
        </w:rPr>
      </w:pPr>
      <w:bookmarkStart w:id="245" w:name="_Toc129077513"/>
      <w:r>
        <w:rPr>
          <w:rStyle w:val="CharSectno"/>
        </w:rPr>
        <w:t>6</w:t>
      </w:r>
      <w:r>
        <w:rPr>
          <w:snapToGrid w:val="0"/>
        </w:rPr>
        <w:t>.</w:t>
      </w:r>
      <w:r>
        <w:rPr>
          <w:snapToGrid w:val="0"/>
        </w:rPr>
        <w:tab/>
        <w:t>Summary judgment on counterclaim</w:t>
      </w:r>
      <w:bookmarkEnd w:id="245"/>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Gazette 28 Jun 2011 p. 2552.]</w:t>
      </w:r>
    </w:p>
    <w:p>
      <w:pPr>
        <w:pStyle w:val="Heading5"/>
        <w:spacing w:before="260"/>
        <w:rPr>
          <w:snapToGrid w:val="0"/>
        </w:rPr>
      </w:pPr>
      <w:bookmarkStart w:id="246" w:name="_Toc129077514"/>
      <w:r>
        <w:rPr>
          <w:rStyle w:val="CharSectno"/>
        </w:rPr>
        <w:t>7</w:t>
      </w:r>
      <w:r>
        <w:rPr>
          <w:snapToGrid w:val="0"/>
        </w:rPr>
        <w:t>.</w:t>
      </w:r>
      <w:r>
        <w:rPr>
          <w:snapToGrid w:val="0"/>
        </w:rPr>
        <w:tab/>
        <w:t>Court’s powers if leave to defend given etc.</w:t>
      </w:r>
      <w:bookmarkEnd w:id="246"/>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 xml:space="preserve">gives judgment for a plaintiff or a defendant on a claim or a part of a claim, but also orders that execution of the </w:t>
      </w:r>
      <w:r>
        <w:rPr>
          <w:snapToGrid w:val="0"/>
        </w:rPr>
        <w:lastRenderedPageBreak/>
        <w:t>judgment be stayed pending the trial of a counterclaim or of the action, as the case may be,</w:t>
      </w:r>
    </w:p>
    <w:p>
      <w:pPr>
        <w:pStyle w:val="Subsection"/>
        <w:rPr>
          <w:snapToGrid w:val="0"/>
        </w:rPr>
      </w:pPr>
      <w:r>
        <w:rPr>
          <w:snapToGrid w:val="0"/>
        </w:rPr>
        <w:tab/>
      </w:r>
      <w:r>
        <w:rPr>
          <w:snapToGrid w:val="0"/>
        </w:rPr>
        <w:tab/>
        <w:t xml:space="preserve">the Court may give </w:t>
      </w:r>
      <w:r>
        <w:t>directions as to the further conduct of the action</w:t>
      </w:r>
      <w:r>
        <w:rPr>
          <w:snapToGrid w:val="0"/>
        </w:rPr>
        <w:t xml:space="preserve"> and may direct that the affidavit filed by the defendant or the plaintiff, as the case may be, under this Order, shall serve in lieu of defence and may order the action to be forthwith set down for trial, and may define the issues that are to be tried.</w:t>
      </w:r>
    </w:p>
    <w:p>
      <w:pPr>
        <w:pStyle w:val="Footnotesection"/>
      </w:pPr>
      <w:r>
        <w:tab/>
        <w:t xml:space="preserve">[Rule 7 amended: Gazette 16 Aug 2017 p. 4410.] </w:t>
      </w:r>
    </w:p>
    <w:p>
      <w:pPr>
        <w:pStyle w:val="Heading5"/>
        <w:rPr>
          <w:snapToGrid w:val="0"/>
        </w:rPr>
      </w:pPr>
      <w:bookmarkStart w:id="247" w:name="_Toc129077515"/>
      <w:r>
        <w:rPr>
          <w:rStyle w:val="CharSectno"/>
        </w:rPr>
        <w:t>8</w:t>
      </w:r>
      <w:r>
        <w:rPr>
          <w:snapToGrid w:val="0"/>
        </w:rPr>
        <w:t>.</w:t>
      </w:r>
      <w:r>
        <w:rPr>
          <w:snapToGrid w:val="0"/>
        </w:rPr>
        <w:tab/>
        <w:t>Costs</w:t>
      </w:r>
      <w:bookmarkEnd w:id="247"/>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Gazette 15 Jun 1973 p. 2248; 28 Jun 2011 p. 2552.] </w:t>
      </w:r>
    </w:p>
    <w:p>
      <w:pPr>
        <w:pStyle w:val="Heading5"/>
        <w:rPr>
          <w:snapToGrid w:val="0"/>
        </w:rPr>
      </w:pPr>
      <w:bookmarkStart w:id="248" w:name="_Toc129077516"/>
      <w:r>
        <w:rPr>
          <w:rStyle w:val="CharSectno"/>
        </w:rPr>
        <w:t>9</w:t>
      </w:r>
      <w:r>
        <w:rPr>
          <w:snapToGrid w:val="0"/>
        </w:rPr>
        <w:t>.</w:t>
      </w:r>
      <w:r>
        <w:rPr>
          <w:snapToGrid w:val="0"/>
        </w:rPr>
        <w:tab/>
        <w:t>Right to proceed with residue of action or counterclaim</w:t>
      </w:r>
      <w:bookmarkEnd w:id="248"/>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49" w:name="_Toc129077517"/>
      <w:r>
        <w:rPr>
          <w:rStyle w:val="CharSectno"/>
        </w:rPr>
        <w:lastRenderedPageBreak/>
        <w:t>10</w:t>
      </w:r>
      <w:r>
        <w:rPr>
          <w:snapToGrid w:val="0"/>
        </w:rPr>
        <w:t>.</w:t>
      </w:r>
      <w:r>
        <w:rPr>
          <w:snapToGrid w:val="0"/>
        </w:rPr>
        <w:tab/>
        <w:t>Judgment for delivery of specific chattel</w:t>
      </w:r>
      <w:bookmarkEnd w:id="249"/>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50" w:name="_Toc129077518"/>
      <w:r>
        <w:rPr>
          <w:rStyle w:val="CharSectno"/>
        </w:rPr>
        <w:t>11</w:t>
      </w:r>
      <w:r>
        <w:rPr>
          <w:snapToGrid w:val="0"/>
        </w:rPr>
        <w:t>.</w:t>
      </w:r>
      <w:r>
        <w:rPr>
          <w:snapToGrid w:val="0"/>
        </w:rPr>
        <w:tab/>
        <w:t>Relief from judgment for recovery of land</w:t>
      </w:r>
      <w:bookmarkEnd w:id="250"/>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51" w:name="_Toc129077519"/>
      <w:r>
        <w:rPr>
          <w:rStyle w:val="CharSectno"/>
        </w:rPr>
        <w:t>12</w:t>
      </w:r>
      <w:r>
        <w:rPr>
          <w:snapToGrid w:val="0"/>
        </w:rPr>
        <w:t>.</w:t>
      </w:r>
      <w:r>
        <w:rPr>
          <w:snapToGrid w:val="0"/>
        </w:rPr>
        <w:tab/>
        <w:t>Summary judgment against absent party may be set aside or varied</w:t>
      </w:r>
      <w:bookmarkEnd w:id="251"/>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Gazette 28 Oct 1996 p. 5675.]</w:t>
      </w:r>
    </w:p>
    <w:p>
      <w:pPr>
        <w:pStyle w:val="Heading2"/>
        <w:rPr>
          <w:b w:val="0"/>
        </w:rPr>
      </w:pPr>
      <w:bookmarkStart w:id="252" w:name="_Toc129073448"/>
      <w:bookmarkStart w:id="253" w:name="_Toc129074731"/>
      <w:bookmarkStart w:id="254" w:name="_Toc129077520"/>
      <w:r>
        <w:rPr>
          <w:rStyle w:val="CharPartNo"/>
        </w:rPr>
        <w:lastRenderedPageBreak/>
        <w:t>Order 16</w:t>
      </w:r>
      <w:r>
        <w:t> — </w:t>
      </w:r>
      <w:r>
        <w:rPr>
          <w:rStyle w:val="CharPartText"/>
        </w:rPr>
        <w:t>Summary judgment on application of defendant</w:t>
      </w:r>
      <w:bookmarkEnd w:id="252"/>
      <w:bookmarkEnd w:id="253"/>
      <w:bookmarkEnd w:id="254"/>
    </w:p>
    <w:p>
      <w:pPr>
        <w:pStyle w:val="Heading5"/>
        <w:spacing w:before="180"/>
        <w:rPr>
          <w:snapToGrid w:val="0"/>
        </w:rPr>
      </w:pPr>
      <w:bookmarkStart w:id="255" w:name="_Toc129077521"/>
      <w:r>
        <w:rPr>
          <w:rStyle w:val="CharSectno"/>
        </w:rPr>
        <w:t>1</w:t>
      </w:r>
      <w:r>
        <w:rPr>
          <w:snapToGrid w:val="0"/>
        </w:rPr>
        <w:t>.</w:t>
      </w:r>
      <w:r>
        <w:rPr>
          <w:snapToGrid w:val="0"/>
        </w:rPr>
        <w:tab/>
        <w:t>Application by defendant for summary judgment</w:t>
      </w:r>
      <w:bookmarkEnd w:id="255"/>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Gazette 14 Dec 1979 p. 3869; 5 Jun 1992 p. 2279</w:t>
      </w:r>
      <w:r>
        <w:noBreakHyphen/>
        <w:t xml:space="preserve">80; 28 Jun 2011 p. 2552.] </w:t>
      </w:r>
    </w:p>
    <w:p>
      <w:pPr>
        <w:pStyle w:val="Heading5"/>
        <w:spacing w:before="180"/>
        <w:rPr>
          <w:snapToGrid w:val="0"/>
        </w:rPr>
      </w:pPr>
      <w:bookmarkStart w:id="256" w:name="_Toc129077522"/>
      <w:r>
        <w:rPr>
          <w:rStyle w:val="CharSectno"/>
        </w:rPr>
        <w:t>2</w:t>
      </w:r>
      <w:r>
        <w:rPr>
          <w:snapToGrid w:val="0"/>
        </w:rPr>
        <w:t>.</w:t>
      </w:r>
      <w:r>
        <w:rPr>
          <w:snapToGrid w:val="0"/>
        </w:rPr>
        <w:tab/>
        <w:t>Plaintiff may show cause</w:t>
      </w:r>
      <w:bookmarkEnd w:id="256"/>
    </w:p>
    <w:p>
      <w:pPr>
        <w:pStyle w:val="Subsection"/>
        <w:spacing w:before="120"/>
        <w:rPr>
          <w:snapToGrid w:val="0"/>
        </w:rPr>
      </w:pPr>
      <w:r>
        <w:rPr>
          <w:snapToGrid w:val="0"/>
        </w:rPr>
        <w:tab/>
        <w:t>(1)</w:t>
      </w:r>
      <w:r>
        <w:rPr>
          <w:snapToGrid w:val="0"/>
        </w:rPr>
        <w:tab/>
        <w:t>The plaintiff may show cause against such application by affidavit.</w:t>
      </w:r>
    </w:p>
    <w:p>
      <w:pPr>
        <w:pStyle w:val="Subsection"/>
        <w:spacing w:before="120"/>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lastRenderedPageBreak/>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Gazette 14 Dec 1979 p. 3869; 5 Jun 1992 p. 2280; 28 Jul 2010 p. 3482.] </w:t>
      </w:r>
    </w:p>
    <w:p>
      <w:pPr>
        <w:pStyle w:val="Heading5"/>
        <w:rPr>
          <w:snapToGrid w:val="0"/>
        </w:rPr>
      </w:pPr>
      <w:bookmarkStart w:id="257" w:name="_Toc129077523"/>
      <w:r>
        <w:rPr>
          <w:rStyle w:val="CharSectno"/>
        </w:rPr>
        <w:t>3</w:t>
      </w:r>
      <w:r>
        <w:rPr>
          <w:snapToGrid w:val="0"/>
        </w:rPr>
        <w:t>.</w:t>
      </w:r>
      <w:r>
        <w:rPr>
          <w:snapToGrid w:val="0"/>
        </w:rPr>
        <w:tab/>
        <w:t>Court’s powers if action to go to trial</w:t>
      </w:r>
      <w:bookmarkEnd w:id="257"/>
    </w:p>
    <w:p>
      <w:pPr>
        <w:pStyle w:val="Subsection"/>
        <w:rPr>
          <w:snapToGrid w:val="0"/>
        </w:rPr>
      </w:pPr>
      <w:r>
        <w:rPr>
          <w:snapToGrid w:val="0"/>
        </w:rPr>
        <w:tab/>
      </w:r>
      <w:r>
        <w:rPr>
          <w:snapToGrid w:val="0"/>
        </w:rPr>
        <w:tab/>
        <w:t xml:space="preserve">If the Court directs that the action shall proceed to trial, it may give </w:t>
      </w:r>
      <w:r>
        <w:t>directions as to the further conduct of the action</w:t>
      </w:r>
      <w:r>
        <w:rPr>
          <w:snapToGrid w:val="0"/>
        </w:rPr>
        <w:t xml:space="preserve"> and may order that the action be forthwith set down for trial.</w:t>
      </w:r>
    </w:p>
    <w:p>
      <w:pPr>
        <w:pStyle w:val="Footnotesection"/>
      </w:pPr>
      <w:r>
        <w:tab/>
        <w:t xml:space="preserve">[Rule 3 amended: Gazette 14 Dec 1979 p. 3869; 16 Aug 2017 p. 4410.] </w:t>
      </w:r>
    </w:p>
    <w:p>
      <w:pPr>
        <w:pStyle w:val="Heading5"/>
        <w:rPr>
          <w:snapToGrid w:val="0"/>
        </w:rPr>
      </w:pPr>
      <w:bookmarkStart w:id="258" w:name="_Toc129077524"/>
      <w:r>
        <w:rPr>
          <w:rStyle w:val="CharSectno"/>
        </w:rPr>
        <w:t>4</w:t>
      </w:r>
      <w:r>
        <w:rPr>
          <w:snapToGrid w:val="0"/>
        </w:rPr>
        <w:t>.</w:t>
      </w:r>
      <w:r>
        <w:rPr>
          <w:snapToGrid w:val="0"/>
        </w:rPr>
        <w:tab/>
        <w:t>Summary judgment against absent party may be set aside or varied</w:t>
      </w:r>
      <w:bookmarkEnd w:id="25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Gazette 5 Jun 1992 p. 2280.] </w:t>
      </w:r>
    </w:p>
    <w:p>
      <w:pPr>
        <w:pStyle w:val="Heading2"/>
        <w:rPr>
          <w:b w:val="0"/>
        </w:rPr>
      </w:pPr>
      <w:bookmarkStart w:id="259" w:name="_Toc129073453"/>
      <w:bookmarkStart w:id="260" w:name="_Toc129074736"/>
      <w:bookmarkStart w:id="261" w:name="_Toc129077525"/>
      <w:r>
        <w:rPr>
          <w:rStyle w:val="CharPartNo"/>
        </w:rPr>
        <w:lastRenderedPageBreak/>
        <w:t>Order 17</w:t>
      </w:r>
      <w:r>
        <w:t> — </w:t>
      </w:r>
      <w:r>
        <w:rPr>
          <w:rStyle w:val="CharPartText"/>
        </w:rPr>
        <w:t>Interpleader</w:t>
      </w:r>
      <w:bookmarkEnd w:id="259"/>
      <w:bookmarkEnd w:id="260"/>
      <w:bookmarkEnd w:id="261"/>
    </w:p>
    <w:p>
      <w:pPr>
        <w:pStyle w:val="Heading5"/>
        <w:spacing w:before="240"/>
        <w:rPr>
          <w:snapToGrid w:val="0"/>
        </w:rPr>
      </w:pPr>
      <w:bookmarkStart w:id="262" w:name="_Toc129077526"/>
      <w:r>
        <w:rPr>
          <w:rStyle w:val="CharSectno"/>
        </w:rPr>
        <w:t>1</w:t>
      </w:r>
      <w:r>
        <w:rPr>
          <w:snapToGrid w:val="0"/>
        </w:rPr>
        <w:t>.</w:t>
      </w:r>
      <w:r>
        <w:rPr>
          <w:snapToGrid w:val="0"/>
        </w:rPr>
        <w:tab/>
        <w:t>When interpleader relief may be granted</w:t>
      </w:r>
      <w:bookmarkEnd w:id="262"/>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Gazette 21 Feb 2007 p. 536.]</w:t>
      </w:r>
    </w:p>
    <w:p>
      <w:pPr>
        <w:pStyle w:val="Heading5"/>
        <w:spacing w:before="240"/>
        <w:rPr>
          <w:snapToGrid w:val="0"/>
        </w:rPr>
      </w:pPr>
      <w:bookmarkStart w:id="263" w:name="_Toc129077527"/>
      <w:r>
        <w:rPr>
          <w:rStyle w:val="CharSectno"/>
        </w:rPr>
        <w:t>2</w:t>
      </w:r>
      <w:r>
        <w:rPr>
          <w:snapToGrid w:val="0"/>
        </w:rPr>
        <w:t>.</w:t>
      </w:r>
      <w:r>
        <w:rPr>
          <w:snapToGrid w:val="0"/>
        </w:rPr>
        <w:tab/>
        <w:t>How to apply for interpleader relief</w:t>
      </w:r>
      <w:bookmarkEnd w:id="26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r>
      <w:r>
        <w:t>A summons</w:t>
      </w:r>
      <w:r>
        <w:rPr>
          <w:snapToGrid w:val="0"/>
        </w:rPr>
        <w:t xml:space="preserve">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lastRenderedPageBreak/>
        <w:tab/>
        <w:t>(c)</w:t>
      </w:r>
      <w:r>
        <w:rPr>
          <w:snapToGrid w:val="0"/>
        </w:rPr>
        <w:tab/>
        <w:t>is willing to dispose of any property involved in such manner as the Court or a judge may direct.</w:t>
      </w:r>
    </w:p>
    <w:p>
      <w:pPr>
        <w:pStyle w:val="Footnotesection"/>
        <w:keepLines w:val="0"/>
        <w:ind w:left="890" w:hanging="890"/>
      </w:pPr>
      <w:r>
        <w:tab/>
        <w:t>[Rule 2 amended: Gazette 21 Feb 2007 p. 536; 28 Jun 2011 p. 2552; 24 May 2017 p. 2607.]</w:t>
      </w:r>
    </w:p>
    <w:p>
      <w:pPr>
        <w:pStyle w:val="Heading5"/>
        <w:rPr>
          <w:snapToGrid w:val="0"/>
        </w:rPr>
      </w:pPr>
      <w:bookmarkStart w:id="264" w:name="_Toc129077528"/>
      <w:r>
        <w:rPr>
          <w:rStyle w:val="CharSectno"/>
        </w:rPr>
        <w:t>3</w:t>
      </w:r>
      <w:r>
        <w:rPr>
          <w:snapToGrid w:val="0"/>
        </w:rPr>
        <w:t>.</w:t>
      </w:r>
      <w:r>
        <w:rPr>
          <w:snapToGrid w:val="0"/>
        </w:rPr>
        <w:tab/>
        <w:t>Time for application by defendant</w:t>
      </w:r>
      <w:bookmarkEnd w:id="264"/>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65" w:name="_Toc129077529"/>
      <w:r>
        <w:rPr>
          <w:rStyle w:val="CharSectno"/>
        </w:rPr>
        <w:t>4</w:t>
      </w:r>
      <w:r>
        <w:rPr>
          <w:snapToGrid w:val="0"/>
        </w:rPr>
        <w:t>.</w:t>
      </w:r>
      <w:r>
        <w:rPr>
          <w:snapToGrid w:val="0"/>
        </w:rPr>
        <w:tab/>
        <w:t>Stay of proceedings</w:t>
      </w:r>
      <w:bookmarkEnd w:id="265"/>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66" w:name="_Toc129077530"/>
      <w:r>
        <w:rPr>
          <w:rStyle w:val="CharSectno"/>
        </w:rPr>
        <w:t>5</w:t>
      </w:r>
      <w:r>
        <w:rPr>
          <w:snapToGrid w:val="0"/>
        </w:rPr>
        <w:t>.</w:t>
      </w:r>
      <w:r>
        <w:rPr>
          <w:snapToGrid w:val="0"/>
        </w:rPr>
        <w:tab/>
        <w:t>Court’s powers on application</w:t>
      </w:r>
      <w:bookmarkEnd w:id="266"/>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67" w:name="_Toc129077531"/>
      <w:r>
        <w:rPr>
          <w:rStyle w:val="CharSectno"/>
        </w:rPr>
        <w:t>6</w:t>
      </w:r>
      <w:r>
        <w:rPr>
          <w:snapToGrid w:val="0"/>
        </w:rPr>
        <w:t>.</w:t>
      </w:r>
      <w:r>
        <w:rPr>
          <w:snapToGrid w:val="0"/>
        </w:rPr>
        <w:tab/>
        <w:t>Summary determination</w:t>
      </w:r>
      <w:bookmarkEnd w:id="267"/>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Gazette 21 Feb 2007 p. 536.]</w:t>
      </w:r>
    </w:p>
    <w:p>
      <w:pPr>
        <w:pStyle w:val="Heading5"/>
        <w:rPr>
          <w:snapToGrid w:val="0"/>
        </w:rPr>
      </w:pPr>
      <w:bookmarkStart w:id="268" w:name="_Toc129077532"/>
      <w:r>
        <w:rPr>
          <w:rStyle w:val="CharSectno"/>
        </w:rPr>
        <w:t>7</w:t>
      </w:r>
      <w:r>
        <w:rPr>
          <w:snapToGrid w:val="0"/>
        </w:rPr>
        <w:t>.</w:t>
      </w:r>
      <w:r>
        <w:rPr>
          <w:snapToGrid w:val="0"/>
        </w:rPr>
        <w:tab/>
        <w:t>Where question of law only</w:t>
      </w:r>
      <w:bookmarkEnd w:id="268"/>
    </w:p>
    <w:p>
      <w:pPr>
        <w:pStyle w:val="Subsection"/>
        <w:rPr>
          <w:snapToGrid w:val="0"/>
        </w:rPr>
      </w:pPr>
      <w:r>
        <w:rPr>
          <w:snapToGrid w:val="0"/>
        </w:rPr>
        <w:tab/>
      </w:r>
      <w:r>
        <w:rPr>
          <w:snapToGrid w:val="0"/>
        </w:rPr>
        <w:tab/>
        <w:t xml:space="preserve">Where the question is one of law, and the facts are not in dispute, the Court may either decide the question without directing the trial of an issue, or order that a special case be </w:t>
      </w:r>
      <w:r>
        <w:rPr>
          <w:snapToGrid w:val="0"/>
        </w:rPr>
        <w:lastRenderedPageBreak/>
        <w:t>stated for the opinion of the Court. If a special case is stated Order 31 shall, as far as applicable, apply.</w:t>
      </w:r>
    </w:p>
    <w:p>
      <w:pPr>
        <w:pStyle w:val="Heading5"/>
        <w:rPr>
          <w:snapToGrid w:val="0"/>
        </w:rPr>
      </w:pPr>
      <w:bookmarkStart w:id="269" w:name="_Toc129077533"/>
      <w:r>
        <w:rPr>
          <w:rStyle w:val="CharSectno"/>
        </w:rPr>
        <w:t>8</w:t>
      </w:r>
      <w:r>
        <w:rPr>
          <w:snapToGrid w:val="0"/>
        </w:rPr>
        <w:t>.</w:t>
      </w:r>
      <w:r>
        <w:rPr>
          <w:snapToGrid w:val="0"/>
        </w:rPr>
        <w:tab/>
        <w:t>Claimant failing to appear etc.</w:t>
      </w:r>
      <w:bookmarkEnd w:id="269"/>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70" w:name="_Toc129077534"/>
      <w:r>
        <w:rPr>
          <w:rStyle w:val="CharSectno"/>
        </w:rPr>
        <w:t>9</w:t>
      </w:r>
      <w:r>
        <w:rPr>
          <w:snapToGrid w:val="0"/>
        </w:rPr>
        <w:t>.</w:t>
      </w:r>
      <w:r>
        <w:rPr>
          <w:snapToGrid w:val="0"/>
        </w:rPr>
        <w:tab/>
        <w:t>Power to order sale of goods</w:t>
      </w:r>
      <w:bookmarkEnd w:id="270"/>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71" w:name="_Toc129077535"/>
      <w:r>
        <w:rPr>
          <w:rStyle w:val="CharSectno"/>
        </w:rPr>
        <w:t>10</w:t>
      </w:r>
      <w:r>
        <w:rPr>
          <w:snapToGrid w:val="0"/>
        </w:rPr>
        <w:t>.</w:t>
      </w:r>
      <w:r>
        <w:rPr>
          <w:snapToGrid w:val="0"/>
        </w:rPr>
        <w:tab/>
        <w:t>Discovery etc. and trial</w:t>
      </w:r>
      <w:bookmarkEnd w:id="271"/>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72" w:name="_Toc129077536"/>
      <w:r>
        <w:rPr>
          <w:rStyle w:val="CharSectno"/>
        </w:rPr>
        <w:t>11</w:t>
      </w:r>
      <w:r>
        <w:rPr>
          <w:snapToGrid w:val="0"/>
        </w:rPr>
        <w:t>.</w:t>
      </w:r>
      <w:r>
        <w:rPr>
          <w:snapToGrid w:val="0"/>
        </w:rPr>
        <w:tab/>
        <w:t>One order where several causes pending</w:t>
      </w:r>
      <w:bookmarkEnd w:id="272"/>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Gazette 21 Feb 2007 p. 536.]</w:t>
      </w:r>
    </w:p>
    <w:p>
      <w:pPr>
        <w:pStyle w:val="Heading5"/>
        <w:rPr>
          <w:snapToGrid w:val="0"/>
        </w:rPr>
      </w:pPr>
      <w:bookmarkStart w:id="273" w:name="_Toc129077537"/>
      <w:r>
        <w:rPr>
          <w:rStyle w:val="CharSectno"/>
        </w:rPr>
        <w:lastRenderedPageBreak/>
        <w:t>15</w:t>
      </w:r>
      <w:r>
        <w:rPr>
          <w:snapToGrid w:val="0"/>
        </w:rPr>
        <w:t>.</w:t>
      </w:r>
      <w:r>
        <w:rPr>
          <w:snapToGrid w:val="0"/>
        </w:rPr>
        <w:tab/>
        <w:t>Orders as to costs etc.</w:t>
      </w:r>
      <w:bookmarkEnd w:id="273"/>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Gazette 28 Jun 2011 p. 2553.]</w:t>
      </w:r>
    </w:p>
    <w:p>
      <w:pPr>
        <w:pStyle w:val="Heading2"/>
        <w:rPr>
          <w:b w:val="0"/>
        </w:rPr>
      </w:pPr>
      <w:bookmarkStart w:id="274" w:name="_Toc129073466"/>
      <w:bookmarkStart w:id="275" w:name="_Toc129074749"/>
      <w:bookmarkStart w:id="276" w:name="_Toc129077538"/>
      <w:r>
        <w:rPr>
          <w:rStyle w:val="CharPartNo"/>
        </w:rPr>
        <w:lastRenderedPageBreak/>
        <w:t>Order 18</w:t>
      </w:r>
      <w:r>
        <w:t> — </w:t>
      </w:r>
      <w:r>
        <w:rPr>
          <w:rStyle w:val="CharPartText"/>
        </w:rPr>
        <w:t>Causes of action, counterclaims and parties</w:t>
      </w:r>
      <w:bookmarkEnd w:id="274"/>
      <w:bookmarkEnd w:id="275"/>
      <w:bookmarkEnd w:id="276"/>
    </w:p>
    <w:p>
      <w:pPr>
        <w:pStyle w:val="Heading5"/>
        <w:spacing w:before="240"/>
        <w:rPr>
          <w:snapToGrid w:val="0"/>
        </w:rPr>
      </w:pPr>
      <w:bookmarkStart w:id="277" w:name="_Toc129077539"/>
      <w:r>
        <w:rPr>
          <w:rStyle w:val="CharSectno"/>
        </w:rPr>
        <w:t>1</w:t>
      </w:r>
      <w:r>
        <w:rPr>
          <w:snapToGrid w:val="0"/>
        </w:rPr>
        <w:t>.</w:t>
      </w:r>
      <w:r>
        <w:rPr>
          <w:snapToGrid w:val="0"/>
        </w:rPr>
        <w:tab/>
        <w:t>Joinder of causes of action</w:t>
      </w:r>
      <w:bookmarkEnd w:id="277"/>
    </w:p>
    <w:p>
      <w:pPr>
        <w:pStyle w:val="Subsection"/>
        <w:spacing w:before="18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spacing w:before="240"/>
        <w:rPr>
          <w:snapToGrid w:val="0"/>
        </w:rPr>
      </w:pPr>
      <w:bookmarkStart w:id="278" w:name="_Toc129077540"/>
      <w:r>
        <w:rPr>
          <w:rStyle w:val="CharSectno"/>
        </w:rPr>
        <w:t>2</w:t>
      </w:r>
      <w:r>
        <w:rPr>
          <w:snapToGrid w:val="0"/>
        </w:rPr>
        <w:t>.</w:t>
      </w:r>
      <w:r>
        <w:rPr>
          <w:snapToGrid w:val="0"/>
        </w:rPr>
        <w:tab/>
        <w:t>Counterclaim against plaintiff</w:t>
      </w:r>
      <w:bookmarkEnd w:id="278"/>
    </w:p>
    <w:p>
      <w:pPr>
        <w:pStyle w:val="Subsection"/>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20"/>
        <w:rPr>
          <w:snapToGrid w:val="0"/>
        </w:rPr>
      </w:pPr>
      <w:r>
        <w:rPr>
          <w:snapToGrid w:val="0"/>
        </w:rPr>
        <w:lastRenderedPageBreak/>
        <w:tab/>
        <w:t>(3)</w:t>
      </w:r>
      <w:r>
        <w:rPr>
          <w:snapToGrid w:val="0"/>
        </w:rPr>
        <w:tab/>
        <w:t>A counterclaim may be proceeded with notwithstanding that judgment is given for the plaintiff in the action or that the action is stayed, discontinued or dismissed.</w:t>
      </w:r>
    </w:p>
    <w:p>
      <w:pPr>
        <w:pStyle w:val="Subsection"/>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rPr>
          <w:snapToGrid w:val="0"/>
        </w:rPr>
      </w:pPr>
      <w:bookmarkStart w:id="279" w:name="_Toc129077541"/>
      <w:r>
        <w:rPr>
          <w:rStyle w:val="CharSectno"/>
        </w:rPr>
        <w:t>3</w:t>
      </w:r>
      <w:r>
        <w:rPr>
          <w:snapToGrid w:val="0"/>
        </w:rPr>
        <w:t>.</w:t>
      </w:r>
      <w:r>
        <w:rPr>
          <w:snapToGrid w:val="0"/>
        </w:rPr>
        <w:tab/>
        <w:t>Counterclaim against additional parties</w:t>
      </w:r>
      <w:bookmarkEnd w:id="279"/>
    </w:p>
    <w:p>
      <w:pPr>
        <w:pStyle w:val="Subsection"/>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w:t>
      </w:r>
      <w:r>
        <w:rPr>
          <w:snapToGrid w:val="0"/>
        </w:rPr>
        <w:lastRenderedPageBreak/>
        <w:t xml:space="preserve">Order 9 except rule 1(4), </w:t>
      </w:r>
      <w:r>
        <w:t xml:space="preserve">Order 10, </w:t>
      </w:r>
      <w:r>
        <w:rPr>
          <w:snapToGrid w:val="0"/>
        </w:rPr>
        <w:t xml:space="preserve">Order 12 and Order 13 shall, subject to </w:t>
      </w:r>
      <w:r>
        <w:t xml:space="preserve">subrule (3), </w:t>
      </w:r>
      <w:r>
        <w:rPr>
          <w:snapToGrid w:val="0"/>
        </w:rPr>
        <w:t>apply in relation to the counterclaim and the proceedings arising from it as if — </w:t>
      </w:r>
    </w:p>
    <w:p>
      <w:pPr>
        <w:pStyle w:val="Indenta"/>
        <w:rPr>
          <w:snapToGrid w:val="0"/>
        </w:rPr>
      </w:pPr>
      <w:r>
        <w:rPr>
          <w:snapToGrid w:val="0"/>
        </w:rPr>
        <w:tab/>
        <w:t>(a)</w:t>
      </w:r>
      <w:r>
        <w:rPr>
          <w:snapToGrid w:val="0"/>
        </w:rPr>
        <w:tab/>
        <w:t>the counterclaim were a writ and the proceedings arising from it an action; and</w:t>
      </w:r>
    </w:p>
    <w:p>
      <w:pPr>
        <w:pStyle w:val="Indenta"/>
        <w:rPr>
          <w:snapToGrid w:val="0"/>
        </w:rPr>
      </w:pPr>
      <w:r>
        <w:rPr>
          <w:snapToGrid w:val="0"/>
        </w:rPr>
        <w:tab/>
        <w:t>(b)</w:t>
      </w:r>
      <w:r>
        <w:rPr>
          <w:snapToGrid w:val="0"/>
        </w:rPr>
        <w:tab/>
        <w:t>the party making the counterclaim were a plaintiff and the party against who it is made a defendant in that action.</w:t>
      </w:r>
    </w:p>
    <w:p>
      <w:pPr>
        <w:pStyle w:val="Subsection"/>
      </w:pPr>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Gazette 22 Feb 2008 p. 635; 28 Jun 2011 p. 2552 and 2553; 12 Jun 2012 p. 2451.]</w:t>
      </w:r>
    </w:p>
    <w:p>
      <w:pPr>
        <w:pStyle w:val="Heading5"/>
        <w:rPr>
          <w:snapToGrid w:val="0"/>
        </w:rPr>
      </w:pPr>
      <w:bookmarkStart w:id="280" w:name="_Toc129077542"/>
      <w:r>
        <w:rPr>
          <w:rStyle w:val="CharSectno"/>
        </w:rPr>
        <w:t>4</w:t>
      </w:r>
      <w:r>
        <w:rPr>
          <w:snapToGrid w:val="0"/>
        </w:rPr>
        <w:t>.</w:t>
      </w:r>
      <w:r>
        <w:rPr>
          <w:snapToGrid w:val="0"/>
        </w:rPr>
        <w:tab/>
        <w:t>Joinder of parties</w:t>
      </w:r>
      <w:bookmarkEnd w:id="280"/>
    </w:p>
    <w:p>
      <w:pPr>
        <w:pStyle w:val="Subsection"/>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rPr>
          <w:snapToGrid w:val="0"/>
        </w:rPr>
      </w:pPr>
      <w:r>
        <w:rPr>
          <w:snapToGrid w:val="0"/>
        </w:rPr>
        <w:lastRenderedPageBreak/>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ind w:left="890" w:hanging="890"/>
      </w:pPr>
      <w:r>
        <w:tab/>
        <w:t>[Rule 4 amended: Gazette 28 Jun 2011 p. 2552.]</w:t>
      </w:r>
    </w:p>
    <w:p>
      <w:pPr>
        <w:pStyle w:val="Heading5"/>
        <w:spacing w:before="240"/>
        <w:rPr>
          <w:snapToGrid w:val="0"/>
        </w:rPr>
      </w:pPr>
      <w:bookmarkStart w:id="281" w:name="_Toc129077543"/>
      <w:r>
        <w:rPr>
          <w:rStyle w:val="CharSectno"/>
        </w:rPr>
        <w:t>5</w:t>
      </w:r>
      <w:r>
        <w:rPr>
          <w:snapToGrid w:val="0"/>
        </w:rPr>
        <w:t>.</w:t>
      </w:r>
      <w:r>
        <w:rPr>
          <w:snapToGrid w:val="0"/>
        </w:rPr>
        <w:tab/>
        <w:t>Court may order separate trials etc.</w:t>
      </w:r>
      <w:bookmarkEnd w:id="281"/>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spacing w:before="240"/>
        <w:rPr>
          <w:snapToGrid w:val="0"/>
        </w:rPr>
      </w:pPr>
      <w:bookmarkStart w:id="282" w:name="_Toc129077544"/>
      <w:r>
        <w:rPr>
          <w:rStyle w:val="CharSectno"/>
        </w:rPr>
        <w:t>6</w:t>
      </w:r>
      <w:r>
        <w:rPr>
          <w:snapToGrid w:val="0"/>
        </w:rPr>
        <w:t>.</w:t>
      </w:r>
      <w:r>
        <w:rPr>
          <w:snapToGrid w:val="0"/>
        </w:rPr>
        <w:tab/>
        <w:t>Misjoinder and nonjoinder of parties</w:t>
      </w:r>
      <w:bookmarkEnd w:id="282"/>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lastRenderedPageBreak/>
        <w:tab/>
        <w:t>(2)</w:t>
      </w:r>
      <w:r>
        <w:rPr>
          <w:snapToGrid w:val="0"/>
        </w:rPr>
        <w:tab/>
        <w:t>At any stage of the proceedings in any cause or matter the Court may on such terms as it thinks just and either of its own motion or on application — </w:t>
      </w:r>
    </w:p>
    <w:p>
      <w:pPr>
        <w:pStyle w:val="Indenta"/>
        <w:spacing w:before="60"/>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spacing w:before="60"/>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2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spacing w:before="120"/>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spacing w:before="80"/>
        <w:ind w:left="890" w:hanging="890"/>
      </w:pPr>
      <w:r>
        <w:tab/>
        <w:t>[Rule 6 amended: Gazette 28 Jun 2011 p. 2552.]</w:t>
      </w:r>
    </w:p>
    <w:p>
      <w:pPr>
        <w:pStyle w:val="Heading5"/>
        <w:spacing w:before="180"/>
        <w:rPr>
          <w:snapToGrid w:val="0"/>
        </w:rPr>
      </w:pPr>
      <w:bookmarkStart w:id="283" w:name="_Toc129077545"/>
      <w:r>
        <w:rPr>
          <w:rStyle w:val="CharSectno"/>
        </w:rPr>
        <w:t>7</w:t>
      </w:r>
      <w:r>
        <w:rPr>
          <w:snapToGrid w:val="0"/>
        </w:rPr>
        <w:t>.</w:t>
      </w:r>
      <w:r>
        <w:rPr>
          <w:snapToGrid w:val="0"/>
        </w:rPr>
        <w:tab/>
        <w:t>Change of parties by reason of death etc.</w:t>
      </w:r>
      <w:bookmarkEnd w:id="283"/>
    </w:p>
    <w:p>
      <w:pPr>
        <w:pStyle w:val="Subsection"/>
        <w:spacing w:before="120"/>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spacing w:before="120"/>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widowControl w:val="0"/>
        <w:spacing w:before="120"/>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lastRenderedPageBreak/>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Gazette 28 Jun 2011 p. 2552.]</w:t>
      </w:r>
    </w:p>
    <w:p>
      <w:pPr>
        <w:pStyle w:val="Heading5"/>
        <w:rPr>
          <w:snapToGrid w:val="0"/>
        </w:rPr>
      </w:pPr>
      <w:bookmarkStart w:id="284" w:name="_Toc129077546"/>
      <w:r>
        <w:rPr>
          <w:rStyle w:val="CharSectno"/>
        </w:rPr>
        <w:t>8</w:t>
      </w:r>
      <w:r>
        <w:rPr>
          <w:snapToGrid w:val="0"/>
        </w:rPr>
        <w:t>.</w:t>
      </w:r>
      <w:r>
        <w:rPr>
          <w:snapToGrid w:val="0"/>
        </w:rPr>
        <w:tab/>
        <w:t>Order made under r. 6 or 7, consequences of</w:t>
      </w:r>
      <w:bookmarkEnd w:id="284"/>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rPr>
          <w:snapToGrid w:val="0"/>
        </w:rPr>
      </w:pPr>
      <w:r>
        <w:rPr>
          <w:snapToGrid w:val="0"/>
        </w:rPr>
        <w:tab/>
        <w:t>(b)</w:t>
      </w:r>
      <w:r>
        <w:rPr>
          <w:snapToGrid w:val="0"/>
        </w:rPr>
        <w:tab/>
        <w:t>the date on which the amendment is made,</w:t>
      </w:r>
    </w:p>
    <w:p>
      <w:pPr>
        <w:pStyle w:val="Subsection"/>
        <w:spacing w:before="120"/>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spacing w:before="120"/>
        <w:rPr>
          <w:snapToGrid w:val="0"/>
        </w:rPr>
      </w:pPr>
      <w:r>
        <w:rPr>
          <w:snapToGrid w:val="0"/>
        </w:rPr>
        <w:lastRenderedPageBreak/>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spacing w:before="120"/>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spacing w:before="120"/>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spacing w:before="120"/>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Gazette 28 Jun 2011 p. 2553.]</w:t>
      </w:r>
    </w:p>
    <w:p>
      <w:pPr>
        <w:pStyle w:val="Heading5"/>
        <w:keepNext w:val="0"/>
        <w:keepLines w:val="0"/>
        <w:spacing w:before="180"/>
        <w:rPr>
          <w:snapToGrid w:val="0"/>
        </w:rPr>
      </w:pPr>
      <w:bookmarkStart w:id="285" w:name="_Toc129077547"/>
      <w:r>
        <w:rPr>
          <w:rStyle w:val="CharSectno"/>
        </w:rPr>
        <w:t>9</w:t>
      </w:r>
      <w:r>
        <w:rPr>
          <w:snapToGrid w:val="0"/>
        </w:rPr>
        <w:t>.</w:t>
      </w:r>
      <w:r>
        <w:rPr>
          <w:snapToGrid w:val="0"/>
        </w:rPr>
        <w:tab/>
        <w:t>Failure to proceed after death of party</w:t>
      </w:r>
      <w:bookmarkEnd w:id="285"/>
    </w:p>
    <w:p>
      <w:pPr>
        <w:pStyle w:val="Subsection"/>
        <w:spacing w:before="120"/>
        <w:rPr>
          <w:snapToGrid w:val="0"/>
        </w:rPr>
      </w:pPr>
      <w:r>
        <w:rPr>
          <w:snapToGrid w:val="0"/>
        </w:rPr>
        <w:tab/>
        <w:t>(1)</w:t>
      </w:r>
      <w:r>
        <w:rPr>
          <w:snapToGrid w:val="0"/>
        </w:rPr>
        <w:tab/>
        <w:t xml:space="preserve">If after the death of a plaintiff or defendant in any action the cause of action survives, but no order under rule 7 is made </w:t>
      </w:r>
      <w:r>
        <w:rPr>
          <w:snapToGrid w:val="0"/>
        </w:rPr>
        <w:lastRenderedPageBreak/>
        <w:t>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spacing w:before="180"/>
        <w:rPr>
          <w:snapToGrid w:val="0"/>
        </w:rPr>
      </w:pPr>
      <w:bookmarkStart w:id="286" w:name="_Toc129077548"/>
      <w:r>
        <w:rPr>
          <w:rStyle w:val="CharSectno"/>
        </w:rPr>
        <w:t>10</w:t>
      </w:r>
      <w:r>
        <w:rPr>
          <w:snapToGrid w:val="0"/>
        </w:rPr>
        <w:t>.</w:t>
      </w:r>
      <w:r>
        <w:rPr>
          <w:snapToGrid w:val="0"/>
        </w:rPr>
        <w:tab/>
        <w:t>Action for possession of land, joining non-party who is in possession</w:t>
      </w:r>
      <w:bookmarkEnd w:id="286"/>
    </w:p>
    <w:p>
      <w:pPr>
        <w:pStyle w:val="Subsection"/>
        <w:spacing w:before="120"/>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spacing w:before="120"/>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spacing w:before="120"/>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87" w:name="_Toc129077549"/>
      <w:r>
        <w:rPr>
          <w:rStyle w:val="CharSectno"/>
        </w:rPr>
        <w:lastRenderedPageBreak/>
        <w:t>11</w:t>
      </w:r>
      <w:r>
        <w:rPr>
          <w:snapToGrid w:val="0"/>
        </w:rPr>
        <w:t>.</w:t>
      </w:r>
      <w:r>
        <w:rPr>
          <w:snapToGrid w:val="0"/>
        </w:rPr>
        <w:tab/>
        <w:t>Relator actions</w:t>
      </w:r>
      <w:bookmarkEnd w:id="287"/>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88" w:name="_Toc129077550"/>
      <w:r>
        <w:rPr>
          <w:rStyle w:val="CharSectno"/>
        </w:rPr>
        <w:t>12</w:t>
      </w:r>
      <w:r>
        <w:rPr>
          <w:snapToGrid w:val="0"/>
        </w:rPr>
        <w:t>.</w:t>
      </w:r>
      <w:r>
        <w:rPr>
          <w:snapToGrid w:val="0"/>
        </w:rPr>
        <w:tab/>
        <w:t>Representative proceedings</w:t>
      </w:r>
      <w:bookmarkEnd w:id="288"/>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lastRenderedPageBreak/>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Gazette 28 Jun 2011 p. 2552.]</w:t>
      </w:r>
    </w:p>
    <w:p>
      <w:pPr>
        <w:pStyle w:val="Heading5"/>
        <w:rPr>
          <w:snapToGrid w:val="0"/>
        </w:rPr>
      </w:pPr>
      <w:bookmarkStart w:id="289" w:name="_Toc129077551"/>
      <w:r>
        <w:rPr>
          <w:rStyle w:val="CharSectno"/>
        </w:rPr>
        <w:t>13</w:t>
      </w:r>
      <w:r>
        <w:rPr>
          <w:snapToGrid w:val="0"/>
        </w:rPr>
        <w:t>.</w:t>
      </w:r>
      <w:r>
        <w:rPr>
          <w:snapToGrid w:val="0"/>
        </w:rPr>
        <w:tab/>
        <w:t>Representation of interested persons who cannot be ascertained etc.</w:t>
      </w:r>
      <w:bookmarkEnd w:id="289"/>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lastRenderedPageBreak/>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Gazette 28 Jun 2011 p. 2552.]</w:t>
      </w:r>
    </w:p>
    <w:p>
      <w:pPr>
        <w:pStyle w:val="Heading5"/>
        <w:rPr>
          <w:snapToGrid w:val="0"/>
        </w:rPr>
      </w:pPr>
      <w:bookmarkStart w:id="290" w:name="_Toc129077552"/>
      <w:r>
        <w:rPr>
          <w:rStyle w:val="CharSectno"/>
        </w:rPr>
        <w:t>14</w:t>
      </w:r>
      <w:r>
        <w:rPr>
          <w:snapToGrid w:val="0"/>
        </w:rPr>
        <w:t>.</w:t>
      </w:r>
      <w:r>
        <w:rPr>
          <w:snapToGrid w:val="0"/>
        </w:rPr>
        <w:tab/>
        <w:t>Representation of beneficiaries by trustees etc.</w:t>
      </w:r>
      <w:bookmarkEnd w:id="290"/>
    </w:p>
    <w:p>
      <w:pPr>
        <w:pStyle w:val="Subsection"/>
        <w:rPr>
          <w:snapToGrid w:val="0"/>
        </w:rPr>
      </w:pPr>
      <w:r>
        <w:rPr>
          <w:snapToGrid w:val="0"/>
        </w:rPr>
        <w:tab/>
        <w:t>(1)</w:t>
      </w:r>
      <w:r>
        <w:rPr>
          <w:snapToGrid w:val="0"/>
        </w:rPr>
        <w:tab/>
        <w:t xml:space="preserve">Any proceedings, including proceedings to enforce a security by foreclosure or otherwise, may be brought by or against trustees, </w:t>
      </w:r>
      <w:r>
        <w:rPr>
          <w:snapToGrid w:val="0"/>
        </w:rPr>
        <w:lastRenderedPageBreak/>
        <w:t>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Gazette 28 Jun 2011 p. 2552.]</w:t>
      </w:r>
    </w:p>
    <w:p>
      <w:pPr>
        <w:pStyle w:val="Heading5"/>
        <w:rPr>
          <w:snapToGrid w:val="0"/>
        </w:rPr>
      </w:pPr>
      <w:bookmarkStart w:id="291" w:name="_Toc129077553"/>
      <w:r>
        <w:rPr>
          <w:rStyle w:val="CharSectno"/>
        </w:rPr>
        <w:t>15</w:t>
      </w:r>
      <w:r>
        <w:rPr>
          <w:snapToGrid w:val="0"/>
        </w:rPr>
        <w:t>.</w:t>
      </w:r>
      <w:r>
        <w:rPr>
          <w:snapToGrid w:val="0"/>
        </w:rPr>
        <w:tab/>
        <w:t>Representation of deceased person interested in proceedings</w:t>
      </w:r>
      <w:bookmarkEnd w:id="291"/>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92" w:name="_Toc129077554"/>
      <w:r>
        <w:rPr>
          <w:rStyle w:val="CharSectno"/>
        </w:rPr>
        <w:t>16</w:t>
      </w:r>
      <w:r>
        <w:rPr>
          <w:snapToGrid w:val="0"/>
        </w:rPr>
        <w:t>.</w:t>
      </w:r>
      <w:r>
        <w:rPr>
          <w:snapToGrid w:val="0"/>
        </w:rPr>
        <w:tab/>
        <w:t>Declaratory judgment</w:t>
      </w:r>
      <w:bookmarkEnd w:id="292"/>
    </w:p>
    <w:p>
      <w:pPr>
        <w:pStyle w:val="Subsection"/>
        <w:rPr>
          <w:snapToGrid w:val="0"/>
        </w:rPr>
      </w:pPr>
      <w:r>
        <w:rPr>
          <w:snapToGrid w:val="0"/>
        </w:rPr>
        <w:tab/>
      </w:r>
      <w:r>
        <w:rPr>
          <w:snapToGrid w:val="0"/>
        </w:rPr>
        <w:tab/>
        <w:t xml:space="preserve">No action or other proceeding shall be open to objection on the ground that a merely declaratory judgment or order is sought </w:t>
      </w:r>
      <w:r>
        <w:rPr>
          <w:snapToGrid w:val="0"/>
        </w:rPr>
        <w:lastRenderedPageBreak/>
        <w:t>thereby, and the Court may make binding declarations of right whether or not any consequential relief is or could be claimed.</w:t>
      </w:r>
    </w:p>
    <w:p>
      <w:pPr>
        <w:pStyle w:val="Heading5"/>
        <w:rPr>
          <w:snapToGrid w:val="0"/>
        </w:rPr>
      </w:pPr>
      <w:bookmarkStart w:id="293" w:name="_Toc129077555"/>
      <w:r>
        <w:rPr>
          <w:rStyle w:val="CharSectno"/>
        </w:rPr>
        <w:t>17</w:t>
      </w:r>
      <w:r>
        <w:rPr>
          <w:snapToGrid w:val="0"/>
        </w:rPr>
        <w:t>.</w:t>
      </w:r>
      <w:r>
        <w:rPr>
          <w:snapToGrid w:val="0"/>
        </w:rPr>
        <w:tab/>
        <w:t>Conduct of proceedings</w:t>
      </w:r>
      <w:bookmarkEnd w:id="293"/>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94" w:name="_Toc129073484"/>
      <w:bookmarkStart w:id="295" w:name="_Toc129074767"/>
      <w:bookmarkStart w:id="296" w:name="_Toc129077556"/>
      <w:r>
        <w:rPr>
          <w:rStyle w:val="CharPartNo"/>
        </w:rPr>
        <w:lastRenderedPageBreak/>
        <w:t>Order 19</w:t>
      </w:r>
      <w:r>
        <w:t> — </w:t>
      </w:r>
      <w:r>
        <w:rPr>
          <w:rStyle w:val="CharPartText"/>
        </w:rPr>
        <w:t>Third party and similar proceedings</w:t>
      </w:r>
      <w:bookmarkEnd w:id="294"/>
      <w:bookmarkEnd w:id="295"/>
      <w:bookmarkEnd w:id="296"/>
    </w:p>
    <w:p>
      <w:pPr>
        <w:pStyle w:val="Heading5"/>
        <w:rPr>
          <w:snapToGrid w:val="0"/>
        </w:rPr>
      </w:pPr>
      <w:bookmarkStart w:id="297" w:name="_Toc129077557"/>
      <w:r>
        <w:rPr>
          <w:rStyle w:val="CharSectno"/>
        </w:rPr>
        <w:t>1</w:t>
      </w:r>
      <w:r>
        <w:rPr>
          <w:snapToGrid w:val="0"/>
        </w:rPr>
        <w:t>.</w:t>
      </w:r>
      <w:r>
        <w:rPr>
          <w:snapToGrid w:val="0"/>
        </w:rPr>
        <w:tab/>
        <w:t>Third party notice</w:t>
      </w:r>
      <w:bookmarkEnd w:id="297"/>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Gazette 28 Jun 2011 p. 2552.]</w:t>
      </w:r>
    </w:p>
    <w:p>
      <w:pPr>
        <w:pStyle w:val="Heading5"/>
        <w:rPr>
          <w:snapToGrid w:val="0"/>
        </w:rPr>
      </w:pPr>
      <w:bookmarkStart w:id="298" w:name="_Toc129077558"/>
      <w:r>
        <w:rPr>
          <w:rStyle w:val="CharSectno"/>
        </w:rPr>
        <w:lastRenderedPageBreak/>
        <w:t>2</w:t>
      </w:r>
      <w:r>
        <w:rPr>
          <w:snapToGrid w:val="0"/>
        </w:rPr>
        <w:t>.</w:t>
      </w:r>
      <w:r>
        <w:rPr>
          <w:snapToGrid w:val="0"/>
        </w:rPr>
        <w:tab/>
        <w:t>Application for leave to issue third party notice</w:t>
      </w:r>
      <w:bookmarkEnd w:id="298"/>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99" w:name="_Toc129077559"/>
      <w:r>
        <w:rPr>
          <w:rStyle w:val="CharSectno"/>
        </w:rPr>
        <w:t>3</w:t>
      </w:r>
      <w:r>
        <w:rPr>
          <w:snapToGrid w:val="0"/>
        </w:rPr>
        <w:t>.</w:t>
      </w:r>
      <w:r>
        <w:rPr>
          <w:snapToGrid w:val="0"/>
        </w:rPr>
        <w:tab/>
        <w:t>Issue and service of, and entry of appearance to, third party notice</w:t>
      </w:r>
      <w:bookmarkEnd w:id="299"/>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lastRenderedPageBreak/>
        <w:tab/>
        <w:t>(b)</w:t>
      </w:r>
      <w:r>
        <w:rPr>
          <w:snapToGrid w:val="0"/>
        </w:rPr>
        <w:tab/>
        <w:t>the defendant issuing the third party notice were a plaintiff and the person against whom it is issued a defendant in that action.</w:t>
      </w:r>
    </w:p>
    <w:p>
      <w:pPr>
        <w:pStyle w:val="Footnotesection"/>
      </w:pPr>
      <w:r>
        <w:tab/>
        <w:t xml:space="preserve">[Rule 3 amended: Gazette 7 Oct 1977 p. 3602; 28 Jun 2011 p. 2553; 12 Jun 2012 p. 2451.] </w:t>
      </w:r>
    </w:p>
    <w:p>
      <w:pPr>
        <w:pStyle w:val="Heading5"/>
        <w:spacing w:before="240"/>
        <w:rPr>
          <w:snapToGrid w:val="0"/>
        </w:rPr>
      </w:pPr>
      <w:bookmarkStart w:id="300" w:name="_Toc129077560"/>
      <w:r>
        <w:rPr>
          <w:rStyle w:val="CharSectno"/>
        </w:rPr>
        <w:t>4</w:t>
      </w:r>
      <w:r>
        <w:rPr>
          <w:snapToGrid w:val="0"/>
        </w:rPr>
        <w:t>.</w:t>
      </w:r>
      <w:r>
        <w:rPr>
          <w:snapToGrid w:val="0"/>
        </w:rPr>
        <w:tab/>
        <w:t>Third party directions</w:t>
      </w:r>
      <w:bookmarkEnd w:id="300"/>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 xml:space="preserve">On an application for directions under this rule the Court may give the third party leave to defend the action, either alone or jointly with any defendant, upon such terms as may be just, or to </w:t>
      </w:r>
      <w:r>
        <w:rPr>
          <w:snapToGrid w:val="0"/>
        </w:rPr>
        <w:lastRenderedPageBreak/>
        <w:t>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Gazette 26 Aug 1994 p. 4410; 28 Jun 2011 p. 2552.] </w:t>
      </w:r>
    </w:p>
    <w:p>
      <w:pPr>
        <w:pStyle w:val="Heading5"/>
        <w:rPr>
          <w:snapToGrid w:val="0"/>
        </w:rPr>
      </w:pPr>
      <w:bookmarkStart w:id="301" w:name="_Toc129077561"/>
      <w:r>
        <w:rPr>
          <w:rStyle w:val="CharSectno"/>
        </w:rPr>
        <w:t>5</w:t>
      </w:r>
      <w:r>
        <w:rPr>
          <w:snapToGrid w:val="0"/>
        </w:rPr>
        <w:t>.</w:t>
      </w:r>
      <w:r>
        <w:rPr>
          <w:snapToGrid w:val="0"/>
        </w:rPr>
        <w:tab/>
        <w:t>Default of third party etc.</w:t>
      </w:r>
      <w:bookmarkEnd w:id="301"/>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lastRenderedPageBreak/>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Gazette 28 Jun 2011 p. 2552.]</w:t>
      </w:r>
    </w:p>
    <w:p>
      <w:pPr>
        <w:pStyle w:val="Heading5"/>
        <w:rPr>
          <w:snapToGrid w:val="0"/>
        </w:rPr>
      </w:pPr>
      <w:bookmarkStart w:id="302" w:name="_Toc129077562"/>
      <w:r>
        <w:rPr>
          <w:rStyle w:val="CharSectno"/>
        </w:rPr>
        <w:t>6</w:t>
      </w:r>
      <w:r>
        <w:rPr>
          <w:snapToGrid w:val="0"/>
        </w:rPr>
        <w:t>.</w:t>
      </w:r>
      <w:r>
        <w:rPr>
          <w:snapToGrid w:val="0"/>
        </w:rPr>
        <w:tab/>
        <w:t>Setting aside third party proceedings</w:t>
      </w:r>
      <w:bookmarkEnd w:id="302"/>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303" w:name="_Toc129077563"/>
      <w:r>
        <w:rPr>
          <w:rStyle w:val="CharSectno"/>
        </w:rPr>
        <w:t>7</w:t>
      </w:r>
      <w:r>
        <w:rPr>
          <w:snapToGrid w:val="0"/>
        </w:rPr>
        <w:t>.</w:t>
      </w:r>
      <w:r>
        <w:rPr>
          <w:snapToGrid w:val="0"/>
        </w:rPr>
        <w:tab/>
        <w:t>Judgment between defendant and third party</w:t>
      </w:r>
      <w:bookmarkEnd w:id="303"/>
    </w:p>
    <w:p>
      <w:pPr>
        <w:pStyle w:val="Subsection"/>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304" w:name="_Toc129077564"/>
      <w:r>
        <w:rPr>
          <w:rStyle w:val="CharSectno"/>
        </w:rPr>
        <w:t>8</w:t>
      </w:r>
      <w:r>
        <w:rPr>
          <w:snapToGrid w:val="0"/>
        </w:rPr>
        <w:t>.</w:t>
      </w:r>
      <w:r>
        <w:rPr>
          <w:snapToGrid w:val="0"/>
        </w:rPr>
        <w:tab/>
        <w:t>Claims and issues between defendant and another party</w:t>
      </w:r>
      <w:bookmarkEnd w:id="304"/>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 xml:space="preserve">matter of the action should be determined not only as between the plaintiff </w:t>
      </w:r>
      <w:r>
        <w:rPr>
          <w:snapToGrid w:val="0"/>
        </w:rPr>
        <w:lastRenderedPageBreak/>
        <w:t>and himself but also as between either or both of them and some other person who is already a party to the action,</w:t>
      </w:r>
    </w:p>
    <w:p>
      <w:pPr>
        <w:pStyle w:val="Subsection"/>
        <w:widowControl w:val="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Gazette 28 Jun 2011 p. 2552.]</w:t>
      </w:r>
    </w:p>
    <w:p>
      <w:pPr>
        <w:pStyle w:val="Heading5"/>
        <w:rPr>
          <w:snapToGrid w:val="0"/>
        </w:rPr>
      </w:pPr>
      <w:bookmarkStart w:id="305" w:name="_Toc129077565"/>
      <w:r>
        <w:rPr>
          <w:rStyle w:val="CharSectno"/>
        </w:rPr>
        <w:t>9</w:t>
      </w:r>
      <w:r>
        <w:rPr>
          <w:snapToGrid w:val="0"/>
        </w:rPr>
        <w:t>.</w:t>
      </w:r>
      <w:r>
        <w:rPr>
          <w:snapToGrid w:val="0"/>
        </w:rPr>
        <w:tab/>
        <w:t>Claims by third and subsequent parties</w:t>
      </w:r>
      <w:bookmarkEnd w:id="305"/>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xml:space="preserve"> (2) and any other necessary modifications, apply as if the third party were a defendant; and similarly where any further person to whom by virtue of this rule this Order </w:t>
      </w:r>
      <w:r>
        <w:rPr>
          <w:snapToGrid w:val="0"/>
        </w:rPr>
        <w:lastRenderedPageBreak/>
        <w:t>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Gazette 28 Jun 2011 p. 2552.]</w:t>
      </w:r>
    </w:p>
    <w:p>
      <w:pPr>
        <w:pStyle w:val="Heading5"/>
        <w:rPr>
          <w:snapToGrid w:val="0"/>
        </w:rPr>
      </w:pPr>
      <w:bookmarkStart w:id="306" w:name="_Toc129077566"/>
      <w:r>
        <w:rPr>
          <w:rStyle w:val="CharSectno"/>
        </w:rPr>
        <w:t>10</w:t>
      </w:r>
      <w:r>
        <w:rPr>
          <w:snapToGrid w:val="0"/>
        </w:rPr>
        <w:t>.</w:t>
      </w:r>
      <w:r>
        <w:rPr>
          <w:snapToGrid w:val="0"/>
        </w:rPr>
        <w:tab/>
        <w:t>Offer of contribution</w:t>
      </w:r>
      <w:bookmarkEnd w:id="306"/>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307" w:name="_Toc129077567"/>
      <w:r>
        <w:rPr>
          <w:rStyle w:val="CharSectno"/>
        </w:rPr>
        <w:t>11</w:t>
      </w:r>
      <w:r>
        <w:rPr>
          <w:snapToGrid w:val="0"/>
        </w:rPr>
        <w:t>.</w:t>
      </w:r>
      <w:r>
        <w:rPr>
          <w:snapToGrid w:val="0"/>
        </w:rPr>
        <w:tab/>
        <w:t>Counterclaim by defendant</w:t>
      </w:r>
      <w:bookmarkEnd w:id="307"/>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Gazette 28 Jun 2011 p. 2553.]</w:t>
      </w:r>
    </w:p>
    <w:p>
      <w:pPr>
        <w:pStyle w:val="Heading5"/>
        <w:rPr>
          <w:snapToGrid w:val="0"/>
        </w:rPr>
      </w:pPr>
      <w:bookmarkStart w:id="308" w:name="_Toc129077568"/>
      <w:r>
        <w:rPr>
          <w:rStyle w:val="CharSectno"/>
        </w:rPr>
        <w:lastRenderedPageBreak/>
        <w:t>12</w:t>
      </w:r>
      <w:r>
        <w:rPr>
          <w:snapToGrid w:val="0"/>
        </w:rPr>
        <w:t>.</w:t>
      </w:r>
      <w:r>
        <w:rPr>
          <w:snapToGrid w:val="0"/>
        </w:rPr>
        <w:tab/>
        <w:t>Costs</w:t>
      </w:r>
      <w:bookmarkEnd w:id="308"/>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309" w:name="_Toc129073497"/>
      <w:bookmarkStart w:id="310" w:name="_Toc129074780"/>
      <w:bookmarkStart w:id="311" w:name="_Toc129077569"/>
      <w:r>
        <w:rPr>
          <w:rStyle w:val="CharPartNo"/>
        </w:rPr>
        <w:lastRenderedPageBreak/>
        <w:t>Order 20</w:t>
      </w:r>
      <w:r>
        <w:t> — </w:t>
      </w:r>
      <w:r>
        <w:rPr>
          <w:rStyle w:val="CharPartText"/>
        </w:rPr>
        <w:t>Pleadings</w:t>
      </w:r>
      <w:bookmarkEnd w:id="309"/>
      <w:bookmarkEnd w:id="310"/>
      <w:bookmarkEnd w:id="311"/>
    </w:p>
    <w:p>
      <w:pPr>
        <w:pStyle w:val="Heading5"/>
        <w:rPr>
          <w:snapToGrid w:val="0"/>
        </w:rPr>
      </w:pPr>
      <w:bookmarkStart w:id="312" w:name="_Toc129077570"/>
      <w:r>
        <w:rPr>
          <w:rStyle w:val="CharSectno"/>
        </w:rPr>
        <w:t>1</w:t>
      </w:r>
      <w:r>
        <w:rPr>
          <w:snapToGrid w:val="0"/>
        </w:rPr>
        <w:t>.</w:t>
      </w:r>
      <w:r>
        <w:rPr>
          <w:snapToGrid w:val="0"/>
        </w:rPr>
        <w:tab/>
        <w:t>Statement of claim, service of</w:t>
      </w:r>
      <w:bookmarkEnd w:id="312"/>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is served on that defendant or at any time after service of the writ but before the expiration of 14 days after that defendant enters an appearance.</w:t>
      </w:r>
    </w:p>
    <w:p>
      <w:pPr>
        <w:pStyle w:val="Footnotesection"/>
      </w:pPr>
      <w:r>
        <w:tab/>
        <w:t>[Rule 1 amended: Gazette 12 Jun 2012 p. 2451.]</w:t>
      </w:r>
    </w:p>
    <w:p>
      <w:pPr>
        <w:pStyle w:val="Heading5"/>
        <w:rPr>
          <w:snapToGrid w:val="0"/>
        </w:rPr>
      </w:pPr>
      <w:bookmarkStart w:id="313" w:name="_Toc129077571"/>
      <w:r>
        <w:rPr>
          <w:rStyle w:val="CharSectno"/>
        </w:rPr>
        <w:t>2</w:t>
      </w:r>
      <w:r>
        <w:rPr>
          <w:snapToGrid w:val="0"/>
        </w:rPr>
        <w:t>.</w:t>
      </w:r>
      <w:r>
        <w:rPr>
          <w:snapToGrid w:val="0"/>
        </w:rPr>
        <w:tab/>
        <w:t>Statement of claim, content of</w:t>
      </w:r>
      <w:bookmarkEnd w:id="313"/>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Gazette 28 Jun 2011 p. 2552.]</w:t>
      </w:r>
    </w:p>
    <w:p>
      <w:pPr>
        <w:pStyle w:val="Heading5"/>
        <w:rPr>
          <w:snapToGrid w:val="0"/>
        </w:rPr>
      </w:pPr>
      <w:bookmarkStart w:id="314" w:name="_Toc129077572"/>
      <w:r>
        <w:rPr>
          <w:rStyle w:val="CharSectno"/>
        </w:rPr>
        <w:t>3</w:t>
      </w:r>
      <w:r>
        <w:rPr>
          <w:snapToGrid w:val="0"/>
        </w:rPr>
        <w:t>.</w:t>
      </w:r>
      <w:r>
        <w:rPr>
          <w:snapToGrid w:val="0"/>
        </w:rPr>
        <w:tab/>
        <w:t>Pleadings etc. to be filed before service</w:t>
      </w:r>
      <w:bookmarkEnd w:id="314"/>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w:t>
      </w:r>
      <w:r>
        <w:rPr>
          <w:snapToGrid w:val="0"/>
        </w:rPr>
        <w:lastRenderedPageBreak/>
        <w:t xml:space="preserve">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Gazette 28 Jul 2010 p. 3462; 28 Jun 2011 p. 2552.]</w:t>
      </w:r>
    </w:p>
    <w:p>
      <w:pPr>
        <w:pStyle w:val="Heading5"/>
        <w:rPr>
          <w:snapToGrid w:val="0"/>
        </w:rPr>
      </w:pPr>
      <w:bookmarkStart w:id="315" w:name="_Toc129077573"/>
      <w:r>
        <w:rPr>
          <w:rStyle w:val="CharSectno"/>
        </w:rPr>
        <w:t>4</w:t>
      </w:r>
      <w:r>
        <w:rPr>
          <w:snapToGrid w:val="0"/>
        </w:rPr>
        <w:t>.</w:t>
      </w:r>
      <w:r>
        <w:rPr>
          <w:snapToGrid w:val="0"/>
        </w:rPr>
        <w:tab/>
        <w:t>Defence, service of</w:t>
      </w:r>
      <w:bookmarkEnd w:id="315"/>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Gazette 28 Jun 2011 p. 2552.]</w:t>
      </w:r>
    </w:p>
    <w:p>
      <w:pPr>
        <w:pStyle w:val="Heading5"/>
        <w:rPr>
          <w:snapToGrid w:val="0"/>
        </w:rPr>
      </w:pPr>
      <w:bookmarkStart w:id="316" w:name="_Toc129077574"/>
      <w:r>
        <w:rPr>
          <w:rStyle w:val="CharSectno"/>
        </w:rPr>
        <w:t>5</w:t>
      </w:r>
      <w:r>
        <w:rPr>
          <w:snapToGrid w:val="0"/>
        </w:rPr>
        <w:t>.</w:t>
      </w:r>
      <w:r>
        <w:rPr>
          <w:snapToGrid w:val="0"/>
        </w:rPr>
        <w:tab/>
        <w:t>Reply and defence to counterclaim, service of</w:t>
      </w:r>
      <w:bookmarkEnd w:id="316"/>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lastRenderedPageBreak/>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17" w:name="_Toc129077575"/>
      <w:r>
        <w:rPr>
          <w:rStyle w:val="CharSectno"/>
        </w:rPr>
        <w:t>6</w:t>
      </w:r>
      <w:r>
        <w:rPr>
          <w:snapToGrid w:val="0"/>
        </w:rPr>
        <w:t>.</w:t>
      </w:r>
      <w:r>
        <w:rPr>
          <w:snapToGrid w:val="0"/>
        </w:rPr>
        <w:tab/>
        <w:t>Pleadings subsequent to reply etc., leave required for</w:t>
      </w:r>
      <w:bookmarkEnd w:id="317"/>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18" w:name="_Toc129077576"/>
      <w:r>
        <w:rPr>
          <w:rStyle w:val="CharSectno"/>
        </w:rPr>
        <w:t>7</w:t>
      </w:r>
      <w:r>
        <w:rPr>
          <w:snapToGrid w:val="0"/>
        </w:rPr>
        <w:t>.</w:t>
      </w:r>
      <w:r>
        <w:rPr>
          <w:snapToGrid w:val="0"/>
        </w:rPr>
        <w:tab/>
        <w:t>Pleadings, formal requirements of</w:t>
      </w:r>
      <w:bookmarkEnd w:id="31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pPr>
      <w:r>
        <w:tab/>
        <w:t>(b)</w:t>
      </w:r>
      <w:r>
        <w:tab/>
        <w:t>in any other case, with the name or firm and address for service of the solicitor by whom it was filed.</w:t>
      </w:r>
    </w:p>
    <w:p>
      <w:pPr>
        <w:pStyle w:val="Subsection"/>
        <w:rPr>
          <w:snapToGrid w:val="0"/>
        </w:rPr>
      </w:pPr>
      <w:r>
        <w:rPr>
          <w:snapToGrid w:val="0"/>
        </w:rPr>
        <w:lastRenderedPageBreak/>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Gazette 15 Jun 1973 p. 2248; 28 Jun 2011 p. 2552; 27 Feb 2018 p. 558.] </w:t>
      </w:r>
    </w:p>
    <w:p>
      <w:pPr>
        <w:pStyle w:val="Heading5"/>
        <w:rPr>
          <w:snapToGrid w:val="0"/>
        </w:rPr>
      </w:pPr>
      <w:bookmarkStart w:id="319" w:name="_Toc129077577"/>
      <w:r>
        <w:rPr>
          <w:rStyle w:val="CharSectno"/>
        </w:rPr>
        <w:t>8</w:t>
      </w:r>
      <w:r>
        <w:rPr>
          <w:snapToGrid w:val="0"/>
        </w:rPr>
        <w:t>.</w:t>
      </w:r>
      <w:r>
        <w:rPr>
          <w:snapToGrid w:val="0"/>
        </w:rPr>
        <w:tab/>
        <w:t>Facts, not evidence, to be pleaded</w:t>
      </w:r>
      <w:bookmarkEnd w:id="319"/>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 xml:space="preserve">A statement that a thing has been done or that an event has occurred, being a thing or event the doing or occurrence of </w:t>
      </w:r>
      <w:r>
        <w:rPr>
          <w:snapToGrid w:val="0"/>
        </w:rPr>
        <w:lastRenderedPageBreak/>
        <w:t>which, as the case may be, constitutes a condition precedent necessary for the case of a party is to be implied in his pleading.</w:t>
      </w:r>
    </w:p>
    <w:p>
      <w:pPr>
        <w:pStyle w:val="Footnotesection"/>
      </w:pPr>
      <w:r>
        <w:tab/>
        <w:t>[Rule 8 amended: Gazette 28 Jun 2011 p. 2552.]</w:t>
      </w:r>
    </w:p>
    <w:p>
      <w:pPr>
        <w:pStyle w:val="Heading5"/>
        <w:rPr>
          <w:snapToGrid w:val="0"/>
        </w:rPr>
      </w:pPr>
      <w:bookmarkStart w:id="320" w:name="_Toc129077578"/>
      <w:r>
        <w:rPr>
          <w:rStyle w:val="CharSectno"/>
        </w:rPr>
        <w:t>9</w:t>
      </w:r>
      <w:r>
        <w:rPr>
          <w:snapToGrid w:val="0"/>
        </w:rPr>
        <w:t>.</w:t>
      </w:r>
      <w:r>
        <w:rPr>
          <w:snapToGrid w:val="0"/>
        </w:rPr>
        <w:tab/>
        <w:t>Matters which must be specifically pleaded</w:t>
      </w:r>
      <w:bookmarkEnd w:id="320"/>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lastRenderedPageBreak/>
        <w:tab/>
        <w:t>(iii)</w:t>
      </w:r>
      <w:r>
        <w:rPr>
          <w:snapToGrid w:val="0"/>
        </w:rPr>
        <w:tab/>
        <w:t>state the date or dates from which interest is claimed.</w:t>
      </w:r>
    </w:p>
    <w:p>
      <w:pPr>
        <w:pStyle w:val="Footnotesection"/>
      </w:pPr>
      <w:r>
        <w:tab/>
        <w:t xml:space="preserve">[Rule 9 amended: Gazette 3 Oct 1975 p. 3769; 31 Mar 1983 p. 1090; 28 Jun 2011 p. 2552.] </w:t>
      </w:r>
    </w:p>
    <w:p>
      <w:pPr>
        <w:pStyle w:val="Heading5"/>
        <w:rPr>
          <w:snapToGrid w:val="0"/>
        </w:rPr>
      </w:pPr>
      <w:bookmarkStart w:id="321" w:name="_Toc129077579"/>
      <w:r>
        <w:rPr>
          <w:rStyle w:val="CharSectno"/>
        </w:rPr>
        <w:t>10</w:t>
      </w:r>
      <w:r>
        <w:rPr>
          <w:snapToGrid w:val="0"/>
        </w:rPr>
        <w:t>.</w:t>
      </w:r>
      <w:r>
        <w:rPr>
          <w:snapToGrid w:val="0"/>
        </w:rPr>
        <w:tab/>
        <w:t>Matter may be pleaded whenever arising</w:t>
      </w:r>
      <w:bookmarkEnd w:id="321"/>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22" w:name="_Toc129077580"/>
      <w:r>
        <w:rPr>
          <w:rStyle w:val="CharSectno"/>
        </w:rPr>
        <w:t>11</w:t>
      </w:r>
      <w:r>
        <w:rPr>
          <w:snapToGrid w:val="0"/>
        </w:rPr>
        <w:t>.</w:t>
      </w:r>
      <w:r>
        <w:rPr>
          <w:snapToGrid w:val="0"/>
        </w:rPr>
        <w:tab/>
        <w:t>Party’s pleadings to be consistent</w:t>
      </w:r>
      <w:bookmarkEnd w:id="322"/>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Gazette 28 Jun 2011 p. 2552.]</w:t>
      </w:r>
    </w:p>
    <w:p>
      <w:pPr>
        <w:pStyle w:val="Heading5"/>
        <w:rPr>
          <w:snapToGrid w:val="0"/>
        </w:rPr>
      </w:pPr>
      <w:bookmarkStart w:id="323" w:name="_Toc129077581"/>
      <w:r>
        <w:rPr>
          <w:rStyle w:val="CharSectno"/>
        </w:rPr>
        <w:t>12</w:t>
      </w:r>
      <w:r>
        <w:rPr>
          <w:snapToGrid w:val="0"/>
        </w:rPr>
        <w:t>.</w:t>
      </w:r>
      <w:r>
        <w:rPr>
          <w:snapToGrid w:val="0"/>
        </w:rPr>
        <w:tab/>
        <w:t>Points of law may be pleaded</w:t>
      </w:r>
      <w:bookmarkEnd w:id="323"/>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24" w:name="_Toc129077582"/>
      <w:r>
        <w:rPr>
          <w:rStyle w:val="CharSectno"/>
        </w:rPr>
        <w:t>13</w:t>
      </w:r>
      <w:r>
        <w:rPr>
          <w:snapToGrid w:val="0"/>
        </w:rPr>
        <w:t>.</w:t>
      </w:r>
      <w:r>
        <w:rPr>
          <w:snapToGrid w:val="0"/>
        </w:rPr>
        <w:tab/>
        <w:t>Particulars of claims etc.</w:t>
      </w:r>
      <w:bookmarkEnd w:id="324"/>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 xml:space="preserve">where a party pleading alleges any condition of the mind of any person, whether any disorder or disability of mind or any malice, fraudulent intention or other condition of </w:t>
      </w:r>
      <w:r>
        <w:rPr>
          <w:snapToGrid w:val="0"/>
        </w:rPr>
        <w:lastRenderedPageBreak/>
        <w:t>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 xml:space="preserve">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w:t>
      </w:r>
      <w:r>
        <w:rPr>
          <w:snapToGrid w:val="0"/>
        </w:rPr>
        <w:lastRenderedPageBreak/>
        <w:t>order otherwise provides, operate as a stay of proceedings, or give any extension of time.</w:t>
      </w:r>
    </w:p>
    <w:p>
      <w:pPr>
        <w:pStyle w:val="Footnotesection"/>
      </w:pPr>
      <w:r>
        <w:tab/>
        <w:t xml:space="preserve">[Rule 13 amended: Gazette 26 Aug 1994 p. 4410; 28 Jun 2011 p. 2552.] </w:t>
      </w:r>
    </w:p>
    <w:p>
      <w:pPr>
        <w:pStyle w:val="Heading5"/>
        <w:rPr>
          <w:snapToGrid w:val="0"/>
        </w:rPr>
      </w:pPr>
      <w:bookmarkStart w:id="325" w:name="_Toc129077583"/>
      <w:r>
        <w:rPr>
          <w:rStyle w:val="CharSectno"/>
        </w:rPr>
        <w:t>13A</w:t>
      </w:r>
      <w:r>
        <w:rPr>
          <w:snapToGrid w:val="0"/>
        </w:rPr>
        <w:t>.</w:t>
      </w:r>
      <w:r>
        <w:rPr>
          <w:snapToGrid w:val="0"/>
        </w:rPr>
        <w:tab/>
        <w:t>Particulars in defamation actions</w:t>
      </w:r>
      <w:bookmarkEnd w:id="325"/>
    </w:p>
    <w:p>
      <w:pPr>
        <w:pStyle w:val="Subsection"/>
        <w:rPr>
          <w:snapToGrid w:val="0"/>
        </w:rPr>
      </w:pPr>
      <w:r>
        <w:rPr>
          <w:snapToGrid w:val="0"/>
        </w:rPr>
        <w:tab/>
        <w:t>(1)</w:t>
      </w:r>
      <w:r>
        <w:rPr>
          <w:snapToGrid w:val="0"/>
        </w:rPr>
        <w:tab/>
        <w:t xml:space="preserve">Where in an action for </w:t>
      </w:r>
      <w:r>
        <w:t>defamation</w:t>
      </w:r>
      <w:r>
        <w:rPr>
          <w:snapToGrid w:val="0"/>
        </w:rPr>
        <w:t xml:space="preserve">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 xml:space="preserve">Where in an action for </w:t>
      </w:r>
      <w:r>
        <w:t>defamation</w:t>
      </w:r>
      <w:r>
        <w:rPr>
          <w:snapToGrid w:val="0"/>
        </w:rPr>
        <w:t xml:space="preserve">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 xml:space="preserve">Where in an action for </w:t>
      </w:r>
      <w:r>
        <w:t>defamation</w:t>
      </w:r>
      <w:r>
        <w:rPr>
          <w:snapToGrid w:val="0"/>
        </w:rPr>
        <w:t xml:space="preserve">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 xml:space="preserve">This rule applies in relation to a counterclaim for </w:t>
      </w:r>
      <w:r>
        <w:t>defamation</w:t>
      </w:r>
      <w:r>
        <w:rPr>
          <w:snapToGrid w:val="0"/>
        </w:rPr>
        <w:t xml:space="preserve"> as if the party making the counterclaim were the plaintiff and the party against whom it is made were the defendant.</w:t>
      </w:r>
    </w:p>
    <w:p>
      <w:pPr>
        <w:pStyle w:val="Footnotesection"/>
      </w:pPr>
      <w:r>
        <w:tab/>
        <w:t xml:space="preserve">[Rule 13A inserted: Gazette 23 Sep 1983 p. 3797; amended: Gazette 16 Aug 2017 p. 4411.] </w:t>
      </w:r>
    </w:p>
    <w:p>
      <w:pPr>
        <w:pStyle w:val="Heading5"/>
        <w:rPr>
          <w:snapToGrid w:val="0"/>
        </w:rPr>
      </w:pPr>
      <w:bookmarkStart w:id="326" w:name="_Toc129077584"/>
      <w:r>
        <w:rPr>
          <w:rStyle w:val="CharSectno"/>
        </w:rPr>
        <w:lastRenderedPageBreak/>
        <w:t>14</w:t>
      </w:r>
      <w:r>
        <w:rPr>
          <w:snapToGrid w:val="0"/>
        </w:rPr>
        <w:t>.</w:t>
      </w:r>
      <w:r>
        <w:rPr>
          <w:snapToGrid w:val="0"/>
        </w:rPr>
        <w:tab/>
        <w:t>Admissions, traverses etc.</w:t>
      </w:r>
      <w:bookmarkEnd w:id="326"/>
    </w:p>
    <w:p>
      <w:pPr>
        <w:pStyle w:val="Subsection"/>
        <w:spacing w:before="180"/>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spacing w:before="180"/>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spacing w:before="180"/>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spacing w:before="180"/>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Gazette 28 Jun 2011 p. 2552.]</w:t>
      </w:r>
    </w:p>
    <w:p>
      <w:pPr>
        <w:pStyle w:val="Heading5"/>
        <w:rPr>
          <w:snapToGrid w:val="0"/>
        </w:rPr>
      </w:pPr>
      <w:bookmarkStart w:id="327" w:name="_Toc129077585"/>
      <w:r>
        <w:rPr>
          <w:rStyle w:val="CharSectno"/>
        </w:rPr>
        <w:t>15</w:t>
      </w:r>
      <w:r>
        <w:rPr>
          <w:snapToGrid w:val="0"/>
        </w:rPr>
        <w:t>.</w:t>
      </w:r>
      <w:r>
        <w:rPr>
          <w:snapToGrid w:val="0"/>
        </w:rPr>
        <w:tab/>
        <w:t>Denial by joinder of issue</w:t>
      </w:r>
      <w:bookmarkEnd w:id="327"/>
    </w:p>
    <w:p>
      <w:pPr>
        <w:pStyle w:val="Subsection"/>
        <w:spacing w:before="180"/>
        <w:rPr>
          <w:snapToGrid w:val="0"/>
        </w:rPr>
      </w:pPr>
      <w:r>
        <w:rPr>
          <w:snapToGrid w:val="0"/>
        </w:rPr>
        <w:tab/>
        <w:t>(1)</w:t>
      </w:r>
      <w:r>
        <w:rPr>
          <w:snapToGrid w:val="0"/>
        </w:rPr>
        <w:tab/>
        <w:t>If there is no reply to a defence, there is an implied joinder of issue on that defence.</w:t>
      </w:r>
    </w:p>
    <w:p>
      <w:pPr>
        <w:pStyle w:val="Subsection"/>
        <w:spacing w:before="180"/>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spacing w:before="180"/>
        <w:rPr>
          <w:snapToGrid w:val="0"/>
        </w:rPr>
      </w:pPr>
      <w:r>
        <w:rPr>
          <w:snapToGrid w:val="0"/>
        </w:rPr>
        <w:tab/>
        <w:t>(3)</w:t>
      </w:r>
      <w:r>
        <w:rPr>
          <w:snapToGrid w:val="0"/>
        </w:rPr>
        <w:tab/>
        <w:t>There can be no joinder of issue, implied or express, on a statement of claim or counterclaim.</w:t>
      </w:r>
    </w:p>
    <w:p>
      <w:pPr>
        <w:pStyle w:val="Subsection"/>
        <w:spacing w:before="180"/>
        <w:rPr>
          <w:snapToGrid w:val="0"/>
        </w:rPr>
      </w:pPr>
      <w:r>
        <w:rPr>
          <w:snapToGrid w:val="0"/>
        </w:rPr>
        <w:tab/>
        <w:t>(4)</w:t>
      </w:r>
      <w:r>
        <w:rPr>
          <w:snapToGrid w:val="0"/>
        </w:rPr>
        <w:tab/>
        <w:t xml:space="preserve">A joinder of issue operates as a denial of every material allegation of fact made in the pleading on which there is an </w:t>
      </w:r>
      <w:r>
        <w:rPr>
          <w:snapToGrid w:val="0"/>
        </w:rPr>
        <w:lastRenderedPageBreak/>
        <w:t>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Gazette 28 Jun 2011 p. 2552.]</w:t>
      </w:r>
    </w:p>
    <w:p>
      <w:pPr>
        <w:pStyle w:val="Heading5"/>
        <w:spacing w:before="240"/>
        <w:rPr>
          <w:snapToGrid w:val="0"/>
        </w:rPr>
      </w:pPr>
      <w:bookmarkStart w:id="328" w:name="_Toc129077586"/>
      <w:r>
        <w:rPr>
          <w:rStyle w:val="CharSectno"/>
        </w:rPr>
        <w:t>16</w:t>
      </w:r>
      <w:r>
        <w:rPr>
          <w:snapToGrid w:val="0"/>
        </w:rPr>
        <w:t>.</w:t>
      </w:r>
      <w:r>
        <w:rPr>
          <w:snapToGrid w:val="0"/>
        </w:rPr>
        <w:tab/>
        <w:t>Defence of tender not available without payment into court</w:t>
      </w:r>
      <w:bookmarkEnd w:id="328"/>
    </w:p>
    <w:p>
      <w:pPr>
        <w:pStyle w:val="Subsection"/>
        <w:spacing w:before="180"/>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spacing w:before="240"/>
        <w:rPr>
          <w:snapToGrid w:val="0"/>
        </w:rPr>
      </w:pPr>
      <w:bookmarkStart w:id="329" w:name="_Toc129077587"/>
      <w:r>
        <w:rPr>
          <w:rStyle w:val="CharSectno"/>
        </w:rPr>
        <w:t>17</w:t>
      </w:r>
      <w:r>
        <w:rPr>
          <w:snapToGrid w:val="0"/>
        </w:rPr>
        <w:t>.</w:t>
      </w:r>
      <w:r>
        <w:rPr>
          <w:snapToGrid w:val="0"/>
        </w:rPr>
        <w:tab/>
        <w:t>Defence of set</w:t>
      </w:r>
      <w:r>
        <w:rPr>
          <w:snapToGrid w:val="0"/>
        </w:rPr>
        <w:noBreakHyphen/>
        <w:t>off</w:t>
      </w:r>
      <w:bookmarkEnd w:id="329"/>
    </w:p>
    <w:p>
      <w:pPr>
        <w:pStyle w:val="Subsection"/>
        <w:spacing w:before="180"/>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spacing w:before="240"/>
        <w:rPr>
          <w:snapToGrid w:val="0"/>
        </w:rPr>
      </w:pPr>
      <w:bookmarkStart w:id="330" w:name="_Toc129077588"/>
      <w:r>
        <w:rPr>
          <w:rStyle w:val="CharSectno"/>
        </w:rPr>
        <w:t>18</w:t>
      </w:r>
      <w:r>
        <w:rPr>
          <w:snapToGrid w:val="0"/>
        </w:rPr>
        <w:t>.</w:t>
      </w:r>
      <w:r>
        <w:rPr>
          <w:snapToGrid w:val="0"/>
        </w:rPr>
        <w:tab/>
        <w:t>Counterclaim and defence to counterclaim</w:t>
      </w:r>
      <w:bookmarkEnd w:id="330"/>
    </w:p>
    <w:p>
      <w:pPr>
        <w:pStyle w:val="Subsection"/>
        <w:spacing w:before="180"/>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31" w:name="_Toc129077589"/>
      <w:r>
        <w:rPr>
          <w:rStyle w:val="CharSectno"/>
        </w:rPr>
        <w:lastRenderedPageBreak/>
        <w:t>19</w:t>
      </w:r>
      <w:r>
        <w:rPr>
          <w:snapToGrid w:val="0"/>
        </w:rPr>
        <w:t>.</w:t>
      </w:r>
      <w:r>
        <w:rPr>
          <w:snapToGrid w:val="0"/>
        </w:rPr>
        <w:tab/>
        <w:t>Striking out pleadings etc.</w:t>
      </w:r>
      <w:bookmarkEnd w:id="331"/>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r>
      <w:r>
        <w:t>An application</w:t>
      </w:r>
      <w:r>
        <w:rPr>
          <w:snapToGrid w:val="0"/>
        </w:rPr>
        <w:t xml:space="preserve">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 xml:space="preserve">Unless special circumstances are shown, an application to amend pleadings consequent upon an order striking the </w:t>
      </w:r>
      <w:r>
        <w:rPr>
          <w:snapToGrid w:val="0"/>
        </w:rPr>
        <w:lastRenderedPageBreak/>
        <w:t>pleadings out, in whole or in part, shall be accompanied by a minute of the proposed amendment.</w:t>
      </w:r>
    </w:p>
    <w:p>
      <w:pPr>
        <w:pStyle w:val="Footnotesection"/>
      </w:pPr>
      <w:r>
        <w:tab/>
        <w:t>[Rule 19 amended: Gazette 26 Aug 1994 p. 4410</w:t>
      </w:r>
      <w:r>
        <w:noBreakHyphen/>
        <w:t xml:space="preserve">11; 24 Jan 1995 p. 270; 9 Aug 1996 p. 3949; 28 Jun 2011 p. 2552 and 2553; 24 May 2017 p. 2607.] </w:t>
      </w:r>
    </w:p>
    <w:p>
      <w:pPr>
        <w:pStyle w:val="Heading5"/>
        <w:rPr>
          <w:snapToGrid w:val="0"/>
        </w:rPr>
      </w:pPr>
      <w:bookmarkStart w:id="332" w:name="_Toc129077590"/>
      <w:r>
        <w:rPr>
          <w:rStyle w:val="CharSectno"/>
        </w:rPr>
        <w:t>20</w:t>
      </w:r>
      <w:r>
        <w:rPr>
          <w:snapToGrid w:val="0"/>
        </w:rPr>
        <w:t>.</w:t>
      </w:r>
      <w:r>
        <w:rPr>
          <w:snapToGrid w:val="0"/>
        </w:rPr>
        <w:tab/>
        <w:t>Close of pleadings</w:t>
      </w:r>
      <w:bookmarkEnd w:id="332"/>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Gazette 28 Jun 2011 p. 2552.]</w:t>
      </w:r>
    </w:p>
    <w:p>
      <w:pPr>
        <w:pStyle w:val="Heading5"/>
        <w:rPr>
          <w:snapToGrid w:val="0"/>
        </w:rPr>
      </w:pPr>
      <w:bookmarkStart w:id="333" w:name="_Toc129077591"/>
      <w:r>
        <w:rPr>
          <w:rStyle w:val="CharSectno"/>
        </w:rPr>
        <w:t>21</w:t>
      </w:r>
      <w:r>
        <w:rPr>
          <w:snapToGrid w:val="0"/>
        </w:rPr>
        <w:t>.</w:t>
      </w:r>
      <w:r>
        <w:rPr>
          <w:snapToGrid w:val="0"/>
        </w:rPr>
        <w:tab/>
        <w:t>Trial without pleadings</w:t>
      </w:r>
      <w:bookmarkEnd w:id="333"/>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 xml:space="preserve">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w:t>
      </w:r>
      <w:r>
        <w:rPr>
          <w:snapToGrid w:val="0"/>
        </w:rPr>
        <w:lastRenderedPageBreak/>
        <w:t>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 xml:space="preserve">a claim by the plaintiff for </w:t>
      </w:r>
      <w:r>
        <w:t xml:space="preserve">defamation, </w:t>
      </w:r>
      <w:r>
        <w:rPr>
          <w:snapToGrid w:val="0"/>
        </w:rPr>
        <w:t>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Gazette 28 Jul 2010 p. 3466; 16 Aug 2017 p. 4411.]</w:t>
      </w:r>
    </w:p>
    <w:p>
      <w:pPr>
        <w:pStyle w:val="Heading5"/>
        <w:rPr>
          <w:snapToGrid w:val="0"/>
        </w:rPr>
      </w:pPr>
      <w:bookmarkStart w:id="334" w:name="_Toc129077592"/>
      <w:r>
        <w:rPr>
          <w:rStyle w:val="CharSectno"/>
        </w:rPr>
        <w:t>22</w:t>
      </w:r>
      <w:r>
        <w:rPr>
          <w:snapToGrid w:val="0"/>
        </w:rPr>
        <w:t>.</w:t>
      </w:r>
      <w:r>
        <w:rPr>
          <w:snapToGrid w:val="0"/>
        </w:rPr>
        <w:tab/>
        <w:t>Preparation of issues</w:t>
      </w:r>
      <w:bookmarkEnd w:id="334"/>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35" w:name="_Toc129077593"/>
      <w:r>
        <w:rPr>
          <w:rStyle w:val="CharSectno"/>
        </w:rPr>
        <w:t>23</w:t>
      </w:r>
      <w:r>
        <w:rPr>
          <w:snapToGrid w:val="0"/>
        </w:rPr>
        <w:t>.</w:t>
      </w:r>
      <w:r>
        <w:rPr>
          <w:snapToGrid w:val="0"/>
        </w:rPr>
        <w:tab/>
        <w:t>Collision between vessels, content etc. of Preliminary Act</w:t>
      </w:r>
      <w:bookmarkEnd w:id="335"/>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a document to be called a Preliminary Act.</w:t>
      </w:r>
    </w:p>
    <w:p>
      <w:pPr>
        <w:pStyle w:val="Subsection"/>
        <w:rPr>
          <w:snapToGrid w:val="0"/>
        </w:rPr>
      </w:pPr>
      <w:r>
        <w:rPr>
          <w:snapToGrid w:val="0"/>
        </w:rPr>
        <w:tab/>
        <w:t>(2)</w:t>
      </w:r>
      <w:r>
        <w:rPr>
          <w:snapToGrid w:val="0"/>
        </w:rPr>
        <w:tab/>
        <w:t xml:space="preserve">Every Preliminary Act shall be sealed up and, unless the Court otherwise orders, shall not be opened until the pleadings are closed and a consent signed by the respective parties or their solicitors that the Preliminary Acts shall be opened is </w:t>
      </w:r>
      <w:r>
        <w:t>filed.</w:t>
      </w:r>
    </w:p>
    <w:p>
      <w:pPr>
        <w:pStyle w:val="Subsection"/>
        <w:rPr>
          <w:snapToGrid w:val="0"/>
        </w:rPr>
      </w:pPr>
      <w:r>
        <w:rPr>
          <w:snapToGrid w:val="0"/>
        </w:rPr>
        <w:lastRenderedPageBreak/>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keepNext/>
        <w:rPr>
          <w:snapToGrid w:val="0"/>
        </w:rPr>
      </w:pPr>
      <w:r>
        <w:rPr>
          <w:snapToGrid w:val="0"/>
        </w:rPr>
        <w:lastRenderedPageBreak/>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Gazette 28 Jun 2011 p. 2553</w:t>
      </w:r>
      <w:r>
        <w:noBreakHyphen/>
        <w:t>4; 27 Feb 2018 p. 558-9.]</w:t>
      </w:r>
    </w:p>
    <w:p>
      <w:pPr>
        <w:pStyle w:val="Heading5"/>
        <w:rPr>
          <w:snapToGrid w:val="0"/>
        </w:rPr>
      </w:pPr>
      <w:bookmarkStart w:id="336" w:name="_Toc129077594"/>
      <w:r>
        <w:rPr>
          <w:rStyle w:val="CharSectno"/>
        </w:rPr>
        <w:t>24</w:t>
      </w:r>
      <w:r>
        <w:rPr>
          <w:snapToGrid w:val="0"/>
        </w:rPr>
        <w:t>.</w:t>
      </w:r>
      <w:r>
        <w:rPr>
          <w:snapToGrid w:val="0"/>
        </w:rPr>
        <w:tab/>
        <w:t>Failure to file Preliminary Act</w:t>
      </w:r>
      <w:bookmarkEnd w:id="336"/>
    </w:p>
    <w:p>
      <w:pPr>
        <w:pStyle w:val="Subsection"/>
        <w:rPr>
          <w:snapToGrid w:val="0"/>
        </w:rPr>
      </w:pPr>
      <w:r>
        <w:rPr>
          <w:snapToGrid w:val="0"/>
        </w:rPr>
        <w:tab/>
        <w:t>(1)</w:t>
      </w:r>
      <w:r>
        <w:rPr>
          <w:snapToGrid w:val="0"/>
        </w:rPr>
        <w:tab/>
        <w:t xml:space="preserve">Where in an action to which rule 23 applies, the plaintiff fails to </w:t>
      </w:r>
      <w:r>
        <w:t>file</w:t>
      </w:r>
      <w:r>
        <w:rPr>
          <w:snapToGrid w:val="0"/>
        </w:rPr>
        <w:t xml:space="preserve"> a Preliminary Act within the time prescribed for that purpose by that rule or by any order of the Court, any defendant who has </w:t>
      </w:r>
      <w:r>
        <w:t>filed</w:t>
      </w:r>
      <w:r>
        <w:rPr>
          <w:snapToGrid w:val="0"/>
        </w:rPr>
        <w:t xml:space="preserve">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 xml:space="preserve">Where in such an action, being an action in personam, a defendant fails to </w:t>
      </w:r>
      <w:r>
        <w:t>file</w:t>
      </w:r>
      <w:r>
        <w:rPr>
          <w:snapToGrid w:val="0"/>
        </w:rPr>
        <w:t xml:space="preserve"> a Preliminary Act within the period prescribed for that purpose by rule 23 or by any order of the Court, Order 22 rules 2 and 3 shall apply as if the defendant’s failure to </w:t>
      </w:r>
      <w:r>
        <w:t>file</w:t>
      </w:r>
      <w:r>
        <w:rPr>
          <w:snapToGrid w:val="0"/>
        </w:rPr>
        <w:t xml:space="preserve"> the Preliminary Act within that period were a failure by him to serve a defence on the plaintiff within the period fixed by or under these rules for service thereof, and the plaintiff may enter judgment against the defendant in </w:t>
      </w:r>
      <w:r>
        <w:rPr>
          <w:snapToGrid w:val="0"/>
        </w:rPr>
        <w:lastRenderedPageBreak/>
        <w:t>accordance with the said rule 2 or the said rule 3, as the circumstances of the case require.</w:t>
      </w:r>
    </w:p>
    <w:p>
      <w:pPr>
        <w:pStyle w:val="Footnotesection"/>
      </w:pPr>
      <w:r>
        <w:tab/>
        <w:t>[Rule 24 amended: Gazette 27 Feb 2018 p. 559.]</w:t>
      </w:r>
    </w:p>
    <w:p>
      <w:pPr>
        <w:pStyle w:val="Heading2"/>
        <w:rPr>
          <w:b w:val="0"/>
        </w:rPr>
      </w:pPr>
      <w:bookmarkStart w:id="337" w:name="_Toc129073523"/>
      <w:bookmarkStart w:id="338" w:name="_Toc129074806"/>
      <w:bookmarkStart w:id="339" w:name="_Toc129077595"/>
      <w:r>
        <w:rPr>
          <w:rStyle w:val="CharPartNo"/>
        </w:rPr>
        <w:lastRenderedPageBreak/>
        <w:t>Order 21</w:t>
      </w:r>
      <w:r>
        <w:t> — </w:t>
      </w:r>
      <w:r>
        <w:rPr>
          <w:rStyle w:val="CharPartText"/>
        </w:rPr>
        <w:t>Amendment</w:t>
      </w:r>
      <w:bookmarkEnd w:id="337"/>
      <w:bookmarkEnd w:id="338"/>
      <w:bookmarkEnd w:id="339"/>
    </w:p>
    <w:p>
      <w:pPr>
        <w:pStyle w:val="Heading5"/>
        <w:rPr>
          <w:snapToGrid w:val="0"/>
        </w:rPr>
      </w:pPr>
      <w:bookmarkStart w:id="340" w:name="_Toc129077596"/>
      <w:r>
        <w:rPr>
          <w:rStyle w:val="CharSectno"/>
        </w:rPr>
        <w:t>1</w:t>
      </w:r>
      <w:r>
        <w:rPr>
          <w:snapToGrid w:val="0"/>
        </w:rPr>
        <w:t>.</w:t>
      </w:r>
      <w:r>
        <w:rPr>
          <w:snapToGrid w:val="0"/>
        </w:rPr>
        <w:tab/>
        <w:t>Amending writ without leave</w:t>
      </w:r>
      <w:bookmarkEnd w:id="340"/>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Gazette 28 Jul 2010 p. 3462; 28 Jun 2011 p. 2552.]</w:t>
      </w:r>
    </w:p>
    <w:p>
      <w:pPr>
        <w:pStyle w:val="Heading5"/>
        <w:rPr>
          <w:snapToGrid w:val="0"/>
        </w:rPr>
      </w:pPr>
      <w:bookmarkStart w:id="341" w:name="_Toc129077597"/>
      <w:r>
        <w:rPr>
          <w:rStyle w:val="CharSectno"/>
        </w:rPr>
        <w:t>2</w:t>
      </w:r>
      <w:r>
        <w:rPr>
          <w:snapToGrid w:val="0"/>
        </w:rPr>
        <w:t>.</w:t>
      </w:r>
      <w:r>
        <w:rPr>
          <w:snapToGrid w:val="0"/>
        </w:rPr>
        <w:tab/>
        <w:t>Amending memorandum of appearance</w:t>
      </w:r>
      <w:bookmarkEnd w:id="341"/>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42" w:name="_Toc129077598"/>
      <w:r>
        <w:rPr>
          <w:rStyle w:val="CharSectno"/>
        </w:rPr>
        <w:t>3</w:t>
      </w:r>
      <w:r>
        <w:t>.</w:t>
      </w:r>
      <w:r>
        <w:tab/>
        <w:t>Amending pleadings without leave</w:t>
      </w:r>
      <w:bookmarkEnd w:id="342"/>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lastRenderedPageBreak/>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Gazette 28 Jul 2010 p. 3462-3.]</w:t>
      </w:r>
    </w:p>
    <w:p>
      <w:pPr>
        <w:pStyle w:val="Ednotesection"/>
      </w:pPr>
      <w:r>
        <w:t>[</w:t>
      </w:r>
      <w:r>
        <w:rPr>
          <w:b/>
          <w:bCs/>
        </w:rPr>
        <w:t>4.</w:t>
      </w:r>
      <w:r>
        <w:tab/>
        <w:t>Deleted: Gazette 28 Jul 2010 p. 3462.]</w:t>
      </w:r>
    </w:p>
    <w:p>
      <w:pPr>
        <w:pStyle w:val="Heading5"/>
      </w:pPr>
      <w:bookmarkStart w:id="343" w:name="_Toc129077599"/>
      <w:r>
        <w:rPr>
          <w:rStyle w:val="CharSectno"/>
        </w:rPr>
        <w:t>5</w:t>
      </w:r>
      <w:r>
        <w:t>.</w:t>
      </w:r>
      <w:r>
        <w:tab/>
        <w:t>Amending writ or pleading with leave</w:t>
      </w:r>
      <w:bookmarkEnd w:id="343"/>
    </w:p>
    <w:p>
      <w:pPr>
        <w:pStyle w:val="Subsection"/>
      </w:pPr>
      <w:r>
        <w:tab/>
        <w:t>(1)</w:t>
      </w:r>
      <w:r>
        <w:tab/>
        <w:t xml:space="preserve">This rule is subject to — </w:t>
      </w:r>
    </w:p>
    <w:p>
      <w:pPr>
        <w:pStyle w:val="Indenta"/>
      </w:pPr>
      <w:r>
        <w:tab/>
        <w:t>(a)</w:t>
      </w:r>
      <w:r>
        <w:tab/>
        <w:t>Order 18 rules 6, 7 and 8; and</w:t>
      </w:r>
    </w:p>
    <w:p>
      <w:pPr>
        <w:pStyle w:val="Indenta"/>
      </w:pPr>
      <w:r>
        <w:tab/>
        <w:t>(b)</w:t>
      </w:r>
      <w:r>
        <w:tab/>
        <w:t>Order 20 rule 19(2) to (5).</w:t>
      </w:r>
    </w:p>
    <w:p>
      <w:pPr>
        <w:pStyle w:val="Subsection"/>
      </w:pPr>
      <w:r>
        <w:tab/>
        <w:t>(2)</w:t>
      </w:r>
      <w:r>
        <w:tab/>
        <w:t>The Court may at any stage of the proceedings, without determining whether any relevant period of limitation has expired, allow the plaintiff to amend the plaintiff’s writ, or any party to amend that party’s pleading, on any terms as to costs or otherwise that may be just and in the manner (if any) that the Court may direct.</w:t>
      </w:r>
    </w:p>
    <w:p>
      <w:pPr>
        <w:pStyle w:val="Footnotesection"/>
      </w:pPr>
      <w:r>
        <w:tab/>
        <w:t>[Rule 5 inserted: Gazette 27 Feb 2018 p. 559-60.]</w:t>
      </w:r>
    </w:p>
    <w:p>
      <w:pPr>
        <w:pStyle w:val="Heading5"/>
        <w:spacing w:before="180"/>
        <w:rPr>
          <w:snapToGrid w:val="0"/>
        </w:rPr>
      </w:pPr>
      <w:bookmarkStart w:id="344" w:name="_Toc129077600"/>
      <w:r>
        <w:rPr>
          <w:rStyle w:val="CharSectno"/>
        </w:rPr>
        <w:lastRenderedPageBreak/>
        <w:t>6</w:t>
      </w:r>
      <w:r>
        <w:rPr>
          <w:snapToGrid w:val="0"/>
        </w:rPr>
        <w:t>.</w:t>
      </w:r>
      <w:r>
        <w:rPr>
          <w:snapToGrid w:val="0"/>
        </w:rPr>
        <w:tab/>
        <w:t>Amending other originating process</w:t>
      </w:r>
      <w:bookmarkEnd w:id="344"/>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45" w:name="_Toc129077601"/>
      <w:r>
        <w:rPr>
          <w:rStyle w:val="CharSectno"/>
        </w:rPr>
        <w:t>7</w:t>
      </w:r>
      <w:r>
        <w:rPr>
          <w:snapToGrid w:val="0"/>
        </w:rPr>
        <w:t>.</w:t>
      </w:r>
      <w:r>
        <w:rPr>
          <w:snapToGrid w:val="0"/>
        </w:rPr>
        <w:tab/>
        <w:t>Amending other documents</w:t>
      </w:r>
      <w:bookmarkEnd w:id="345"/>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46" w:name="_Toc129077602"/>
      <w:r>
        <w:rPr>
          <w:rStyle w:val="CharSectno"/>
        </w:rPr>
        <w:t>8</w:t>
      </w:r>
      <w:r>
        <w:rPr>
          <w:snapToGrid w:val="0"/>
        </w:rPr>
        <w:t>.</w:t>
      </w:r>
      <w:r>
        <w:rPr>
          <w:snapToGrid w:val="0"/>
        </w:rPr>
        <w:tab/>
        <w:t>Failure to amend after order</w:t>
      </w:r>
      <w:bookmarkEnd w:id="346"/>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Gazette 28 Jul 2010 p. 3463.]</w:t>
      </w:r>
    </w:p>
    <w:p>
      <w:pPr>
        <w:pStyle w:val="Heading5"/>
        <w:rPr>
          <w:snapToGrid w:val="0"/>
        </w:rPr>
      </w:pPr>
      <w:bookmarkStart w:id="347" w:name="_Toc129077603"/>
      <w:r>
        <w:rPr>
          <w:rStyle w:val="CharSectno"/>
        </w:rPr>
        <w:t>9</w:t>
      </w:r>
      <w:r>
        <w:rPr>
          <w:snapToGrid w:val="0"/>
        </w:rPr>
        <w:t>.</w:t>
      </w:r>
      <w:r>
        <w:rPr>
          <w:snapToGrid w:val="0"/>
        </w:rPr>
        <w:tab/>
        <w:t>How amendments to be made</w:t>
      </w:r>
      <w:bookmarkEnd w:id="347"/>
    </w:p>
    <w:p>
      <w:pPr>
        <w:pStyle w:val="Subsection"/>
        <w:rPr>
          <w:snapToGrid w:val="0"/>
        </w:rPr>
      </w:pPr>
      <w:r>
        <w:rPr>
          <w:snapToGrid w:val="0"/>
        </w:rPr>
        <w:tab/>
        <w:t>(1)</w:t>
      </w:r>
      <w:r>
        <w:rPr>
          <w:snapToGrid w:val="0"/>
        </w:rPr>
        <w:tab/>
        <w:t xml:space="preserve">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w:t>
      </w:r>
      <w:r>
        <w:t>any manner that</w:t>
      </w:r>
      <w:r>
        <w:rPr>
          <w:snapToGrid w:val="0"/>
        </w:rPr>
        <w:t xml:space="preserve"> will distinguish the alterations from the original document or from any previous </w:t>
      </w:r>
      <w:r>
        <w:rPr>
          <w:snapToGrid w:val="0"/>
        </w:rPr>
        <w:lastRenderedPageBreak/>
        <w:t>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xml:space="preserve"> (1), and subject to any direction given under rule 5 or 7, the amendments so authorised shall be effected by writing the necessary alterations on the writ, pleading or other document in </w:t>
      </w:r>
      <w:r>
        <w:t>any manner that</w:t>
      </w:r>
      <w:r>
        <w:rPr>
          <w:snapToGrid w:val="0"/>
        </w:rPr>
        <w:t xml:space="preserve"> will distinguish the alterations from the original document or from any previous amendment, and in the case of a writ or originating summons, </w:t>
      </w:r>
      <w:r>
        <w:t>by filing a copy and the request that it be re</w:t>
      </w:r>
      <w:r>
        <w:noBreakHyphen/>
        <w:t>sealed.</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Gazette 24 Jan 1995 p. 272; 28 Jul 2010 p. 3463; 28 Jun 2011 p. 2552; 27 Feb 2018 p. 560.] </w:t>
      </w:r>
    </w:p>
    <w:p>
      <w:pPr>
        <w:pStyle w:val="Heading5"/>
        <w:rPr>
          <w:snapToGrid w:val="0"/>
        </w:rPr>
      </w:pPr>
      <w:bookmarkStart w:id="348" w:name="_Toc129077604"/>
      <w:r>
        <w:rPr>
          <w:rStyle w:val="CharSectno"/>
        </w:rPr>
        <w:t>10</w:t>
      </w:r>
      <w:r>
        <w:rPr>
          <w:snapToGrid w:val="0"/>
        </w:rPr>
        <w:t>.</w:t>
      </w:r>
      <w:r>
        <w:rPr>
          <w:snapToGrid w:val="0"/>
        </w:rPr>
        <w:tab/>
        <w:t>Clerical errors etc., correcting (slip rule)</w:t>
      </w:r>
      <w:bookmarkEnd w:id="34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49" w:name="_Toc129077605"/>
      <w:r>
        <w:rPr>
          <w:rStyle w:val="CharSectno"/>
        </w:rPr>
        <w:t>11</w:t>
      </w:r>
      <w:r>
        <w:t>.</w:t>
      </w:r>
      <w:r>
        <w:tab/>
        <w:t>Service of amended documents</w:t>
      </w:r>
      <w:bookmarkEnd w:id="349"/>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Gazette 28 Jul 2010 p. 3463-4.]</w:t>
      </w:r>
    </w:p>
    <w:p>
      <w:pPr>
        <w:pStyle w:val="Ednotepart"/>
      </w:pPr>
      <w:r>
        <w:t>[Order 22 (r. 1-10) deleted: Gazette 16 Nov 2016 p. 5199.]</w:t>
      </w:r>
    </w:p>
    <w:p>
      <w:pPr>
        <w:pStyle w:val="Heading2"/>
        <w:rPr>
          <w:b w:val="0"/>
        </w:rPr>
      </w:pPr>
      <w:bookmarkStart w:id="350" w:name="_Toc129073534"/>
      <w:bookmarkStart w:id="351" w:name="_Toc129074817"/>
      <w:bookmarkStart w:id="352" w:name="_Toc129077606"/>
      <w:r>
        <w:rPr>
          <w:rStyle w:val="CharPartNo"/>
        </w:rPr>
        <w:lastRenderedPageBreak/>
        <w:t>Order 23</w:t>
      </w:r>
      <w:r>
        <w:t> — </w:t>
      </w:r>
      <w:r>
        <w:rPr>
          <w:rStyle w:val="CharPartText"/>
        </w:rPr>
        <w:t>Discontinuance</w:t>
      </w:r>
      <w:bookmarkEnd w:id="350"/>
      <w:bookmarkEnd w:id="351"/>
      <w:bookmarkEnd w:id="352"/>
    </w:p>
    <w:p>
      <w:pPr>
        <w:pStyle w:val="Heading5"/>
        <w:rPr>
          <w:snapToGrid w:val="0"/>
        </w:rPr>
      </w:pPr>
      <w:bookmarkStart w:id="353" w:name="_Toc129077607"/>
      <w:r>
        <w:rPr>
          <w:rStyle w:val="CharSectno"/>
        </w:rPr>
        <w:t>1</w:t>
      </w:r>
      <w:r>
        <w:rPr>
          <w:snapToGrid w:val="0"/>
        </w:rPr>
        <w:t>.</w:t>
      </w:r>
      <w:r>
        <w:rPr>
          <w:snapToGrid w:val="0"/>
        </w:rPr>
        <w:tab/>
        <w:t>Withdrawing appearance</w:t>
      </w:r>
      <w:bookmarkEnd w:id="353"/>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54" w:name="_Toc129077608"/>
      <w:r>
        <w:rPr>
          <w:rStyle w:val="CharSectno"/>
        </w:rPr>
        <w:t>2</w:t>
      </w:r>
      <w:r>
        <w:rPr>
          <w:snapToGrid w:val="0"/>
        </w:rPr>
        <w:t>.</w:t>
      </w:r>
      <w:r>
        <w:rPr>
          <w:snapToGrid w:val="0"/>
        </w:rPr>
        <w:tab/>
        <w:t>Plaintiff may discontinue; defence etc. may be withdrawn</w:t>
      </w:r>
      <w:bookmarkEnd w:id="354"/>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Gazette 28 Jun 2011 p. 2552.]</w:t>
      </w:r>
    </w:p>
    <w:p>
      <w:pPr>
        <w:pStyle w:val="Heading5"/>
        <w:rPr>
          <w:snapToGrid w:val="0"/>
        </w:rPr>
      </w:pPr>
      <w:bookmarkStart w:id="355" w:name="_Toc129077609"/>
      <w:r>
        <w:rPr>
          <w:rStyle w:val="CharSectno"/>
        </w:rPr>
        <w:lastRenderedPageBreak/>
        <w:t>3</w:t>
      </w:r>
      <w:r>
        <w:rPr>
          <w:snapToGrid w:val="0"/>
        </w:rPr>
        <w:t>.</w:t>
      </w:r>
      <w:r>
        <w:rPr>
          <w:snapToGrid w:val="0"/>
        </w:rPr>
        <w:tab/>
        <w:t>Costs</w:t>
      </w:r>
      <w:bookmarkEnd w:id="355"/>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56" w:name="_Toc129077610"/>
      <w:r>
        <w:rPr>
          <w:rStyle w:val="CharSectno"/>
        </w:rPr>
        <w:t>4</w:t>
      </w:r>
      <w:r>
        <w:rPr>
          <w:snapToGrid w:val="0"/>
        </w:rPr>
        <w:t>.</w:t>
      </w:r>
      <w:r>
        <w:rPr>
          <w:snapToGrid w:val="0"/>
        </w:rPr>
        <w:tab/>
        <w:t>Subsequent action stayed pending payment</w:t>
      </w:r>
      <w:bookmarkEnd w:id="356"/>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57" w:name="_Toc129077611"/>
      <w:r>
        <w:rPr>
          <w:rStyle w:val="CharSectno"/>
        </w:rPr>
        <w:t>5</w:t>
      </w:r>
      <w:r>
        <w:rPr>
          <w:snapToGrid w:val="0"/>
        </w:rPr>
        <w:t>.</w:t>
      </w:r>
      <w:r>
        <w:rPr>
          <w:snapToGrid w:val="0"/>
        </w:rPr>
        <w:tab/>
        <w:t>Withdrawal of summons</w:t>
      </w:r>
      <w:bookmarkEnd w:id="357"/>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58" w:name="_Toc129073540"/>
      <w:bookmarkStart w:id="359" w:name="_Toc129074823"/>
      <w:bookmarkStart w:id="360" w:name="_Toc129077612"/>
      <w:r>
        <w:rPr>
          <w:rStyle w:val="CharPartNo"/>
        </w:rPr>
        <w:lastRenderedPageBreak/>
        <w:t>Order 24</w:t>
      </w:r>
      <w:r>
        <w:t> — </w:t>
      </w:r>
      <w:r>
        <w:rPr>
          <w:rStyle w:val="CharPartText"/>
        </w:rPr>
        <w:t>Payment into court — offers to consent to judgment</w:t>
      </w:r>
      <w:bookmarkEnd w:id="358"/>
      <w:bookmarkEnd w:id="359"/>
      <w:bookmarkEnd w:id="360"/>
    </w:p>
    <w:p>
      <w:pPr>
        <w:pStyle w:val="Ednotesection"/>
        <w:spacing w:before="180"/>
        <w:ind w:left="890" w:hanging="890"/>
      </w:pPr>
      <w:r>
        <w:t>[</w:t>
      </w:r>
      <w:r>
        <w:rPr>
          <w:b/>
        </w:rPr>
        <w:t>1</w:t>
      </w:r>
      <w:r>
        <w:rPr>
          <w:b/>
        </w:rPr>
        <w:noBreakHyphen/>
        <w:t>8.</w:t>
      </w:r>
      <w:r>
        <w:tab/>
        <w:t xml:space="preserve">Deleted: Gazette 5 Apr 1991 p. 1398.] </w:t>
      </w:r>
    </w:p>
    <w:p>
      <w:pPr>
        <w:pStyle w:val="Heading5"/>
        <w:spacing w:before="180"/>
        <w:rPr>
          <w:snapToGrid w:val="0"/>
        </w:rPr>
      </w:pPr>
      <w:bookmarkStart w:id="361" w:name="_Toc129077613"/>
      <w:r>
        <w:rPr>
          <w:rStyle w:val="CharSectno"/>
        </w:rPr>
        <w:t>9</w:t>
      </w:r>
      <w:r>
        <w:rPr>
          <w:snapToGrid w:val="0"/>
        </w:rPr>
        <w:t>.</w:t>
      </w:r>
      <w:r>
        <w:rPr>
          <w:snapToGrid w:val="0"/>
        </w:rPr>
        <w:tab/>
        <w:t>In certain cases no payment out without order</w:t>
      </w:r>
      <w:bookmarkEnd w:id="361"/>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Gazette 14 Dec 1979 p. 3869; 30 Nov 1984 p. 3951; 28 Jun 2011 p. 2552.] </w:t>
      </w:r>
    </w:p>
    <w:p>
      <w:pPr>
        <w:pStyle w:val="Ednotesection"/>
        <w:ind w:left="890" w:hanging="890"/>
      </w:pPr>
      <w:r>
        <w:t>[</w:t>
      </w:r>
      <w:r>
        <w:rPr>
          <w:b/>
        </w:rPr>
        <w:t>10.</w:t>
      </w:r>
      <w:r>
        <w:tab/>
        <w:t xml:space="preserve">Deleted: Gazette 5 Apr 1991 p. 1398.] </w:t>
      </w:r>
    </w:p>
    <w:p>
      <w:pPr>
        <w:pStyle w:val="Heading5"/>
        <w:spacing w:before="180"/>
        <w:rPr>
          <w:snapToGrid w:val="0"/>
        </w:rPr>
      </w:pPr>
      <w:bookmarkStart w:id="362" w:name="_Toc129077614"/>
      <w:r>
        <w:rPr>
          <w:rStyle w:val="CharSectno"/>
        </w:rPr>
        <w:t>11</w:t>
      </w:r>
      <w:r>
        <w:rPr>
          <w:snapToGrid w:val="0"/>
        </w:rPr>
        <w:t>.</w:t>
      </w:r>
      <w:r>
        <w:rPr>
          <w:snapToGrid w:val="0"/>
        </w:rPr>
        <w:tab/>
        <w:t>Intestate’s estate, Court may direct some payments without administration</w:t>
      </w:r>
      <w:bookmarkEnd w:id="362"/>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lastRenderedPageBreak/>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Gazette 30 Nov 1984 p. 3953; 30 Jun 2003 p. 2631.] </w:t>
      </w:r>
    </w:p>
    <w:p>
      <w:pPr>
        <w:pStyle w:val="Heading5"/>
        <w:rPr>
          <w:snapToGrid w:val="0"/>
        </w:rPr>
      </w:pPr>
      <w:bookmarkStart w:id="363" w:name="_Toc129077615"/>
      <w:r>
        <w:rPr>
          <w:rStyle w:val="CharSectno"/>
        </w:rPr>
        <w:t>12</w:t>
      </w:r>
      <w:r>
        <w:rPr>
          <w:snapToGrid w:val="0"/>
        </w:rPr>
        <w:t>.</w:t>
      </w:r>
      <w:r>
        <w:rPr>
          <w:snapToGrid w:val="0"/>
        </w:rPr>
        <w:tab/>
        <w:t>Regulations (Sch. 3)</w:t>
      </w:r>
      <w:bookmarkEnd w:id="363"/>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Gazette 28 Jun 2011 p. 2554.]</w:t>
      </w:r>
    </w:p>
    <w:p>
      <w:pPr>
        <w:pStyle w:val="Heading2"/>
        <w:rPr>
          <w:b w:val="0"/>
        </w:rPr>
      </w:pPr>
      <w:bookmarkStart w:id="364" w:name="_Toc129073544"/>
      <w:bookmarkStart w:id="365" w:name="_Toc129074827"/>
      <w:bookmarkStart w:id="366" w:name="_Toc129077616"/>
      <w:r>
        <w:rPr>
          <w:rStyle w:val="CharPartNo"/>
        </w:rPr>
        <w:lastRenderedPageBreak/>
        <w:t>Order 24A</w:t>
      </w:r>
      <w:r>
        <w:t> — </w:t>
      </w:r>
      <w:r>
        <w:rPr>
          <w:rStyle w:val="CharPartText"/>
        </w:rPr>
        <w:t>Offer of compromise</w:t>
      </w:r>
      <w:bookmarkEnd w:id="364"/>
      <w:bookmarkEnd w:id="365"/>
      <w:bookmarkEnd w:id="366"/>
    </w:p>
    <w:p>
      <w:pPr>
        <w:pStyle w:val="Footnoteheading"/>
        <w:ind w:left="890"/>
        <w:rPr>
          <w:snapToGrid w:val="0"/>
        </w:rPr>
      </w:pPr>
      <w:r>
        <w:rPr>
          <w:snapToGrid w:val="0"/>
        </w:rPr>
        <w:tab/>
        <w:t>[Heading inserted: Gazette 5 Apr 1991 p. 1398.]</w:t>
      </w:r>
    </w:p>
    <w:p>
      <w:pPr>
        <w:pStyle w:val="Heading5"/>
      </w:pPr>
      <w:bookmarkStart w:id="367" w:name="_Toc129077617"/>
      <w:r>
        <w:rPr>
          <w:rStyle w:val="CharSectno"/>
        </w:rPr>
        <w:t>1</w:t>
      </w:r>
      <w:r>
        <w:t>.</w:t>
      </w:r>
      <w:r>
        <w:tab/>
        <w:t>Parties entitled to make offer</w:t>
      </w:r>
      <w:bookmarkEnd w:id="367"/>
    </w:p>
    <w:p>
      <w:pPr>
        <w:pStyle w:val="Subsection"/>
      </w:pPr>
      <w:r>
        <w:tab/>
      </w:r>
      <w:r>
        <w:tab/>
        <w:t>In any proceedings the plaintiff or the defendant may make to the other an offer to compromise any claim in the proceedings on the terms specified in the notice of offer.</w:t>
      </w:r>
    </w:p>
    <w:p>
      <w:pPr>
        <w:pStyle w:val="Footnotesection"/>
      </w:pPr>
      <w:r>
        <w:tab/>
        <w:t xml:space="preserve">[Rule 1 inserted: Gazette 4 Sep 2015 p. 3696.] </w:t>
      </w:r>
    </w:p>
    <w:p>
      <w:pPr>
        <w:pStyle w:val="Heading5"/>
      </w:pPr>
      <w:bookmarkStart w:id="368" w:name="_Toc129077618"/>
      <w:r>
        <w:rPr>
          <w:rStyle w:val="CharSectno"/>
        </w:rPr>
        <w:t>2</w:t>
      </w:r>
      <w:r>
        <w:t>.</w:t>
      </w:r>
      <w:r>
        <w:tab/>
        <w:t>Application of this Order to counterclaims and third party notices</w:t>
      </w:r>
      <w:bookmarkEnd w:id="368"/>
    </w:p>
    <w:p>
      <w:pPr>
        <w:pStyle w:val="Subsection"/>
      </w:pPr>
      <w:r>
        <w:tab/>
      </w:r>
      <w:r>
        <w:tab/>
        <w:t xml:space="preserve">Where a party makes a claim by way of counterclaim or third party notice, this Order applies in relation to the proceeding on that claim as if — </w:t>
      </w:r>
    </w:p>
    <w:p>
      <w:pPr>
        <w:pStyle w:val="Indenta"/>
      </w:pPr>
      <w:r>
        <w:tab/>
        <w:t>(a)</w:t>
      </w:r>
      <w:r>
        <w:tab/>
        <w:t>the party making the claim were the plaintiff; and</w:t>
      </w:r>
    </w:p>
    <w:p>
      <w:pPr>
        <w:pStyle w:val="Indenta"/>
      </w:pPr>
      <w:r>
        <w:tab/>
        <w:t>(b)</w:t>
      </w:r>
      <w:r>
        <w:tab/>
        <w:t>the party against whom the claim is made were the defendant.</w:t>
      </w:r>
    </w:p>
    <w:p>
      <w:pPr>
        <w:pStyle w:val="Footnotesection"/>
      </w:pPr>
      <w:r>
        <w:tab/>
        <w:t xml:space="preserve">[Rule 2 inserted: Gazette 4 Sep 2015 p. 3696.] </w:t>
      </w:r>
    </w:p>
    <w:p>
      <w:pPr>
        <w:pStyle w:val="Heading5"/>
      </w:pPr>
      <w:bookmarkStart w:id="369" w:name="_Toc129077619"/>
      <w:r>
        <w:rPr>
          <w:rStyle w:val="CharSectno"/>
        </w:rPr>
        <w:t>3A</w:t>
      </w:r>
      <w:r>
        <w:t>.</w:t>
      </w:r>
      <w:r>
        <w:tab/>
        <w:t>How to make offer</w:t>
      </w:r>
      <w:bookmarkEnd w:id="369"/>
    </w:p>
    <w:p>
      <w:pPr>
        <w:pStyle w:val="Subsection"/>
      </w:pPr>
      <w:r>
        <w:tab/>
        <w:t>(1)</w:t>
      </w:r>
      <w:r>
        <w:tab/>
        <w:t>An offer of compromise is made to a party under this Order by serving a notice of the offer on the party.</w:t>
      </w:r>
    </w:p>
    <w:p>
      <w:pPr>
        <w:pStyle w:val="Subsection"/>
      </w:pPr>
      <w:r>
        <w:tab/>
        <w:t>(2)</w:t>
      </w:r>
      <w:r>
        <w:tab/>
        <w:t xml:space="preserve">A notice of offer is to — </w:t>
      </w:r>
    </w:p>
    <w:p>
      <w:pPr>
        <w:pStyle w:val="Indenta"/>
      </w:pPr>
      <w:r>
        <w:tab/>
        <w:t>(a)</w:t>
      </w:r>
      <w:r>
        <w:tab/>
        <w:t>be in writing; and</w:t>
      </w:r>
    </w:p>
    <w:p>
      <w:pPr>
        <w:pStyle w:val="Indenta"/>
      </w:pPr>
      <w:r>
        <w:tab/>
        <w:t>(b)</w:t>
      </w:r>
      <w:r>
        <w:tab/>
        <w:t>bear a statement to the effect that the offer is made under this Order.</w:t>
      </w:r>
    </w:p>
    <w:p>
      <w:pPr>
        <w:pStyle w:val="Footnotesection"/>
      </w:pPr>
      <w:r>
        <w:tab/>
        <w:t>[Rule 3A inserted: Gazette 4 Sep 2015 p. 3696</w:t>
      </w:r>
      <w:r>
        <w:noBreakHyphen/>
        <w:t xml:space="preserve">7.] </w:t>
      </w:r>
    </w:p>
    <w:p>
      <w:pPr>
        <w:pStyle w:val="Heading5"/>
        <w:spacing w:before="240"/>
        <w:rPr>
          <w:snapToGrid w:val="0"/>
        </w:rPr>
      </w:pPr>
      <w:bookmarkStart w:id="370" w:name="_Toc129077620"/>
      <w:r>
        <w:rPr>
          <w:rStyle w:val="CharSectno"/>
        </w:rPr>
        <w:t>3</w:t>
      </w:r>
      <w:r>
        <w:rPr>
          <w:snapToGrid w:val="0"/>
        </w:rPr>
        <w:t>.</w:t>
      </w:r>
      <w:r>
        <w:rPr>
          <w:snapToGrid w:val="0"/>
        </w:rPr>
        <w:tab/>
        <w:t>Time etc. for making, accepting etc. offer</w:t>
      </w:r>
      <w:bookmarkEnd w:id="370"/>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lastRenderedPageBreak/>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 xml:space="preserve">Where an offer is accepted under this rule, any party to the compromise may apply to the Court for such judgment or order as he may be entitled to and on the hearing of the application the </w:t>
      </w:r>
      <w:r>
        <w:rPr>
          <w:snapToGrid w:val="0"/>
        </w:rPr>
        <w:lastRenderedPageBreak/>
        <w:t>Court shall give such judgment or make such order as it thinks fit.</w:t>
      </w:r>
    </w:p>
    <w:p>
      <w:pPr>
        <w:pStyle w:val="Footnotesection"/>
      </w:pPr>
      <w:r>
        <w:tab/>
        <w:t>[Rule 3 inserted: Gazette 5 Apr 1991 p. 1399; amended: Gazette 28 Feb 1992 p. 995; 30 Oct 1992 p. 5310; 28 Jun 2011 p. 2552</w:t>
      </w:r>
      <w:r>
        <w:noBreakHyphen/>
        <w:t xml:space="preserve">3.] </w:t>
      </w:r>
    </w:p>
    <w:p>
      <w:pPr>
        <w:pStyle w:val="Heading5"/>
        <w:rPr>
          <w:snapToGrid w:val="0"/>
        </w:rPr>
      </w:pPr>
      <w:bookmarkStart w:id="371" w:name="_Toc129077621"/>
      <w:r>
        <w:rPr>
          <w:rStyle w:val="CharSectno"/>
        </w:rPr>
        <w:t>4</w:t>
      </w:r>
      <w:r>
        <w:rPr>
          <w:snapToGrid w:val="0"/>
        </w:rPr>
        <w:t>.</w:t>
      </w:r>
      <w:r>
        <w:rPr>
          <w:snapToGrid w:val="0"/>
        </w:rPr>
        <w:tab/>
        <w:t>Time for payment of sum offered</w:t>
      </w:r>
      <w:bookmarkEnd w:id="371"/>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Gazette 5 Apr 1991 p. 1399.] </w:t>
      </w:r>
    </w:p>
    <w:p>
      <w:pPr>
        <w:pStyle w:val="Heading5"/>
        <w:rPr>
          <w:snapToGrid w:val="0"/>
        </w:rPr>
      </w:pPr>
      <w:bookmarkStart w:id="372" w:name="_Toc129077622"/>
      <w:r>
        <w:rPr>
          <w:rStyle w:val="CharSectno"/>
        </w:rPr>
        <w:t>5</w:t>
      </w:r>
      <w:r>
        <w:rPr>
          <w:snapToGrid w:val="0"/>
        </w:rPr>
        <w:t>.</w:t>
      </w:r>
      <w:r>
        <w:rPr>
          <w:snapToGrid w:val="0"/>
        </w:rPr>
        <w:tab/>
        <w:t>Withdrawing acceptance of offer</w:t>
      </w:r>
      <w:bookmarkEnd w:id="372"/>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Gazette 5 Apr 1991 p. 1399; amended: Gazette 28 Jun 2011 p. 2552.] </w:t>
      </w:r>
    </w:p>
    <w:p>
      <w:pPr>
        <w:pStyle w:val="Heading5"/>
        <w:rPr>
          <w:snapToGrid w:val="0"/>
        </w:rPr>
      </w:pPr>
      <w:bookmarkStart w:id="373" w:name="_Toc129077623"/>
      <w:r>
        <w:rPr>
          <w:rStyle w:val="CharSectno"/>
        </w:rPr>
        <w:lastRenderedPageBreak/>
        <w:t>6</w:t>
      </w:r>
      <w:r>
        <w:rPr>
          <w:snapToGrid w:val="0"/>
        </w:rPr>
        <w:t>.</w:t>
      </w:r>
      <w:r>
        <w:rPr>
          <w:snapToGrid w:val="0"/>
        </w:rPr>
        <w:tab/>
        <w:t>Offer without prejudice</w:t>
      </w:r>
      <w:bookmarkEnd w:id="373"/>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Gazette 5 Apr 1991 p. 1399.] </w:t>
      </w:r>
    </w:p>
    <w:p>
      <w:pPr>
        <w:pStyle w:val="Heading5"/>
        <w:spacing w:before="180"/>
        <w:rPr>
          <w:snapToGrid w:val="0"/>
        </w:rPr>
      </w:pPr>
      <w:bookmarkStart w:id="374" w:name="_Toc129077624"/>
      <w:r>
        <w:rPr>
          <w:rStyle w:val="CharSectno"/>
        </w:rPr>
        <w:t>7</w:t>
      </w:r>
      <w:r>
        <w:rPr>
          <w:snapToGrid w:val="0"/>
        </w:rPr>
        <w:t>.</w:t>
      </w:r>
      <w:r>
        <w:rPr>
          <w:snapToGrid w:val="0"/>
        </w:rPr>
        <w:tab/>
        <w:t>Disclosure of offer to Court</w:t>
      </w:r>
      <w:bookmarkEnd w:id="374"/>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Gazette 5 Apr 1991 p. 1399</w:t>
      </w:r>
      <w:r>
        <w:noBreakHyphen/>
        <w:t xml:space="preserve">400.] </w:t>
      </w:r>
    </w:p>
    <w:p>
      <w:pPr>
        <w:pStyle w:val="Heading5"/>
        <w:spacing w:before="180"/>
        <w:rPr>
          <w:snapToGrid w:val="0"/>
        </w:rPr>
      </w:pPr>
      <w:bookmarkStart w:id="375" w:name="_Toc129077625"/>
      <w:r>
        <w:rPr>
          <w:rStyle w:val="CharSectno"/>
        </w:rPr>
        <w:t>8</w:t>
      </w:r>
      <w:r>
        <w:rPr>
          <w:snapToGrid w:val="0"/>
        </w:rPr>
        <w:t>.</w:t>
      </w:r>
      <w:r>
        <w:rPr>
          <w:snapToGrid w:val="0"/>
        </w:rPr>
        <w:tab/>
        <w:t>Failure to comply with accepted offer</w:t>
      </w:r>
      <w:bookmarkEnd w:id="37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rPr>
          <w:snapToGrid w:val="0"/>
        </w:rPr>
      </w:pPr>
      <w:r>
        <w:rPr>
          <w:snapToGrid w:val="0"/>
        </w:rPr>
        <w:tab/>
        <w:t>(2)</w:t>
      </w:r>
      <w:r>
        <w:rPr>
          <w:snapToGrid w:val="0"/>
        </w:rPr>
        <w:tab/>
        <w:t xml:space="preserve">Where a party to an accepted offer fails to comply with the terms of the offer, and another party in the proceedings has </w:t>
      </w:r>
      <w:r>
        <w:rPr>
          <w:snapToGrid w:val="0"/>
        </w:rPr>
        <w:lastRenderedPageBreak/>
        <w:t xml:space="preserve">made a claim which is not the subject of the accepted offer, the Court may make such order or give such judgment under </w:t>
      </w:r>
      <w:r>
        <w:t>subrule</w:t>
      </w:r>
      <w:r>
        <w:rPr>
          <w:snapToGrid w:val="0"/>
        </w:rPr>
        <w:t> (1), and make such order that the proceeding on that other party’s claim be continued, as it thinks fit.</w:t>
      </w:r>
    </w:p>
    <w:p>
      <w:pPr>
        <w:pStyle w:val="Footnotesection"/>
        <w:ind w:left="890" w:hanging="890"/>
      </w:pPr>
      <w:r>
        <w:tab/>
        <w:t xml:space="preserve">[Rule 8 inserted: Gazette 5 Apr 1991 p. 1400; amended: Gazette 28 Feb 1992 p. 995; 28 Jun 2011 p. 2552; 4 Sep 2015 p. 3697.] </w:t>
      </w:r>
    </w:p>
    <w:p>
      <w:pPr>
        <w:pStyle w:val="Heading5"/>
        <w:spacing w:before="180"/>
        <w:rPr>
          <w:snapToGrid w:val="0"/>
        </w:rPr>
      </w:pPr>
      <w:bookmarkStart w:id="376" w:name="_Toc129077626"/>
      <w:r>
        <w:rPr>
          <w:rStyle w:val="CharSectno"/>
        </w:rPr>
        <w:t>9</w:t>
      </w:r>
      <w:r>
        <w:rPr>
          <w:snapToGrid w:val="0"/>
        </w:rPr>
        <w:t>.</w:t>
      </w:r>
      <w:r>
        <w:rPr>
          <w:snapToGrid w:val="0"/>
        </w:rPr>
        <w:tab/>
        <w:t>Multiple defendants</w:t>
      </w:r>
      <w:bookmarkEnd w:id="376"/>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Gazette 5 Apr 1991 p. 1400.] </w:t>
      </w:r>
    </w:p>
    <w:p>
      <w:pPr>
        <w:pStyle w:val="Heading5"/>
        <w:rPr>
          <w:snapToGrid w:val="0"/>
        </w:rPr>
      </w:pPr>
      <w:bookmarkStart w:id="377" w:name="_Toc129077627"/>
      <w:r>
        <w:rPr>
          <w:rStyle w:val="CharSectno"/>
        </w:rPr>
        <w:t>10</w:t>
      </w:r>
      <w:r>
        <w:rPr>
          <w:snapToGrid w:val="0"/>
        </w:rPr>
        <w:t>.</w:t>
      </w:r>
      <w:r>
        <w:rPr>
          <w:snapToGrid w:val="0"/>
        </w:rPr>
        <w:tab/>
        <w:t>Costs</w:t>
      </w:r>
      <w:bookmarkEnd w:id="377"/>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lastRenderedPageBreak/>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pPr>
      <w:r>
        <w:tab/>
        <w:t>(3)</w:t>
      </w:r>
      <w:r>
        <w:tab/>
        <w:t>Subrules</w:t>
      </w:r>
      <w:r>
        <w:rPr>
          <w:snapToGrid w:val="0"/>
        </w:rPr>
        <w:t xml:space="preserve"> (4) and (5) apply to an offer which has not been accepted in the time prescribed by </w:t>
      </w:r>
      <w:r>
        <w:t>rule 3(5) if the Court is satisfied by the party who made the offer that the party was at all material times willing and able to comply with the terms of the offer.</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w:t>
      </w:r>
      <w:r>
        <w:t>basis, except as provided in subrule (5A).</w:t>
      </w:r>
    </w:p>
    <w:p>
      <w:pPr>
        <w:pStyle w:val="Ednotesubsection"/>
      </w:pPr>
      <w:r>
        <w:tab/>
        <w:t>[(4a)</w:t>
      </w:r>
      <w:r>
        <w:tab/>
        <w:t>deleted]</w:t>
      </w:r>
    </w:p>
    <w:p>
      <w:pPr>
        <w:pStyle w:val="Subsection"/>
      </w:pPr>
      <w:r>
        <w:tab/>
        <w:t>(5A)</w:t>
      </w:r>
      <w:r>
        <w:tab/>
      </w:r>
      <w:r>
        <w:rPr>
          <w:snapToGrid w:val="0"/>
        </w:rPr>
        <w:t>If the Court is satisfied that the failure by the defendant to accept the offer made by the plaintiff was unreasonable, the plaintiff’s costs from the date on which the offer was made are to be taxed on an indemnity basis, unless the interests of justice require otherwise.</w:t>
      </w:r>
    </w:p>
    <w:p>
      <w:pPr>
        <w:pStyle w:val="Subsection"/>
        <w:rPr>
          <w:snapToGrid w:val="0"/>
        </w:rPr>
      </w:pPr>
      <w:r>
        <w:rPr>
          <w:snapToGrid w:val="0"/>
        </w:rPr>
        <w:tab/>
        <w:t>(5)</w:t>
      </w:r>
      <w:r>
        <w:rPr>
          <w:snapToGrid w:val="0"/>
        </w:rPr>
        <w:tab/>
        <w:t xml:space="preserve">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w:t>
      </w:r>
      <w:r>
        <w:t>basis, except as provided in subrule (7A).</w:t>
      </w:r>
    </w:p>
    <w:p>
      <w:pPr>
        <w:pStyle w:val="Subsection"/>
        <w:rPr>
          <w:snapToGrid w:val="0"/>
        </w:rPr>
      </w:pPr>
      <w:r>
        <w:rPr>
          <w:snapToGrid w:val="0"/>
        </w:rPr>
        <w:lastRenderedPageBreak/>
        <w:tab/>
        <w:t>(6)</w:t>
      </w:r>
      <w:r>
        <w:rPr>
          <w:snapToGrid w:val="0"/>
        </w:rPr>
        <w:tab/>
        <w:t xml:space="preserve">For the purpose of </w:t>
      </w:r>
      <w:r>
        <w:t>subrule</w:t>
      </w:r>
      <w:r>
        <w:rPr>
          <w:snapToGrid w:val="0"/>
        </w:rPr>
        <w:t xml:space="preserve">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w:t>
      </w:r>
      <w:r>
        <w:t>basis, except as provided in subrule (7A).</w:t>
      </w:r>
    </w:p>
    <w:p>
      <w:pPr>
        <w:pStyle w:val="Subsection"/>
      </w:pPr>
      <w:r>
        <w:tab/>
        <w:t>(7A)</w:t>
      </w:r>
      <w:r>
        <w:tab/>
      </w:r>
      <w:r>
        <w:rPr>
          <w:snapToGrid w:val="0"/>
        </w:rPr>
        <w:t>If the Court is satisfied that the failure by the plaintiff to accept the offer made by the defendant was unreasonable, the defendant’s costs are to be taxed on an indemnity basis, unless the interests of justice require otherwise.</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Ednotesubsection"/>
      </w:pPr>
      <w:r>
        <w:tab/>
        <w:t>[(9)</w:t>
      </w:r>
      <w:r>
        <w:tab/>
        <w:t>deleted]</w:t>
      </w:r>
    </w:p>
    <w:p>
      <w:pPr>
        <w:pStyle w:val="Footnotesection"/>
      </w:pPr>
      <w:r>
        <w:tab/>
        <w:t>[Rule 10 inserted: Gazette 5 Apr 1991 p. 1400</w:t>
      </w:r>
      <w:r>
        <w:noBreakHyphen/>
        <w:t>1; amended: Gazette 28 Feb 1992 p. 996; 21 Feb 2007 p. 536; 28 Jun 2011 p. 2552</w:t>
      </w:r>
      <w:r>
        <w:noBreakHyphen/>
        <w:t>3; 4 Sep 2015 p. 3697</w:t>
      </w:r>
      <w:r>
        <w:noBreakHyphen/>
        <w:t xml:space="preserve">8.] </w:t>
      </w:r>
    </w:p>
    <w:p>
      <w:pPr>
        <w:pStyle w:val="Heading2"/>
        <w:rPr>
          <w:b w:val="0"/>
        </w:rPr>
      </w:pPr>
      <w:bookmarkStart w:id="378" w:name="_Toc129073556"/>
      <w:bookmarkStart w:id="379" w:name="_Toc129074839"/>
      <w:bookmarkStart w:id="380" w:name="_Toc129077628"/>
      <w:r>
        <w:rPr>
          <w:rStyle w:val="CharPartNo"/>
        </w:rPr>
        <w:lastRenderedPageBreak/>
        <w:t>Order 25</w:t>
      </w:r>
      <w:r>
        <w:t> — </w:t>
      </w:r>
      <w:r>
        <w:rPr>
          <w:rStyle w:val="CharPartText"/>
        </w:rPr>
        <w:t>Security for costs</w:t>
      </w:r>
      <w:bookmarkEnd w:id="378"/>
      <w:bookmarkEnd w:id="379"/>
      <w:bookmarkEnd w:id="380"/>
      <w:r>
        <w:rPr>
          <w:b w:val="0"/>
        </w:rPr>
        <w:t xml:space="preserve"> </w:t>
      </w:r>
    </w:p>
    <w:p>
      <w:pPr>
        <w:pStyle w:val="Heading5"/>
        <w:rPr>
          <w:snapToGrid w:val="0"/>
        </w:rPr>
      </w:pPr>
      <w:bookmarkStart w:id="381" w:name="_Toc129077629"/>
      <w:r>
        <w:rPr>
          <w:rStyle w:val="CharSectno"/>
        </w:rPr>
        <w:t>1</w:t>
      </w:r>
      <w:r>
        <w:rPr>
          <w:snapToGrid w:val="0"/>
        </w:rPr>
        <w:t>.</w:t>
      </w:r>
      <w:r>
        <w:rPr>
          <w:snapToGrid w:val="0"/>
        </w:rPr>
        <w:tab/>
        <w:t>Factors that are not grounds for ordering security for costs</w:t>
      </w:r>
      <w:bookmarkEnd w:id="381"/>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82" w:name="_Toc129077630"/>
      <w:r>
        <w:rPr>
          <w:rStyle w:val="CharSectno"/>
        </w:rPr>
        <w:t>2</w:t>
      </w:r>
      <w:r>
        <w:rPr>
          <w:snapToGrid w:val="0"/>
        </w:rPr>
        <w:t>.</w:t>
      </w:r>
      <w:r>
        <w:rPr>
          <w:snapToGrid w:val="0"/>
        </w:rPr>
        <w:tab/>
        <w:t>Grounds for ordering security for costs</w:t>
      </w:r>
      <w:bookmarkEnd w:id="382"/>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lastRenderedPageBreak/>
        <w:tab/>
        <w:t>(i)</w:t>
      </w:r>
      <w:r>
        <w:rPr>
          <w:snapToGrid w:val="0"/>
        </w:rPr>
        <w:tab/>
        <w:t>is suing the sheriff in respect of anything done or omitted to be done by the sheriff or his officers in the execution of any judgment of the Court.</w:t>
      </w:r>
    </w:p>
    <w:p>
      <w:pPr>
        <w:pStyle w:val="Footnotesection"/>
      </w:pPr>
      <w:r>
        <w:tab/>
        <w:t>[Rule 2 amended: Gazette 28 Jun 2011 p. 2554.]</w:t>
      </w:r>
    </w:p>
    <w:p>
      <w:pPr>
        <w:pStyle w:val="Heading5"/>
        <w:spacing w:before="180"/>
        <w:rPr>
          <w:snapToGrid w:val="0"/>
        </w:rPr>
      </w:pPr>
      <w:bookmarkStart w:id="383" w:name="_Toc129077631"/>
      <w:r>
        <w:rPr>
          <w:rStyle w:val="CharSectno"/>
        </w:rPr>
        <w:t>3</w:t>
      </w:r>
      <w:r>
        <w:rPr>
          <w:snapToGrid w:val="0"/>
        </w:rPr>
        <w:t>.</w:t>
      </w:r>
      <w:r>
        <w:rPr>
          <w:snapToGrid w:val="0"/>
        </w:rPr>
        <w:tab/>
        <w:t>Court has discretion</w:t>
      </w:r>
      <w:bookmarkEnd w:id="383"/>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84" w:name="_Toc129077632"/>
      <w:r>
        <w:rPr>
          <w:rStyle w:val="CharSectno"/>
        </w:rPr>
        <w:t>4</w:t>
      </w:r>
      <w:r>
        <w:rPr>
          <w:snapToGrid w:val="0"/>
        </w:rPr>
        <w:t>.</w:t>
      </w:r>
      <w:r>
        <w:rPr>
          <w:snapToGrid w:val="0"/>
        </w:rPr>
        <w:tab/>
        <w:t>Term used: plaintiff</w:t>
      </w:r>
      <w:bookmarkEnd w:id="384"/>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85" w:name="_Toc129077633"/>
      <w:r>
        <w:rPr>
          <w:rStyle w:val="CharSectno"/>
        </w:rPr>
        <w:t>5</w:t>
      </w:r>
      <w:r>
        <w:rPr>
          <w:snapToGrid w:val="0"/>
        </w:rPr>
        <w:t>.</w:t>
      </w:r>
      <w:r>
        <w:rPr>
          <w:snapToGrid w:val="0"/>
        </w:rPr>
        <w:tab/>
        <w:t>Manner of giving security</w:t>
      </w:r>
      <w:bookmarkEnd w:id="385"/>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86" w:name="_Toc129077634"/>
      <w:r>
        <w:rPr>
          <w:rStyle w:val="CharSectno"/>
        </w:rPr>
        <w:t>6</w:t>
      </w:r>
      <w:r>
        <w:rPr>
          <w:snapToGrid w:val="0"/>
        </w:rPr>
        <w:t>.</w:t>
      </w:r>
      <w:r>
        <w:rPr>
          <w:snapToGrid w:val="0"/>
        </w:rPr>
        <w:tab/>
        <w:t>Action may be stayed</w:t>
      </w:r>
      <w:bookmarkEnd w:id="386"/>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87" w:name="_Toc129077635"/>
      <w:r>
        <w:rPr>
          <w:rStyle w:val="CharSectno"/>
        </w:rPr>
        <w:t>7</w:t>
      </w:r>
      <w:r>
        <w:rPr>
          <w:snapToGrid w:val="0"/>
        </w:rPr>
        <w:t>.</w:t>
      </w:r>
      <w:r>
        <w:rPr>
          <w:snapToGrid w:val="0"/>
        </w:rPr>
        <w:tab/>
        <w:t>Payment out</w:t>
      </w:r>
      <w:bookmarkEnd w:id="387"/>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w:t>
      </w:r>
      <w:r>
        <w:rPr>
          <w:snapToGrid w:val="0"/>
        </w:rPr>
        <w:lastRenderedPageBreak/>
        <w:t xml:space="preserve">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Gazette 14 Dec 1979 p. 3869.] </w:t>
      </w:r>
    </w:p>
    <w:p>
      <w:pPr>
        <w:pStyle w:val="Heading5"/>
        <w:rPr>
          <w:snapToGrid w:val="0"/>
        </w:rPr>
      </w:pPr>
      <w:bookmarkStart w:id="388" w:name="_Toc129077636"/>
      <w:r>
        <w:rPr>
          <w:rStyle w:val="CharSectno"/>
        </w:rPr>
        <w:t>8</w:t>
      </w:r>
      <w:r>
        <w:rPr>
          <w:snapToGrid w:val="0"/>
        </w:rPr>
        <w:t>.</w:t>
      </w:r>
      <w:r>
        <w:rPr>
          <w:snapToGrid w:val="0"/>
        </w:rPr>
        <w:tab/>
        <w:t>Saving</w:t>
      </w:r>
      <w:bookmarkEnd w:id="388"/>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89" w:name="_Toc129073565"/>
      <w:bookmarkStart w:id="390" w:name="_Toc129074848"/>
      <w:bookmarkStart w:id="391" w:name="_Toc129077637"/>
      <w:r>
        <w:rPr>
          <w:rStyle w:val="CharPartNo"/>
        </w:rPr>
        <w:lastRenderedPageBreak/>
        <w:t>Order 26</w:t>
      </w:r>
      <w:r>
        <w:t> — </w:t>
      </w:r>
      <w:r>
        <w:rPr>
          <w:rStyle w:val="CharPartText"/>
        </w:rPr>
        <w:t>Discovery and inspection</w:t>
      </w:r>
      <w:bookmarkEnd w:id="389"/>
      <w:bookmarkEnd w:id="390"/>
      <w:bookmarkEnd w:id="391"/>
    </w:p>
    <w:p>
      <w:pPr>
        <w:pStyle w:val="Heading5"/>
        <w:rPr>
          <w:snapToGrid w:val="0"/>
        </w:rPr>
      </w:pPr>
      <w:bookmarkStart w:id="392" w:name="_Toc129077638"/>
      <w:r>
        <w:rPr>
          <w:rStyle w:val="CharSectno"/>
        </w:rPr>
        <w:t>1A</w:t>
      </w:r>
      <w:r>
        <w:rPr>
          <w:snapToGrid w:val="0"/>
        </w:rPr>
        <w:t>.</w:t>
      </w:r>
      <w:r>
        <w:rPr>
          <w:snapToGrid w:val="0"/>
        </w:rPr>
        <w:tab/>
        <w:t>Terms used</w:t>
      </w:r>
      <w:bookmarkEnd w:id="392"/>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Gazette 5 Jun 1992 p. 2280</w:t>
      </w:r>
      <w:r>
        <w:noBreakHyphen/>
        <w:t xml:space="preserve">1.] </w:t>
      </w:r>
    </w:p>
    <w:p>
      <w:pPr>
        <w:pStyle w:val="Heading5"/>
      </w:pPr>
      <w:bookmarkStart w:id="393" w:name="_Toc129077639"/>
      <w:r>
        <w:rPr>
          <w:rStyle w:val="CharSectno"/>
        </w:rPr>
        <w:t>1B</w:t>
      </w:r>
      <w:r>
        <w:t>.</w:t>
      </w:r>
      <w:r>
        <w:tab/>
        <w:t>Documents not wholly discoverable</w:t>
      </w:r>
      <w:bookmarkEnd w:id="393"/>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lastRenderedPageBreak/>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Gazette 28 Jul 2010 p. 3469-70.]</w:t>
      </w:r>
    </w:p>
    <w:p>
      <w:pPr>
        <w:pStyle w:val="Heading5"/>
        <w:rPr>
          <w:snapToGrid w:val="0"/>
        </w:rPr>
      </w:pPr>
      <w:bookmarkStart w:id="394" w:name="_Toc129077640"/>
      <w:r>
        <w:rPr>
          <w:rStyle w:val="CharSectno"/>
        </w:rPr>
        <w:t>1</w:t>
      </w:r>
      <w:r>
        <w:rPr>
          <w:snapToGrid w:val="0"/>
        </w:rPr>
        <w:t>.</w:t>
      </w:r>
      <w:r>
        <w:rPr>
          <w:snapToGrid w:val="0"/>
        </w:rPr>
        <w:tab/>
        <w:t>Discovery without order</w:t>
      </w:r>
      <w:bookmarkEnd w:id="394"/>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lastRenderedPageBreak/>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legal practitioner.</w:t>
      </w:r>
    </w:p>
    <w:p>
      <w:pPr>
        <w:pStyle w:val="Footnotesection"/>
      </w:pPr>
      <w:r>
        <w:tab/>
        <w:t xml:space="preserve">[Rule 1 amended: Gazette 28 Oct 1996 p. 5675; 28 Jul 2010 p. 3470; 28 Jun 2011 p. 2552; SL 2022/74 r. 15.] </w:t>
      </w:r>
    </w:p>
    <w:p>
      <w:pPr>
        <w:pStyle w:val="Heading5"/>
        <w:rPr>
          <w:snapToGrid w:val="0"/>
        </w:rPr>
      </w:pPr>
      <w:bookmarkStart w:id="395" w:name="_Toc129077641"/>
      <w:r>
        <w:rPr>
          <w:rStyle w:val="CharSectno"/>
        </w:rPr>
        <w:t>2</w:t>
      </w:r>
      <w:r>
        <w:rPr>
          <w:snapToGrid w:val="0"/>
        </w:rPr>
        <w:t>.</w:t>
      </w:r>
      <w:r>
        <w:rPr>
          <w:snapToGrid w:val="0"/>
        </w:rPr>
        <w:tab/>
        <w:t>Continuing obligation to give discovery</w:t>
      </w:r>
      <w:bookmarkEnd w:id="395"/>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lastRenderedPageBreak/>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Gazette 28 Oct 1996 p. 5675</w:t>
      </w:r>
      <w:r>
        <w:noBreakHyphen/>
        <w:t>6; amended: Gazette 28 Jun 2011 p. 2552</w:t>
      </w:r>
      <w:r>
        <w:noBreakHyphen/>
        <w:t xml:space="preserve">3.] </w:t>
      </w:r>
    </w:p>
    <w:p>
      <w:pPr>
        <w:pStyle w:val="Ednotesection"/>
      </w:pPr>
      <w:r>
        <w:t>[</w:t>
      </w:r>
      <w:r>
        <w:rPr>
          <w:b/>
        </w:rPr>
        <w:t>2A.</w:t>
      </w:r>
      <w:r>
        <w:rPr>
          <w:b/>
        </w:rPr>
        <w:tab/>
      </w:r>
      <w:r>
        <w:t xml:space="preserve">Deleted: Gazette 28 Oct 1996 p. 5675.] </w:t>
      </w:r>
    </w:p>
    <w:p>
      <w:pPr>
        <w:pStyle w:val="Heading5"/>
        <w:rPr>
          <w:snapToGrid w:val="0"/>
        </w:rPr>
      </w:pPr>
      <w:bookmarkStart w:id="396" w:name="_Toc129077642"/>
      <w:r>
        <w:rPr>
          <w:rStyle w:val="CharSectno"/>
        </w:rPr>
        <w:t>3</w:t>
      </w:r>
      <w:r>
        <w:rPr>
          <w:snapToGrid w:val="0"/>
        </w:rPr>
        <w:t>.</w:t>
      </w:r>
      <w:r>
        <w:rPr>
          <w:snapToGrid w:val="0"/>
        </w:rPr>
        <w:tab/>
        <w:t>Determination of issue relevant to right to discovery</w:t>
      </w:r>
      <w:bookmarkEnd w:id="396"/>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Gazette 28 Oct 1996 p. 5676.] </w:t>
      </w:r>
    </w:p>
    <w:p>
      <w:pPr>
        <w:pStyle w:val="Heading5"/>
        <w:rPr>
          <w:snapToGrid w:val="0"/>
        </w:rPr>
      </w:pPr>
      <w:bookmarkStart w:id="397" w:name="_Toc129077643"/>
      <w:r>
        <w:rPr>
          <w:rStyle w:val="CharSectno"/>
        </w:rPr>
        <w:t>4</w:t>
      </w:r>
      <w:r>
        <w:rPr>
          <w:snapToGrid w:val="0"/>
        </w:rPr>
        <w:t>.</w:t>
      </w:r>
      <w:r>
        <w:rPr>
          <w:snapToGrid w:val="0"/>
        </w:rPr>
        <w:tab/>
        <w:t>List of documents and verifying affidavit, form, content and making of</w:t>
      </w:r>
      <w:bookmarkEnd w:id="397"/>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lastRenderedPageBreak/>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Gazette 30 Nov 1984 p. 3953; 28 Oct 1996 p. 5676; 19 Apr 2005 p. 1298.] </w:t>
      </w:r>
    </w:p>
    <w:p>
      <w:pPr>
        <w:pStyle w:val="Heading5"/>
        <w:rPr>
          <w:snapToGrid w:val="0"/>
        </w:rPr>
      </w:pPr>
      <w:bookmarkStart w:id="398" w:name="_Toc129077644"/>
      <w:r>
        <w:rPr>
          <w:rStyle w:val="CharSectno"/>
        </w:rPr>
        <w:t>5</w:t>
      </w:r>
      <w:r>
        <w:rPr>
          <w:snapToGrid w:val="0"/>
        </w:rPr>
        <w:t>.</w:t>
      </w:r>
      <w:r>
        <w:rPr>
          <w:snapToGrid w:val="0"/>
        </w:rPr>
        <w:tab/>
        <w:t>Defendant entitled to copy of co</w:t>
      </w:r>
      <w:r>
        <w:rPr>
          <w:snapToGrid w:val="0"/>
        </w:rPr>
        <w:noBreakHyphen/>
        <w:t>defendant’s list etc.</w:t>
      </w:r>
      <w:bookmarkEnd w:id="398"/>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Gazette 28 Oct 1996 p. 5676; 28 Jun 2011 p. 2552.] </w:t>
      </w:r>
    </w:p>
    <w:p>
      <w:pPr>
        <w:pStyle w:val="Heading5"/>
        <w:rPr>
          <w:snapToGrid w:val="0"/>
        </w:rPr>
      </w:pPr>
      <w:bookmarkStart w:id="399" w:name="_Toc129077645"/>
      <w:r>
        <w:rPr>
          <w:rStyle w:val="CharSectno"/>
        </w:rPr>
        <w:lastRenderedPageBreak/>
        <w:t>6</w:t>
      </w:r>
      <w:r>
        <w:rPr>
          <w:snapToGrid w:val="0"/>
        </w:rPr>
        <w:t>.</w:t>
      </w:r>
      <w:r>
        <w:rPr>
          <w:snapToGrid w:val="0"/>
        </w:rPr>
        <w:tab/>
        <w:t>Order for information as to particular documents</w:t>
      </w:r>
      <w:bookmarkEnd w:id="399"/>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Gazette 28 Oct 1996 p. 5676.] </w:t>
      </w:r>
    </w:p>
    <w:p>
      <w:pPr>
        <w:pStyle w:val="Heading5"/>
        <w:rPr>
          <w:snapToGrid w:val="0"/>
        </w:rPr>
      </w:pPr>
      <w:bookmarkStart w:id="400" w:name="_Toc129077646"/>
      <w:r>
        <w:rPr>
          <w:rStyle w:val="CharSectno"/>
        </w:rPr>
        <w:t>7</w:t>
      </w:r>
      <w:r>
        <w:rPr>
          <w:snapToGrid w:val="0"/>
        </w:rPr>
        <w:t>.</w:t>
      </w:r>
      <w:r>
        <w:rPr>
          <w:snapToGrid w:val="0"/>
        </w:rPr>
        <w:tab/>
        <w:t>Orders as to discovery</w:t>
      </w:r>
      <w:bookmarkEnd w:id="400"/>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lastRenderedPageBreak/>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Gazette 28 Oct 1996 p. 5677</w:t>
      </w:r>
      <w:r>
        <w:noBreakHyphen/>
        <w:t xml:space="preserve">8.] </w:t>
      </w:r>
    </w:p>
    <w:p>
      <w:pPr>
        <w:pStyle w:val="Heading5"/>
        <w:rPr>
          <w:snapToGrid w:val="0"/>
        </w:rPr>
      </w:pPr>
      <w:bookmarkStart w:id="401" w:name="_Toc129077647"/>
      <w:r>
        <w:rPr>
          <w:rStyle w:val="CharSectno"/>
        </w:rPr>
        <w:t>8</w:t>
      </w:r>
      <w:r>
        <w:rPr>
          <w:snapToGrid w:val="0"/>
        </w:rPr>
        <w:t>.</w:t>
      </w:r>
      <w:r>
        <w:rPr>
          <w:snapToGrid w:val="0"/>
        </w:rPr>
        <w:tab/>
        <w:t>Inspection of documents in list</w:t>
      </w:r>
      <w:bookmarkEnd w:id="401"/>
    </w:p>
    <w:p>
      <w:pPr>
        <w:pStyle w:val="Subsection"/>
        <w:rPr>
          <w:snapToGrid w:val="0"/>
        </w:rPr>
      </w:pPr>
      <w:r>
        <w:rPr>
          <w:snapToGrid w:val="0"/>
        </w:rPr>
        <w:tab/>
        <w:t>(1)</w:t>
      </w:r>
      <w:r>
        <w:rPr>
          <w:snapToGrid w:val="0"/>
        </w:rPr>
        <w:tab/>
        <w:t xml:space="preserve">A party who has served a list of documents on any other party in compliance with rule 1 or with an order under rule 7 must allow the other party to inspect the documents mentioned in the list, other than any which he objects to produce, and must when </w:t>
      </w:r>
      <w:r>
        <w:rPr>
          <w:snapToGrid w:val="0"/>
        </w:rPr>
        <w:lastRenderedPageBreak/>
        <w:t>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Gazette 7 Dec 1973 p. 4489; 28 Oct 1996 p. 5678; 21 Feb 2007 p. 536; 28 Jun 2011 p. 2552.] </w:t>
      </w:r>
    </w:p>
    <w:p>
      <w:pPr>
        <w:pStyle w:val="Heading5"/>
        <w:rPr>
          <w:snapToGrid w:val="0"/>
        </w:rPr>
      </w:pPr>
      <w:bookmarkStart w:id="402" w:name="_Toc129077648"/>
      <w:r>
        <w:rPr>
          <w:rStyle w:val="CharSectno"/>
        </w:rPr>
        <w:t>8A</w:t>
      </w:r>
      <w:r>
        <w:rPr>
          <w:snapToGrid w:val="0"/>
        </w:rPr>
        <w:t>.</w:t>
      </w:r>
      <w:r>
        <w:rPr>
          <w:snapToGrid w:val="0"/>
        </w:rPr>
        <w:tab/>
        <w:t>Procedure on discovery</w:t>
      </w:r>
      <w:bookmarkEnd w:id="402"/>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lastRenderedPageBreak/>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Gazette 26 Aug 1994 p. 4411</w:t>
      </w:r>
      <w:r>
        <w:noBreakHyphen/>
        <w:t xml:space="preserve">12; amended: Gazette 28 Jun 2011 p. 2552.] </w:t>
      </w:r>
    </w:p>
    <w:p>
      <w:pPr>
        <w:pStyle w:val="Heading5"/>
        <w:rPr>
          <w:snapToGrid w:val="0"/>
        </w:rPr>
      </w:pPr>
      <w:bookmarkStart w:id="403" w:name="_Toc129077649"/>
      <w:r>
        <w:rPr>
          <w:rStyle w:val="CharSectno"/>
        </w:rPr>
        <w:t>9</w:t>
      </w:r>
      <w:r>
        <w:rPr>
          <w:snapToGrid w:val="0"/>
        </w:rPr>
        <w:t>.</w:t>
      </w:r>
      <w:r>
        <w:rPr>
          <w:snapToGrid w:val="0"/>
        </w:rPr>
        <w:tab/>
        <w:t>Order for inspection of documents</w:t>
      </w:r>
      <w:bookmarkEnd w:id="403"/>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lastRenderedPageBreak/>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Gazette 28 Jun 2011 p. 2552.]</w:t>
      </w:r>
    </w:p>
    <w:p>
      <w:pPr>
        <w:pStyle w:val="Heading5"/>
        <w:rPr>
          <w:snapToGrid w:val="0"/>
        </w:rPr>
      </w:pPr>
      <w:bookmarkStart w:id="404" w:name="_Toc129077650"/>
      <w:r>
        <w:rPr>
          <w:rStyle w:val="CharSectno"/>
        </w:rPr>
        <w:t>10</w:t>
      </w:r>
      <w:r>
        <w:rPr>
          <w:snapToGrid w:val="0"/>
        </w:rPr>
        <w:t>.</w:t>
      </w:r>
      <w:r>
        <w:rPr>
          <w:snapToGrid w:val="0"/>
        </w:rPr>
        <w:tab/>
        <w:t>Order for production to Court</w:t>
      </w:r>
      <w:bookmarkEnd w:id="404"/>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405" w:name="_Toc129077651"/>
      <w:r>
        <w:rPr>
          <w:rStyle w:val="CharSectno"/>
        </w:rPr>
        <w:t>11</w:t>
      </w:r>
      <w:r>
        <w:rPr>
          <w:snapToGrid w:val="0"/>
        </w:rPr>
        <w:t>.</w:t>
      </w:r>
      <w:r>
        <w:rPr>
          <w:snapToGrid w:val="0"/>
        </w:rPr>
        <w:tab/>
        <w:t>Order for production etc. only if necessary</w:t>
      </w:r>
      <w:bookmarkEnd w:id="405"/>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406" w:name="_Toc129077652"/>
      <w:r>
        <w:rPr>
          <w:rStyle w:val="CharSectno"/>
        </w:rPr>
        <w:lastRenderedPageBreak/>
        <w:t>11A</w:t>
      </w:r>
      <w:r>
        <w:rPr>
          <w:snapToGrid w:val="0"/>
        </w:rPr>
        <w:t>.</w:t>
      </w:r>
      <w:r>
        <w:rPr>
          <w:snapToGrid w:val="0"/>
        </w:rPr>
        <w:tab/>
        <w:t>Costs of preparing document to facilitate inspection</w:t>
      </w:r>
      <w:bookmarkEnd w:id="406"/>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Gazette 5 Jun 1992 p. 2281.] </w:t>
      </w:r>
    </w:p>
    <w:p>
      <w:pPr>
        <w:pStyle w:val="Heading5"/>
        <w:rPr>
          <w:snapToGrid w:val="0"/>
        </w:rPr>
      </w:pPr>
      <w:bookmarkStart w:id="407" w:name="_Toc129077653"/>
      <w:r>
        <w:rPr>
          <w:rStyle w:val="CharSectno"/>
        </w:rPr>
        <w:t>12</w:t>
      </w:r>
      <w:r>
        <w:rPr>
          <w:snapToGrid w:val="0"/>
        </w:rPr>
        <w:t>.</w:t>
      </w:r>
      <w:r>
        <w:rPr>
          <w:snapToGrid w:val="0"/>
        </w:rPr>
        <w:tab/>
        <w:t>Claim of privilege</w:t>
      </w:r>
      <w:bookmarkEnd w:id="40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408" w:name="_Toc129077654"/>
      <w:r>
        <w:rPr>
          <w:rStyle w:val="CharSectno"/>
        </w:rPr>
        <w:t>13</w:t>
      </w:r>
      <w:r>
        <w:rPr>
          <w:snapToGrid w:val="0"/>
        </w:rPr>
        <w:t>.</w:t>
      </w:r>
      <w:r>
        <w:rPr>
          <w:snapToGrid w:val="0"/>
        </w:rPr>
        <w:tab/>
        <w:t>Inspection of copies of business books</w:t>
      </w:r>
      <w:bookmarkEnd w:id="408"/>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Gazette 14 Dec 1979 p. 3870.] </w:t>
      </w:r>
    </w:p>
    <w:p>
      <w:pPr>
        <w:pStyle w:val="Heading5"/>
        <w:rPr>
          <w:snapToGrid w:val="0"/>
        </w:rPr>
      </w:pPr>
      <w:bookmarkStart w:id="409" w:name="_Toc129077655"/>
      <w:r>
        <w:rPr>
          <w:rStyle w:val="CharSectno"/>
        </w:rPr>
        <w:lastRenderedPageBreak/>
        <w:t>14</w:t>
      </w:r>
      <w:r>
        <w:rPr>
          <w:snapToGrid w:val="0"/>
        </w:rPr>
        <w:t>.</w:t>
      </w:r>
      <w:r>
        <w:rPr>
          <w:snapToGrid w:val="0"/>
        </w:rPr>
        <w:tab/>
        <w:t>Public interest immunity not affected</w:t>
      </w:r>
      <w:bookmarkEnd w:id="409"/>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10" w:name="_Toc129077656"/>
      <w:r>
        <w:rPr>
          <w:rStyle w:val="CharSectno"/>
        </w:rPr>
        <w:t>15</w:t>
      </w:r>
      <w:r>
        <w:rPr>
          <w:snapToGrid w:val="0"/>
        </w:rPr>
        <w:t>.</w:t>
      </w:r>
      <w:r>
        <w:rPr>
          <w:snapToGrid w:val="0"/>
        </w:rPr>
        <w:tab/>
        <w:t>Non</w:t>
      </w:r>
      <w:r>
        <w:rPr>
          <w:snapToGrid w:val="0"/>
        </w:rPr>
        <w:noBreakHyphen/>
        <w:t>compliance with requirements for discovery etc.</w:t>
      </w:r>
      <w:bookmarkEnd w:id="41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Gazette 28 Oct 1996 p. 5678; 21 Feb 2007 p. 536; 28 Jun 2011 p. 2552.] </w:t>
      </w:r>
    </w:p>
    <w:p>
      <w:pPr>
        <w:pStyle w:val="Ednotesection"/>
      </w:pPr>
      <w:r>
        <w:t>[</w:t>
      </w:r>
      <w:r>
        <w:rPr>
          <w:b/>
          <w:bCs/>
        </w:rPr>
        <w:t>15A.</w:t>
      </w:r>
      <w:r>
        <w:tab/>
        <w:t>Deleted: Gazette 28 Jul 2010 p. 3471.]</w:t>
      </w:r>
    </w:p>
    <w:p>
      <w:pPr>
        <w:pStyle w:val="Heading5"/>
      </w:pPr>
      <w:bookmarkStart w:id="411" w:name="_Toc129077657"/>
      <w:r>
        <w:rPr>
          <w:rStyle w:val="CharSectno"/>
        </w:rPr>
        <w:lastRenderedPageBreak/>
        <w:t>16A</w:t>
      </w:r>
      <w:r>
        <w:t>.</w:t>
      </w:r>
      <w:r>
        <w:tab/>
        <w:t>Certificate by legal practitioner</w:t>
      </w:r>
      <w:bookmarkEnd w:id="411"/>
    </w:p>
    <w:p>
      <w:pPr>
        <w:pStyle w:val="Subsection"/>
      </w:pPr>
      <w:r>
        <w:tab/>
      </w:r>
      <w:r>
        <w:tab/>
        <w:t>The legal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Gazette 28 Jul 2010 p. 3471; amended: SL 2022/74 r. 15.]</w:t>
      </w:r>
    </w:p>
    <w:p>
      <w:pPr>
        <w:pStyle w:val="Heading5"/>
        <w:rPr>
          <w:snapToGrid w:val="0"/>
        </w:rPr>
      </w:pPr>
      <w:bookmarkStart w:id="412" w:name="_Toc129077658"/>
      <w:r>
        <w:rPr>
          <w:rStyle w:val="CharSectno"/>
        </w:rPr>
        <w:t>16</w:t>
      </w:r>
      <w:r>
        <w:rPr>
          <w:snapToGrid w:val="0"/>
        </w:rPr>
        <w:t>.</w:t>
      </w:r>
      <w:r>
        <w:rPr>
          <w:snapToGrid w:val="0"/>
        </w:rPr>
        <w:tab/>
        <w:t>Revocation and variation of orders</w:t>
      </w:r>
      <w:bookmarkEnd w:id="412"/>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13" w:name="_Toc129073587"/>
      <w:bookmarkStart w:id="414" w:name="_Toc129074870"/>
      <w:bookmarkStart w:id="415" w:name="_Toc129077659"/>
      <w:r>
        <w:rPr>
          <w:rStyle w:val="CharPartNo"/>
        </w:rPr>
        <w:lastRenderedPageBreak/>
        <w:t>Order 26A</w:t>
      </w:r>
      <w:r>
        <w:t> — </w:t>
      </w:r>
      <w:r>
        <w:rPr>
          <w:rStyle w:val="CharPartText"/>
        </w:rPr>
        <w:t>Discovery etc. from non</w:t>
      </w:r>
      <w:r>
        <w:rPr>
          <w:rStyle w:val="CharPartText"/>
        </w:rPr>
        <w:noBreakHyphen/>
        <w:t>parties and potential parties</w:t>
      </w:r>
      <w:bookmarkEnd w:id="413"/>
      <w:bookmarkEnd w:id="414"/>
      <w:bookmarkEnd w:id="415"/>
      <w:r>
        <w:rPr>
          <w:b w:val="0"/>
        </w:rPr>
        <w:t xml:space="preserve"> </w:t>
      </w:r>
    </w:p>
    <w:p>
      <w:pPr>
        <w:pStyle w:val="Footnoteheading"/>
        <w:ind w:left="890"/>
        <w:rPr>
          <w:snapToGrid w:val="0"/>
        </w:rPr>
      </w:pPr>
      <w:r>
        <w:rPr>
          <w:snapToGrid w:val="0"/>
        </w:rPr>
        <w:tab/>
        <w:t xml:space="preserve">[Heading inserted: Gazette 28 Oct 1996 p. 5678.] </w:t>
      </w:r>
    </w:p>
    <w:p>
      <w:pPr>
        <w:pStyle w:val="Heading5"/>
        <w:rPr>
          <w:snapToGrid w:val="0"/>
        </w:rPr>
      </w:pPr>
      <w:bookmarkStart w:id="416" w:name="_Toc129077660"/>
      <w:r>
        <w:rPr>
          <w:rStyle w:val="CharSectno"/>
        </w:rPr>
        <w:t>1</w:t>
      </w:r>
      <w:r>
        <w:rPr>
          <w:snapToGrid w:val="0"/>
        </w:rPr>
        <w:t>.</w:t>
      </w:r>
      <w:r>
        <w:rPr>
          <w:snapToGrid w:val="0"/>
        </w:rPr>
        <w:tab/>
        <w:t>Terms used</w:t>
      </w:r>
      <w:bookmarkEnd w:id="41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Gazette 28 Oct 1996 p. 5678.] </w:t>
      </w:r>
    </w:p>
    <w:p>
      <w:pPr>
        <w:pStyle w:val="Heading5"/>
        <w:rPr>
          <w:snapToGrid w:val="0"/>
        </w:rPr>
      </w:pPr>
      <w:bookmarkStart w:id="417" w:name="_Toc129077661"/>
      <w:r>
        <w:rPr>
          <w:rStyle w:val="CharSectno"/>
        </w:rPr>
        <w:t>2</w:t>
      </w:r>
      <w:r>
        <w:rPr>
          <w:snapToGrid w:val="0"/>
        </w:rPr>
        <w:t>.</w:t>
      </w:r>
      <w:r>
        <w:rPr>
          <w:snapToGrid w:val="0"/>
        </w:rPr>
        <w:tab/>
        <w:t>Public interest immunity not affected</w:t>
      </w:r>
      <w:bookmarkEnd w:id="417"/>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Gazette 28 Oct 1996 p. 5679.] </w:t>
      </w:r>
    </w:p>
    <w:p>
      <w:pPr>
        <w:pStyle w:val="Heading5"/>
        <w:rPr>
          <w:snapToGrid w:val="0"/>
        </w:rPr>
      </w:pPr>
      <w:bookmarkStart w:id="418" w:name="_Toc129077662"/>
      <w:r>
        <w:rPr>
          <w:rStyle w:val="CharSectno"/>
        </w:rPr>
        <w:t>3</w:t>
      </w:r>
      <w:r>
        <w:rPr>
          <w:snapToGrid w:val="0"/>
        </w:rPr>
        <w:t>.</w:t>
      </w:r>
      <w:r>
        <w:rPr>
          <w:snapToGrid w:val="0"/>
        </w:rPr>
        <w:tab/>
        <w:t>Discovery etc. to identify a potential party</w:t>
      </w:r>
      <w:bookmarkEnd w:id="418"/>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lastRenderedPageBreak/>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Gazette 28 Oct 1996 p. 5679</w:t>
      </w:r>
      <w:r>
        <w:noBreakHyphen/>
        <w:t xml:space="preserve">80.] </w:t>
      </w:r>
    </w:p>
    <w:p>
      <w:pPr>
        <w:pStyle w:val="Heading5"/>
        <w:rPr>
          <w:snapToGrid w:val="0"/>
        </w:rPr>
      </w:pPr>
      <w:bookmarkStart w:id="419" w:name="_Toc129077663"/>
      <w:r>
        <w:rPr>
          <w:rStyle w:val="CharSectno"/>
        </w:rPr>
        <w:t>4</w:t>
      </w:r>
      <w:r>
        <w:rPr>
          <w:snapToGrid w:val="0"/>
        </w:rPr>
        <w:t>.</w:t>
      </w:r>
      <w:r>
        <w:rPr>
          <w:snapToGrid w:val="0"/>
        </w:rPr>
        <w:tab/>
        <w:t>Discovery from potential party</w:t>
      </w:r>
      <w:bookmarkEnd w:id="419"/>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lastRenderedPageBreak/>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Gazette 28 Oct 1996 p. 5680.] </w:t>
      </w:r>
    </w:p>
    <w:p>
      <w:pPr>
        <w:pStyle w:val="Heading5"/>
        <w:rPr>
          <w:snapToGrid w:val="0"/>
        </w:rPr>
      </w:pPr>
      <w:bookmarkStart w:id="420" w:name="_Toc129077664"/>
      <w:r>
        <w:rPr>
          <w:rStyle w:val="CharSectno"/>
        </w:rPr>
        <w:t>5</w:t>
      </w:r>
      <w:r>
        <w:rPr>
          <w:snapToGrid w:val="0"/>
        </w:rPr>
        <w:t>.</w:t>
      </w:r>
      <w:r>
        <w:rPr>
          <w:snapToGrid w:val="0"/>
        </w:rPr>
        <w:tab/>
        <w:t>Discovery from non</w:t>
      </w:r>
      <w:r>
        <w:rPr>
          <w:snapToGrid w:val="0"/>
        </w:rPr>
        <w:noBreakHyphen/>
        <w:t>party</w:t>
      </w:r>
      <w:bookmarkEnd w:id="420"/>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Gazette 28 Oct 1996 p. 5680</w:t>
      </w:r>
      <w:r>
        <w:noBreakHyphen/>
        <w:t xml:space="preserve">1.] </w:t>
      </w:r>
    </w:p>
    <w:p>
      <w:pPr>
        <w:pStyle w:val="Heading5"/>
        <w:rPr>
          <w:snapToGrid w:val="0"/>
        </w:rPr>
      </w:pPr>
      <w:bookmarkStart w:id="421" w:name="_Toc129077665"/>
      <w:r>
        <w:rPr>
          <w:rStyle w:val="CharSectno"/>
        </w:rPr>
        <w:lastRenderedPageBreak/>
        <w:t>6</w:t>
      </w:r>
      <w:r>
        <w:rPr>
          <w:snapToGrid w:val="0"/>
        </w:rPr>
        <w:t>.</w:t>
      </w:r>
      <w:r>
        <w:rPr>
          <w:snapToGrid w:val="0"/>
        </w:rPr>
        <w:tab/>
        <w:t>Order 26 applies to discovery ordered under this Order</w:t>
      </w:r>
      <w:bookmarkEnd w:id="421"/>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Gazette 28 Oct 1996 p. 5681.] </w:t>
      </w:r>
    </w:p>
    <w:p>
      <w:pPr>
        <w:pStyle w:val="Heading5"/>
        <w:rPr>
          <w:snapToGrid w:val="0"/>
        </w:rPr>
      </w:pPr>
      <w:bookmarkStart w:id="422" w:name="_Toc129077666"/>
      <w:r>
        <w:rPr>
          <w:rStyle w:val="CharSectno"/>
        </w:rPr>
        <w:t>7</w:t>
      </w:r>
      <w:r>
        <w:rPr>
          <w:snapToGrid w:val="0"/>
        </w:rPr>
        <w:t>.</w:t>
      </w:r>
      <w:r>
        <w:rPr>
          <w:snapToGrid w:val="0"/>
        </w:rPr>
        <w:tab/>
        <w:t>Costs</w:t>
      </w:r>
      <w:bookmarkEnd w:id="422"/>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Gazette 28 Oct 1996 p. 5681.] </w:t>
      </w:r>
    </w:p>
    <w:p>
      <w:pPr>
        <w:pStyle w:val="Heading5"/>
      </w:pPr>
      <w:bookmarkStart w:id="423" w:name="_Toc129077667"/>
      <w:r>
        <w:rPr>
          <w:rStyle w:val="CharSectno"/>
        </w:rPr>
        <w:t>8</w:t>
      </w:r>
      <w:r>
        <w:t>.</w:t>
      </w:r>
      <w:r>
        <w:tab/>
        <w:t>Certificate by legal practitioner for non</w:t>
      </w:r>
      <w:r>
        <w:noBreakHyphen/>
        <w:t>party or potential party</w:t>
      </w:r>
      <w:bookmarkEnd w:id="423"/>
    </w:p>
    <w:p>
      <w:pPr>
        <w:pStyle w:val="Subsection"/>
      </w:pPr>
      <w:r>
        <w:tab/>
        <w:t>(1)</w:t>
      </w:r>
      <w:r>
        <w:tab/>
        <w:t>This rule applies to these legal practitioners —</w:t>
      </w:r>
    </w:p>
    <w:p>
      <w:pPr>
        <w:pStyle w:val="Indenta"/>
      </w:pPr>
      <w:r>
        <w:tab/>
        <w:t>(a)</w:t>
      </w:r>
      <w:r>
        <w:tab/>
        <w:t>the legal practitioner (if any) who drafts the list of documents, or the affidavit verifying the list, for a non</w:t>
      </w:r>
      <w:r>
        <w:noBreakHyphen/>
        <w:t>party who has been ordered under rule 3 or 5 to give discovery;</w:t>
      </w:r>
    </w:p>
    <w:p>
      <w:pPr>
        <w:pStyle w:val="Indenta"/>
      </w:pPr>
      <w:r>
        <w:tab/>
        <w:t>(b)</w:t>
      </w:r>
      <w:r>
        <w:tab/>
        <w:t>the legal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lastRenderedPageBreak/>
        <w:tab/>
        <w:t>(3)</w:t>
      </w:r>
      <w:r>
        <w:tab/>
        <w:t>A legal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Gazette 28 Jul 2010 p. 3471-2; amended: SL 2022/74 r. 15.]</w:t>
      </w:r>
    </w:p>
    <w:p>
      <w:pPr>
        <w:pStyle w:val="Heading2"/>
        <w:rPr>
          <w:b w:val="0"/>
        </w:rPr>
      </w:pPr>
      <w:bookmarkStart w:id="424" w:name="_Toc129073596"/>
      <w:bookmarkStart w:id="425" w:name="_Toc129074879"/>
      <w:bookmarkStart w:id="426" w:name="_Toc129077668"/>
      <w:r>
        <w:rPr>
          <w:rStyle w:val="CharPartNo"/>
        </w:rPr>
        <w:lastRenderedPageBreak/>
        <w:t>Order 27</w:t>
      </w:r>
      <w:r>
        <w:t> — </w:t>
      </w:r>
      <w:r>
        <w:rPr>
          <w:rStyle w:val="CharPartText"/>
        </w:rPr>
        <w:t>Interrogatories</w:t>
      </w:r>
      <w:bookmarkEnd w:id="424"/>
      <w:bookmarkEnd w:id="425"/>
      <w:bookmarkEnd w:id="426"/>
    </w:p>
    <w:p>
      <w:pPr>
        <w:pStyle w:val="Heading5"/>
        <w:rPr>
          <w:snapToGrid w:val="0"/>
        </w:rPr>
      </w:pPr>
      <w:bookmarkStart w:id="427" w:name="_Toc129077669"/>
      <w:r>
        <w:rPr>
          <w:rStyle w:val="CharSectno"/>
        </w:rPr>
        <w:t>1</w:t>
      </w:r>
      <w:r>
        <w:rPr>
          <w:snapToGrid w:val="0"/>
        </w:rPr>
        <w:t>.</w:t>
      </w:r>
      <w:r>
        <w:rPr>
          <w:snapToGrid w:val="0"/>
        </w:rPr>
        <w:tab/>
        <w:t>Notice of and answers to interrogatories</w:t>
      </w:r>
      <w:bookmarkEnd w:id="427"/>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Gazette 24 Jan 1995 p. 270; 28 Oct 1996 p. 5681; 28 Jul 2010 p. 3472.] </w:t>
      </w:r>
    </w:p>
    <w:p>
      <w:pPr>
        <w:pStyle w:val="Heading5"/>
        <w:rPr>
          <w:snapToGrid w:val="0"/>
        </w:rPr>
      </w:pPr>
      <w:bookmarkStart w:id="428" w:name="_Toc129077670"/>
      <w:r>
        <w:rPr>
          <w:rStyle w:val="CharSectno"/>
        </w:rPr>
        <w:t>2</w:t>
      </w:r>
      <w:r>
        <w:rPr>
          <w:snapToGrid w:val="0"/>
        </w:rPr>
        <w:t>.</w:t>
      </w:r>
      <w:r>
        <w:rPr>
          <w:snapToGrid w:val="0"/>
        </w:rPr>
        <w:tab/>
        <w:t>Answers, time for and manner of giving</w:t>
      </w:r>
      <w:bookmarkEnd w:id="428"/>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29" w:name="_Toc129077671"/>
      <w:r>
        <w:rPr>
          <w:rStyle w:val="CharSectno"/>
        </w:rPr>
        <w:t>3</w:t>
      </w:r>
      <w:r>
        <w:rPr>
          <w:snapToGrid w:val="0"/>
        </w:rPr>
        <w:t>.</w:t>
      </w:r>
      <w:r>
        <w:rPr>
          <w:snapToGrid w:val="0"/>
        </w:rPr>
        <w:tab/>
        <w:t>Interrogatories given to 2 or more parties etc., who has to answer</w:t>
      </w:r>
      <w:bookmarkEnd w:id="429"/>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30" w:name="_Toc129077672"/>
      <w:r>
        <w:rPr>
          <w:rStyle w:val="CharSectno"/>
        </w:rPr>
        <w:lastRenderedPageBreak/>
        <w:t>4</w:t>
      </w:r>
      <w:r>
        <w:rPr>
          <w:snapToGrid w:val="0"/>
        </w:rPr>
        <w:t>.</w:t>
      </w:r>
      <w:r>
        <w:rPr>
          <w:snapToGrid w:val="0"/>
        </w:rPr>
        <w:tab/>
        <w:t>Content of answers</w:t>
      </w:r>
      <w:bookmarkEnd w:id="43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31" w:name="_Toc129077673"/>
      <w:r>
        <w:rPr>
          <w:rStyle w:val="CharSectno"/>
        </w:rPr>
        <w:t>5</w:t>
      </w:r>
      <w:r>
        <w:rPr>
          <w:snapToGrid w:val="0"/>
        </w:rPr>
        <w:t>.</w:t>
      </w:r>
      <w:r>
        <w:rPr>
          <w:snapToGrid w:val="0"/>
        </w:rPr>
        <w:tab/>
        <w:t>Grounds for objecting to answer</w:t>
      </w:r>
      <w:bookmarkEnd w:id="431"/>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 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Gazette 15 Jun 1973 p. 2248.] </w:t>
      </w:r>
    </w:p>
    <w:p>
      <w:pPr>
        <w:pStyle w:val="Heading5"/>
        <w:rPr>
          <w:snapToGrid w:val="0"/>
        </w:rPr>
      </w:pPr>
      <w:bookmarkStart w:id="432" w:name="_Toc129077674"/>
      <w:r>
        <w:rPr>
          <w:rStyle w:val="CharSectno"/>
        </w:rPr>
        <w:t>6</w:t>
      </w:r>
      <w:r>
        <w:rPr>
          <w:snapToGrid w:val="0"/>
        </w:rPr>
        <w:t>.</w:t>
      </w:r>
      <w:r>
        <w:rPr>
          <w:snapToGrid w:val="0"/>
        </w:rPr>
        <w:tab/>
        <w:t>Answers, who can make</w:t>
      </w:r>
      <w:bookmarkEnd w:id="432"/>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lastRenderedPageBreak/>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r>
        <w:tab/>
        <w:t xml:space="preserve">[Rule 6 amended: Gazette 19 Apr 2005 p. 1298; 28 Jun 2011 p. 2552 and 2554.] </w:t>
      </w:r>
    </w:p>
    <w:p>
      <w:pPr>
        <w:pStyle w:val="Heading5"/>
        <w:rPr>
          <w:snapToGrid w:val="0"/>
        </w:rPr>
      </w:pPr>
      <w:bookmarkStart w:id="433" w:name="_Toc129077675"/>
      <w:r>
        <w:rPr>
          <w:rStyle w:val="CharSectno"/>
        </w:rPr>
        <w:t>7</w:t>
      </w:r>
      <w:r>
        <w:rPr>
          <w:snapToGrid w:val="0"/>
        </w:rPr>
        <w:t>.</w:t>
      </w:r>
      <w:r>
        <w:rPr>
          <w:snapToGrid w:val="0"/>
        </w:rPr>
        <w:tab/>
        <w:t>Failing to answer or to answer sufficiently</w:t>
      </w:r>
      <w:bookmarkEnd w:id="433"/>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34" w:name="_Toc129077676"/>
      <w:r>
        <w:rPr>
          <w:rStyle w:val="CharSectno"/>
        </w:rPr>
        <w:t>8</w:t>
      </w:r>
      <w:r>
        <w:rPr>
          <w:snapToGrid w:val="0"/>
        </w:rPr>
        <w:t>.</w:t>
      </w:r>
      <w:r>
        <w:rPr>
          <w:snapToGrid w:val="0"/>
        </w:rPr>
        <w:tab/>
        <w:t>Non</w:t>
      </w:r>
      <w:r>
        <w:rPr>
          <w:snapToGrid w:val="0"/>
        </w:rPr>
        <w:noBreakHyphen/>
        <w:t>compliance with order under r. 7</w:t>
      </w:r>
      <w:bookmarkEnd w:id="434"/>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lastRenderedPageBreak/>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Gazette 21 Feb 2007 p. 536; 28 Jun 2011 p. 2552.]</w:t>
      </w:r>
    </w:p>
    <w:p>
      <w:pPr>
        <w:pStyle w:val="Heading5"/>
        <w:rPr>
          <w:snapToGrid w:val="0"/>
        </w:rPr>
      </w:pPr>
      <w:bookmarkStart w:id="435" w:name="_Toc129077677"/>
      <w:r>
        <w:rPr>
          <w:rStyle w:val="CharSectno"/>
        </w:rPr>
        <w:t>9</w:t>
      </w:r>
      <w:r>
        <w:rPr>
          <w:snapToGrid w:val="0"/>
        </w:rPr>
        <w:t>.</w:t>
      </w:r>
      <w:r>
        <w:rPr>
          <w:snapToGrid w:val="0"/>
        </w:rPr>
        <w:tab/>
        <w:t>Use of answers in evidence</w:t>
      </w:r>
      <w:bookmarkEnd w:id="435"/>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36" w:name="_Toc129077678"/>
      <w:r>
        <w:rPr>
          <w:rStyle w:val="CharSectno"/>
        </w:rPr>
        <w:t>10</w:t>
      </w:r>
      <w:r>
        <w:rPr>
          <w:snapToGrid w:val="0"/>
        </w:rPr>
        <w:t>.</w:t>
      </w:r>
      <w:r>
        <w:rPr>
          <w:snapToGrid w:val="0"/>
        </w:rPr>
        <w:tab/>
        <w:t>Revoking and varying orders</w:t>
      </w:r>
      <w:bookmarkEnd w:id="436"/>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37" w:name="_Toc129073607"/>
      <w:bookmarkStart w:id="438" w:name="_Toc129074890"/>
      <w:bookmarkStart w:id="439" w:name="_Toc129077679"/>
      <w:r>
        <w:rPr>
          <w:rStyle w:val="CharPartNo"/>
        </w:rPr>
        <w:lastRenderedPageBreak/>
        <w:t>Order 28</w:t>
      </w:r>
      <w:r>
        <w:t> — </w:t>
      </w:r>
      <w:r>
        <w:rPr>
          <w:rStyle w:val="CharPartText"/>
        </w:rPr>
        <w:t>Medical examination: inspection of physical objects</w:t>
      </w:r>
      <w:bookmarkEnd w:id="437"/>
      <w:bookmarkEnd w:id="438"/>
      <w:bookmarkEnd w:id="439"/>
    </w:p>
    <w:p>
      <w:pPr>
        <w:pStyle w:val="Heading5"/>
        <w:rPr>
          <w:snapToGrid w:val="0"/>
        </w:rPr>
      </w:pPr>
      <w:bookmarkStart w:id="440" w:name="_Toc129077680"/>
      <w:r>
        <w:rPr>
          <w:rStyle w:val="CharSectno"/>
        </w:rPr>
        <w:t>1</w:t>
      </w:r>
      <w:r>
        <w:rPr>
          <w:snapToGrid w:val="0"/>
        </w:rPr>
        <w:t>.</w:t>
      </w:r>
      <w:r>
        <w:rPr>
          <w:snapToGrid w:val="0"/>
        </w:rPr>
        <w:tab/>
        <w:t>Medical examination of a party</w:t>
      </w:r>
      <w:bookmarkEnd w:id="440"/>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lastRenderedPageBreak/>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Gazette 28 Jun 2011 p. 2552 and 2554.]</w:t>
      </w:r>
    </w:p>
    <w:p>
      <w:pPr>
        <w:pStyle w:val="Heading5"/>
        <w:spacing w:before="180"/>
        <w:rPr>
          <w:snapToGrid w:val="0"/>
        </w:rPr>
      </w:pPr>
      <w:bookmarkStart w:id="441" w:name="_Toc129077681"/>
      <w:r>
        <w:rPr>
          <w:rStyle w:val="CharSectno"/>
        </w:rPr>
        <w:t>2</w:t>
      </w:r>
      <w:r>
        <w:rPr>
          <w:snapToGrid w:val="0"/>
        </w:rPr>
        <w:t>.</w:t>
      </w:r>
      <w:r>
        <w:rPr>
          <w:snapToGrid w:val="0"/>
        </w:rPr>
        <w:tab/>
        <w:t>Inspection of physical objects</w:t>
      </w:r>
      <w:bookmarkEnd w:id="441"/>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Ednotepart"/>
      </w:pPr>
      <w:r>
        <w:lastRenderedPageBreak/>
        <w:t xml:space="preserve">[Order 29: </w:t>
      </w:r>
      <w:r>
        <w:tab/>
        <w:t>r. 1-2 deleted: Gazette 16 Aug 2017 p. 4411.</w:t>
      </w:r>
    </w:p>
    <w:p>
      <w:pPr>
        <w:pStyle w:val="Ednotepart"/>
        <w:spacing w:before="0"/>
      </w:pPr>
      <w:r>
        <w:tab/>
      </w:r>
      <w:r>
        <w:tab/>
        <w:t xml:space="preserve">r. </w:t>
      </w:r>
      <w:r>
        <w:rPr>
          <w:bCs/>
        </w:rPr>
        <w:t>3-6</w:t>
      </w:r>
      <w:r>
        <w:t xml:space="preserve"> deleted: Gazette 28 Jul 2010 p. 3464.]</w:t>
      </w:r>
    </w:p>
    <w:p>
      <w:pPr>
        <w:pStyle w:val="Ednotepart"/>
      </w:pPr>
      <w:r>
        <w:t>[Order 29A deleted: Gazette 28 Jul 2010 p. 3465.]</w:t>
      </w:r>
    </w:p>
    <w:p>
      <w:pPr>
        <w:pStyle w:val="Heading2"/>
        <w:rPr>
          <w:b w:val="0"/>
        </w:rPr>
      </w:pPr>
      <w:bookmarkStart w:id="442" w:name="_Toc129073610"/>
      <w:bookmarkStart w:id="443" w:name="_Toc129074893"/>
      <w:bookmarkStart w:id="444" w:name="_Toc129077682"/>
      <w:r>
        <w:rPr>
          <w:rStyle w:val="CharPartNo"/>
        </w:rPr>
        <w:lastRenderedPageBreak/>
        <w:t>Order 30</w:t>
      </w:r>
      <w:r>
        <w:rPr>
          <w:rStyle w:val="CharDivNo"/>
        </w:rPr>
        <w:t> </w:t>
      </w:r>
      <w:r>
        <w:t>—</w:t>
      </w:r>
      <w:r>
        <w:rPr>
          <w:rStyle w:val="CharDivText"/>
        </w:rPr>
        <w:t> </w:t>
      </w:r>
      <w:r>
        <w:rPr>
          <w:rStyle w:val="CharPartText"/>
        </w:rPr>
        <w:t>Admissions</w:t>
      </w:r>
      <w:bookmarkEnd w:id="442"/>
      <w:bookmarkEnd w:id="443"/>
      <w:bookmarkEnd w:id="444"/>
    </w:p>
    <w:p>
      <w:pPr>
        <w:pStyle w:val="Heading5"/>
        <w:rPr>
          <w:snapToGrid w:val="0"/>
        </w:rPr>
      </w:pPr>
      <w:bookmarkStart w:id="445" w:name="_Toc129077683"/>
      <w:r>
        <w:rPr>
          <w:rStyle w:val="CharSectno"/>
        </w:rPr>
        <w:t>1</w:t>
      </w:r>
      <w:r>
        <w:rPr>
          <w:snapToGrid w:val="0"/>
        </w:rPr>
        <w:t>.</w:t>
      </w:r>
      <w:r>
        <w:rPr>
          <w:snapToGrid w:val="0"/>
        </w:rPr>
        <w:tab/>
        <w:t>Admission of other party’s case</w:t>
      </w:r>
      <w:bookmarkEnd w:id="445"/>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46" w:name="_Toc129077684"/>
      <w:r>
        <w:rPr>
          <w:rStyle w:val="CharSectno"/>
        </w:rPr>
        <w:t>2</w:t>
      </w:r>
      <w:r>
        <w:rPr>
          <w:snapToGrid w:val="0"/>
        </w:rPr>
        <w:t>.</w:t>
      </w:r>
      <w:r>
        <w:rPr>
          <w:snapToGrid w:val="0"/>
        </w:rPr>
        <w:tab/>
        <w:t>Notice to admit facts</w:t>
      </w:r>
      <w:bookmarkEnd w:id="446"/>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47" w:name="_Toc129077685"/>
      <w:r>
        <w:rPr>
          <w:rStyle w:val="CharSectno"/>
        </w:rPr>
        <w:t>3</w:t>
      </w:r>
      <w:r>
        <w:rPr>
          <w:snapToGrid w:val="0"/>
        </w:rPr>
        <w:t>.</w:t>
      </w:r>
      <w:r>
        <w:rPr>
          <w:snapToGrid w:val="0"/>
        </w:rPr>
        <w:tab/>
        <w:t>Judgment on admissions</w:t>
      </w:r>
      <w:bookmarkEnd w:id="447"/>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48" w:name="_Toc129077686"/>
      <w:r>
        <w:rPr>
          <w:rStyle w:val="CharSectno"/>
        </w:rPr>
        <w:lastRenderedPageBreak/>
        <w:t>4</w:t>
      </w:r>
      <w:r>
        <w:rPr>
          <w:snapToGrid w:val="0"/>
        </w:rPr>
        <w:t>.</w:t>
      </w:r>
      <w:r>
        <w:rPr>
          <w:snapToGrid w:val="0"/>
        </w:rPr>
        <w:tab/>
        <w:t>Admissions as to and production of documents</w:t>
      </w:r>
      <w:bookmarkEnd w:id="448"/>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Gazette 28 Jun 2011 p. 2552.]</w:t>
      </w:r>
    </w:p>
    <w:p>
      <w:pPr>
        <w:pStyle w:val="Heading5"/>
        <w:rPr>
          <w:snapToGrid w:val="0"/>
        </w:rPr>
      </w:pPr>
      <w:bookmarkStart w:id="449" w:name="_Toc129077687"/>
      <w:r>
        <w:rPr>
          <w:rStyle w:val="CharSectno"/>
        </w:rPr>
        <w:lastRenderedPageBreak/>
        <w:t>5</w:t>
      </w:r>
      <w:r>
        <w:rPr>
          <w:snapToGrid w:val="0"/>
        </w:rPr>
        <w:t>.</w:t>
      </w:r>
      <w:r>
        <w:rPr>
          <w:snapToGrid w:val="0"/>
        </w:rPr>
        <w:tab/>
        <w:t>Notice to admit authenticity of documents; notice requiring production of documents at trial</w:t>
      </w:r>
      <w:bookmarkEnd w:id="449"/>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Gazette 28 Jun 2011 p. 2552.]</w:t>
      </w:r>
    </w:p>
    <w:p>
      <w:pPr>
        <w:pStyle w:val="Heading2"/>
        <w:rPr>
          <w:b w:val="0"/>
        </w:rPr>
      </w:pPr>
      <w:bookmarkStart w:id="450" w:name="_Toc129073616"/>
      <w:bookmarkStart w:id="451" w:name="_Toc129074899"/>
      <w:bookmarkStart w:id="452" w:name="_Toc129077688"/>
      <w:r>
        <w:rPr>
          <w:rStyle w:val="CharPartNo"/>
        </w:rPr>
        <w:lastRenderedPageBreak/>
        <w:t>Order 31</w:t>
      </w:r>
      <w:r>
        <w:rPr>
          <w:rStyle w:val="CharDivNo"/>
        </w:rPr>
        <w:t> </w:t>
      </w:r>
      <w:r>
        <w:t>—</w:t>
      </w:r>
      <w:r>
        <w:rPr>
          <w:rStyle w:val="CharDivText"/>
        </w:rPr>
        <w:t> </w:t>
      </w:r>
      <w:r>
        <w:rPr>
          <w:rStyle w:val="CharPartText"/>
        </w:rPr>
        <w:t>Special cases and stated cases</w:t>
      </w:r>
      <w:bookmarkEnd w:id="450"/>
      <w:bookmarkEnd w:id="451"/>
      <w:bookmarkEnd w:id="452"/>
    </w:p>
    <w:p>
      <w:pPr>
        <w:pStyle w:val="Heading5"/>
        <w:rPr>
          <w:snapToGrid w:val="0"/>
        </w:rPr>
      </w:pPr>
      <w:bookmarkStart w:id="453" w:name="_Toc129077689"/>
      <w:r>
        <w:rPr>
          <w:rStyle w:val="CharSectno"/>
        </w:rPr>
        <w:t>1</w:t>
      </w:r>
      <w:r>
        <w:rPr>
          <w:snapToGrid w:val="0"/>
        </w:rPr>
        <w:t>.</w:t>
      </w:r>
      <w:r>
        <w:rPr>
          <w:snapToGrid w:val="0"/>
        </w:rPr>
        <w:tab/>
        <w:t>Questions of law, stating of in special case</w:t>
      </w:r>
      <w:bookmarkEnd w:id="453"/>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Gazette 15 Jun 1973 p. 2248; 29 Apr 2005 p. 1795.] </w:t>
      </w:r>
    </w:p>
    <w:p>
      <w:pPr>
        <w:pStyle w:val="Heading5"/>
        <w:rPr>
          <w:snapToGrid w:val="0"/>
        </w:rPr>
      </w:pPr>
      <w:bookmarkStart w:id="454" w:name="_Toc129077690"/>
      <w:r>
        <w:rPr>
          <w:rStyle w:val="CharSectno"/>
        </w:rPr>
        <w:t>2</w:t>
      </w:r>
      <w:r>
        <w:rPr>
          <w:snapToGrid w:val="0"/>
        </w:rPr>
        <w:t>.</w:t>
      </w:r>
      <w:r>
        <w:rPr>
          <w:snapToGrid w:val="0"/>
        </w:rPr>
        <w:tab/>
        <w:t>Preliminary question of law, orders as to</w:t>
      </w:r>
      <w:bookmarkEnd w:id="454"/>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55" w:name="_Toc129077691"/>
      <w:r>
        <w:rPr>
          <w:rStyle w:val="CharSectno"/>
        </w:rPr>
        <w:t>3</w:t>
      </w:r>
      <w:r>
        <w:rPr>
          <w:snapToGrid w:val="0"/>
        </w:rPr>
        <w:t>.</w:t>
      </w:r>
      <w:r>
        <w:rPr>
          <w:snapToGrid w:val="0"/>
        </w:rPr>
        <w:tab/>
        <w:t>Preparing special case</w:t>
      </w:r>
      <w:bookmarkEnd w:id="455"/>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lastRenderedPageBreak/>
        <w:tab/>
        <w:t>(2)</w:t>
      </w:r>
      <w:r>
        <w:rPr>
          <w:snapToGrid w:val="0"/>
        </w:rPr>
        <w:tab/>
        <w:t xml:space="preserve">At least 14 days before the day appointed for argument the plaintiff or the party having the carriage of the proceedings shall </w:t>
      </w:r>
      <w:r>
        <w:t>file</w:t>
      </w:r>
      <w:r>
        <w:rPr>
          <w:snapToGrid w:val="0"/>
        </w:rPr>
        <w:t xml:space="preserve"> copies of the special case for the use of the judge or judges hearing the argument, and in default thereof the other party may on the day following, </w:t>
      </w:r>
      <w:r>
        <w:t>file those</w:t>
      </w:r>
      <w:r>
        <w:rPr>
          <w:snapToGrid w:val="0"/>
        </w:rPr>
        <w:t xml:space="preserve"> copies.</w:t>
      </w:r>
    </w:p>
    <w:p>
      <w:pPr>
        <w:pStyle w:val="Footnotesection"/>
      </w:pPr>
      <w:r>
        <w:tab/>
        <w:t>[Rule 3 amended: Gazette 27 Feb 2018 p. 560-1.]</w:t>
      </w:r>
    </w:p>
    <w:p>
      <w:pPr>
        <w:pStyle w:val="Heading5"/>
        <w:rPr>
          <w:snapToGrid w:val="0"/>
        </w:rPr>
      </w:pPr>
      <w:bookmarkStart w:id="456" w:name="_Toc129077692"/>
      <w:r>
        <w:rPr>
          <w:rStyle w:val="CharSectno"/>
        </w:rPr>
        <w:t>4</w:t>
      </w:r>
      <w:r>
        <w:rPr>
          <w:snapToGrid w:val="0"/>
        </w:rPr>
        <w:t>.</w:t>
      </w:r>
      <w:r>
        <w:rPr>
          <w:snapToGrid w:val="0"/>
        </w:rPr>
        <w:tab/>
        <w:t>Special case affecting person under disability, leave needed to enter for argument</w:t>
      </w:r>
      <w:bookmarkEnd w:id="456"/>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Gazette 28 Jun 2011 p. 2552.]</w:t>
      </w:r>
    </w:p>
    <w:p>
      <w:pPr>
        <w:pStyle w:val="Heading5"/>
        <w:rPr>
          <w:snapToGrid w:val="0"/>
        </w:rPr>
      </w:pPr>
      <w:bookmarkStart w:id="457" w:name="_Toc129077693"/>
      <w:r>
        <w:rPr>
          <w:rStyle w:val="CharSectno"/>
        </w:rPr>
        <w:t>5</w:t>
      </w:r>
      <w:r>
        <w:rPr>
          <w:snapToGrid w:val="0"/>
        </w:rPr>
        <w:t>.</w:t>
      </w:r>
      <w:r>
        <w:rPr>
          <w:snapToGrid w:val="0"/>
        </w:rPr>
        <w:tab/>
        <w:t>Entering special case for argument</w:t>
      </w:r>
      <w:bookmarkEnd w:id="457"/>
    </w:p>
    <w:p>
      <w:pPr>
        <w:pStyle w:val="Subsection"/>
        <w:rPr>
          <w:snapToGrid w:val="0"/>
        </w:rPr>
      </w:pPr>
      <w:r>
        <w:rPr>
          <w:snapToGrid w:val="0"/>
        </w:rPr>
        <w:tab/>
        <w:t>(1)</w:t>
      </w:r>
      <w:r>
        <w:rPr>
          <w:snapToGrid w:val="0"/>
        </w:rPr>
        <w:tab/>
        <w:t xml:space="preserve">Either party may enter a special case for argument before the Court, by filing a memorandum of entry, and if a person under disability is a party, by producing </w:t>
      </w:r>
      <w:r>
        <w:t>a sealed</w:t>
      </w:r>
      <w:r>
        <w:rPr>
          <w:snapToGrid w:val="0"/>
        </w:rPr>
        <w:t xml:space="preserv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Footnotesection"/>
      </w:pPr>
      <w:r>
        <w:tab/>
        <w:t>[Rule 5 amended: Gazette 27 Feb 2018 p. 561.]</w:t>
      </w:r>
    </w:p>
    <w:p>
      <w:pPr>
        <w:pStyle w:val="Heading5"/>
        <w:rPr>
          <w:snapToGrid w:val="0"/>
        </w:rPr>
      </w:pPr>
      <w:bookmarkStart w:id="458" w:name="_Toc129077694"/>
      <w:r>
        <w:rPr>
          <w:rStyle w:val="CharSectno"/>
        </w:rPr>
        <w:t>6</w:t>
      </w:r>
      <w:r>
        <w:rPr>
          <w:snapToGrid w:val="0"/>
        </w:rPr>
        <w:t>.</w:t>
      </w:r>
      <w:r>
        <w:rPr>
          <w:snapToGrid w:val="0"/>
        </w:rPr>
        <w:tab/>
        <w:t>Agreement as to payment of money and costs</w:t>
      </w:r>
      <w:bookmarkEnd w:id="458"/>
    </w:p>
    <w:p>
      <w:pPr>
        <w:pStyle w:val="Subsection"/>
        <w:rPr>
          <w:snapToGrid w:val="0"/>
        </w:rPr>
      </w:pPr>
      <w:r>
        <w:rPr>
          <w:snapToGrid w:val="0"/>
        </w:rPr>
        <w:tab/>
        <w:t>(1)</w:t>
      </w:r>
      <w:r>
        <w:rPr>
          <w:snapToGrid w:val="0"/>
        </w:rPr>
        <w:tab/>
        <w:t xml:space="preserve">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w:t>
      </w:r>
      <w:r>
        <w:rPr>
          <w:snapToGrid w:val="0"/>
        </w:rPr>
        <w:lastRenderedPageBreak/>
        <w:t>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59" w:name="_Toc129077695"/>
      <w:r>
        <w:rPr>
          <w:rStyle w:val="CharSectno"/>
        </w:rPr>
        <w:t>7</w:t>
      </w:r>
      <w:r>
        <w:rPr>
          <w:snapToGrid w:val="0"/>
        </w:rPr>
        <w:t>.</w:t>
      </w:r>
      <w:r>
        <w:rPr>
          <w:snapToGrid w:val="0"/>
        </w:rPr>
        <w:tab/>
        <w:t>Reference of case to</w:t>
      </w:r>
      <w:r>
        <w:t xml:space="preserve"> Court of Appeal</w:t>
      </w:r>
      <w:r>
        <w:rPr>
          <w:snapToGrid w:val="0"/>
        </w:rPr>
        <w:t xml:space="preserve"> (Act s. 58(1)(d))</w:t>
      </w:r>
      <w:bookmarkEnd w:id="459"/>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Gazette 29 Apr 2005 p. 1795.]</w:t>
      </w:r>
    </w:p>
    <w:p>
      <w:pPr>
        <w:pStyle w:val="Heading5"/>
        <w:rPr>
          <w:snapToGrid w:val="0"/>
        </w:rPr>
      </w:pPr>
      <w:bookmarkStart w:id="460" w:name="_Toc129077696"/>
      <w:r>
        <w:rPr>
          <w:rStyle w:val="CharSectno"/>
        </w:rPr>
        <w:t>8</w:t>
      </w:r>
      <w:r>
        <w:rPr>
          <w:snapToGrid w:val="0"/>
        </w:rPr>
        <w:t>.</w:t>
      </w:r>
      <w:r>
        <w:rPr>
          <w:snapToGrid w:val="0"/>
        </w:rPr>
        <w:tab/>
        <w:t>Cases stated to Court (not Court of Appeal) by other courts etc.</w:t>
      </w:r>
      <w:bookmarkEnd w:id="460"/>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lastRenderedPageBreak/>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Gazette 29 Apr 2005 p. 1791</w:t>
      </w:r>
      <w:r>
        <w:noBreakHyphen/>
        <w:t xml:space="preserve">2.] </w:t>
      </w:r>
    </w:p>
    <w:p>
      <w:pPr>
        <w:pStyle w:val="Ednotepart"/>
      </w:pPr>
      <w:r>
        <w:t>[Order 31A deleted: Gazette 28 Jul 2010 p. 3466.]</w:t>
      </w:r>
    </w:p>
    <w:p>
      <w:pPr>
        <w:pStyle w:val="Heading2"/>
        <w:rPr>
          <w:b w:val="0"/>
        </w:rPr>
      </w:pPr>
      <w:bookmarkStart w:id="461" w:name="_Toc129073625"/>
      <w:bookmarkStart w:id="462" w:name="_Toc129074908"/>
      <w:bookmarkStart w:id="463" w:name="_Toc129077697"/>
      <w:r>
        <w:rPr>
          <w:rStyle w:val="CharPartNo"/>
        </w:rPr>
        <w:lastRenderedPageBreak/>
        <w:t>Order 32</w:t>
      </w:r>
      <w:r>
        <w:rPr>
          <w:rStyle w:val="CharDivNo"/>
        </w:rPr>
        <w:t> </w:t>
      </w:r>
      <w:r>
        <w:t>—</w:t>
      </w:r>
      <w:r>
        <w:rPr>
          <w:rStyle w:val="CharDivText"/>
        </w:rPr>
        <w:t> </w:t>
      </w:r>
      <w:r>
        <w:rPr>
          <w:rStyle w:val="CharPartText"/>
        </w:rPr>
        <w:t>Place and mode of trial</w:t>
      </w:r>
      <w:bookmarkEnd w:id="461"/>
      <w:bookmarkEnd w:id="462"/>
      <w:bookmarkEnd w:id="463"/>
    </w:p>
    <w:p>
      <w:pPr>
        <w:pStyle w:val="Heading5"/>
        <w:rPr>
          <w:snapToGrid w:val="0"/>
        </w:rPr>
      </w:pPr>
      <w:bookmarkStart w:id="464" w:name="_Toc129077698"/>
      <w:r>
        <w:rPr>
          <w:rStyle w:val="CharSectno"/>
        </w:rPr>
        <w:t>1</w:t>
      </w:r>
      <w:r>
        <w:rPr>
          <w:snapToGrid w:val="0"/>
        </w:rPr>
        <w:t>.</w:t>
      </w:r>
      <w:r>
        <w:rPr>
          <w:snapToGrid w:val="0"/>
        </w:rPr>
        <w:tab/>
        <w:t>Trial in circuit town</w:t>
      </w:r>
      <w:bookmarkEnd w:id="464"/>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Gazette 27 Aug 1976 p. 3223.] </w:t>
      </w:r>
    </w:p>
    <w:p>
      <w:pPr>
        <w:pStyle w:val="Heading5"/>
        <w:rPr>
          <w:snapToGrid w:val="0"/>
        </w:rPr>
      </w:pPr>
      <w:bookmarkStart w:id="465" w:name="_Toc129077699"/>
      <w:r>
        <w:rPr>
          <w:rStyle w:val="CharSectno"/>
        </w:rPr>
        <w:t>2</w:t>
      </w:r>
      <w:r>
        <w:rPr>
          <w:snapToGrid w:val="0"/>
        </w:rPr>
        <w:t>.</w:t>
      </w:r>
      <w:r>
        <w:rPr>
          <w:snapToGrid w:val="0"/>
        </w:rPr>
        <w:tab/>
        <w:t>Application for trial by jury</w:t>
      </w:r>
      <w:bookmarkEnd w:id="465"/>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66" w:name="_Toc129077700"/>
      <w:r>
        <w:rPr>
          <w:rStyle w:val="CharSectno"/>
        </w:rPr>
        <w:t>3</w:t>
      </w:r>
      <w:r>
        <w:rPr>
          <w:snapToGrid w:val="0"/>
        </w:rPr>
        <w:t>.</w:t>
      </w:r>
      <w:r>
        <w:rPr>
          <w:snapToGrid w:val="0"/>
        </w:rPr>
        <w:tab/>
        <w:t>Usual mode of trial, other modes</w:t>
      </w:r>
      <w:bookmarkEnd w:id="466"/>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67" w:name="_Toc129077701"/>
      <w:r>
        <w:rPr>
          <w:rStyle w:val="CharSectno"/>
        </w:rPr>
        <w:t>4</w:t>
      </w:r>
      <w:r>
        <w:rPr>
          <w:snapToGrid w:val="0"/>
        </w:rPr>
        <w:t>.</w:t>
      </w:r>
      <w:r>
        <w:rPr>
          <w:snapToGrid w:val="0"/>
        </w:rPr>
        <w:tab/>
        <w:t>Time of trial of questions or issues</w:t>
      </w:r>
      <w:bookmarkEnd w:id="467"/>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68" w:name="_Toc129077702"/>
      <w:r>
        <w:rPr>
          <w:rStyle w:val="CharSectno"/>
        </w:rPr>
        <w:t>5</w:t>
      </w:r>
      <w:r>
        <w:rPr>
          <w:snapToGrid w:val="0"/>
        </w:rPr>
        <w:t>.</w:t>
      </w:r>
      <w:r>
        <w:rPr>
          <w:snapToGrid w:val="0"/>
        </w:rPr>
        <w:tab/>
        <w:t>Issues may be tried differently</w:t>
      </w:r>
      <w:bookmarkEnd w:id="468"/>
    </w:p>
    <w:p>
      <w:pPr>
        <w:pStyle w:val="Subsection"/>
        <w:rPr>
          <w:snapToGrid w:val="0"/>
        </w:rPr>
      </w:pPr>
      <w:r>
        <w:rPr>
          <w:snapToGrid w:val="0"/>
        </w:rPr>
        <w:tab/>
      </w:r>
      <w:r>
        <w:rPr>
          <w:snapToGrid w:val="0"/>
        </w:rPr>
        <w:tab/>
        <w:t xml:space="preserve">In any cause or matter the Court may at any time, or from time to time, order that different questions or issues arising therein be </w:t>
      </w:r>
      <w:r>
        <w:rPr>
          <w:snapToGrid w:val="0"/>
        </w:rPr>
        <w:lastRenderedPageBreak/>
        <w:t>tried at different places or by different modes of trial, and that one or more questions or issues be tried before the others.</w:t>
      </w:r>
    </w:p>
    <w:p>
      <w:pPr>
        <w:pStyle w:val="Heading5"/>
        <w:rPr>
          <w:snapToGrid w:val="0"/>
        </w:rPr>
      </w:pPr>
      <w:bookmarkStart w:id="469" w:name="_Toc129077703"/>
      <w:r>
        <w:rPr>
          <w:rStyle w:val="CharSectno"/>
        </w:rPr>
        <w:t>6</w:t>
      </w:r>
      <w:r>
        <w:rPr>
          <w:snapToGrid w:val="0"/>
        </w:rPr>
        <w:t>.</w:t>
      </w:r>
      <w:r>
        <w:rPr>
          <w:snapToGrid w:val="0"/>
        </w:rPr>
        <w:tab/>
        <w:t>Trial with jury to be by single judge</w:t>
      </w:r>
      <w:bookmarkEnd w:id="469"/>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70" w:name="_Toc129077704"/>
      <w:r>
        <w:rPr>
          <w:rStyle w:val="CharSectno"/>
        </w:rPr>
        <w:t>7</w:t>
      </w:r>
      <w:r>
        <w:rPr>
          <w:snapToGrid w:val="0"/>
        </w:rPr>
        <w:t>.</w:t>
      </w:r>
      <w:r>
        <w:rPr>
          <w:snapToGrid w:val="0"/>
        </w:rPr>
        <w:tab/>
        <w:t>Disposal of action</w:t>
      </w:r>
      <w:bookmarkEnd w:id="470"/>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71" w:name="_Toc129077705"/>
      <w:r>
        <w:t>8.</w:t>
      </w:r>
      <w:r>
        <w:tab/>
        <w:t>Trial by jury, precepts for etc.</w:t>
      </w:r>
      <w:bookmarkEnd w:id="471"/>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Gazette 29 Apr 2005 p. 1801.]</w:t>
      </w:r>
    </w:p>
    <w:p>
      <w:pPr>
        <w:pStyle w:val="Heading2"/>
        <w:rPr>
          <w:b w:val="0"/>
        </w:rPr>
      </w:pPr>
      <w:bookmarkStart w:id="472" w:name="_Toc129073634"/>
      <w:bookmarkStart w:id="473" w:name="_Toc129074917"/>
      <w:bookmarkStart w:id="474" w:name="_Toc129077706"/>
      <w:r>
        <w:rPr>
          <w:rStyle w:val="CharPartNo"/>
        </w:rPr>
        <w:lastRenderedPageBreak/>
        <w:t>Order 33</w:t>
      </w:r>
      <w:r>
        <w:rPr>
          <w:rStyle w:val="CharDivNo"/>
        </w:rPr>
        <w:t> </w:t>
      </w:r>
      <w:r>
        <w:t>—</w:t>
      </w:r>
      <w:r>
        <w:rPr>
          <w:rStyle w:val="CharDivText"/>
        </w:rPr>
        <w:t> </w:t>
      </w:r>
      <w:r>
        <w:rPr>
          <w:rStyle w:val="CharPartText"/>
        </w:rPr>
        <w:t>Entry for trial</w:t>
      </w:r>
      <w:bookmarkEnd w:id="472"/>
      <w:bookmarkEnd w:id="473"/>
      <w:bookmarkEnd w:id="474"/>
    </w:p>
    <w:p>
      <w:pPr>
        <w:pStyle w:val="Heading5"/>
      </w:pPr>
      <w:bookmarkStart w:id="475" w:name="_Toc129077707"/>
      <w:r>
        <w:rPr>
          <w:rStyle w:val="CharSectno"/>
        </w:rPr>
        <w:t>1</w:t>
      </w:r>
      <w:r>
        <w:t>.</w:t>
      </w:r>
      <w:r>
        <w:tab/>
        <w:t>Entry for trial</w:t>
      </w:r>
      <w:bookmarkEnd w:id="475"/>
    </w:p>
    <w:p>
      <w:pPr>
        <w:pStyle w:val="Subsection"/>
      </w:pPr>
      <w:r>
        <w:tab/>
      </w:r>
      <w:r>
        <w:tab/>
        <w:t xml:space="preserve">A party cannot enter a cause, matter or issue for trial unless — </w:t>
      </w:r>
    </w:p>
    <w:p>
      <w:pPr>
        <w:pStyle w:val="Indenta"/>
      </w:pPr>
      <w:r>
        <w:tab/>
        <w:t>(a)</w:t>
      </w:r>
      <w:r>
        <w:tab/>
        <w:t xml:space="preserve">the party is satisfied — </w:t>
      </w:r>
    </w:p>
    <w:p>
      <w:pPr>
        <w:pStyle w:val="Indenti"/>
      </w:pPr>
      <w:r>
        <w:tab/>
        <w:t>(i)</w:t>
      </w:r>
      <w:r>
        <w:tab/>
        <w:t xml:space="preserve">that all of the interlocutory steps in relation to the cause, matter or issue are complete; and </w:t>
      </w:r>
    </w:p>
    <w:p>
      <w:pPr>
        <w:pStyle w:val="Indenti"/>
      </w:pPr>
      <w:r>
        <w:tab/>
        <w:t>(ii)</w:t>
      </w:r>
      <w:r>
        <w:tab/>
        <w:t>that the cause, matter or issue is ready for entry;</w:t>
      </w:r>
    </w:p>
    <w:p>
      <w:pPr>
        <w:pStyle w:val="Indenta"/>
      </w:pPr>
      <w:r>
        <w:tab/>
      </w:r>
      <w:r>
        <w:tab/>
        <w:t>or</w:t>
      </w:r>
    </w:p>
    <w:p>
      <w:pPr>
        <w:pStyle w:val="Indenta"/>
      </w:pPr>
      <w:r>
        <w:tab/>
        <w:t>(b)</w:t>
      </w:r>
      <w:r>
        <w:tab/>
        <w:t>the party is directed by the Court to do so.</w:t>
      </w:r>
    </w:p>
    <w:p>
      <w:pPr>
        <w:pStyle w:val="Footnotesection"/>
      </w:pPr>
      <w:r>
        <w:tab/>
        <w:t>[Rule 1 inserted: Gazette 16 Aug 2017 p. 4411.]</w:t>
      </w:r>
    </w:p>
    <w:p>
      <w:pPr>
        <w:pStyle w:val="Heading5"/>
        <w:rPr>
          <w:snapToGrid w:val="0"/>
        </w:rPr>
      </w:pPr>
      <w:bookmarkStart w:id="476" w:name="_Toc129077708"/>
      <w:r>
        <w:rPr>
          <w:rStyle w:val="CharSectno"/>
        </w:rPr>
        <w:t>2</w:t>
      </w:r>
      <w:r>
        <w:rPr>
          <w:snapToGrid w:val="0"/>
        </w:rPr>
        <w:t>.</w:t>
      </w:r>
      <w:r>
        <w:rPr>
          <w:snapToGrid w:val="0"/>
        </w:rPr>
        <w:tab/>
        <w:t>Consequences of failing to enter for trial as directed</w:t>
      </w:r>
      <w:bookmarkEnd w:id="476"/>
    </w:p>
    <w:p>
      <w:pPr>
        <w:pStyle w:val="Subsection"/>
      </w:pPr>
      <w:r>
        <w:tab/>
        <w:t>(1)</w:t>
      </w:r>
      <w:r>
        <w:tab/>
        <w:t xml:space="preserve">In this rule — </w:t>
      </w:r>
    </w:p>
    <w:p>
      <w:pPr>
        <w:pStyle w:val="Defstart"/>
      </w:pPr>
      <w:r>
        <w:tab/>
      </w:r>
      <w:r>
        <w:rPr>
          <w:rStyle w:val="CharDefText"/>
        </w:rPr>
        <w:t>entry period</w:t>
      </w:r>
      <w:r>
        <w:t xml:space="preserve">, in relation to a direction under rule 1(b), means the period starting on the day the direction is given and ending — </w:t>
      </w:r>
    </w:p>
    <w:p>
      <w:pPr>
        <w:pStyle w:val="Defpara"/>
      </w:pPr>
      <w:r>
        <w:tab/>
        <w:t>(a)</w:t>
      </w:r>
      <w:r>
        <w:tab/>
        <w:t xml:space="preserve">at the time specified in the direction as the time by which the cause, matter or issue must be entered for trial; or </w:t>
      </w:r>
    </w:p>
    <w:p>
      <w:pPr>
        <w:pStyle w:val="Defpara"/>
      </w:pPr>
      <w:r>
        <w:tab/>
        <w:t>(b)</w:t>
      </w:r>
      <w:r>
        <w:tab/>
        <w:t>if a time by which the cause, matter or issue must be entered is not specified in the direction, 4 weeks after the day on which the direction is given.</w:t>
      </w:r>
    </w:p>
    <w:p>
      <w:pPr>
        <w:pStyle w:val="Subsection"/>
      </w:pPr>
      <w:r>
        <w:tab/>
        <w:t>(1A)</w:t>
      </w:r>
      <w:r>
        <w:tab/>
        <w:t>A party may enter a cause, matter or issue for trial if another party has been directed under rule 1(b) to enter the cause, matter or issue for trial and has not done so before the end of the entry period.</w:t>
      </w:r>
    </w:p>
    <w:p>
      <w:pPr>
        <w:pStyle w:val="Subsection"/>
      </w:pPr>
      <w:r>
        <w:tab/>
        <w:t>(1B)</w:t>
      </w:r>
      <w:r>
        <w:tab/>
        <w:t>A party may apply to the Court for an order dismissing, for want of prosecution, a cause or matter in respect of a plaintiff’s claim or an issue raised by a plaintiff against the party, if the plaintiff has been directed under rule 1(b) to enter the cause, matter or issue for trial and has not done so before the end of the entry period.</w:t>
      </w:r>
    </w:p>
    <w:p>
      <w:pPr>
        <w:pStyle w:val="Subsection"/>
        <w:rPr>
          <w:snapToGrid w:val="0"/>
        </w:rPr>
      </w:pPr>
      <w:r>
        <w:rPr>
          <w:snapToGrid w:val="0"/>
        </w:rPr>
        <w:lastRenderedPageBreak/>
        <w:tab/>
        <w:t>(2)</w:t>
      </w:r>
      <w:r>
        <w:rPr>
          <w:snapToGrid w:val="0"/>
        </w:rPr>
        <w:tab/>
        <w:t>On an application</w:t>
      </w:r>
      <w:r>
        <w:t xml:space="preserve"> under subrule (1B)</w:t>
      </w:r>
      <w:r>
        <w:rPr>
          <w:snapToGrid w:val="0"/>
        </w:rPr>
        <w:t xml:space="preserve"> to dismiss the cause or matter for want of prosecution, the Court may make such order as may be just either dismissing the claim or striking out the issue or permitting it to go to trial with or without the imposition of terms.</w:t>
      </w:r>
    </w:p>
    <w:p>
      <w:pPr>
        <w:pStyle w:val="Ednotesubsection"/>
      </w:pPr>
      <w:r>
        <w:tab/>
        <w:t>[(3)</w:t>
      </w:r>
      <w:r>
        <w:tab/>
        <w:t>deleted]</w:t>
      </w:r>
    </w:p>
    <w:p>
      <w:pPr>
        <w:pStyle w:val="Footnotesection"/>
      </w:pPr>
      <w:r>
        <w:tab/>
        <w:t>[Rule 2 amended: Gazette 16 Aug 2017 p. 4412.]</w:t>
      </w:r>
    </w:p>
    <w:p>
      <w:pPr>
        <w:pStyle w:val="Heading5"/>
        <w:rPr>
          <w:snapToGrid w:val="0"/>
        </w:rPr>
      </w:pPr>
      <w:bookmarkStart w:id="477" w:name="_Toc129077709"/>
      <w:r>
        <w:rPr>
          <w:rStyle w:val="CharSectno"/>
        </w:rPr>
        <w:t>3</w:t>
      </w:r>
      <w:r>
        <w:rPr>
          <w:snapToGrid w:val="0"/>
        </w:rPr>
        <w:t>.</w:t>
      </w:r>
      <w:r>
        <w:rPr>
          <w:snapToGrid w:val="0"/>
        </w:rPr>
        <w:tab/>
        <w:t>Notice of entry</w:t>
      </w:r>
      <w:bookmarkEnd w:id="477"/>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Ednotesubsection"/>
      </w:pPr>
      <w:r>
        <w:tab/>
        <w:t>[(2)</w:t>
      </w:r>
      <w:r>
        <w:tab/>
        <w:t>deleted]</w:t>
      </w:r>
    </w:p>
    <w:p>
      <w:pPr>
        <w:pStyle w:val="Footnotesection"/>
      </w:pPr>
      <w:r>
        <w:tab/>
        <w:t>[Rule 3 amended: Gazette 16 Nov 2016 p. 5199.]</w:t>
      </w:r>
    </w:p>
    <w:p>
      <w:pPr>
        <w:pStyle w:val="Heading5"/>
        <w:rPr>
          <w:snapToGrid w:val="0"/>
        </w:rPr>
      </w:pPr>
      <w:bookmarkStart w:id="478" w:name="_Toc129077710"/>
      <w:r>
        <w:rPr>
          <w:rStyle w:val="CharSectno"/>
        </w:rPr>
        <w:t>4</w:t>
      </w:r>
      <w:r>
        <w:rPr>
          <w:snapToGrid w:val="0"/>
        </w:rPr>
        <w:t>.</w:t>
      </w:r>
      <w:r>
        <w:rPr>
          <w:snapToGrid w:val="0"/>
        </w:rPr>
        <w:tab/>
        <w:t>Form of entry for trial</w:t>
      </w:r>
      <w:bookmarkEnd w:id="478"/>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Ednotesection"/>
      </w:pPr>
      <w:r>
        <w:t>[</w:t>
      </w:r>
      <w:r>
        <w:rPr>
          <w:b/>
        </w:rPr>
        <w:t>5-13.</w:t>
      </w:r>
      <w:r>
        <w:tab/>
        <w:t>Deleted: Gazette 16 Aug 2017 p. 4412]</w:t>
      </w:r>
    </w:p>
    <w:p>
      <w:pPr>
        <w:pStyle w:val="Heading5"/>
        <w:rPr>
          <w:snapToGrid w:val="0"/>
        </w:rPr>
      </w:pPr>
      <w:bookmarkStart w:id="479" w:name="_Toc129077711"/>
      <w:r>
        <w:rPr>
          <w:rStyle w:val="CharSectno"/>
        </w:rPr>
        <w:t>14</w:t>
      </w:r>
      <w:r>
        <w:rPr>
          <w:snapToGrid w:val="0"/>
        </w:rPr>
        <w:t>.</w:t>
      </w:r>
      <w:r>
        <w:rPr>
          <w:snapToGrid w:val="0"/>
        </w:rPr>
        <w:tab/>
        <w:t>Papers for judge</w:t>
      </w:r>
      <w:bookmarkEnd w:id="479"/>
    </w:p>
    <w:p>
      <w:pPr>
        <w:pStyle w:val="Subsection"/>
      </w:pPr>
      <w:r>
        <w:tab/>
        <w:t>(1A)</w:t>
      </w:r>
      <w:r>
        <w:tab/>
        <w:t>This rule applies unless otherwise directed by the Court.</w:t>
      </w:r>
    </w:p>
    <w:p>
      <w:pPr>
        <w:pStyle w:val="Subsection"/>
        <w:rPr>
          <w:snapToGrid w:val="0"/>
        </w:rPr>
      </w:pPr>
      <w:r>
        <w:rPr>
          <w:snapToGrid w:val="0"/>
        </w:rPr>
        <w:tab/>
        <w:t>(1)</w:t>
      </w:r>
      <w:r>
        <w:rPr>
          <w:snapToGrid w:val="0"/>
        </w:rPr>
        <w:tab/>
        <w:t xml:space="preserve">The party making an entry for trial shall </w:t>
      </w:r>
      <w:r>
        <w:t>file as a bundle</w:t>
      </w:r>
      <w:r>
        <w:rPr>
          <w:snapToGrid w:val="0"/>
        </w:rPr>
        <w:t xml:space="preserve">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lastRenderedPageBreak/>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 xml:space="preserve">Where the pleadings are amended after entry for trial but before </w:t>
      </w:r>
      <w:r>
        <w:t xml:space="preserve">the trial, </w:t>
      </w:r>
      <w:r>
        <w:rPr>
          <w:snapToGrid w:val="0"/>
        </w:rPr>
        <w:t xml:space="preserve">the party who made the entry shall forthwith after the filing of the amended pleading, or of any further pleading filed in consequence of the first amendment, file </w:t>
      </w:r>
      <w:r>
        <w:t>a further copy</w:t>
      </w:r>
      <w:r>
        <w:rPr>
          <w:snapToGrid w:val="0"/>
        </w:rPr>
        <w:t xml:space="preserve"> of the whole of the pleadings as amended.</w:t>
      </w:r>
    </w:p>
    <w:p>
      <w:pPr>
        <w:pStyle w:val="Subsection"/>
        <w:rPr>
          <w:snapToGrid w:val="0"/>
        </w:rPr>
      </w:pPr>
      <w:r>
        <w:rPr>
          <w:snapToGrid w:val="0"/>
        </w:rPr>
        <w:tab/>
        <w:t>(3)</w:t>
      </w:r>
      <w:r>
        <w:rPr>
          <w:snapToGrid w:val="0"/>
        </w:rPr>
        <w:tab/>
        <w:t xml:space="preserve">Where the pleadings are amended at trial a party </w:t>
      </w:r>
      <w:r>
        <w:t>must</w:t>
      </w:r>
      <w:r>
        <w:rPr>
          <w:snapToGrid w:val="0"/>
        </w:rPr>
        <w:t xml:space="preserve"> file </w:t>
      </w:r>
      <w:r>
        <w:t>a further copy</w:t>
      </w:r>
      <w:r>
        <w:rPr>
          <w:snapToGrid w:val="0"/>
        </w:rPr>
        <w:t xml:space="preserve"> of the whole of the pleadings as amended.</w:t>
      </w:r>
    </w:p>
    <w:p>
      <w:pPr>
        <w:pStyle w:val="Subsection"/>
        <w:rPr>
          <w:snapToGrid w:val="0"/>
        </w:rPr>
      </w:pPr>
      <w:r>
        <w:rPr>
          <w:snapToGrid w:val="0"/>
        </w:rPr>
        <w:tab/>
        <w:t>(4)</w:t>
      </w:r>
      <w:r>
        <w:rPr>
          <w:snapToGrid w:val="0"/>
        </w:rPr>
        <w:tab/>
        <w:t>All copies of pleadings required by this rule to be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Gazette 10 Jan 1975 p. 50; 16 Aug 2017 p. 4413; 27 Feb 2018 p. 561.] </w:t>
      </w:r>
    </w:p>
    <w:p>
      <w:pPr>
        <w:pStyle w:val="Heading2"/>
        <w:rPr>
          <w:b w:val="0"/>
        </w:rPr>
      </w:pPr>
      <w:bookmarkStart w:id="480" w:name="_Toc129073640"/>
      <w:bookmarkStart w:id="481" w:name="_Toc129074923"/>
      <w:bookmarkStart w:id="482" w:name="_Toc129077712"/>
      <w:r>
        <w:rPr>
          <w:rStyle w:val="CharPartNo"/>
        </w:rPr>
        <w:lastRenderedPageBreak/>
        <w:t>Order 34</w:t>
      </w:r>
      <w:r>
        <w:rPr>
          <w:rStyle w:val="CharDivNo"/>
        </w:rPr>
        <w:t> </w:t>
      </w:r>
      <w:r>
        <w:t>—</w:t>
      </w:r>
      <w:r>
        <w:rPr>
          <w:rStyle w:val="CharDivText"/>
        </w:rPr>
        <w:t> </w:t>
      </w:r>
      <w:r>
        <w:rPr>
          <w:rStyle w:val="CharPartText"/>
        </w:rPr>
        <w:t>Proceedings at trial</w:t>
      </w:r>
      <w:bookmarkEnd w:id="480"/>
      <w:bookmarkEnd w:id="481"/>
      <w:bookmarkEnd w:id="482"/>
    </w:p>
    <w:p>
      <w:pPr>
        <w:pStyle w:val="Heading5"/>
      </w:pPr>
      <w:bookmarkStart w:id="483" w:name="_Toc129077713"/>
      <w:r>
        <w:rPr>
          <w:rStyle w:val="CharSectno"/>
        </w:rPr>
        <w:t>1A</w:t>
      </w:r>
      <w:r>
        <w:t>.</w:t>
      </w:r>
      <w:r>
        <w:tab/>
        <w:t>Outlines for trial</w:t>
      </w:r>
      <w:bookmarkEnd w:id="483"/>
    </w:p>
    <w:p>
      <w:pPr>
        <w:pStyle w:val="Subsection"/>
      </w:pPr>
      <w:r>
        <w:tab/>
        <w:t>(1)</w:t>
      </w:r>
      <w:r>
        <w:tab/>
        <w:t>Unless the Court orders otherwise, each party who is directed to provide an outline must file and serve it on each other party —</w:t>
      </w:r>
    </w:p>
    <w:p>
      <w:pPr>
        <w:pStyle w:val="Indenta"/>
      </w:pPr>
      <w:r>
        <w:tab/>
        <w:t>(a)</w:t>
      </w:r>
      <w:r>
        <w:tab/>
        <w:t>if the outline is on paper, at least 4 clear days before the trial; or</w:t>
      </w:r>
    </w:p>
    <w:p>
      <w:pPr>
        <w:pStyle w:val="Indenta"/>
      </w:pPr>
      <w:r>
        <w:tab/>
        <w:t>(b)</w:t>
      </w:r>
      <w:r>
        <w:tab/>
        <w:t>if the outline is in a digital form, at least 2 clear days before the trial.</w:t>
      </w:r>
    </w:p>
    <w:p>
      <w:pPr>
        <w:pStyle w:val="Subsection"/>
      </w:pPr>
      <w:r>
        <w:tab/>
        <w:t>(2)</w:t>
      </w:r>
      <w:r>
        <w:tab/>
        <w:t>A party’s outline must contain —</w:t>
      </w:r>
    </w:p>
    <w:p>
      <w:pPr>
        <w:pStyle w:val="Indenta"/>
      </w:pPr>
      <w:r>
        <w:tab/>
        <w:t>(a)</w:t>
      </w:r>
      <w:r>
        <w:tab/>
        <w:t>a summary of the submissions the party intends to make at the trial; and</w:t>
      </w:r>
    </w:p>
    <w:p>
      <w:pPr>
        <w:pStyle w:val="Indenta"/>
      </w:pPr>
      <w:r>
        <w:tab/>
        <w:t>(b)</w:t>
      </w:r>
      <w:r>
        <w:tab/>
        <w:t>if the party considers it would be useful at the trial, a chronology of relevant events; and</w:t>
      </w:r>
    </w:p>
    <w:p>
      <w:pPr>
        <w:pStyle w:val="Indenta"/>
      </w:pPr>
      <w:r>
        <w:tab/>
        <w:t>(c)</w:t>
      </w:r>
      <w:r>
        <w:tab/>
        <w:t>a list of the cases and legislation referred to in the submissions.</w:t>
      </w:r>
    </w:p>
    <w:p>
      <w:pPr>
        <w:pStyle w:val="Footnotesection"/>
      </w:pPr>
      <w:r>
        <w:tab/>
        <w:t>[Rule 1A inserted: Gazette 16 Aug 2017 p. 4413</w:t>
      </w:r>
      <w:r>
        <w:noBreakHyphen/>
        <w:t>14.]</w:t>
      </w:r>
    </w:p>
    <w:p>
      <w:pPr>
        <w:pStyle w:val="Heading5"/>
        <w:rPr>
          <w:snapToGrid w:val="0"/>
        </w:rPr>
      </w:pPr>
      <w:bookmarkStart w:id="484" w:name="_Toc129077714"/>
      <w:r>
        <w:rPr>
          <w:rStyle w:val="CharSectno"/>
        </w:rPr>
        <w:t>1</w:t>
      </w:r>
      <w:r>
        <w:rPr>
          <w:snapToGrid w:val="0"/>
        </w:rPr>
        <w:t>.</w:t>
      </w:r>
      <w:r>
        <w:rPr>
          <w:snapToGrid w:val="0"/>
        </w:rPr>
        <w:tab/>
        <w:t>Absence of both parties at trial</w:t>
      </w:r>
      <w:bookmarkEnd w:id="484"/>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85" w:name="_Toc129077715"/>
      <w:r>
        <w:rPr>
          <w:rStyle w:val="CharSectno"/>
        </w:rPr>
        <w:t>2</w:t>
      </w:r>
      <w:r>
        <w:rPr>
          <w:snapToGrid w:val="0"/>
        </w:rPr>
        <w:t>.</w:t>
      </w:r>
      <w:r>
        <w:rPr>
          <w:snapToGrid w:val="0"/>
        </w:rPr>
        <w:tab/>
        <w:t>Absence of one party at trial</w:t>
      </w:r>
      <w:bookmarkEnd w:id="485"/>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86" w:name="_Toc129077716"/>
      <w:r>
        <w:rPr>
          <w:rStyle w:val="CharSectno"/>
        </w:rPr>
        <w:t>3</w:t>
      </w:r>
      <w:r>
        <w:rPr>
          <w:snapToGrid w:val="0"/>
        </w:rPr>
        <w:t>.</w:t>
      </w:r>
      <w:r>
        <w:rPr>
          <w:snapToGrid w:val="0"/>
        </w:rPr>
        <w:tab/>
        <w:t>Setting aside judgment given in absence of party</w:t>
      </w:r>
      <w:bookmarkEnd w:id="486"/>
    </w:p>
    <w:p>
      <w:pPr>
        <w:pStyle w:val="Subsection"/>
        <w:rPr>
          <w:snapToGrid w:val="0"/>
        </w:rPr>
      </w:pPr>
      <w:r>
        <w:rPr>
          <w:snapToGrid w:val="0"/>
        </w:rPr>
        <w:tab/>
      </w:r>
      <w:r>
        <w:rPr>
          <w:snapToGrid w:val="0"/>
        </w:rPr>
        <w:tab/>
        <w:t xml:space="preserve">Any judgment, order, or verdict obtained where one party does not appear at the trial may be set aside by the Court upon such </w:t>
      </w:r>
      <w:r>
        <w:rPr>
          <w:snapToGrid w:val="0"/>
        </w:rPr>
        <w:lastRenderedPageBreak/>
        <w:t>terms as the Court thinks just upon application made within 14 days after the trial.</w:t>
      </w:r>
    </w:p>
    <w:p>
      <w:pPr>
        <w:pStyle w:val="Heading5"/>
        <w:rPr>
          <w:snapToGrid w:val="0"/>
        </w:rPr>
      </w:pPr>
      <w:bookmarkStart w:id="487" w:name="_Toc129077717"/>
      <w:r>
        <w:rPr>
          <w:rStyle w:val="CharSectno"/>
        </w:rPr>
        <w:t>4</w:t>
      </w:r>
      <w:r>
        <w:rPr>
          <w:snapToGrid w:val="0"/>
        </w:rPr>
        <w:t>.</w:t>
      </w:r>
      <w:r>
        <w:rPr>
          <w:snapToGrid w:val="0"/>
        </w:rPr>
        <w:tab/>
        <w:t>Adjournment of trial</w:t>
      </w:r>
      <w:bookmarkEnd w:id="487"/>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88" w:name="_Toc129077718"/>
      <w:r>
        <w:rPr>
          <w:rStyle w:val="CharSectno"/>
        </w:rPr>
        <w:t>5</w:t>
      </w:r>
      <w:r>
        <w:rPr>
          <w:snapToGrid w:val="0"/>
        </w:rPr>
        <w:t>.</w:t>
      </w:r>
      <w:r>
        <w:rPr>
          <w:snapToGrid w:val="0"/>
        </w:rPr>
        <w:tab/>
        <w:t>Conduct of trial</w:t>
      </w:r>
      <w:bookmarkEnd w:id="488"/>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 xml:space="preserve">At the conclusion of all the evidence at a trial, the Court may direct the parties to </w:t>
      </w:r>
      <w:r>
        <w:t>file</w:t>
      </w:r>
      <w:r>
        <w:rPr>
          <w:snapToGrid w:val="0"/>
        </w:rPr>
        <w:t xml:space="preserve"> written submissions instead of or as adjuncts to their closing addresses.</w:t>
      </w:r>
    </w:p>
    <w:p>
      <w:pPr>
        <w:pStyle w:val="Footnotesection"/>
      </w:pPr>
      <w:r>
        <w:tab/>
        <w:t>[Rule 5 amended: Gazette 28 Oct 1996 p. 5695; 28 Jun 2011 p. 2552</w:t>
      </w:r>
      <w:r>
        <w:noBreakHyphen/>
        <w:t xml:space="preserve">3; 27 Feb 2018 p. 561.] </w:t>
      </w:r>
    </w:p>
    <w:p>
      <w:pPr>
        <w:pStyle w:val="Heading5"/>
        <w:rPr>
          <w:snapToGrid w:val="0"/>
        </w:rPr>
      </w:pPr>
      <w:bookmarkStart w:id="489" w:name="_Toc129077719"/>
      <w:r>
        <w:rPr>
          <w:rStyle w:val="CharSectno"/>
        </w:rPr>
        <w:lastRenderedPageBreak/>
        <w:t>5A</w:t>
      </w:r>
      <w:r>
        <w:rPr>
          <w:snapToGrid w:val="0"/>
        </w:rPr>
        <w:t>.</w:t>
      </w:r>
      <w:r>
        <w:rPr>
          <w:snapToGrid w:val="0"/>
        </w:rPr>
        <w:tab/>
        <w:t>Time etc. limits at trial</w:t>
      </w:r>
      <w:bookmarkEnd w:id="489"/>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 — </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Gazette 28 Oct 1996 p. 5695</w:t>
      </w:r>
      <w:r>
        <w:noBreakHyphen/>
        <w:t xml:space="preserve">6.] </w:t>
      </w:r>
    </w:p>
    <w:p>
      <w:pPr>
        <w:pStyle w:val="Heading5"/>
        <w:rPr>
          <w:snapToGrid w:val="0"/>
        </w:rPr>
      </w:pPr>
      <w:bookmarkStart w:id="490" w:name="_Toc129077720"/>
      <w:r>
        <w:rPr>
          <w:rStyle w:val="CharSectno"/>
        </w:rPr>
        <w:t>6</w:t>
      </w:r>
      <w:r>
        <w:rPr>
          <w:snapToGrid w:val="0"/>
        </w:rPr>
        <w:t>.</w:t>
      </w:r>
      <w:r>
        <w:rPr>
          <w:snapToGrid w:val="0"/>
        </w:rPr>
        <w:tab/>
        <w:t>Evidence in mitigation of damages for defamation</w:t>
      </w:r>
      <w:bookmarkEnd w:id="490"/>
    </w:p>
    <w:p>
      <w:pPr>
        <w:pStyle w:val="Subsection"/>
        <w:rPr>
          <w:snapToGrid w:val="0"/>
        </w:rPr>
      </w:pPr>
      <w:r>
        <w:rPr>
          <w:snapToGrid w:val="0"/>
        </w:rPr>
        <w:tab/>
      </w:r>
      <w:r>
        <w:rPr>
          <w:snapToGrid w:val="0"/>
        </w:rPr>
        <w:tab/>
        <w:t xml:space="preserve">In actions for </w:t>
      </w:r>
      <w:r>
        <w:t>defamation</w:t>
      </w:r>
      <w:r>
        <w:rPr>
          <w:snapToGrid w:val="0"/>
        </w:rPr>
        <w:t xml:space="preserve"> in which the defendant does not by his defence assert the truth of the statement complained of, the </w:t>
      </w:r>
      <w:r>
        <w:rPr>
          <w:snapToGrid w:val="0"/>
        </w:rPr>
        <w:lastRenderedPageBreak/>
        <w:t xml:space="preserve">defendant shall not be entitled on the trial to give evidence in chief, with a view to mitigation of damages, as to the circumstances under which the </w:t>
      </w:r>
      <w:r>
        <w:t>defamation</w:t>
      </w:r>
      <w:r>
        <w:rPr>
          <w:snapToGrid w:val="0"/>
        </w:rPr>
        <w:t xml:space="preserve"> was published, or as to the character of the plaintiff, without the leave of the judge, unless 7 days at least before the trial he </w:t>
      </w:r>
      <w:r>
        <w:t>files and serves on the plaintiff particulars</w:t>
      </w:r>
      <w:r>
        <w:rPr>
          <w:snapToGrid w:val="0"/>
        </w:rPr>
        <w:t xml:space="preserve"> of the matters as to which he intends to give evidence.</w:t>
      </w:r>
    </w:p>
    <w:p>
      <w:pPr>
        <w:pStyle w:val="Footnotesection"/>
      </w:pPr>
      <w:r>
        <w:tab/>
        <w:t>[Rule 6 amended: Gazette 16 Aug 2017 p. 4414; 27 Feb 2018 p. 562.]</w:t>
      </w:r>
    </w:p>
    <w:p>
      <w:pPr>
        <w:pStyle w:val="Heading5"/>
        <w:rPr>
          <w:snapToGrid w:val="0"/>
        </w:rPr>
      </w:pPr>
      <w:bookmarkStart w:id="491" w:name="_Toc129077721"/>
      <w:r>
        <w:rPr>
          <w:rStyle w:val="CharSectno"/>
        </w:rPr>
        <w:t>7</w:t>
      </w:r>
      <w:r>
        <w:rPr>
          <w:snapToGrid w:val="0"/>
        </w:rPr>
        <w:t>.</w:t>
      </w:r>
      <w:r>
        <w:rPr>
          <w:snapToGrid w:val="0"/>
        </w:rPr>
        <w:tab/>
        <w:t>Inspection by judge or jury</w:t>
      </w:r>
      <w:bookmarkEnd w:id="491"/>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Gazette 28 Jun 2011 p. 2552.]</w:t>
      </w:r>
    </w:p>
    <w:p>
      <w:pPr>
        <w:pStyle w:val="Heading5"/>
        <w:rPr>
          <w:snapToGrid w:val="0"/>
        </w:rPr>
      </w:pPr>
      <w:bookmarkStart w:id="492" w:name="_Toc129077722"/>
      <w:r>
        <w:rPr>
          <w:rStyle w:val="CharSectno"/>
        </w:rPr>
        <w:t>8</w:t>
      </w:r>
      <w:r>
        <w:rPr>
          <w:snapToGrid w:val="0"/>
        </w:rPr>
        <w:t>.</w:t>
      </w:r>
      <w:r>
        <w:rPr>
          <w:snapToGrid w:val="0"/>
        </w:rPr>
        <w:tab/>
        <w:t>Judgment at or after trial</w:t>
      </w:r>
      <w:bookmarkEnd w:id="492"/>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493" w:name="_Toc129077723"/>
      <w:r>
        <w:rPr>
          <w:rStyle w:val="CharSectno"/>
        </w:rPr>
        <w:t>9</w:t>
      </w:r>
      <w:r>
        <w:rPr>
          <w:snapToGrid w:val="0"/>
        </w:rPr>
        <w:t>.</w:t>
      </w:r>
      <w:r>
        <w:rPr>
          <w:snapToGrid w:val="0"/>
        </w:rPr>
        <w:tab/>
        <w:t>Record of proceedings</w:t>
      </w:r>
      <w:bookmarkEnd w:id="493"/>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494" w:name="_Toc129077724"/>
      <w:r>
        <w:rPr>
          <w:rStyle w:val="CharSectno"/>
        </w:rPr>
        <w:lastRenderedPageBreak/>
        <w:t>10</w:t>
      </w:r>
      <w:r>
        <w:rPr>
          <w:snapToGrid w:val="0"/>
        </w:rPr>
        <w:t>.</w:t>
      </w:r>
      <w:r>
        <w:rPr>
          <w:snapToGrid w:val="0"/>
        </w:rPr>
        <w:tab/>
        <w:t>Where time occupied by trial excessive</w:t>
      </w:r>
      <w:bookmarkEnd w:id="494"/>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Gazette 28 Jun 2011 p. 2552.]</w:t>
      </w:r>
    </w:p>
    <w:p>
      <w:pPr>
        <w:pStyle w:val="Heading5"/>
        <w:rPr>
          <w:snapToGrid w:val="0"/>
        </w:rPr>
      </w:pPr>
      <w:bookmarkStart w:id="495" w:name="_Toc129077725"/>
      <w:r>
        <w:rPr>
          <w:rStyle w:val="CharSectno"/>
        </w:rPr>
        <w:t>11</w:t>
      </w:r>
      <w:r>
        <w:rPr>
          <w:snapToGrid w:val="0"/>
        </w:rPr>
        <w:t>.</w:t>
      </w:r>
      <w:r>
        <w:rPr>
          <w:snapToGrid w:val="0"/>
        </w:rPr>
        <w:tab/>
        <w:t>Entry of findings of fact on trial</w:t>
      </w:r>
      <w:bookmarkEnd w:id="495"/>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496" w:name="_Toc129077726"/>
      <w:r>
        <w:rPr>
          <w:rStyle w:val="CharSectno"/>
        </w:rPr>
        <w:t>12</w:t>
      </w:r>
      <w:r>
        <w:rPr>
          <w:snapToGrid w:val="0"/>
        </w:rPr>
        <w:t>.</w:t>
      </w:r>
      <w:r>
        <w:rPr>
          <w:snapToGrid w:val="0"/>
        </w:rPr>
        <w:tab/>
        <w:t>Certificate for entry of judgment</w:t>
      </w:r>
      <w:bookmarkEnd w:id="496"/>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Gazette 13 Oct 1978 p. 3698; 30 Nov 1984 p. 3952.] </w:t>
      </w:r>
    </w:p>
    <w:p>
      <w:pPr>
        <w:pStyle w:val="Heading5"/>
        <w:rPr>
          <w:snapToGrid w:val="0"/>
        </w:rPr>
      </w:pPr>
      <w:bookmarkStart w:id="497" w:name="_Toc129077727"/>
      <w:r>
        <w:rPr>
          <w:rStyle w:val="CharSectno"/>
        </w:rPr>
        <w:t>13</w:t>
      </w:r>
      <w:r>
        <w:rPr>
          <w:snapToGrid w:val="0"/>
        </w:rPr>
        <w:t>.</w:t>
      </w:r>
      <w:r>
        <w:rPr>
          <w:snapToGrid w:val="0"/>
        </w:rPr>
        <w:tab/>
        <w:t>Exhibits</w:t>
      </w:r>
      <w:bookmarkEnd w:id="497"/>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lastRenderedPageBreak/>
        <w:tab/>
        <w:t>(2)</w:t>
      </w:r>
      <w:r>
        <w:rPr>
          <w:snapToGrid w:val="0"/>
        </w:rPr>
        <w:tab/>
        <w:t>A bundle of documents put in evidence may be treated and marked as one exhibit.</w:t>
      </w:r>
    </w:p>
    <w:p>
      <w:pPr>
        <w:pStyle w:val="Footnotesection"/>
      </w:pPr>
      <w:r>
        <w:tab/>
        <w:t xml:space="preserve">[Rule 13 amended: Gazette 13 Oct 1978 p. 3698.] </w:t>
      </w:r>
    </w:p>
    <w:p>
      <w:pPr>
        <w:pStyle w:val="Heading5"/>
      </w:pPr>
      <w:bookmarkStart w:id="498" w:name="_Toc129077728"/>
      <w:r>
        <w:rPr>
          <w:rStyle w:val="CharSectno"/>
        </w:rPr>
        <w:t>14</w:t>
      </w:r>
      <w:r>
        <w:t>.</w:t>
      </w:r>
      <w:r>
        <w:tab/>
        <w:t>Return of exhibits</w:t>
      </w:r>
      <w:bookmarkEnd w:id="498"/>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w:t>
      </w:r>
      <w:r>
        <w:lastRenderedPageBreak/>
        <w:t>being given it, to file a written undertaking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Gazette 21 Feb 2007 p. 539; amended: Gazette 27 Feb 2018 p. 562.]</w:t>
      </w:r>
    </w:p>
    <w:p>
      <w:pPr>
        <w:pStyle w:val="Ednotesection"/>
      </w:pPr>
      <w:r>
        <w:t>[</w:t>
      </w:r>
      <w:r>
        <w:rPr>
          <w:b/>
        </w:rPr>
        <w:t>15.</w:t>
      </w:r>
      <w:r>
        <w:tab/>
        <w:t>Deleted: Gazette 21 Feb 2007 p. 539.]</w:t>
      </w:r>
    </w:p>
    <w:p>
      <w:pPr>
        <w:pStyle w:val="Heading5"/>
        <w:rPr>
          <w:snapToGrid w:val="0"/>
        </w:rPr>
      </w:pPr>
      <w:bookmarkStart w:id="499" w:name="_Toc129077729"/>
      <w:r>
        <w:rPr>
          <w:rStyle w:val="CharSectno"/>
        </w:rPr>
        <w:t>15A</w:t>
      </w:r>
      <w:r>
        <w:rPr>
          <w:snapToGrid w:val="0"/>
        </w:rPr>
        <w:t>.</w:t>
      </w:r>
      <w:r>
        <w:rPr>
          <w:snapToGrid w:val="0"/>
        </w:rPr>
        <w:tab/>
        <w:t>Return of document etc. to non-party who produced it under subpoena</w:t>
      </w:r>
      <w:bookmarkEnd w:id="499"/>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Gazette 1 Mar 1994 p. 785.] </w:t>
      </w:r>
    </w:p>
    <w:p>
      <w:pPr>
        <w:pStyle w:val="Ednotesection"/>
      </w:pPr>
      <w:r>
        <w:t>[</w:t>
      </w:r>
      <w:r>
        <w:rPr>
          <w:b/>
        </w:rPr>
        <w:t>15B.</w:t>
      </w:r>
      <w:r>
        <w:tab/>
        <w:t>Deleted: Gazette 21 Feb 2007 p. 539.]</w:t>
      </w:r>
    </w:p>
    <w:p>
      <w:pPr>
        <w:pStyle w:val="Heading5"/>
        <w:rPr>
          <w:snapToGrid w:val="0"/>
        </w:rPr>
      </w:pPr>
      <w:bookmarkStart w:id="500" w:name="_Toc129077730"/>
      <w:r>
        <w:rPr>
          <w:rStyle w:val="CharSectno"/>
        </w:rPr>
        <w:t>16</w:t>
      </w:r>
      <w:r>
        <w:rPr>
          <w:snapToGrid w:val="0"/>
        </w:rPr>
        <w:t>.</w:t>
      </w:r>
      <w:r>
        <w:rPr>
          <w:snapToGrid w:val="0"/>
        </w:rPr>
        <w:tab/>
        <w:t>Death of party before judgment is given</w:t>
      </w:r>
      <w:bookmarkEnd w:id="500"/>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Gazette 28 Jun 2011 p. 2552.]</w:t>
      </w:r>
    </w:p>
    <w:p>
      <w:pPr>
        <w:pStyle w:val="Heading5"/>
        <w:rPr>
          <w:snapToGrid w:val="0"/>
        </w:rPr>
      </w:pPr>
      <w:bookmarkStart w:id="501" w:name="_Toc129077731"/>
      <w:r>
        <w:rPr>
          <w:rStyle w:val="CharSectno"/>
        </w:rPr>
        <w:lastRenderedPageBreak/>
        <w:t>17</w:t>
      </w:r>
      <w:r>
        <w:rPr>
          <w:snapToGrid w:val="0"/>
        </w:rPr>
        <w:t>.</w:t>
      </w:r>
      <w:r>
        <w:rPr>
          <w:snapToGrid w:val="0"/>
        </w:rPr>
        <w:tab/>
        <w:t>Impounded documents</w:t>
      </w:r>
      <w:bookmarkEnd w:id="501"/>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Gazette 29 Apr 2005 p. 1795.]</w:t>
      </w:r>
    </w:p>
    <w:p>
      <w:pPr>
        <w:pStyle w:val="Heading5"/>
        <w:rPr>
          <w:snapToGrid w:val="0"/>
        </w:rPr>
      </w:pPr>
      <w:bookmarkStart w:id="502" w:name="_Toc129077732"/>
      <w:r>
        <w:rPr>
          <w:rStyle w:val="CharSectno"/>
        </w:rPr>
        <w:t>18</w:t>
      </w:r>
      <w:r>
        <w:rPr>
          <w:snapToGrid w:val="0"/>
        </w:rPr>
        <w:t>.</w:t>
      </w:r>
      <w:r>
        <w:rPr>
          <w:snapToGrid w:val="0"/>
        </w:rPr>
        <w:tab/>
        <w:t>Assessment of damages by master</w:t>
      </w:r>
      <w:bookmarkEnd w:id="502"/>
    </w:p>
    <w:p>
      <w:pPr>
        <w:pStyle w:val="Subsection"/>
        <w:rPr>
          <w:snapToGrid w:val="0"/>
        </w:rPr>
      </w:pPr>
      <w:r>
        <w:rPr>
          <w:snapToGrid w:val="0"/>
        </w:rPr>
        <w:tab/>
        <w:t>(1)</w:t>
      </w:r>
      <w:r>
        <w:rPr>
          <w:snapToGrid w:val="0"/>
        </w:rPr>
        <w:tab/>
        <w:t>This rule applies where the Court orders that the amount of damages for which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Ednotesubsection"/>
      </w:pPr>
      <w:r>
        <w:tab/>
        <w:t>[(6)</w:t>
      </w:r>
      <w:r>
        <w:tab/>
        <w:t>deleted]</w:t>
      </w:r>
    </w:p>
    <w:p>
      <w:pPr>
        <w:pStyle w:val="Footnotesection"/>
      </w:pPr>
      <w:r>
        <w:tab/>
        <w:t xml:space="preserve">[Rule 18 amended: Gazette 9 Nov 1973 p. 4162; 30 Nov 1984 p. 3951; 16 Nov 2016 p. 5199.] </w:t>
      </w:r>
    </w:p>
    <w:p>
      <w:pPr>
        <w:pStyle w:val="Heading5"/>
        <w:rPr>
          <w:snapToGrid w:val="0"/>
        </w:rPr>
      </w:pPr>
      <w:bookmarkStart w:id="503" w:name="_Toc129077733"/>
      <w:r>
        <w:rPr>
          <w:rStyle w:val="CharSectno"/>
        </w:rPr>
        <w:t>19</w:t>
      </w:r>
      <w:r>
        <w:rPr>
          <w:snapToGrid w:val="0"/>
        </w:rPr>
        <w:t>.</w:t>
      </w:r>
      <w:r>
        <w:rPr>
          <w:snapToGrid w:val="0"/>
        </w:rPr>
        <w:tab/>
        <w:t>Damages to time of assessment</w:t>
      </w:r>
      <w:bookmarkEnd w:id="503"/>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lastRenderedPageBreak/>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Gazette 28 Jun 2011 p. 2552.]</w:t>
      </w:r>
    </w:p>
    <w:p>
      <w:pPr>
        <w:pStyle w:val="Heading5"/>
        <w:rPr>
          <w:snapToGrid w:val="0"/>
        </w:rPr>
      </w:pPr>
      <w:bookmarkStart w:id="504" w:name="_Toc129077734"/>
      <w:r>
        <w:rPr>
          <w:rStyle w:val="CharSectno"/>
        </w:rPr>
        <w:t>20</w:t>
      </w:r>
      <w:r>
        <w:rPr>
          <w:snapToGrid w:val="0"/>
        </w:rPr>
        <w:t>.</w:t>
      </w:r>
      <w:r>
        <w:rPr>
          <w:snapToGrid w:val="0"/>
        </w:rPr>
        <w:tab/>
        <w:t>Writ of inquiry not to be used</w:t>
      </w:r>
      <w:bookmarkEnd w:id="504"/>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05" w:name="_Toc129073663"/>
      <w:bookmarkStart w:id="506" w:name="_Toc129074946"/>
      <w:bookmarkStart w:id="507" w:name="_Toc129077735"/>
      <w:r>
        <w:rPr>
          <w:rStyle w:val="CharPartNo"/>
        </w:rPr>
        <w:lastRenderedPageBreak/>
        <w:t>Order 35</w:t>
      </w:r>
      <w:r>
        <w:rPr>
          <w:rStyle w:val="CharDivNo"/>
        </w:rPr>
        <w:t> </w:t>
      </w:r>
      <w:r>
        <w:t>—</w:t>
      </w:r>
      <w:r>
        <w:rPr>
          <w:rStyle w:val="CharDivText"/>
        </w:rPr>
        <w:t> </w:t>
      </w:r>
      <w:r>
        <w:rPr>
          <w:rStyle w:val="CharPartText"/>
        </w:rPr>
        <w:t>Assessors and referees</w:t>
      </w:r>
      <w:bookmarkEnd w:id="505"/>
      <w:bookmarkEnd w:id="506"/>
      <w:bookmarkEnd w:id="507"/>
    </w:p>
    <w:p>
      <w:pPr>
        <w:pStyle w:val="Heading5"/>
        <w:rPr>
          <w:snapToGrid w:val="0"/>
        </w:rPr>
      </w:pPr>
      <w:bookmarkStart w:id="508" w:name="_Toc129077736"/>
      <w:r>
        <w:rPr>
          <w:rStyle w:val="CharSectno"/>
        </w:rPr>
        <w:t>1</w:t>
      </w:r>
      <w:r>
        <w:rPr>
          <w:snapToGrid w:val="0"/>
        </w:rPr>
        <w:t>.</w:t>
      </w:r>
      <w:r>
        <w:rPr>
          <w:snapToGrid w:val="0"/>
        </w:rPr>
        <w:tab/>
        <w:t>Trial with assessors</w:t>
      </w:r>
      <w:bookmarkEnd w:id="508"/>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09" w:name="_Toc129077737"/>
      <w:r>
        <w:rPr>
          <w:rStyle w:val="CharSectno"/>
        </w:rPr>
        <w:t>2</w:t>
      </w:r>
      <w:r>
        <w:rPr>
          <w:snapToGrid w:val="0"/>
        </w:rPr>
        <w:t>.</w:t>
      </w:r>
      <w:r>
        <w:rPr>
          <w:snapToGrid w:val="0"/>
        </w:rPr>
        <w:tab/>
        <w:t>Trial before referee</w:t>
      </w:r>
      <w:bookmarkEnd w:id="509"/>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10" w:name="_Toc129077738"/>
      <w:r>
        <w:rPr>
          <w:rStyle w:val="CharSectno"/>
        </w:rPr>
        <w:t>3</w:t>
      </w:r>
      <w:r>
        <w:rPr>
          <w:snapToGrid w:val="0"/>
        </w:rPr>
        <w:t>.</w:t>
      </w:r>
      <w:r>
        <w:rPr>
          <w:snapToGrid w:val="0"/>
        </w:rPr>
        <w:tab/>
        <w:t>Evidence before referee</w:t>
      </w:r>
      <w:bookmarkEnd w:id="510"/>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11" w:name="_Toc129077739"/>
      <w:r>
        <w:rPr>
          <w:rStyle w:val="CharSectno"/>
        </w:rPr>
        <w:t>4</w:t>
      </w:r>
      <w:r>
        <w:rPr>
          <w:snapToGrid w:val="0"/>
        </w:rPr>
        <w:t>.</w:t>
      </w:r>
      <w:r>
        <w:rPr>
          <w:snapToGrid w:val="0"/>
        </w:rPr>
        <w:tab/>
        <w:t>Authority of referee</w:t>
      </w:r>
      <w:bookmarkEnd w:id="511"/>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12" w:name="_Toc129077740"/>
      <w:r>
        <w:rPr>
          <w:rStyle w:val="CharSectno"/>
        </w:rPr>
        <w:t>5</w:t>
      </w:r>
      <w:r>
        <w:rPr>
          <w:snapToGrid w:val="0"/>
        </w:rPr>
        <w:t>.</w:t>
      </w:r>
      <w:r>
        <w:rPr>
          <w:snapToGrid w:val="0"/>
        </w:rPr>
        <w:tab/>
        <w:t>Referee cannot order imprisonment</w:t>
      </w:r>
      <w:bookmarkEnd w:id="512"/>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13" w:name="_Toc129077741"/>
      <w:r>
        <w:rPr>
          <w:rStyle w:val="CharSectno"/>
        </w:rPr>
        <w:lastRenderedPageBreak/>
        <w:t>6</w:t>
      </w:r>
      <w:r>
        <w:rPr>
          <w:snapToGrid w:val="0"/>
        </w:rPr>
        <w:t>.</w:t>
      </w:r>
      <w:r>
        <w:rPr>
          <w:snapToGrid w:val="0"/>
        </w:rPr>
        <w:tab/>
        <w:t>Referee may submit question to Court</w:t>
      </w:r>
      <w:bookmarkEnd w:id="513"/>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14" w:name="_Toc129077742"/>
      <w:r>
        <w:rPr>
          <w:rStyle w:val="CharSectno"/>
        </w:rPr>
        <w:t>7</w:t>
      </w:r>
      <w:r>
        <w:rPr>
          <w:snapToGrid w:val="0"/>
        </w:rPr>
        <w:t>.</w:t>
      </w:r>
      <w:r>
        <w:rPr>
          <w:snapToGrid w:val="0"/>
        </w:rPr>
        <w:tab/>
        <w:t>Notice of referee’s report</w:t>
      </w:r>
      <w:bookmarkEnd w:id="514"/>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15" w:name="_Toc129077743"/>
      <w:r>
        <w:rPr>
          <w:rStyle w:val="CharSectno"/>
        </w:rPr>
        <w:t>8</w:t>
      </w:r>
      <w:r>
        <w:rPr>
          <w:snapToGrid w:val="0"/>
        </w:rPr>
        <w:t>.</w:t>
      </w:r>
      <w:r>
        <w:rPr>
          <w:snapToGrid w:val="0"/>
        </w:rPr>
        <w:tab/>
        <w:t>Adoption etc. of referee’s report in adjourned case</w:t>
      </w:r>
      <w:bookmarkEnd w:id="515"/>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16" w:name="_Toc129077744"/>
      <w:r>
        <w:rPr>
          <w:rStyle w:val="CharSectno"/>
        </w:rPr>
        <w:t>9</w:t>
      </w:r>
      <w:r>
        <w:rPr>
          <w:snapToGrid w:val="0"/>
        </w:rPr>
        <w:t>.</w:t>
      </w:r>
      <w:r>
        <w:rPr>
          <w:snapToGrid w:val="0"/>
        </w:rPr>
        <w:tab/>
        <w:t>Adoption etc. of referee’s report where case not adjourned</w:t>
      </w:r>
      <w:bookmarkEnd w:id="516"/>
    </w:p>
    <w:p>
      <w:pPr>
        <w:pStyle w:val="Subsection"/>
        <w:rPr>
          <w:snapToGrid w:val="0"/>
        </w:rPr>
      </w:pPr>
      <w:r>
        <w:rPr>
          <w:snapToGrid w:val="0"/>
        </w:rPr>
        <w:tab/>
      </w:r>
      <w:r>
        <w:rPr>
          <w:snapToGrid w:val="0"/>
        </w:rPr>
        <w:tab/>
        <w:t xml:space="preserve">Where the report of the referee has been made in a cause or matter, the further consideration of which has not been adjourned, any party may, by an 8 days’ notice of motion, apply to the Court to adopt and carry into effect the report of the </w:t>
      </w:r>
      <w:r>
        <w:rPr>
          <w:snapToGrid w:val="0"/>
        </w:rPr>
        <w:lastRenderedPageBreak/>
        <w:t>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17" w:name="_Toc129077745"/>
      <w:r>
        <w:rPr>
          <w:rStyle w:val="CharSectno"/>
        </w:rPr>
        <w:t>10</w:t>
      </w:r>
      <w:r>
        <w:rPr>
          <w:snapToGrid w:val="0"/>
        </w:rPr>
        <w:t>.</w:t>
      </w:r>
      <w:r>
        <w:rPr>
          <w:snapToGrid w:val="0"/>
        </w:rPr>
        <w:tab/>
        <w:t>Costs</w:t>
      </w:r>
      <w:bookmarkEnd w:id="517"/>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18" w:name="_Toc129077746"/>
      <w:r>
        <w:rPr>
          <w:rStyle w:val="CharSectno"/>
        </w:rPr>
        <w:t>11</w:t>
      </w:r>
      <w:r>
        <w:rPr>
          <w:snapToGrid w:val="0"/>
        </w:rPr>
        <w:t>.</w:t>
      </w:r>
      <w:r>
        <w:rPr>
          <w:snapToGrid w:val="0"/>
        </w:rPr>
        <w:tab/>
        <w:t>Application of this Order to other references</w:t>
      </w:r>
      <w:bookmarkEnd w:id="518"/>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Gazette 2 Jul 1982 p. 2316; amended: Gazette 30 Nov 1984 p. 3951.] </w:t>
      </w:r>
    </w:p>
    <w:p>
      <w:pPr>
        <w:pStyle w:val="Heading2"/>
        <w:rPr>
          <w:b w:val="0"/>
        </w:rPr>
      </w:pPr>
      <w:bookmarkStart w:id="519" w:name="_Toc129073675"/>
      <w:bookmarkStart w:id="520" w:name="_Toc129074958"/>
      <w:bookmarkStart w:id="521" w:name="_Toc129077747"/>
      <w:r>
        <w:rPr>
          <w:rStyle w:val="CharPartNo"/>
        </w:rPr>
        <w:lastRenderedPageBreak/>
        <w:t>Order 36</w:t>
      </w:r>
      <w:r>
        <w:rPr>
          <w:rStyle w:val="CharDivNo"/>
        </w:rPr>
        <w:t> </w:t>
      </w:r>
      <w:r>
        <w:t>—</w:t>
      </w:r>
      <w:r>
        <w:rPr>
          <w:rStyle w:val="CharDivText"/>
        </w:rPr>
        <w:t> </w:t>
      </w:r>
      <w:r>
        <w:rPr>
          <w:rStyle w:val="CharPartText"/>
        </w:rPr>
        <w:t>Evidence: general</w:t>
      </w:r>
      <w:bookmarkEnd w:id="519"/>
      <w:bookmarkEnd w:id="520"/>
      <w:bookmarkEnd w:id="521"/>
    </w:p>
    <w:p>
      <w:pPr>
        <w:pStyle w:val="Heading5"/>
        <w:rPr>
          <w:snapToGrid w:val="0"/>
        </w:rPr>
      </w:pPr>
      <w:bookmarkStart w:id="522" w:name="_Toc129077748"/>
      <w:r>
        <w:rPr>
          <w:rStyle w:val="CharSectno"/>
        </w:rPr>
        <w:t>1</w:t>
      </w:r>
      <w:r>
        <w:rPr>
          <w:snapToGrid w:val="0"/>
        </w:rPr>
        <w:t>.</w:t>
      </w:r>
      <w:r>
        <w:rPr>
          <w:snapToGrid w:val="0"/>
        </w:rPr>
        <w:tab/>
        <w:t>Facts to be proved usually by oral evidence in open court</w:t>
      </w:r>
      <w:bookmarkEnd w:id="522"/>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23" w:name="_Toc129077749"/>
      <w:r>
        <w:rPr>
          <w:rStyle w:val="CharSectno"/>
        </w:rPr>
        <w:t>2</w:t>
      </w:r>
      <w:r>
        <w:rPr>
          <w:snapToGrid w:val="0"/>
        </w:rPr>
        <w:t>.</w:t>
      </w:r>
      <w:r>
        <w:rPr>
          <w:snapToGrid w:val="0"/>
        </w:rPr>
        <w:tab/>
        <w:t>Evidence by affidavit</w:t>
      </w:r>
      <w:bookmarkEnd w:id="523"/>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Gazette 28 Jun 2011 p. 2552.]</w:t>
      </w:r>
    </w:p>
    <w:p>
      <w:pPr>
        <w:pStyle w:val="Heading5"/>
        <w:rPr>
          <w:snapToGrid w:val="0"/>
        </w:rPr>
      </w:pPr>
      <w:bookmarkStart w:id="524" w:name="_Toc129077750"/>
      <w:r>
        <w:rPr>
          <w:rStyle w:val="CharSectno"/>
        </w:rPr>
        <w:t>3</w:t>
      </w:r>
      <w:r>
        <w:rPr>
          <w:snapToGrid w:val="0"/>
        </w:rPr>
        <w:t>.</w:t>
      </w:r>
      <w:r>
        <w:rPr>
          <w:snapToGrid w:val="0"/>
        </w:rPr>
        <w:tab/>
        <w:t>Evidence of children etc. (</w:t>
      </w:r>
      <w:r>
        <w:rPr>
          <w:i/>
          <w:snapToGrid w:val="0"/>
        </w:rPr>
        <w:t>Evidence Act 1906</w:t>
      </w:r>
      <w:r>
        <w:rPr>
          <w:snapToGrid w:val="0"/>
        </w:rPr>
        <w:t xml:space="preserve"> s. 106S)</w:t>
      </w:r>
      <w:bookmarkEnd w:id="524"/>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w:t>
      </w:r>
      <w:r>
        <w:rPr>
          <w:snapToGrid w:val="0"/>
        </w:rPr>
        <w:lastRenderedPageBreak/>
        <w:t>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Gazette 30 Oct 1992 p. 5310</w:t>
      </w:r>
      <w:r>
        <w:noBreakHyphen/>
        <w:t xml:space="preserve">11.] </w:t>
      </w:r>
    </w:p>
    <w:p>
      <w:pPr>
        <w:pStyle w:val="Heading5"/>
        <w:rPr>
          <w:snapToGrid w:val="0"/>
        </w:rPr>
      </w:pPr>
      <w:bookmarkStart w:id="525" w:name="_Toc129077751"/>
      <w:r>
        <w:rPr>
          <w:rStyle w:val="CharSectno"/>
        </w:rPr>
        <w:t>4</w:t>
      </w:r>
      <w:r>
        <w:rPr>
          <w:snapToGrid w:val="0"/>
        </w:rPr>
        <w:t>.</w:t>
      </w:r>
      <w:r>
        <w:rPr>
          <w:snapToGrid w:val="0"/>
        </w:rPr>
        <w:tab/>
        <w:t>Reception of plans etc. in evidence</w:t>
      </w:r>
      <w:bookmarkEnd w:id="525"/>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26" w:name="_Toc129077752"/>
      <w:r>
        <w:rPr>
          <w:rStyle w:val="CharSectno"/>
        </w:rPr>
        <w:t>5</w:t>
      </w:r>
      <w:r>
        <w:rPr>
          <w:snapToGrid w:val="0"/>
        </w:rPr>
        <w:t>.</w:t>
      </w:r>
      <w:r>
        <w:rPr>
          <w:snapToGrid w:val="0"/>
        </w:rPr>
        <w:tab/>
        <w:t>Orders under r. 2 or 4 may be revoked or varied</w:t>
      </w:r>
      <w:bookmarkEnd w:id="526"/>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Gazette 13 Oct 1978 p. 3698.] </w:t>
      </w:r>
    </w:p>
    <w:p>
      <w:pPr>
        <w:pStyle w:val="Heading5"/>
        <w:rPr>
          <w:snapToGrid w:val="0"/>
        </w:rPr>
      </w:pPr>
      <w:bookmarkStart w:id="527" w:name="_Toc129077753"/>
      <w:r>
        <w:rPr>
          <w:rStyle w:val="CharSectno"/>
        </w:rPr>
        <w:t>6</w:t>
      </w:r>
      <w:r>
        <w:rPr>
          <w:snapToGrid w:val="0"/>
        </w:rPr>
        <w:t>.</w:t>
      </w:r>
      <w:r>
        <w:rPr>
          <w:snapToGrid w:val="0"/>
        </w:rPr>
        <w:tab/>
        <w:t>Trials of issues etc., evidence in</w:t>
      </w:r>
      <w:bookmarkEnd w:id="527"/>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Gazette 28 Jun 2011 p. 2554.]</w:t>
      </w:r>
    </w:p>
    <w:p>
      <w:pPr>
        <w:pStyle w:val="Heading5"/>
        <w:rPr>
          <w:snapToGrid w:val="0"/>
        </w:rPr>
      </w:pPr>
      <w:bookmarkStart w:id="528" w:name="_Toc129077754"/>
      <w:r>
        <w:rPr>
          <w:rStyle w:val="CharSectno"/>
        </w:rPr>
        <w:t>7</w:t>
      </w:r>
      <w:r>
        <w:rPr>
          <w:snapToGrid w:val="0"/>
        </w:rPr>
        <w:t>.</w:t>
      </w:r>
      <w:r>
        <w:rPr>
          <w:snapToGrid w:val="0"/>
        </w:rPr>
        <w:tab/>
        <w:t>Depositions as evidence</w:t>
      </w:r>
      <w:bookmarkEnd w:id="528"/>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lastRenderedPageBreak/>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29" w:name="_Toc129077755"/>
      <w:r>
        <w:rPr>
          <w:rStyle w:val="CharSectno"/>
        </w:rPr>
        <w:t>8</w:t>
      </w:r>
      <w:r>
        <w:rPr>
          <w:snapToGrid w:val="0"/>
        </w:rPr>
        <w:t>.</w:t>
      </w:r>
      <w:r>
        <w:rPr>
          <w:snapToGrid w:val="0"/>
        </w:rPr>
        <w:tab/>
        <w:t>Court documents admissible in evidence</w:t>
      </w:r>
      <w:bookmarkEnd w:id="529"/>
    </w:p>
    <w:p>
      <w:pPr>
        <w:pStyle w:val="Subsection"/>
        <w:rPr>
          <w:snapToGrid w:val="0"/>
        </w:rPr>
      </w:pPr>
      <w:r>
        <w:rPr>
          <w:snapToGrid w:val="0"/>
        </w:rPr>
        <w:tab/>
        <w:t>(1)</w:t>
      </w:r>
      <w:r>
        <w:rPr>
          <w:snapToGrid w:val="0"/>
        </w:rPr>
        <w:tab/>
      </w:r>
      <w:r>
        <w:t>Copies</w:t>
      </w:r>
      <w:r>
        <w:rPr>
          <w:snapToGrid w:val="0"/>
        </w:rPr>
        <w:t xml:space="preserve">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 xml:space="preserve">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w:t>
      </w:r>
      <w:r>
        <w:t>a true</w:t>
      </w:r>
      <w:r>
        <w:rPr>
          <w:snapToGrid w:val="0"/>
        </w:rPr>
        <w:t xml:space="preserve"> copy of that document without further proof unless the contrary is shown.</w:t>
      </w:r>
    </w:p>
    <w:p>
      <w:pPr>
        <w:pStyle w:val="Footnotesection"/>
      </w:pPr>
      <w:r>
        <w:tab/>
        <w:t>[Rule 8 amended: Gazette 27 Feb 2018 p. 562.]</w:t>
      </w:r>
    </w:p>
    <w:p>
      <w:pPr>
        <w:pStyle w:val="Heading5"/>
        <w:rPr>
          <w:snapToGrid w:val="0"/>
        </w:rPr>
      </w:pPr>
      <w:bookmarkStart w:id="530" w:name="_Toc129077756"/>
      <w:r>
        <w:rPr>
          <w:rStyle w:val="CharSectno"/>
        </w:rPr>
        <w:t>9</w:t>
      </w:r>
      <w:r>
        <w:rPr>
          <w:snapToGrid w:val="0"/>
        </w:rPr>
        <w:t>.</w:t>
      </w:r>
      <w:r>
        <w:rPr>
          <w:snapToGrid w:val="0"/>
        </w:rPr>
        <w:tab/>
        <w:t>Evidence at trial may be used in subsequent proceedings</w:t>
      </w:r>
      <w:bookmarkEnd w:id="530"/>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31" w:name="_Toc129077757"/>
      <w:r>
        <w:rPr>
          <w:rStyle w:val="CharSectno"/>
        </w:rPr>
        <w:t>10</w:t>
      </w:r>
      <w:r>
        <w:rPr>
          <w:snapToGrid w:val="0"/>
        </w:rPr>
        <w:t>.</w:t>
      </w:r>
      <w:r>
        <w:rPr>
          <w:snapToGrid w:val="0"/>
        </w:rPr>
        <w:tab/>
        <w:t>Evidence in another cause</w:t>
      </w:r>
      <w:bookmarkEnd w:id="531"/>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w:t>
      </w:r>
      <w:r>
        <w:rPr>
          <w:snapToGrid w:val="0"/>
        </w:rPr>
        <w:lastRenderedPageBreak/>
        <w:t>such evidence giving 2 days’ previous notice to the other parties of his intention to read such evidence.</w:t>
      </w:r>
    </w:p>
    <w:p>
      <w:pPr>
        <w:pStyle w:val="Heading5"/>
        <w:rPr>
          <w:snapToGrid w:val="0"/>
        </w:rPr>
      </w:pPr>
      <w:bookmarkStart w:id="532" w:name="_Toc129077758"/>
      <w:r>
        <w:rPr>
          <w:rStyle w:val="CharSectno"/>
        </w:rPr>
        <w:t>11</w:t>
      </w:r>
      <w:r>
        <w:rPr>
          <w:snapToGrid w:val="0"/>
        </w:rPr>
        <w:t>.</w:t>
      </w:r>
      <w:r>
        <w:rPr>
          <w:snapToGrid w:val="0"/>
        </w:rPr>
        <w:tab/>
        <w:t>Production of documents</w:t>
      </w:r>
      <w:bookmarkEnd w:id="532"/>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r>
        <w:t>[</w:t>
      </w:r>
      <w:r>
        <w:rPr>
          <w:b/>
        </w:rPr>
        <w:t>12</w:t>
      </w:r>
      <w:r>
        <w:rPr>
          <w:b/>
        </w:rPr>
        <w:noBreakHyphen/>
        <w:t>15, 15A, 16, 16A, 17</w:t>
      </w:r>
      <w:r>
        <w:rPr>
          <w:b/>
        </w:rPr>
        <w:noBreakHyphen/>
        <w:t>19.</w:t>
      </w:r>
      <w:r>
        <w:tab/>
        <w:t>Deleted: Gazette 21 Feb 2007 p. 540.]</w:t>
      </w:r>
    </w:p>
    <w:p>
      <w:pPr>
        <w:pStyle w:val="Heading5"/>
        <w:rPr>
          <w:snapToGrid w:val="0"/>
        </w:rPr>
      </w:pPr>
      <w:bookmarkStart w:id="533" w:name="_Toc129077759"/>
      <w:r>
        <w:rPr>
          <w:rStyle w:val="CharSectno"/>
        </w:rPr>
        <w:t>20</w:t>
      </w:r>
      <w:r>
        <w:rPr>
          <w:snapToGrid w:val="0"/>
        </w:rPr>
        <w:t>.</w:t>
      </w:r>
      <w:r>
        <w:rPr>
          <w:snapToGrid w:val="0"/>
        </w:rPr>
        <w:tab/>
        <w:t>Interest for purposes of Act s. 32</w:t>
      </w:r>
      <w:bookmarkEnd w:id="533"/>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Gazette 26 Aug 1994 p. 4412; amended: Gazette 21 Feb 2007 p. 540.] </w:t>
      </w:r>
    </w:p>
    <w:p>
      <w:pPr>
        <w:pStyle w:val="Heading2"/>
        <w:rPr>
          <w:b w:val="0"/>
        </w:rPr>
      </w:pPr>
      <w:bookmarkStart w:id="534" w:name="_Toc129073688"/>
      <w:bookmarkStart w:id="535" w:name="_Toc129074971"/>
      <w:bookmarkStart w:id="536" w:name="_Toc129077760"/>
      <w:r>
        <w:rPr>
          <w:rStyle w:val="CharPartNo"/>
        </w:rPr>
        <w:lastRenderedPageBreak/>
        <w:t>Order 36A</w:t>
      </w:r>
      <w:r>
        <w:rPr>
          <w:rStyle w:val="CharDivNo"/>
        </w:rPr>
        <w:t> </w:t>
      </w:r>
      <w:r>
        <w:t>—</w:t>
      </w:r>
      <w:r>
        <w:rPr>
          <w:rStyle w:val="CharDivText"/>
        </w:rPr>
        <w:t> </w:t>
      </w:r>
      <w:r>
        <w:rPr>
          <w:rStyle w:val="CharPartText"/>
        </w:rPr>
        <w:t>Expert evidence</w:t>
      </w:r>
      <w:bookmarkEnd w:id="534"/>
      <w:bookmarkEnd w:id="535"/>
      <w:bookmarkEnd w:id="536"/>
    </w:p>
    <w:p>
      <w:pPr>
        <w:pStyle w:val="Footnoteheading"/>
        <w:ind w:left="890"/>
        <w:rPr>
          <w:snapToGrid w:val="0"/>
        </w:rPr>
      </w:pPr>
      <w:r>
        <w:rPr>
          <w:snapToGrid w:val="0"/>
        </w:rPr>
        <w:tab/>
        <w:t>[Heading inserted: Gazette 13 Oct 1978 p. 3699.]</w:t>
      </w:r>
    </w:p>
    <w:p>
      <w:pPr>
        <w:pStyle w:val="Heading5"/>
      </w:pPr>
      <w:bookmarkStart w:id="537" w:name="_Toc129077761"/>
      <w:r>
        <w:rPr>
          <w:rStyle w:val="CharSectno"/>
        </w:rPr>
        <w:t>1</w:t>
      </w:r>
      <w:r>
        <w:t>.</w:t>
      </w:r>
      <w:r>
        <w:tab/>
        <w:t>Expert evidence</w:t>
      </w:r>
      <w:bookmarkEnd w:id="537"/>
    </w:p>
    <w:p>
      <w:pPr>
        <w:pStyle w:val="Subsection"/>
      </w:pPr>
      <w:r>
        <w:tab/>
        <w:t>(1)</w:t>
      </w:r>
      <w:r>
        <w:tab/>
        <w:t xml:space="preserve">A party may not adduce expert evidence at a trial of a cause or matter unless — </w:t>
      </w:r>
    </w:p>
    <w:p>
      <w:pPr>
        <w:pStyle w:val="Indenta"/>
      </w:pPr>
      <w:r>
        <w:tab/>
        <w:t>(a)</w:t>
      </w:r>
      <w:r>
        <w:tab/>
        <w:t xml:space="preserve">the case manager for the case has directed that the party may do so; and </w:t>
      </w:r>
    </w:p>
    <w:p>
      <w:pPr>
        <w:pStyle w:val="Indenta"/>
      </w:pPr>
      <w:r>
        <w:tab/>
        <w:t>(b)</w:t>
      </w:r>
      <w:r>
        <w:tab/>
        <w:t>the party has complied with all directions given in relation to that expert evidence.</w:t>
      </w:r>
    </w:p>
    <w:p>
      <w:pPr>
        <w:pStyle w:val="Subsection"/>
      </w:pPr>
      <w:r>
        <w:tab/>
        <w:t>(2)</w:t>
      </w:r>
      <w:r>
        <w:tab/>
        <w:t xml:space="preserve">A party who is required to disclose expert evidence by a time set out in a direction may not, after that time, object to the disclosure on the ground of privilege as defined in the </w:t>
      </w:r>
      <w:r>
        <w:rPr>
          <w:i/>
        </w:rPr>
        <w:t>Evidence Act 1906</w:t>
      </w:r>
      <w:r>
        <w:t xml:space="preserve"> section 32A.</w:t>
      </w:r>
    </w:p>
    <w:p>
      <w:pPr>
        <w:pStyle w:val="Footnotesection"/>
      </w:pPr>
      <w:r>
        <w:tab/>
        <w:t>[Rule 1 inserted: Gazette 16 Aug 2017 p. 4414</w:t>
      </w:r>
      <w:r>
        <w:noBreakHyphen/>
        <w:t>15.]</w:t>
      </w:r>
    </w:p>
    <w:p>
      <w:pPr>
        <w:pStyle w:val="Ednotesection"/>
      </w:pPr>
      <w:r>
        <w:t>[</w:t>
      </w:r>
      <w:r>
        <w:rPr>
          <w:b/>
        </w:rPr>
        <w:t>2-9.</w:t>
      </w:r>
      <w:r>
        <w:tab/>
        <w:t>Deleted: Gazette 16 Aug 2017 p. 4414.]</w:t>
      </w:r>
    </w:p>
    <w:p>
      <w:pPr>
        <w:pStyle w:val="Heading2"/>
      </w:pPr>
      <w:bookmarkStart w:id="538" w:name="_Toc129073690"/>
      <w:bookmarkStart w:id="539" w:name="_Toc129074973"/>
      <w:bookmarkStart w:id="540" w:name="_Toc129077762"/>
      <w:r>
        <w:rPr>
          <w:rStyle w:val="CharPartNo"/>
        </w:rPr>
        <w:lastRenderedPageBreak/>
        <w:t>Order 36B</w:t>
      </w:r>
      <w:r>
        <w:t> — </w:t>
      </w:r>
      <w:r>
        <w:rPr>
          <w:rStyle w:val="CharPartText"/>
        </w:rPr>
        <w:t>Subpoenas</w:t>
      </w:r>
      <w:bookmarkEnd w:id="538"/>
      <w:bookmarkEnd w:id="539"/>
      <w:bookmarkEnd w:id="540"/>
    </w:p>
    <w:p>
      <w:pPr>
        <w:pStyle w:val="Footnoteheading"/>
      </w:pPr>
      <w:r>
        <w:tab/>
        <w:t>[Heading inserted: Gazette 21 Feb 2007 p. 540.]</w:t>
      </w:r>
    </w:p>
    <w:p>
      <w:pPr>
        <w:pStyle w:val="Heading5"/>
        <w:spacing w:before="180"/>
      </w:pPr>
      <w:bookmarkStart w:id="541" w:name="_Toc129077763"/>
      <w:r>
        <w:rPr>
          <w:rStyle w:val="CharSectno"/>
        </w:rPr>
        <w:t>1</w:t>
      </w:r>
      <w:r>
        <w:t>.</w:t>
      </w:r>
      <w:r>
        <w:tab/>
        <w:t>Terms used</w:t>
      </w:r>
      <w:bookmarkEnd w:id="541"/>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rStyle w:val="CharDefText"/>
        </w:rPr>
        <w:tab/>
        <w:t>Registry</w:t>
      </w:r>
      <w:r>
        <w:t xml:space="preserve"> means the Central Office;</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oral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lastRenderedPageBreak/>
        <w:tab/>
        <w:t>(5)</w:t>
      </w:r>
      <w:r>
        <w:tab/>
        <w:t>Unless the Court orders otherwise, this Order is subject to Order 34 rule 15A.</w:t>
      </w:r>
    </w:p>
    <w:p>
      <w:pPr>
        <w:pStyle w:val="Footnotesection"/>
        <w:spacing w:before="60"/>
        <w:ind w:left="890" w:hanging="890"/>
      </w:pPr>
      <w:r>
        <w:tab/>
        <w:t>[Rule 1 inserted: Gazette 21 Feb 2007 p. 540; amended: Gazette 22 Feb 2008 p. 636; 28 Jul 2010 p. 3477; 24 May 2017 p. 2566.]</w:t>
      </w:r>
    </w:p>
    <w:p>
      <w:pPr>
        <w:pStyle w:val="Heading5"/>
      </w:pPr>
      <w:bookmarkStart w:id="542" w:name="_Toc129077764"/>
      <w:r>
        <w:rPr>
          <w:rStyle w:val="CharSectno"/>
        </w:rPr>
        <w:t>2</w:t>
      </w:r>
      <w:r>
        <w:t>.</w:t>
      </w:r>
      <w:r>
        <w:tab/>
        <w:t>Issuing subpoenas</w:t>
      </w:r>
      <w:bookmarkEnd w:id="542"/>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An issuing officer must not issue either a subpoena to attend to give evidence or a subpoena to produce —</w:t>
      </w:r>
    </w:p>
    <w:p>
      <w:pPr>
        <w:pStyle w:val="Indenta"/>
      </w:pPr>
      <w:r>
        <w:tab/>
        <w:t>(a)</w:t>
      </w:r>
      <w:r>
        <w:tab/>
        <w:t>if a written law or a law of another Australian jurisdiction prohibits its issue; or</w:t>
      </w:r>
    </w:p>
    <w:p>
      <w:pPr>
        <w:pStyle w:val="Indenta"/>
      </w:pPr>
      <w:r>
        <w:tab/>
        <w:t>(b)</w:t>
      </w:r>
      <w:r>
        <w:tab/>
        <w:t>if a written law or a law of another Australian jurisdiction prohibits its issue except with the Court’s leave and the Court has not given that leave; or</w:t>
      </w:r>
    </w:p>
    <w:p>
      <w:pPr>
        <w:pStyle w:val="Indenta"/>
      </w:pPr>
      <w:r>
        <w:tab/>
        <w:t>(c)</w:t>
      </w:r>
      <w:r>
        <w:tab/>
        <w:t>if the Court has ordered that the subpoena not be issued; or</w:t>
      </w:r>
    </w:p>
    <w:p>
      <w:pPr>
        <w:pStyle w:val="Indenta"/>
      </w:pPr>
      <w:r>
        <w:tab/>
        <w:t>(d)</w:t>
      </w:r>
      <w:r>
        <w:tab/>
        <w:t>if the Court has ordered that the subpoena not be issued without the Court’s leave and the Court has not given that leave.</w:t>
      </w:r>
    </w:p>
    <w:p>
      <w:pPr>
        <w:pStyle w:val="Subsection"/>
      </w:pPr>
      <w:r>
        <w:tab/>
        <w:t>(2A)</w:t>
      </w:r>
      <w:r>
        <w:tab/>
        <w:t>An issuing officer must not issue a subpoena to attend to give evidence unless —</w:t>
      </w:r>
    </w:p>
    <w:p>
      <w:pPr>
        <w:pStyle w:val="Indenta"/>
      </w:pPr>
      <w:r>
        <w:tab/>
        <w:t>(a)</w:t>
      </w:r>
      <w:r>
        <w:tab/>
        <w:t>the oral evidence of the addressee is required at one of the following —</w:t>
      </w:r>
    </w:p>
    <w:p>
      <w:pPr>
        <w:pStyle w:val="Indenti"/>
      </w:pPr>
      <w:r>
        <w:tab/>
        <w:t>(i)</w:t>
      </w:r>
      <w:r>
        <w:tab/>
        <w:t>a trial of substantive issues in a proceeding;</w:t>
      </w:r>
    </w:p>
    <w:p>
      <w:pPr>
        <w:pStyle w:val="Indenti"/>
      </w:pPr>
      <w:r>
        <w:tab/>
        <w:t>(ii)</w:t>
      </w:r>
      <w:r>
        <w:tab/>
        <w:t>an assessment of damages under Order 34 rule 18;</w:t>
      </w:r>
    </w:p>
    <w:p>
      <w:pPr>
        <w:pStyle w:val="Indenti"/>
      </w:pPr>
      <w:r>
        <w:lastRenderedPageBreak/>
        <w:tab/>
        <w:t>(iii)</w:t>
      </w:r>
      <w:r>
        <w:tab/>
        <w:t>a trial ordered under Order 35 to be before a referee or other person;</w:t>
      </w:r>
    </w:p>
    <w:p>
      <w:pPr>
        <w:pStyle w:val="Indenti"/>
      </w:pPr>
      <w:r>
        <w:tab/>
        <w:t>(iv)</w:t>
      </w:r>
      <w:r>
        <w:tab/>
        <w:t>an examination ordered under Order 38 to be before an examiner;</w:t>
      </w:r>
    </w:p>
    <w:p>
      <w:pPr>
        <w:pStyle w:val="Indenti"/>
      </w:pPr>
      <w:r>
        <w:tab/>
        <w:t>(v)</w:t>
      </w:r>
      <w:r>
        <w:tab/>
        <w:t>any other proceeding at which, under an express provision of a written law, the attendance of a person may be enforced by a subpoena;</w:t>
      </w:r>
    </w:p>
    <w:p>
      <w:pPr>
        <w:pStyle w:val="Indenta"/>
      </w:pPr>
      <w:r>
        <w:tab/>
      </w:r>
      <w:r>
        <w:tab/>
        <w:t>and</w:t>
      </w:r>
    </w:p>
    <w:p>
      <w:pPr>
        <w:pStyle w:val="Indenta"/>
      </w:pPr>
      <w:r>
        <w:tab/>
        <w:t>(b)</w:t>
      </w:r>
      <w:r>
        <w:tab/>
        <w:t>a date has been set for the trial, assessment, examination or proceeding.</w:t>
      </w:r>
    </w:p>
    <w:p>
      <w:pPr>
        <w:pStyle w:val="Subsection"/>
      </w:pPr>
      <w:r>
        <w:tab/>
        <w:t>(2B)</w:t>
      </w:r>
      <w:r>
        <w:tab/>
        <w:t>An issuing officer must not issue a subpoena to produce —</w:t>
      </w:r>
    </w:p>
    <w:p>
      <w:pPr>
        <w:pStyle w:val="Indenta"/>
      </w:pPr>
      <w:r>
        <w:tab/>
        <w:t>(a)</w:t>
      </w:r>
      <w:r>
        <w:tab/>
        <w:t>if it would require the production of a document or thing in the custody of the Court or another court; or</w:t>
      </w:r>
    </w:p>
    <w:p>
      <w:pPr>
        <w:pStyle w:val="Indenta"/>
      </w:pPr>
      <w:r>
        <w:tab/>
        <w:t>(b)</w:t>
      </w:r>
      <w:r>
        <w:tab/>
        <w:t>in a proceeding in which a defence is required to be filed, unless —</w:t>
      </w:r>
    </w:p>
    <w:p>
      <w:pPr>
        <w:pStyle w:val="Indenti"/>
      </w:pPr>
      <w:r>
        <w:tab/>
        <w:t>(i)</w:t>
      </w:r>
      <w:r>
        <w:tab/>
        <w:t>the defence has been filed; or</w:t>
      </w:r>
    </w:p>
    <w:p>
      <w:pPr>
        <w:pStyle w:val="Indenti"/>
      </w:pPr>
      <w:r>
        <w:tab/>
        <w:t>(ii)</w:t>
      </w:r>
      <w:r>
        <w:tab/>
        <w:t>the Court has given leave for the subpoena to be issued; or</w:t>
      </w:r>
    </w:p>
    <w:p>
      <w:pPr>
        <w:pStyle w:val="Indenti"/>
      </w:pPr>
      <w:r>
        <w:tab/>
        <w:t>(iii)</w:t>
      </w:r>
      <w:r>
        <w:tab/>
        <w:t>the subpoena is being issued under Order 73 rule 20(2);</w:t>
      </w:r>
    </w:p>
    <w:p>
      <w:pPr>
        <w:pStyle w:val="Indenta"/>
      </w:pPr>
      <w:r>
        <w:tab/>
      </w:r>
      <w:r>
        <w:tab/>
        <w:t>or</w:t>
      </w:r>
    </w:p>
    <w:p>
      <w:pPr>
        <w:pStyle w:val="Indenta"/>
      </w:pPr>
      <w:r>
        <w:tab/>
        <w:t>(c)</w:t>
      </w:r>
      <w:r>
        <w:tab/>
        <w:t>in a proceeding in which a defence is not required to be filed, unless —</w:t>
      </w:r>
    </w:p>
    <w:p>
      <w:pPr>
        <w:pStyle w:val="Indenti"/>
      </w:pPr>
      <w:r>
        <w:tab/>
        <w:t>(i)</w:t>
      </w:r>
      <w:r>
        <w:tab/>
        <w:t>the date and time for production is the date and time of a trial; or</w:t>
      </w:r>
    </w:p>
    <w:p>
      <w:pPr>
        <w:pStyle w:val="Indenti"/>
      </w:pPr>
      <w:r>
        <w:tab/>
        <w:t>(ii)</w:t>
      </w:r>
      <w:r>
        <w:tab/>
        <w:t>the Court has given leave for the subpoena to be issued.</w:t>
      </w:r>
    </w:p>
    <w:p>
      <w:pPr>
        <w:pStyle w:val="Subsection"/>
      </w:pPr>
      <w:r>
        <w:tab/>
        <w:t>(2C)</w:t>
      </w:r>
      <w:r>
        <w:tab/>
        <w:t>A party may apply for leave under subrule (2B)(b) or (c) without notice to any other party.</w:t>
      </w:r>
    </w:p>
    <w:p>
      <w:pPr>
        <w:pStyle w:val="Subsection"/>
      </w:pPr>
      <w:r>
        <w:tab/>
        <w:t>(2D)</w:t>
      </w:r>
      <w:r>
        <w:tab/>
        <w:t>The Court must not give leave under subrule (2B)(b) or (c) unless satisfied there are exceptional circumstances.</w:t>
      </w:r>
    </w:p>
    <w:p>
      <w:pPr>
        <w:pStyle w:val="Subsection"/>
      </w:pPr>
      <w:r>
        <w:lastRenderedPageBreak/>
        <w:tab/>
        <w:t>(2E)</w:t>
      </w:r>
      <w:r>
        <w:tab/>
        <w:t>If the Court gives leave to issue a subpoena to produce, it must set the date and time for production to be specified in the subpoena which must be —</w:t>
      </w:r>
    </w:p>
    <w:p>
      <w:pPr>
        <w:pStyle w:val="Indenta"/>
      </w:pPr>
      <w:r>
        <w:tab/>
        <w:t>(a)</w:t>
      </w:r>
      <w:r>
        <w:tab/>
        <w:t>the date and time of the trial in the proceeding at which production is required; or</w:t>
      </w:r>
    </w:p>
    <w:p>
      <w:pPr>
        <w:pStyle w:val="Indenta"/>
      </w:pPr>
      <w:r>
        <w:tab/>
        <w:t>(b)</w:t>
      </w:r>
      <w:r>
        <w:tab/>
        <w:t>an earlier date and time.</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(3A)</w:t>
      </w:r>
      <w:r>
        <w:tab/>
        <w:t xml:space="preserve">If the issuing officer issued the subpoena by means of the ECMS — </w:t>
      </w:r>
    </w:p>
    <w:p>
      <w:pPr>
        <w:pStyle w:val="Indenta"/>
      </w:pPr>
      <w:r>
        <w:tab/>
        <w:t>(a)</w:t>
      </w:r>
      <w:r>
        <w:tab/>
        <w:t>the issuing party may print from the ECMS 1 or more copies of the subpoena; and</w:t>
      </w:r>
    </w:p>
    <w:p>
      <w:pPr>
        <w:pStyle w:val="Indenta"/>
      </w:pPr>
      <w:r>
        <w:tab/>
        <w:t>(b)</w:t>
      </w:r>
      <w:r>
        <w:tab/>
        <w:t>a printed copy may be treated as a copy of the subpoena authenticated in accordance with subrule (3).</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r>
        <w:tab/>
        <w:t>[Rule 2 inserted: Gazette 21 Feb 2007 p. 541; amended: Gazette 24 May 2017 p. 2566</w:t>
      </w:r>
      <w:r>
        <w:noBreakHyphen/>
        <w:t>8; 27 Feb 2018 p. 562-3; 31 Dec 2019 p. 4677.]</w:t>
      </w:r>
    </w:p>
    <w:p>
      <w:pPr>
        <w:pStyle w:val="Heading5"/>
      </w:pPr>
      <w:bookmarkStart w:id="543" w:name="_Toc129077765"/>
      <w:r>
        <w:rPr>
          <w:rStyle w:val="CharSectno"/>
        </w:rPr>
        <w:t>3</w:t>
      </w:r>
      <w:r>
        <w:t>.</w:t>
      </w:r>
      <w:r>
        <w:tab/>
        <w:t>Form of subpoena</w:t>
      </w:r>
      <w:bookmarkEnd w:id="543"/>
    </w:p>
    <w:p>
      <w:pPr>
        <w:pStyle w:val="Subsection"/>
      </w:pPr>
      <w:r>
        <w:tab/>
        <w:t>(1)</w:t>
      </w:r>
      <w:r>
        <w:tab/>
        <w:t xml:space="preserve">Subject to subrule (1A) — </w:t>
      </w:r>
    </w:p>
    <w:p>
      <w:pPr>
        <w:pStyle w:val="Indenta"/>
      </w:pPr>
      <w:r>
        <w:tab/>
        <w:t>(a)</w:t>
      </w:r>
      <w:r>
        <w:tab/>
        <w:t>a subpoena to attend to give evidence must be in the form of Form 21;</w:t>
      </w:r>
    </w:p>
    <w:p>
      <w:pPr>
        <w:pStyle w:val="Indenta"/>
      </w:pPr>
      <w:r>
        <w:tab/>
        <w:t>(b)</w:t>
      </w:r>
      <w:r>
        <w:tab/>
        <w:t>a subpoena to produce must be in the form of Form 21A;</w:t>
      </w:r>
    </w:p>
    <w:p>
      <w:pPr>
        <w:pStyle w:val="Indenta"/>
      </w:pPr>
      <w:r>
        <w:tab/>
        <w:t>(c)</w:t>
      </w:r>
      <w:r>
        <w:tab/>
        <w:t>a subpoena both to attend to give evidence and to produce must be in the form of Form 21B.</w:t>
      </w:r>
    </w:p>
    <w:p>
      <w:pPr>
        <w:pStyle w:val="Subsection"/>
      </w:pPr>
      <w:r>
        <w:tab/>
        <w:t>(1A)</w:t>
      </w:r>
      <w:r>
        <w:tab/>
        <w:t xml:space="preserve">Subrule (1) does not apply to a subpoena issued in proceedings under the </w:t>
      </w:r>
      <w:r>
        <w:rPr>
          <w:i/>
        </w:rPr>
        <w:t>Trans-Tasman Proceedings Act 2010</w:t>
      </w:r>
      <w:r>
        <w:t xml:space="preserve"> (Commonwealth).</w:t>
      </w:r>
    </w:p>
    <w:p>
      <w:pPr>
        <w:pStyle w:val="Subsection"/>
      </w:pPr>
      <w:r>
        <w:lastRenderedPageBreak/>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A subpoena to attend to give evidence must specify the date and time and place at which the addressee is to attend.</w:t>
      </w:r>
    </w:p>
    <w:p>
      <w:pPr>
        <w:pStyle w:val="Subsection"/>
      </w:pPr>
      <w:r>
        <w:tab/>
        <w:t>(5)</w:t>
      </w:r>
      <w:r>
        <w:tab/>
        <w:t>A subpoena to produce must specify —</w:t>
      </w:r>
    </w:p>
    <w:p>
      <w:pPr>
        <w:pStyle w:val="Indenta"/>
      </w:pPr>
      <w:r>
        <w:tab/>
        <w:t>(a)</w:t>
      </w:r>
      <w:r>
        <w:tab/>
        <w:t>the date and time for production which must be —</w:t>
      </w:r>
    </w:p>
    <w:p>
      <w:pPr>
        <w:pStyle w:val="Indenti"/>
      </w:pPr>
      <w:r>
        <w:tab/>
        <w:t>(i)</w:t>
      </w:r>
      <w:r>
        <w:tab/>
        <w:t>if the Court has given leave for the subpoena to be issued, the date and time set by the Court when giving leave; or</w:t>
      </w:r>
    </w:p>
    <w:p>
      <w:pPr>
        <w:pStyle w:val="Indenti"/>
      </w:pPr>
      <w:r>
        <w:tab/>
        <w:t>(ii)</w:t>
      </w:r>
      <w:r>
        <w:tab/>
        <w:t>otherwise, the date and time of the trial which the addressee is to attend, or a date and time permitted by the issuing officer or a registrar;</w:t>
      </w:r>
    </w:p>
    <w:p>
      <w:pPr>
        <w:pStyle w:val="Indenta"/>
      </w:pPr>
      <w:r>
        <w:tab/>
      </w:r>
      <w:r>
        <w:tab/>
        <w:t>and</w:t>
      </w:r>
    </w:p>
    <w:p>
      <w:pPr>
        <w:pStyle w:val="Indenta"/>
      </w:pPr>
      <w:r>
        <w:tab/>
        <w:t>(b)</w:t>
      </w:r>
      <w:r>
        <w:tab/>
        <w:t>the place for production which must be —</w:t>
      </w:r>
    </w:p>
    <w:p>
      <w:pPr>
        <w:pStyle w:val="Indenti"/>
      </w:pPr>
      <w:r>
        <w:tab/>
        <w:t>(i)</w:t>
      </w:r>
      <w:r>
        <w:tab/>
        <w:t>the address of the Court; or</w:t>
      </w:r>
    </w:p>
    <w:p>
      <w:pPr>
        <w:pStyle w:val="Indenti"/>
      </w:pPr>
      <w:r>
        <w:tab/>
        <w:t>(ii)</w:t>
      </w:r>
      <w:r>
        <w:tab/>
        <w:t>the address of a person authorised to take evidence in the proceeding as permitted by the Court.</w:t>
      </w:r>
    </w:p>
    <w:p>
      <w:pPr>
        <w:pStyle w:val="Ednotesubsection"/>
      </w:pPr>
      <w:r>
        <w:tab/>
        <w:t>[(6), (7)</w:t>
      </w:r>
      <w:r>
        <w:tab/>
        <w:t>deleted]</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r>
        <w:tab/>
        <w:t>[Rule 3 inserted: Gazette 21 Feb 2007 p. 541</w:t>
      </w:r>
      <w:r>
        <w:noBreakHyphen/>
        <w:t>2; amended: Gazette 22 Feb 2008 p. 636</w:t>
      </w:r>
      <w:r>
        <w:noBreakHyphen/>
        <w:t>7; 3 Aug 2012 p. 3749; 24 May 2017 p. 2568</w:t>
      </w:r>
      <w:r>
        <w:noBreakHyphen/>
        <w:t>9.]</w:t>
      </w:r>
    </w:p>
    <w:p>
      <w:pPr>
        <w:pStyle w:val="Ednotesection"/>
      </w:pPr>
      <w:r>
        <w:lastRenderedPageBreak/>
        <w:t>[</w:t>
      </w:r>
      <w:r>
        <w:rPr>
          <w:b/>
        </w:rPr>
        <w:t>3A.</w:t>
      </w:r>
      <w:r>
        <w:tab/>
        <w:t>Deleted: Gazette 24 May 2017 p. 2569.]</w:t>
      </w:r>
    </w:p>
    <w:p>
      <w:pPr>
        <w:pStyle w:val="Heading5"/>
      </w:pPr>
      <w:bookmarkStart w:id="544" w:name="_Toc129077766"/>
      <w:r>
        <w:rPr>
          <w:rStyle w:val="CharSectno"/>
        </w:rPr>
        <w:t>4</w:t>
      </w:r>
      <w:r>
        <w:t>.</w:t>
      </w:r>
      <w:r>
        <w:tab/>
        <w:t>Service of subpoenas</w:t>
      </w:r>
      <w:bookmarkEnd w:id="544"/>
    </w:p>
    <w:p>
      <w:pPr>
        <w:pStyle w:val="Subsection"/>
      </w:pPr>
      <w:r>
        <w:tab/>
        <w:t>(1)</w:t>
      </w:r>
      <w:r>
        <w:tab/>
        <w:t>A subpoena must be served personally on the addressee.</w:t>
      </w:r>
    </w:p>
    <w:p>
      <w:pPr>
        <w:pStyle w:val="Subsection"/>
      </w:pPr>
      <w:r>
        <w:tab/>
        <w:t>(2)</w:t>
      </w:r>
      <w:r>
        <w:tab/>
        <w:t>As soon as practicable after a subpoena is served on the addressee, the issuing party must serve a copy of it on each other party.</w:t>
      </w:r>
    </w:p>
    <w:p>
      <w:pPr>
        <w:pStyle w:val="Footnotesection"/>
      </w:pPr>
      <w:r>
        <w:tab/>
        <w:t>[Rule 4 inserted: Gazette 24 May 2017 p. 2569.]</w:t>
      </w:r>
    </w:p>
    <w:p>
      <w:pPr>
        <w:pStyle w:val="Heading5"/>
      </w:pPr>
      <w:bookmarkStart w:id="545" w:name="_Toc129077767"/>
      <w:r>
        <w:rPr>
          <w:rStyle w:val="CharSectno"/>
        </w:rPr>
        <w:t>5</w:t>
      </w:r>
      <w:r>
        <w:t>.</w:t>
      </w:r>
      <w:r>
        <w:tab/>
        <w:t>Party may request notice that subpoena to produce has been obeyed</w:t>
      </w:r>
      <w:bookmarkEnd w:id="545"/>
    </w:p>
    <w:p>
      <w:pPr>
        <w:pStyle w:val="Subsection"/>
      </w:pPr>
      <w:r>
        <w:tab/>
        <w:t>(1)</w:t>
      </w:r>
      <w:r>
        <w:tab/>
        <w:t>A party may, in writing, request the Court to inform the party whether any document or thing has been produced to the court under a subpoena to produce.</w:t>
      </w:r>
    </w:p>
    <w:p>
      <w:pPr>
        <w:pStyle w:val="Subsection"/>
      </w:pPr>
      <w:r>
        <w:tab/>
        <w:t>(2)</w:t>
      </w:r>
      <w:r>
        <w:tab/>
        <w:t>If a party has made a request under subrule (1), a registrar must inform the party whether any document or thing has been produced and, if so, include a description, in general terms, of the documents and things produced.</w:t>
      </w:r>
    </w:p>
    <w:p>
      <w:pPr>
        <w:pStyle w:val="Footnotesection"/>
      </w:pPr>
      <w:r>
        <w:tab/>
        <w:t>[Rule 5 inserted: Gazette 24 May 2017 p. 2570.]</w:t>
      </w:r>
    </w:p>
    <w:p>
      <w:pPr>
        <w:pStyle w:val="Heading5"/>
      </w:pPr>
      <w:bookmarkStart w:id="546" w:name="_Toc129077768"/>
      <w:r>
        <w:rPr>
          <w:rStyle w:val="CharSectno"/>
        </w:rPr>
        <w:t>5A</w:t>
      </w:r>
      <w:r>
        <w:t>.</w:t>
      </w:r>
      <w:r>
        <w:tab/>
        <w:t>Altering date for attendance or production</w:t>
      </w:r>
      <w:bookmarkEnd w:id="546"/>
    </w:p>
    <w:p>
      <w:pPr>
        <w:pStyle w:val="Subsection"/>
      </w:pPr>
      <w:r>
        <w:tab/>
        <w:t>(1)</w:t>
      </w:r>
      <w:r>
        <w:tab/>
        <w:t>This rule does not apply to a subpoena to produce that has been issued with the leave of the Court under rule 2(2B)(b)(ii) or (c)(ii).</w:t>
      </w:r>
    </w:p>
    <w:p>
      <w:pPr>
        <w:pStyle w:val="Subsection"/>
      </w:pPr>
      <w:r>
        <w:tab/>
        <w:t>(2)</w:t>
      </w:r>
      <w:r>
        <w:tab/>
        <w:t>The issuing party may give the addressee of a subpoena notice of a date or time later than the date or time specified in the subpoena as the date or time for attendance or for production or for both.</w:t>
      </w:r>
    </w:p>
    <w:p>
      <w:pPr>
        <w:pStyle w:val="Subsection"/>
      </w:pPr>
      <w:r>
        <w:tab/>
        <w:t>(3)</w:t>
      </w:r>
      <w:r>
        <w:tab/>
        <w:t>The later date or time specified in a notice given under subrule (2) must be —</w:t>
      </w:r>
    </w:p>
    <w:p>
      <w:pPr>
        <w:pStyle w:val="Indenta"/>
      </w:pPr>
      <w:r>
        <w:tab/>
        <w:t>(a)</w:t>
      </w:r>
      <w:r>
        <w:tab/>
        <w:t>if the subpoena is a subpoena to attend to give evidence, a later date and time of a trial, assessment, examination or proceeding referred to in rule 2(2A);</w:t>
      </w:r>
    </w:p>
    <w:p>
      <w:pPr>
        <w:pStyle w:val="Indenta"/>
      </w:pPr>
      <w:r>
        <w:lastRenderedPageBreak/>
        <w:tab/>
        <w:t>(b)</w:t>
      </w:r>
      <w:r>
        <w:tab/>
        <w:t>if the subpoena is a subpoena to produce in which the date and time for production is the date and time of a trial — a later date and time of a trial;</w:t>
      </w:r>
    </w:p>
    <w:p>
      <w:pPr>
        <w:pStyle w:val="Indenta"/>
      </w:pPr>
      <w:r>
        <w:tab/>
        <w:t>(c)</w:t>
      </w:r>
      <w:r>
        <w:tab/>
        <w:t>if the subpoena is a subpoena to produce in which the date and time for production is not the date and time of a trial — any later date and time.</w:t>
      </w:r>
    </w:p>
    <w:p>
      <w:pPr>
        <w:pStyle w:val="Subsection"/>
        <w:keepNext/>
      </w:pPr>
      <w:r>
        <w:tab/>
        <w:t>(4)</w:t>
      </w:r>
      <w:r>
        <w:tab/>
        <w:t xml:space="preserve">As soon as practicable after giving a notice under subrule (2), the issuing party must — </w:t>
      </w:r>
    </w:p>
    <w:p>
      <w:pPr>
        <w:pStyle w:val="Indenta"/>
      </w:pPr>
      <w:r>
        <w:tab/>
        <w:t>(a)</w:t>
      </w:r>
      <w:r>
        <w:tab/>
        <w:t>file a copy of the notice; and</w:t>
      </w:r>
    </w:p>
    <w:p>
      <w:pPr>
        <w:pStyle w:val="Indenta"/>
      </w:pPr>
      <w:r>
        <w:tab/>
        <w:t>(b)</w:t>
      </w:r>
      <w:r>
        <w:tab/>
        <w:t>serve a copy of the notice on each other party.</w:t>
      </w:r>
    </w:p>
    <w:p>
      <w:pPr>
        <w:pStyle w:val="Subsection"/>
      </w:pPr>
      <w:r>
        <w:tab/>
        <w:t>(5)</w:t>
      </w:r>
      <w:r>
        <w:tab/>
        <w:t>The notice need not be served personally.</w:t>
      </w:r>
    </w:p>
    <w:p>
      <w:pPr>
        <w:pStyle w:val="Subsection"/>
      </w:pPr>
      <w:r>
        <w:tab/>
        <w:t>(6)</w:t>
      </w:r>
      <w:r>
        <w:tab/>
        <w:t>If notice is given under subrule (2), the subpoena has effect as if the date or time notified were specified in the subpoena instead of the date or time originally specified in the subpoena.</w:t>
      </w:r>
    </w:p>
    <w:p>
      <w:pPr>
        <w:pStyle w:val="Footnotesection"/>
      </w:pPr>
      <w:r>
        <w:tab/>
        <w:t>[Rule 5A inserted: Gazette 24 May 2017 p. 2570</w:t>
      </w:r>
      <w:r>
        <w:noBreakHyphen/>
        <w:t>1.]</w:t>
      </w:r>
    </w:p>
    <w:p>
      <w:pPr>
        <w:pStyle w:val="Heading5"/>
      </w:pPr>
      <w:bookmarkStart w:id="547" w:name="_Toc129077769"/>
      <w:r>
        <w:rPr>
          <w:rStyle w:val="CharSectno"/>
        </w:rPr>
        <w:t>6</w:t>
      </w:r>
      <w:r>
        <w:t>.</w:t>
      </w:r>
      <w:r>
        <w:tab/>
        <w:t>Compliance with subpoena</w:t>
      </w:r>
      <w:bookmarkEnd w:id="547"/>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4(1),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 xml:space="preserve">by attending at the date, time and place specified for production or, if the addressee has received notice of a </w:t>
      </w:r>
      <w:r>
        <w:lastRenderedPageBreak/>
        <w:t>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Registry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r>
        <w:tab/>
        <w:t>(5A)</w:t>
      </w:r>
      <w:r>
        <w:tab/>
        <w:t>The addressee cannot comply with the requirement under subrule (4)(b) to deliver or send the subpoena or other document to the Registry by filing it electronically.</w:t>
      </w:r>
    </w:p>
    <w:p>
      <w:pPr>
        <w:pStyle w:val="Subsection"/>
      </w:pPr>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an electronic format that the subpoena indicates will be acceptable on a CD-ROM, DVD or USB device, unless the Court, on an application made by a party or the addressee, has directed otherwise.</w:t>
      </w:r>
    </w:p>
    <w:p>
      <w:pPr>
        <w:pStyle w:val="Footnotesection"/>
      </w:pPr>
      <w:r>
        <w:tab/>
        <w:t>[Rule 6 inserted: Gazette 21 Feb 2007 p. 542</w:t>
      </w:r>
      <w:r>
        <w:noBreakHyphen/>
        <w:t>3; amended: Gazette 28 Jul 2010 p. 3477-8; 24 May 2017 p. 2571 and 2575</w:t>
      </w:r>
      <w:r>
        <w:noBreakHyphen/>
        <w:t>6; 16 Aug 2017 p. 4415; 27 Feb 2018 p. 563.]</w:t>
      </w:r>
    </w:p>
    <w:p>
      <w:pPr>
        <w:pStyle w:val="Heading5"/>
      </w:pPr>
      <w:bookmarkStart w:id="548" w:name="_Toc129077770"/>
      <w:r>
        <w:rPr>
          <w:rStyle w:val="CharSectno"/>
        </w:rPr>
        <w:lastRenderedPageBreak/>
        <w:t>7</w:t>
      </w:r>
      <w:r>
        <w:t>.</w:t>
      </w:r>
      <w:r>
        <w:tab/>
        <w:t>Production otherwise than at a trial</w:t>
      </w:r>
      <w:bookmarkEnd w:id="548"/>
    </w:p>
    <w:p>
      <w:pPr>
        <w:pStyle w:val="Subsection"/>
      </w:pPr>
      <w:r>
        <w:tab/>
        <w:t>(1)</w:t>
      </w:r>
      <w:r>
        <w:tab/>
        <w:t>This rule applies if, under a subpoena to produce, the addressee produces a document or thing to the Court otherwise than at a trial.</w:t>
      </w:r>
    </w:p>
    <w:p>
      <w:pPr>
        <w:pStyle w:val="Subsection"/>
      </w:pPr>
      <w:r>
        <w:tab/>
        <w:t>(2)</w:t>
      </w:r>
      <w:r>
        <w:tab/>
        <w:t>The Registry must, if requested by the addressee, give a receipt for the document or thing to the addressee.</w:t>
      </w:r>
    </w:p>
    <w:p>
      <w:pPr>
        <w:pStyle w:val="Subsection"/>
      </w:pPr>
      <w:r>
        <w:tab/>
        <w:t>(3)</w:t>
      </w:r>
      <w:r>
        <w:tab/>
        <w:t>If the addressee produces more than 1 document or thing, the addressee must provide a list of them.</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Registry in writing that any document or copy of a document produced need not be returned and may be destroyed.</w:t>
      </w:r>
    </w:p>
    <w:p>
      <w:pPr>
        <w:pStyle w:val="Footnotesection"/>
      </w:pPr>
      <w:r>
        <w:tab/>
        <w:t>[Rule 7 inserted: Gazette 21 Feb 2007 p. 543; amended: Gazette 24 May 2017 p. 2571 and 2575</w:t>
      </w:r>
      <w:r>
        <w:noBreakHyphen/>
        <w:t>6.]</w:t>
      </w:r>
    </w:p>
    <w:p>
      <w:pPr>
        <w:pStyle w:val="Heading5"/>
      </w:pPr>
      <w:bookmarkStart w:id="549" w:name="_Toc129077771"/>
      <w:r>
        <w:rPr>
          <w:rStyle w:val="CharSectno"/>
        </w:rPr>
        <w:t>8</w:t>
      </w:r>
      <w:r>
        <w:t>.</w:t>
      </w:r>
      <w:r>
        <w:tab/>
        <w:t>Setting aside subpoena to attend to give evidence</w:t>
      </w:r>
      <w:bookmarkEnd w:id="549"/>
    </w:p>
    <w:p>
      <w:pPr>
        <w:pStyle w:val="Subsection"/>
      </w:pPr>
      <w:r>
        <w:tab/>
        <w:t>(1)</w:t>
      </w:r>
      <w:r>
        <w:tab/>
        <w:t>This rule applies if a subpoena to attend to give evidence has been issued in a proceeding.</w:t>
      </w:r>
    </w:p>
    <w:p>
      <w:pPr>
        <w:pStyle w:val="Subsection"/>
      </w:pPr>
      <w:r>
        <w:tab/>
        <w:t>(2)</w:t>
      </w:r>
      <w:r>
        <w:tab/>
        <w:t>On a request by the addressee, a party or any other person with a sufficient interest, the Court may set aside the subpoena or grant other relief in respect of it.</w:t>
      </w:r>
    </w:p>
    <w:p>
      <w:pPr>
        <w:pStyle w:val="Subsection"/>
      </w:pPr>
      <w:r>
        <w:tab/>
        <w:t>(3)</w:t>
      </w:r>
      <w:r>
        <w:tab/>
        <w:t>A request under this rule may be made before the date and time for attendance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Footnotesection"/>
      </w:pPr>
      <w:r>
        <w:tab/>
        <w:t>[Rule 8 inserted: Gazette 24 May 2017 p. 2572.]</w:t>
      </w:r>
    </w:p>
    <w:p>
      <w:pPr>
        <w:pStyle w:val="Heading5"/>
      </w:pPr>
      <w:bookmarkStart w:id="550" w:name="_Toc129077772"/>
      <w:r>
        <w:rPr>
          <w:rStyle w:val="CharSectno"/>
        </w:rPr>
        <w:lastRenderedPageBreak/>
        <w:t>8A</w:t>
      </w:r>
      <w:r>
        <w:t>.</w:t>
      </w:r>
      <w:r>
        <w:tab/>
        <w:t>Setting aside subpoena to produce and directions as to things to be produced</w:t>
      </w:r>
      <w:bookmarkEnd w:id="550"/>
    </w:p>
    <w:p>
      <w:pPr>
        <w:pStyle w:val="Subsection"/>
      </w:pPr>
      <w:r>
        <w:tab/>
        <w:t>(1)</w:t>
      </w:r>
      <w:r>
        <w:tab/>
        <w:t>This rule applies if a subpoena to produce has been issued in a proceeding.</w:t>
      </w:r>
    </w:p>
    <w:p>
      <w:pPr>
        <w:pStyle w:val="Subsection"/>
      </w:pPr>
      <w:r>
        <w:tab/>
        <w:t>(2)</w:t>
      </w:r>
      <w:r>
        <w:tab/>
        <w:t>On a request by the addressee, a party or any other person with a sufficient interest, the Court may, by order —</w:t>
      </w:r>
    </w:p>
    <w:p>
      <w:pPr>
        <w:pStyle w:val="Indenta"/>
      </w:pPr>
      <w:r>
        <w:tab/>
        <w:t>(a)</w:t>
      </w:r>
      <w:r>
        <w:tab/>
        <w:t>set aside the subpoena or part of it; or</w:t>
      </w:r>
    </w:p>
    <w:p>
      <w:pPr>
        <w:pStyle w:val="Indenta"/>
      </w:pPr>
      <w:r>
        <w:tab/>
        <w:t>(b)</w:t>
      </w:r>
      <w:r>
        <w:tab/>
        <w:t>make or vary directions in relation to removing from and returning to the Court, and the inspection, copying and disposal, of any document or thing that has been or is to be produced under it; or</w:t>
      </w:r>
    </w:p>
    <w:p>
      <w:pPr>
        <w:pStyle w:val="Indenta"/>
      </w:pPr>
      <w:r>
        <w:tab/>
        <w:t>(c)</w:t>
      </w:r>
      <w:r>
        <w:tab/>
        <w:t>grant other relief in respect of it.</w:t>
      </w:r>
    </w:p>
    <w:p>
      <w:pPr>
        <w:pStyle w:val="Subsection"/>
      </w:pPr>
      <w:r>
        <w:tab/>
        <w:t>(3)</w:t>
      </w:r>
      <w:r>
        <w:tab/>
        <w:t>A request under this rule may be made before the date and time for production specified in the subpoena.</w:t>
      </w:r>
    </w:p>
    <w:p>
      <w:pPr>
        <w:pStyle w:val="Subsection"/>
      </w:pPr>
      <w:r>
        <w:tab/>
        <w:t>(4)</w:t>
      </w:r>
      <w:r>
        <w:tab/>
        <w:t>Subrule (3) does not limit when a request under this rule may be made.</w:t>
      </w:r>
    </w:p>
    <w:p>
      <w:pPr>
        <w:pStyle w:val="Subsection"/>
      </w:pPr>
      <w:r>
        <w:tab/>
        <w:t>(5)</w:t>
      </w:r>
      <w:r>
        <w:tab/>
        <w:t>A request under this rule must be made in accordance with rule 8B.</w:t>
      </w:r>
    </w:p>
    <w:p>
      <w:pPr>
        <w:pStyle w:val="Subsection"/>
      </w:pPr>
      <w:r>
        <w:tab/>
        <w:t>(6)</w:t>
      </w:r>
      <w:r>
        <w:tab/>
        <w:t>While a request made under this rule is pending, the Registry must not permit any, or any further inspection, copying, removal or disposal of any document or thing to which the request relates.</w:t>
      </w:r>
    </w:p>
    <w:p>
      <w:pPr>
        <w:pStyle w:val="Footnotesection"/>
      </w:pPr>
      <w:r>
        <w:tab/>
        <w:t>[Rule 8A inserted: Gazette 24 May 2017 p. 2572</w:t>
      </w:r>
      <w:r>
        <w:noBreakHyphen/>
        <w:t>3.]</w:t>
      </w:r>
    </w:p>
    <w:p>
      <w:pPr>
        <w:pStyle w:val="Heading5"/>
      </w:pPr>
      <w:bookmarkStart w:id="551" w:name="_Toc129077773"/>
      <w:r>
        <w:rPr>
          <w:rStyle w:val="CharSectno"/>
        </w:rPr>
        <w:t>8B</w:t>
      </w:r>
      <w:r>
        <w:t>.</w:t>
      </w:r>
      <w:r>
        <w:tab/>
        <w:t>How requests under r. 8 and 8A to be made</w:t>
      </w:r>
      <w:bookmarkEnd w:id="551"/>
    </w:p>
    <w:p>
      <w:pPr>
        <w:pStyle w:val="Subsection"/>
      </w:pPr>
      <w:r>
        <w:tab/>
        <w:t>(1)</w:t>
      </w:r>
      <w:r>
        <w:tab/>
        <w:t>A request under rule 8 or 8A must be made by way of a letter to the Principal Registrar unless —</w:t>
      </w:r>
    </w:p>
    <w:p>
      <w:pPr>
        <w:pStyle w:val="Indenta"/>
      </w:pPr>
      <w:r>
        <w:tab/>
        <w:t>(a)</w:t>
      </w:r>
      <w:r>
        <w:tab/>
        <w:t>the request is made orally during a case management conference held under Order 4A, or during a hearing, by a party to the proceeding in which the subpoena has been issued; or</w:t>
      </w:r>
    </w:p>
    <w:p>
      <w:pPr>
        <w:pStyle w:val="Indenta"/>
      </w:pPr>
      <w:r>
        <w:lastRenderedPageBreak/>
        <w:tab/>
        <w:t>(b)</w:t>
      </w:r>
      <w:r>
        <w:tab/>
        <w:t>a motion or summons is justified by the circumstances of the particular case or the nature of the request, in which case the request may be made by way of motion or summons; or</w:t>
      </w:r>
    </w:p>
    <w:p>
      <w:pPr>
        <w:pStyle w:val="Indenta"/>
      </w:pPr>
      <w:r>
        <w:tab/>
        <w:t>(c)</w:t>
      </w:r>
      <w:r>
        <w:tab/>
        <w:t xml:space="preserve">the </w:t>
      </w:r>
      <w:r>
        <w:rPr>
          <w:i/>
        </w:rPr>
        <w:t>Supreme Court (Corporations) (WA) Rules 2004</w:t>
      </w:r>
      <w:r>
        <w:t xml:space="preserve"> apply to the proceeding in which the subpoena has been issued, in which case the request must be made under those rules.</w:t>
      </w:r>
    </w:p>
    <w:p>
      <w:pPr>
        <w:pStyle w:val="Subsection"/>
      </w:pPr>
      <w:r>
        <w:tab/>
        <w:t>(2)</w:t>
      </w:r>
      <w:r>
        <w:tab/>
        <w:t>A request under rule 8 or 8A made by letter must state —</w:t>
      </w:r>
    </w:p>
    <w:p>
      <w:pPr>
        <w:pStyle w:val="Indenta"/>
      </w:pPr>
      <w:r>
        <w:tab/>
        <w:t>(a)</w:t>
      </w:r>
      <w:r>
        <w:tab/>
        <w:t>the grounds of the request; and</w:t>
      </w:r>
    </w:p>
    <w:p>
      <w:pPr>
        <w:pStyle w:val="Indenta"/>
      </w:pPr>
      <w:r>
        <w:tab/>
        <w:t>(b)</w:t>
      </w:r>
      <w:r>
        <w:tab/>
        <w:t>the order, direction or relief sought.</w:t>
      </w:r>
    </w:p>
    <w:p>
      <w:pPr>
        <w:pStyle w:val="Subsection"/>
      </w:pPr>
      <w:r>
        <w:tab/>
        <w:t>(3)</w:t>
      </w:r>
      <w:r>
        <w:tab/>
        <w:t>The person making a request under rule 8 or 8A by letter must —</w:t>
      </w:r>
    </w:p>
    <w:p>
      <w:pPr>
        <w:pStyle w:val="Indenta"/>
      </w:pPr>
      <w:r>
        <w:tab/>
        <w:t>(a)</w:t>
      </w:r>
      <w:r>
        <w:tab/>
        <w:t>file it; and</w:t>
      </w:r>
    </w:p>
    <w:p>
      <w:pPr>
        <w:pStyle w:val="Indenta"/>
      </w:pPr>
      <w:r>
        <w:tab/>
        <w:t>(b)</w:t>
      </w:r>
      <w:r>
        <w:tab/>
        <w:t>serve a copy of it on the issuing party.</w:t>
      </w:r>
    </w:p>
    <w:p>
      <w:pPr>
        <w:pStyle w:val="Subsection"/>
      </w:pPr>
      <w:r>
        <w:tab/>
        <w:t>(3A)</w:t>
      </w:r>
      <w:r>
        <w:tab/>
        <w:t xml:space="preserve">A request under rule 8 or 8A cannot be filed electronically unless — </w:t>
      </w:r>
    </w:p>
    <w:p>
      <w:pPr>
        <w:pStyle w:val="Indenta"/>
      </w:pPr>
      <w:r>
        <w:tab/>
        <w:t>(a)</w:t>
      </w:r>
      <w:r>
        <w:tab/>
        <w:t>the request is made by a party; or</w:t>
      </w:r>
    </w:p>
    <w:p>
      <w:pPr>
        <w:pStyle w:val="Indenta"/>
      </w:pPr>
      <w:r>
        <w:tab/>
        <w:t>(b)</w:t>
      </w:r>
      <w:r>
        <w:tab/>
        <w:t>the Principal Registrar has given approval for the request to be filed electronically.</w:t>
      </w:r>
    </w:p>
    <w:p>
      <w:pPr>
        <w:pStyle w:val="Subsection"/>
      </w:pPr>
      <w:r>
        <w:tab/>
        <w:t>(4)</w:t>
      </w:r>
      <w:r>
        <w:tab/>
        <w:t>Even if a person has made a request under rule 8 or 8A by letter in accordance with this rule, the Principal Registrar or a case manager (as defined in Order 4A rule 1) may direct the person to make the request in some other manner.</w:t>
      </w:r>
    </w:p>
    <w:p>
      <w:pPr>
        <w:pStyle w:val="Footnotesection"/>
      </w:pPr>
      <w:r>
        <w:tab/>
        <w:t>[Rule 8B inserted: Gazette 24 May 2017 p. 2573</w:t>
      </w:r>
      <w:r>
        <w:noBreakHyphen/>
        <w:t>4; amended: Gazette 27 Feb 2018 p. 563.]</w:t>
      </w:r>
    </w:p>
    <w:p>
      <w:pPr>
        <w:pStyle w:val="Heading5"/>
      </w:pPr>
      <w:bookmarkStart w:id="552" w:name="_Toc129077774"/>
      <w:r>
        <w:rPr>
          <w:rStyle w:val="CharSectno"/>
        </w:rPr>
        <w:t>9</w:t>
      </w:r>
      <w:r>
        <w:t>.</w:t>
      </w:r>
      <w:r>
        <w:tab/>
        <w:t>Inspecting and dealing with documents and things produced otherwise than at a trial</w:t>
      </w:r>
      <w:bookmarkEnd w:id="552"/>
    </w:p>
    <w:p>
      <w:pPr>
        <w:pStyle w:val="Subsection"/>
      </w:pPr>
      <w:r>
        <w:tab/>
        <w:t>(1)</w:t>
      </w:r>
      <w:r>
        <w:tab/>
        <w:t>This rule applies if, under a subpoena to produce, the addressee produces a document or thing to the Court otherwise than at a trial.</w:t>
      </w:r>
    </w:p>
    <w:p>
      <w:pPr>
        <w:pStyle w:val="Subsection"/>
      </w:pPr>
      <w:r>
        <w:lastRenderedPageBreak/>
        <w:tab/>
        <w:t>(2)</w:t>
      </w:r>
      <w:r>
        <w:tab/>
        <w:t>After the date and time for production specified in the subpoena, a registrar, subject to —</w:t>
      </w:r>
    </w:p>
    <w:p>
      <w:pPr>
        <w:pStyle w:val="Indenta"/>
      </w:pPr>
      <w:r>
        <w:tab/>
        <w:t>(a)</w:t>
      </w:r>
      <w:r>
        <w:tab/>
        <w:t>any direction made or relief granted under rule 8A; and</w:t>
      </w:r>
    </w:p>
    <w:p>
      <w:pPr>
        <w:pStyle w:val="Indenta"/>
      </w:pPr>
      <w:r>
        <w:tab/>
        <w:t>(b)</w:t>
      </w:r>
      <w:r>
        <w:tab/>
        <w:t>rule 8A(6) and this rule,</w:t>
      </w:r>
    </w:p>
    <w:p>
      <w:pPr>
        <w:pStyle w:val="Subsection"/>
      </w:pPr>
      <w:r>
        <w:tab/>
      </w:r>
      <w:r>
        <w:tab/>
        <w:t>may permit any party to the proceeding to inspect, copy or remove any document or thing produced under the subpoena.</w:t>
      </w:r>
    </w:p>
    <w:p>
      <w:pPr>
        <w:pStyle w:val="Subsection"/>
      </w:pPr>
      <w:r>
        <w:tab/>
        <w:t>(3)</w:t>
      </w:r>
      <w:r>
        <w:tab/>
        <w:t>A document or thing produced cannot be removed from the Registry except on a written application that is signed by the solicitor for a party and approved by —</w:t>
      </w:r>
    </w:p>
    <w:p>
      <w:pPr>
        <w:pStyle w:val="Indenta"/>
      </w:pPr>
      <w:r>
        <w:tab/>
        <w:t>(a)</w:t>
      </w:r>
      <w:r>
        <w:tab/>
        <w:t>a registrar; or</w:t>
      </w:r>
    </w:p>
    <w:p>
      <w:pPr>
        <w:pStyle w:val="Indenta"/>
      </w:pPr>
      <w:r>
        <w:tab/>
        <w:t>(b)</w:t>
      </w:r>
      <w:r>
        <w:tab/>
        <w:t>a Court officer authorised in writing for the purposes of this subrule by the Chief Justice.</w:t>
      </w:r>
    </w:p>
    <w:p>
      <w:pPr>
        <w:pStyle w:val="Subsection"/>
      </w:pPr>
      <w:r>
        <w:tab/>
        <w:t>(4)</w:t>
      </w:r>
      <w:r>
        <w:tab/>
        <w:t>An application made under subrule (3) may be approved with or without conditions, or refused.</w:t>
      </w:r>
    </w:p>
    <w:p>
      <w:pPr>
        <w:pStyle w:val="Subsection"/>
      </w:pPr>
      <w:r>
        <w:tab/>
        <w:t>(5)</w:t>
      </w:r>
      <w:r>
        <w:tab/>
        <w:t>A solicitor who signs an application under subrule (3) and removes a document or thing from the Registry, undertakes to the Court by force of this rule that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a registrar.</w:t>
      </w:r>
    </w:p>
    <w:p>
      <w:pPr>
        <w:pStyle w:val="Footnotesection"/>
      </w:pPr>
      <w:r>
        <w:tab/>
        <w:t>[Rule 9 inserted: Gazette 24 May 2017 p. 2574</w:t>
      </w:r>
      <w:r>
        <w:noBreakHyphen/>
        <w:t>5.]</w:t>
      </w:r>
    </w:p>
    <w:p>
      <w:pPr>
        <w:pStyle w:val="Heading5"/>
      </w:pPr>
      <w:bookmarkStart w:id="553" w:name="_Toc129077775"/>
      <w:r>
        <w:rPr>
          <w:rStyle w:val="CharSectno"/>
        </w:rPr>
        <w:t>10</w:t>
      </w:r>
      <w:r>
        <w:t>.</w:t>
      </w:r>
      <w:r>
        <w:tab/>
        <w:t>Disposal of documents and things produced</w:t>
      </w:r>
      <w:bookmarkEnd w:id="553"/>
    </w:p>
    <w:p>
      <w:pPr>
        <w:pStyle w:val="Subsection"/>
      </w:pPr>
      <w:r>
        <w:tab/>
        <w:t>(1)</w:t>
      </w:r>
      <w:r>
        <w:tab/>
        <w:t>Unless the Court otherwise orders, a registrar may, in the registrar’s discretion, return to the addressee any document or thing produced in response to the subpoena.</w:t>
      </w:r>
    </w:p>
    <w:p>
      <w:pPr>
        <w:pStyle w:val="Subsection"/>
      </w:pPr>
      <w:r>
        <w:tab/>
        <w:t>(2)</w:t>
      </w:r>
      <w:r>
        <w:tab/>
        <w:t xml:space="preserve">Unless the Court otherwise orders, a registrar must not return any document or thing under </w:t>
      </w:r>
      <w:r>
        <w:rPr>
          <w:snapToGrid w:val="0"/>
        </w:rPr>
        <w:t>subrule</w:t>
      </w:r>
      <w:r>
        <w:t xml:space="preserve"> (1) unless the registrar has </w:t>
      </w:r>
      <w:r>
        <w:lastRenderedPageBreak/>
        <w:t>given to the issuing party at least 14 days’ notice of the intention to do so and that period has expired.</w:t>
      </w:r>
    </w:p>
    <w:p>
      <w:pPr>
        <w:pStyle w:val="Subsection"/>
      </w:pPr>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Unless the Court orders otherwise, a registrar may, at the registrar’s discretion, cause to be destroyed a document produced in compliance with a subpoena if — </w:t>
      </w:r>
    </w:p>
    <w:p>
      <w:pPr>
        <w:pStyle w:val="Indenta"/>
      </w:pPr>
      <w:r>
        <w:tab/>
        <w:t>(a)</w:t>
      </w:r>
      <w:r>
        <w:tab/>
        <w:t>the document is declared by the addressee to be a copy; and</w:t>
      </w:r>
    </w:p>
    <w:p>
      <w:pPr>
        <w:pStyle w:val="Indenta"/>
      </w:pPr>
      <w:r>
        <w:tab/>
        <w:t>(b)</w:t>
      </w:r>
      <w:r>
        <w:tab/>
        <w:t>the registrar has given the issuing party at least 14 days’ notice of the intention to destroy the document and that period has expired.</w:t>
      </w:r>
    </w:p>
    <w:p>
      <w:pPr>
        <w:pStyle w:val="Subsection"/>
      </w:pPr>
      <w:r>
        <w:tab/>
        <w:t>(6)</w:t>
      </w:r>
      <w:r>
        <w:tab/>
        <w:t>Unless the Court orders otherwise, a registrar must not destroy a document under subrule (5) if the document has become an exhibit in a proceeding and is required in connection with the proceeding, including on any appeal.</w:t>
      </w:r>
    </w:p>
    <w:p>
      <w:pPr>
        <w:pStyle w:val="Footnotesection"/>
      </w:pPr>
      <w:r>
        <w:tab/>
        <w:t>[Rule 10 inserted: Gazette 21 Feb 2007 p. 545; amended: Gazette 28 Jul 2010 p. 3478; 24 May 2017 p. 2575 and 2576; 16 Aug 2017 p. 4415.]</w:t>
      </w:r>
    </w:p>
    <w:p>
      <w:pPr>
        <w:pStyle w:val="Heading5"/>
      </w:pPr>
      <w:bookmarkStart w:id="554" w:name="_Toc129077776"/>
      <w:r>
        <w:rPr>
          <w:rStyle w:val="CharSectno"/>
        </w:rPr>
        <w:t>11</w:t>
      </w:r>
      <w:r>
        <w:t>.</w:t>
      </w:r>
      <w:r>
        <w:tab/>
        <w:t>Costs and expenses of compliance</w:t>
      </w:r>
      <w:bookmarkEnd w:id="554"/>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lastRenderedPageBreak/>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r>
        <w:tab/>
        <w:t>[Rule 11 inserted: Gazette 21 Feb 2007 p. 545.]</w:t>
      </w:r>
    </w:p>
    <w:p>
      <w:pPr>
        <w:pStyle w:val="Heading5"/>
      </w:pPr>
      <w:bookmarkStart w:id="555" w:name="_Toc129077777"/>
      <w:r>
        <w:rPr>
          <w:rStyle w:val="CharSectno"/>
        </w:rPr>
        <w:t>12</w:t>
      </w:r>
      <w:r>
        <w:t>.</w:t>
      </w:r>
      <w:r>
        <w:tab/>
        <w:t>Failure to comply with subpoena is contempt of court</w:t>
      </w:r>
      <w:bookmarkEnd w:id="555"/>
    </w:p>
    <w:p>
      <w:pPr>
        <w:pStyle w:val="Subsection"/>
      </w:pPr>
      <w:r>
        <w:tab/>
        <w:t>(1)</w:t>
      </w:r>
      <w:r>
        <w:tab/>
        <w:t>Failure to comply with a subpoena without lawful excuse is a contempt of court and the addressee may be dealt with accordingly.</w:t>
      </w:r>
    </w:p>
    <w:p>
      <w:pPr>
        <w:pStyle w:val="Subsection"/>
      </w:pPr>
      <w:r>
        <w:tab/>
        <w:t>(2)</w:t>
      </w:r>
      <w:r>
        <w:tab/>
        <w:t>Despite rule 4(1),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r>
        <w:tab/>
        <w:t>[Rule 12 inserted: Gazette 21 Feb 2007 p. 546; amended: Gazette 16 Aug 2017 p. 4415.]</w:t>
      </w:r>
    </w:p>
    <w:p>
      <w:pPr>
        <w:pStyle w:val="Heading5"/>
      </w:pPr>
      <w:bookmarkStart w:id="556" w:name="_Toc129077778"/>
      <w:r>
        <w:rPr>
          <w:rStyle w:val="CharSectno"/>
        </w:rPr>
        <w:t>13</w:t>
      </w:r>
      <w:r>
        <w:t>.</w:t>
      </w:r>
      <w:r>
        <w:tab/>
        <w:t>Documents and things in custody of court</w:t>
      </w:r>
      <w:bookmarkEnd w:id="556"/>
    </w:p>
    <w:p>
      <w:pPr>
        <w:pStyle w:val="Subsection"/>
      </w:pPr>
      <w:r>
        <w:tab/>
        <w:t>(1)</w:t>
      </w:r>
      <w:r>
        <w:tab/>
        <w:t>A party who seeks production of a document or thing in the custody of the Court or of another court may inform a registrar in writing accordingly, identifying the document or thing.</w:t>
      </w:r>
    </w:p>
    <w:p>
      <w:pPr>
        <w:pStyle w:val="Subsection"/>
      </w:pPr>
      <w:r>
        <w:tab/>
        <w:t>(2)</w:t>
      </w:r>
      <w:r>
        <w:tab/>
        <w:t xml:space="preserve">If the document or thing is in the custody of the Court, a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lastRenderedPageBreak/>
        <w:tab/>
        <w:t>(3)</w:t>
      </w:r>
      <w:r>
        <w:tab/>
        <w:t xml:space="preserve">If the document or thing is in the custody of another court, a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Gazette 21 Feb 2007 p. 546; amended: Gazette 24 May 2017 p. 2575 and 2576.]</w:t>
      </w:r>
    </w:p>
    <w:p>
      <w:pPr>
        <w:pStyle w:val="Heading2"/>
        <w:rPr>
          <w:b w:val="0"/>
        </w:rPr>
      </w:pPr>
      <w:bookmarkStart w:id="557" w:name="_Toc129073707"/>
      <w:bookmarkStart w:id="558" w:name="_Toc129074990"/>
      <w:bookmarkStart w:id="559" w:name="_Toc129077779"/>
      <w:r>
        <w:rPr>
          <w:rStyle w:val="CharPartNo"/>
        </w:rPr>
        <w:lastRenderedPageBreak/>
        <w:t>Order 37</w:t>
      </w:r>
      <w:r>
        <w:rPr>
          <w:rStyle w:val="CharDivNo"/>
        </w:rPr>
        <w:t> </w:t>
      </w:r>
      <w:r>
        <w:t>—</w:t>
      </w:r>
      <w:r>
        <w:rPr>
          <w:rStyle w:val="CharDivText"/>
        </w:rPr>
        <w:t> </w:t>
      </w:r>
      <w:r>
        <w:rPr>
          <w:rStyle w:val="CharPartText"/>
        </w:rPr>
        <w:t>Affidavits</w:t>
      </w:r>
      <w:bookmarkEnd w:id="557"/>
      <w:bookmarkEnd w:id="558"/>
      <w:bookmarkEnd w:id="559"/>
    </w:p>
    <w:p>
      <w:pPr>
        <w:pStyle w:val="Heading5"/>
        <w:rPr>
          <w:snapToGrid w:val="0"/>
        </w:rPr>
      </w:pPr>
      <w:bookmarkStart w:id="560" w:name="_Toc129077780"/>
      <w:r>
        <w:rPr>
          <w:rStyle w:val="CharSectno"/>
        </w:rPr>
        <w:t>1</w:t>
      </w:r>
      <w:r>
        <w:rPr>
          <w:snapToGrid w:val="0"/>
        </w:rPr>
        <w:t>.</w:t>
      </w:r>
      <w:r>
        <w:rPr>
          <w:snapToGrid w:val="0"/>
        </w:rPr>
        <w:tab/>
        <w:t>Title of affidavits</w:t>
      </w:r>
      <w:bookmarkEnd w:id="560"/>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Gazette 17 Sep 1993 p. 5054; 28 Jun 2011 p. 2552</w:t>
      </w:r>
      <w:r>
        <w:noBreakHyphen/>
        <w:t xml:space="preserve">3.] </w:t>
      </w:r>
    </w:p>
    <w:p>
      <w:pPr>
        <w:pStyle w:val="Heading5"/>
        <w:rPr>
          <w:snapToGrid w:val="0"/>
        </w:rPr>
      </w:pPr>
      <w:bookmarkStart w:id="561" w:name="_Toc129077781"/>
      <w:r>
        <w:rPr>
          <w:rStyle w:val="CharSectno"/>
        </w:rPr>
        <w:t>2</w:t>
      </w:r>
      <w:r>
        <w:rPr>
          <w:snapToGrid w:val="0"/>
        </w:rPr>
        <w:t>.</w:t>
      </w:r>
      <w:r>
        <w:rPr>
          <w:snapToGrid w:val="0"/>
        </w:rPr>
        <w:tab/>
        <w:t>Form of affidavits</w:t>
      </w:r>
      <w:bookmarkEnd w:id="561"/>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lastRenderedPageBreak/>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pPr>
      <w:r>
        <w:tab/>
        <w:t>(9A)</w:t>
      </w:r>
      <w:r>
        <w:tab/>
        <w:t>If 1 or more volumes of an affidavit and its attachments are filed electronically, subrule (9) does not require them to be bound.</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 xml:space="preserve">attachments, if not filed electronically, </w:t>
      </w:r>
      <w:r>
        <w:rPr>
          <w:snapToGrid w:val="0"/>
        </w:rPr>
        <w:t>must not exceed 40 mm.</w:t>
      </w:r>
    </w:p>
    <w:p>
      <w:pPr>
        <w:pStyle w:val="Subsection"/>
      </w:pPr>
      <w:r>
        <w:tab/>
        <w:t>(11)</w:t>
      </w:r>
      <w:r>
        <w:tab/>
        <w:t>Except in a case where the Court allows otherwise, a volume of an affidavit and its attachments, if filed electronically, must not exceed 250 pages.</w:t>
      </w:r>
    </w:p>
    <w:p>
      <w:pPr>
        <w:pStyle w:val="Footnotesection"/>
      </w:pPr>
      <w:r>
        <w:tab/>
        <w:t>[Rule 2 amended: Gazette 16 Nov 1990 p. 5698</w:t>
      </w:r>
      <w:r>
        <w:noBreakHyphen/>
        <w:t>9; 23 Jan 2001 p. 562; 21 Feb 2007 p. 550; 27 Feb 2018 p. 563</w:t>
      </w:r>
      <w:r>
        <w:noBreakHyphen/>
        <w:t xml:space="preserve">4.] </w:t>
      </w:r>
    </w:p>
    <w:p>
      <w:pPr>
        <w:pStyle w:val="Heading5"/>
        <w:rPr>
          <w:snapToGrid w:val="0"/>
        </w:rPr>
      </w:pPr>
      <w:bookmarkStart w:id="562" w:name="_Toc129077782"/>
      <w:r>
        <w:rPr>
          <w:rStyle w:val="CharSectno"/>
        </w:rPr>
        <w:t>3</w:t>
      </w:r>
      <w:r>
        <w:rPr>
          <w:snapToGrid w:val="0"/>
        </w:rPr>
        <w:t>.</w:t>
      </w:r>
      <w:r>
        <w:rPr>
          <w:snapToGrid w:val="0"/>
        </w:rPr>
        <w:tab/>
        <w:t>Affidavits by 2 or more deponents</w:t>
      </w:r>
      <w:bookmarkEnd w:id="562"/>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lastRenderedPageBreak/>
        <w:t>[</w:t>
      </w:r>
      <w:r>
        <w:rPr>
          <w:b/>
        </w:rPr>
        <w:t>4, 4A.</w:t>
      </w:r>
      <w:r>
        <w:tab/>
        <w:t>Deleted: Gazette 21 Feb 2007 p. 550.]</w:t>
      </w:r>
    </w:p>
    <w:p>
      <w:pPr>
        <w:pStyle w:val="Heading5"/>
        <w:rPr>
          <w:snapToGrid w:val="0"/>
        </w:rPr>
      </w:pPr>
      <w:bookmarkStart w:id="563" w:name="_Toc129077783"/>
      <w:r>
        <w:rPr>
          <w:rStyle w:val="CharSectno"/>
        </w:rPr>
        <w:t>5</w:t>
      </w:r>
      <w:r>
        <w:rPr>
          <w:snapToGrid w:val="0"/>
        </w:rPr>
        <w:t>.</w:t>
      </w:r>
      <w:r>
        <w:rPr>
          <w:snapToGrid w:val="0"/>
        </w:rPr>
        <w:tab/>
        <w:t>Irregularity</w:t>
      </w:r>
      <w:bookmarkEnd w:id="563"/>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64" w:name="_Toc129077784"/>
      <w:r>
        <w:rPr>
          <w:rStyle w:val="CharSectno"/>
        </w:rPr>
        <w:t>6</w:t>
      </w:r>
      <w:r>
        <w:rPr>
          <w:snapToGrid w:val="0"/>
        </w:rPr>
        <w:t>.</w:t>
      </w:r>
      <w:r>
        <w:rPr>
          <w:snapToGrid w:val="0"/>
        </w:rPr>
        <w:tab/>
        <w:t>Contents of affidavits</w:t>
      </w:r>
      <w:bookmarkEnd w:id="564"/>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keepNext/>
      </w:pPr>
      <w:r>
        <w:lastRenderedPageBreak/>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Gazette 5 Jun 1992 p. 2281; 26 Aug 1994 p. 4415; 13 Sep 1996 p. 4568; 28 Oct 1996 p. 5698; 16 Jul 1999 p. 3189; 28 Jul 2010 p. 3482-3.] </w:t>
      </w:r>
    </w:p>
    <w:p>
      <w:pPr>
        <w:pStyle w:val="Heading5"/>
        <w:rPr>
          <w:snapToGrid w:val="0"/>
        </w:rPr>
      </w:pPr>
      <w:bookmarkStart w:id="565" w:name="_Toc129077785"/>
      <w:r>
        <w:rPr>
          <w:rStyle w:val="CharSectno"/>
        </w:rPr>
        <w:t>7</w:t>
      </w:r>
      <w:r>
        <w:rPr>
          <w:snapToGrid w:val="0"/>
        </w:rPr>
        <w:t>.</w:t>
      </w:r>
      <w:r>
        <w:rPr>
          <w:snapToGrid w:val="0"/>
        </w:rPr>
        <w:tab/>
        <w:t>Scandalous matter</w:t>
      </w:r>
      <w:bookmarkEnd w:id="565"/>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r>
        <w:t>[</w:t>
      </w:r>
      <w:r>
        <w:rPr>
          <w:b/>
        </w:rPr>
        <w:t>8.</w:t>
      </w:r>
      <w:r>
        <w:tab/>
        <w:t>Deleted: Gazette 21 Feb 2007 p. 550.]</w:t>
      </w:r>
    </w:p>
    <w:p>
      <w:pPr>
        <w:pStyle w:val="Heading5"/>
        <w:rPr>
          <w:snapToGrid w:val="0"/>
        </w:rPr>
      </w:pPr>
      <w:bookmarkStart w:id="566" w:name="_Toc129077786"/>
      <w:r>
        <w:rPr>
          <w:rStyle w:val="CharSectno"/>
        </w:rPr>
        <w:t>9</w:t>
      </w:r>
      <w:r>
        <w:rPr>
          <w:snapToGrid w:val="0"/>
        </w:rPr>
        <w:t>.</w:t>
      </w:r>
      <w:r>
        <w:rPr>
          <w:snapToGrid w:val="0"/>
        </w:rPr>
        <w:tab/>
        <w:t>Exhibits</w:t>
      </w:r>
      <w:bookmarkEnd w:id="566"/>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Subsection"/>
      </w:pPr>
      <w:r>
        <w:tab/>
        <w:t>(3)</w:t>
      </w:r>
      <w:r>
        <w:tab/>
        <w:t>An exhibit to an affidavit cannot be filed electronically.</w:t>
      </w:r>
    </w:p>
    <w:p>
      <w:pPr>
        <w:pStyle w:val="Footnotesection"/>
      </w:pPr>
      <w:r>
        <w:tab/>
        <w:t xml:space="preserve">[Rule 9 amended: Gazette 16 Nov 1990 p. 5699; 21 Feb 2007 p. 551; 27 Feb 2018 p. 564.] </w:t>
      </w:r>
    </w:p>
    <w:p>
      <w:pPr>
        <w:pStyle w:val="Ednotesection"/>
      </w:pPr>
      <w:r>
        <w:t>[</w:t>
      </w:r>
      <w:r>
        <w:rPr>
          <w:b/>
        </w:rPr>
        <w:t>10</w:t>
      </w:r>
      <w:r>
        <w:rPr>
          <w:b/>
        </w:rPr>
        <w:noBreakHyphen/>
        <w:t>12.</w:t>
      </w:r>
      <w:r>
        <w:tab/>
        <w:t>Deleted: Gazette 21 Feb 2007 p. 551.]</w:t>
      </w:r>
    </w:p>
    <w:p>
      <w:pPr>
        <w:pStyle w:val="Heading5"/>
        <w:rPr>
          <w:snapToGrid w:val="0"/>
        </w:rPr>
      </w:pPr>
      <w:bookmarkStart w:id="567" w:name="_Toc129077787"/>
      <w:r>
        <w:rPr>
          <w:rStyle w:val="CharSectno"/>
        </w:rPr>
        <w:lastRenderedPageBreak/>
        <w:t>13</w:t>
      </w:r>
      <w:r>
        <w:rPr>
          <w:snapToGrid w:val="0"/>
        </w:rPr>
        <w:t>.</w:t>
      </w:r>
      <w:r>
        <w:rPr>
          <w:snapToGrid w:val="0"/>
        </w:rPr>
        <w:tab/>
        <w:t>Affidavits to be filed</w:t>
      </w:r>
      <w:bookmarkEnd w:id="567"/>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68" w:name="_Toc129077788"/>
      <w:r>
        <w:rPr>
          <w:rStyle w:val="CharSectno"/>
        </w:rPr>
        <w:t>14</w:t>
      </w:r>
      <w:r>
        <w:rPr>
          <w:snapToGrid w:val="0"/>
        </w:rPr>
        <w:t>.</w:t>
      </w:r>
      <w:r>
        <w:rPr>
          <w:snapToGrid w:val="0"/>
        </w:rPr>
        <w:tab/>
        <w:t>Affidavits not to be filed out of time without leave</w:t>
      </w:r>
      <w:bookmarkEnd w:id="568"/>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69" w:name="_Toc129077789"/>
      <w:r>
        <w:rPr>
          <w:rStyle w:val="CharSectno"/>
        </w:rPr>
        <w:t>15</w:t>
      </w:r>
      <w:r>
        <w:rPr>
          <w:snapToGrid w:val="0"/>
        </w:rPr>
        <w:t>.</w:t>
      </w:r>
      <w:r>
        <w:rPr>
          <w:snapToGrid w:val="0"/>
        </w:rPr>
        <w:tab/>
        <w:t>Alterations in accounts</w:t>
      </w:r>
      <w:bookmarkEnd w:id="569"/>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r>
        <w:tab/>
        <w:t xml:space="preserve">[Rule 15 amended: Gazette 21 Feb 2007 p. 551.] </w:t>
      </w:r>
    </w:p>
    <w:p>
      <w:pPr>
        <w:pStyle w:val="Heading5"/>
      </w:pPr>
      <w:bookmarkStart w:id="570" w:name="_Toc129077790"/>
      <w:r>
        <w:rPr>
          <w:rStyle w:val="CharSectno"/>
        </w:rPr>
        <w:t>16</w:t>
      </w:r>
      <w:r>
        <w:t>.</w:t>
      </w:r>
      <w:r>
        <w:tab/>
        <w:t xml:space="preserve">This Order additional to </w:t>
      </w:r>
      <w:r>
        <w:rPr>
          <w:i/>
        </w:rPr>
        <w:t>Oaths, Affidavits and Statutory Declarations Act 2005</w:t>
      </w:r>
      <w:bookmarkEnd w:id="570"/>
    </w:p>
    <w:p>
      <w:pPr>
        <w:pStyle w:val="Subsection"/>
      </w:pPr>
      <w:r>
        <w:tab/>
      </w:r>
      <w:r>
        <w:tab/>
        <w:t xml:space="preserve">This Order is in addition to the </w:t>
      </w:r>
      <w:r>
        <w:rPr>
          <w:i/>
        </w:rPr>
        <w:t>Oaths, Affidavits and Statutory Declarations Act 2005</w:t>
      </w:r>
      <w:r>
        <w:t>.</w:t>
      </w:r>
    </w:p>
    <w:p>
      <w:pPr>
        <w:pStyle w:val="Footnotesection"/>
      </w:pPr>
      <w:r>
        <w:tab/>
        <w:t>[Rule 16 inserted: Gazette 21 Feb 2007 p. 551.]</w:t>
      </w:r>
    </w:p>
    <w:p>
      <w:pPr>
        <w:pStyle w:val="Heading2"/>
        <w:rPr>
          <w:b w:val="0"/>
        </w:rPr>
      </w:pPr>
      <w:bookmarkStart w:id="571" w:name="_Toc129073719"/>
      <w:bookmarkStart w:id="572" w:name="_Toc129075002"/>
      <w:bookmarkStart w:id="573" w:name="_Toc129077791"/>
      <w:r>
        <w:rPr>
          <w:rStyle w:val="CharPartNo"/>
        </w:rPr>
        <w:lastRenderedPageBreak/>
        <w:t>Order 38</w:t>
      </w:r>
      <w:r>
        <w:rPr>
          <w:rStyle w:val="CharDivNo"/>
        </w:rPr>
        <w:t> </w:t>
      </w:r>
      <w:r>
        <w:t>—</w:t>
      </w:r>
      <w:r>
        <w:rPr>
          <w:rStyle w:val="CharDivText"/>
        </w:rPr>
        <w:t> </w:t>
      </w:r>
      <w:r>
        <w:rPr>
          <w:rStyle w:val="CharPartText"/>
        </w:rPr>
        <w:t>Evidence by deposition</w:t>
      </w:r>
      <w:bookmarkEnd w:id="571"/>
      <w:bookmarkEnd w:id="572"/>
      <w:bookmarkEnd w:id="573"/>
    </w:p>
    <w:p>
      <w:pPr>
        <w:pStyle w:val="Heading5"/>
        <w:rPr>
          <w:snapToGrid w:val="0"/>
        </w:rPr>
      </w:pPr>
      <w:bookmarkStart w:id="574" w:name="_Toc129077792"/>
      <w:r>
        <w:rPr>
          <w:rStyle w:val="CharSectno"/>
        </w:rPr>
        <w:t>1</w:t>
      </w:r>
      <w:r>
        <w:rPr>
          <w:snapToGrid w:val="0"/>
        </w:rPr>
        <w:t>.</w:t>
      </w:r>
      <w:r>
        <w:rPr>
          <w:snapToGrid w:val="0"/>
        </w:rPr>
        <w:tab/>
        <w:t>Power to order depositions to be taken</w:t>
      </w:r>
      <w:bookmarkEnd w:id="574"/>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Gazette 8 Feb 1991 p. 582; 28 Jun 2011 p. 2552.] </w:t>
      </w:r>
    </w:p>
    <w:p>
      <w:pPr>
        <w:pStyle w:val="Ednotesection"/>
      </w:pPr>
      <w:r>
        <w:t>[</w:t>
      </w:r>
      <w:r>
        <w:rPr>
          <w:b/>
        </w:rPr>
        <w:t>2, 3.</w:t>
      </w:r>
      <w:r>
        <w:rPr>
          <w:b/>
        </w:rPr>
        <w:tab/>
      </w:r>
      <w:r>
        <w:t xml:space="preserve">Deleted: Gazette 8 Feb 1991 p. 582.] </w:t>
      </w:r>
    </w:p>
    <w:p>
      <w:pPr>
        <w:pStyle w:val="Heading5"/>
        <w:rPr>
          <w:snapToGrid w:val="0"/>
        </w:rPr>
      </w:pPr>
      <w:bookmarkStart w:id="575" w:name="_Toc129077793"/>
      <w:r>
        <w:rPr>
          <w:rStyle w:val="CharSectno"/>
        </w:rPr>
        <w:t>4</w:t>
      </w:r>
      <w:r>
        <w:rPr>
          <w:snapToGrid w:val="0"/>
        </w:rPr>
        <w:t>.</w:t>
      </w:r>
      <w:r>
        <w:rPr>
          <w:snapToGrid w:val="0"/>
        </w:rPr>
        <w:tab/>
        <w:t>Enforcing attendance of witness</w:t>
      </w:r>
      <w:bookmarkEnd w:id="575"/>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r>
        <w:tab/>
        <w:t>[Rule 4 amended: Gazette 21 Feb 2007 p. 551.]</w:t>
      </w:r>
    </w:p>
    <w:p>
      <w:pPr>
        <w:pStyle w:val="Heading5"/>
        <w:rPr>
          <w:snapToGrid w:val="0"/>
        </w:rPr>
      </w:pPr>
      <w:bookmarkStart w:id="576" w:name="_Toc129077794"/>
      <w:r>
        <w:rPr>
          <w:rStyle w:val="CharSectno"/>
        </w:rPr>
        <w:lastRenderedPageBreak/>
        <w:t>5</w:t>
      </w:r>
      <w:r>
        <w:rPr>
          <w:snapToGrid w:val="0"/>
        </w:rPr>
        <w:t>.</w:t>
      </w:r>
      <w:r>
        <w:rPr>
          <w:snapToGrid w:val="0"/>
        </w:rPr>
        <w:tab/>
        <w:t>Refusal of witness to attend or be sworn</w:t>
      </w:r>
      <w:bookmarkEnd w:id="576"/>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Gazette 28 Jun 2011 p. 2552.]</w:t>
      </w:r>
    </w:p>
    <w:p>
      <w:pPr>
        <w:pStyle w:val="Heading5"/>
        <w:rPr>
          <w:snapToGrid w:val="0"/>
        </w:rPr>
      </w:pPr>
      <w:bookmarkStart w:id="577" w:name="_Toc129077795"/>
      <w:r>
        <w:rPr>
          <w:rStyle w:val="CharSectno"/>
        </w:rPr>
        <w:t>6</w:t>
      </w:r>
      <w:r>
        <w:rPr>
          <w:snapToGrid w:val="0"/>
        </w:rPr>
        <w:t>.</w:t>
      </w:r>
      <w:r>
        <w:rPr>
          <w:snapToGrid w:val="0"/>
        </w:rPr>
        <w:tab/>
        <w:t>Time and place of examination, notice of</w:t>
      </w:r>
      <w:bookmarkEnd w:id="577"/>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Gazette 28 Jun 2011 p. 2552.]</w:t>
      </w:r>
    </w:p>
    <w:p>
      <w:pPr>
        <w:pStyle w:val="Heading5"/>
        <w:rPr>
          <w:snapToGrid w:val="0"/>
        </w:rPr>
      </w:pPr>
      <w:bookmarkStart w:id="578" w:name="_Toc129077796"/>
      <w:r>
        <w:rPr>
          <w:rStyle w:val="CharSectno"/>
        </w:rPr>
        <w:t>7</w:t>
      </w:r>
      <w:r>
        <w:rPr>
          <w:snapToGrid w:val="0"/>
        </w:rPr>
        <w:t>.</w:t>
      </w:r>
      <w:r>
        <w:rPr>
          <w:snapToGrid w:val="0"/>
        </w:rPr>
        <w:tab/>
        <w:t>Documents to be given to examiner</w:t>
      </w:r>
      <w:bookmarkEnd w:id="578"/>
    </w:p>
    <w:p>
      <w:pPr>
        <w:pStyle w:val="Subsection"/>
        <w:rPr>
          <w:snapToGrid w:val="0"/>
        </w:rPr>
      </w:pPr>
      <w:r>
        <w:tab/>
        <w:t>(1)</w:t>
      </w:r>
      <w:r>
        <w:tab/>
        <w:t>The</w:t>
      </w:r>
      <w:r>
        <w:rPr>
          <w:snapToGrid w:val="0"/>
        </w:rPr>
        <w:t xml:space="preserve"> party who obtained the order for examination before an examiner must supply to the examiner copies of all such </w:t>
      </w:r>
      <w:r>
        <w:rPr>
          <w:snapToGrid w:val="0"/>
        </w:rPr>
        <w:lastRenderedPageBreak/>
        <w:t>documents in the cause or matter as are necessary to inform the examiner of the questions at issue between the parties.</w:t>
      </w:r>
    </w:p>
    <w:p>
      <w:pPr>
        <w:pStyle w:val="Subsection"/>
      </w:pPr>
      <w:r>
        <w:tab/>
        <w:t>(2)</w:t>
      </w:r>
      <w:r>
        <w:tab/>
        <w:t>The party must supply the copies in the format, or by the means, required by the examiner.</w:t>
      </w:r>
    </w:p>
    <w:p>
      <w:pPr>
        <w:pStyle w:val="Footnotesection"/>
      </w:pPr>
      <w:r>
        <w:tab/>
        <w:t xml:space="preserve">[Rule 7 amended: Gazette 27 Feb 2018 p. 564.] </w:t>
      </w:r>
    </w:p>
    <w:p>
      <w:pPr>
        <w:pStyle w:val="Heading5"/>
        <w:rPr>
          <w:snapToGrid w:val="0"/>
        </w:rPr>
      </w:pPr>
      <w:bookmarkStart w:id="579" w:name="_Toc129077797"/>
      <w:r>
        <w:rPr>
          <w:rStyle w:val="CharSectno"/>
        </w:rPr>
        <w:t>8</w:t>
      </w:r>
      <w:r>
        <w:rPr>
          <w:snapToGrid w:val="0"/>
        </w:rPr>
        <w:t>.</w:t>
      </w:r>
      <w:r>
        <w:rPr>
          <w:snapToGrid w:val="0"/>
        </w:rPr>
        <w:tab/>
        <w:t>Practice on examination</w:t>
      </w:r>
      <w:bookmarkEnd w:id="579"/>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80" w:name="_Toc129077798"/>
      <w:r>
        <w:rPr>
          <w:rStyle w:val="CharSectno"/>
        </w:rPr>
        <w:t>9</w:t>
      </w:r>
      <w:r>
        <w:rPr>
          <w:snapToGrid w:val="0"/>
        </w:rPr>
        <w:t>.</w:t>
      </w:r>
      <w:r>
        <w:rPr>
          <w:snapToGrid w:val="0"/>
        </w:rPr>
        <w:tab/>
        <w:t>Expenses of witnesses</w:t>
      </w:r>
      <w:bookmarkEnd w:id="580"/>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81" w:name="_Toc129077799"/>
      <w:r>
        <w:rPr>
          <w:rStyle w:val="CharSectno"/>
        </w:rPr>
        <w:t>10</w:t>
      </w:r>
      <w:r>
        <w:rPr>
          <w:snapToGrid w:val="0"/>
        </w:rPr>
        <w:t>.</w:t>
      </w:r>
      <w:r>
        <w:rPr>
          <w:snapToGrid w:val="0"/>
        </w:rPr>
        <w:tab/>
        <w:t>Additional witnesses may be examined with parties’ consent</w:t>
      </w:r>
      <w:bookmarkEnd w:id="581"/>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82" w:name="_Toc129077800"/>
      <w:r>
        <w:rPr>
          <w:rStyle w:val="CharSectno"/>
        </w:rPr>
        <w:lastRenderedPageBreak/>
        <w:t>11</w:t>
      </w:r>
      <w:r>
        <w:rPr>
          <w:snapToGrid w:val="0"/>
        </w:rPr>
        <w:t>.</w:t>
      </w:r>
      <w:r>
        <w:rPr>
          <w:snapToGrid w:val="0"/>
        </w:rPr>
        <w:tab/>
        <w:t>How depositions to be taken</w:t>
      </w:r>
      <w:bookmarkEnd w:id="582"/>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 xml:space="preserve">The deposition authenticated by the examiner shall be </w:t>
      </w:r>
      <w:r>
        <w:t>filed by the examiner.</w:t>
      </w:r>
    </w:p>
    <w:p>
      <w:pPr>
        <w:pStyle w:val="Subsection"/>
        <w:keepNext/>
      </w:pPr>
      <w:r>
        <w:lastRenderedPageBreak/>
        <w:tab/>
        <w:t>(10)</w:t>
      </w:r>
      <w:r>
        <w:tab/>
        <w:t>Unless the Principal Registrar has given approval for it to be filed electronically, the deposition cannot be filed electronically by the examiner.</w:t>
      </w:r>
    </w:p>
    <w:p>
      <w:pPr>
        <w:pStyle w:val="Footnotesection"/>
      </w:pPr>
      <w:r>
        <w:tab/>
        <w:t>[Rule 11 amended: Gazette 28 Jun 2011 p. 2552; 27 Feb 2018 p. 564-5.]</w:t>
      </w:r>
    </w:p>
    <w:p>
      <w:pPr>
        <w:pStyle w:val="Heading5"/>
        <w:rPr>
          <w:snapToGrid w:val="0"/>
        </w:rPr>
      </w:pPr>
      <w:bookmarkStart w:id="583" w:name="_Toc129077801"/>
      <w:r>
        <w:rPr>
          <w:rStyle w:val="CharSectno"/>
        </w:rPr>
        <w:t>12</w:t>
      </w:r>
      <w:r>
        <w:rPr>
          <w:snapToGrid w:val="0"/>
        </w:rPr>
        <w:t>.</w:t>
      </w:r>
      <w:r>
        <w:rPr>
          <w:snapToGrid w:val="0"/>
        </w:rPr>
        <w:tab/>
        <w:t>Objection to questions</w:t>
      </w:r>
      <w:bookmarkEnd w:id="583"/>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84" w:name="_Toc129077802"/>
      <w:r>
        <w:rPr>
          <w:rStyle w:val="CharSectno"/>
        </w:rPr>
        <w:t>13</w:t>
      </w:r>
      <w:r>
        <w:rPr>
          <w:snapToGrid w:val="0"/>
        </w:rPr>
        <w:t>.</w:t>
      </w:r>
      <w:r>
        <w:rPr>
          <w:snapToGrid w:val="0"/>
        </w:rPr>
        <w:tab/>
        <w:t>Examiner may give Court special report</w:t>
      </w:r>
      <w:bookmarkEnd w:id="584"/>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85" w:name="_Toc129077803"/>
      <w:r>
        <w:rPr>
          <w:rStyle w:val="CharSectno"/>
        </w:rPr>
        <w:t>14</w:t>
      </w:r>
      <w:r>
        <w:rPr>
          <w:snapToGrid w:val="0"/>
        </w:rPr>
        <w:t>.</w:t>
      </w:r>
      <w:r>
        <w:rPr>
          <w:snapToGrid w:val="0"/>
        </w:rPr>
        <w:tab/>
        <w:t>Oaths</w:t>
      </w:r>
      <w:bookmarkEnd w:id="585"/>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Gazette 8 Feb 1991 p. 582.] </w:t>
      </w:r>
    </w:p>
    <w:p>
      <w:pPr>
        <w:pStyle w:val="Heading5"/>
        <w:spacing w:before="180"/>
        <w:rPr>
          <w:snapToGrid w:val="0"/>
        </w:rPr>
      </w:pPr>
      <w:bookmarkStart w:id="586" w:name="_Toc129077804"/>
      <w:r>
        <w:rPr>
          <w:rStyle w:val="CharSectno"/>
        </w:rPr>
        <w:t>15</w:t>
      </w:r>
      <w:r>
        <w:rPr>
          <w:snapToGrid w:val="0"/>
        </w:rPr>
        <w:t>.</w:t>
      </w:r>
      <w:r>
        <w:rPr>
          <w:snapToGrid w:val="0"/>
        </w:rPr>
        <w:tab/>
        <w:t>Perpetuating testimony</w:t>
      </w:r>
      <w:bookmarkEnd w:id="586"/>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lastRenderedPageBreak/>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87" w:name="_Toc129077805"/>
      <w:r>
        <w:rPr>
          <w:rStyle w:val="CharSectno"/>
        </w:rPr>
        <w:t>16</w:t>
      </w:r>
      <w:r>
        <w:rPr>
          <w:snapToGrid w:val="0"/>
        </w:rPr>
        <w:t>.</w:t>
      </w:r>
      <w:r>
        <w:rPr>
          <w:snapToGrid w:val="0"/>
        </w:rPr>
        <w:tab/>
        <w:t>Examiner’s fees</w:t>
      </w:r>
      <w:bookmarkEnd w:id="587"/>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lastRenderedPageBreak/>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Gazette 21 Mar 1980 p. 960</w:t>
      </w:r>
      <w:r>
        <w:noBreakHyphen/>
        <w:t>1; amended: Gazette 30 Nov 1984 p. 3951</w:t>
      </w:r>
      <w:r>
        <w:noBreakHyphen/>
        <w:t>3; 28 Jun 2011 p. 2554.]</w:t>
      </w:r>
    </w:p>
    <w:p>
      <w:pPr>
        <w:pStyle w:val="Heading5"/>
        <w:rPr>
          <w:snapToGrid w:val="0"/>
        </w:rPr>
      </w:pPr>
      <w:bookmarkStart w:id="588" w:name="_Toc129077806"/>
      <w:r>
        <w:rPr>
          <w:rStyle w:val="CharSectno"/>
        </w:rPr>
        <w:t>17</w:t>
      </w:r>
      <w:r>
        <w:rPr>
          <w:snapToGrid w:val="0"/>
        </w:rPr>
        <w:t>.</w:t>
      </w:r>
      <w:r>
        <w:rPr>
          <w:snapToGrid w:val="0"/>
        </w:rPr>
        <w:tab/>
        <w:t>Payment of examiner’s fees</w:t>
      </w:r>
      <w:bookmarkEnd w:id="588"/>
    </w:p>
    <w:p>
      <w:pPr>
        <w:pStyle w:val="Subsection"/>
      </w:pPr>
      <w:r>
        <w:tab/>
        <w:t>(1)</w:t>
      </w:r>
      <w:r>
        <w:tab/>
        <w:t>An examiner shall not be required to file any deposition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Footnotesection"/>
      </w:pPr>
      <w:r>
        <w:tab/>
        <w:t>[Rule 17 amended: Gazette 27 Feb 2018 p. 565.]</w:t>
      </w:r>
    </w:p>
    <w:p>
      <w:pPr>
        <w:pStyle w:val="Ednotesection"/>
      </w:pPr>
      <w:r>
        <w:t>[</w:t>
      </w:r>
      <w:r>
        <w:rPr>
          <w:b/>
        </w:rPr>
        <w:t>18.</w:t>
      </w:r>
      <w:r>
        <w:tab/>
        <w:t>Deleted: Gazette 21 Feb 2007 p. 551.]</w:t>
      </w:r>
    </w:p>
    <w:p>
      <w:pPr>
        <w:pStyle w:val="Heading2"/>
        <w:rPr>
          <w:b w:val="0"/>
        </w:rPr>
      </w:pPr>
      <w:bookmarkStart w:id="589" w:name="_Toc129073735"/>
      <w:bookmarkStart w:id="590" w:name="_Toc129075018"/>
      <w:bookmarkStart w:id="591" w:name="_Toc129077807"/>
      <w:r>
        <w:rPr>
          <w:rStyle w:val="CharPartNo"/>
        </w:rPr>
        <w:lastRenderedPageBreak/>
        <w:t>Order 38A</w:t>
      </w:r>
      <w:r>
        <w:rPr>
          <w:rStyle w:val="CharDivNo"/>
        </w:rPr>
        <w:t> </w:t>
      </w:r>
      <w:r>
        <w:t>—</w:t>
      </w:r>
      <w:r>
        <w:rPr>
          <w:rStyle w:val="CharDivText"/>
        </w:rPr>
        <w:t> </w:t>
      </w:r>
      <w:r>
        <w:rPr>
          <w:rStyle w:val="CharPartText"/>
        </w:rPr>
        <w:t>Examination of witnesses outside the State</w:t>
      </w:r>
      <w:bookmarkEnd w:id="589"/>
      <w:bookmarkEnd w:id="590"/>
      <w:bookmarkEnd w:id="591"/>
    </w:p>
    <w:p>
      <w:pPr>
        <w:pStyle w:val="Footnoteheading"/>
        <w:ind w:left="890"/>
      </w:pPr>
      <w:r>
        <w:tab/>
        <w:t>[Heading inserted: Gazette 8 Feb 1991 p. 582; amended: Gazette 22 Feb 2008 p. 637.]</w:t>
      </w:r>
    </w:p>
    <w:p>
      <w:pPr>
        <w:pStyle w:val="Heading5"/>
        <w:spacing w:before="180"/>
        <w:rPr>
          <w:sz w:val="20"/>
        </w:rPr>
      </w:pPr>
      <w:bookmarkStart w:id="592" w:name="_Toc129077808"/>
      <w:r>
        <w:rPr>
          <w:rStyle w:val="CharSectno"/>
        </w:rPr>
        <w:t>1</w:t>
      </w:r>
      <w:r>
        <w:rPr>
          <w:snapToGrid w:val="0"/>
        </w:rPr>
        <w:t>.</w:t>
      </w:r>
      <w:r>
        <w:rPr>
          <w:snapToGrid w:val="0"/>
        </w:rPr>
        <w:tab/>
        <w:t>Terms used</w:t>
      </w:r>
      <w:bookmarkEnd w:id="592"/>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Gazette 8 Feb 1991 p. 582.]</w:t>
      </w:r>
    </w:p>
    <w:p>
      <w:pPr>
        <w:pStyle w:val="Heading5"/>
      </w:pPr>
      <w:bookmarkStart w:id="593" w:name="_Toc129077809"/>
      <w:r>
        <w:rPr>
          <w:rStyle w:val="CharSectno"/>
        </w:rPr>
        <w:t>2</w:t>
      </w:r>
      <w:r>
        <w:t>.</w:t>
      </w:r>
      <w:r>
        <w:tab/>
        <w:t>Order applies to Act s. 110 and 111</w:t>
      </w:r>
      <w:bookmarkEnd w:id="593"/>
    </w:p>
    <w:p>
      <w:pPr>
        <w:pStyle w:val="Subsection"/>
      </w:pPr>
      <w:r>
        <w:tab/>
      </w:r>
      <w:r>
        <w:tab/>
        <w:t>This Order applies to applications made under section 110 or 111 of the Act.</w:t>
      </w:r>
    </w:p>
    <w:p>
      <w:pPr>
        <w:pStyle w:val="Footnotesection"/>
      </w:pPr>
      <w:r>
        <w:tab/>
        <w:t>[Rule 2 inserted: Gazette 21 Feb 2007 p. 551.]</w:t>
      </w:r>
    </w:p>
    <w:p>
      <w:pPr>
        <w:pStyle w:val="Heading5"/>
        <w:rPr>
          <w:snapToGrid w:val="0"/>
        </w:rPr>
      </w:pPr>
      <w:bookmarkStart w:id="594" w:name="_Toc129077810"/>
      <w:r>
        <w:rPr>
          <w:rStyle w:val="CharSectno"/>
        </w:rPr>
        <w:t>3</w:t>
      </w:r>
      <w:r>
        <w:rPr>
          <w:snapToGrid w:val="0"/>
        </w:rPr>
        <w:t>.</w:t>
      </w:r>
      <w:r>
        <w:rPr>
          <w:snapToGrid w:val="0"/>
        </w:rPr>
        <w:tab/>
        <w:t>Applications under Act s. 110 and 111 in civil proceedings</w:t>
      </w:r>
      <w:bookmarkEnd w:id="594"/>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lastRenderedPageBreak/>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Gazette 8 Feb 1991 p. 583.] </w:t>
      </w:r>
    </w:p>
    <w:p>
      <w:pPr>
        <w:pStyle w:val="Heading5"/>
        <w:rPr>
          <w:snapToGrid w:val="0"/>
        </w:rPr>
      </w:pPr>
      <w:bookmarkStart w:id="595" w:name="_Toc129077811"/>
      <w:r>
        <w:rPr>
          <w:rStyle w:val="CharSectno"/>
        </w:rPr>
        <w:t>4</w:t>
      </w:r>
      <w:r>
        <w:rPr>
          <w:snapToGrid w:val="0"/>
        </w:rPr>
        <w:t>.</w:t>
      </w:r>
      <w:r>
        <w:rPr>
          <w:snapToGrid w:val="0"/>
        </w:rPr>
        <w:tab/>
        <w:t>Application under Act s. 110 and 111 in criminal proceedings</w:t>
      </w:r>
      <w:bookmarkEnd w:id="595"/>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Gazette 8 Feb 1991 p. 583.] </w:t>
      </w:r>
    </w:p>
    <w:p>
      <w:pPr>
        <w:pStyle w:val="Heading5"/>
        <w:rPr>
          <w:snapToGrid w:val="0"/>
        </w:rPr>
      </w:pPr>
      <w:bookmarkStart w:id="596" w:name="_Toc129077812"/>
      <w:r>
        <w:rPr>
          <w:rStyle w:val="CharSectno"/>
        </w:rPr>
        <w:t>5</w:t>
      </w:r>
      <w:r>
        <w:rPr>
          <w:snapToGrid w:val="0"/>
        </w:rPr>
        <w:t>.</w:t>
      </w:r>
      <w:r>
        <w:rPr>
          <w:snapToGrid w:val="0"/>
        </w:rPr>
        <w:tab/>
        <w:t>Orders under Act s. 110 and 111</w:t>
      </w:r>
      <w:bookmarkEnd w:id="596"/>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Gazette 8 Feb 1991 p. 583.] </w:t>
      </w:r>
    </w:p>
    <w:p>
      <w:pPr>
        <w:pStyle w:val="Heading5"/>
        <w:rPr>
          <w:snapToGrid w:val="0"/>
        </w:rPr>
      </w:pPr>
      <w:bookmarkStart w:id="597" w:name="_Toc129077813"/>
      <w:r>
        <w:rPr>
          <w:rStyle w:val="CharSectno"/>
        </w:rPr>
        <w:lastRenderedPageBreak/>
        <w:t>6</w:t>
      </w:r>
      <w:r>
        <w:rPr>
          <w:snapToGrid w:val="0"/>
        </w:rPr>
        <w:t>.</w:t>
      </w:r>
      <w:r>
        <w:rPr>
          <w:snapToGrid w:val="0"/>
        </w:rPr>
        <w:tab/>
        <w:t>Manner of examination</w:t>
      </w:r>
      <w:bookmarkEnd w:id="597"/>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Gazette 8 Feb 1991 p. 583.] </w:t>
      </w:r>
    </w:p>
    <w:p>
      <w:pPr>
        <w:pStyle w:val="Heading5"/>
        <w:rPr>
          <w:snapToGrid w:val="0"/>
        </w:rPr>
      </w:pPr>
      <w:bookmarkStart w:id="598" w:name="_Toc129077814"/>
      <w:r>
        <w:rPr>
          <w:rStyle w:val="CharSectno"/>
        </w:rPr>
        <w:t>7</w:t>
      </w:r>
      <w:r>
        <w:rPr>
          <w:snapToGrid w:val="0"/>
        </w:rPr>
        <w:t>.</w:t>
      </w:r>
      <w:r>
        <w:rPr>
          <w:snapToGrid w:val="0"/>
        </w:rPr>
        <w:tab/>
        <w:t>Examiner’s remuneration</w:t>
      </w:r>
      <w:bookmarkEnd w:id="598"/>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Gazette 8 Feb 1991 p. 583.] </w:t>
      </w:r>
    </w:p>
    <w:p>
      <w:pPr>
        <w:pStyle w:val="Heading2"/>
        <w:rPr>
          <w:b w:val="0"/>
        </w:rPr>
      </w:pPr>
      <w:bookmarkStart w:id="599" w:name="_Toc129073743"/>
      <w:bookmarkStart w:id="600" w:name="_Toc129075026"/>
      <w:bookmarkStart w:id="601" w:name="_Toc129077815"/>
      <w:r>
        <w:rPr>
          <w:rStyle w:val="CharPartNo"/>
        </w:rPr>
        <w:lastRenderedPageBreak/>
        <w:t>Order 39</w:t>
      </w:r>
      <w:r>
        <w:rPr>
          <w:rStyle w:val="CharDivNo"/>
        </w:rPr>
        <w:t> </w:t>
      </w:r>
      <w:r>
        <w:t>—</w:t>
      </w:r>
      <w:r>
        <w:rPr>
          <w:rStyle w:val="CharDivText"/>
        </w:rPr>
        <w:t> </w:t>
      </w:r>
      <w:r>
        <w:rPr>
          <w:rStyle w:val="CharPartText"/>
        </w:rPr>
        <w:t>Taking of evidence for foreign and Australian courts</w:t>
      </w:r>
      <w:bookmarkEnd w:id="599"/>
      <w:bookmarkEnd w:id="600"/>
      <w:bookmarkEnd w:id="601"/>
    </w:p>
    <w:p>
      <w:pPr>
        <w:pStyle w:val="Footnoteheading"/>
        <w:ind w:left="890"/>
        <w:rPr>
          <w:snapToGrid w:val="0"/>
        </w:rPr>
      </w:pPr>
      <w:r>
        <w:rPr>
          <w:snapToGrid w:val="0"/>
        </w:rPr>
        <w:tab/>
        <w:t>[Heading inserted: Gazette 8 Feb 1991 p. 586; amended: Gazette 22 Feb 2008 p. 637.]</w:t>
      </w:r>
    </w:p>
    <w:p>
      <w:pPr>
        <w:pStyle w:val="Heading5"/>
        <w:spacing w:before="180"/>
        <w:rPr>
          <w:snapToGrid w:val="0"/>
        </w:rPr>
      </w:pPr>
      <w:bookmarkStart w:id="602" w:name="_Toc129077816"/>
      <w:r>
        <w:rPr>
          <w:rStyle w:val="CharSectno"/>
        </w:rPr>
        <w:t>1</w:t>
      </w:r>
      <w:r>
        <w:rPr>
          <w:snapToGrid w:val="0"/>
        </w:rPr>
        <w:t>.</w:t>
      </w:r>
      <w:r>
        <w:rPr>
          <w:snapToGrid w:val="0"/>
        </w:rPr>
        <w:tab/>
        <w:t>Terms used</w:t>
      </w:r>
      <w:bookmarkEnd w:id="602"/>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Gazette 8 Feb 1991 p. 586.] </w:t>
      </w:r>
    </w:p>
    <w:p>
      <w:pPr>
        <w:pStyle w:val="Heading5"/>
        <w:spacing w:before="180"/>
        <w:rPr>
          <w:snapToGrid w:val="0"/>
        </w:rPr>
      </w:pPr>
      <w:bookmarkStart w:id="603" w:name="_Toc129077817"/>
      <w:r>
        <w:rPr>
          <w:rStyle w:val="CharSectno"/>
        </w:rPr>
        <w:t>2</w:t>
      </w:r>
      <w:r>
        <w:rPr>
          <w:snapToGrid w:val="0"/>
        </w:rPr>
        <w:t>.</w:t>
      </w:r>
      <w:r>
        <w:rPr>
          <w:snapToGrid w:val="0"/>
        </w:rPr>
        <w:tab/>
        <w:t>Applications under Act s. 116</w:t>
      </w:r>
      <w:bookmarkEnd w:id="603"/>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Subsection"/>
      </w:pPr>
      <w:r>
        <w:tab/>
        <w:t>(4)</w:t>
      </w:r>
      <w:r>
        <w:tab/>
        <w:t>An application, affidavit or summons referred to in this rule cannot be filed electronically.</w:t>
      </w:r>
    </w:p>
    <w:p>
      <w:pPr>
        <w:pStyle w:val="Footnotesection"/>
      </w:pPr>
      <w:r>
        <w:tab/>
        <w:t xml:space="preserve">[Rule 2 inserted: Gazette 8 Feb 1991 p. 586; amended: Gazette 27 Feb 2018 p. 565.] </w:t>
      </w:r>
    </w:p>
    <w:p>
      <w:pPr>
        <w:pStyle w:val="Heading5"/>
        <w:spacing w:before="180"/>
        <w:rPr>
          <w:snapToGrid w:val="0"/>
        </w:rPr>
      </w:pPr>
      <w:bookmarkStart w:id="604" w:name="_Toc129077818"/>
      <w:r>
        <w:rPr>
          <w:rStyle w:val="CharSectno"/>
        </w:rPr>
        <w:t>3</w:t>
      </w:r>
      <w:r>
        <w:rPr>
          <w:snapToGrid w:val="0"/>
        </w:rPr>
        <w:t>.</w:t>
      </w:r>
      <w:r>
        <w:rPr>
          <w:snapToGrid w:val="0"/>
        </w:rPr>
        <w:tab/>
        <w:t>Orders under Act s. 117</w:t>
      </w:r>
      <w:bookmarkEnd w:id="604"/>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w:t>
      </w:r>
    </w:p>
    <w:p>
      <w:pPr>
        <w:pStyle w:val="Indenta"/>
        <w:rPr>
          <w:snapToGrid w:val="0"/>
        </w:rPr>
      </w:pPr>
      <w:r>
        <w:rPr>
          <w:snapToGrid w:val="0"/>
        </w:rPr>
        <w:tab/>
        <w:t>(a)</w:t>
      </w:r>
      <w:r>
        <w:rPr>
          <w:snapToGrid w:val="0"/>
        </w:rPr>
        <w:tab/>
        <w:t xml:space="preserve">may order any fit and proper person nominated by the applicant, or any officer of the Court, or such other </w:t>
      </w:r>
      <w:r>
        <w:rPr>
          <w:snapToGrid w:val="0"/>
        </w:rPr>
        <w:lastRenderedPageBreak/>
        <w:t>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Gazette 8 Feb 1991 p. 586.] </w:t>
      </w:r>
    </w:p>
    <w:p>
      <w:pPr>
        <w:pStyle w:val="Heading5"/>
        <w:rPr>
          <w:snapToGrid w:val="0"/>
        </w:rPr>
      </w:pPr>
      <w:bookmarkStart w:id="605" w:name="_Toc129077819"/>
      <w:r>
        <w:rPr>
          <w:rStyle w:val="CharSectno"/>
        </w:rPr>
        <w:t>4</w:t>
      </w:r>
      <w:r>
        <w:rPr>
          <w:snapToGrid w:val="0"/>
        </w:rPr>
        <w:t>.</w:t>
      </w:r>
      <w:r>
        <w:rPr>
          <w:snapToGrid w:val="0"/>
        </w:rPr>
        <w:tab/>
        <w:t>Examiner’s remuneration</w:t>
      </w:r>
      <w:bookmarkEnd w:id="605"/>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Gazette 8 Feb 1991 p. 586; amended: Gazette 26 Aug 1994 p. 4415.] </w:t>
      </w:r>
    </w:p>
    <w:p>
      <w:pPr>
        <w:pStyle w:val="Heading5"/>
        <w:rPr>
          <w:snapToGrid w:val="0"/>
        </w:rPr>
      </w:pPr>
      <w:bookmarkStart w:id="606" w:name="_Toc129077820"/>
      <w:r>
        <w:rPr>
          <w:rStyle w:val="CharSectno"/>
        </w:rPr>
        <w:t>4A</w:t>
      </w:r>
      <w:r>
        <w:rPr>
          <w:snapToGrid w:val="0"/>
        </w:rPr>
        <w:t>.</w:t>
      </w:r>
      <w:r>
        <w:rPr>
          <w:snapToGrid w:val="0"/>
        </w:rPr>
        <w:tab/>
        <w:t>Examiner’s power to administer oaths</w:t>
      </w:r>
      <w:bookmarkEnd w:id="606"/>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Gazette 8 Feb 1991 p. 586.] </w:t>
      </w:r>
    </w:p>
    <w:p>
      <w:pPr>
        <w:pStyle w:val="Heading5"/>
        <w:rPr>
          <w:snapToGrid w:val="0"/>
        </w:rPr>
      </w:pPr>
      <w:bookmarkStart w:id="607" w:name="_Toc129077821"/>
      <w:r>
        <w:rPr>
          <w:rStyle w:val="CharSectno"/>
        </w:rPr>
        <w:t>5</w:t>
      </w:r>
      <w:r>
        <w:rPr>
          <w:snapToGrid w:val="0"/>
        </w:rPr>
        <w:t>.</w:t>
      </w:r>
      <w:r>
        <w:rPr>
          <w:snapToGrid w:val="0"/>
        </w:rPr>
        <w:tab/>
        <w:t>Transmission of depositions</w:t>
      </w:r>
      <w:bookmarkEnd w:id="607"/>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pPr>
      <w:r>
        <w:lastRenderedPageBreak/>
        <w:tab/>
        <w:t>(1A)</w:t>
      </w:r>
      <w:r>
        <w:tab/>
        <w:t>The deposition cannot be filed electronically by the examiner.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Gazette 14 Dec 1979 p. 3870; 8 Feb 1991 p. 586</w:t>
      </w:r>
      <w:r>
        <w:noBreakHyphen/>
        <w:t xml:space="preserve">7; 28 Jun 2011 p. 2552; 27 Feb 2018 p. 565.] </w:t>
      </w:r>
    </w:p>
    <w:p>
      <w:pPr>
        <w:pStyle w:val="Heading5"/>
        <w:rPr>
          <w:snapToGrid w:val="0"/>
        </w:rPr>
      </w:pPr>
      <w:bookmarkStart w:id="608" w:name="_Toc129077822"/>
      <w:r>
        <w:rPr>
          <w:rStyle w:val="CharSectno"/>
        </w:rPr>
        <w:t>6</w:t>
      </w:r>
      <w:r>
        <w:rPr>
          <w:snapToGrid w:val="0"/>
        </w:rPr>
        <w:t>.</w:t>
      </w:r>
      <w:r>
        <w:rPr>
          <w:snapToGrid w:val="0"/>
        </w:rPr>
        <w:tab/>
        <w:t>Procedure where witness claims privilege</w:t>
      </w:r>
      <w:bookmarkEnd w:id="608"/>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lastRenderedPageBreak/>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Subsection"/>
      </w:pPr>
      <w:r>
        <w:tab/>
        <w:t>(4)</w:t>
      </w:r>
      <w:r>
        <w:tab/>
        <w:t>The deposition and document referred to in subrule (3)(b) cannot be filed electronically by the examiner.</w:t>
      </w:r>
    </w:p>
    <w:p>
      <w:pPr>
        <w:pStyle w:val="Footnotesection"/>
      </w:pPr>
      <w:r>
        <w:tab/>
        <w:t>[Rule 6 inserted: Gazette 8 Feb 1991 p. 587; amended: Gazette 27 Feb 2018 p. 565.]</w:t>
      </w:r>
    </w:p>
    <w:p>
      <w:pPr>
        <w:pStyle w:val="Heading2"/>
      </w:pPr>
      <w:bookmarkStart w:id="609" w:name="_Toc129073751"/>
      <w:bookmarkStart w:id="610" w:name="_Toc129075034"/>
      <w:bookmarkStart w:id="611" w:name="_Toc129077823"/>
      <w:r>
        <w:rPr>
          <w:rStyle w:val="CharPartNo"/>
        </w:rPr>
        <w:lastRenderedPageBreak/>
        <w:t>Order 39A</w:t>
      </w:r>
      <w:r>
        <w:rPr>
          <w:b w:val="0"/>
        </w:rPr>
        <w:t> </w:t>
      </w:r>
      <w:r>
        <w:t>—</w:t>
      </w:r>
      <w:r>
        <w:rPr>
          <w:b w:val="0"/>
        </w:rPr>
        <w:t> </w:t>
      </w:r>
      <w:r>
        <w:rPr>
          <w:rStyle w:val="CharPartText"/>
          <w:i/>
        </w:rPr>
        <w:t>Trans</w:t>
      </w:r>
      <w:r>
        <w:rPr>
          <w:rStyle w:val="CharPartText"/>
          <w:i/>
        </w:rPr>
        <w:noBreakHyphen/>
        <w:t>Tasman Proceedings Act 2010</w:t>
      </w:r>
      <w:r>
        <w:rPr>
          <w:rStyle w:val="CharPartText"/>
        </w:rPr>
        <w:t xml:space="preserve"> (Commonwealth) rules</w:t>
      </w:r>
      <w:bookmarkEnd w:id="609"/>
      <w:bookmarkEnd w:id="610"/>
      <w:bookmarkEnd w:id="611"/>
    </w:p>
    <w:p>
      <w:pPr>
        <w:pStyle w:val="Footnoteheading"/>
      </w:pPr>
      <w:r>
        <w:rPr>
          <w:snapToGrid w:val="0"/>
        </w:rPr>
        <w:tab/>
        <w:t>[Heading inserted: Gazette 3 Aug 2012 p. 3749.]</w:t>
      </w:r>
    </w:p>
    <w:p>
      <w:pPr>
        <w:pStyle w:val="Heading3"/>
        <w:spacing w:before="200"/>
      </w:pPr>
      <w:bookmarkStart w:id="612" w:name="_Toc129073752"/>
      <w:bookmarkStart w:id="613" w:name="_Toc129075035"/>
      <w:bookmarkStart w:id="614" w:name="_Toc129077824"/>
      <w:r>
        <w:rPr>
          <w:rStyle w:val="CharDivNo"/>
        </w:rPr>
        <w:t>Division 1</w:t>
      </w:r>
      <w:r>
        <w:t> — </w:t>
      </w:r>
      <w:r>
        <w:rPr>
          <w:rStyle w:val="CharDivText"/>
        </w:rPr>
        <w:t>General</w:t>
      </w:r>
      <w:bookmarkEnd w:id="612"/>
      <w:bookmarkEnd w:id="613"/>
      <w:bookmarkEnd w:id="614"/>
    </w:p>
    <w:p>
      <w:pPr>
        <w:pStyle w:val="Footnoteheading"/>
      </w:pPr>
      <w:r>
        <w:rPr>
          <w:snapToGrid w:val="0"/>
        </w:rPr>
        <w:tab/>
        <w:t>[Heading inserted: Gazette 3 Aug 2012 p. 3749.]</w:t>
      </w:r>
    </w:p>
    <w:p>
      <w:pPr>
        <w:pStyle w:val="Heading5"/>
        <w:spacing w:before="180"/>
      </w:pPr>
      <w:bookmarkStart w:id="615" w:name="_Toc129077825"/>
      <w:r>
        <w:rPr>
          <w:rStyle w:val="CharSectno"/>
        </w:rPr>
        <w:t>1</w:t>
      </w:r>
      <w:r>
        <w:t>.</w:t>
      </w:r>
      <w:r>
        <w:tab/>
        <w:t>Term used: Act</w:t>
      </w:r>
      <w:bookmarkEnd w:id="615"/>
    </w:p>
    <w:p>
      <w:pPr>
        <w:pStyle w:val="Subsection"/>
        <w:spacing w:before="120"/>
      </w:pPr>
      <w:r>
        <w:tab/>
        <w:t>(1)</w:t>
      </w:r>
      <w:r>
        <w:tab/>
        <w:t xml:space="preserve">In this Order, unless the contrary intention appears — </w:t>
      </w:r>
    </w:p>
    <w:p>
      <w:pPr>
        <w:pStyle w:val="Defstart"/>
      </w:pPr>
      <w:r>
        <w:tab/>
      </w:r>
      <w:r>
        <w:rPr>
          <w:rStyle w:val="CharDefText"/>
        </w:rPr>
        <w:t>Act</w:t>
      </w:r>
      <w:r>
        <w:t xml:space="preserve"> means the </w:t>
      </w:r>
      <w:r>
        <w:rPr>
          <w:i/>
        </w:rPr>
        <w:t>Trans</w:t>
      </w:r>
      <w:r>
        <w:rPr>
          <w:i/>
        </w:rPr>
        <w:noBreakHyphen/>
        <w:t>Tasman Proceedings Act 2010</w:t>
      </w:r>
      <w:r>
        <w:t xml:space="preserve"> (Commonwealth).</w:t>
      </w:r>
    </w:p>
    <w:p>
      <w:pPr>
        <w:pStyle w:val="Subsection"/>
        <w:spacing w:before="120"/>
      </w:pPr>
      <w:r>
        <w:tab/>
        <w:t>(2)</w:t>
      </w:r>
      <w:r>
        <w:tab/>
        <w:t>Unless the contrary intention appears, an expression used in this Order and in the Act has the same meaning as in the Act.</w:t>
      </w:r>
    </w:p>
    <w:p>
      <w:pPr>
        <w:pStyle w:val="Footnotesection"/>
      </w:pPr>
      <w:r>
        <w:tab/>
        <w:t>[Rule 1 inserted: Gazette 16 Jul 1999 p. 3189; amended: Gazette 3 Aug 2012 p. 3749.]</w:t>
      </w:r>
    </w:p>
    <w:p>
      <w:pPr>
        <w:pStyle w:val="Heading5"/>
        <w:spacing w:before="180"/>
      </w:pPr>
      <w:bookmarkStart w:id="616" w:name="_Toc129077826"/>
      <w:r>
        <w:rPr>
          <w:rStyle w:val="CharSectno"/>
        </w:rPr>
        <w:t>2</w:t>
      </w:r>
      <w:r>
        <w:t>.</w:t>
      </w:r>
      <w:r>
        <w:tab/>
        <w:t>Application of this Order</w:t>
      </w:r>
      <w:bookmarkEnd w:id="616"/>
    </w:p>
    <w:p>
      <w:pPr>
        <w:pStyle w:val="Subsection"/>
      </w:pPr>
      <w:r>
        <w:tab/>
        <w:t>(1)</w:t>
      </w:r>
      <w:r>
        <w:tab/>
        <w:t>This Order applies to proceedings and NZ judgments to which the Act applies.</w:t>
      </w:r>
    </w:p>
    <w:p>
      <w:pPr>
        <w:pStyle w:val="Subsection"/>
      </w:pPr>
      <w:r>
        <w:tab/>
        <w:t>(2)</w:t>
      </w:r>
      <w:r>
        <w:tab/>
        <w:t>Subject to this Order, unless the contrary intention appears, these rules apply to proceedings and NZ judgments referred to in this Order.</w:t>
      </w:r>
    </w:p>
    <w:p>
      <w:pPr>
        <w:pStyle w:val="Footnotesection"/>
      </w:pPr>
      <w:r>
        <w:tab/>
        <w:t>[Rule 2 inserted: Gazette 16 Jul 1999 p. 3190; amended: Gazette 3 Aug 2012 p. 3749.]</w:t>
      </w:r>
    </w:p>
    <w:p>
      <w:pPr>
        <w:pStyle w:val="Heading3"/>
        <w:spacing w:before="200"/>
      </w:pPr>
      <w:bookmarkStart w:id="617" w:name="_Toc129073755"/>
      <w:bookmarkStart w:id="618" w:name="_Toc129075038"/>
      <w:bookmarkStart w:id="619" w:name="_Toc129077827"/>
      <w:r>
        <w:rPr>
          <w:rStyle w:val="CharDivNo"/>
        </w:rPr>
        <w:t>Division 2</w:t>
      </w:r>
      <w:r>
        <w:t> — </w:t>
      </w:r>
      <w:r>
        <w:rPr>
          <w:rStyle w:val="CharDivText"/>
        </w:rPr>
        <w:t>Subpoenas to be served in New Zealand</w:t>
      </w:r>
      <w:bookmarkEnd w:id="617"/>
      <w:bookmarkEnd w:id="618"/>
      <w:bookmarkEnd w:id="619"/>
    </w:p>
    <w:p>
      <w:pPr>
        <w:pStyle w:val="Footnoteheading"/>
        <w:keepNext/>
      </w:pPr>
      <w:r>
        <w:rPr>
          <w:snapToGrid w:val="0"/>
        </w:rPr>
        <w:tab/>
        <w:t>[Heading inserted: Gazette 3 Aug 2012 p. 3750.]</w:t>
      </w:r>
    </w:p>
    <w:p>
      <w:pPr>
        <w:pStyle w:val="Heading5"/>
      </w:pPr>
      <w:bookmarkStart w:id="620" w:name="_Toc129077828"/>
      <w:r>
        <w:rPr>
          <w:rStyle w:val="CharSectno"/>
        </w:rPr>
        <w:t>2A</w:t>
      </w:r>
      <w:r>
        <w:t>.</w:t>
      </w:r>
      <w:r>
        <w:tab/>
        <w:t>Form of subpoenas</w:t>
      </w:r>
      <w:bookmarkEnd w:id="620"/>
    </w:p>
    <w:p>
      <w:pPr>
        <w:pStyle w:val="Subsection"/>
      </w:pPr>
      <w:r>
        <w:tab/>
      </w:r>
      <w:r>
        <w:tab/>
        <w:t xml:space="preserve">If it is to be served in New Zealand — </w:t>
      </w:r>
    </w:p>
    <w:p>
      <w:pPr>
        <w:pStyle w:val="Indenta"/>
      </w:pPr>
      <w:r>
        <w:tab/>
        <w:t>(a)</w:t>
      </w:r>
      <w:r>
        <w:tab/>
        <w:t>a subpoena to attend to give evidence must be in the form of Form 23;</w:t>
      </w:r>
    </w:p>
    <w:p>
      <w:pPr>
        <w:pStyle w:val="Indenta"/>
      </w:pPr>
      <w:r>
        <w:lastRenderedPageBreak/>
        <w:tab/>
        <w:t>(b)</w:t>
      </w:r>
      <w:r>
        <w:tab/>
        <w:t>a subpoena to produce the subpoena and a document or thing must be in the form of Form 23A;</w:t>
      </w:r>
    </w:p>
    <w:p>
      <w:pPr>
        <w:pStyle w:val="Indenta"/>
      </w:pPr>
      <w:r>
        <w:tab/>
        <w:t>(c)</w:t>
      </w:r>
      <w:r>
        <w:tab/>
        <w:t>a subpoena both to attend to give evidence and to produce the subpoena and a document or thing must be in the form of Form 23B.</w:t>
      </w:r>
    </w:p>
    <w:p>
      <w:pPr>
        <w:pStyle w:val="Footnotesection"/>
      </w:pPr>
      <w:r>
        <w:tab/>
        <w:t>[Rule 2A inserted: Gazette 24 May 2017 p. 2576.]</w:t>
      </w:r>
    </w:p>
    <w:p>
      <w:pPr>
        <w:pStyle w:val="Heading5"/>
        <w:spacing w:before="180"/>
      </w:pPr>
      <w:bookmarkStart w:id="621" w:name="_Toc129077829"/>
      <w:r>
        <w:rPr>
          <w:rStyle w:val="CharSectno"/>
        </w:rPr>
        <w:t>3</w:t>
      </w:r>
      <w:r>
        <w:t>.</w:t>
      </w:r>
      <w:r>
        <w:tab/>
        <w:t>Leave to serve subpoena (Act s. 31)</w:t>
      </w:r>
      <w:bookmarkEnd w:id="621"/>
    </w:p>
    <w:p>
      <w:pPr>
        <w:pStyle w:val="Subsection"/>
      </w:pPr>
      <w:r>
        <w:tab/>
        <w:t>(1)</w:t>
      </w:r>
      <w:r>
        <w:tab/>
        <w:t xml:space="preserve">For the purposes of section 31 of the Act, leave to serve a subpoena in New Zealand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lastRenderedPageBreak/>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36 of the Act.</w:t>
      </w:r>
    </w:p>
    <w:p>
      <w:pPr>
        <w:pStyle w:val="Ednotesubsection"/>
      </w:pPr>
      <w:r>
        <w:tab/>
        <w:t>[(3)</w:t>
      </w:r>
      <w:r>
        <w:tab/>
        <w:t>deleted]</w:t>
      </w:r>
    </w:p>
    <w:p>
      <w:pPr>
        <w:pStyle w:val="Subsection"/>
        <w:keepNext/>
      </w:pPr>
      <w:r>
        <w:tab/>
        <w:t>(4)</w:t>
      </w:r>
      <w:r>
        <w:tab/>
        <w:t>No document relating to an application under this rule is to be searched, inspected or copied without leave of a judge.</w:t>
      </w:r>
    </w:p>
    <w:p>
      <w:pPr>
        <w:pStyle w:val="Footnotesection"/>
      </w:pPr>
      <w:r>
        <w:tab/>
        <w:t>[Rule 3 inserted: Gazette 16 Jul 1999 p. 3190</w:t>
      </w:r>
      <w:r>
        <w:noBreakHyphen/>
        <w:t>1; amended: Gazette 3 Aug 2012 p. 3750.]</w:t>
      </w:r>
    </w:p>
    <w:p>
      <w:pPr>
        <w:pStyle w:val="Heading5"/>
      </w:pPr>
      <w:bookmarkStart w:id="622" w:name="_Toc129077830"/>
      <w:r>
        <w:rPr>
          <w:rStyle w:val="CharSectno"/>
        </w:rPr>
        <w:t>4</w:t>
      </w:r>
      <w:r>
        <w:t>.</w:t>
      </w:r>
      <w:r>
        <w:tab/>
        <w:t>Setting aside subpoena (Act s. 35 and 36)</w:t>
      </w:r>
      <w:bookmarkEnd w:id="622"/>
    </w:p>
    <w:p>
      <w:pPr>
        <w:pStyle w:val="Subsection"/>
      </w:pPr>
      <w:r>
        <w:tab/>
        <w:t>(1)</w:t>
      </w:r>
      <w:r>
        <w:tab/>
        <w:t>An application to the Court under section 35(1) of the Act must be made by filing an application in the form of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The filed application must be headed with the heading on the order of the Court granting leave to serve the subpoena.</w:t>
      </w:r>
    </w:p>
    <w:p>
      <w:pPr>
        <w:pStyle w:val="Subsection"/>
      </w:pPr>
      <w:r>
        <w:tab/>
        <w:t>(4)</w:t>
      </w:r>
      <w:r>
        <w:tab/>
        <w:t>In addition to the requirements of section 35(3) of the Act, the application must contain the applicant’s telephone number.</w:t>
      </w:r>
    </w:p>
    <w:p>
      <w:pPr>
        <w:pStyle w:val="Ednotesubsection"/>
      </w:pPr>
      <w:r>
        <w:tab/>
        <w:t>[(5)</w:t>
      </w:r>
      <w:r>
        <w:tab/>
        <w:t>deleted]</w:t>
      </w:r>
    </w:p>
    <w:p>
      <w:pPr>
        <w:pStyle w:val="Subsection"/>
      </w:pPr>
      <w:r>
        <w:tab/>
        <w:t>(6)</w:t>
      </w:r>
      <w:r>
        <w:tab/>
        <w:t>For the purposes of section 35(4) of the Act, the Principal Registrar must serve the copy of the application, and any accompanying affidavit, in accordance with Order 72 rule 6.</w:t>
      </w:r>
    </w:p>
    <w:p>
      <w:pPr>
        <w:pStyle w:val="Subsection"/>
      </w:pPr>
      <w:r>
        <w:tab/>
        <w:t>(7)</w:t>
      </w:r>
      <w:r>
        <w:tab/>
        <w:t>An application made under this rule is to be determined at a date, time and place and in a manner directed by the Court.</w:t>
      </w:r>
    </w:p>
    <w:p>
      <w:pPr>
        <w:pStyle w:val="Subsection"/>
      </w:pPr>
      <w:r>
        <w:lastRenderedPageBreak/>
        <w:tab/>
        <w:t>(8)</w:t>
      </w:r>
      <w:r>
        <w:tab/>
        <w:t xml:space="preserve">A request made under section 36(5) of the Act must be made by filing a notice in the form of Form No. 31B not later than 7 days after — </w:t>
      </w:r>
    </w:p>
    <w:p>
      <w:pPr>
        <w:pStyle w:val="Indenta"/>
      </w:pPr>
      <w:r>
        <w:tab/>
        <w:t>(a)</w:t>
      </w:r>
      <w:r>
        <w:tab/>
        <w:t>if the request is made by the person named in the subpoena, the date on which the application was filed; or</w:t>
      </w:r>
    </w:p>
    <w:p>
      <w:pPr>
        <w:pStyle w:val="Indenta"/>
      </w:pPr>
      <w:r>
        <w:tab/>
        <w:t>(b)</w:t>
      </w:r>
      <w:r>
        <w:tab/>
        <w:t>otherwise, the date on which the application is served on the party who obtained leave to serve the subpoena.</w:t>
      </w:r>
    </w:p>
    <w:p>
      <w:pPr>
        <w:pStyle w:val="Subsection"/>
      </w:pPr>
      <w:r>
        <w:tab/>
        <w:t>(9)</w:t>
      </w:r>
      <w:r>
        <w:tab/>
        <w:t>A request made under section 36(6)(b) of the Act that is not made in the application must be made by filing a request in the form of Form No. 31C.</w:t>
      </w:r>
    </w:p>
    <w:p>
      <w:pPr>
        <w:pStyle w:val="Footnotesection"/>
      </w:pPr>
      <w:r>
        <w:tab/>
        <w:t>[Rule 4 inserted: Gazette 16 Jul 1999 p. 3191</w:t>
      </w:r>
      <w:r>
        <w:noBreakHyphen/>
        <w:t>2; amended: Gazette 3 Aug 2012 p. 3750</w:t>
      </w:r>
      <w:r>
        <w:noBreakHyphen/>
        <w:t>1; 27 Feb 2018 p. 566.]</w:t>
      </w:r>
    </w:p>
    <w:p>
      <w:pPr>
        <w:pStyle w:val="Heading5"/>
      </w:pPr>
      <w:bookmarkStart w:id="623" w:name="_Toc129077831"/>
      <w:r>
        <w:rPr>
          <w:rStyle w:val="CharSectno"/>
        </w:rPr>
        <w:t>5</w:t>
      </w:r>
      <w:r>
        <w:t>.</w:t>
      </w:r>
      <w:r>
        <w:tab/>
        <w:t>Failure to comply with subpoena (Act s. 38)</w:t>
      </w:r>
      <w:bookmarkEnd w:id="623"/>
    </w:p>
    <w:p>
      <w:pPr>
        <w:pStyle w:val="Subsection"/>
      </w:pPr>
      <w:r>
        <w:tab/>
        <w:t>(1A)</w:t>
      </w:r>
      <w:r>
        <w:tab/>
        <w:t xml:space="preserve">In this rule — </w:t>
      </w:r>
    </w:p>
    <w:p>
      <w:pPr>
        <w:pStyle w:val="Defstart"/>
      </w:pPr>
      <w:r>
        <w:tab/>
      </w:r>
      <w:r>
        <w:rPr>
          <w:rStyle w:val="CharDefText"/>
        </w:rPr>
        <w:t>certificate</w:t>
      </w:r>
      <w:r>
        <w:t xml:space="preserve"> means a certificate referred to in section 38 of the Act.</w:t>
      </w:r>
    </w:p>
    <w:p>
      <w:pPr>
        <w:pStyle w:val="Subsection"/>
      </w:pPr>
      <w:r>
        <w:tab/>
        <w:t>(1)</w:t>
      </w:r>
      <w:r>
        <w:tab/>
        <w:t>A certificate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the form of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 xml:space="preserve">an affidavit of service of — </w:t>
      </w:r>
    </w:p>
    <w:p>
      <w:pPr>
        <w:pStyle w:val="Indenti"/>
      </w:pPr>
      <w:r>
        <w:tab/>
        <w:t>(i)</w:t>
      </w:r>
      <w:r>
        <w:tab/>
        <w:t>the subpoena; and</w:t>
      </w:r>
    </w:p>
    <w:p>
      <w:pPr>
        <w:pStyle w:val="Indenti"/>
      </w:pPr>
      <w:r>
        <w:tab/>
        <w:t>(ii)</w:t>
      </w:r>
      <w:r>
        <w:tab/>
        <w:t>the order giving leave for the subpoena to be served in New Zealand; and</w:t>
      </w:r>
    </w:p>
    <w:p>
      <w:pPr>
        <w:pStyle w:val="Indenti"/>
        <w:keepNext/>
      </w:pPr>
      <w:r>
        <w:lastRenderedPageBreak/>
        <w:tab/>
        <w:t>(iii)</w:t>
      </w:r>
      <w:r>
        <w:tab/>
        <w:t>the notice referred to in section 32(2) of the Act;</w:t>
      </w:r>
    </w:p>
    <w:p>
      <w:pPr>
        <w:pStyle w:val="Indenta"/>
      </w:pPr>
      <w:r>
        <w:tab/>
      </w:r>
      <w:r>
        <w:tab/>
        <w:t>and</w:t>
      </w:r>
    </w:p>
    <w:p>
      <w:pPr>
        <w:pStyle w:val="Indenta"/>
      </w:pPr>
      <w:r>
        <w:tab/>
        <w:t>(b)</w:t>
      </w:r>
      <w:r>
        <w:tab/>
        <w:t xml:space="preserve">an affidavit stating — </w:t>
      </w:r>
    </w:p>
    <w:p>
      <w:pPr>
        <w:pStyle w:val="Ednotepensubpara"/>
      </w:pPr>
      <w:r>
        <w:tab/>
        <w:t>[(i)</w:t>
      </w:r>
      <w:r>
        <w:tab/>
        <w:t>deleted]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Subsection"/>
      </w:pPr>
      <w:r>
        <w:tab/>
        <w:t>(4)</w:t>
      </w:r>
      <w:r>
        <w:tab/>
        <w:t>It is not necessary to attach the documents referred to in subrule (3)(a) to the affidavit of service.</w:t>
      </w:r>
    </w:p>
    <w:p>
      <w:pPr>
        <w:pStyle w:val="Subsection"/>
      </w:pPr>
      <w:r>
        <w:tab/>
        <w:t>(5)</w:t>
      </w:r>
      <w:r>
        <w:tab/>
        <w:t>A certificate must be in the form of Form No. 31D.</w:t>
      </w:r>
    </w:p>
    <w:p>
      <w:pPr>
        <w:pStyle w:val="Footnotesection"/>
      </w:pPr>
      <w:r>
        <w:tab/>
        <w:t>[Rule 5 inserted: Gazette 16 Jul 1999 p. 3192; amended: Gazette 3 Aug 2012 p. 3751.]</w:t>
      </w:r>
    </w:p>
    <w:p>
      <w:pPr>
        <w:pStyle w:val="Heading3"/>
      </w:pPr>
      <w:bookmarkStart w:id="624" w:name="_Toc129073760"/>
      <w:bookmarkStart w:id="625" w:name="_Toc129075043"/>
      <w:bookmarkStart w:id="626" w:name="_Toc129077832"/>
      <w:r>
        <w:rPr>
          <w:rStyle w:val="CharDivNo"/>
        </w:rPr>
        <w:t>Division 3</w:t>
      </w:r>
      <w:r>
        <w:t> — </w:t>
      </w:r>
      <w:r>
        <w:rPr>
          <w:rStyle w:val="CharDivText"/>
        </w:rPr>
        <w:t>Remote appearances from New Zealand</w:t>
      </w:r>
      <w:bookmarkEnd w:id="624"/>
      <w:bookmarkEnd w:id="625"/>
      <w:bookmarkEnd w:id="626"/>
    </w:p>
    <w:p>
      <w:pPr>
        <w:pStyle w:val="Footnoteheading"/>
        <w:keepNext/>
      </w:pPr>
      <w:r>
        <w:rPr>
          <w:snapToGrid w:val="0"/>
        </w:rPr>
        <w:tab/>
        <w:t>[Heading inserted: Gazette 3 Aug 2012 p. 3752.]</w:t>
      </w:r>
    </w:p>
    <w:p>
      <w:pPr>
        <w:pStyle w:val="Heading5"/>
      </w:pPr>
      <w:bookmarkStart w:id="627" w:name="_Toc129077833"/>
      <w:r>
        <w:rPr>
          <w:rStyle w:val="CharSectno"/>
        </w:rPr>
        <w:t>6A</w:t>
      </w:r>
      <w:r>
        <w:t>.</w:t>
      </w:r>
      <w:r>
        <w:tab/>
        <w:t>Appearances by audio link or audiovisual link (Act s. 48)</w:t>
      </w:r>
      <w:bookmarkEnd w:id="627"/>
    </w:p>
    <w:p>
      <w:pPr>
        <w:pStyle w:val="Subsection"/>
      </w:pPr>
      <w:r>
        <w:tab/>
        <w:t>(1)</w:t>
      </w:r>
      <w:r>
        <w:tab/>
        <w:t>An application for leave under section 48(1) of the Act may be made orally or by summons.</w:t>
      </w:r>
    </w:p>
    <w:p>
      <w:pPr>
        <w:pStyle w:val="Subsection"/>
      </w:pPr>
      <w:r>
        <w:tab/>
        <w:t>(2)</w:t>
      </w:r>
      <w:r>
        <w:tab/>
        <w:t xml:space="preserve">The application must be supported by an affidavit stating the following — </w:t>
      </w:r>
    </w:p>
    <w:p>
      <w:pPr>
        <w:pStyle w:val="Indenta"/>
      </w:pPr>
      <w:r>
        <w:tab/>
        <w:t>(a)</w:t>
      </w:r>
      <w:r>
        <w:tab/>
        <w:t xml:space="preserve">the reasons why the applicant or the applicant’s lawyer can more conveniently participate in the hearing from New Zealand; </w:t>
      </w:r>
    </w:p>
    <w:p>
      <w:pPr>
        <w:pStyle w:val="Indenta"/>
      </w:pPr>
      <w:r>
        <w:tab/>
        <w:t>(b)</w:t>
      </w:r>
      <w:r>
        <w:tab/>
        <w:t xml:space="preserve">which audio link or audiovisual link facilities are available for the hearing or can reasonably be made available; </w:t>
      </w:r>
    </w:p>
    <w:p>
      <w:pPr>
        <w:pStyle w:val="Indenta"/>
      </w:pPr>
      <w:r>
        <w:tab/>
        <w:t>(c)</w:t>
      </w:r>
      <w:r>
        <w:tab/>
        <w:t xml:space="preserve">that the requirements of section 51 or 52, as the case requires, of the Act can be met; </w:t>
      </w:r>
    </w:p>
    <w:p>
      <w:pPr>
        <w:pStyle w:val="Indenta"/>
      </w:pPr>
      <w:r>
        <w:lastRenderedPageBreak/>
        <w:tab/>
        <w:t>(d)</w:t>
      </w:r>
      <w:r>
        <w:tab/>
        <w:t xml:space="preserve">if leave is sought for the applicant’s lawyer to appear before the Court, and the lawyer is not entitled to appear before the Court — </w:t>
      </w:r>
    </w:p>
    <w:p>
      <w:pPr>
        <w:pStyle w:val="Indenti"/>
      </w:pPr>
      <w:r>
        <w:tab/>
        <w:t>(i)</w:t>
      </w:r>
      <w:r>
        <w:tab/>
        <w:t>that the lawyer is a qualified NZ lawyer; and</w:t>
      </w:r>
    </w:p>
    <w:p>
      <w:pPr>
        <w:pStyle w:val="Indenti"/>
      </w:pPr>
      <w:r>
        <w:tab/>
        <w:t>(ii)</w:t>
      </w:r>
      <w:r>
        <w:tab/>
        <w:t>the applicant ordinarily resides or, if the applicant is not an individual, has its principal place of business, in New Zealand.</w:t>
      </w:r>
    </w:p>
    <w:p>
      <w:pPr>
        <w:pStyle w:val="Footnotesection"/>
        <w:spacing w:before="100"/>
        <w:ind w:left="890" w:hanging="890"/>
      </w:pPr>
      <w:r>
        <w:tab/>
        <w:t>[Rule 6A inserted: Gazette 3 Aug 2012 p. 3752.]</w:t>
      </w:r>
    </w:p>
    <w:p>
      <w:pPr>
        <w:pStyle w:val="Heading5"/>
      </w:pPr>
      <w:bookmarkStart w:id="628" w:name="_Toc129077834"/>
      <w:r>
        <w:rPr>
          <w:rStyle w:val="CharSectno"/>
        </w:rPr>
        <w:t>6</w:t>
      </w:r>
      <w:r>
        <w:t>.</w:t>
      </w:r>
      <w:r>
        <w:tab/>
        <w:t>Evidence by audio link or audiovisual link (Act s. 50)</w:t>
      </w:r>
      <w:bookmarkEnd w:id="628"/>
    </w:p>
    <w:p>
      <w:pPr>
        <w:pStyle w:val="Subsection"/>
      </w:pPr>
      <w:r>
        <w:tab/>
        <w:t>(1)</w:t>
      </w:r>
      <w:r>
        <w:tab/>
        <w:t>An application for leave under section 50(1)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audio link or audiovisual link facilities available for such a procedure or that can reasonably be made available; and</w:t>
      </w:r>
    </w:p>
    <w:p>
      <w:pPr>
        <w:pStyle w:val="Indenta"/>
      </w:pPr>
      <w:r>
        <w:tab/>
        <w:t>(h)</w:t>
      </w:r>
      <w:r>
        <w:tab/>
        <w:t>that the requirements of section 51 or 52, as the case requires, of the Act can be met.</w:t>
      </w:r>
    </w:p>
    <w:p>
      <w:pPr>
        <w:pStyle w:val="Subsection"/>
      </w:pPr>
      <w:r>
        <w:tab/>
        <w:t>(3)</w:t>
      </w:r>
      <w:r>
        <w:tab/>
        <w:t>In deciding whether to grant leave,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audio link or audiovisual link, the Court </w:t>
      </w:r>
      <w:r>
        <w:lastRenderedPageBreak/>
        <w:t>may direct the Principal Registrar to arrange and coordinate the appropriate facilities in Australia and New Zealand.</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Gazette 16 Jul 1999 p. 3192</w:t>
      </w:r>
      <w:r>
        <w:noBreakHyphen/>
        <w:t>3; amended: Gazette 3 Aug 2012 p. 3752</w:t>
      </w:r>
      <w:r>
        <w:noBreakHyphen/>
        <w:t>3.]</w:t>
      </w:r>
    </w:p>
    <w:p>
      <w:pPr>
        <w:pStyle w:val="Heading3"/>
      </w:pPr>
      <w:bookmarkStart w:id="629" w:name="_Toc129073763"/>
      <w:bookmarkStart w:id="630" w:name="_Toc129075046"/>
      <w:bookmarkStart w:id="631" w:name="_Toc129077835"/>
      <w:r>
        <w:rPr>
          <w:rStyle w:val="CharDivNo"/>
        </w:rPr>
        <w:t>Division 4</w:t>
      </w:r>
      <w:r>
        <w:t> — </w:t>
      </w:r>
      <w:r>
        <w:rPr>
          <w:rStyle w:val="CharDivText"/>
        </w:rPr>
        <w:t>Registration and enforcement of NZ judgments</w:t>
      </w:r>
      <w:bookmarkEnd w:id="629"/>
      <w:bookmarkEnd w:id="630"/>
      <w:bookmarkEnd w:id="631"/>
    </w:p>
    <w:p>
      <w:pPr>
        <w:pStyle w:val="Footnoteheading"/>
        <w:keepNext/>
      </w:pPr>
      <w:r>
        <w:rPr>
          <w:snapToGrid w:val="0"/>
        </w:rPr>
        <w:tab/>
        <w:t>[Heading inserted: Gazette 3 Aug 2012 p. 3753.]</w:t>
      </w:r>
    </w:p>
    <w:p>
      <w:pPr>
        <w:pStyle w:val="Heading5"/>
      </w:pPr>
      <w:bookmarkStart w:id="632" w:name="_Toc129077836"/>
      <w:r>
        <w:rPr>
          <w:rStyle w:val="CharSectno"/>
        </w:rPr>
        <w:t>7</w:t>
      </w:r>
      <w:r>
        <w:t>.</w:t>
      </w:r>
      <w:r>
        <w:tab/>
        <w:t>Setting aside registration of NZ judgment (Act s. 72)</w:t>
      </w:r>
      <w:bookmarkEnd w:id="632"/>
    </w:p>
    <w:p>
      <w:pPr>
        <w:pStyle w:val="Subsection"/>
      </w:pPr>
      <w:r>
        <w:tab/>
        <w:t>(1)</w:t>
      </w:r>
      <w:r>
        <w:tab/>
        <w:t>An application under section 72(2)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 xml:space="preserve">The notice of originating motion and the accompanying affidavit must be served on the entitled person not less than </w:t>
      </w:r>
      <w:r>
        <w:lastRenderedPageBreak/>
        <w:t>7 clear days before the day named in the notice for hearing the motion.</w:t>
      </w:r>
    </w:p>
    <w:p>
      <w:pPr>
        <w:pStyle w:val="Footnotesection"/>
        <w:spacing w:before="100"/>
        <w:ind w:left="890" w:hanging="890"/>
      </w:pPr>
      <w:r>
        <w:tab/>
        <w:t>[Rule 7 inserted: Gazette 3 Aug 2012 p. 3753.]</w:t>
      </w:r>
    </w:p>
    <w:p>
      <w:pPr>
        <w:pStyle w:val="Heading5"/>
      </w:pPr>
      <w:bookmarkStart w:id="633" w:name="_Toc129077837"/>
      <w:r>
        <w:rPr>
          <w:rStyle w:val="CharSectno"/>
        </w:rPr>
        <w:t>8</w:t>
      </w:r>
      <w:r>
        <w:t>.</w:t>
      </w:r>
      <w:r>
        <w:tab/>
        <w:t>Stay of enforcement of registered NZ judgment (Act s. 76)</w:t>
      </w:r>
      <w:bookmarkEnd w:id="633"/>
    </w:p>
    <w:p>
      <w:pPr>
        <w:pStyle w:val="Subsection"/>
      </w:pPr>
      <w:r>
        <w:tab/>
        <w:t>(1)</w:t>
      </w:r>
      <w:r>
        <w:tab/>
        <w:t>An application under section 76(3) of the Act must be made by filing a notice of originating motion in the form of Form No. 64.</w:t>
      </w:r>
    </w:p>
    <w:p>
      <w:pPr>
        <w:pStyle w:val="Subsection"/>
      </w:pPr>
      <w:r>
        <w:tab/>
        <w:t>(2)</w:t>
      </w:r>
      <w:r>
        <w:tab/>
        <w:t>The application must be supported by an affidavit setting out the facts and grounds on which the application is made.</w:t>
      </w:r>
    </w:p>
    <w:p>
      <w:pPr>
        <w:pStyle w:val="Subsection"/>
      </w:pPr>
      <w:r>
        <w:tab/>
        <w:t>(3)</w:t>
      </w:r>
      <w:r>
        <w:tab/>
        <w:t>The notice of originating motion and the accompanying affidavit must be served on the entitled person not less than 7 clear days before the day named in the notice for hearing the motion.</w:t>
      </w:r>
    </w:p>
    <w:p>
      <w:pPr>
        <w:pStyle w:val="Footnotesection"/>
        <w:spacing w:before="100"/>
        <w:ind w:left="890" w:hanging="890"/>
      </w:pPr>
      <w:r>
        <w:tab/>
        <w:t>[Rule 8 inserted: Gazette 3 Aug 2012 p. 3753.]</w:t>
      </w:r>
    </w:p>
    <w:p>
      <w:pPr>
        <w:pStyle w:val="Heading2"/>
        <w:rPr>
          <w:b w:val="0"/>
        </w:rPr>
      </w:pPr>
      <w:bookmarkStart w:id="634" w:name="_Toc129073766"/>
      <w:bookmarkStart w:id="635" w:name="_Toc129075049"/>
      <w:bookmarkStart w:id="636" w:name="_Toc129077838"/>
      <w:r>
        <w:rPr>
          <w:rStyle w:val="CharPartNo"/>
        </w:rPr>
        <w:lastRenderedPageBreak/>
        <w:t>Order 40</w:t>
      </w:r>
      <w:r>
        <w:rPr>
          <w:rStyle w:val="CharDivNo"/>
        </w:rPr>
        <w:t> </w:t>
      </w:r>
      <w:r>
        <w:t>—</w:t>
      </w:r>
      <w:r>
        <w:rPr>
          <w:rStyle w:val="CharDivText"/>
        </w:rPr>
        <w:t> </w:t>
      </w:r>
      <w:r>
        <w:rPr>
          <w:rStyle w:val="CharPartText"/>
        </w:rPr>
        <w:t>Court experts</w:t>
      </w:r>
      <w:bookmarkEnd w:id="634"/>
      <w:bookmarkEnd w:id="635"/>
      <w:bookmarkEnd w:id="636"/>
    </w:p>
    <w:p>
      <w:pPr>
        <w:pStyle w:val="Heading5"/>
        <w:rPr>
          <w:snapToGrid w:val="0"/>
        </w:rPr>
      </w:pPr>
      <w:bookmarkStart w:id="637" w:name="_Toc129077839"/>
      <w:r>
        <w:rPr>
          <w:rStyle w:val="CharSectno"/>
        </w:rPr>
        <w:t>1</w:t>
      </w:r>
      <w:r>
        <w:rPr>
          <w:snapToGrid w:val="0"/>
        </w:rPr>
        <w:t>.</w:t>
      </w:r>
      <w:r>
        <w:rPr>
          <w:snapToGrid w:val="0"/>
        </w:rPr>
        <w:tab/>
        <w:t>Terms used</w:t>
      </w:r>
      <w:bookmarkEnd w:id="637"/>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38" w:name="_Toc129077840"/>
      <w:r>
        <w:rPr>
          <w:rStyle w:val="CharSectno"/>
        </w:rPr>
        <w:t>2</w:t>
      </w:r>
      <w:r>
        <w:rPr>
          <w:snapToGrid w:val="0"/>
        </w:rPr>
        <w:t>.</w:t>
      </w:r>
      <w:r>
        <w:rPr>
          <w:snapToGrid w:val="0"/>
        </w:rPr>
        <w:tab/>
        <w:t>Court expert, appointment of etc.</w:t>
      </w:r>
      <w:bookmarkEnd w:id="638"/>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Gazette 28 Jun 2011 p. 2552.]</w:t>
      </w:r>
    </w:p>
    <w:p>
      <w:pPr>
        <w:pStyle w:val="Heading5"/>
        <w:rPr>
          <w:snapToGrid w:val="0"/>
        </w:rPr>
      </w:pPr>
      <w:bookmarkStart w:id="639" w:name="_Toc129077841"/>
      <w:r>
        <w:rPr>
          <w:rStyle w:val="CharSectno"/>
        </w:rPr>
        <w:lastRenderedPageBreak/>
        <w:t>3</w:t>
      </w:r>
      <w:r>
        <w:rPr>
          <w:snapToGrid w:val="0"/>
        </w:rPr>
        <w:t>.</w:t>
      </w:r>
      <w:r>
        <w:rPr>
          <w:snapToGrid w:val="0"/>
        </w:rPr>
        <w:tab/>
        <w:t>Report of Court expert</w:t>
      </w:r>
      <w:bookmarkEnd w:id="639"/>
    </w:p>
    <w:p>
      <w:pPr>
        <w:pStyle w:val="Subsection"/>
        <w:rPr>
          <w:snapToGrid w:val="0"/>
        </w:rPr>
      </w:pPr>
      <w:r>
        <w:rPr>
          <w:snapToGrid w:val="0"/>
        </w:rPr>
        <w:tab/>
        <w:t>(1)</w:t>
      </w:r>
      <w:r>
        <w:rPr>
          <w:snapToGrid w:val="0"/>
        </w:rPr>
        <w:tab/>
        <w:t xml:space="preserve">The Court expert must </w:t>
      </w:r>
      <w:r>
        <w:t>file the expert’s report</w:t>
      </w:r>
      <w:r>
        <w:rPr>
          <w:snapToGrid w:val="0"/>
        </w:rPr>
        <w:t xml:space="preserve"> with such copies thereof as the Court requires and the proper officer must send a copy of the report to each party or his solicitor.</w:t>
      </w:r>
    </w:p>
    <w:p>
      <w:pPr>
        <w:pStyle w:val="Subsection"/>
      </w:pPr>
      <w:r>
        <w:tab/>
        <w:t>(1A)</w:t>
      </w:r>
      <w:r>
        <w:tab/>
        <w:t>Unless the Principal Registrar has given approval for it to be filed electronically, the Court expert’s report cannot be filed electronically.</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Footnotesection"/>
      </w:pPr>
      <w:r>
        <w:tab/>
        <w:t>[Rule 3 amended: Gazette 27 Feb 2018 p. 566.]</w:t>
      </w:r>
    </w:p>
    <w:p>
      <w:pPr>
        <w:pStyle w:val="Heading5"/>
        <w:rPr>
          <w:snapToGrid w:val="0"/>
        </w:rPr>
      </w:pPr>
      <w:bookmarkStart w:id="640" w:name="_Toc129077842"/>
      <w:r>
        <w:rPr>
          <w:rStyle w:val="CharSectno"/>
        </w:rPr>
        <w:t>4</w:t>
      </w:r>
      <w:r>
        <w:rPr>
          <w:snapToGrid w:val="0"/>
        </w:rPr>
        <w:t>.</w:t>
      </w:r>
      <w:r>
        <w:rPr>
          <w:snapToGrid w:val="0"/>
        </w:rPr>
        <w:tab/>
        <w:t>Cross</w:t>
      </w:r>
      <w:r>
        <w:rPr>
          <w:snapToGrid w:val="0"/>
        </w:rPr>
        <w:noBreakHyphen/>
        <w:t>examination of Court expert</w:t>
      </w:r>
      <w:bookmarkEnd w:id="640"/>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41" w:name="_Toc129077843"/>
      <w:r>
        <w:rPr>
          <w:rStyle w:val="CharSectno"/>
        </w:rPr>
        <w:t>5</w:t>
      </w:r>
      <w:r>
        <w:rPr>
          <w:snapToGrid w:val="0"/>
        </w:rPr>
        <w:t>.</w:t>
      </w:r>
      <w:r>
        <w:rPr>
          <w:snapToGrid w:val="0"/>
        </w:rPr>
        <w:tab/>
        <w:t>Remuneration of Court expert</w:t>
      </w:r>
      <w:bookmarkEnd w:id="641"/>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lastRenderedPageBreak/>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42" w:name="_Toc129077844"/>
      <w:r>
        <w:rPr>
          <w:rStyle w:val="CharSectno"/>
        </w:rPr>
        <w:t>6</w:t>
      </w:r>
      <w:r>
        <w:rPr>
          <w:snapToGrid w:val="0"/>
        </w:rPr>
        <w:t>.</w:t>
      </w:r>
      <w:r>
        <w:rPr>
          <w:snapToGrid w:val="0"/>
        </w:rPr>
        <w:tab/>
        <w:t>Further expert witnesses</w:t>
      </w:r>
      <w:bookmarkEnd w:id="642"/>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Gazette 28 Jun 2011 p. 2552.]</w:t>
      </w:r>
    </w:p>
    <w:p>
      <w:pPr>
        <w:pStyle w:val="Heading2"/>
        <w:rPr>
          <w:b w:val="0"/>
        </w:rPr>
      </w:pPr>
      <w:bookmarkStart w:id="643" w:name="_Toc129073773"/>
      <w:bookmarkStart w:id="644" w:name="_Toc129075056"/>
      <w:bookmarkStart w:id="645" w:name="_Toc129077845"/>
      <w:r>
        <w:rPr>
          <w:rStyle w:val="CharPartNo"/>
        </w:rPr>
        <w:lastRenderedPageBreak/>
        <w:t>Order 41</w:t>
      </w:r>
      <w:r>
        <w:rPr>
          <w:rStyle w:val="CharDivNo"/>
        </w:rPr>
        <w:t> </w:t>
      </w:r>
      <w:r>
        <w:t>—</w:t>
      </w:r>
      <w:r>
        <w:rPr>
          <w:rStyle w:val="CharDivText"/>
        </w:rPr>
        <w:t> </w:t>
      </w:r>
      <w:r>
        <w:rPr>
          <w:rStyle w:val="CharPartText"/>
        </w:rPr>
        <w:t>Motion for judgment</w:t>
      </w:r>
      <w:bookmarkEnd w:id="643"/>
      <w:bookmarkEnd w:id="644"/>
      <w:bookmarkEnd w:id="645"/>
    </w:p>
    <w:p>
      <w:pPr>
        <w:pStyle w:val="Heading5"/>
        <w:rPr>
          <w:snapToGrid w:val="0"/>
        </w:rPr>
      </w:pPr>
      <w:bookmarkStart w:id="646" w:name="_Toc129077846"/>
      <w:r>
        <w:rPr>
          <w:rStyle w:val="CharSectno"/>
        </w:rPr>
        <w:t>1</w:t>
      </w:r>
      <w:r>
        <w:rPr>
          <w:snapToGrid w:val="0"/>
        </w:rPr>
        <w:t>.</w:t>
      </w:r>
      <w:r>
        <w:rPr>
          <w:snapToGrid w:val="0"/>
        </w:rPr>
        <w:tab/>
        <w:t>Judgment to be on motion</w:t>
      </w:r>
      <w:bookmarkEnd w:id="646"/>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47" w:name="_Toc129077847"/>
      <w:r>
        <w:rPr>
          <w:rStyle w:val="CharSectno"/>
        </w:rPr>
        <w:t>2</w:t>
      </w:r>
      <w:r>
        <w:rPr>
          <w:snapToGrid w:val="0"/>
        </w:rPr>
        <w:t>.</w:t>
      </w:r>
      <w:r>
        <w:rPr>
          <w:snapToGrid w:val="0"/>
        </w:rPr>
        <w:tab/>
        <w:t>When motion for judgment may be set down after trial etc.</w:t>
      </w:r>
      <w:bookmarkEnd w:id="647"/>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48" w:name="_Toc129077848"/>
      <w:r>
        <w:rPr>
          <w:rStyle w:val="CharSectno"/>
        </w:rPr>
        <w:t>3</w:t>
      </w:r>
      <w:r>
        <w:rPr>
          <w:snapToGrid w:val="0"/>
        </w:rPr>
        <w:t>.</w:t>
      </w:r>
      <w:r>
        <w:rPr>
          <w:snapToGrid w:val="0"/>
        </w:rPr>
        <w:tab/>
        <w:t>Motion for judgment before trial etc. of all issues</w:t>
      </w:r>
      <w:bookmarkEnd w:id="648"/>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49" w:name="_Toc129077849"/>
      <w:r>
        <w:rPr>
          <w:rStyle w:val="CharSectno"/>
        </w:rPr>
        <w:lastRenderedPageBreak/>
        <w:t>4</w:t>
      </w:r>
      <w:r>
        <w:rPr>
          <w:snapToGrid w:val="0"/>
        </w:rPr>
        <w:t>.</w:t>
      </w:r>
      <w:r>
        <w:rPr>
          <w:snapToGrid w:val="0"/>
        </w:rPr>
        <w:tab/>
        <w:t>Motion for judgment to be set down within one year</w:t>
      </w:r>
      <w:bookmarkEnd w:id="649"/>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50" w:name="_Toc129077850"/>
      <w:r>
        <w:rPr>
          <w:rStyle w:val="CharSectno"/>
        </w:rPr>
        <w:t>5</w:t>
      </w:r>
      <w:r>
        <w:rPr>
          <w:snapToGrid w:val="0"/>
        </w:rPr>
        <w:t>.</w:t>
      </w:r>
      <w:r>
        <w:rPr>
          <w:snapToGrid w:val="0"/>
        </w:rPr>
        <w:tab/>
        <w:t>Court may draw inferences and determine questions</w:t>
      </w:r>
      <w:bookmarkEnd w:id="650"/>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51" w:name="_Toc129073779"/>
      <w:bookmarkStart w:id="652" w:name="_Toc129075062"/>
      <w:bookmarkStart w:id="653" w:name="_Toc129077851"/>
      <w:r>
        <w:rPr>
          <w:rStyle w:val="CharPartNo"/>
        </w:rPr>
        <w:lastRenderedPageBreak/>
        <w:t>Order 42</w:t>
      </w:r>
      <w:r>
        <w:rPr>
          <w:rStyle w:val="CharDivNo"/>
        </w:rPr>
        <w:t> </w:t>
      </w:r>
      <w:r>
        <w:t>—</w:t>
      </w:r>
      <w:r>
        <w:rPr>
          <w:rStyle w:val="CharDivText"/>
        </w:rPr>
        <w:t> </w:t>
      </w:r>
      <w:r>
        <w:rPr>
          <w:rStyle w:val="CharPartText"/>
        </w:rPr>
        <w:t>Entry of judgment</w:t>
      </w:r>
      <w:bookmarkEnd w:id="651"/>
      <w:bookmarkEnd w:id="652"/>
      <w:bookmarkEnd w:id="653"/>
    </w:p>
    <w:p>
      <w:pPr>
        <w:pStyle w:val="Heading5"/>
        <w:rPr>
          <w:snapToGrid w:val="0"/>
        </w:rPr>
      </w:pPr>
      <w:bookmarkStart w:id="654" w:name="_Toc129077852"/>
      <w:r>
        <w:rPr>
          <w:rStyle w:val="CharSectno"/>
        </w:rPr>
        <w:t>1</w:t>
      </w:r>
      <w:r>
        <w:rPr>
          <w:snapToGrid w:val="0"/>
        </w:rPr>
        <w:t>.</w:t>
      </w:r>
      <w:r>
        <w:rPr>
          <w:snapToGrid w:val="0"/>
        </w:rPr>
        <w:tab/>
        <w:t>Mode and form of entry</w:t>
      </w:r>
      <w:bookmarkEnd w:id="654"/>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pPr>
      <w:r>
        <w:tab/>
        <w:t>(1A)</w:t>
      </w:r>
      <w:r>
        <w:tab/>
        <w:t>The book must be kept in the manner directed by the Chief Justice from time to time.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Gazette 14 Dec 1979 p. 3870; 28 Jun 2011 p. 2554; 27 Feb 2018 p. 566.] </w:t>
      </w:r>
    </w:p>
    <w:p>
      <w:pPr>
        <w:pStyle w:val="Heading5"/>
        <w:rPr>
          <w:snapToGrid w:val="0"/>
        </w:rPr>
      </w:pPr>
      <w:bookmarkStart w:id="655" w:name="_Toc129077853"/>
      <w:r>
        <w:rPr>
          <w:rStyle w:val="CharSectno"/>
        </w:rPr>
        <w:t>2</w:t>
      </w:r>
      <w:r>
        <w:rPr>
          <w:snapToGrid w:val="0"/>
        </w:rPr>
        <w:t>.</w:t>
      </w:r>
      <w:r>
        <w:rPr>
          <w:snapToGrid w:val="0"/>
        </w:rPr>
        <w:tab/>
        <w:t>Date from which judgment or order takes effect</w:t>
      </w:r>
      <w:bookmarkEnd w:id="655"/>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56" w:name="_Toc129077854"/>
      <w:r>
        <w:rPr>
          <w:rStyle w:val="CharSectno"/>
        </w:rPr>
        <w:t>3</w:t>
      </w:r>
      <w:r>
        <w:rPr>
          <w:snapToGrid w:val="0"/>
        </w:rPr>
        <w:t>.</w:t>
      </w:r>
      <w:r>
        <w:rPr>
          <w:snapToGrid w:val="0"/>
        </w:rPr>
        <w:tab/>
        <w:t>Orders to do an act, time for obeying to be specified</w:t>
      </w:r>
      <w:bookmarkEnd w:id="656"/>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57" w:name="_Toc129077855"/>
      <w:r>
        <w:rPr>
          <w:rStyle w:val="CharSectno"/>
        </w:rPr>
        <w:t>4</w:t>
      </w:r>
      <w:r>
        <w:rPr>
          <w:snapToGrid w:val="0"/>
        </w:rPr>
        <w:t>.</w:t>
      </w:r>
      <w:r>
        <w:rPr>
          <w:snapToGrid w:val="0"/>
        </w:rPr>
        <w:tab/>
        <w:t>Entering judgment on filing of affidavit etc.</w:t>
      </w:r>
      <w:bookmarkEnd w:id="657"/>
    </w:p>
    <w:p>
      <w:pPr>
        <w:pStyle w:val="Subsection"/>
        <w:rPr>
          <w:snapToGrid w:val="0"/>
        </w:rPr>
      </w:pPr>
      <w:r>
        <w:rPr>
          <w:snapToGrid w:val="0"/>
        </w:rPr>
        <w:tab/>
      </w:r>
      <w:r>
        <w:rPr>
          <w:snapToGrid w:val="0"/>
        </w:rPr>
        <w:tab/>
        <w:t xml:space="preserve">Where under the Act or these rules, or otherwise, it is provided that any judgment may be entered upon the filing of any </w:t>
      </w:r>
      <w:r>
        <w:rPr>
          <w:snapToGrid w:val="0"/>
        </w:rPr>
        <w:lastRenderedPageBreak/>
        <w:t>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58" w:name="_Toc129077856"/>
      <w:r>
        <w:rPr>
          <w:rStyle w:val="CharSectno"/>
        </w:rPr>
        <w:t>5</w:t>
      </w:r>
      <w:r>
        <w:rPr>
          <w:snapToGrid w:val="0"/>
        </w:rPr>
        <w:t>.</w:t>
      </w:r>
      <w:r>
        <w:rPr>
          <w:snapToGrid w:val="0"/>
        </w:rPr>
        <w:tab/>
        <w:t>Entering judgment pursuant to order etc.</w:t>
      </w:r>
      <w:bookmarkEnd w:id="658"/>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59" w:name="_Toc129077857"/>
      <w:r>
        <w:rPr>
          <w:rStyle w:val="CharSectno"/>
        </w:rPr>
        <w:t>6</w:t>
      </w:r>
      <w:r>
        <w:rPr>
          <w:snapToGrid w:val="0"/>
        </w:rPr>
        <w:t>.</w:t>
      </w:r>
      <w:r>
        <w:rPr>
          <w:snapToGrid w:val="0"/>
        </w:rPr>
        <w:tab/>
        <w:t>Entering judgment on certificate of master or registrar</w:t>
      </w:r>
      <w:bookmarkEnd w:id="659"/>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when judgment is entered.</w:t>
      </w:r>
    </w:p>
    <w:p>
      <w:pPr>
        <w:pStyle w:val="Footnotesection"/>
      </w:pPr>
      <w:r>
        <w:tab/>
        <w:t xml:space="preserve">[Rule 6 amended: Gazette 14 Dec 1979 p. 3870; 30 Nov 1984 p. 3951; 27 Feb 2018 p. 566.] </w:t>
      </w:r>
    </w:p>
    <w:p>
      <w:pPr>
        <w:pStyle w:val="Heading5"/>
        <w:rPr>
          <w:snapToGrid w:val="0"/>
        </w:rPr>
      </w:pPr>
      <w:bookmarkStart w:id="660" w:name="_Toc129077858"/>
      <w:r>
        <w:rPr>
          <w:rStyle w:val="CharSectno"/>
        </w:rPr>
        <w:t>7</w:t>
      </w:r>
      <w:r>
        <w:rPr>
          <w:snapToGrid w:val="0"/>
        </w:rPr>
        <w:t>.</w:t>
      </w:r>
      <w:r>
        <w:rPr>
          <w:snapToGrid w:val="0"/>
        </w:rPr>
        <w:tab/>
        <w:t>Entering judgment by consent when party appears by solicitor</w:t>
      </w:r>
      <w:bookmarkEnd w:id="660"/>
    </w:p>
    <w:p>
      <w:pPr>
        <w:pStyle w:val="Subsection"/>
        <w:rPr>
          <w:snapToGrid w:val="0"/>
        </w:rPr>
      </w:pPr>
      <w:r>
        <w:rPr>
          <w:snapToGrid w:val="0"/>
        </w:rPr>
        <w:tab/>
      </w:r>
      <w:r>
        <w:rPr>
          <w:snapToGrid w:val="0"/>
        </w:rPr>
        <w:tab/>
        <w:t xml:space="preserve">In any cause or matter where the defendant has appeared by a solicitor, no order for entering judgment shall be made by consent unless the consent of the defendant is given by </w:t>
      </w:r>
      <w:r>
        <w:t>the defendant’s solicitor.</w:t>
      </w:r>
    </w:p>
    <w:p>
      <w:pPr>
        <w:pStyle w:val="Footnotesection"/>
      </w:pPr>
      <w:r>
        <w:tab/>
        <w:t xml:space="preserve">[Rule 7 amended: Gazette 27 Feb 2018 p. 567.] </w:t>
      </w:r>
    </w:p>
    <w:p>
      <w:pPr>
        <w:pStyle w:val="Heading5"/>
        <w:rPr>
          <w:snapToGrid w:val="0"/>
        </w:rPr>
      </w:pPr>
      <w:bookmarkStart w:id="661" w:name="_Toc129077859"/>
      <w:r>
        <w:rPr>
          <w:rStyle w:val="CharSectno"/>
        </w:rPr>
        <w:t>8</w:t>
      </w:r>
      <w:r>
        <w:rPr>
          <w:snapToGrid w:val="0"/>
        </w:rPr>
        <w:t>.</w:t>
      </w:r>
      <w:r>
        <w:rPr>
          <w:snapToGrid w:val="0"/>
        </w:rPr>
        <w:tab/>
        <w:t>Entering judgment by consent where defendant has not appeared or is self</w:t>
      </w:r>
      <w:r>
        <w:rPr>
          <w:snapToGrid w:val="0"/>
        </w:rPr>
        <w:noBreakHyphen/>
        <w:t>represented</w:t>
      </w:r>
      <w:bookmarkEnd w:id="661"/>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62" w:name="_Toc129077860"/>
      <w:r>
        <w:rPr>
          <w:rStyle w:val="CharSectno"/>
        </w:rPr>
        <w:lastRenderedPageBreak/>
        <w:t>9</w:t>
      </w:r>
      <w:r>
        <w:rPr>
          <w:snapToGrid w:val="0"/>
        </w:rPr>
        <w:t>.</w:t>
      </w:r>
      <w:r>
        <w:rPr>
          <w:snapToGrid w:val="0"/>
        </w:rPr>
        <w:tab/>
        <w:t>Satisfaction of judgments</w:t>
      </w:r>
      <w:bookmarkEnd w:id="662"/>
    </w:p>
    <w:p>
      <w:pPr>
        <w:pStyle w:val="Subsection"/>
        <w:rPr>
          <w:snapToGrid w:val="0"/>
        </w:rPr>
      </w:pPr>
      <w:r>
        <w:rPr>
          <w:snapToGrid w:val="0"/>
        </w:rPr>
        <w:tab/>
        <w:t>(1)</w:t>
      </w:r>
      <w:r>
        <w:rPr>
          <w:snapToGrid w:val="0"/>
        </w:rPr>
        <w:tab/>
        <w:t xml:space="preserve">A memorandum of satisfaction of a judgment may be entered upon a consent to the entry being </w:t>
      </w:r>
      <w:r>
        <w:t>filed.</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Gazette 30 Nov 1984 p. 3951; 27 Feb 2018 p. 567.] </w:t>
      </w:r>
    </w:p>
    <w:p>
      <w:pPr>
        <w:pStyle w:val="Heading2"/>
        <w:rPr>
          <w:b w:val="0"/>
        </w:rPr>
      </w:pPr>
      <w:bookmarkStart w:id="663" w:name="_Toc129073789"/>
      <w:bookmarkStart w:id="664" w:name="_Toc129075072"/>
      <w:bookmarkStart w:id="665" w:name="_Toc129077861"/>
      <w:r>
        <w:rPr>
          <w:rStyle w:val="CharPartNo"/>
        </w:rPr>
        <w:lastRenderedPageBreak/>
        <w:t>Order 43</w:t>
      </w:r>
      <w:r>
        <w:rPr>
          <w:rStyle w:val="CharDivNo"/>
        </w:rPr>
        <w:t> </w:t>
      </w:r>
      <w:r>
        <w:t>—</w:t>
      </w:r>
      <w:r>
        <w:rPr>
          <w:rStyle w:val="CharDivText"/>
        </w:rPr>
        <w:t> </w:t>
      </w:r>
      <w:r>
        <w:rPr>
          <w:rStyle w:val="CharPartText"/>
        </w:rPr>
        <w:t>Drawing up judgments and orders</w:t>
      </w:r>
      <w:bookmarkEnd w:id="663"/>
      <w:bookmarkEnd w:id="664"/>
      <w:bookmarkEnd w:id="665"/>
    </w:p>
    <w:p>
      <w:pPr>
        <w:pStyle w:val="Heading5"/>
        <w:rPr>
          <w:snapToGrid w:val="0"/>
        </w:rPr>
      </w:pPr>
      <w:bookmarkStart w:id="666" w:name="_Toc129077862"/>
      <w:r>
        <w:rPr>
          <w:rStyle w:val="CharSectno"/>
        </w:rPr>
        <w:t>1</w:t>
      </w:r>
      <w:r>
        <w:rPr>
          <w:snapToGrid w:val="0"/>
        </w:rPr>
        <w:t>.</w:t>
      </w:r>
      <w:r>
        <w:rPr>
          <w:snapToGrid w:val="0"/>
        </w:rPr>
        <w:tab/>
        <w:t>Drawing up etc. judgments etc.</w:t>
      </w:r>
      <w:bookmarkEnd w:id="666"/>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Gazette 14 Dec 1979 p. 3870.] </w:t>
      </w:r>
    </w:p>
    <w:p>
      <w:pPr>
        <w:pStyle w:val="Heading5"/>
        <w:rPr>
          <w:snapToGrid w:val="0"/>
        </w:rPr>
      </w:pPr>
      <w:bookmarkStart w:id="667" w:name="_Toc129077863"/>
      <w:r>
        <w:rPr>
          <w:rStyle w:val="CharSectno"/>
        </w:rPr>
        <w:t>2</w:t>
      </w:r>
      <w:r>
        <w:rPr>
          <w:snapToGrid w:val="0"/>
        </w:rPr>
        <w:t>.</w:t>
      </w:r>
      <w:r>
        <w:rPr>
          <w:snapToGrid w:val="0"/>
        </w:rPr>
        <w:tab/>
        <w:t>When order need not be drawn up</w:t>
      </w:r>
      <w:bookmarkEnd w:id="667"/>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 xml:space="preserve">the issue of any writ, other than a writ of summons for service out of </w:t>
      </w:r>
      <w:r>
        <w:t xml:space="preserve">Australia, </w:t>
      </w:r>
      <w:r>
        <w:rPr>
          <w:snapToGrid w:val="0"/>
        </w:rPr>
        <w:t>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lastRenderedPageBreak/>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Gazette 30 Nov 1984 p. 3951; 28 Jun 2011 p. 2552; 12 Jun 2012 p. 2451.] </w:t>
      </w:r>
    </w:p>
    <w:p>
      <w:pPr>
        <w:pStyle w:val="Heading5"/>
        <w:rPr>
          <w:snapToGrid w:val="0"/>
        </w:rPr>
      </w:pPr>
      <w:bookmarkStart w:id="668" w:name="_Toc129077864"/>
      <w:r>
        <w:rPr>
          <w:rStyle w:val="CharSectno"/>
        </w:rPr>
        <w:t>3</w:t>
      </w:r>
      <w:r>
        <w:rPr>
          <w:snapToGrid w:val="0"/>
        </w:rPr>
        <w:t>.</w:t>
      </w:r>
      <w:r>
        <w:rPr>
          <w:snapToGrid w:val="0"/>
        </w:rPr>
        <w:tab/>
        <w:t>Authentication of judgments and orders</w:t>
      </w:r>
      <w:bookmarkEnd w:id="668"/>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69" w:name="_Toc129077865"/>
      <w:r>
        <w:rPr>
          <w:rStyle w:val="CharSectno"/>
        </w:rPr>
        <w:t>4</w:t>
      </w:r>
      <w:r>
        <w:rPr>
          <w:snapToGrid w:val="0"/>
        </w:rPr>
        <w:t>.</w:t>
      </w:r>
      <w:r>
        <w:rPr>
          <w:snapToGrid w:val="0"/>
        </w:rPr>
        <w:tab/>
        <w:t>Judgments and orders to be court record; issue and use of duplicates</w:t>
      </w:r>
      <w:bookmarkEnd w:id="669"/>
    </w:p>
    <w:p>
      <w:pPr>
        <w:pStyle w:val="Subsection"/>
        <w:rPr>
          <w:snapToGrid w:val="0"/>
        </w:rPr>
      </w:pPr>
      <w:r>
        <w:rPr>
          <w:snapToGrid w:val="0"/>
        </w:rPr>
        <w:tab/>
        <w:t>(1)</w:t>
      </w:r>
      <w:r>
        <w:rPr>
          <w:snapToGrid w:val="0"/>
        </w:rPr>
        <w:tab/>
        <w:t xml:space="preserve">Every judgment and order shall be kept </w:t>
      </w:r>
      <w:r>
        <w:t>by the Court as a record in the manner directed by the Chief Justice from time to time.</w:t>
      </w:r>
    </w:p>
    <w:p>
      <w:pPr>
        <w:pStyle w:val="Subsection"/>
        <w:rPr>
          <w:snapToGrid w:val="0"/>
        </w:rPr>
      </w:pPr>
      <w:r>
        <w:rPr>
          <w:snapToGrid w:val="0"/>
        </w:rPr>
        <w:tab/>
        <w:t>(2)</w:t>
      </w:r>
      <w:r>
        <w:rPr>
          <w:snapToGrid w:val="0"/>
        </w:rPr>
        <w:tab/>
        <w:t>A duplicate of an order shall, on the day it has been entered, be sealed without fee and delivered to the party extracting the order.</w:t>
      </w:r>
    </w:p>
    <w:p>
      <w:pPr>
        <w:pStyle w:val="Subsection"/>
        <w:rPr>
          <w:snapToGrid w:val="0"/>
        </w:rPr>
      </w:pPr>
      <w:r>
        <w:rPr>
          <w:snapToGrid w:val="0"/>
        </w:rPr>
        <w:lastRenderedPageBreak/>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Subsection"/>
      </w:pPr>
      <w:r>
        <w:tab/>
        <w:t>(5)</w:t>
      </w:r>
      <w:r>
        <w:tab/>
        <w:t xml:space="preserve">If an order is issued by means of the ECMS — </w:t>
      </w:r>
    </w:p>
    <w:p>
      <w:pPr>
        <w:pStyle w:val="Indenta"/>
      </w:pPr>
      <w:r>
        <w:tab/>
        <w:t>(a)</w:t>
      </w:r>
      <w:r>
        <w:tab/>
        <w:t>an authorised user may print from the ECMS 1 or more copies of the order; and</w:t>
      </w:r>
    </w:p>
    <w:p>
      <w:pPr>
        <w:pStyle w:val="Indenta"/>
      </w:pPr>
      <w:r>
        <w:tab/>
        <w:t>(b)</w:t>
      </w:r>
      <w:r>
        <w:tab/>
        <w:t>a printed copy may be treated as a duplicate of the order for the purposes of this rule.</w:t>
      </w:r>
    </w:p>
    <w:p>
      <w:pPr>
        <w:pStyle w:val="Footnotesection"/>
      </w:pPr>
      <w:r>
        <w:tab/>
        <w:t xml:space="preserve">[Rule 4 amended: Gazette 1 Aug 1980 p. 2558; 27 Feb 2018 p. 567; 31 Dec 2019 p. 4677.] </w:t>
      </w:r>
    </w:p>
    <w:p>
      <w:pPr>
        <w:pStyle w:val="Heading5"/>
        <w:rPr>
          <w:snapToGrid w:val="0"/>
        </w:rPr>
      </w:pPr>
      <w:bookmarkStart w:id="670" w:name="_Toc129077866"/>
      <w:r>
        <w:rPr>
          <w:rStyle w:val="CharSectno"/>
        </w:rPr>
        <w:t>5</w:t>
      </w:r>
      <w:r>
        <w:rPr>
          <w:snapToGrid w:val="0"/>
        </w:rPr>
        <w:t>.</w:t>
      </w:r>
      <w:r>
        <w:rPr>
          <w:snapToGrid w:val="0"/>
        </w:rPr>
        <w:tab/>
        <w:t>Amending orders</w:t>
      </w:r>
      <w:bookmarkEnd w:id="670"/>
    </w:p>
    <w:p>
      <w:pPr>
        <w:pStyle w:val="Subsection"/>
        <w:rPr>
          <w:snapToGrid w:val="0"/>
        </w:rPr>
      </w:pPr>
      <w:r>
        <w:tab/>
        <w:t>(1)</w:t>
      </w:r>
      <w:r>
        <w:tab/>
        <w:t>An</w:t>
      </w:r>
      <w:r>
        <w:rPr>
          <w:snapToGrid w:val="0"/>
        </w:rPr>
        <w:t xml:space="preserve">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Subsection"/>
      </w:pPr>
      <w:r>
        <w:tab/>
        <w:t>(2)</w:t>
      </w:r>
      <w:r>
        <w:tab/>
        <w:t>The registrar may dispense with the requirement under subrule (1) to produce the duplicate or the duplicate last issued, subject to any conditions the registrar considers appropriate.</w:t>
      </w:r>
    </w:p>
    <w:p>
      <w:pPr>
        <w:pStyle w:val="Footnotesection"/>
      </w:pPr>
      <w:r>
        <w:tab/>
        <w:t xml:space="preserve">[Rule 5 amended: Gazette 27 Feb 2018 p. 567-8.] </w:t>
      </w:r>
    </w:p>
    <w:p>
      <w:pPr>
        <w:pStyle w:val="Heading5"/>
        <w:rPr>
          <w:snapToGrid w:val="0"/>
        </w:rPr>
      </w:pPr>
      <w:bookmarkStart w:id="671" w:name="_Toc129077867"/>
      <w:r>
        <w:rPr>
          <w:rStyle w:val="CharSectno"/>
        </w:rPr>
        <w:t>6</w:t>
      </w:r>
      <w:r>
        <w:rPr>
          <w:snapToGrid w:val="0"/>
        </w:rPr>
        <w:t>.</w:t>
      </w:r>
      <w:r>
        <w:rPr>
          <w:snapToGrid w:val="0"/>
        </w:rPr>
        <w:tab/>
        <w:t>Draft judgment or order to be filed</w:t>
      </w:r>
      <w:bookmarkEnd w:id="671"/>
    </w:p>
    <w:p>
      <w:pPr>
        <w:pStyle w:val="Subsection"/>
        <w:rPr>
          <w:snapToGrid w:val="0"/>
        </w:rPr>
      </w:pPr>
      <w:r>
        <w:rPr>
          <w:snapToGrid w:val="0"/>
        </w:rPr>
        <w:tab/>
        <w:t>(1)</w:t>
      </w:r>
      <w:r>
        <w:rPr>
          <w:snapToGrid w:val="0"/>
        </w:rPr>
        <w:tab/>
        <w:t xml:space="preserve">The party bespeaking a judgment or order shall </w:t>
      </w:r>
      <w:r>
        <w:t>file a draft of the judgment or order</w:t>
      </w:r>
      <w:r>
        <w:rPr>
          <w:snapToGrid w:val="0"/>
        </w:rPr>
        <w:t xml:space="preserve"> unless the registrar dispenses with the draft and permits </w:t>
      </w:r>
      <w:r>
        <w:t>filing</w:t>
      </w:r>
      <w:r>
        <w:rPr>
          <w:snapToGrid w:val="0"/>
        </w:rPr>
        <w:t xml:space="preserve"> of the engrossment in the first instance, and, if so required by the registrar, the party shall leave with the registrar his counsel’s brief and any other documents which the </w:t>
      </w:r>
      <w:r>
        <w:rPr>
          <w:snapToGrid w:val="0"/>
        </w:rPr>
        <w:lastRenderedPageBreak/>
        <w:t>registrar may require for the purpose of drawing up, or settling such judgment or order.</w:t>
      </w:r>
    </w:p>
    <w:p>
      <w:pPr>
        <w:pStyle w:val="Subsection"/>
        <w:rPr>
          <w:snapToGrid w:val="0"/>
        </w:rPr>
      </w:pPr>
      <w:r>
        <w:rPr>
          <w:snapToGrid w:val="0"/>
        </w:rPr>
        <w:tab/>
        <w:t>(2)</w:t>
      </w:r>
      <w:r>
        <w:rPr>
          <w:snapToGrid w:val="0"/>
        </w:rPr>
        <w:tab/>
        <w:t xml:space="preserve">If the judgment or order is not bespoken and the draft and any documents required by the registrar </w:t>
      </w:r>
      <w:r>
        <w:t>filed</w:t>
      </w:r>
      <w:r>
        <w:rPr>
          <w:snapToGrid w:val="0"/>
        </w:rPr>
        <w:t xml:space="preserve">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Gazette 14 Dec 1979 p. 3870; 27 Feb 2018 p. 568.] </w:t>
      </w:r>
    </w:p>
    <w:p>
      <w:pPr>
        <w:pStyle w:val="Heading5"/>
        <w:rPr>
          <w:snapToGrid w:val="0"/>
        </w:rPr>
      </w:pPr>
      <w:bookmarkStart w:id="672" w:name="_Toc129077868"/>
      <w:r>
        <w:rPr>
          <w:rStyle w:val="CharSectno"/>
        </w:rPr>
        <w:t>7</w:t>
      </w:r>
      <w:r>
        <w:rPr>
          <w:snapToGrid w:val="0"/>
        </w:rPr>
        <w:t>.</w:t>
      </w:r>
      <w:r>
        <w:rPr>
          <w:snapToGrid w:val="0"/>
        </w:rPr>
        <w:tab/>
        <w:t>Appointment to settle draft</w:t>
      </w:r>
      <w:bookmarkEnd w:id="672"/>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Gazette 14 Dec 1979 p. 3870.] </w:t>
      </w:r>
    </w:p>
    <w:p>
      <w:pPr>
        <w:pStyle w:val="Heading5"/>
        <w:rPr>
          <w:snapToGrid w:val="0"/>
        </w:rPr>
      </w:pPr>
      <w:bookmarkStart w:id="673" w:name="_Toc129077869"/>
      <w:r>
        <w:rPr>
          <w:rStyle w:val="CharSectno"/>
        </w:rPr>
        <w:t>8</w:t>
      </w:r>
      <w:r>
        <w:rPr>
          <w:snapToGrid w:val="0"/>
        </w:rPr>
        <w:t>.</w:t>
      </w:r>
      <w:r>
        <w:rPr>
          <w:snapToGrid w:val="0"/>
        </w:rPr>
        <w:tab/>
        <w:t>Attendance on settling draft</w:t>
      </w:r>
      <w:bookmarkEnd w:id="673"/>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lastRenderedPageBreak/>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Gazette 14 Dec 1979 p. 3870; 28 Jun 2011 p. 2554.] </w:t>
      </w:r>
    </w:p>
    <w:p>
      <w:pPr>
        <w:pStyle w:val="Heading5"/>
        <w:rPr>
          <w:snapToGrid w:val="0"/>
        </w:rPr>
      </w:pPr>
      <w:bookmarkStart w:id="674" w:name="_Toc129077870"/>
      <w:r>
        <w:rPr>
          <w:rStyle w:val="CharSectno"/>
        </w:rPr>
        <w:t>9</w:t>
      </w:r>
      <w:r>
        <w:rPr>
          <w:snapToGrid w:val="0"/>
        </w:rPr>
        <w:t>.</w:t>
      </w:r>
      <w:r>
        <w:rPr>
          <w:snapToGrid w:val="0"/>
        </w:rPr>
        <w:tab/>
        <w:t>Default of attendance on settling draft</w:t>
      </w:r>
      <w:bookmarkEnd w:id="674"/>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Gazette 14 Dec 1979 p. 3870; 28 Jun 2011 p. 2554.] </w:t>
      </w:r>
    </w:p>
    <w:p>
      <w:pPr>
        <w:pStyle w:val="Heading5"/>
        <w:rPr>
          <w:snapToGrid w:val="0"/>
        </w:rPr>
      </w:pPr>
      <w:bookmarkStart w:id="675" w:name="_Toc129077871"/>
      <w:r>
        <w:rPr>
          <w:rStyle w:val="CharSectno"/>
        </w:rPr>
        <w:t>10</w:t>
      </w:r>
      <w:r>
        <w:rPr>
          <w:snapToGrid w:val="0"/>
        </w:rPr>
        <w:t>.</w:t>
      </w:r>
      <w:r>
        <w:rPr>
          <w:snapToGrid w:val="0"/>
        </w:rPr>
        <w:tab/>
        <w:t>Dispensing with appointment</w:t>
      </w:r>
      <w:bookmarkEnd w:id="675"/>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Gazette 14 Dec 1979 p. 3870; 28 Jun 2011 p. 2554.] </w:t>
      </w:r>
    </w:p>
    <w:p>
      <w:pPr>
        <w:pStyle w:val="Heading5"/>
        <w:rPr>
          <w:snapToGrid w:val="0"/>
        </w:rPr>
      </w:pPr>
      <w:bookmarkStart w:id="676" w:name="_Toc129077872"/>
      <w:r>
        <w:rPr>
          <w:rStyle w:val="CharSectno"/>
        </w:rPr>
        <w:t>11</w:t>
      </w:r>
      <w:r>
        <w:rPr>
          <w:snapToGrid w:val="0"/>
        </w:rPr>
        <w:t>.</w:t>
      </w:r>
      <w:r>
        <w:rPr>
          <w:snapToGrid w:val="0"/>
        </w:rPr>
        <w:tab/>
        <w:t>Registrar’s and Court’s powers to settle judgments etc.</w:t>
      </w:r>
      <w:bookmarkEnd w:id="676"/>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 xml:space="preserve">In case of dispute or doubt, the registrar shall at the request of a party refer the matter to the Court giving the judgment or </w:t>
      </w:r>
      <w:r>
        <w:rPr>
          <w:snapToGrid w:val="0"/>
        </w:rPr>
        <w:lastRenderedPageBreak/>
        <w:t>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 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Gazette 14 Dec 1979 p. 3870.] </w:t>
      </w:r>
    </w:p>
    <w:p>
      <w:pPr>
        <w:pStyle w:val="Heading5"/>
        <w:spacing w:before="180"/>
        <w:rPr>
          <w:snapToGrid w:val="0"/>
        </w:rPr>
      </w:pPr>
      <w:bookmarkStart w:id="677" w:name="_Toc129077873"/>
      <w:r>
        <w:rPr>
          <w:rStyle w:val="CharSectno"/>
        </w:rPr>
        <w:t>12</w:t>
      </w:r>
      <w:r>
        <w:rPr>
          <w:snapToGrid w:val="0"/>
        </w:rPr>
        <w:t>.</w:t>
      </w:r>
      <w:r>
        <w:rPr>
          <w:snapToGrid w:val="0"/>
        </w:rPr>
        <w:tab/>
        <w:t>Party to engross settled judgment or order</w:t>
      </w:r>
      <w:bookmarkEnd w:id="677"/>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78" w:name="_Toc129077874"/>
      <w:r>
        <w:rPr>
          <w:rStyle w:val="CharSectno"/>
        </w:rPr>
        <w:t>13</w:t>
      </w:r>
      <w:r>
        <w:rPr>
          <w:snapToGrid w:val="0"/>
        </w:rPr>
        <w:t>.</w:t>
      </w:r>
      <w:r>
        <w:rPr>
          <w:snapToGrid w:val="0"/>
        </w:rPr>
        <w:tab/>
        <w:t>Certificate for special allowance on taxation of costs</w:t>
      </w:r>
      <w:bookmarkEnd w:id="678"/>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Gazette 14 Dec 1979 p. 3870.] </w:t>
      </w:r>
    </w:p>
    <w:p>
      <w:pPr>
        <w:pStyle w:val="Heading5"/>
        <w:rPr>
          <w:snapToGrid w:val="0"/>
        </w:rPr>
      </w:pPr>
      <w:bookmarkStart w:id="679" w:name="_Toc129077875"/>
      <w:r>
        <w:rPr>
          <w:rStyle w:val="CharSectno"/>
        </w:rPr>
        <w:lastRenderedPageBreak/>
        <w:t>14</w:t>
      </w:r>
      <w:r>
        <w:rPr>
          <w:snapToGrid w:val="0"/>
        </w:rPr>
        <w:t>.</w:t>
      </w:r>
      <w:r>
        <w:rPr>
          <w:snapToGrid w:val="0"/>
        </w:rPr>
        <w:tab/>
        <w:t>Entry of judgments and orders</w:t>
      </w:r>
      <w:bookmarkEnd w:id="679"/>
    </w:p>
    <w:p>
      <w:pPr>
        <w:pStyle w:val="Subsection"/>
        <w:keepNext/>
      </w:pPr>
      <w:r>
        <w:tab/>
        <w:t>(1)</w:t>
      </w:r>
      <w:r>
        <w:tab/>
        <w:t>A judgment or order, when settled and passed, is to be filed by the party entering or extracting it.</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Footnotesection"/>
      </w:pPr>
      <w:r>
        <w:tab/>
        <w:t>[Rule 14 amended: Gazette 27 Feb 2018 p. 568.]</w:t>
      </w:r>
    </w:p>
    <w:p>
      <w:pPr>
        <w:pStyle w:val="Heading5"/>
        <w:rPr>
          <w:snapToGrid w:val="0"/>
        </w:rPr>
      </w:pPr>
      <w:bookmarkStart w:id="680" w:name="_Toc129077876"/>
      <w:r>
        <w:rPr>
          <w:rStyle w:val="CharSectno"/>
        </w:rPr>
        <w:t>15</w:t>
      </w:r>
      <w:r>
        <w:rPr>
          <w:snapToGrid w:val="0"/>
        </w:rPr>
        <w:t>.</w:t>
      </w:r>
      <w:r>
        <w:rPr>
          <w:snapToGrid w:val="0"/>
        </w:rPr>
        <w:tab/>
        <w:t>Application to vary</w:t>
      </w:r>
      <w:bookmarkEnd w:id="680"/>
    </w:p>
    <w:p>
      <w:pPr>
        <w:pStyle w:val="Subsection"/>
        <w:rPr>
          <w:snapToGrid w:val="0"/>
        </w:rPr>
      </w:pPr>
      <w:r>
        <w:rPr>
          <w:snapToGrid w:val="0"/>
        </w:rPr>
        <w:tab/>
      </w:r>
      <w:r>
        <w:rPr>
          <w:snapToGrid w:val="0"/>
        </w:rPr>
        <w:tab/>
        <w:t xml:space="preserve">A party may, within 7 days after a draft judgment or order has been </w:t>
      </w:r>
      <w:r>
        <w:t xml:space="preserve">settled, </w:t>
      </w:r>
      <w:r>
        <w:rPr>
          <w:snapToGrid w:val="0"/>
        </w:rPr>
        <w:t>apply to the Court to add to or alter it for the purpose of making it correspond with the judgment or order as pronounced.</w:t>
      </w:r>
    </w:p>
    <w:p>
      <w:pPr>
        <w:pStyle w:val="Footnotesection"/>
        <w:keepLines w:val="0"/>
      </w:pPr>
      <w:r>
        <w:tab/>
        <w:t xml:space="preserve">[Rule 15 amended: Gazette 14 Dec 1979 p. 3870; 27 Feb 2018 p. 569.] </w:t>
      </w:r>
    </w:p>
    <w:p>
      <w:pPr>
        <w:pStyle w:val="Heading5"/>
        <w:rPr>
          <w:snapToGrid w:val="0"/>
        </w:rPr>
      </w:pPr>
      <w:bookmarkStart w:id="681" w:name="_Toc129077877"/>
      <w:r>
        <w:rPr>
          <w:rStyle w:val="CharSectno"/>
        </w:rPr>
        <w:t>16</w:t>
      </w:r>
      <w:r>
        <w:rPr>
          <w:snapToGrid w:val="0"/>
        </w:rPr>
        <w:t>.</w:t>
      </w:r>
      <w:r>
        <w:rPr>
          <w:snapToGrid w:val="0"/>
        </w:rPr>
        <w:tab/>
        <w:t>Consent orders</w:t>
      </w:r>
      <w:bookmarkEnd w:id="681"/>
    </w:p>
    <w:p>
      <w:pPr>
        <w:pStyle w:val="Subsection"/>
      </w:pPr>
      <w:r>
        <w:tab/>
        <w:t>(1)</w:t>
      </w:r>
      <w:r>
        <w:tab/>
        <w:t>The parties to proceedings or their legal practitioners may file a written consent to the making of an order in those proceedings.</w:t>
      </w:r>
    </w:p>
    <w:p>
      <w:pPr>
        <w:pStyle w:val="Subsection"/>
        <w:rPr>
          <w:snapToGrid w:val="0"/>
        </w:rPr>
      </w:pPr>
      <w:r>
        <w:rPr>
          <w:snapToGrid w:val="0"/>
        </w:rPr>
        <w:tab/>
        <w:t>(2)</w:t>
      </w:r>
      <w:r>
        <w:rPr>
          <w:snapToGrid w:val="0"/>
        </w:rPr>
        <w:tab/>
        <w:t xml:space="preserve">Upon the written consent being filed, the </w:t>
      </w:r>
      <w:r>
        <w:t>registrar, a master or a judge may</w:t>
      </w:r>
      <w:r>
        <w:rPr>
          <w:snapToGrid w:val="0"/>
        </w:rPr>
        <w:t xml:space="preserve"> settle, sign and seal the order without any other application being made in any case in </w:t>
      </w:r>
      <w:r>
        <w:t xml:space="preserve">which, in the opinion of the registrar, master or judge, </w:t>
      </w:r>
      <w:r>
        <w:rPr>
          <w:snapToGrid w:val="0"/>
        </w:rPr>
        <w:t>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keepNext/>
        <w:rPr>
          <w:snapToGrid w:val="0"/>
        </w:rPr>
      </w:pPr>
      <w:r>
        <w:rPr>
          <w:snapToGrid w:val="0"/>
        </w:rPr>
        <w:lastRenderedPageBreak/>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Gazette 3 Oct 1975 p. 3769; amended: Gazette 26 Mar 1993 p. 1845; 28 Oct 1996 p. 5699; 28 Jul 2010 p. 3466-7; 16 Aug 2017 p. 4416; 27 Feb 2018 p. 569; SL 2022/74 r. 15.] </w:t>
      </w:r>
    </w:p>
    <w:p>
      <w:pPr>
        <w:pStyle w:val="Ednotepart"/>
      </w:pPr>
      <w:r>
        <w:t>[Order 44 deleted: Gazette 21 Feb 2007 p. 551.]</w:t>
      </w:r>
    </w:p>
    <w:p>
      <w:pPr>
        <w:pStyle w:val="Heading2"/>
      </w:pPr>
      <w:bookmarkStart w:id="682" w:name="_Toc129073806"/>
      <w:bookmarkStart w:id="683" w:name="_Toc129075089"/>
      <w:bookmarkStart w:id="684" w:name="_Toc129077878"/>
      <w:r>
        <w:rPr>
          <w:rStyle w:val="CharPartNo"/>
        </w:rPr>
        <w:lastRenderedPageBreak/>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82"/>
      <w:bookmarkEnd w:id="683"/>
      <w:bookmarkEnd w:id="684"/>
    </w:p>
    <w:p>
      <w:pPr>
        <w:pStyle w:val="Footnoteheading"/>
      </w:pPr>
      <w:r>
        <w:tab/>
        <w:t>[Heading inserted: Gazette 22 Feb 2008 p. 637.]</w:t>
      </w:r>
    </w:p>
    <w:p>
      <w:pPr>
        <w:pStyle w:val="Heading5"/>
        <w:rPr>
          <w:snapToGrid w:val="0"/>
        </w:rPr>
      </w:pPr>
      <w:bookmarkStart w:id="685" w:name="_Toc129077879"/>
      <w:r>
        <w:rPr>
          <w:rStyle w:val="CharSectno"/>
        </w:rPr>
        <w:t>1</w:t>
      </w:r>
      <w:r>
        <w:rPr>
          <w:snapToGrid w:val="0"/>
        </w:rPr>
        <w:t>.</w:t>
      </w:r>
      <w:r>
        <w:rPr>
          <w:snapToGrid w:val="0"/>
        </w:rPr>
        <w:tab/>
        <w:t>Terms used</w:t>
      </w:r>
      <w:bookmarkEnd w:id="685"/>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Gazette 26 Aug 1994 p. 4414.] </w:t>
      </w:r>
    </w:p>
    <w:p>
      <w:pPr>
        <w:pStyle w:val="Heading5"/>
        <w:rPr>
          <w:snapToGrid w:val="0"/>
        </w:rPr>
      </w:pPr>
      <w:bookmarkStart w:id="686" w:name="_Toc129077880"/>
      <w:r>
        <w:rPr>
          <w:rStyle w:val="CharSectno"/>
        </w:rPr>
        <w:t>2</w:t>
      </w:r>
      <w:r>
        <w:rPr>
          <w:snapToGrid w:val="0"/>
        </w:rPr>
        <w:t>.</w:t>
      </w:r>
      <w:r>
        <w:rPr>
          <w:snapToGrid w:val="0"/>
        </w:rPr>
        <w:tab/>
        <w:t>Application of this Order</w:t>
      </w:r>
      <w:bookmarkEnd w:id="686"/>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Gazette 26 Jan 1993 p. 824.] </w:t>
      </w:r>
    </w:p>
    <w:p>
      <w:pPr>
        <w:pStyle w:val="Heading5"/>
        <w:rPr>
          <w:snapToGrid w:val="0"/>
        </w:rPr>
      </w:pPr>
      <w:bookmarkStart w:id="687" w:name="_Toc129077881"/>
      <w:r>
        <w:rPr>
          <w:rStyle w:val="CharSectno"/>
        </w:rPr>
        <w:t>3</w:t>
      </w:r>
      <w:r>
        <w:rPr>
          <w:snapToGrid w:val="0"/>
        </w:rPr>
        <w:t>.</w:t>
      </w:r>
      <w:r>
        <w:rPr>
          <w:snapToGrid w:val="0"/>
        </w:rPr>
        <w:tab/>
        <w:t>Application for registration (Act s. 6)</w:t>
      </w:r>
      <w:bookmarkEnd w:id="687"/>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 xml:space="preserve">Where the judgment is in respect of different matters, and some, but not all of the provisions of the judgment are such that if those provisions had been contained in separate judgments, those judgments could properly have been registered, the </w:t>
      </w:r>
      <w:r>
        <w:rPr>
          <w:snapToGrid w:val="0"/>
        </w:rPr>
        <w:lastRenderedPageBreak/>
        <w:t>motion paper shall state the provisions in respect of which it is sought to register the judgment.</w:t>
      </w:r>
    </w:p>
    <w:p>
      <w:pPr>
        <w:pStyle w:val="Footnotesection"/>
      </w:pPr>
      <w:r>
        <w:tab/>
        <w:t xml:space="preserve">[Rule 3 inserted: Gazette 26 Jan 1993 p. 824.] </w:t>
      </w:r>
    </w:p>
    <w:p>
      <w:pPr>
        <w:pStyle w:val="Heading5"/>
        <w:rPr>
          <w:snapToGrid w:val="0"/>
        </w:rPr>
      </w:pPr>
      <w:bookmarkStart w:id="688" w:name="_Toc129077882"/>
      <w:r>
        <w:rPr>
          <w:rStyle w:val="CharSectno"/>
        </w:rPr>
        <w:t>4</w:t>
      </w:r>
      <w:r>
        <w:rPr>
          <w:snapToGrid w:val="0"/>
        </w:rPr>
        <w:t>.</w:t>
      </w:r>
      <w:r>
        <w:rPr>
          <w:snapToGrid w:val="0"/>
        </w:rPr>
        <w:tab/>
        <w:t>Evidence in support of application</w:t>
      </w:r>
      <w:bookmarkEnd w:id="688"/>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 xml:space="preserve">and shall be accompanied by such other evidence with respect to the enforceability of the judgment in the country of the original </w:t>
      </w:r>
      <w:r>
        <w:rPr>
          <w:snapToGrid w:val="0"/>
        </w:rPr>
        <w:lastRenderedPageBreak/>
        <w:t>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Australia, the affidavit shall also state the amount which that sum represents in the currency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Gazette 26 Jan 1993 p. 825; amended: Gazette 12 Jun 2012 p. 2453.] </w:t>
      </w:r>
    </w:p>
    <w:p>
      <w:pPr>
        <w:pStyle w:val="Heading5"/>
        <w:rPr>
          <w:snapToGrid w:val="0"/>
        </w:rPr>
      </w:pPr>
      <w:bookmarkStart w:id="689" w:name="_Toc129077883"/>
      <w:r>
        <w:rPr>
          <w:rStyle w:val="CharSectno"/>
        </w:rPr>
        <w:t>5</w:t>
      </w:r>
      <w:r>
        <w:rPr>
          <w:snapToGrid w:val="0"/>
        </w:rPr>
        <w:t>.</w:t>
      </w:r>
      <w:r>
        <w:rPr>
          <w:snapToGrid w:val="0"/>
        </w:rPr>
        <w:tab/>
        <w:t>Security for costs</w:t>
      </w:r>
      <w:bookmarkEnd w:id="68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Gazette 26 Jan 1993 p. 825.] </w:t>
      </w:r>
    </w:p>
    <w:p>
      <w:pPr>
        <w:pStyle w:val="Heading5"/>
        <w:rPr>
          <w:snapToGrid w:val="0"/>
        </w:rPr>
      </w:pPr>
      <w:bookmarkStart w:id="690" w:name="_Toc129077884"/>
      <w:r>
        <w:rPr>
          <w:rStyle w:val="CharSectno"/>
        </w:rPr>
        <w:t>6</w:t>
      </w:r>
      <w:r>
        <w:rPr>
          <w:snapToGrid w:val="0"/>
        </w:rPr>
        <w:t>.</w:t>
      </w:r>
      <w:r>
        <w:rPr>
          <w:snapToGrid w:val="0"/>
        </w:rPr>
        <w:tab/>
        <w:t>Order for registration</w:t>
      </w:r>
      <w:bookmarkEnd w:id="690"/>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 xml:space="preserve">The Court may, on an application made at any time while it remains competent for any party to apply to have the registration set aside, grant an extension of the period (either as </w:t>
      </w:r>
      <w:r>
        <w:rPr>
          <w:snapToGrid w:val="0"/>
        </w:rPr>
        <w:lastRenderedPageBreak/>
        <w:t>originally fixed or as subsequently extended) during which an application to have the judgment set aside may be made.</w:t>
      </w:r>
    </w:p>
    <w:p>
      <w:pPr>
        <w:pStyle w:val="Footnotesection"/>
      </w:pPr>
      <w:r>
        <w:tab/>
        <w:t xml:space="preserve">[Rule 6 inserted: Gazette 26 Jan 1993 p. 825.] </w:t>
      </w:r>
    </w:p>
    <w:p>
      <w:pPr>
        <w:pStyle w:val="Heading5"/>
      </w:pPr>
      <w:bookmarkStart w:id="691" w:name="_Toc129077885"/>
      <w:r>
        <w:rPr>
          <w:rStyle w:val="CharSectno"/>
        </w:rPr>
        <w:t>7</w:t>
      </w:r>
      <w:r>
        <w:t>.</w:t>
      </w:r>
      <w:r>
        <w:tab/>
        <w:t>Record to be kept of registered judgments</w:t>
      </w:r>
      <w:bookmarkEnd w:id="691"/>
    </w:p>
    <w:p>
      <w:pPr>
        <w:pStyle w:val="Subsection"/>
      </w:pPr>
      <w:r>
        <w:tab/>
      </w:r>
      <w:r>
        <w:tab/>
        <w:t>A record must be kept at the Supreme Court, in the manner directed by the Chief Justice from time to time, of the judgments ordered to be registered under the Act.</w:t>
      </w:r>
    </w:p>
    <w:p>
      <w:pPr>
        <w:pStyle w:val="Footnotesection"/>
      </w:pPr>
      <w:r>
        <w:tab/>
        <w:t xml:space="preserve">[Rule 7 inserted: Gazette 27 Feb 2018 p. 569.] </w:t>
      </w:r>
    </w:p>
    <w:p>
      <w:pPr>
        <w:pStyle w:val="Heading5"/>
        <w:spacing w:before="180"/>
        <w:rPr>
          <w:snapToGrid w:val="0"/>
        </w:rPr>
      </w:pPr>
      <w:bookmarkStart w:id="692" w:name="_Toc129077886"/>
      <w:r>
        <w:rPr>
          <w:rStyle w:val="CharSectno"/>
        </w:rPr>
        <w:t>8</w:t>
      </w:r>
      <w:r>
        <w:rPr>
          <w:snapToGrid w:val="0"/>
        </w:rPr>
        <w:t>.</w:t>
      </w:r>
      <w:r>
        <w:rPr>
          <w:snapToGrid w:val="0"/>
        </w:rPr>
        <w:tab/>
        <w:t>Notice of registration</w:t>
      </w:r>
      <w:bookmarkEnd w:id="692"/>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lastRenderedPageBreak/>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Gazette 26 Jan 1993 p. 826; amended: Gazette 1 Mar 1994 p. 787.] </w:t>
      </w:r>
    </w:p>
    <w:p>
      <w:pPr>
        <w:pStyle w:val="Heading5"/>
        <w:rPr>
          <w:snapToGrid w:val="0"/>
        </w:rPr>
      </w:pPr>
      <w:bookmarkStart w:id="693" w:name="_Toc129077887"/>
      <w:r>
        <w:rPr>
          <w:rStyle w:val="CharSectno"/>
        </w:rPr>
        <w:t>9</w:t>
      </w:r>
      <w:r>
        <w:rPr>
          <w:snapToGrid w:val="0"/>
        </w:rPr>
        <w:t>.</w:t>
      </w:r>
      <w:r>
        <w:rPr>
          <w:snapToGrid w:val="0"/>
        </w:rPr>
        <w:tab/>
        <w:t>Indorsement of service</w:t>
      </w:r>
      <w:bookmarkEnd w:id="693"/>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Gazette 26 Jan 1993 p. 826.] </w:t>
      </w:r>
    </w:p>
    <w:p>
      <w:pPr>
        <w:pStyle w:val="Heading5"/>
        <w:rPr>
          <w:snapToGrid w:val="0"/>
        </w:rPr>
      </w:pPr>
      <w:bookmarkStart w:id="694" w:name="_Toc129077888"/>
      <w:r>
        <w:rPr>
          <w:rStyle w:val="CharSectno"/>
        </w:rPr>
        <w:t>10</w:t>
      </w:r>
      <w:r>
        <w:rPr>
          <w:snapToGrid w:val="0"/>
        </w:rPr>
        <w:t>.</w:t>
      </w:r>
      <w:r>
        <w:rPr>
          <w:snapToGrid w:val="0"/>
        </w:rPr>
        <w:tab/>
        <w:t>Application to set aside registration</w:t>
      </w:r>
      <w:bookmarkEnd w:id="694"/>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Gazette 26 Jan 1993 p. 826.] </w:t>
      </w:r>
    </w:p>
    <w:p>
      <w:pPr>
        <w:pStyle w:val="Heading5"/>
        <w:rPr>
          <w:snapToGrid w:val="0"/>
        </w:rPr>
      </w:pPr>
      <w:bookmarkStart w:id="695" w:name="_Toc129077889"/>
      <w:r>
        <w:rPr>
          <w:rStyle w:val="CharSectno"/>
        </w:rPr>
        <w:t>11</w:t>
      </w:r>
      <w:r>
        <w:rPr>
          <w:snapToGrid w:val="0"/>
        </w:rPr>
        <w:t>.</w:t>
      </w:r>
      <w:r>
        <w:rPr>
          <w:snapToGrid w:val="0"/>
        </w:rPr>
        <w:tab/>
        <w:t>Enforcing registered judgment</w:t>
      </w:r>
      <w:bookmarkEnd w:id="695"/>
    </w:p>
    <w:p>
      <w:pPr>
        <w:pStyle w:val="Subsection"/>
        <w:rPr>
          <w:snapToGrid w:val="0"/>
        </w:rPr>
      </w:pPr>
      <w:r>
        <w:rPr>
          <w:snapToGrid w:val="0"/>
        </w:rPr>
        <w:tab/>
        <w:t>(1)</w:t>
      </w:r>
      <w:r>
        <w:rPr>
          <w:snapToGrid w:val="0"/>
        </w:rPr>
        <w:tab/>
        <w:t xml:space="preserve">No step shall be taken to enforce a registered judgment until after the expiration of the period which, in accordance with the provisions of rule 6(3), is specified in the order giving leave to </w:t>
      </w:r>
      <w:r>
        <w:rPr>
          <w:snapToGrid w:val="0"/>
        </w:rPr>
        <w:lastRenderedPageBreak/>
        <w:t>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Gazette 26 Jan 1993 p. 827.] </w:t>
      </w:r>
    </w:p>
    <w:p>
      <w:pPr>
        <w:pStyle w:val="Heading5"/>
        <w:rPr>
          <w:snapToGrid w:val="0"/>
        </w:rPr>
      </w:pPr>
      <w:bookmarkStart w:id="696" w:name="_Toc129077890"/>
      <w:r>
        <w:rPr>
          <w:rStyle w:val="CharSectno"/>
        </w:rPr>
        <w:t>12</w:t>
      </w:r>
      <w:r>
        <w:rPr>
          <w:snapToGrid w:val="0"/>
        </w:rPr>
        <w:t>.</w:t>
      </w:r>
      <w:r>
        <w:rPr>
          <w:snapToGrid w:val="0"/>
        </w:rPr>
        <w:tab/>
        <w:t>Determination of certain questions</w:t>
      </w:r>
      <w:bookmarkEnd w:id="696"/>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Gazette 26 Jan 1993 p. 827.] </w:t>
      </w:r>
    </w:p>
    <w:p>
      <w:pPr>
        <w:pStyle w:val="Heading5"/>
        <w:rPr>
          <w:snapToGrid w:val="0"/>
        </w:rPr>
      </w:pPr>
      <w:bookmarkStart w:id="697" w:name="_Toc129077891"/>
      <w:r>
        <w:rPr>
          <w:rStyle w:val="CharSectno"/>
        </w:rPr>
        <w:t>13</w:t>
      </w:r>
      <w:r>
        <w:rPr>
          <w:snapToGrid w:val="0"/>
        </w:rPr>
        <w:t>.</w:t>
      </w:r>
      <w:r>
        <w:rPr>
          <w:snapToGrid w:val="0"/>
        </w:rPr>
        <w:tab/>
        <w:t>Certified copy of judgment obtained in this State</w:t>
      </w:r>
      <w:bookmarkEnd w:id="697"/>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lastRenderedPageBreak/>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Principal Registrar of the Supreme Court of Western Australia.</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lastRenderedPageBreak/>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Gazette 26 Jan 1993 p. 827</w:t>
      </w:r>
      <w:r>
        <w:noBreakHyphen/>
        <w:t xml:space="preserve">8.] </w:t>
      </w:r>
    </w:p>
    <w:p>
      <w:pPr>
        <w:pStyle w:val="Heading2"/>
        <w:rPr>
          <w:b w:val="0"/>
        </w:rPr>
      </w:pPr>
      <w:bookmarkStart w:id="698" w:name="_Toc129073820"/>
      <w:bookmarkStart w:id="699" w:name="_Toc129075103"/>
      <w:bookmarkStart w:id="700" w:name="_Toc129077892"/>
      <w:r>
        <w:rPr>
          <w:rStyle w:val="CharPartNo"/>
        </w:rPr>
        <w:lastRenderedPageBreak/>
        <w:t>Order 45</w:t>
      </w:r>
      <w:r>
        <w:rPr>
          <w:rStyle w:val="CharDivNo"/>
        </w:rPr>
        <w:t> </w:t>
      </w:r>
      <w:r>
        <w:t>—</w:t>
      </w:r>
      <w:r>
        <w:rPr>
          <w:rStyle w:val="CharDivText"/>
        </w:rPr>
        <w:t> </w:t>
      </w:r>
      <w:r>
        <w:rPr>
          <w:rStyle w:val="CharPartText"/>
        </w:rPr>
        <w:t>Accounts and inquiries</w:t>
      </w:r>
      <w:bookmarkEnd w:id="698"/>
      <w:bookmarkEnd w:id="699"/>
      <w:bookmarkEnd w:id="700"/>
    </w:p>
    <w:p>
      <w:pPr>
        <w:pStyle w:val="Heading5"/>
        <w:rPr>
          <w:snapToGrid w:val="0"/>
        </w:rPr>
      </w:pPr>
      <w:bookmarkStart w:id="701" w:name="_Toc129077893"/>
      <w:r>
        <w:rPr>
          <w:rStyle w:val="CharSectno"/>
        </w:rPr>
        <w:t>1</w:t>
      </w:r>
      <w:r>
        <w:rPr>
          <w:snapToGrid w:val="0"/>
        </w:rPr>
        <w:t>.</w:t>
      </w:r>
      <w:r>
        <w:rPr>
          <w:snapToGrid w:val="0"/>
        </w:rPr>
        <w:tab/>
        <w:t>Summary order for account to be taken</w:t>
      </w:r>
      <w:bookmarkEnd w:id="701"/>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02" w:name="_Toc129077894"/>
      <w:r>
        <w:rPr>
          <w:rStyle w:val="CharSectno"/>
        </w:rPr>
        <w:t>2</w:t>
      </w:r>
      <w:r>
        <w:rPr>
          <w:snapToGrid w:val="0"/>
        </w:rPr>
        <w:t>.</w:t>
      </w:r>
      <w:r>
        <w:rPr>
          <w:snapToGrid w:val="0"/>
        </w:rPr>
        <w:tab/>
        <w:t>Direction for accounts etc. may be made at any stage</w:t>
      </w:r>
      <w:bookmarkEnd w:id="702"/>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03" w:name="_Toc129077895"/>
      <w:r>
        <w:rPr>
          <w:rStyle w:val="CharSectno"/>
        </w:rPr>
        <w:t>3</w:t>
      </w:r>
      <w:r>
        <w:rPr>
          <w:snapToGrid w:val="0"/>
        </w:rPr>
        <w:t>.</w:t>
      </w:r>
      <w:r>
        <w:rPr>
          <w:snapToGrid w:val="0"/>
        </w:rPr>
        <w:tab/>
        <w:t>Directions to be numbered</w:t>
      </w:r>
      <w:bookmarkEnd w:id="703"/>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04" w:name="_Toc129077896"/>
      <w:r>
        <w:rPr>
          <w:rStyle w:val="CharSectno"/>
        </w:rPr>
        <w:t>4</w:t>
      </w:r>
      <w:r>
        <w:rPr>
          <w:snapToGrid w:val="0"/>
        </w:rPr>
        <w:t>.</w:t>
      </w:r>
      <w:r>
        <w:rPr>
          <w:snapToGrid w:val="0"/>
        </w:rPr>
        <w:tab/>
        <w:t>Directions as to mode of taking account</w:t>
      </w:r>
      <w:bookmarkEnd w:id="704"/>
    </w:p>
    <w:p>
      <w:pPr>
        <w:pStyle w:val="Subsection"/>
        <w:rPr>
          <w:snapToGrid w:val="0"/>
        </w:rPr>
      </w:pPr>
      <w:r>
        <w:rPr>
          <w:snapToGrid w:val="0"/>
        </w:rPr>
        <w:tab/>
      </w:r>
      <w:r>
        <w:rPr>
          <w:snapToGrid w:val="0"/>
        </w:rPr>
        <w:tab/>
        <w:t xml:space="preserve">The Court may, either by the judgment or order directing an account to be taken or by any subsequent order, give special directions with regard to the mode in which the account is to be taken or vouched, and in particular may direct that in taking the </w:t>
      </w:r>
      <w:r>
        <w:rPr>
          <w:snapToGrid w:val="0"/>
        </w:rPr>
        <w:lastRenderedPageBreak/>
        <w:t>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05" w:name="_Toc129077897"/>
      <w:r>
        <w:rPr>
          <w:rStyle w:val="CharSectno"/>
        </w:rPr>
        <w:t>5</w:t>
      </w:r>
      <w:r>
        <w:rPr>
          <w:snapToGrid w:val="0"/>
        </w:rPr>
        <w:t>.</w:t>
      </w:r>
      <w:r>
        <w:rPr>
          <w:snapToGrid w:val="0"/>
        </w:rPr>
        <w:tab/>
        <w:t>Account to be verified</w:t>
      </w:r>
      <w:bookmarkEnd w:id="70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 xml:space="preserve">Unless the order for the taking of the account otherwise directs, the accounting party must </w:t>
      </w:r>
      <w:r>
        <w:t xml:space="preserve">file the account, </w:t>
      </w:r>
      <w:r>
        <w:rPr>
          <w:snapToGrid w:val="0"/>
        </w:rPr>
        <w:t xml:space="preserve">and must notify the other parties forthwith that he has so </w:t>
      </w:r>
      <w:r>
        <w:t>filed</w:t>
      </w:r>
      <w:r>
        <w:rPr>
          <w:snapToGrid w:val="0"/>
        </w:rPr>
        <w:t xml:space="preserve"> the account, and of the filing of the affidavit verifying the account, and any supporting affidavit.</w:t>
      </w:r>
    </w:p>
    <w:p>
      <w:pPr>
        <w:pStyle w:val="Footnotesection"/>
      </w:pPr>
      <w:r>
        <w:tab/>
        <w:t xml:space="preserve">[Rule 5 amended: Gazette 27 Feb 2018 p. 569-70.] </w:t>
      </w:r>
    </w:p>
    <w:p>
      <w:pPr>
        <w:pStyle w:val="Heading5"/>
        <w:rPr>
          <w:snapToGrid w:val="0"/>
        </w:rPr>
      </w:pPr>
      <w:bookmarkStart w:id="706" w:name="_Toc129077898"/>
      <w:r>
        <w:rPr>
          <w:rStyle w:val="CharSectno"/>
        </w:rPr>
        <w:t>6</w:t>
      </w:r>
      <w:r>
        <w:rPr>
          <w:snapToGrid w:val="0"/>
        </w:rPr>
        <w:t>.</w:t>
      </w:r>
      <w:r>
        <w:rPr>
          <w:snapToGrid w:val="0"/>
        </w:rPr>
        <w:tab/>
        <w:t>Vouchers and contested etc. items, directions as to</w:t>
      </w:r>
      <w:bookmarkEnd w:id="706"/>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07" w:name="_Toc129077899"/>
      <w:r>
        <w:rPr>
          <w:rStyle w:val="CharSectno"/>
        </w:rPr>
        <w:t>7</w:t>
      </w:r>
      <w:r>
        <w:rPr>
          <w:snapToGrid w:val="0"/>
        </w:rPr>
        <w:t>.</w:t>
      </w:r>
      <w:r>
        <w:rPr>
          <w:snapToGrid w:val="0"/>
        </w:rPr>
        <w:tab/>
        <w:t>Surcharge or error, notice of</w:t>
      </w:r>
      <w:bookmarkEnd w:id="707"/>
    </w:p>
    <w:p>
      <w:pPr>
        <w:pStyle w:val="Subsection"/>
        <w:rPr>
          <w:snapToGrid w:val="0"/>
        </w:rPr>
      </w:pPr>
      <w:r>
        <w:rPr>
          <w:snapToGrid w:val="0"/>
        </w:rPr>
        <w:tab/>
      </w:r>
      <w:r>
        <w:rPr>
          <w:snapToGrid w:val="0"/>
        </w:rPr>
        <w:tab/>
        <w:t xml:space="preserve">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w:t>
      </w:r>
      <w:r>
        <w:rPr>
          <w:snapToGrid w:val="0"/>
        </w:rPr>
        <w:lastRenderedPageBreak/>
        <w:t>sought to be charged with brief particulars thereof, or as the case may be, the grounds for alleging that the item is erroneous.</w:t>
      </w:r>
    </w:p>
    <w:p>
      <w:pPr>
        <w:pStyle w:val="Heading5"/>
        <w:rPr>
          <w:snapToGrid w:val="0"/>
        </w:rPr>
      </w:pPr>
      <w:bookmarkStart w:id="708" w:name="_Toc129077900"/>
      <w:r>
        <w:rPr>
          <w:rStyle w:val="CharSectno"/>
        </w:rPr>
        <w:t>8</w:t>
      </w:r>
      <w:r>
        <w:rPr>
          <w:snapToGrid w:val="0"/>
        </w:rPr>
        <w:t>.</w:t>
      </w:r>
      <w:r>
        <w:rPr>
          <w:snapToGrid w:val="0"/>
        </w:rPr>
        <w:tab/>
        <w:t>Allowances that can be made without direction</w:t>
      </w:r>
      <w:bookmarkEnd w:id="708"/>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09" w:name="_Toc129077901"/>
      <w:r>
        <w:rPr>
          <w:rStyle w:val="CharSectno"/>
        </w:rPr>
        <w:t>9</w:t>
      </w:r>
      <w:r>
        <w:rPr>
          <w:snapToGrid w:val="0"/>
        </w:rPr>
        <w:t>.</w:t>
      </w:r>
      <w:r>
        <w:rPr>
          <w:snapToGrid w:val="0"/>
        </w:rPr>
        <w:tab/>
        <w:t>Expediting proceedings</w:t>
      </w:r>
      <w:bookmarkEnd w:id="709"/>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Gazette 2 Jul 1982 p. 2316.] </w:t>
      </w:r>
    </w:p>
    <w:p>
      <w:pPr>
        <w:pStyle w:val="Heading5"/>
        <w:rPr>
          <w:snapToGrid w:val="0"/>
        </w:rPr>
      </w:pPr>
      <w:bookmarkStart w:id="710" w:name="_Toc129077902"/>
      <w:r>
        <w:rPr>
          <w:rStyle w:val="CharSectno"/>
        </w:rPr>
        <w:t>10</w:t>
      </w:r>
      <w:r>
        <w:rPr>
          <w:snapToGrid w:val="0"/>
        </w:rPr>
        <w:t>.</w:t>
      </w:r>
      <w:r>
        <w:rPr>
          <w:snapToGrid w:val="0"/>
        </w:rPr>
        <w:tab/>
        <w:t>Distributing fund before all persons entitled are ascertained</w:t>
      </w:r>
      <w:bookmarkEnd w:id="710"/>
    </w:p>
    <w:p>
      <w:pPr>
        <w:pStyle w:val="Subsection"/>
        <w:spacing w:before="100"/>
        <w:rPr>
          <w:snapToGrid w:val="0"/>
        </w:rPr>
      </w:pPr>
      <w:r>
        <w:rPr>
          <w:snapToGrid w:val="0"/>
        </w:rPr>
        <w:tab/>
      </w:r>
      <w:r>
        <w:rPr>
          <w:snapToGrid w:val="0"/>
        </w:rPr>
        <w:tab/>
        <w:t xml:space="preserve">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w:t>
      </w:r>
      <w:r>
        <w:rPr>
          <w:snapToGrid w:val="0"/>
        </w:rPr>
        <w:lastRenderedPageBreak/>
        <w:t>the costs subsequently to be incurred in ascertaining the remaining persons entitled.</w:t>
      </w:r>
    </w:p>
    <w:p>
      <w:pPr>
        <w:pStyle w:val="Heading5"/>
      </w:pPr>
      <w:bookmarkStart w:id="711" w:name="_Toc129077903"/>
      <w:r>
        <w:rPr>
          <w:rStyle w:val="CharSectno"/>
        </w:rPr>
        <w:t>11</w:t>
      </w:r>
      <w:r>
        <w:t>.</w:t>
      </w:r>
      <w:r>
        <w:tab/>
        <w:t>Master etc. may be ordered to take accounts or make inquiries</w:t>
      </w:r>
      <w:bookmarkEnd w:id="711"/>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Gazette 21 Feb 2007 p. 551</w:t>
      </w:r>
      <w:r>
        <w:noBreakHyphen/>
        <w:t>2.]</w:t>
      </w:r>
    </w:p>
    <w:p>
      <w:pPr>
        <w:pStyle w:val="Heading5"/>
      </w:pPr>
      <w:bookmarkStart w:id="712" w:name="_Toc129077904"/>
      <w:r>
        <w:rPr>
          <w:rStyle w:val="CharSectno"/>
        </w:rPr>
        <w:t>12</w:t>
      </w:r>
      <w:r>
        <w:t>.</w:t>
      </w:r>
      <w:r>
        <w:tab/>
        <w:t>Right to adjournment from registrar etc.</w:t>
      </w:r>
      <w:bookmarkEnd w:id="712"/>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Gazette 21 Feb 2007 p. 552.]</w:t>
      </w:r>
    </w:p>
    <w:p>
      <w:pPr>
        <w:pStyle w:val="Heading2"/>
      </w:pPr>
      <w:bookmarkStart w:id="713" w:name="_Toc129073833"/>
      <w:bookmarkStart w:id="714" w:name="_Toc129075116"/>
      <w:bookmarkStart w:id="715" w:name="_Toc129077905"/>
      <w:r>
        <w:rPr>
          <w:rStyle w:val="CharPartNo"/>
        </w:rPr>
        <w:lastRenderedPageBreak/>
        <w:t>Order 46</w:t>
      </w:r>
      <w:r>
        <w:rPr>
          <w:b w:val="0"/>
        </w:rPr>
        <w:t> </w:t>
      </w:r>
      <w:r>
        <w:t>—</w:t>
      </w:r>
      <w:r>
        <w:rPr>
          <w:b w:val="0"/>
        </w:rPr>
        <w:t> </w:t>
      </w:r>
      <w:r>
        <w:rPr>
          <w:rStyle w:val="CharPartText"/>
          <w:i/>
          <w:iCs/>
        </w:rPr>
        <w:t>Civil Judgments Enforcement Act 2004</w:t>
      </w:r>
      <w:r>
        <w:rPr>
          <w:rStyle w:val="CharPartText"/>
        </w:rPr>
        <w:t xml:space="preserve"> rules</w:t>
      </w:r>
      <w:bookmarkEnd w:id="713"/>
      <w:bookmarkEnd w:id="714"/>
      <w:bookmarkEnd w:id="715"/>
    </w:p>
    <w:p>
      <w:pPr>
        <w:pStyle w:val="Footnoteheading"/>
      </w:pPr>
      <w:r>
        <w:tab/>
        <w:t>[Heading inserted: Gazette 21 Feb 2007 p. 552.]</w:t>
      </w:r>
    </w:p>
    <w:p>
      <w:pPr>
        <w:pStyle w:val="Heading5"/>
      </w:pPr>
      <w:bookmarkStart w:id="716" w:name="_Toc129077906"/>
      <w:r>
        <w:rPr>
          <w:rStyle w:val="CharSectno"/>
        </w:rPr>
        <w:t>1</w:t>
      </w:r>
      <w:r>
        <w:t>.</w:t>
      </w:r>
      <w:r>
        <w:tab/>
        <w:t>Terms used</w:t>
      </w:r>
      <w:bookmarkEnd w:id="716"/>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r>
        <w:tab/>
        <w:t>[Rule 1 inserted: Gazette 21 Feb 2007 p. 552.]</w:t>
      </w:r>
    </w:p>
    <w:p>
      <w:pPr>
        <w:pStyle w:val="Heading5"/>
      </w:pPr>
      <w:bookmarkStart w:id="717" w:name="_Toc129077907"/>
      <w:r>
        <w:rPr>
          <w:rStyle w:val="CharSectno"/>
        </w:rPr>
        <w:t>2</w:t>
      </w:r>
      <w:r>
        <w:t>.</w:t>
      </w:r>
      <w:r>
        <w:tab/>
        <w:t>Applications that may be dealt with by registrar</w:t>
      </w:r>
      <w:bookmarkEnd w:id="717"/>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spacing w:before="240"/>
      </w:pPr>
      <w:r>
        <w:tab/>
        <w:t>(2)</w:t>
      </w:r>
      <w:r>
        <w:tab/>
        <w:t>A registrar who is dealing with an application or request may exercise any power conferred by the Act on the Court in respect of the application.</w:t>
      </w:r>
    </w:p>
    <w:p>
      <w:pPr>
        <w:pStyle w:val="Subsection"/>
      </w:pPr>
      <w:r>
        <w:lastRenderedPageBreak/>
        <w:tab/>
        <w:t>(3)</w:t>
      </w:r>
      <w:r>
        <w:tab/>
        <w:t>A registrar may conduct a means inquiry under section 30 and for that purpose exercise any power in section 30 or 31.</w:t>
      </w:r>
    </w:p>
    <w:p>
      <w:pPr>
        <w:pStyle w:val="Footnotesection"/>
      </w:pPr>
      <w:r>
        <w:tab/>
        <w:t>[Rule 2 inserted: Gazette 21 Feb 2007 p. 552.]</w:t>
      </w:r>
    </w:p>
    <w:p>
      <w:pPr>
        <w:pStyle w:val="Heading5"/>
      </w:pPr>
      <w:bookmarkStart w:id="718" w:name="_Toc129077908"/>
      <w:r>
        <w:rPr>
          <w:rStyle w:val="CharSectno"/>
        </w:rPr>
        <w:t>3</w:t>
      </w:r>
      <w:r>
        <w:t>.</w:t>
      </w:r>
      <w:r>
        <w:tab/>
        <w:t>Enforcing judgment in action between partners</w:t>
      </w:r>
      <w:bookmarkEnd w:id="718"/>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Gazette 22 Feb 2008 p. 637.]</w:t>
      </w:r>
    </w:p>
    <w:p>
      <w:pPr>
        <w:pStyle w:val="Ednotepart"/>
        <w:tabs>
          <w:tab w:val="left" w:pos="1260"/>
        </w:tabs>
        <w:ind w:left="1260" w:hanging="1260"/>
      </w:pPr>
      <w:r>
        <w:t>[Order 47.</w:t>
      </w:r>
      <w:r>
        <w:tab/>
        <w:t>Rules 1</w:t>
      </w:r>
      <w:r>
        <w:noBreakHyphen/>
        <w:t>8 and 10</w:t>
      </w:r>
      <w:r>
        <w:noBreakHyphen/>
        <w:t>15 deleted: Gazette 21 Feb 2007 p. 553;</w:t>
      </w:r>
      <w:r>
        <w:br/>
        <w:t>Rule 9 deleted: Gazette 15 Jun 1973 p. 2248.]</w:t>
      </w:r>
    </w:p>
    <w:p>
      <w:pPr>
        <w:pStyle w:val="Ednotepart"/>
      </w:pPr>
      <w:r>
        <w:t>[Orders 48-50 deleted: Gazette 21 Feb 2007 p. 553.]</w:t>
      </w:r>
    </w:p>
    <w:p>
      <w:pPr>
        <w:pStyle w:val="Heading2"/>
        <w:rPr>
          <w:b w:val="0"/>
        </w:rPr>
      </w:pPr>
      <w:bookmarkStart w:id="719" w:name="_Toc129073837"/>
      <w:bookmarkStart w:id="720" w:name="_Toc129075120"/>
      <w:bookmarkStart w:id="721" w:name="_Toc129077909"/>
      <w:r>
        <w:rPr>
          <w:rStyle w:val="CharPartNo"/>
        </w:rPr>
        <w:lastRenderedPageBreak/>
        <w:t>Order 51</w:t>
      </w:r>
      <w:r>
        <w:rPr>
          <w:rStyle w:val="CharDivNo"/>
        </w:rPr>
        <w:t> </w:t>
      </w:r>
      <w:r>
        <w:t>—</w:t>
      </w:r>
      <w:r>
        <w:rPr>
          <w:rStyle w:val="CharDivText"/>
        </w:rPr>
        <w:t> </w:t>
      </w:r>
      <w:r>
        <w:rPr>
          <w:rStyle w:val="CharPartText"/>
        </w:rPr>
        <w:t>Receivers</w:t>
      </w:r>
      <w:bookmarkEnd w:id="719"/>
      <w:bookmarkEnd w:id="720"/>
      <w:bookmarkEnd w:id="721"/>
    </w:p>
    <w:p>
      <w:pPr>
        <w:pStyle w:val="Heading5"/>
        <w:rPr>
          <w:snapToGrid w:val="0"/>
        </w:rPr>
      </w:pPr>
      <w:bookmarkStart w:id="722" w:name="_Toc129077910"/>
      <w:r>
        <w:rPr>
          <w:rStyle w:val="CharSectno"/>
        </w:rPr>
        <w:t>1</w:t>
      </w:r>
      <w:r>
        <w:rPr>
          <w:snapToGrid w:val="0"/>
        </w:rPr>
        <w:t>.</w:t>
      </w:r>
      <w:r>
        <w:rPr>
          <w:snapToGrid w:val="0"/>
        </w:rPr>
        <w:tab/>
        <w:t>Application for receiver and injunction</w:t>
      </w:r>
      <w:bookmarkEnd w:id="722"/>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Gazette 28 Jun 2011 p. 2552.]</w:t>
      </w:r>
    </w:p>
    <w:p>
      <w:pPr>
        <w:pStyle w:val="Ednotesection"/>
      </w:pPr>
      <w:r>
        <w:t>[</w:t>
      </w:r>
      <w:r>
        <w:rPr>
          <w:b/>
        </w:rPr>
        <w:t>2.</w:t>
      </w:r>
      <w:r>
        <w:tab/>
        <w:t>Deleted: Gazette 21 Feb 2007 p. 553.]</w:t>
      </w:r>
    </w:p>
    <w:p>
      <w:pPr>
        <w:pStyle w:val="Heading5"/>
        <w:rPr>
          <w:snapToGrid w:val="0"/>
        </w:rPr>
      </w:pPr>
      <w:bookmarkStart w:id="723" w:name="_Toc129077911"/>
      <w:r>
        <w:rPr>
          <w:rStyle w:val="CharSectno"/>
        </w:rPr>
        <w:t>3</w:t>
      </w:r>
      <w:r>
        <w:rPr>
          <w:snapToGrid w:val="0"/>
        </w:rPr>
        <w:t>.</w:t>
      </w:r>
      <w:r>
        <w:rPr>
          <w:snapToGrid w:val="0"/>
        </w:rPr>
        <w:tab/>
        <w:t>Security to be given by receiver</w:t>
      </w:r>
      <w:bookmarkEnd w:id="723"/>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Ednotesubsection"/>
      </w:pPr>
      <w:r>
        <w:tab/>
        <w:t>[(3)</w:t>
      </w:r>
      <w:r>
        <w:tab/>
        <w:t>deleted]</w:t>
      </w:r>
    </w:p>
    <w:p>
      <w:pPr>
        <w:pStyle w:val="Subsection"/>
        <w:rPr>
          <w:snapToGrid w:val="0"/>
        </w:rPr>
      </w:pPr>
      <w:r>
        <w:rPr>
          <w:snapToGrid w:val="0"/>
        </w:rPr>
        <w:lastRenderedPageBreak/>
        <w:tab/>
        <w:t>(4)</w:t>
      </w:r>
      <w:r>
        <w:rPr>
          <w:snapToGrid w:val="0"/>
        </w:rPr>
        <w:tab/>
        <w:t xml:space="preserve">The </w:t>
      </w:r>
      <w:r>
        <w:t xml:space="preserve">security referred to in subrule (2) </w:t>
      </w:r>
      <w:r>
        <w:rPr>
          <w:snapToGrid w:val="0"/>
        </w:rPr>
        <w:t xml:space="preserve">must be </w:t>
      </w:r>
      <w:r>
        <w:t>filed</w:t>
      </w:r>
      <w:r>
        <w:rPr>
          <w:snapToGrid w:val="0"/>
        </w:rPr>
        <w:t xml:space="preserve"> and shall be kept as of record until duly vacated.</w:t>
      </w:r>
    </w:p>
    <w:p>
      <w:pPr>
        <w:pStyle w:val="Footnotesection"/>
      </w:pPr>
      <w:r>
        <w:tab/>
        <w:t xml:space="preserve">[Rule 3 amended: Gazette 30 Nov 1984 p. 3953; 28 Jun 2011 p. 2552; 16 Aug 2017 p. 4416; 27 Feb 2018 p. 570.] </w:t>
      </w:r>
    </w:p>
    <w:p>
      <w:pPr>
        <w:pStyle w:val="Heading5"/>
        <w:rPr>
          <w:snapToGrid w:val="0"/>
        </w:rPr>
      </w:pPr>
      <w:bookmarkStart w:id="724" w:name="_Toc129077912"/>
      <w:r>
        <w:rPr>
          <w:rStyle w:val="CharSectno"/>
        </w:rPr>
        <w:t>4</w:t>
      </w:r>
      <w:r>
        <w:rPr>
          <w:snapToGrid w:val="0"/>
        </w:rPr>
        <w:t>.</w:t>
      </w:r>
      <w:r>
        <w:rPr>
          <w:snapToGrid w:val="0"/>
        </w:rPr>
        <w:tab/>
        <w:t>Remuneration of receiver</w:t>
      </w:r>
      <w:bookmarkEnd w:id="724"/>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25" w:name="_Toc129077913"/>
      <w:r>
        <w:rPr>
          <w:rStyle w:val="CharSectno"/>
        </w:rPr>
        <w:t>5</w:t>
      </w:r>
      <w:r>
        <w:rPr>
          <w:snapToGrid w:val="0"/>
        </w:rPr>
        <w:t>.</w:t>
      </w:r>
      <w:r>
        <w:rPr>
          <w:snapToGrid w:val="0"/>
        </w:rPr>
        <w:tab/>
        <w:t>Accounts by receiver</w:t>
      </w:r>
      <w:bookmarkEnd w:id="72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pPr>
      <w:r>
        <w:tab/>
        <w:t>(1A)</w:t>
      </w:r>
      <w:r>
        <w:tab/>
        <w:t>Unless the Principal Registrar has given approval for them to be filed electronically, the accounts (including the final accounts referred to in rule 8) cannot be filed electronically by a receiver.</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Gazette 2 Jul 1982 p. 2316; 27 Feb 2018 p. 570.] </w:t>
      </w:r>
    </w:p>
    <w:p>
      <w:pPr>
        <w:pStyle w:val="Heading5"/>
        <w:rPr>
          <w:snapToGrid w:val="0"/>
        </w:rPr>
      </w:pPr>
      <w:bookmarkStart w:id="726" w:name="_Toc129077914"/>
      <w:r>
        <w:rPr>
          <w:rStyle w:val="CharSectno"/>
        </w:rPr>
        <w:t>6</w:t>
      </w:r>
      <w:r>
        <w:rPr>
          <w:snapToGrid w:val="0"/>
        </w:rPr>
        <w:t>.</w:t>
      </w:r>
      <w:r>
        <w:rPr>
          <w:snapToGrid w:val="0"/>
        </w:rPr>
        <w:tab/>
        <w:t>Payment of balances by receiver</w:t>
      </w:r>
      <w:bookmarkEnd w:id="726"/>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27" w:name="_Toc129077915"/>
      <w:r>
        <w:rPr>
          <w:rStyle w:val="CharSectno"/>
        </w:rPr>
        <w:lastRenderedPageBreak/>
        <w:t>7</w:t>
      </w:r>
      <w:r>
        <w:rPr>
          <w:snapToGrid w:val="0"/>
        </w:rPr>
        <w:t>.</w:t>
      </w:r>
      <w:r>
        <w:rPr>
          <w:snapToGrid w:val="0"/>
        </w:rPr>
        <w:tab/>
        <w:t>Default by receiver</w:t>
      </w:r>
      <w:bookmarkEnd w:id="727"/>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Gazette 2 Jul 1982 p. 2316; 21 Feb 2007 p. 553; 28 Jun 2011 p. 2552.]</w:t>
      </w:r>
    </w:p>
    <w:p>
      <w:pPr>
        <w:pStyle w:val="Heading5"/>
      </w:pPr>
      <w:bookmarkStart w:id="728" w:name="_Toc129077916"/>
      <w:r>
        <w:rPr>
          <w:rStyle w:val="CharSectno"/>
        </w:rPr>
        <w:t>8</w:t>
      </w:r>
      <w:r>
        <w:t>.</w:t>
      </w:r>
      <w:r>
        <w:tab/>
        <w:t>Final accounts to be filed</w:t>
      </w:r>
      <w:bookmarkEnd w:id="728"/>
    </w:p>
    <w:p>
      <w:pPr>
        <w:pStyle w:val="Subsection"/>
      </w:pPr>
      <w:r>
        <w:tab/>
      </w:r>
      <w:r>
        <w:tab/>
        <w:t>When a receivership has been completed, the receiver must file the receiver’s final accounts.</w:t>
      </w:r>
    </w:p>
    <w:p>
      <w:pPr>
        <w:pStyle w:val="Footnotesection"/>
      </w:pPr>
      <w:r>
        <w:tab/>
        <w:t xml:space="preserve">[Rule 8 inserted: Gazette 27 Feb 2018 p. 570.] </w:t>
      </w:r>
    </w:p>
    <w:p>
      <w:pPr>
        <w:pStyle w:val="Heading5"/>
        <w:rPr>
          <w:snapToGrid w:val="0"/>
        </w:rPr>
      </w:pPr>
      <w:bookmarkStart w:id="729" w:name="_Toc129077917"/>
      <w:r>
        <w:rPr>
          <w:rStyle w:val="CharSectno"/>
        </w:rPr>
        <w:lastRenderedPageBreak/>
        <w:t>9</w:t>
      </w:r>
      <w:r>
        <w:rPr>
          <w:snapToGrid w:val="0"/>
        </w:rPr>
        <w:t>.</w:t>
      </w:r>
      <w:r>
        <w:rPr>
          <w:snapToGrid w:val="0"/>
        </w:rPr>
        <w:tab/>
        <w:t>Compensation to party restrained</w:t>
      </w:r>
      <w:bookmarkEnd w:id="729"/>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Gazette 5 Jun 1992 p. 2282.] </w:t>
      </w:r>
    </w:p>
    <w:p>
      <w:pPr>
        <w:pStyle w:val="Heading5"/>
        <w:rPr>
          <w:snapToGrid w:val="0"/>
        </w:rPr>
      </w:pPr>
      <w:bookmarkStart w:id="730" w:name="_Toc129077918"/>
      <w:r>
        <w:rPr>
          <w:rStyle w:val="CharSectno"/>
        </w:rPr>
        <w:t>10</w:t>
      </w:r>
      <w:r>
        <w:rPr>
          <w:snapToGrid w:val="0"/>
        </w:rPr>
        <w:t>.</w:t>
      </w:r>
      <w:r>
        <w:rPr>
          <w:snapToGrid w:val="0"/>
        </w:rPr>
        <w:tab/>
        <w:t>Compensation by applicant to party restrained</w:t>
      </w:r>
      <w:bookmarkEnd w:id="73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Gazette 5 Jun 1992 p. 2282.] </w:t>
      </w:r>
    </w:p>
    <w:p>
      <w:pPr>
        <w:pStyle w:val="Heading5"/>
      </w:pPr>
      <w:bookmarkStart w:id="731" w:name="_Toc129077919"/>
      <w:r>
        <w:rPr>
          <w:rStyle w:val="CharSectno"/>
        </w:rPr>
        <w:t>11</w:t>
      </w:r>
      <w:r>
        <w:t>.</w:t>
      </w:r>
      <w:r>
        <w:tab/>
        <w:t xml:space="preserve">Application to </w:t>
      </w:r>
      <w:r>
        <w:rPr>
          <w:i/>
        </w:rPr>
        <w:t>Civil Judgments Enforcement Act 2004</w:t>
      </w:r>
      <w:bookmarkEnd w:id="731"/>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Gazette 21 Feb 2007 p. 553.]</w:t>
      </w:r>
    </w:p>
    <w:p>
      <w:pPr>
        <w:pStyle w:val="Heading2"/>
        <w:rPr>
          <w:b w:val="0"/>
        </w:rPr>
      </w:pPr>
      <w:bookmarkStart w:id="732" w:name="_Toc129073848"/>
      <w:bookmarkStart w:id="733" w:name="_Toc129075131"/>
      <w:bookmarkStart w:id="734" w:name="_Toc129077920"/>
      <w:r>
        <w:rPr>
          <w:rStyle w:val="CharPartNo"/>
        </w:rPr>
        <w:lastRenderedPageBreak/>
        <w:t>Order 52</w:t>
      </w:r>
      <w:r>
        <w:rPr>
          <w:rStyle w:val="CharDivNo"/>
        </w:rPr>
        <w:t> </w:t>
      </w:r>
      <w:r>
        <w:t>—</w:t>
      </w:r>
      <w:r>
        <w:rPr>
          <w:rStyle w:val="CharDivText"/>
        </w:rPr>
        <w:t> </w:t>
      </w:r>
      <w:r>
        <w:rPr>
          <w:rStyle w:val="CharPartText"/>
        </w:rPr>
        <w:t>Interlocutory injunctions, interim preservation of property</w:t>
      </w:r>
      <w:bookmarkEnd w:id="732"/>
      <w:bookmarkEnd w:id="733"/>
      <w:bookmarkEnd w:id="734"/>
    </w:p>
    <w:p>
      <w:pPr>
        <w:pStyle w:val="Heading5"/>
        <w:rPr>
          <w:snapToGrid w:val="0"/>
        </w:rPr>
      </w:pPr>
      <w:bookmarkStart w:id="735" w:name="_Toc129077921"/>
      <w:r>
        <w:rPr>
          <w:rStyle w:val="CharSectno"/>
        </w:rPr>
        <w:t>1</w:t>
      </w:r>
      <w:r>
        <w:rPr>
          <w:snapToGrid w:val="0"/>
        </w:rPr>
        <w:t>.</w:t>
      </w:r>
      <w:r>
        <w:rPr>
          <w:snapToGrid w:val="0"/>
        </w:rPr>
        <w:tab/>
        <w:t>Application for injunction</w:t>
      </w:r>
      <w:bookmarkEnd w:id="735"/>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36" w:name="_Toc129077922"/>
      <w:r>
        <w:rPr>
          <w:rStyle w:val="CharSectno"/>
        </w:rPr>
        <w:t>2</w:t>
      </w:r>
      <w:r>
        <w:rPr>
          <w:snapToGrid w:val="0"/>
        </w:rPr>
        <w:t>.</w:t>
      </w:r>
      <w:r>
        <w:rPr>
          <w:snapToGrid w:val="0"/>
        </w:rPr>
        <w:tab/>
        <w:t>Detention etc. of property; securing funds in dispute</w:t>
      </w:r>
      <w:bookmarkEnd w:id="736"/>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lastRenderedPageBreak/>
        <w:tab/>
        <w:t>(4)</w:t>
      </w:r>
      <w:r>
        <w:rPr>
          <w:snapToGrid w:val="0"/>
        </w:rPr>
        <w:tab/>
        <w:t>An order under this rule shall be subject to such terms, if any, as the Court thinks just.</w:t>
      </w:r>
    </w:p>
    <w:p>
      <w:pPr>
        <w:pStyle w:val="Footnotesection"/>
      </w:pPr>
      <w:r>
        <w:tab/>
        <w:t xml:space="preserve">[Rule 2 amended: Gazette 26 Aug 1994 p. 4415; 28 Oct 1996 p. 5699; 28 Jun 2011 p. 2552.] </w:t>
      </w:r>
    </w:p>
    <w:p>
      <w:pPr>
        <w:pStyle w:val="Heading5"/>
        <w:spacing w:before="240"/>
        <w:rPr>
          <w:snapToGrid w:val="0"/>
        </w:rPr>
      </w:pPr>
      <w:bookmarkStart w:id="737" w:name="_Toc129077923"/>
      <w:r>
        <w:rPr>
          <w:rStyle w:val="CharSectno"/>
        </w:rPr>
        <w:t>3</w:t>
      </w:r>
      <w:r>
        <w:rPr>
          <w:snapToGrid w:val="0"/>
        </w:rPr>
        <w:t>.</w:t>
      </w:r>
      <w:r>
        <w:rPr>
          <w:snapToGrid w:val="0"/>
        </w:rPr>
        <w:tab/>
        <w:t>Power to order taking of samples etc.</w:t>
      </w:r>
      <w:bookmarkEnd w:id="737"/>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Gazette 28 Oct 1996 p. 5699; 28 Jun 2011 p. 2552.] </w:t>
      </w:r>
    </w:p>
    <w:p>
      <w:pPr>
        <w:pStyle w:val="Heading5"/>
        <w:spacing w:before="240"/>
        <w:rPr>
          <w:snapToGrid w:val="0"/>
        </w:rPr>
      </w:pPr>
      <w:bookmarkStart w:id="738" w:name="_Toc129077924"/>
      <w:r>
        <w:rPr>
          <w:rStyle w:val="CharSectno"/>
        </w:rPr>
        <w:t>4</w:t>
      </w:r>
      <w:r>
        <w:rPr>
          <w:snapToGrid w:val="0"/>
        </w:rPr>
        <w:t>.</w:t>
      </w:r>
      <w:r>
        <w:rPr>
          <w:snapToGrid w:val="0"/>
        </w:rPr>
        <w:tab/>
        <w:t>Disposal of perishable property etc.</w:t>
      </w:r>
      <w:bookmarkEnd w:id="73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 xml:space="preserve">This rule applies to goods, wares, merchandise, shares, securities, and personal property which are the subject of a </w:t>
      </w:r>
      <w:r>
        <w:rPr>
          <w:snapToGrid w:val="0"/>
        </w:rPr>
        <w:lastRenderedPageBreak/>
        <w:t>cause or matter or as to which a question arises in a cause or matter.</w:t>
      </w:r>
    </w:p>
    <w:p>
      <w:pPr>
        <w:pStyle w:val="Footnotesection"/>
      </w:pPr>
      <w:r>
        <w:tab/>
        <w:t xml:space="preserve">[Rule 4 amended: Gazette 26 Aug 1994 p. 4415; 28 Oct 1996 p. 5699.] </w:t>
      </w:r>
    </w:p>
    <w:p>
      <w:pPr>
        <w:pStyle w:val="Heading5"/>
        <w:rPr>
          <w:snapToGrid w:val="0"/>
        </w:rPr>
      </w:pPr>
      <w:bookmarkStart w:id="739" w:name="_Toc129077925"/>
      <w:r>
        <w:rPr>
          <w:rStyle w:val="CharSectno"/>
        </w:rPr>
        <w:t>5</w:t>
      </w:r>
      <w:r>
        <w:rPr>
          <w:snapToGrid w:val="0"/>
        </w:rPr>
        <w:t>.</w:t>
      </w:r>
      <w:r>
        <w:rPr>
          <w:snapToGrid w:val="0"/>
        </w:rPr>
        <w:tab/>
        <w:t>Order for early trial on application for receiver, injunction etc.</w:t>
      </w:r>
      <w:bookmarkEnd w:id="739"/>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40" w:name="_Toc129077926"/>
      <w:r>
        <w:rPr>
          <w:rStyle w:val="CharSectno"/>
        </w:rPr>
        <w:t>6</w:t>
      </w:r>
      <w:r>
        <w:rPr>
          <w:snapToGrid w:val="0"/>
        </w:rPr>
        <w:t>.</w:t>
      </w:r>
      <w:r>
        <w:rPr>
          <w:snapToGrid w:val="0"/>
        </w:rPr>
        <w:tab/>
        <w:t>Recovering personal property subject to lien</w:t>
      </w:r>
      <w:bookmarkEnd w:id="740"/>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741" w:name="_Toc129077927"/>
      <w:r>
        <w:rPr>
          <w:rStyle w:val="CharSectno"/>
        </w:rPr>
        <w:lastRenderedPageBreak/>
        <w:t>7</w:t>
      </w:r>
      <w:r>
        <w:rPr>
          <w:snapToGrid w:val="0"/>
        </w:rPr>
        <w:t>.</w:t>
      </w:r>
      <w:r>
        <w:rPr>
          <w:snapToGrid w:val="0"/>
        </w:rPr>
        <w:tab/>
        <w:t>Directions</w:t>
      </w:r>
      <w:bookmarkEnd w:id="741"/>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Ednotesubsection"/>
      </w:pPr>
      <w:r>
        <w:tab/>
        <w:t>[(2)</w:t>
      </w:r>
      <w:r>
        <w:tab/>
        <w:t>deleted]</w:t>
      </w:r>
    </w:p>
    <w:p>
      <w:pPr>
        <w:pStyle w:val="Footnotesection"/>
      </w:pPr>
      <w:r>
        <w:tab/>
        <w:t>[Rule 7 amended: Gazette 28 Jun 2011 p. 2554; 16 Aug 2017 p. 4416.]</w:t>
      </w:r>
    </w:p>
    <w:p>
      <w:pPr>
        <w:pStyle w:val="Heading5"/>
        <w:spacing w:before="240"/>
        <w:rPr>
          <w:snapToGrid w:val="0"/>
        </w:rPr>
      </w:pPr>
      <w:bookmarkStart w:id="742" w:name="_Toc129077928"/>
      <w:r>
        <w:rPr>
          <w:rStyle w:val="CharSectno"/>
        </w:rPr>
        <w:t>8</w:t>
      </w:r>
      <w:r>
        <w:rPr>
          <w:snapToGrid w:val="0"/>
        </w:rPr>
        <w:t>.</w:t>
      </w:r>
      <w:r>
        <w:rPr>
          <w:snapToGrid w:val="0"/>
        </w:rPr>
        <w:tab/>
        <w:t>Allowance of income or transfer of property during case</w:t>
      </w:r>
      <w:bookmarkEnd w:id="742"/>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743" w:name="_Toc129077929"/>
      <w:r>
        <w:rPr>
          <w:rStyle w:val="CharSectno"/>
        </w:rPr>
        <w:t>9</w:t>
      </w:r>
      <w:r>
        <w:rPr>
          <w:snapToGrid w:val="0"/>
        </w:rPr>
        <w:t>.</w:t>
      </w:r>
      <w:r>
        <w:rPr>
          <w:snapToGrid w:val="0"/>
        </w:rPr>
        <w:tab/>
        <w:t>Injunction to include undertaking as to compensation to party restrained</w:t>
      </w:r>
      <w:bookmarkEnd w:id="74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lastRenderedPageBreak/>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Gazette 28 Feb 1992 p. 996</w:t>
      </w:r>
      <w:r>
        <w:noBreakHyphen/>
        <w:t xml:space="preserve">7.] </w:t>
      </w:r>
    </w:p>
    <w:p>
      <w:pPr>
        <w:pStyle w:val="Heading5"/>
        <w:rPr>
          <w:snapToGrid w:val="0"/>
        </w:rPr>
      </w:pPr>
      <w:bookmarkStart w:id="744" w:name="_Toc129077930"/>
      <w:r>
        <w:rPr>
          <w:rStyle w:val="CharSectno"/>
        </w:rPr>
        <w:t>10</w:t>
      </w:r>
      <w:r>
        <w:rPr>
          <w:snapToGrid w:val="0"/>
        </w:rPr>
        <w:t>.</w:t>
      </w:r>
      <w:r>
        <w:rPr>
          <w:snapToGrid w:val="0"/>
        </w:rPr>
        <w:tab/>
        <w:t>Compensation to party restrained by undertaking</w:t>
      </w:r>
      <w:bookmarkEnd w:id="744"/>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ind w:left="890" w:hanging="890"/>
      </w:pPr>
      <w:r>
        <w:tab/>
        <w:t xml:space="preserve">[Rule 10 inserted: Gazette 28 Feb 1992 p. 997.] </w:t>
      </w:r>
    </w:p>
    <w:p>
      <w:pPr>
        <w:pStyle w:val="Heading2"/>
      </w:pPr>
      <w:bookmarkStart w:id="745" w:name="_Toc129073859"/>
      <w:bookmarkStart w:id="746" w:name="_Toc129075142"/>
      <w:bookmarkStart w:id="747" w:name="_Toc129077931"/>
      <w:r>
        <w:rPr>
          <w:rStyle w:val="CharPartNo"/>
        </w:rPr>
        <w:lastRenderedPageBreak/>
        <w:t>Order 52A</w:t>
      </w:r>
      <w:r>
        <w:rPr>
          <w:b w:val="0"/>
        </w:rPr>
        <w:t> </w:t>
      </w:r>
      <w:r>
        <w:t>—</w:t>
      </w:r>
      <w:r>
        <w:rPr>
          <w:b w:val="0"/>
        </w:rPr>
        <w:t> </w:t>
      </w:r>
      <w:r>
        <w:rPr>
          <w:rStyle w:val="CharPartText"/>
        </w:rPr>
        <w:t>Freezing orders</w:t>
      </w:r>
      <w:bookmarkEnd w:id="745"/>
      <w:bookmarkEnd w:id="746"/>
      <w:bookmarkEnd w:id="747"/>
    </w:p>
    <w:p>
      <w:pPr>
        <w:pStyle w:val="Footnoteheading"/>
      </w:pPr>
      <w:r>
        <w:tab/>
        <w:t>[Heading inserted: Gazette 21 Feb 2007 p. 554.]</w:t>
      </w:r>
    </w:p>
    <w:p>
      <w:pPr>
        <w:pStyle w:val="Heading5"/>
      </w:pPr>
      <w:bookmarkStart w:id="748" w:name="_Toc129077932"/>
      <w:r>
        <w:rPr>
          <w:rStyle w:val="CharSectno"/>
        </w:rPr>
        <w:t>1</w:t>
      </w:r>
      <w:r>
        <w:t>.</w:t>
      </w:r>
      <w:r>
        <w:tab/>
        <w:t>Terms used</w:t>
      </w:r>
      <w:bookmarkEnd w:id="748"/>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Australia, or a court in Australia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r>
        <w:tab/>
        <w:t xml:space="preserve">[Rule 1 inserted: Gazette 21 Feb 2007 p. 554.] </w:t>
      </w:r>
    </w:p>
    <w:p>
      <w:pPr>
        <w:pStyle w:val="Heading5"/>
      </w:pPr>
      <w:bookmarkStart w:id="749" w:name="_Toc129077933"/>
      <w:r>
        <w:rPr>
          <w:rStyle w:val="CharSectno"/>
        </w:rPr>
        <w:t>2</w:t>
      </w:r>
      <w:r>
        <w:t>.</w:t>
      </w:r>
      <w:r>
        <w:tab/>
        <w:t>Freezing order</w:t>
      </w:r>
      <w:bookmarkEnd w:id="749"/>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A freezing order may be an order restraining a respondent from removing any assets located in or outside Australia or from disposing of, dealing with, or diminishing the value of, those assets.</w:t>
      </w:r>
    </w:p>
    <w:p>
      <w:pPr>
        <w:pStyle w:val="Footnotesection"/>
      </w:pPr>
      <w:r>
        <w:tab/>
        <w:t xml:space="preserve">[Rule 2 inserted: Gazette 21 Feb 2007 p. 554.] </w:t>
      </w:r>
    </w:p>
    <w:p>
      <w:pPr>
        <w:pStyle w:val="Heading5"/>
      </w:pPr>
      <w:bookmarkStart w:id="750" w:name="_Toc129077934"/>
      <w:r>
        <w:rPr>
          <w:rStyle w:val="CharSectno"/>
        </w:rPr>
        <w:t>3</w:t>
      </w:r>
      <w:r>
        <w:t>.</w:t>
      </w:r>
      <w:r>
        <w:tab/>
        <w:t>Ancillary order</w:t>
      </w:r>
      <w:bookmarkEnd w:id="750"/>
    </w:p>
    <w:p>
      <w:pPr>
        <w:pStyle w:val="Subsection"/>
      </w:pPr>
      <w:r>
        <w:tab/>
        <w:t>(1)</w:t>
      </w:r>
      <w:r>
        <w:tab/>
        <w:t>The Court may make an order (an ancillary order) ancillary to a freezing order or prospective freezing order as the Court considers appropriate.</w:t>
      </w:r>
    </w:p>
    <w:p>
      <w:pPr>
        <w:pStyle w:val="Subsection"/>
      </w:pPr>
      <w:r>
        <w:lastRenderedPageBreak/>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r>
        <w:tab/>
        <w:t>[Rule 3 inserted: Gazette 21 Feb 2007 p. 554</w:t>
      </w:r>
      <w:r>
        <w:noBreakHyphen/>
        <w:t xml:space="preserve">5.] </w:t>
      </w:r>
    </w:p>
    <w:p>
      <w:pPr>
        <w:pStyle w:val="Heading5"/>
      </w:pPr>
      <w:bookmarkStart w:id="751" w:name="_Toc129077935"/>
      <w:r>
        <w:rPr>
          <w:rStyle w:val="CharSectno"/>
        </w:rPr>
        <w:t>4</w:t>
      </w:r>
      <w:r>
        <w:t>.</w:t>
      </w:r>
      <w:r>
        <w:tab/>
        <w:t>Respondent need not be party to proceeding</w:t>
      </w:r>
      <w:bookmarkEnd w:id="751"/>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r>
        <w:tab/>
        <w:t xml:space="preserve">[Rule 4 inserted: Gazette 21 Feb 2007 p. 555.] </w:t>
      </w:r>
    </w:p>
    <w:p>
      <w:pPr>
        <w:pStyle w:val="Heading5"/>
      </w:pPr>
      <w:bookmarkStart w:id="752" w:name="_Toc129077936"/>
      <w:r>
        <w:rPr>
          <w:rStyle w:val="CharSectno"/>
        </w:rPr>
        <w:t>5</w:t>
      </w:r>
      <w:r>
        <w:t>.</w:t>
      </w:r>
      <w:r>
        <w:tab/>
        <w:t>Order against judgment debtor, prospective judgment debtor or third party</w:t>
      </w:r>
      <w:bookmarkEnd w:id="752"/>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lastRenderedPageBreak/>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removed from Australia or from a place inside or outside Australia;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lastRenderedPageBreak/>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r>
        <w:tab/>
        <w:t>[Rule 5 inserted: Gazette 21 Feb 2007 p. 555</w:t>
      </w:r>
      <w:r>
        <w:noBreakHyphen/>
        <w:t xml:space="preserve">6.] </w:t>
      </w:r>
    </w:p>
    <w:p>
      <w:pPr>
        <w:pStyle w:val="Heading5"/>
      </w:pPr>
      <w:bookmarkStart w:id="753" w:name="_Toc129077937"/>
      <w:r>
        <w:rPr>
          <w:rStyle w:val="CharSectno"/>
        </w:rPr>
        <w:t>6</w:t>
      </w:r>
      <w:r>
        <w:t>.</w:t>
      </w:r>
      <w:r>
        <w:tab/>
        <w:t>Court’s other jurisdiction not affected</w:t>
      </w:r>
      <w:bookmarkEnd w:id="753"/>
    </w:p>
    <w:p>
      <w:pPr>
        <w:pStyle w:val="Subsection"/>
      </w:pPr>
      <w:r>
        <w:tab/>
      </w:r>
      <w:r>
        <w:tab/>
        <w:t>Nothing in this Order diminishes the inherent, implied or statutory jurisdiction of the Court to make a freezing order or ancillary order.</w:t>
      </w:r>
    </w:p>
    <w:p>
      <w:pPr>
        <w:pStyle w:val="Footnotesection"/>
      </w:pPr>
      <w:r>
        <w:tab/>
        <w:t xml:space="preserve">[Rule 6 inserted: Gazette 21 Feb 2007 p. 556.] </w:t>
      </w:r>
    </w:p>
    <w:p>
      <w:pPr>
        <w:pStyle w:val="Heading5"/>
      </w:pPr>
      <w:bookmarkStart w:id="754" w:name="_Toc129077938"/>
      <w:r>
        <w:rPr>
          <w:rStyle w:val="CharSectno"/>
        </w:rPr>
        <w:t>7</w:t>
      </w:r>
      <w:r>
        <w:t>.</w:t>
      </w:r>
      <w:r>
        <w:tab/>
        <w:t>Service outside Australia of application for order</w:t>
      </w:r>
      <w:bookmarkEnd w:id="754"/>
    </w:p>
    <w:p>
      <w:pPr>
        <w:pStyle w:val="Subsection"/>
      </w:pPr>
      <w:r>
        <w:tab/>
      </w:r>
      <w:r>
        <w:tab/>
        <w:t>An application for a freezing order or an ancillary order may be served on a person who is outside Australia (whether or not the person is domiciled or resident in Australia) if any of the assets to which the order relates are within the jurisdiction of the Court.</w:t>
      </w:r>
    </w:p>
    <w:p>
      <w:pPr>
        <w:pStyle w:val="Footnotesection"/>
      </w:pPr>
      <w:r>
        <w:tab/>
        <w:t xml:space="preserve">[Rule 7 inserted: Gazette 21 Feb 2007 p. 556.] </w:t>
      </w:r>
    </w:p>
    <w:p>
      <w:pPr>
        <w:pStyle w:val="Heading5"/>
      </w:pPr>
      <w:bookmarkStart w:id="755" w:name="_Toc129077939"/>
      <w:r>
        <w:rPr>
          <w:rStyle w:val="CharSectno"/>
        </w:rPr>
        <w:t>8</w:t>
      </w:r>
      <w:r>
        <w:t>.</w:t>
      </w:r>
      <w:r>
        <w:tab/>
        <w:t>Costs</w:t>
      </w:r>
      <w:bookmarkEnd w:id="755"/>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r>
        <w:tab/>
        <w:t>[Rule 8 inserted: Gazette 21 Feb 2007 p. 556</w:t>
      </w:r>
      <w:r>
        <w:noBreakHyphen/>
        <w:t xml:space="preserve">7.] </w:t>
      </w:r>
    </w:p>
    <w:p>
      <w:pPr>
        <w:pStyle w:val="Heading2"/>
      </w:pPr>
      <w:bookmarkStart w:id="756" w:name="_Toc129073868"/>
      <w:bookmarkStart w:id="757" w:name="_Toc129075151"/>
      <w:bookmarkStart w:id="758" w:name="_Toc129077940"/>
      <w:r>
        <w:rPr>
          <w:rStyle w:val="CharPartNo"/>
        </w:rPr>
        <w:lastRenderedPageBreak/>
        <w:t>Order 52B</w:t>
      </w:r>
      <w:r>
        <w:rPr>
          <w:b w:val="0"/>
        </w:rPr>
        <w:t> </w:t>
      </w:r>
      <w:r>
        <w:t>—</w:t>
      </w:r>
      <w:r>
        <w:rPr>
          <w:b w:val="0"/>
        </w:rPr>
        <w:t> </w:t>
      </w:r>
      <w:r>
        <w:rPr>
          <w:rStyle w:val="CharPartText"/>
        </w:rPr>
        <w:t>Search orders</w:t>
      </w:r>
      <w:bookmarkEnd w:id="756"/>
      <w:bookmarkEnd w:id="757"/>
      <w:bookmarkEnd w:id="758"/>
    </w:p>
    <w:p>
      <w:pPr>
        <w:pStyle w:val="Footnoteheading"/>
      </w:pPr>
      <w:r>
        <w:tab/>
        <w:t>[Heading inserted: Gazette 21 Feb 2007 p. 557.]</w:t>
      </w:r>
    </w:p>
    <w:p>
      <w:pPr>
        <w:pStyle w:val="Heading5"/>
      </w:pPr>
      <w:bookmarkStart w:id="759" w:name="_Toc129077941"/>
      <w:r>
        <w:rPr>
          <w:rStyle w:val="CharSectno"/>
        </w:rPr>
        <w:t>1</w:t>
      </w:r>
      <w:r>
        <w:t>.</w:t>
      </w:r>
      <w:r>
        <w:tab/>
        <w:t>Terms used</w:t>
      </w:r>
      <w:bookmarkEnd w:id="759"/>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r>
        <w:tab/>
        <w:t xml:space="preserve">[Rule 1 inserted: Gazette 21 Feb 2007 p. 557.] </w:t>
      </w:r>
    </w:p>
    <w:p>
      <w:pPr>
        <w:pStyle w:val="Heading5"/>
      </w:pPr>
      <w:bookmarkStart w:id="760" w:name="_Toc129077942"/>
      <w:r>
        <w:rPr>
          <w:rStyle w:val="CharSectno"/>
        </w:rPr>
        <w:t>2</w:t>
      </w:r>
      <w:r>
        <w:t>.</w:t>
      </w:r>
      <w:r>
        <w:tab/>
        <w:t>Search order</w:t>
      </w:r>
      <w:bookmarkEnd w:id="760"/>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r>
        <w:tab/>
        <w:t xml:space="preserve">[Rule 2 inserted: Gazette 21 Feb 2007 p. 557.] </w:t>
      </w:r>
    </w:p>
    <w:p>
      <w:pPr>
        <w:pStyle w:val="Heading5"/>
      </w:pPr>
      <w:bookmarkStart w:id="761" w:name="_Toc129077943"/>
      <w:r>
        <w:rPr>
          <w:rStyle w:val="CharSectno"/>
        </w:rPr>
        <w:t>3</w:t>
      </w:r>
      <w:r>
        <w:t>.</w:t>
      </w:r>
      <w:r>
        <w:tab/>
        <w:t>Requirements for making of search order</w:t>
      </w:r>
      <w:bookmarkEnd w:id="761"/>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lastRenderedPageBreak/>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r>
        <w:tab/>
        <w:t xml:space="preserve">[Rule 3 inserted: Gazette 21 Feb 2007 p. 557.] </w:t>
      </w:r>
    </w:p>
    <w:p>
      <w:pPr>
        <w:pStyle w:val="Heading5"/>
      </w:pPr>
      <w:bookmarkStart w:id="762" w:name="_Toc129077944"/>
      <w:r>
        <w:rPr>
          <w:rStyle w:val="CharSectno"/>
        </w:rPr>
        <w:t>4</w:t>
      </w:r>
      <w:r>
        <w:t>.</w:t>
      </w:r>
      <w:r>
        <w:tab/>
        <w:t>Court’s other jurisdiction not affected</w:t>
      </w:r>
      <w:bookmarkEnd w:id="762"/>
    </w:p>
    <w:p>
      <w:pPr>
        <w:pStyle w:val="Subsection"/>
      </w:pPr>
      <w:r>
        <w:tab/>
      </w:r>
      <w:r>
        <w:tab/>
        <w:t>Nothing in this Order diminishes the inherent, implied or statutory jurisdiction of the Court to make a search order.</w:t>
      </w:r>
    </w:p>
    <w:p>
      <w:pPr>
        <w:pStyle w:val="Footnotesection"/>
      </w:pPr>
      <w:r>
        <w:tab/>
        <w:t xml:space="preserve">[Rule 4 inserted: Gazette 21 Feb 2007 p. 558.] </w:t>
      </w:r>
    </w:p>
    <w:p>
      <w:pPr>
        <w:pStyle w:val="Heading5"/>
      </w:pPr>
      <w:bookmarkStart w:id="763" w:name="_Toc129077945"/>
      <w:r>
        <w:rPr>
          <w:rStyle w:val="CharSectno"/>
        </w:rPr>
        <w:t>5</w:t>
      </w:r>
      <w:r>
        <w:t>.</w:t>
      </w:r>
      <w:r>
        <w:tab/>
        <w:t>Terms of search order</w:t>
      </w:r>
      <w:bookmarkEnd w:id="763"/>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lastRenderedPageBreak/>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r>
        <w:tab/>
        <w:t xml:space="preserve">[Rule 5 inserted: Gazette 21 Feb 2007 p. 558.] </w:t>
      </w:r>
    </w:p>
    <w:p>
      <w:pPr>
        <w:pStyle w:val="Heading5"/>
      </w:pPr>
      <w:bookmarkStart w:id="764" w:name="_Toc129077946"/>
      <w:r>
        <w:rPr>
          <w:rStyle w:val="CharSectno"/>
        </w:rPr>
        <w:t>6</w:t>
      </w:r>
      <w:r>
        <w:t>.</w:t>
      </w:r>
      <w:r>
        <w:tab/>
        <w:t>Independent solicitors, appointment of etc.</w:t>
      </w:r>
      <w:bookmarkEnd w:id="764"/>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r>
        <w:tab/>
        <w:t>[Rule 6 inserted: Gazette 21 Feb 2007 p. 558</w:t>
      </w:r>
      <w:r>
        <w:noBreakHyphen/>
        <w:t xml:space="preserve">9.] </w:t>
      </w:r>
    </w:p>
    <w:p>
      <w:pPr>
        <w:pStyle w:val="Heading5"/>
      </w:pPr>
      <w:bookmarkStart w:id="765" w:name="_Toc129077947"/>
      <w:r>
        <w:rPr>
          <w:rStyle w:val="CharSectno"/>
        </w:rPr>
        <w:t>7</w:t>
      </w:r>
      <w:r>
        <w:t>.</w:t>
      </w:r>
      <w:r>
        <w:tab/>
        <w:t>Costs</w:t>
      </w:r>
      <w:bookmarkEnd w:id="765"/>
    </w:p>
    <w:p>
      <w:pPr>
        <w:pStyle w:val="Subsection"/>
      </w:pPr>
      <w:r>
        <w:tab/>
        <w:t>(1)</w:t>
      </w:r>
      <w:r>
        <w:tab/>
        <w:t>The Court may make any order as to costs that it considers appropriate in relation to an order made under this Order.</w:t>
      </w:r>
    </w:p>
    <w:p>
      <w:pPr>
        <w:pStyle w:val="Subsection"/>
      </w:pPr>
      <w:r>
        <w:lastRenderedPageBreak/>
        <w:tab/>
        <w:t>(2)</w:t>
      </w:r>
      <w:r>
        <w:tab/>
        <w:t>Without limiting the generality of subrule (1), an order as to costs includes an order as to the costs of any person affected by a search order.</w:t>
      </w:r>
    </w:p>
    <w:p>
      <w:pPr>
        <w:pStyle w:val="Footnotesection"/>
      </w:pPr>
      <w:r>
        <w:tab/>
        <w:t xml:space="preserve">[Rule 7 inserted: Gazette 21 Feb 2007 p. 559.] </w:t>
      </w:r>
    </w:p>
    <w:p>
      <w:pPr>
        <w:pStyle w:val="Heading2"/>
        <w:rPr>
          <w:b w:val="0"/>
        </w:rPr>
      </w:pPr>
      <w:bookmarkStart w:id="766" w:name="_Toc129073876"/>
      <w:bookmarkStart w:id="767" w:name="_Toc129075159"/>
      <w:bookmarkStart w:id="768" w:name="_Toc129077948"/>
      <w:r>
        <w:rPr>
          <w:rStyle w:val="CharPartNo"/>
        </w:rPr>
        <w:lastRenderedPageBreak/>
        <w:t>Order 53</w:t>
      </w:r>
      <w:r>
        <w:rPr>
          <w:rStyle w:val="CharDivNo"/>
        </w:rPr>
        <w:t> </w:t>
      </w:r>
      <w:r>
        <w:t>—</w:t>
      </w:r>
      <w:r>
        <w:rPr>
          <w:rStyle w:val="CharDivText"/>
        </w:rPr>
        <w:t> </w:t>
      </w:r>
      <w:r>
        <w:rPr>
          <w:rStyle w:val="CharPartText"/>
        </w:rPr>
        <w:t>Sales of land by the Court</w:t>
      </w:r>
      <w:bookmarkEnd w:id="766"/>
      <w:bookmarkEnd w:id="767"/>
      <w:bookmarkEnd w:id="768"/>
    </w:p>
    <w:p>
      <w:pPr>
        <w:pStyle w:val="Heading5"/>
        <w:rPr>
          <w:snapToGrid w:val="0"/>
        </w:rPr>
      </w:pPr>
      <w:bookmarkStart w:id="769" w:name="_Toc129077949"/>
      <w:r>
        <w:rPr>
          <w:rStyle w:val="CharSectno"/>
        </w:rPr>
        <w:t>1</w:t>
      </w:r>
      <w:r>
        <w:rPr>
          <w:snapToGrid w:val="0"/>
        </w:rPr>
        <w:t>.</w:t>
      </w:r>
      <w:r>
        <w:rPr>
          <w:snapToGrid w:val="0"/>
        </w:rPr>
        <w:tab/>
        <w:t>Term used: land</w:t>
      </w:r>
      <w:bookmarkEnd w:id="769"/>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70" w:name="_Toc129077950"/>
      <w:r>
        <w:rPr>
          <w:rStyle w:val="CharSectno"/>
        </w:rPr>
        <w:t>2</w:t>
      </w:r>
      <w:r>
        <w:rPr>
          <w:snapToGrid w:val="0"/>
        </w:rPr>
        <w:t>.</w:t>
      </w:r>
      <w:r>
        <w:rPr>
          <w:snapToGrid w:val="0"/>
        </w:rPr>
        <w:tab/>
        <w:t>Power to order sale of land</w:t>
      </w:r>
      <w:bookmarkEnd w:id="770"/>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71" w:name="_Toc129077951"/>
      <w:r>
        <w:rPr>
          <w:rStyle w:val="CharSectno"/>
        </w:rPr>
        <w:t>3</w:t>
      </w:r>
      <w:r>
        <w:rPr>
          <w:snapToGrid w:val="0"/>
        </w:rPr>
        <w:t>.</w:t>
      </w:r>
      <w:r>
        <w:rPr>
          <w:snapToGrid w:val="0"/>
        </w:rPr>
        <w:tab/>
        <w:t>Manner of sale</w:t>
      </w:r>
      <w:bookmarkEnd w:id="771"/>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72" w:name="_Toc129077952"/>
      <w:r>
        <w:rPr>
          <w:rStyle w:val="CharSectno"/>
        </w:rPr>
        <w:t>4</w:t>
      </w:r>
      <w:r>
        <w:rPr>
          <w:snapToGrid w:val="0"/>
        </w:rPr>
        <w:t>.</w:t>
      </w:r>
      <w:r>
        <w:rPr>
          <w:snapToGrid w:val="0"/>
        </w:rPr>
        <w:tab/>
        <w:t>Directions</w:t>
      </w:r>
      <w:bookmarkEnd w:id="77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 xml:space="preserve">fixing the manner of sale, that is to say, whether the sale is to be by contract conditional on the approval of the </w:t>
      </w:r>
      <w:r>
        <w:rPr>
          <w:snapToGrid w:val="0"/>
        </w:rPr>
        <w:lastRenderedPageBreak/>
        <w:t>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Gazette 28 Jun 2011 p. 2552.]</w:t>
      </w:r>
    </w:p>
    <w:p>
      <w:pPr>
        <w:pStyle w:val="Heading5"/>
        <w:rPr>
          <w:snapToGrid w:val="0"/>
        </w:rPr>
      </w:pPr>
      <w:bookmarkStart w:id="773" w:name="_Toc129077953"/>
      <w:r>
        <w:rPr>
          <w:rStyle w:val="CharSectno"/>
        </w:rPr>
        <w:t>5</w:t>
      </w:r>
      <w:r>
        <w:rPr>
          <w:snapToGrid w:val="0"/>
        </w:rPr>
        <w:t>.</w:t>
      </w:r>
      <w:r>
        <w:rPr>
          <w:snapToGrid w:val="0"/>
        </w:rPr>
        <w:tab/>
        <w:t>Certificate of sale</w:t>
      </w:r>
      <w:bookmarkEnd w:id="773"/>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74" w:name="_Toc129077954"/>
      <w:r>
        <w:rPr>
          <w:rStyle w:val="CharSectno"/>
        </w:rPr>
        <w:t>6</w:t>
      </w:r>
      <w:r>
        <w:rPr>
          <w:snapToGrid w:val="0"/>
        </w:rPr>
        <w:t>.</w:t>
      </w:r>
      <w:r>
        <w:rPr>
          <w:snapToGrid w:val="0"/>
        </w:rPr>
        <w:tab/>
        <w:t>Mortgage, exchange or partition</w:t>
      </w:r>
      <w:bookmarkEnd w:id="774"/>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75" w:name="_Toc129077955"/>
      <w:r>
        <w:rPr>
          <w:rStyle w:val="CharSectno"/>
        </w:rPr>
        <w:lastRenderedPageBreak/>
        <w:t>7</w:t>
      </w:r>
      <w:r>
        <w:rPr>
          <w:snapToGrid w:val="0"/>
        </w:rPr>
        <w:t>.</w:t>
      </w:r>
      <w:r>
        <w:rPr>
          <w:snapToGrid w:val="0"/>
        </w:rPr>
        <w:tab/>
        <w:t>Reference of matters to counsel</w:t>
      </w:r>
      <w:bookmarkEnd w:id="775"/>
    </w:p>
    <w:p>
      <w:pPr>
        <w:pStyle w:val="Subsection"/>
        <w:rPr>
          <w:snapToGrid w:val="0"/>
        </w:rPr>
      </w:pPr>
      <w:r>
        <w:tab/>
        <w:t>(1)</w:t>
      </w:r>
      <w:r>
        <w:tab/>
        <w:t>The</w:t>
      </w:r>
      <w:r>
        <w:rPr>
          <w:snapToGrid w:val="0"/>
        </w:rPr>
        <w:t xml:space="preserv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Subsection"/>
      </w:pPr>
      <w:r>
        <w:tab/>
        <w:t>(2)</w:t>
      </w:r>
      <w:r>
        <w:tab/>
        <w:t>Unless the Principal Registrar has given approval for it to be filed electronically, the opinion given by counsel cannot be filed electronically.</w:t>
      </w:r>
    </w:p>
    <w:p>
      <w:pPr>
        <w:pStyle w:val="Footnotesection"/>
      </w:pPr>
      <w:r>
        <w:tab/>
        <w:t xml:space="preserve">[Rule 7 amended: Gazette 27 Feb 2018 p. 570-1.] </w:t>
      </w:r>
    </w:p>
    <w:p>
      <w:pPr>
        <w:pStyle w:val="Heading5"/>
        <w:rPr>
          <w:snapToGrid w:val="0"/>
        </w:rPr>
      </w:pPr>
      <w:bookmarkStart w:id="776" w:name="_Toc129077956"/>
      <w:r>
        <w:rPr>
          <w:rStyle w:val="CharSectno"/>
        </w:rPr>
        <w:t>8</w:t>
      </w:r>
      <w:r>
        <w:rPr>
          <w:snapToGrid w:val="0"/>
        </w:rPr>
        <w:t>.</w:t>
      </w:r>
      <w:r>
        <w:rPr>
          <w:snapToGrid w:val="0"/>
        </w:rPr>
        <w:tab/>
        <w:t>Objection to counsel’s opinion</w:t>
      </w:r>
      <w:bookmarkEnd w:id="776"/>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77" w:name="_Toc129073885"/>
      <w:bookmarkStart w:id="778" w:name="_Toc129075168"/>
      <w:bookmarkStart w:id="779" w:name="_Toc129077957"/>
      <w:r>
        <w:rPr>
          <w:rStyle w:val="CharPartNo"/>
        </w:rPr>
        <w:lastRenderedPageBreak/>
        <w:t>Order 54</w:t>
      </w:r>
      <w:r>
        <w:rPr>
          <w:rStyle w:val="CharDivNo"/>
        </w:rPr>
        <w:t> </w:t>
      </w:r>
      <w:r>
        <w:t>—</w:t>
      </w:r>
      <w:r>
        <w:rPr>
          <w:rStyle w:val="CharDivText"/>
        </w:rPr>
        <w:t> </w:t>
      </w:r>
      <w:r>
        <w:rPr>
          <w:rStyle w:val="CharPartText"/>
        </w:rPr>
        <w:t>Originating and other motions</w:t>
      </w:r>
      <w:bookmarkEnd w:id="777"/>
      <w:bookmarkEnd w:id="778"/>
      <w:bookmarkEnd w:id="779"/>
    </w:p>
    <w:p>
      <w:pPr>
        <w:pStyle w:val="Heading5"/>
        <w:rPr>
          <w:snapToGrid w:val="0"/>
        </w:rPr>
      </w:pPr>
      <w:bookmarkStart w:id="780" w:name="_Toc129077958"/>
      <w:r>
        <w:rPr>
          <w:rStyle w:val="CharSectno"/>
        </w:rPr>
        <w:t>1</w:t>
      </w:r>
      <w:r>
        <w:rPr>
          <w:snapToGrid w:val="0"/>
        </w:rPr>
        <w:t>.</w:t>
      </w:r>
      <w:r>
        <w:rPr>
          <w:snapToGrid w:val="0"/>
        </w:rPr>
        <w:tab/>
        <w:t>Application of this Order</w:t>
      </w:r>
      <w:bookmarkEnd w:id="780"/>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81" w:name="_Toc129077959"/>
      <w:r>
        <w:rPr>
          <w:rStyle w:val="CharSectno"/>
        </w:rPr>
        <w:t>2</w:t>
      </w:r>
      <w:r>
        <w:rPr>
          <w:snapToGrid w:val="0"/>
        </w:rPr>
        <w:t>.</w:t>
      </w:r>
      <w:r>
        <w:rPr>
          <w:snapToGrid w:val="0"/>
        </w:rPr>
        <w:tab/>
        <w:t>Which applications to be made by motion</w:t>
      </w:r>
      <w:bookmarkEnd w:id="781"/>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82" w:name="_Toc129077960"/>
      <w:r>
        <w:rPr>
          <w:rStyle w:val="CharSectno"/>
        </w:rPr>
        <w:t>3</w:t>
      </w:r>
      <w:r>
        <w:rPr>
          <w:snapToGrid w:val="0"/>
        </w:rPr>
        <w:t>.</w:t>
      </w:r>
      <w:r>
        <w:rPr>
          <w:snapToGrid w:val="0"/>
        </w:rPr>
        <w:tab/>
        <w:t>Notice of motion</w:t>
      </w:r>
      <w:bookmarkEnd w:id="782"/>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83" w:name="_Toc129077961"/>
      <w:r>
        <w:rPr>
          <w:rStyle w:val="CharSectno"/>
        </w:rPr>
        <w:t>4</w:t>
      </w:r>
      <w:r>
        <w:rPr>
          <w:snapToGrid w:val="0"/>
        </w:rPr>
        <w:t>.</w:t>
      </w:r>
      <w:r>
        <w:rPr>
          <w:snapToGrid w:val="0"/>
        </w:rPr>
        <w:tab/>
        <w:t>Time of notice of motion</w:t>
      </w:r>
      <w:bookmarkEnd w:id="78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784" w:name="_Toc129077962"/>
      <w:r>
        <w:rPr>
          <w:rStyle w:val="CharSectno"/>
        </w:rPr>
        <w:t>5</w:t>
      </w:r>
      <w:r>
        <w:rPr>
          <w:snapToGrid w:val="0"/>
        </w:rPr>
        <w:t>.</w:t>
      </w:r>
      <w:r>
        <w:rPr>
          <w:snapToGrid w:val="0"/>
        </w:rPr>
        <w:tab/>
        <w:t>Form of notice of motion</w:t>
      </w:r>
      <w:bookmarkEnd w:id="784"/>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lastRenderedPageBreak/>
        <w:tab/>
        <w:t>(3)</w:t>
      </w:r>
      <w:r>
        <w:rPr>
          <w:snapToGrid w:val="0"/>
        </w:rPr>
        <w:tab/>
        <w:t>The notice of a motion must contain a concise statement of the nature of the claim made or the relief or remedy sought.</w:t>
      </w:r>
    </w:p>
    <w:p>
      <w:pPr>
        <w:pStyle w:val="Heading5"/>
        <w:rPr>
          <w:snapToGrid w:val="0"/>
        </w:rPr>
      </w:pPr>
      <w:bookmarkStart w:id="785" w:name="_Toc129077963"/>
      <w:r>
        <w:rPr>
          <w:rStyle w:val="CharSectno"/>
        </w:rPr>
        <w:t>6</w:t>
      </w:r>
      <w:r>
        <w:rPr>
          <w:snapToGrid w:val="0"/>
        </w:rPr>
        <w:t>.</w:t>
      </w:r>
      <w:r>
        <w:rPr>
          <w:snapToGrid w:val="0"/>
        </w:rPr>
        <w:tab/>
        <w:t>Issue of notice of motion</w:t>
      </w:r>
      <w:bookmarkEnd w:id="785"/>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86" w:name="_Toc129077964"/>
      <w:r>
        <w:rPr>
          <w:rStyle w:val="CharSectno"/>
        </w:rPr>
        <w:t>7</w:t>
      </w:r>
      <w:r>
        <w:rPr>
          <w:snapToGrid w:val="0"/>
        </w:rPr>
        <w:t>.</w:t>
      </w:r>
      <w:r>
        <w:rPr>
          <w:snapToGrid w:val="0"/>
        </w:rPr>
        <w:tab/>
        <w:t>Service of notice of motion with writ etc.</w:t>
      </w:r>
      <w:bookmarkEnd w:id="786"/>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87" w:name="_Toc129077965"/>
      <w:r>
        <w:rPr>
          <w:rStyle w:val="CharSectno"/>
        </w:rPr>
        <w:t>8</w:t>
      </w:r>
      <w:r>
        <w:rPr>
          <w:snapToGrid w:val="0"/>
        </w:rPr>
        <w:t>.</w:t>
      </w:r>
      <w:r>
        <w:rPr>
          <w:snapToGrid w:val="0"/>
        </w:rPr>
        <w:tab/>
        <w:t>Adjournment etc.</w:t>
      </w:r>
      <w:bookmarkEnd w:id="787"/>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Gazette 9 Nov 1973 p. 4164.] </w:t>
      </w:r>
    </w:p>
    <w:p>
      <w:pPr>
        <w:pStyle w:val="Heading2"/>
        <w:rPr>
          <w:b w:val="0"/>
        </w:rPr>
      </w:pPr>
      <w:bookmarkStart w:id="788" w:name="_Toc129073894"/>
      <w:bookmarkStart w:id="789" w:name="_Toc129075177"/>
      <w:bookmarkStart w:id="790" w:name="_Toc129077966"/>
      <w:r>
        <w:rPr>
          <w:rStyle w:val="CharPartNo"/>
        </w:rPr>
        <w:lastRenderedPageBreak/>
        <w:t>Order 55</w:t>
      </w:r>
      <w:r>
        <w:rPr>
          <w:rStyle w:val="CharDivNo"/>
        </w:rPr>
        <w:t> </w:t>
      </w:r>
      <w:r>
        <w:t>—</w:t>
      </w:r>
      <w:r>
        <w:rPr>
          <w:rStyle w:val="CharDivText"/>
        </w:rPr>
        <w:t> </w:t>
      </w:r>
      <w:r>
        <w:rPr>
          <w:rStyle w:val="CharPartText"/>
        </w:rPr>
        <w:t>Committal and attachment</w:t>
      </w:r>
      <w:bookmarkEnd w:id="788"/>
      <w:bookmarkEnd w:id="789"/>
      <w:bookmarkEnd w:id="790"/>
    </w:p>
    <w:p>
      <w:pPr>
        <w:pStyle w:val="Heading5"/>
        <w:rPr>
          <w:snapToGrid w:val="0"/>
        </w:rPr>
      </w:pPr>
      <w:bookmarkStart w:id="791" w:name="_Toc129077967"/>
      <w:r>
        <w:rPr>
          <w:rStyle w:val="CharSectno"/>
        </w:rPr>
        <w:t>1</w:t>
      </w:r>
      <w:r>
        <w:rPr>
          <w:snapToGrid w:val="0"/>
        </w:rPr>
        <w:t>.</w:t>
      </w:r>
      <w:r>
        <w:rPr>
          <w:snapToGrid w:val="0"/>
        </w:rPr>
        <w:tab/>
        <w:t>Term used: contemnor</w:t>
      </w:r>
      <w:bookmarkEnd w:id="791"/>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92" w:name="_Toc129077968"/>
      <w:r>
        <w:rPr>
          <w:rStyle w:val="CharSectno"/>
        </w:rPr>
        <w:t>2</w:t>
      </w:r>
      <w:r>
        <w:t>.</w:t>
      </w:r>
      <w:r>
        <w:tab/>
        <w:t>Committal for contempt of court</w:t>
      </w:r>
      <w:bookmarkEnd w:id="792"/>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Gazette 29 Apr 2005 p. 1792.]</w:t>
      </w:r>
    </w:p>
    <w:p>
      <w:pPr>
        <w:pStyle w:val="Heading5"/>
        <w:rPr>
          <w:snapToGrid w:val="0"/>
        </w:rPr>
      </w:pPr>
      <w:bookmarkStart w:id="793" w:name="_Toc129077969"/>
      <w:r>
        <w:rPr>
          <w:rStyle w:val="CharSectno"/>
        </w:rPr>
        <w:t>3</w:t>
      </w:r>
      <w:r>
        <w:rPr>
          <w:snapToGrid w:val="0"/>
        </w:rPr>
        <w:t>.</w:t>
      </w:r>
      <w:r>
        <w:rPr>
          <w:snapToGrid w:val="0"/>
        </w:rPr>
        <w:tab/>
        <w:t>Contempt in face of Court</w:t>
      </w:r>
      <w:bookmarkEnd w:id="793"/>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lastRenderedPageBreak/>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94" w:name="_Toc129077970"/>
      <w:r>
        <w:rPr>
          <w:rStyle w:val="CharSectno"/>
        </w:rPr>
        <w:t>4</w:t>
      </w:r>
      <w:r>
        <w:rPr>
          <w:snapToGrid w:val="0"/>
        </w:rPr>
        <w:t>.</w:t>
      </w:r>
      <w:r>
        <w:rPr>
          <w:snapToGrid w:val="0"/>
        </w:rPr>
        <w:tab/>
        <w:t>Other cases of contempt</w:t>
      </w:r>
      <w:bookmarkEnd w:id="794"/>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Gazette 28 Jun 2011 p. 2552 and 2554.]</w:t>
      </w:r>
    </w:p>
    <w:p>
      <w:pPr>
        <w:pStyle w:val="Heading5"/>
        <w:rPr>
          <w:snapToGrid w:val="0"/>
        </w:rPr>
      </w:pPr>
      <w:bookmarkStart w:id="795" w:name="_Toc129077971"/>
      <w:r>
        <w:rPr>
          <w:rStyle w:val="CharSectno"/>
        </w:rPr>
        <w:t>5</w:t>
      </w:r>
      <w:r>
        <w:rPr>
          <w:snapToGrid w:val="0"/>
        </w:rPr>
        <w:t>.</w:t>
      </w:r>
      <w:r>
        <w:rPr>
          <w:snapToGrid w:val="0"/>
        </w:rPr>
        <w:tab/>
        <w:t>Form and service of notice or summons</w:t>
      </w:r>
      <w:bookmarkEnd w:id="795"/>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r>
        <w:tab/>
        <w:t xml:space="preserve">[Rule 5 amended: Gazette 19 Apr 2005 p. 1299.] </w:t>
      </w:r>
    </w:p>
    <w:p>
      <w:pPr>
        <w:pStyle w:val="Heading5"/>
        <w:rPr>
          <w:snapToGrid w:val="0"/>
        </w:rPr>
      </w:pPr>
      <w:bookmarkStart w:id="796" w:name="_Toc129077972"/>
      <w:r>
        <w:rPr>
          <w:rStyle w:val="CharSectno"/>
        </w:rPr>
        <w:lastRenderedPageBreak/>
        <w:t>6</w:t>
      </w:r>
      <w:r>
        <w:rPr>
          <w:snapToGrid w:val="0"/>
        </w:rPr>
        <w:t>.</w:t>
      </w:r>
      <w:r>
        <w:rPr>
          <w:snapToGrid w:val="0"/>
        </w:rPr>
        <w:tab/>
        <w:t>Arresting contemnors</w:t>
      </w:r>
      <w:bookmarkEnd w:id="796"/>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97" w:name="_Toc129077973"/>
      <w:r>
        <w:rPr>
          <w:rStyle w:val="CharSectno"/>
        </w:rPr>
        <w:t>7</w:t>
      </w:r>
      <w:r>
        <w:rPr>
          <w:snapToGrid w:val="0"/>
        </w:rPr>
        <w:t>.</w:t>
      </w:r>
      <w:r>
        <w:rPr>
          <w:snapToGrid w:val="0"/>
        </w:rPr>
        <w:tab/>
        <w:t>Punishing contemnors</w:t>
      </w:r>
      <w:bookmarkEnd w:id="797"/>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798" w:name="_Toc129077974"/>
      <w:r>
        <w:rPr>
          <w:rStyle w:val="CharSectno"/>
        </w:rPr>
        <w:t>8</w:t>
      </w:r>
      <w:r>
        <w:rPr>
          <w:snapToGrid w:val="0"/>
        </w:rPr>
        <w:t>.</w:t>
      </w:r>
      <w:r>
        <w:rPr>
          <w:snapToGrid w:val="0"/>
        </w:rPr>
        <w:tab/>
        <w:t>Execution of committal order may be suspended</w:t>
      </w:r>
      <w:bookmarkEnd w:id="798"/>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99" w:name="_Toc129077975"/>
      <w:r>
        <w:rPr>
          <w:rStyle w:val="CharSectno"/>
        </w:rPr>
        <w:lastRenderedPageBreak/>
        <w:t>9</w:t>
      </w:r>
      <w:r>
        <w:rPr>
          <w:snapToGrid w:val="0"/>
        </w:rPr>
        <w:t>.</w:t>
      </w:r>
      <w:r>
        <w:rPr>
          <w:snapToGrid w:val="0"/>
        </w:rPr>
        <w:tab/>
        <w:t>Discharge from committal</w:t>
      </w:r>
      <w:bookmarkEnd w:id="799"/>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Gazette 14 Dec 1979 p. 3870.] </w:t>
      </w:r>
    </w:p>
    <w:p>
      <w:pPr>
        <w:pStyle w:val="Heading5"/>
        <w:rPr>
          <w:snapToGrid w:val="0"/>
        </w:rPr>
      </w:pPr>
      <w:bookmarkStart w:id="800" w:name="_Toc129077976"/>
      <w:r>
        <w:rPr>
          <w:rStyle w:val="CharSectno"/>
        </w:rPr>
        <w:t>10</w:t>
      </w:r>
      <w:r>
        <w:rPr>
          <w:snapToGrid w:val="0"/>
        </w:rPr>
        <w:t>.</w:t>
      </w:r>
      <w:r>
        <w:rPr>
          <w:snapToGrid w:val="0"/>
        </w:rPr>
        <w:tab/>
        <w:t>Saving for other powers</w:t>
      </w:r>
      <w:bookmarkEnd w:id="800"/>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Gazette 28 Jun 2011 p. 2554.]</w:t>
      </w:r>
    </w:p>
    <w:p>
      <w:pPr>
        <w:pStyle w:val="Heading5"/>
        <w:rPr>
          <w:snapToGrid w:val="0"/>
        </w:rPr>
      </w:pPr>
      <w:bookmarkStart w:id="801" w:name="_Toc129077977"/>
      <w:r>
        <w:rPr>
          <w:rStyle w:val="CharSectno"/>
        </w:rPr>
        <w:t>11</w:t>
      </w:r>
      <w:r>
        <w:rPr>
          <w:snapToGrid w:val="0"/>
        </w:rPr>
        <w:t>.</w:t>
      </w:r>
      <w:r>
        <w:rPr>
          <w:snapToGrid w:val="0"/>
        </w:rPr>
        <w:tab/>
        <w:t>Court may make peremptory order in first instance</w:t>
      </w:r>
      <w:bookmarkEnd w:id="801"/>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Gazette 9 Nov 1973 p. 4164.] </w:t>
      </w:r>
    </w:p>
    <w:p>
      <w:pPr>
        <w:pStyle w:val="Heading5"/>
        <w:rPr>
          <w:snapToGrid w:val="0"/>
        </w:rPr>
      </w:pPr>
      <w:bookmarkStart w:id="802" w:name="_Toc129077978"/>
      <w:r>
        <w:rPr>
          <w:rStyle w:val="CharSectno"/>
        </w:rPr>
        <w:lastRenderedPageBreak/>
        <w:t>12</w:t>
      </w:r>
      <w:r>
        <w:rPr>
          <w:snapToGrid w:val="0"/>
        </w:rPr>
        <w:t>.</w:t>
      </w:r>
      <w:r>
        <w:rPr>
          <w:snapToGrid w:val="0"/>
        </w:rPr>
        <w:tab/>
        <w:t>Application of r. 6 to 9 to attachment etc.</w:t>
      </w:r>
      <w:bookmarkEnd w:id="802"/>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803" w:name="_Toc129073907"/>
      <w:bookmarkStart w:id="804" w:name="_Toc129075190"/>
      <w:bookmarkStart w:id="805" w:name="_Toc129077979"/>
      <w:r>
        <w:rPr>
          <w:rStyle w:val="CharPartNo"/>
        </w:rPr>
        <w:lastRenderedPageBreak/>
        <w:t>Order 56</w:t>
      </w:r>
      <w:r>
        <w:rPr>
          <w:b w:val="0"/>
        </w:rPr>
        <w:t> </w:t>
      </w:r>
      <w:r>
        <w:t>—</w:t>
      </w:r>
      <w:r>
        <w:rPr>
          <w:b w:val="0"/>
        </w:rPr>
        <w:t> </w:t>
      </w:r>
      <w:r>
        <w:rPr>
          <w:rStyle w:val="CharPartText"/>
        </w:rPr>
        <w:t>Judicial review</w:t>
      </w:r>
      <w:bookmarkEnd w:id="803"/>
      <w:bookmarkEnd w:id="804"/>
      <w:bookmarkEnd w:id="805"/>
    </w:p>
    <w:p>
      <w:pPr>
        <w:pStyle w:val="Footnoteheading"/>
      </w:pPr>
      <w:r>
        <w:tab/>
        <w:t>[Heading inserted: Gazette 17 Dec 2013 p. 6231.]</w:t>
      </w:r>
    </w:p>
    <w:p>
      <w:pPr>
        <w:pStyle w:val="Heading3"/>
      </w:pPr>
      <w:bookmarkStart w:id="806" w:name="_Toc129073908"/>
      <w:bookmarkStart w:id="807" w:name="_Toc129075191"/>
      <w:bookmarkStart w:id="808" w:name="_Toc129077980"/>
      <w:r>
        <w:rPr>
          <w:rStyle w:val="CharDivNo"/>
        </w:rPr>
        <w:t>Division 1</w:t>
      </w:r>
      <w:r>
        <w:t> — </w:t>
      </w:r>
      <w:r>
        <w:rPr>
          <w:rStyle w:val="CharDivText"/>
        </w:rPr>
        <w:t>General</w:t>
      </w:r>
      <w:bookmarkEnd w:id="806"/>
      <w:bookmarkEnd w:id="807"/>
      <w:bookmarkEnd w:id="808"/>
    </w:p>
    <w:p>
      <w:pPr>
        <w:pStyle w:val="Footnoteheading"/>
      </w:pPr>
      <w:r>
        <w:tab/>
        <w:t>[Heading inserted: Gazette 21 Feb 2007 p. 559.]</w:t>
      </w:r>
    </w:p>
    <w:p>
      <w:pPr>
        <w:pStyle w:val="Heading5"/>
      </w:pPr>
      <w:bookmarkStart w:id="809" w:name="_Toc129077981"/>
      <w:r>
        <w:rPr>
          <w:rStyle w:val="CharSectno"/>
        </w:rPr>
        <w:t>1</w:t>
      </w:r>
      <w:r>
        <w:t>.</w:t>
      </w:r>
      <w:r>
        <w:tab/>
        <w:t>Terms used</w:t>
      </w:r>
      <w:bookmarkEnd w:id="809"/>
    </w:p>
    <w:p>
      <w:pPr>
        <w:pStyle w:val="Subsection"/>
      </w:pPr>
      <w:r>
        <w:tab/>
        <w:t>(1)</w:t>
      </w:r>
      <w:r>
        <w:tab/>
        <w:t>In this Order, unless the contrary intention appears —</w:t>
      </w:r>
    </w:p>
    <w:p>
      <w:pPr>
        <w:pStyle w:val="Defstart"/>
      </w:pPr>
      <w:r>
        <w:tab/>
      </w:r>
      <w:r>
        <w:rPr>
          <w:rStyle w:val="CharDefText"/>
        </w:rPr>
        <w:t>application</w:t>
      </w:r>
      <w:r>
        <w:t xml:space="preserve"> means an application for judicial review of a reviewable decision or of reviewable conduct;</w:t>
      </w:r>
    </w:p>
    <w:p>
      <w:pPr>
        <w:pStyle w:val="Defstart"/>
      </w:pPr>
      <w:r>
        <w:tab/>
      </w:r>
      <w:r>
        <w:rPr>
          <w:rStyle w:val="CharDefText"/>
        </w:rPr>
        <w:t xml:space="preserve">challenged conduct </w:t>
      </w:r>
      <w:r>
        <w:t>means reviewable conduct in respect of which an application is made;</w:t>
      </w:r>
    </w:p>
    <w:p>
      <w:pPr>
        <w:pStyle w:val="Defstart"/>
      </w:pPr>
      <w:r>
        <w:tab/>
      </w:r>
      <w:r>
        <w:rPr>
          <w:rStyle w:val="CharDefText"/>
        </w:rPr>
        <w:t>challenged decision</w:t>
      </w:r>
      <w:r>
        <w:t xml:space="preserve"> means a reviewable decision in respect of which an application is made;</w:t>
      </w:r>
    </w:p>
    <w:p>
      <w:pPr>
        <w:pStyle w:val="Defstart"/>
      </w:pPr>
      <w:r>
        <w:tab/>
      </w:r>
      <w:r>
        <w:rPr>
          <w:rStyle w:val="CharDefText"/>
        </w:rPr>
        <w:t>conduct</w:t>
      </w:r>
      <w:r>
        <w:t xml:space="preserve"> includes any act and any omission;</w:t>
      </w:r>
    </w:p>
    <w:p>
      <w:pPr>
        <w:pStyle w:val="Defstart"/>
      </w:pPr>
      <w:r>
        <w:tab/>
      </w:r>
      <w:r>
        <w:rPr>
          <w:rStyle w:val="CharDefText"/>
        </w:rPr>
        <w:t>limitation period</w:t>
      </w:r>
      <w:r>
        <w:t xml:space="preserve"> — </w:t>
      </w:r>
    </w:p>
    <w:p>
      <w:pPr>
        <w:pStyle w:val="Defpara"/>
      </w:pPr>
      <w:r>
        <w:tab/>
        <w:t>(a)</w:t>
      </w:r>
      <w:r>
        <w:tab/>
        <w:t>for an application for judicial review of a reviewable decision, means 6 months after the later of —</w:t>
      </w:r>
    </w:p>
    <w:p>
      <w:pPr>
        <w:pStyle w:val="Defsubpara"/>
      </w:pPr>
      <w:r>
        <w:tab/>
        <w:t>(i)</w:t>
      </w:r>
      <w:r>
        <w:tab/>
        <w:t>the date on which the decision is made; or</w:t>
      </w:r>
    </w:p>
    <w:p>
      <w:pPr>
        <w:pStyle w:val="Defsubpara"/>
      </w:pPr>
      <w:r>
        <w:tab/>
        <w:t>(ii)</w:t>
      </w:r>
      <w:r>
        <w:tab/>
        <w:t>the date on which the applicant became aware of it;</w:t>
      </w:r>
    </w:p>
    <w:p>
      <w:pPr>
        <w:pStyle w:val="Defpara"/>
      </w:pPr>
      <w:r>
        <w:tab/>
        <w:t>(b)</w:t>
      </w:r>
      <w:r>
        <w:tab/>
        <w:t>for an application for judicial review of reviewable conduct, other than a failure to make a decision, means 6 months after the later of —</w:t>
      </w:r>
    </w:p>
    <w:p>
      <w:pPr>
        <w:pStyle w:val="Defsubpara"/>
      </w:pPr>
      <w:r>
        <w:tab/>
        <w:t>(i)</w:t>
      </w:r>
      <w:r>
        <w:tab/>
        <w:t>the date on which the conduct occurred; or</w:t>
      </w:r>
    </w:p>
    <w:p>
      <w:pPr>
        <w:pStyle w:val="Defsubpara"/>
      </w:pPr>
      <w:r>
        <w:tab/>
        <w:t>(ii)</w:t>
      </w:r>
      <w:r>
        <w:tab/>
        <w:t>the date on which an applicant became aware of it,</w:t>
      </w:r>
    </w:p>
    <w:p>
      <w:pPr>
        <w:pStyle w:val="Defstart"/>
      </w:pPr>
      <w:r>
        <w:tab/>
        <w:t>unless a written law sets a different period, in which case it means that period;</w:t>
      </w:r>
    </w:p>
    <w:p>
      <w:pPr>
        <w:pStyle w:val="Defstart"/>
      </w:pPr>
      <w:r>
        <w:tab/>
      </w:r>
      <w:r>
        <w:rPr>
          <w:rStyle w:val="CharDefText"/>
        </w:rPr>
        <w:t>remedy</w:t>
      </w:r>
      <w:r>
        <w:t xml:space="preserve"> includes relief;</w:t>
      </w:r>
    </w:p>
    <w:p>
      <w:pPr>
        <w:pStyle w:val="Defstart"/>
      </w:pPr>
      <w:r>
        <w:tab/>
      </w:r>
      <w:r>
        <w:rPr>
          <w:rStyle w:val="CharDefText"/>
        </w:rPr>
        <w:t>reviewable conduct</w:t>
      </w:r>
      <w:r>
        <w:t xml:space="preserve"> means any conduct, including conduct for the purpose of making a decision and a failure to make a </w:t>
      </w:r>
      <w:r>
        <w:lastRenderedPageBreak/>
        <w:t>decision, that the Court, under the common law or in equity, has jurisdiction to review and to grant relief in respect of by way of a writ, a declaration or an injunction;</w:t>
      </w:r>
    </w:p>
    <w:p>
      <w:pPr>
        <w:pStyle w:val="Defstart"/>
      </w:pPr>
      <w:r>
        <w:tab/>
      </w:r>
      <w:r>
        <w:rPr>
          <w:rStyle w:val="CharDefText"/>
        </w:rPr>
        <w:t>reviewable decision</w:t>
      </w:r>
      <w:r>
        <w:t xml:space="preserve"> means any decision that the Court, under the common law or in equity, has jurisdiction to review and to grant relief in respect of by way of a writ, a declaration or an injunction;</w:t>
      </w:r>
    </w:p>
    <w:p>
      <w:pPr>
        <w:pStyle w:val="Defstart"/>
      </w:pPr>
      <w:r>
        <w:tab/>
      </w:r>
      <w:r>
        <w:rPr>
          <w:rStyle w:val="CharDefText"/>
        </w:rPr>
        <w:t>writ</w:t>
      </w:r>
      <w:r>
        <w:t xml:space="preserve"> means a writ of certiorari, mandamus, prohibition or </w:t>
      </w:r>
      <w:r>
        <w:rPr>
          <w:i/>
        </w:rPr>
        <w:t>procedendo</w:t>
      </w:r>
      <w:r>
        <w:t xml:space="preserve"> or an information of </w:t>
      </w:r>
      <w:r>
        <w:rPr>
          <w:i/>
        </w:rPr>
        <w:t>quo warranto</w:t>
      </w:r>
      <w:r>
        <w:t>.</w:t>
      </w:r>
    </w:p>
    <w:p>
      <w:pPr>
        <w:pStyle w:val="Subsection"/>
      </w:pPr>
      <w:r>
        <w:tab/>
        <w:t>(2)</w:t>
      </w:r>
      <w:r>
        <w:tab/>
        <w:t xml:space="preserve">For the purposes of paragraph (a) of the definition of </w:t>
      </w:r>
      <w:r>
        <w:rPr>
          <w:b/>
          <w:i/>
        </w:rPr>
        <w:t>limitation period</w:t>
      </w:r>
      <w:r>
        <w:t xml:space="preserve"> in subrule (1), it does not matter if on the relevant date the reviewable decision is not or had not been extracted or given in writing.</w:t>
      </w:r>
    </w:p>
    <w:p>
      <w:pPr>
        <w:pStyle w:val="Footnotesection"/>
      </w:pPr>
      <w:r>
        <w:tab/>
        <w:t>[Rule 1 inserted: Gazette 17 Dec 2013 p. 6232</w:t>
      </w:r>
      <w:r>
        <w:noBreakHyphen/>
        <w:t>3.]</w:t>
      </w:r>
    </w:p>
    <w:p>
      <w:pPr>
        <w:pStyle w:val="Heading5"/>
      </w:pPr>
      <w:bookmarkStart w:id="810" w:name="_Toc129077982"/>
      <w:r>
        <w:rPr>
          <w:rStyle w:val="CharSectno"/>
        </w:rPr>
        <w:t>2</w:t>
      </w:r>
      <w:r>
        <w:t>.</w:t>
      </w:r>
      <w:r>
        <w:tab/>
        <w:t>Making an application</w:t>
      </w:r>
      <w:bookmarkEnd w:id="810"/>
    </w:p>
    <w:p>
      <w:pPr>
        <w:pStyle w:val="Subsection"/>
      </w:pPr>
      <w:r>
        <w:tab/>
        <w:t>(1)</w:t>
      </w:r>
      <w:r>
        <w:tab/>
        <w:t>To make an application, a person must file an application in Form No. 67A.</w:t>
      </w:r>
    </w:p>
    <w:p>
      <w:pPr>
        <w:pStyle w:val="Subsection"/>
      </w:pPr>
      <w:r>
        <w:tab/>
        <w:t>(2)</w:t>
      </w:r>
      <w:r>
        <w:tab/>
        <w:t>In one application a person may apply for any or a combination of these remedies —</w:t>
      </w:r>
    </w:p>
    <w:p>
      <w:pPr>
        <w:pStyle w:val="Indenta"/>
      </w:pPr>
      <w:r>
        <w:tab/>
        <w:t>(a)</w:t>
      </w:r>
      <w:r>
        <w:tab/>
        <w:t>one or more writs;</w:t>
      </w:r>
    </w:p>
    <w:p>
      <w:pPr>
        <w:pStyle w:val="Indenta"/>
      </w:pPr>
      <w:r>
        <w:tab/>
        <w:t>(b)</w:t>
      </w:r>
      <w:r>
        <w:tab/>
        <w:t>either a declaration or an injunction or both;</w:t>
      </w:r>
    </w:p>
    <w:p>
      <w:pPr>
        <w:pStyle w:val="Indenta"/>
      </w:pPr>
      <w:r>
        <w:tab/>
        <w:t>(c)</w:t>
      </w:r>
      <w:r>
        <w:tab/>
        <w:t>an order having the same effect as a remedy that could be provided by means of a writ.</w:t>
      </w:r>
    </w:p>
    <w:p>
      <w:pPr>
        <w:pStyle w:val="Subsection"/>
      </w:pPr>
      <w:r>
        <w:tab/>
        <w:t>(3A)</w:t>
      </w:r>
      <w:r>
        <w:tab/>
        <w:t xml:space="preserve">An application must, in accordance with Order 71A, state — </w:t>
      </w:r>
    </w:p>
    <w:p>
      <w:pPr>
        <w:pStyle w:val="Indenta"/>
      </w:pPr>
      <w:r>
        <w:tab/>
        <w:t>(a)</w:t>
      </w:r>
      <w:r>
        <w:tab/>
        <w:t>the applicant’s geographical address; and</w:t>
      </w:r>
    </w:p>
    <w:p>
      <w:pPr>
        <w:pStyle w:val="Indenta"/>
      </w:pPr>
      <w:r>
        <w:tab/>
        <w:t>(b)</w:t>
      </w:r>
      <w:r>
        <w:tab/>
        <w:t>the applicant’s service details.</w:t>
      </w:r>
    </w:p>
    <w:p>
      <w:pPr>
        <w:pStyle w:val="Subsection"/>
      </w:pPr>
      <w:r>
        <w:tab/>
        <w:t>(3)</w:t>
      </w:r>
      <w:r>
        <w:tab/>
        <w:t>An application must state the grounds on which it is made.</w:t>
      </w:r>
    </w:p>
    <w:p>
      <w:pPr>
        <w:pStyle w:val="Subsection"/>
        <w:keepNext/>
      </w:pPr>
      <w:r>
        <w:lastRenderedPageBreak/>
        <w:tab/>
        <w:t>(4)</w:t>
      </w:r>
      <w:r>
        <w:tab/>
        <w:t>If an application is made outside the limitation period for the application —</w:t>
      </w:r>
    </w:p>
    <w:p>
      <w:pPr>
        <w:pStyle w:val="Indenta"/>
      </w:pPr>
      <w:r>
        <w:tab/>
        <w:t>(a)</w:t>
      </w:r>
      <w:r>
        <w:tab/>
        <w:t>the application must include an application for leave to proceed with the application; and</w:t>
      </w:r>
    </w:p>
    <w:p>
      <w:pPr>
        <w:pStyle w:val="Indenta"/>
      </w:pPr>
      <w:r>
        <w:tab/>
        <w:t>(b)</w:t>
      </w:r>
      <w:r>
        <w:tab/>
        <w:t>the applicant must file an affidavit explaining why the application was not made within the limitation period.</w:t>
      </w:r>
    </w:p>
    <w:p>
      <w:pPr>
        <w:pStyle w:val="Footnotesection"/>
      </w:pPr>
      <w:r>
        <w:tab/>
        <w:t>[Rule 2 inserted: Gazette 17 Dec 2013 p. 6233; amended: Gazette 13 Nov 2015 p. 4645.]</w:t>
      </w:r>
    </w:p>
    <w:p>
      <w:pPr>
        <w:pStyle w:val="Heading5"/>
      </w:pPr>
      <w:bookmarkStart w:id="811" w:name="_Toc129077983"/>
      <w:r>
        <w:rPr>
          <w:rStyle w:val="CharSectno"/>
        </w:rPr>
        <w:t>3</w:t>
      </w:r>
      <w:r>
        <w:t>.</w:t>
      </w:r>
      <w:r>
        <w:tab/>
        <w:t>Serving an application</w:t>
      </w:r>
      <w:bookmarkEnd w:id="811"/>
    </w:p>
    <w:p>
      <w:pPr>
        <w:pStyle w:val="Subsection"/>
      </w:pPr>
      <w:r>
        <w:tab/>
      </w:r>
      <w:r>
        <w:tab/>
        <w:t>After making an application, the applicant must serve it, by personal service, on —</w:t>
      </w:r>
    </w:p>
    <w:p>
      <w:pPr>
        <w:pStyle w:val="Indenta"/>
      </w:pPr>
      <w:r>
        <w:tab/>
        <w:t>(a)</w:t>
      </w:r>
      <w:r>
        <w:tab/>
        <w:t>the person who made the challenged decision or engaged in the challenged conduct; and</w:t>
      </w:r>
    </w:p>
    <w:p>
      <w:pPr>
        <w:pStyle w:val="Indenta"/>
      </w:pPr>
      <w:r>
        <w:tab/>
        <w:t>(b)</w:t>
      </w:r>
      <w:r>
        <w:tab/>
        <w:t>any person who was a party to the proceedings in which the challenged decision was made or the challenged conduct occurred.</w:t>
      </w:r>
    </w:p>
    <w:p>
      <w:pPr>
        <w:pStyle w:val="Footnotesection"/>
      </w:pPr>
      <w:r>
        <w:tab/>
        <w:t>[Rule 3 inserted: Gazette 17 Dec 2013 p. 6233.]</w:t>
      </w:r>
    </w:p>
    <w:p>
      <w:pPr>
        <w:pStyle w:val="Heading5"/>
      </w:pPr>
      <w:bookmarkStart w:id="812" w:name="_Toc129077984"/>
      <w:r>
        <w:rPr>
          <w:rStyle w:val="CharSectno"/>
        </w:rPr>
        <w:t>4</w:t>
      </w:r>
      <w:r>
        <w:t>.</w:t>
      </w:r>
      <w:r>
        <w:tab/>
        <w:t>Options of person served with application</w:t>
      </w:r>
      <w:bookmarkEnd w:id="812"/>
    </w:p>
    <w:p>
      <w:pPr>
        <w:pStyle w:val="Subsection"/>
      </w:pPr>
      <w:r>
        <w:tab/>
      </w:r>
      <w:r>
        <w:tab/>
        <w:t>A person served with an application may —</w:t>
      </w:r>
    </w:p>
    <w:p>
      <w:pPr>
        <w:pStyle w:val="Indenta"/>
      </w:pPr>
      <w:r>
        <w:tab/>
        <w:t>(a)</w:t>
      </w:r>
      <w:r>
        <w:tab/>
        <w:t>enter an appearance under Order 12, which applies with any necessary changes; or</w:t>
      </w:r>
    </w:p>
    <w:p>
      <w:pPr>
        <w:pStyle w:val="Indenta"/>
      </w:pPr>
      <w:r>
        <w:tab/>
        <w:t>(b)</w:t>
      </w:r>
      <w:r>
        <w:tab/>
        <w:t>file, and serve on the applicant, a notice stating the person does not intend to take part in the proceedings and will accept any order made by the Court on the application other than as to costs.</w:t>
      </w:r>
    </w:p>
    <w:p>
      <w:pPr>
        <w:pStyle w:val="Footnotesection"/>
      </w:pPr>
      <w:r>
        <w:tab/>
        <w:t>[Rule 4 inserted: Gazette 17 Dec 2013 p. 6233.]</w:t>
      </w:r>
    </w:p>
    <w:p>
      <w:pPr>
        <w:pStyle w:val="Heading5"/>
      </w:pPr>
      <w:bookmarkStart w:id="813" w:name="_Toc129077985"/>
      <w:r>
        <w:rPr>
          <w:rStyle w:val="CharSectno"/>
        </w:rPr>
        <w:lastRenderedPageBreak/>
        <w:t>5</w:t>
      </w:r>
      <w:r>
        <w:t>.</w:t>
      </w:r>
      <w:r>
        <w:tab/>
        <w:t>Procedure on application</w:t>
      </w:r>
      <w:bookmarkEnd w:id="813"/>
    </w:p>
    <w:p>
      <w:pPr>
        <w:pStyle w:val="Subsection"/>
        <w:keepNext/>
      </w:pPr>
      <w:r>
        <w:tab/>
        <w:t>(1)</w:t>
      </w:r>
      <w:r>
        <w:tab/>
        <w:t>The applicant and any person served with an application are entitled to be heard on it.</w:t>
      </w:r>
    </w:p>
    <w:p>
      <w:pPr>
        <w:pStyle w:val="Subsection"/>
      </w:pPr>
      <w:r>
        <w:tab/>
        <w:t>(2)</w:t>
      </w:r>
      <w:r>
        <w:tab/>
        <w:t>On an application, the Court may do one or more of the following —</w:t>
      </w:r>
    </w:p>
    <w:p>
      <w:pPr>
        <w:pStyle w:val="Indenta"/>
      </w:pPr>
      <w:r>
        <w:tab/>
        <w:t>(a)</w:t>
      </w:r>
      <w:r>
        <w:tab/>
        <w:t>if the application is made outside the limitation period for the application, give or refuse the applicant leave to proceed with the application;</w:t>
      </w:r>
    </w:p>
    <w:p>
      <w:pPr>
        <w:pStyle w:val="Indenta"/>
      </w:pPr>
      <w:r>
        <w:tab/>
        <w:t>(b)</w:t>
      </w:r>
      <w:r>
        <w:tab/>
        <w:t>order the applicant to serve the application on a person whom the Court considers might have an interest in the challenged decision, the challenged conduct or the outcome of the application;</w:t>
      </w:r>
    </w:p>
    <w:p>
      <w:pPr>
        <w:pStyle w:val="Indenta"/>
      </w:pPr>
      <w:r>
        <w:tab/>
        <w:t>(c)</w:t>
      </w:r>
      <w:r>
        <w:tab/>
        <w:t>order the applicant or any other person to file an affidavit as to any facts material to the application, the challenged decision or the challenged conduct;</w:t>
      </w:r>
    </w:p>
    <w:p>
      <w:pPr>
        <w:pStyle w:val="Indenta"/>
      </w:pPr>
      <w:r>
        <w:tab/>
        <w:t>(d)</w:t>
      </w:r>
      <w:r>
        <w:tab/>
        <w:t>give the applicant leave to file and rely on an affidavit (whether or not made by the applicant);</w:t>
      </w:r>
    </w:p>
    <w:p>
      <w:pPr>
        <w:pStyle w:val="Indenta"/>
      </w:pPr>
      <w:r>
        <w:tab/>
        <w:t>(e)</w:t>
      </w:r>
      <w:r>
        <w:tab/>
        <w:t>allow a person not served with the application to be heard on it;</w:t>
      </w:r>
    </w:p>
    <w:p>
      <w:pPr>
        <w:pStyle w:val="Indenta"/>
      </w:pPr>
      <w:r>
        <w:tab/>
        <w:t>(f)</w:t>
      </w:r>
      <w:r>
        <w:tab/>
        <w:t>give the applicant leave to require a person served with the application to give discovery under Order 26;</w:t>
      </w:r>
    </w:p>
    <w:p>
      <w:pPr>
        <w:pStyle w:val="Indenta"/>
      </w:pPr>
      <w:r>
        <w:tab/>
        <w:t>(g)</w:t>
      </w:r>
      <w:r>
        <w:tab/>
        <w:t>give the applicant leave to require a person served with the application to answer interrogatories under Order 27;</w:t>
      </w:r>
    </w:p>
    <w:p>
      <w:pPr>
        <w:pStyle w:val="Indenta"/>
      </w:pPr>
      <w:r>
        <w:tab/>
        <w:t>(h)</w:t>
      </w:r>
      <w:r>
        <w:tab/>
        <w:t>allow the applicant to amend the application;</w:t>
      </w:r>
    </w:p>
    <w:p>
      <w:pPr>
        <w:pStyle w:val="Indenta"/>
      </w:pPr>
      <w:r>
        <w:tab/>
        <w:t>(i)</w:t>
      </w:r>
      <w:r>
        <w:tab/>
        <w:t>adjourn the hearing of the application;</w:t>
      </w:r>
    </w:p>
    <w:p>
      <w:pPr>
        <w:pStyle w:val="Indenta"/>
      </w:pPr>
      <w:r>
        <w:tab/>
        <w:t>(j)</w:t>
      </w:r>
      <w:r>
        <w:tab/>
        <w:t>refuse the whole or a part of the application if it has no reasonable prospect of succeeding;</w:t>
      </w:r>
    </w:p>
    <w:p>
      <w:pPr>
        <w:pStyle w:val="Indenta"/>
      </w:pPr>
      <w:r>
        <w:tab/>
        <w:t>(k)</w:t>
      </w:r>
      <w:r>
        <w:tab/>
        <w:t>grant or refuse the application;</w:t>
      </w:r>
    </w:p>
    <w:p>
      <w:pPr>
        <w:pStyle w:val="Indenta"/>
      </w:pPr>
      <w:r>
        <w:tab/>
        <w:t>(l)</w:t>
      </w:r>
      <w:r>
        <w:tab/>
        <w:t>if it considers the remedy applied for would be inadequate, grant any other remedy.</w:t>
      </w:r>
    </w:p>
    <w:p>
      <w:pPr>
        <w:pStyle w:val="Subsection"/>
      </w:pPr>
      <w:r>
        <w:tab/>
        <w:t>(3)</w:t>
      </w:r>
      <w:r>
        <w:tab/>
        <w:t>Subrule (2) does not limit the operation of Order 4A or the powers of the Court when dealing with an application.</w:t>
      </w:r>
    </w:p>
    <w:p>
      <w:pPr>
        <w:pStyle w:val="Subsection"/>
      </w:pPr>
      <w:r>
        <w:lastRenderedPageBreak/>
        <w:tab/>
        <w:t>(4)</w:t>
      </w:r>
      <w:r>
        <w:tab/>
        <w:t>A single judge dealing with an application may, without deciding it, order it be heard by the Court of Appeal.</w:t>
      </w:r>
    </w:p>
    <w:p>
      <w:pPr>
        <w:pStyle w:val="Footnotesection"/>
      </w:pPr>
      <w:r>
        <w:tab/>
        <w:t>[Rule 5 inserted: Gazette 17 Dec 2013 p. 6233</w:t>
      </w:r>
      <w:r>
        <w:noBreakHyphen/>
        <w:t>4.]</w:t>
      </w:r>
    </w:p>
    <w:p>
      <w:pPr>
        <w:pStyle w:val="Heading5"/>
      </w:pPr>
      <w:bookmarkStart w:id="814" w:name="_Toc129077986"/>
      <w:r>
        <w:rPr>
          <w:rStyle w:val="CharSectno"/>
        </w:rPr>
        <w:t>6</w:t>
      </w:r>
      <w:r>
        <w:t>.</w:t>
      </w:r>
      <w:r>
        <w:tab/>
        <w:t>Discovery and interrogatories</w:t>
      </w:r>
      <w:bookmarkEnd w:id="814"/>
    </w:p>
    <w:p>
      <w:pPr>
        <w:pStyle w:val="Subsection"/>
      </w:pPr>
      <w:r>
        <w:tab/>
      </w:r>
      <w:r>
        <w:tab/>
        <w:t>Orders 26 and 27 do not apply in proceedings on an application unless and to the extent the Court, under rule 5(2) or Order 4A, gives leave and orders otherwise.</w:t>
      </w:r>
    </w:p>
    <w:p>
      <w:pPr>
        <w:pStyle w:val="Footnotesection"/>
      </w:pPr>
      <w:r>
        <w:tab/>
        <w:t>[Rule 6 inserted: Gazette 17 Dec 2013 p. 6234.]</w:t>
      </w:r>
    </w:p>
    <w:p>
      <w:pPr>
        <w:pStyle w:val="Heading5"/>
      </w:pPr>
      <w:bookmarkStart w:id="815" w:name="_Toc129077987"/>
      <w:r>
        <w:rPr>
          <w:rStyle w:val="CharSectno"/>
        </w:rPr>
        <w:t>7</w:t>
      </w:r>
      <w:r>
        <w:t>.</w:t>
      </w:r>
      <w:r>
        <w:tab/>
        <w:t>Costs</w:t>
      </w:r>
      <w:bookmarkEnd w:id="815"/>
    </w:p>
    <w:p>
      <w:pPr>
        <w:pStyle w:val="Subsection"/>
      </w:pPr>
      <w:r>
        <w:tab/>
        <w:t>(1)</w:t>
      </w:r>
      <w:r>
        <w:tab/>
        <w:t>The Court may make an order for the payment of the costs of the proceedings on an application against one or more of these persons —</w:t>
      </w:r>
    </w:p>
    <w:p>
      <w:pPr>
        <w:pStyle w:val="Indenta"/>
      </w:pPr>
      <w:r>
        <w:tab/>
        <w:t>(a)</w:t>
      </w:r>
      <w:r>
        <w:tab/>
        <w:t>the applicant;</w:t>
      </w:r>
    </w:p>
    <w:p>
      <w:pPr>
        <w:pStyle w:val="Indenta"/>
      </w:pPr>
      <w:r>
        <w:tab/>
        <w:t>(b)</w:t>
      </w:r>
      <w:r>
        <w:tab/>
        <w:t>the person who made the challenged decision or engaged in the challenged conduct;</w:t>
      </w:r>
    </w:p>
    <w:p>
      <w:pPr>
        <w:pStyle w:val="Indenta"/>
      </w:pPr>
      <w:r>
        <w:tab/>
        <w:t>(c)</w:t>
      </w:r>
      <w:r>
        <w:tab/>
        <w:t>a person served with the application;</w:t>
      </w:r>
    </w:p>
    <w:p>
      <w:pPr>
        <w:pStyle w:val="Indenta"/>
      </w:pPr>
      <w:r>
        <w:tab/>
        <w:t>(d)</w:t>
      </w:r>
      <w:r>
        <w:tab/>
        <w:t>a person not served with the application whom the Court allowed to be heard on it.</w:t>
      </w:r>
    </w:p>
    <w:p>
      <w:pPr>
        <w:pStyle w:val="Subsection"/>
      </w:pPr>
      <w:r>
        <w:tab/>
        <w:t>(2)</w:t>
      </w:r>
      <w:r>
        <w:tab/>
        <w:t>Subject to rule 24, the Court may make such an order before, when or after deciding the application.</w:t>
      </w:r>
    </w:p>
    <w:p>
      <w:pPr>
        <w:pStyle w:val="Footnotesection"/>
      </w:pPr>
      <w:r>
        <w:tab/>
        <w:t>[Rule 7 inserted: Gazette 17 Dec 2013 p. 6235.]</w:t>
      </w:r>
    </w:p>
    <w:p>
      <w:pPr>
        <w:pStyle w:val="Ednotesection"/>
        <w:spacing w:before="180"/>
      </w:pPr>
      <w:r>
        <w:t>[</w:t>
      </w:r>
      <w:r>
        <w:rPr>
          <w:b/>
        </w:rPr>
        <w:t>8, 9.</w:t>
      </w:r>
      <w:r>
        <w:tab/>
        <w:t>Deleted: Gazette 17 Dec 2013 p. 6232.]</w:t>
      </w:r>
    </w:p>
    <w:p>
      <w:pPr>
        <w:pStyle w:val="Heading5"/>
        <w:spacing w:before="180"/>
        <w:rPr>
          <w:snapToGrid w:val="0"/>
        </w:rPr>
      </w:pPr>
      <w:bookmarkStart w:id="816" w:name="_Toc129077988"/>
      <w:r>
        <w:rPr>
          <w:rStyle w:val="CharSectno"/>
        </w:rPr>
        <w:t>10</w:t>
      </w:r>
      <w:r>
        <w:rPr>
          <w:snapToGrid w:val="0"/>
        </w:rPr>
        <w:t>.</w:t>
      </w:r>
      <w:r>
        <w:rPr>
          <w:snapToGrid w:val="0"/>
        </w:rPr>
        <w:tab/>
        <w:t>Issue and filing of writs</w:t>
      </w:r>
      <w:bookmarkEnd w:id="816"/>
    </w:p>
    <w:p>
      <w:pPr>
        <w:pStyle w:val="Subsection"/>
      </w:pPr>
      <w:r>
        <w:tab/>
        <w:t>(1)</w:t>
      </w:r>
      <w:r>
        <w:tab/>
        <w:t>A writ issued on an application must —</w:t>
      </w:r>
    </w:p>
    <w:p>
      <w:pPr>
        <w:pStyle w:val="Indenta"/>
      </w:pPr>
      <w:r>
        <w:tab/>
        <w:t>(a)</w:t>
      </w:r>
      <w:r>
        <w:tab/>
        <w:t>be prepared by the applicant; and</w:t>
      </w:r>
    </w:p>
    <w:p>
      <w:pPr>
        <w:pStyle w:val="Indenta"/>
      </w:pPr>
      <w:r>
        <w:tab/>
        <w:t>(b)</w:t>
      </w:r>
      <w:r>
        <w:tab/>
        <w:t xml:space="preserve">in accordance with Order 71A, state — </w:t>
      </w:r>
    </w:p>
    <w:p>
      <w:pPr>
        <w:pStyle w:val="Indenti"/>
      </w:pPr>
      <w:r>
        <w:tab/>
        <w:t>(i)</w:t>
      </w:r>
      <w:r>
        <w:tab/>
        <w:t>the party’s geographical address; and</w:t>
      </w:r>
    </w:p>
    <w:p>
      <w:pPr>
        <w:pStyle w:val="Indenti"/>
        <w:keepNext/>
      </w:pPr>
      <w:r>
        <w:lastRenderedPageBreak/>
        <w:tab/>
        <w:t>(ii)</w:t>
      </w:r>
      <w:r>
        <w:tab/>
        <w:t>the party’s service details;</w:t>
      </w:r>
    </w:p>
    <w:p>
      <w:pPr>
        <w:pStyle w:val="Indenta"/>
      </w:pPr>
      <w:r>
        <w:tab/>
      </w:r>
      <w:r>
        <w:tab/>
        <w:t>and</w:t>
      </w:r>
    </w:p>
    <w:p>
      <w:pPr>
        <w:pStyle w:val="Indenta"/>
      </w:pPr>
      <w:r>
        <w:tab/>
        <w:t>(c)</w:t>
      </w:r>
      <w:r>
        <w:tab/>
        <w:t>be issued out of the Central Office.</w:t>
      </w:r>
    </w:p>
    <w:p>
      <w:pPr>
        <w:pStyle w:val="Subsection"/>
        <w:spacing w:before="120"/>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spacing w:before="120"/>
        <w:rPr>
          <w:snapToGrid w:val="0"/>
        </w:rPr>
      </w:pPr>
      <w:r>
        <w:rPr>
          <w:snapToGrid w:val="0"/>
        </w:rPr>
        <w:tab/>
        <w:t>(3)</w:t>
      </w:r>
      <w:r>
        <w:rPr>
          <w:snapToGrid w:val="0"/>
        </w:rPr>
        <w:tab/>
        <w:t>Every such writ must be filed together with the return thereto and a copy of any order made thereon.</w:t>
      </w:r>
    </w:p>
    <w:p>
      <w:pPr>
        <w:pStyle w:val="Footnotesection"/>
        <w:spacing w:before="80"/>
        <w:ind w:left="890" w:hanging="890"/>
      </w:pPr>
      <w:r>
        <w:tab/>
        <w:t>[Rule 10 amended: Gazette 21 Feb 2007 p. 560</w:t>
      </w:r>
      <w:r>
        <w:noBreakHyphen/>
        <w:t>1; 23 Apr 2013 p. 1595 (disallowed: Gazette 1 Nov 2013 p. 4910); 17 Dec 2013 p. 6235; 27 Feb 2018 p. 571.]</w:t>
      </w:r>
    </w:p>
    <w:p>
      <w:pPr>
        <w:pStyle w:val="Heading3"/>
      </w:pPr>
      <w:bookmarkStart w:id="817" w:name="_Toc129073917"/>
      <w:bookmarkStart w:id="818" w:name="_Toc129075200"/>
      <w:bookmarkStart w:id="819" w:name="_Toc129077989"/>
      <w:r>
        <w:rPr>
          <w:rStyle w:val="CharDivNo"/>
        </w:rPr>
        <w:t>Division 2</w:t>
      </w:r>
      <w:r>
        <w:t> — </w:t>
      </w:r>
      <w:r>
        <w:rPr>
          <w:rStyle w:val="CharDivText"/>
        </w:rPr>
        <w:t>Certiorari</w:t>
      </w:r>
      <w:bookmarkEnd w:id="817"/>
      <w:bookmarkEnd w:id="818"/>
      <w:bookmarkEnd w:id="819"/>
    </w:p>
    <w:p>
      <w:pPr>
        <w:pStyle w:val="Footnoteheading"/>
      </w:pPr>
      <w:r>
        <w:tab/>
        <w:t>[Heading inserted: Gazette 21 Feb 2007 p. 560.]</w:t>
      </w:r>
    </w:p>
    <w:p>
      <w:pPr>
        <w:pStyle w:val="Ednotesection"/>
      </w:pPr>
      <w:r>
        <w:t>[</w:t>
      </w:r>
      <w:r>
        <w:rPr>
          <w:b/>
        </w:rPr>
        <w:t>11-13.</w:t>
      </w:r>
      <w:r>
        <w:tab/>
        <w:t>Deleted: Gazette 17 Dec 2013 p. 6235.]</w:t>
      </w:r>
    </w:p>
    <w:p>
      <w:pPr>
        <w:pStyle w:val="Heading5"/>
        <w:rPr>
          <w:snapToGrid w:val="0"/>
        </w:rPr>
      </w:pPr>
      <w:bookmarkStart w:id="820" w:name="_Toc129077990"/>
      <w:r>
        <w:rPr>
          <w:rStyle w:val="CharSectno"/>
        </w:rPr>
        <w:t>14</w:t>
      </w:r>
      <w:r>
        <w:rPr>
          <w:snapToGrid w:val="0"/>
        </w:rPr>
        <w:t>.</w:t>
      </w:r>
      <w:r>
        <w:rPr>
          <w:snapToGrid w:val="0"/>
        </w:rPr>
        <w:tab/>
        <w:t>Forms</w:t>
      </w:r>
      <w:bookmarkEnd w:id="820"/>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Gazette 28 Jul 2010 p. 3483.]</w:t>
      </w:r>
    </w:p>
    <w:p>
      <w:pPr>
        <w:pStyle w:val="Heading3"/>
      </w:pPr>
      <w:bookmarkStart w:id="821" w:name="_Toc129073919"/>
      <w:bookmarkStart w:id="822" w:name="_Toc129075202"/>
      <w:bookmarkStart w:id="823" w:name="_Toc129077991"/>
      <w:r>
        <w:rPr>
          <w:rStyle w:val="CharDivNo"/>
        </w:rPr>
        <w:t>Division 3</w:t>
      </w:r>
      <w:r>
        <w:t> — </w:t>
      </w:r>
      <w:r>
        <w:rPr>
          <w:rStyle w:val="CharDivText"/>
        </w:rPr>
        <w:t>Mandamus</w:t>
      </w:r>
      <w:bookmarkEnd w:id="821"/>
      <w:bookmarkEnd w:id="822"/>
      <w:bookmarkEnd w:id="823"/>
    </w:p>
    <w:p>
      <w:pPr>
        <w:pStyle w:val="Footnoteheading"/>
      </w:pPr>
      <w:r>
        <w:tab/>
        <w:t>[Heading inserted: Gazette 21 Feb 2007 p. 560.]</w:t>
      </w:r>
    </w:p>
    <w:p>
      <w:pPr>
        <w:pStyle w:val="Heading5"/>
        <w:rPr>
          <w:snapToGrid w:val="0"/>
        </w:rPr>
      </w:pPr>
      <w:bookmarkStart w:id="824" w:name="_Toc129077992"/>
      <w:r>
        <w:rPr>
          <w:rStyle w:val="CharSectno"/>
        </w:rPr>
        <w:t>15</w:t>
      </w:r>
      <w:r>
        <w:rPr>
          <w:snapToGrid w:val="0"/>
        </w:rPr>
        <w:t>.</w:t>
      </w:r>
      <w:r>
        <w:rPr>
          <w:snapToGrid w:val="0"/>
        </w:rPr>
        <w:tab/>
        <w:t>Applicant to show interest etc.</w:t>
      </w:r>
      <w:bookmarkEnd w:id="824"/>
    </w:p>
    <w:p>
      <w:pPr>
        <w:pStyle w:val="Subsection"/>
        <w:rPr>
          <w:snapToGrid w:val="0"/>
        </w:rPr>
      </w:pPr>
      <w:r>
        <w:rPr>
          <w:snapToGrid w:val="0"/>
        </w:rPr>
        <w:tab/>
        <w:t>(1)</w:t>
      </w:r>
      <w:r>
        <w:rPr>
          <w:snapToGrid w:val="0"/>
        </w:rPr>
        <w:tab/>
      </w:r>
      <w:r>
        <w:t>A writ</w:t>
      </w:r>
      <w:r>
        <w:rPr>
          <w:snapToGrid w:val="0"/>
        </w:rPr>
        <w:t xml:space="preserve">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keepNext/>
        <w:rPr>
          <w:snapToGrid w:val="0"/>
        </w:rPr>
      </w:pPr>
      <w:r>
        <w:rPr>
          <w:snapToGrid w:val="0"/>
        </w:rPr>
        <w:lastRenderedPageBreak/>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Gazette 28 Jun 2011 p. 2552; 23 Apr 2013 p. 1595 (disallowed: Gazette 1 Nov 2013 p. 4910); 17 Dec 2013 p. 6235.]</w:t>
      </w:r>
    </w:p>
    <w:p>
      <w:pPr>
        <w:pStyle w:val="Heading5"/>
        <w:rPr>
          <w:snapToGrid w:val="0"/>
        </w:rPr>
      </w:pPr>
      <w:bookmarkStart w:id="825" w:name="_Toc129077993"/>
      <w:r>
        <w:rPr>
          <w:rStyle w:val="CharSectno"/>
        </w:rPr>
        <w:t>16</w:t>
      </w:r>
      <w:r>
        <w:rPr>
          <w:snapToGrid w:val="0"/>
        </w:rPr>
        <w:t>.</w:t>
      </w:r>
      <w:r>
        <w:rPr>
          <w:snapToGrid w:val="0"/>
        </w:rPr>
        <w:tab/>
        <w:t>Form of writ</w:t>
      </w:r>
      <w:bookmarkEnd w:id="825"/>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Gazette 9 Nov 1973 p. 4165.] </w:t>
      </w:r>
    </w:p>
    <w:p>
      <w:pPr>
        <w:pStyle w:val="Heading5"/>
        <w:rPr>
          <w:snapToGrid w:val="0"/>
        </w:rPr>
      </w:pPr>
      <w:bookmarkStart w:id="826" w:name="_Toc129077994"/>
      <w:r>
        <w:rPr>
          <w:rStyle w:val="CharSectno"/>
        </w:rPr>
        <w:t>17</w:t>
      </w:r>
      <w:r>
        <w:rPr>
          <w:snapToGrid w:val="0"/>
        </w:rPr>
        <w:t>.</w:t>
      </w:r>
      <w:r>
        <w:rPr>
          <w:snapToGrid w:val="0"/>
        </w:rPr>
        <w:tab/>
        <w:t>Time for return of writ</w:t>
      </w:r>
      <w:bookmarkEnd w:id="82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Gazette 9 Nov 1973 p. 4165.] </w:t>
      </w:r>
    </w:p>
    <w:p>
      <w:pPr>
        <w:pStyle w:val="Heading5"/>
        <w:rPr>
          <w:snapToGrid w:val="0"/>
        </w:rPr>
      </w:pPr>
      <w:bookmarkStart w:id="827" w:name="_Toc129077995"/>
      <w:r>
        <w:rPr>
          <w:rStyle w:val="CharSectno"/>
        </w:rPr>
        <w:t>18</w:t>
      </w:r>
      <w:r>
        <w:rPr>
          <w:snapToGrid w:val="0"/>
        </w:rPr>
        <w:t>.</w:t>
      </w:r>
      <w:r>
        <w:rPr>
          <w:snapToGrid w:val="0"/>
        </w:rPr>
        <w:tab/>
        <w:t>Service</w:t>
      </w:r>
      <w:bookmarkEnd w:id="827"/>
    </w:p>
    <w:p>
      <w:pPr>
        <w:pStyle w:val="Subsection"/>
        <w:rPr>
          <w:snapToGrid w:val="0"/>
        </w:rPr>
      </w:pPr>
      <w:r>
        <w:tab/>
        <w:t>(1)</w:t>
      </w:r>
      <w:r>
        <w:tab/>
        <w:t>Unless</w:t>
      </w:r>
      <w:r>
        <w:rPr>
          <w:snapToGrid w:val="0"/>
        </w:rPr>
        <w:t xml:space="preserve">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Subsection"/>
      </w:pPr>
      <w:r>
        <w:lastRenderedPageBreak/>
        <w:tab/>
        <w:t>(2)</w:t>
      </w:r>
      <w:r>
        <w:tab/>
        <w:t xml:space="preserve">If the writ is issued by means of the ECMS — </w:t>
      </w:r>
    </w:p>
    <w:p>
      <w:pPr>
        <w:pStyle w:val="Indenta"/>
      </w:pPr>
      <w:r>
        <w:tab/>
        <w:t>(a)</w:t>
      </w:r>
      <w:r>
        <w:tab/>
        <w:t>the applicant may print from the ECMS 1 or more copies of the writ; and</w:t>
      </w:r>
    </w:p>
    <w:p>
      <w:pPr>
        <w:pStyle w:val="Indenta"/>
      </w:pPr>
      <w:r>
        <w:tab/>
        <w:t>(b)</w:t>
      </w:r>
      <w:r>
        <w:tab/>
        <w:t>a printed copy may be treated as the original writ for the purposes of subrule (1).</w:t>
      </w:r>
    </w:p>
    <w:p>
      <w:pPr>
        <w:pStyle w:val="Footnotesection"/>
      </w:pPr>
      <w:r>
        <w:tab/>
        <w:t xml:space="preserve">[Rule 18 amended: Gazette 9 Nov 1973 p. 4165; 27 Feb 2018 p. 571; 31 Dec 2019 p. 4677.] </w:t>
      </w:r>
    </w:p>
    <w:p>
      <w:pPr>
        <w:pStyle w:val="Heading5"/>
        <w:rPr>
          <w:snapToGrid w:val="0"/>
        </w:rPr>
      </w:pPr>
      <w:bookmarkStart w:id="828" w:name="_Toc129077996"/>
      <w:r>
        <w:rPr>
          <w:rStyle w:val="CharSectno"/>
        </w:rPr>
        <w:t>19</w:t>
      </w:r>
      <w:r>
        <w:rPr>
          <w:snapToGrid w:val="0"/>
        </w:rPr>
        <w:t>.</w:t>
      </w:r>
      <w:r>
        <w:rPr>
          <w:snapToGrid w:val="0"/>
        </w:rPr>
        <w:tab/>
        <w:t>Service on corporate body, or justices</w:t>
      </w:r>
      <w:bookmarkEnd w:id="828"/>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Gazette 9 Nov 1973 p. 4165.] </w:t>
      </w:r>
    </w:p>
    <w:p>
      <w:pPr>
        <w:pStyle w:val="Heading5"/>
        <w:rPr>
          <w:snapToGrid w:val="0"/>
        </w:rPr>
      </w:pPr>
      <w:bookmarkStart w:id="829" w:name="_Toc129077997"/>
      <w:r>
        <w:rPr>
          <w:rStyle w:val="CharSectno"/>
        </w:rPr>
        <w:t>20</w:t>
      </w:r>
      <w:r>
        <w:rPr>
          <w:snapToGrid w:val="0"/>
        </w:rPr>
        <w:t>.</w:t>
      </w:r>
      <w:r>
        <w:rPr>
          <w:snapToGrid w:val="0"/>
        </w:rPr>
        <w:tab/>
        <w:t>Return, content etc. of</w:t>
      </w:r>
      <w:bookmarkEnd w:id="829"/>
    </w:p>
    <w:p>
      <w:pPr>
        <w:pStyle w:val="Subsection"/>
        <w:rPr>
          <w:snapToGrid w:val="0"/>
        </w:rPr>
      </w:pPr>
      <w:r>
        <w:rPr>
          <w:snapToGrid w:val="0"/>
        </w:rPr>
        <w:tab/>
        <w:t>(1)</w:t>
      </w:r>
      <w:r>
        <w:rPr>
          <w:snapToGrid w:val="0"/>
        </w:rPr>
        <w:tab/>
        <w:t xml:space="preserve">The persons to whom a writ of mandamus is directed shall, within the time allowed by the writ, file the writ or a copy of the </w:t>
      </w:r>
      <w:r>
        <w:t xml:space="preserve">writ, </w:t>
      </w:r>
      <w:r>
        <w:rPr>
          <w:snapToGrid w:val="0"/>
        </w:rPr>
        <w:t>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Footnotesection"/>
      </w:pPr>
      <w:r>
        <w:tab/>
        <w:t xml:space="preserve">[Rule 20 amended: Gazette 27 Feb 2018 p. 571.] </w:t>
      </w:r>
    </w:p>
    <w:p>
      <w:pPr>
        <w:pStyle w:val="Heading5"/>
        <w:rPr>
          <w:snapToGrid w:val="0"/>
        </w:rPr>
      </w:pPr>
      <w:bookmarkStart w:id="830" w:name="_Toc129077998"/>
      <w:r>
        <w:rPr>
          <w:rStyle w:val="CharSectno"/>
        </w:rPr>
        <w:t>21</w:t>
      </w:r>
      <w:r>
        <w:rPr>
          <w:snapToGrid w:val="0"/>
        </w:rPr>
        <w:t>.</w:t>
      </w:r>
      <w:r>
        <w:rPr>
          <w:snapToGrid w:val="0"/>
        </w:rPr>
        <w:tab/>
        <w:t>Pleading to return</w:t>
      </w:r>
      <w:bookmarkEnd w:id="830"/>
    </w:p>
    <w:p>
      <w:pPr>
        <w:pStyle w:val="Subsection"/>
        <w:rPr>
          <w:snapToGrid w:val="0"/>
        </w:rPr>
      </w:pPr>
      <w:r>
        <w:rPr>
          <w:snapToGrid w:val="0"/>
        </w:rPr>
        <w:tab/>
      </w:r>
      <w:r>
        <w:rPr>
          <w:snapToGrid w:val="0"/>
        </w:rPr>
        <w:tab/>
        <w:t xml:space="preserve">If the return does not certify that the act commanded has been done, the same proceedings shall be had and taken, and within the same time as if the return were a defence in an action in which the applicant was the plaintiff, and the persons to whom </w:t>
      </w:r>
      <w:r>
        <w:rPr>
          <w:snapToGrid w:val="0"/>
        </w:rPr>
        <w:lastRenderedPageBreak/>
        <w:t>the writ is directed were the defendants and had pleaded the return as their defence.</w:t>
      </w:r>
    </w:p>
    <w:p>
      <w:pPr>
        <w:pStyle w:val="Heading5"/>
        <w:rPr>
          <w:snapToGrid w:val="0"/>
        </w:rPr>
      </w:pPr>
      <w:bookmarkStart w:id="831" w:name="_Toc129077999"/>
      <w:r>
        <w:rPr>
          <w:rStyle w:val="CharSectno"/>
        </w:rPr>
        <w:t>22</w:t>
      </w:r>
      <w:r>
        <w:rPr>
          <w:snapToGrid w:val="0"/>
        </w:rPr>
        <w:t>.</w:t>
      </w:r>
      <w:r>
        <w:rPr>
          <w:snapToGrid w:val="0"/>
        </w:rPr>
        <w:tab/>
        <w:t>No motion for judgment needed in some cases</w:t>
      </w:r>
      <w:bookmarkEnd w:id="83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32" w:name="_Toc129078000"/>
      <w:r>
        <w:rPr>
          <w:rStyle w:val="CharSectno"/>
        </w:rPr>
        <w:t>23</w:t>
      </w:r>
      <w:r>
        <w:rPr>
          <w:snapToGrid w:val="0"/>
        </w:rPr>
        <w:t>.</w:t>
      </w:r>
      <w:r>
        <w:rPr>
          <w:snapToGrid w:val="0"/>
        </w:rPr>
        <w:tab/>
        <w:t>Peremptory writ</w:t>
      </w:r>
      <w:bookmarkEnd w:id="832"/>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33" w:name="_Toc129078001"/>
      <w:r>
        <w:rPr>
          <w:rStyle w:val="CharSectno"/>
        </w:rPr>
        <w:t>24</w:t>
      </w:r>
      <w:r>
        <w:rPr>
          <w:snapToGrid w:val="0"/>
        </w:rPr>
        <w:t>.</w:t>
      </w:r>
      <w:r>
        <w:rPr>
          <w:snapToGrid w:val="0"/>
        </w:rPr>
        <w:tab/>
        <w:t>Costs</w:t>
      </w:r>
      <w:bookmarkEnd w:id="833"/>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Gazette 9 Nov 1973 p. 4165.] </w:t>
      </w:r>
    </w:p>
    <w:p>
      <w:pPr>
        <w:pStyle w:val="Heading5"/>
        <w:rPr>
          <w:snapToGrid w:val="0"/>
        </w:rPr>
      </w:pPr>
      <w:bookmarkStart w:id="834" w:name="_Toc129078002"/>
      <w:r>
        <w:rPr>
          <w:rStyle w:val="CharSectno"/>
        </w:rPr>
        <w:lastRenderedPageBreak/>
        <w:t>25</w:t>
      </w:r>
      <w:r>
        <w:rPr>
          <w:snapToGrid w:val="0"/>
        </w:rPr>
        <w:t>.</w:t>
      </w:r>
      <w:r>
        <w:rPr>
          <w:snapToGrid w:val="0"/>
        </w:rPr>
        <w:tab/>
        <w:t>Proceedings in nature of interpleader</w:t>
      </w:r>
      <w:bookmarkEnd w:id="834"/>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Gazette 9 Nov 1973 p. 4165; 23 Apr 2013 p. 1595 (disallowed: Gazette 1 Nov 2013 p. 4910); 17 Dec 2013 p. 6235.] </w:t>
      </w:r>
    </w:p>
    <w:p>
      <w:pPr>
        <w:pStyle w:val="Heading5"/>
        <w:rPr>
          <w:snapToGrid w:val="0"/>
        </w:rPr>
      </w:pPr>
      <w:bookmarkStart w:id="835" w:name="_Toc129078003"/>
      <w:r>
        <w:rPr>
          <w:rStyle w:val="CharSectno"/>
        </w:rPr>
        <w:t>26</w:t>
      </w:r>
      <w:r>
        <w:rPr>
          <w:snapToGrid w:val="0"/>
        </w:rPr>
        <w:t>.</w:t>
      </w:r>
      <w:r>
        <w:rPr>
          <w:snapToGrid w:val="0"/>
        </w:rPr>
        <w:tab/>
        <w:t>Proceedings not to abate due to death etc.</w:t>
      </w:r>
      <w:bookmarkEnd w:id="835"/>
    </w:p>
    <w:p>
      <w:pPr>
        <w:pStyle w:val="Subsection"/>
        <w:rPr>
          <w:snapToGrid w:val="0"/>
        </w:rPr>
      </w:pPr>
      <w:r>
        <w:rPr>
          <w:snapToGrid w:val="0"/>
        </w:rPr>
        <w:tab/>
      </w:r>
      <w:r>
        <w:rPr>
          <w:snapToGrid w:val="0"/>
        </w:rPr>
        <w:tab/>
        <w:t xml:space="preserve">Proceedings upon an application for a writ of mandamus shall not abate or be discontinued by reason of the death, resignation, retirement or removal from office of the person </w:t>
      </w:r>
      <w:r>
        <w:t>who made the challenged decision or to whom the</w:t>
      </w:r>
      <w:r>
        <w:rPr>
          <w:snapToGrid w:val="0"/>
        </w:rPr>
        <w:t xml:space="preserve"> writ is directed, but may be continued and carried on either in his name or otherwise, and if a peremptory writ is awarded, it shall be directed to the successor in office or right of that person.</w:t>
      </w:r>
    </w:p>
    <w:p>
      <w:pPr>
        <w:pStyle w:val="Footnotesection"/>
      </w:pPr>
      <w:r>
        <w:tab/>
        <w:t xml:space="preserve">[Rule 26 amended: Gazette 23 Apr 2013 p. 1595 (disallowed: Gazette 1 Nov 2013 p. 4910); 17 Dec 2013 p. 6235.] </w:t>
      </w:r>
    </w:p>
    <w:p>
      <w:pPr>
        <w:pStyle w:val="Ednotesection"/>
      </w:pPr>
      <w:r>
        <w:t>[</w:t>
      </w:r>
      <w:r>
        <w:rPr>
          <w:b/>
        </w:rPr>
        <w:t>27.</w:t>
      </w:r>
      <w:r>
        <w:tab/>
        <w:t>Deleted: Gazette 17 Dec 2013 p. 6235.]</w:t>
      </w:r>
    </w:p>
    <w:p>
      <w:pPr>
        <w:pStyle w:val="Heading5"/>
        <w:rPr>
          <w:snapToGrid w:val="0"/>
        </w:rPr>
      </w:pPr>
      <w:bookmarkStart w:id="836" w:name="_Toc129078004"/>
      <w:r>
        <w:rPr>
          <w:rStyle w:val="CharSectno"/>
        </w:rPr>
        <w:t>28</w:t>
      </w:r>
      <w:r>
        <w:rPr>
          <w:snapToGrid w:val="0"/>
        </w:rPr>
        <w:t>.</w:t>
      </w:r>
      <w:r>
        <w:rPr>
          <w:snapToGrid w:val="0"/>
        </w:rPr>
        <w:tab/>
        <w:t>Mandamus by order</w:t>
      </w:r>
      <w:bookmarkEnd w:id="836"/>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37" w:name="_Toc129078005"/>
      <w:r>
        <w:rPr>
          <w:rStyle w:val="CharSectno"/>
        </w:rPr>
        <w:lastRenderedPageBreak/>
        <w:t>29</w:t>
      </w:r>
      <w:r>
        <w:rPr>
          <w:snapToGrid w:val="0"/>
        </w:rPr>
        <w:t>.</w:t>
      </w:r>
      <w:r>
        <w:rPr>
          <w:snapToGrid w:val="0"/>
        </w:rPr>
        <w:tab/>
        <w:t>No action against party obeying writ or order</w:t>
      </w:r>
      <w:bookmarkEnd w:id="837"/>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Gazette 9 Nov 1973 p. 4165.] </w:t>
      </w:r>
    </w:p>
    <w:p>
      <w:pPr>
        <w:pStyle w:val="Heading3"/>
      </w:pPr>
      <w:bookmarkStart w:id="838" w:name="_Toc129073934"/>
      <w:bookmarkStart w:id="839" w:name="_Toc129075217"/>
      <w:bookmarkStart w:id="840" w:name="_Toc129078006"/>
      <w:r>
        <w:rPr>
          <w:rStyle w:val="CharDivNo"/>
        </w:rPr>
        <w:t>Division 4</w:t>
      </w:r>
      <w:r>
        <w:t> — </w:t>
      </w:r>
      <w:r>
        <w:rPr>
          <w:rStyle w:val="CharDivText"/>
        </w:rPr>
        <w:t xml:space="preserve">Prohibition and </w:t>
      </w:r>
      <w:r>
        <w:rPr>
          <w:rStyle w:val="CharDivText"/>
          <w:i/>
        </w:rPr>
        <w:t>procedendo</w:t>
      </w:r>
      <w:bookmarkEnd w:id="838"/>
      <w:bookmarkEnd w:id="839"/>
      <w:bookmarkEnd w:id="840"/>
    </w:p>
    <w:p>
      <w:pPr>
        <w:pStyle w:val="Footnoteheading"/>
      </w:pPr>
      <w:r>
        <w:tab/>
        <w:t>[Heading inserted: Gazette 17 Dec 2013 p. 6235.]</w:t>
      </w:r>
    </w:p>
    <w:p>
      <w:pPr>
        <w:pStyle w:val="Heading5"/>
        <w:rPr>
          <w:snapToGrid w:val="0"/>
        </w:rPr>
      </w:pPr>
      <w:bookmarkStart w:id="841" w:name="_Toc129078007"/>
      <w:r>
        <w:rPr>
          <w:rStyle w:val="CharSectno"/>
        </w:rPr>
        <w:t>30</w:t>
      </w:r>
      <w:r>
        <w:rPr>
          <w:snapToGrid w:val="0"/>
        </w:rPr>
        <w:t>.</w:t>
      </w:r>
      <w:r>
        <w:rPr>
          <w:snapToGrid w:val="0"/>
        </w:rPr>
        <w:tab/>
        <w:t>Court may direct service of statement of claim instead of issuing prohibition</w:t>
      </w:r>
      <w:bookmarkEnd w:id="841"/>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Gazette 9 Nov 1973 p. 4165.] </w:t>
      </w:r>
    </w:p>
    <w:p>
      <w:pPr>
        <w:pStyle w:val="Heading5"/>
        <w:rPr>
          <w:snapToGrid w:val="0"/>
        </w:rPr>
      </w:pPr>
      <w:bookmarkStart w:id="842" w:name="_Toc129078008"/>
      <w:r>
        <w:rPr>
          <w:rStyle w:val="CharSectno"/>
        </w:rPr>
        <w:t>31</w:t>
      </w:r>
      <w:r>
        <w:rPr>
          <w:snapToGrid w:val="0"/>
        </w:rPr>
        <w:t>.</w:t>
      </w:r>
      <w:r>
        <w:rPr>
          <w:snapToGrid w:val="0"/>
        </w:rPr>
        <w:tab/>
        <w:t>Proceedings on judgment</w:t>
      </w:r>
      <w:bookmarkEnd w:id="842"/>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843" w:name="_Toc129078009"/>
      <w:r>
        <w:rPr>
          <w:rStyle w:val="CharSectno"/>
        </w:rPr>
        <w:t>32</w:t>
      </w:r>
      <w:r>
        <w:rPr>
          <w:snapToGrid w:val="0"/>
        </w:rPr>
        <w:t>.</w:t>
      </w:r>
      <w:r>
        <w:rPr>
          <w:snapToGrid w:val="0"/>
        </w:rPr>
        <w:tab/>
        <w:t xml:space="preserve">Writ of </w:t>
      </w:r>
      <w:r>
        <w:rPr>
          <w:i/>
          <w:snapToGrid w:val="0"/>
        </w:rPr>
        <w:t>procedendo</w:t>
      </w:r>
      <w:bookmarkEnd w:id="843"/>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lastRenderedPageBreak/>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Gazette 9 Nov 1973 p. 4165.] </w:t>
      </w:r>
    </w:p>
    <w:p>
      <w:pPr>
        <w:pStyle w:val="Heading5"/>
        <w:rPr>
          <w:snapToGrid w:val="0"/>
        </w:rPr>
      </w:pPr>
      <w:bookmarkStart w:id="844" w:name="_Toc129078010"/>
      <w:r>
        <w:rPr>
          <w:rStyle w:val="CharSectno"/>
        </w:rPr>
        <w:t>33</w:t>
      </w:r>
      <w:r>
        <w:rPr>
          <w:snapToGrid w:val="0"/>
        </w:rPr>
        <w:t>.</w:t>
      </w:r>
      <w:r>
        <w:rPr>
          <w:snapToGrid w:val="0"/>
        </w:rPr>
        <w:tab/>
        <w:t>Prohibition by order</w:t>
      </w:r>
      <w:bookmarkEnd w:id="844"/>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845" w:name="_Toc129073939"/>
      <w:bookmarkStart w:id="846" w:name="_Toc129075222"/>
      <w:bookmarkStart w:id="847" w:name="_Toc129078011"/>
      <w:r>
        <w:rPr>
          <w:rStyle w:val="CharDivNo"/>
        </w:rPr>
        <w:t>Division 5</w:t>
      </w:r>
      <w:r>
        <w:t> — </w:t>
      </w:r>
      <w:r>
        <w:rPr>
          <w:rStyle w:val="CharDivText"/>
          <w:i/>
          <w:iCs/>
        </w:rPr>
        <w:t>Quo warranto</w:t>
      </w:r>
      <w:bookmarkEnd w:id="845"/>
      <w:bookmarkEnd w:id="846"/>
      <w:bookmarkEnd w:id="847"/>
    </w:p>
    <w:p>
      <w:pPr>
        <w:pStyle w:val="Footnoteheading"/>
      </w:pPr>
      <w:r>
        <w:tab/>
        <w:t>[Heading inserted: Gazette 21 Feb 2007 p. 560.]</w:t>
      </w:r>
    </w:p>
    <w:p>
      <w:pPr>
        <w:pStyle w:val="Heading5"/>
      </w:pPr>
      <w:bookmarkStart w:id="848" w:name="_Toc129078012"/>
      <w:r>
        <w:rPr>
          <w:rStyle w:val="CharSectno"/>
        </w:rPr>
        <w:t>34A</w:t>
      </w:r>
      <w:r>
        <w:t>.</w:t>
      </w:r>
      <w:r>
        <w:tab/>
        <w:t xml:space="preserve">Application for information of </w:t>
      </w:r>
      <w:r>
        <w:rPr>
          <w:i/>
        </w:rPr>
        <w:t>quo warranto</w:t>
      </w:r>
      <w:bookmarkEnd w:id="848"/>
    </w:p>
    <w:p>
      <w:pPr>
        <w:pStyle w:val="Subsection"/>
      </w:pPr>
      <w:r>
        <w:tab/>
      </w:r>
      <w:r>
        <w:tab/>
        <w:t xml:space="preserve">To apply for an information of </w:t>
      </w:r>
      <w:r>
        <w:rPr>
          <w:i/>
        </w:rPr>
        <w:t>quo warranto</w:t>
      </w:r>
      <w:r>
        <w:t xml:space="preserve"> without applying for judicial review, a person must apply </w:t>
      </w:r>
      <w:r>
        <w:rPr>
          <w:i/>
        </w:rPr>
        <w:t>ex parte</w:t>
      </w:r>
      <w:r>
        <w:t xml:space="preserve"> by originating motion.</w:t>
      </w:r>
    </w:p>
    <w:p>
      <w:pPr>
        <w:pStyle w:val="Footnotesection"/>
      </w:pPr>
      <w:r>
        <w:tab/>
        <w:t>[Rule 34A inserted: Gazette 17 Dec 2013 p. 6236.]</w:t>
      </w:r>
    </w:p>
    <w:p>
      <w:pPr>
        <w:pStyle w:val="Heading5"/>
        <w:rPr>
          <w:snapToGrid w:val="0"/>
        </w:rPr>
      </w:pPr>
      <w:bookmarkStart w:id="849" w:name="_Toc129078013"/>
      <w:r>
        <w:rPr>
          <w:rStyle w:val="CharSectno"/>
        </w:rPr>
        <w:t>34</w:t>
      </w:r>
      <w:r>
        <w:rPr>
          <w:snapToGrid w:val="0"/>
        </w:rPr>
        <w:t>.</w:t>
      </w:r>
      <w:r>
        <w:rPr>
          <w:snapToGrid w:val="0"/>
        </w:rPr>
        <w:tab/>
        <w:t>Rules of court applicable</w:t>
      </w:r>
      <w:bookmarkEnd w:id="849"/>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Gazette 9 Nov 1973 p. 4165.] </w:t>
      </w:r>
    </w:p>
    <w:p>
      <w:pPr>
        <w:pStyle w:val="Heading5"/>
        <w:rPr>
          <w:snapToGrid w:val="0"/>
        </w:rPr>
      </w:pPr>
      <w:bookmarkStart w:id="850" w:name="_Toc129078014"/>
      <w:r>
        <w:rPr>
          <w:rStyle w:val="CharSectno"/>
        </w:rPr>
        <w:t>35</w:t>
      </w:r>
      <w:r>
        <w:rPr>
          <w:snapToGrid w:val="0"/>
        </w:rPr>
        <w:t>.</w:t>
      </w:r>
      <w:r>
        <w:rPr>
          <w:snapToGrid w:val="0"/>
        </w:rPr>
        <w:tab/>
        <w:t>Signature and service of information</w:t>
      </w:r>
      <w:bookmarkEnd w:id="850"/>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keepNext/>
      </w:pPr>
      <w:r>
        <w:lastRenderedPageBreak/>
        <w:tab/>
        <w:t>(2)</w:t>
      </w:r>
      <w:r>
        <w:tab/>
        <w:t>A copy of the information must be served on the respondent or, if he or she appeared by a lawyer, on the lawyer.</w:t>
      </w:r>
    </w:p>
    <w:p>
      <w:pPr>
        <w:pStyle w:val="Footnotesection"/>
      </w:pPr>
      <w:r>
        <w:tab/>
        <w:t xml:space="preserve">[Rule 35 amended: Gazette 19 Apr 2005 p. 1299; 23 Apr 2013 p. 1596 (disallowed: Gazette 1 Nov 2013 p. 4910); 17 Dec 2013 p. 6236.] </w:t>
      </w:r>
    </w:p>
    <w:p>
      <w:pPr>
        <w:pStyle w:val="Heading2"/>
      </w:pPr>
      <w:bookmarkStart w:id="851" w:name="_Toc129073943"/>
      <w:bookmarkStart w:id="852" w:name="_Toc129075226"/>
      <w:bookmarkStart w:id="853" w:name="_Toc129078015"/>
      <w:r>
        <w:rPr>
          <w:rStyle w:val="CharPartNo"/>
        </w:rPr>
        <w:lastRenderedPageBreak/>
        <w:t>Order 56A</w:t>
      </w:r>
      <w:r>
        <w:rPr>
          <w:rStyle w:val="CharDivNo"/>
        </w:rPr>
        <w:t> </w:t>
      </w:r>
      <w:r>
        <w:t>—</w:t>
      </w:r>
      <w:r>
        <w:rPr>
          <w:rStyle w:val="CharDivText"/>
        </w:rPr>
        <w:t> </w:t>
      </w:r>
      <w:r>
        <w:rPr>
          <w:rStyle w:val="CharPartText"/>
        </w:rPr>
        <w:t xml:space="preserve">Review orders under the </w:t>
      </w:r>
      <w:r>
        <w:rPr>
          <w:rStyle w:val="CharPartText"/>
          <w:i/>
        </w:rPr>
        <w:t>Magistrates Court Act 2004</w:t>
      </w:r>
      <w:bookmarkEnd w:id="851"/>
      <w:bookmarkEnd w:id="852"/>
      <w:bookmarkEnd w:id="853"/>
    </w:p>
    <w:p>
      <w:pPr>
        <w:pStyle w:val="Footnotesection"/>
      </w:pPr>
      <w:r>
        <w:tab/>
        <w:t xml:space="preserve">[Heading inserted: Gazette 29 Apr 2005 p. 1797.] </w:t>
      </w:r>
    </w:p>
    <w:p>
      <w:pPr>
        <w:pStyle w:val="Heading5"/>
      </w:pPr>
      <w:bookmarkStart w:id="854" w:name="_Toc129078016"/>
      <w:r>
        <w:rPr>
          <w:rStyle w:val="CharSectno"/>
        </w:rPr>
        <w:t>1</w:t>
      </w:r>
      <w:r>
        <w:t>.</w:t>
      </w:r>
      <w:r>
        <w:tab/>
        <w:t>Terms used</w:t>
      </w:r>
      <w:bookmarkEnd w:id="854"/>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r>
        <w:rPr>
          <w:i/>
        </w:rPr>
        <w:t>Magistrates Court Act 2004</w:t>
      </w:r>
      <w:r>
        <w:t>.</w:t>
      </w:r>
    </w:p>
    <w:p>
      <w:pPr>
        <w:pStyle w:val="Subsection"/>
      </w:pPr>
      <w:r>
        <w:tab/>
        <w:t>(2)</w:t>
      </w:r>
      <w:r>
        <w:tab/>
        <w:t xml:space="preserve">A term defined in the </w:t>
      </w:r>
      <w:r>
        <w:rPr>
          <w:i/>
        </w:rPr>
        <w:t>Magistrates Court Act 2004</w:t>
      </w:r>
      <w:r>
        <w:t xml:space="preserve"> has the same meaning in this Order as it has in that Act, unless the contrary intention appears.</w:t>
      </w:r>
    </w:p>
    <w:p>
      <w:pPr>
        <w:pStyle w:val="Footnotesection"/>
      </w:pPr>
      <w:r>
        <w:tab/>
        <w:t>[Rule 1 inserted: Gazette 29 Apr 2005 p. 1797.]</w:t>
      </w:r>
    </w:p>
    <w:p>
      <w:pPr>
        <w:pStyle w:val="Heading5"/>
      </w:pPr>
      <w:bookmarkStart w:id="855" w:name="_Toc129078017"/>
      <w:r>
        <w:rPr>
          <w:rStyle w:val="CharSectno"/>
        </w:rPr>
        <w:t>2</w:t>
      </w:r>
      <w:r>
        <w:t>.</w:t>
      </w:r>
      <w:r>
        <w:tab/>
        <w:t>Application for review order, making</w:t>
      </w:r>
      <w:bookmarkEnd w:id="855"/>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Gazette 29 Apr 2005 p. 1798.]</w:t>
      </w:r>
    </w:p>
    <w:p>
      <w:pPr>
        <w:pStyle w:val="Heading5"/>
      </w:pPr>
      <w:bookmarkStart w:id="856" w:name="_Toc129078018"/>
      <w:r>
        <w:rPr>
          <w:rStyle w:val="CharSectno"/>
        </w:rPr>
        <w:lastRenderedPageBreak/>
        <w:t>3</w:t>
      </w:r>
      <w:r>
        <w:t>.</w:t>
      </w:r>
      <w:r>
        <w:tab/>
        <w:t>Application for review order, procedure on</w:t>
      </w:r>
      <w:bookmarkEnd w:id="85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lastRenderedPageBreak/>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Gazette 29 Apr 2005 p. 1798</w:t>
      </w:r>
      <w:r>
        <w:noBreakHyphen/>
        <w:t>9.]</w:t>
      </w:r>
    </w:p>
    <w:p>
      <w:pPr>
        <w:pStyle w:val="Heading5"/>
      </w:pPr>
      <w:bookmarkStart w:id="857" w:name="_Toc129078019"/>
      <w:r>
        <w:rPr>
          <w:rStyle w:val="CharSectno"/>
        </w:rPr>
        <w:t>4</w:t>
      </w:r>
      <w:r>
        <w:t>.</w:t>
      </w:r>
      <w:r>
        <w:tab/>
        <w:t>Review order, service of</w:t>
      </w:r>
      <w:bookmarkEnd w:id="857"/>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Gazette 29 Apr 2005 p. 1799; renumbered as rule 4: Gazette 21 Feb 2007 p. 561.]</w:t>
      </w:r>
    </w:p>
    <w:p>
      <w:pPr>
        <w:pStyle w:val="Heading5"/>
      </w:pPr>
      <w:bookmarkStart w:id="858" w:name="_Toc129078020"/>
      <w:r>
        <w:rPr>
          <w:rStyle w:val="CharSectno"/>
        </w:rPr>
        <w:t>5</w:t>
      </w:r>
      <w:r>
        <w:t>.</w:t>
      </w:r>
      <w:r>
        <w:tab/>
        <w:t>Review order, hearing of</w:t>
      </w:r>
      <w:bookmarkEnd w:id="858"/>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Gazette 29 Apr 2005 p. 1799; renumbered as rule 5: Gazette 21 Feb 2007 p. 561.]</w:t>
      </w:r>
    </w:p>
    <w:p>
      <w:pPr>
        <w:pStyle w:val="Heading5"/>
      </w:pPr>
      <w:bookmarkStart w:id="859" w:name="_Toc129078021"/>
      <w:r>
        <w:rPr>
          <w:rStyle w:val="CharSectno"/>
        </w:rPr>
        <w:lastRenderedPageBreak/>
        <w:t>6</w:t>
      </w:r>
      <w:r>
        <w:t>.</w:t>
      </w:r>
      <w:r>
        <w:tab/>
        <w:t>Final order, making and service of</w:t>
      </w:r>
      <w:bookmarkEnd w:id="859"/>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Gazette 29 Apr 2005 p. 1799; renumbered as rule 6: Gazette 21 Feb 2007 p. 561.]</w:t>
      </w:r>
    </w:p>
    <w:p>
      <w:pPr>
        <w:pStyle w:val="Heading2"/>
        <w:rPr>
          <w:b w:val="0"/>
        </w:rPr>
      </w:pPr>
      <w:bookmarkStart w:id="860" w:name="_Toc129073950"/>
      <w:bookmarkStart w:id="861" w:name="_Toc129075233"/>
      <w:bookmarkStart w:id="862" w:name="_Toc129078022"/>
      <w:r>
        <w:rPr>
          <w:rStyle w:val="CharPartNo"/>
        </w:rPr>
        <w:lastRenderedPageBreak/>
        <w:t>Order 57</w:t>
      </w:r>
      <w:r>
        <w:rPr>
          <w:rStyle w:val="CharDivNo"/>
        </w:rPr>
        <w:t> </w:t>
      </w:r>
      <w:r>
        <w:t>—</w:t>
      </w:r>
      <w:r>
        <w:rPr>
          <w:rStyle w:val="CharDivText"/>
        </w:rPr>
        <w:t> </w:t>
      </w:r>
      <w:r>
        <w:rPr>
          <w:rStyle w:val="CharPartText"/>
        </w:rPr>
        <w:t>Habeas corpus</w:t>
      </w:r>
      <w:bookmarkEnd w:id="860"/>
      <w:bookmarkEnd w:id="861"/>
      <w:bookmarkEnd w:id="862"/>
    </w:p>
    <w:p>
      <w:pPr>
        <w:pStyle w:val="Heading5"/>
        <w:spacing w:before="180"/>
        <w:rPr>
          <w:snapToGrid w:val="0"/>
        </w:rPr>
      </w:pPr>
      <w:bookmarkStart w:id="863" w:name="_Toc129078023"/>
      <w:r>
        <w:rPr>
          <w:rStyle w:val="CharSectno"/>
        </w:rPr>
        <w:t>1</w:t>
      </w:r>
      <w:r>
        <w:rPr>
          <w:snapToGrid w:val="0"/>
        </w:rPr>
        <w:t>.</w:t>
      </w:r>
      <w:r>
        <w:rPr>
          <w:snapToGrid w:val="0"/>
        </w:rPr>
        <w:tab/>
        <w:t>Application for writ</w:t>
      </w:r>
      <w:bookmarkEnd w:id="863"/>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Gazette 9 Nov 1990 p. 5526; 29 Apr 2005 p. 1795; 21 Feb 2007 p. 561; 28 Jun 2011 p. 2552.] </w:t>
      </w:r>
    </w:p>
    <w:p>
      <w:pPr>
        <w:pStyle w:val="Heading5"/>
        <w:spacing w:before="180"/>
        <w:rPr>
          <w:snapToGrid w:val="0"/>
        </w:rPr>
      </w:pPr>
      <w:bookmarkStart w:id="864" w:name="_Toc129078024"/>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864"/>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lastRenderedPageBreak/>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Gazette 9 Nov 1990 p. 5526; 29 Apr 2005 p. 1795; 21 Feb 2007 p. 561.] </w:t>
      </w:r>
    </w:p>
    <w:p>
      <w:pPr>
        <w:pStyle w:val="Heading5"/>
        <w:rPr>
          <w:snapToGrid w:val="0"/>
        </w:rPr>
      </w:pPr>
      <w:bookmarkStart w:id="865" w:name="_Toc129078025"/>
      <w:r>
        <w:rPr>
          <w:rStyle w:val="CharSectno"/>
        </w:rPr>
        <w:t>3</w:t>
      </w:r>
      <w:r>
        <w:rPr>
          <w:snapToGrid w:val="0"/>
        </w:rPr>
        <w:t>.</w:t>
      </w:r>
      <w:r>
        <w:rPr>
          <w:snapToGrid w:val="0"/>
        </w:rPr>
        <w:tab/>
        <w:t>Copies of affidavits to be supplied</w:t>
      </w:r>
      <w:bookmarkEnd w:id="86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66" w:name="_Toc129078026"/>
      <w:r>
        <w:rPr>
          <w:rStyle w:val="CharSectno"/>
        </w:rPr>
        <w:t>4</w:t>
      </w:r>
      <w:r>
        <w:rPr>
          <w:snapToGrid w:val="0"/>
        </w:rPr>
        <w:t>.</w:t>
      </w:r>
      <w:r>
        <w:rPr>
          <w:snapToGrid w:val="0"/>
        </w:rPr>
        <w:tab/>
        <w:t>Court may order release of person restrained</w:t>
      </w:r>
      <w:bookmarkEnd w:id="866"/>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Gazette 9 Nov 1990 p. 5526.] </w:t>
      </w:r>
    </w:p>
    <w:p>
      <w:pPr>
        <w:pStyle w:val="Heading5"/>
        <w:rPr>
          <w:snapToGrid w:val="0"/>
        </w:rPr>
      </w:pPr>
      <w:bookmarkStart w:id="867" w:name="_Toc129078027"/>
      <w:r>
        <w:rPr>
          <w:rStyle w:val="CharSectno"/>
        </w:rPr>
        <w:t>5</w:t>
      </w:r>
      <w:r>
        <w:rPr>
          <w:snapToGrid w:val="0"/>
        </w:rPr>
        <w:t>.</w:t>
      </w:r>
      <w:r>
        <w:rPr>
          <w:snapToGrid w:val="0"/>
        </w:rPr>
        <w:tab/>
        <w:t>Signed copy of writ to be filed</w:t>
      </w:r>
      <w:bookmarkEnd w:id="867"/>
    </w:p>
    <w:p>
      <w:pPr>
        <w:pStyle w:val="Subsection"/>
        <w:rPr>
          <w:snapToGrid w:val="0"/>
        </w:rPr>
      </w:pPr>
      <w:r>
        <w:tab/>
        <w:t>(1)</w:t>
      </w:r>
      <w:r>
        <w:tab/>
        <w:t>When</w:t>
      </w:r>
      <w:r>
        <w:rPr>
          <w:snapToGrid w:val="0"/>
        </w:rPr>
        <w:t xml:space="preserve"> a writ of habeas corpus is presented for sealing, the person presenting it must at the same time file a copy of the writ signed by or on behalf of the solicitor for the party issuing it, or by the party himself if he is proceeding in person.</w:t>
      </w:r>
    </w:p>
    <w:p>
      <w:pPr>
        <w:pStyle w:val="Subsection"/>
        <w:keepNext/>
      </w:pPr>
      <w:r>
        <w:lastRenderedPageBreak/>
        <w:tab/>
        <w:t>(2)</w:t>
      </w:r>
      <w:r>
        <w:tab/>
        <w:t>The writ, or a copy of it, cannot be filed electronically.</w:t>
      </w:r>
    </w:p>
    <w:p>
      <w:pPr>
        <w:pStyle w:val="Footnotesection"/>
      </w:pPr>
      <w:r>
        <w:tab/>
        <w:t xml:space="preserve">[Rule 5 amended: Gazette 27 Feb 2018 p. 572.] </w:t>
      </w:r>
    </w:p>
    <w:p>
      <w:pPr>
        <w:pStyle w:val="Heading5"/>
      </w:pPr>
      <w:bookmarkStart w:id="868" w:name="_Toc129078028"/>
      <w:r>
        <w:rPr>
          <w:rStyle w:val="CharSectno"/>
        </w:rPr>
        <w:t>6</w:t>
      </w:r>
      <w:r>
        <w:t>.</w:t>
      </w:r>
      <w:r>
        <w:tab/>
        <w:t>Order for issue of writ, contents of</w:t>
      </w:r>
      <w:bookmarkEnd w:id="868"/>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Gazette 21 Feb 2007 p. 561.]</w:t>
      </w:r>
    </w:p>
    <w:p>
      <w:pPr>
        <w:pStyle w:val="Heading5"/>
        <w:rPr>
          <w:snapToGrid w:val="0"/>
        </w:rPr>
      </w:pPr>
      <w:bookmarkStart w:id="869" w:name="_Toc129078029"/>
      <w:r>
        <w:rPr>
          <w:rStyle w:val="CharSectno"/>
        </w:rPr>
        <w:t>7</w:t>
      </w:r>
      <w:r>
        <w:rPr>
          <w:snapToGrid w:val="0"/>
        </w:rPr>
        <w:t>.</w:t>
      </w:r>
      <w:r>
        <w:rPr>
          <w:snapToGrid w:val="0"/>
        </w:rPr>
        <w:tab/>
        <w:t>Service of writ and notice</w:t>
      </w:r>
      <w:bookmarkEnd w:id="869"/>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Subsection"/>
      </w:pPr>
      <w:r>
        <w:tab/>
        <w:t>(4)</w:t>
      </w:r>
      <w:r>
        <w:tab/>
        <w:t xml:space="preserve">If the writ is issued by means of the ECMS — </w:t>
      </w:r>
    </w:p>
    <w:p>
      <w:pPr>
        <w:pStyle w:val="Indenta"/>
      </w:pPr>
      <w:r>
        <w:tab/>
        <w:t>(a)</w:t>
      </w:r>
      <w:r>
        <w:tab/>
        <w:t>the applicant may print from the ECMS 1 or more copies of the writ; and</w:t>
      </w:r>
    </w:p>
    <w:p>
      <w:pPr>
        <w:pStyle w:val="Indenta"/>
      </w:pPr>
      <w:r>
        <w:lastRenderedPageBreak/>
        <w:tab/>
        <w:t>(b)</w:t>
      </w:r>
      <w:r>
        <w:tab/>
        <w:t>a printed copy may be treated as the writ for the purposes of this rule.</w:t>
      </w:r>
    </w:p>
    <w:p>
      <w:pPr>
        <w:pStyle w:val="Footnotesection"/>
      </w:pPr>
      <w:r>
        <w:tab/>
        <w:t>[Rule 7 amended: Gazette 28 Jul 2010 p. 3484; 28 Jun 2011 p. 2552</w:t>
      </w:r>
      <w:r>
        <w:noBreakHyphen/>
        <w:t>3; 27 Feb 2018 p. 572; 31 Dec 2019 p. 4677.]</w:t>
      </w:r>
    </w:p>
    <w:p>
      <w:pPr>
        <w:pStyle w:val="Heading5"/>
        <w:rPr>
          <w:snapToGrid w:val="0"/>
        </w:rPr>
      </w:pPr>
      <w:bookmarkStart w:id="870" w:name="_Toc129078030"/>
      <w:r>
        <w:rPr>
          <w:rStyle w:val="CharSectno"/>
        </w:rPr>
        <w:t>8</w:t>
      </w:r>
      <w:r>
        <w:rPr>
          <w:snapToGrid w:val="0"/>
        </w:rPr>
        <w:t>.</w:t>
      </w:r>
      <w:r>
        <w:rPr>
          <w:snapToGrid w:val="0"/>
        </w:rPr>
        <w:tab/>
        <w:t>Return to writ of habeas corpus</w:t>
      </w:r>
      <w:bookmarkEnd w:id="870"/>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71" w:name="_Toc129078031"/>
      <w:r>
        <w:rPr>
          <w:rStyle w:val="CharSectno"/>
        </w:rPr>
        <w:t>9</w:t>
      </w:r>
      <w:r>
        <w:rPr>
          <w:snapToGrid w:val="0"/>
        </w:rPr>
        <w:t>.</w:t>
      </w:r>
      <w:r>
        <w:rPr>
          <w:snapToGrid w:val="0"/>
        </w:rPr>
        <w:tab/>
        <w:t>Procedure on hearing</w:t>
      </w:r>
      <w:bookmarkEnd w:id="871"/>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72" w:name="_Toc129078032"/>
      <w:r>
        <w:rPr>
          <w:rStyle w:val="CharSectno"/>
        </w:rPr>
        <w:t>10</w:t>
      </w:r>
      <w:r>
        <w:rPr>
          <w:snapToGrid w:val="0"/>
        </w:rPr>
        <w:t>.</w:t>
      </w:r>
      <w:r>
        <w:rPr>
          <w:snapToGrid w:val="0"/>
        </w:rPr>
        <w:tab/>
        <w:t>Form of writ</w:t>
      </w:r>
      <w:bookmarkEnd w:id="87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73" w:name="_Toc129073961"/>
      <w:bookmarkStart w:id="874" w:name="_Toc129075244"/>
      <w:bookmarkStart w:id="875" w:name="_Toc129078033"/>
      <w:r>
        <w:rPr>
          <w:rStyle w:val="CharPartNo"/>
        </w:rPr>
        <w:lastRenderedPageBreak/>
        <w:t>Order 58</w:t>
      </w:r>
      <w:r>
        <w:t> — </w:t>
      </w:r>
      <w:r>
        <w:rPr>
          <w:rStyle w:val="CharPartText"/>
        </w:rPr>
        <w:t>Proceedings by originating summons</w:t>
      </w:r>
      <w:bookmarkEnd w:id="873"/>
      <w:bookmarkEnd w:id="874"/>
      <w:bookmarkEnd w:id="875"/>
    </w:p>
    <w:p>
      <w:pPr>
        <w:pStyle w:val="Heading3"/>
      </w:pPr>
      <w:bookmarkStart w:id="876" w:name="_Toc129073962"/>
      <w:bookmarkStart w:id="877" w:name="_Toc129075245"/>
      <w:bookmarkStart w:id="878" w:name="_Toc129078034"/>
      <w:r>
        <w:rPr>
          <w:rStyle w:val="CharDivNo"/>
        </w:rPr>
        <w:t>Division 1</w:t>
      </w:r>
      <w:r>
        <w:t> — </w:t>
      </w:r>
      <w:r>
        <w:rPr>
          <w:rStyle w:val="CharDivText"/>
        </w:rPr>
        <w:t>Introductory</w:t>
      </w:r>
      <w:bookmarkEnd w:id="876"/>
      <w:bookmarkEnd w:id="877"/>
      <w:bookmarkEnd w:id="878"/>
    </w:p>
    <w:p>
      <w:pPr>
        <w:pStyle w:val="Footnoteheading"/>
      </w:pPr>
      <w:r>
        <w:tab/>
        <w:t xml:space="preserve">[Heading inserted: Gazette 22 Feb 2008 p. 638.] </w:t>
      </w:r>
    </w:p>
    <w:p>
      <w:pPr>
        <w:pStyle w:val="Heading5"/>
        <w:rPr>
          <w:snapToGrid w:val="0"/>
        </w:rPr>
      </w:pPr>
      <w:bookmarkStart w:id="879" w:name="_Toc129078035"/>
      <w:r>
        <w:rPr>
          <w:rStyle w:val="CharSectno"/>
        </w:rPr>
        <w:t>1</w:t>
      </w:r>
      <w:r>
        <w:rPr>
          <w:snapToGrid w:val="0"/>
        </w:rPr>
        <w:t>.</w:t>
      </w:r>
      <w:r>
        <w:rPr>
          <w:snapToGrid w:val="0"/>
        </w:rPr>
        <w:tab/>
        <w:t>Which proceedings to be commenced by originating summons</w:t>
      </w:r>
      <w:bookmarkEnd w:id="879"/>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80" w:name="_Toc129073964"/>
      <w:bookmarkStart w:id="881" w:name="_Toc129075247"/>
      <w:bookmarkStart w:id="882" w:name="_Toc129078036"/>
      <w:r>
        <w:rPr>
          <w:rStyle w:val="CharDivNo"/>
        </w:rPr>
        <w:t>Division 2</w:t>
      </w:r>
      <w:r>
        <w:t> — </w:t>
      </w:r>
      <w:r>
        <w:rPr>
          <w:rStyle w:val="CharDivText"/>
        </w:rPr>
        <w:t>Administration and trusts</w:t>
      </w:r>
      <w:bookmarkEnd w:id="880"/>
      <w:bookmarkEnd w:id="881"/>
      <w:bookmarkEnd w:id="882"/>
    </w:p>
    <w:p>
      <w:pPr>
        <w:pStyle w:val="Footnoteheading"/>
      </w:pPr>
      <w:r>
        <w:tab/>
        <w:t xml:space="preserve">[Heading inserted: Gazette 22 Feb 2008 p. 638.] </w:t>
      </w:r>
    </w:p>
    <w:p>
      <w:pPr>
        <w:pStyle w:val="Heading5"/>
        <w:rPr>
          <w:snapToGrid w:val="0"/>
        </w:rPr>
      </w:pPr>
      <w:bookmarkStart w:id="883" w:name="_Toc129078037"/>
      <w:r>
        <w:rPr>
          <w:rStyle w:val="CharSectno"/>
        </w:rPr>
        <w:t>2</w:t>
      </w:r>
      <w:r>
        <w:rPr>
          <w:snapToGrid w:val="0"/>
        </w:rPr>
        <w:t>.</w:t>
      </w:r>
      <w:r>
        <w:rPr>
          <w:snapToGrid w:val="0"/>
        </w:rPr>
        <w:tab/>
        <w:t>Executors etc. seeking certain relief without administration</w:t>
      </w:r>
      <w:bookmarkEnd w:id="883"/>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lastRenderedPageBreak/>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84" w:name="_Toc129078038"/>
      <w:r>
        <w:rPr>
          <w:rStyle w:val="CharSectno"/>
        </w:rPr>
        <w:t>3</w:t>
      </w:r>
      <w:r>
        <w:rPr>
          <w:snapToGrid w:val="0"/>
        </w:rPr>
        <w:t>.</w:t>
      </w:r>
      <w:r>
        <w:rPr>
          <w:snapToGrid w:val="0"/>
        </w:rPr>
        <w:tab/>
        <w:t>Executors etc. applying for administration</w:t>
      </w:r>
      <w:bookmarkEnd w:id="884"/>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Gazette 28 Jun 2011 p. 2554.]</w:t>
      </w:r>
    </w:p>
    <w:p>
      <w:pPr>
        <w:pStyle w:val="Heading5"/>
        <w:rPr>
          <w:snapToGrid w:val="0"/>
        </w:rPr>
      </w:pPr>
      <w:bookmarkStart w:id="885" w:name="_Toc129078039"/>
      <w:r>
        <w:rPr>
          <w:rStyle w:val="CharSectno"/>
        </w:rPr>
        <w:t>4</w:t>
      </w:r>
      <w:r>
        <w:rPr>
          <w:snapToGrid w:val="0"/>
        </w:rPr>
        <w:t>.</w:t>
      </w:r>
      <w:r>
        <w:rPr>
          <w:snapToGrid w:val="0"/>
        </w:rPr>
        <w:tab/>
        <w:t>Service of summons issued under r. 2 or 3</w:t>
      </w:r>
      <w:bookmarkEnd w:id="885"/>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lastRenderedPageBreak/>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Gazette 28 Jun 2011 p. 2554.]</w:t>
      </w:r>
    </w:p>
    <w:p>
      <w:pPr>
        <w:pStyle w:val="Heading5"/>
        <w:rPr>
          <w:snapToGrid w:val="0"/>
        </w:rPr>
      </w:pPr>
      <w:bookmarkStart w:id="886" w:name="_Toc129078040"/>
      <w:r>
        <w:rPr>
          <w:rStyle w:val="CharSectno"/>
        </w:rPr>
        <w:t>5</w:t>
      </w:r>
      <w:r>
        <w:rPr>
          <w:snapToGrid w:val="0"/>
        </w:rPr>
        <w:t>.</w:t>
      </w:r>
      <w:r>
        <w:rPr>
          <w:snapToGrid w:val="0"/>
        </w:rPr>
        <w:tab/>
        <w:t>Decision without judgment for administration</w:t>
      </w:r>
      <w:bookmarkEnd w:id="886"/>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87" w:name="_Toc129078041"/>
      <w:r>
        <w:rPr>
          <w:rStyle w:val="CharSectno"/>
        </w:rPr>
        <w:t>6</w:t>
      </w:r>
      <w:r>
        <w:rPr>
          <w:snapToGrid w:val="0"/>
        </w:rPr>
        <w:t>.</w:t>
      </w:r>
      <w:r>
        <w:rPr>
          <w:snapToGrid w:val="0"/>
        </w:rPr>
        <w:tab/>
        <w:t>Orders which may be made on application for administration etc. of trusts</w:t>
      </w:r>
      <w:bookmarkEnd w:id="887"/>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 xml:space="preserve">order that the application shall stand over for a certain time and that the executors, administrators, or trustees in the meantime shall render to the applicant a proper </w:t>
      </w:r>
      <w:r>
        <w:rPr>
          <w:snapToGrid w:val="0"/>
        </w:rPr>
        <w:lastRenderedPageBreak/>
        <w:t>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888" w:name="_Toc129078042"/>
      <w:r>
        <w:rPr>
          <w:rStyle w:val="CharSectno"/>
        </w:rPr>
        <w:t>7</w:t>
      </w:r>
      <w:r>
        <w:rPr>
          <w:snapToGrid w:val="0"/>
        </w:rPr>
        <w:t>.</w:t>
      </w:r>
      <w:r>
        <w:rPr>
          <w:snapToGrid w:val="0"/>
        </w:rPr>
        <w:tab/>
        <w:t>Interference with discretion of trustee etc.</w:t>
      </w:r>
      <w:bookmarkEnd w:id="888"/>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889" w:name="_Toc129078043"/>
      <w:r>
        <w:rPr>
          <w:rStyle w:val="CharSectno"/>
        </w:rPr>
        <w:t>8</w:t>
      </w:r>
      <w:r>
        <w:rPr>
          <w:snapToGrid w:val="0"/>
        </w:rPr>
        <w:t>.</w:t>
      </w:r>
      <w:r>
        <w:rPr>
          <w:snapToGrid w:val="0"/>
        </w:rPr>
        <w:tab/>
        <w:t>Conduct of sale of trust property</w:t>
      </w:r>
      <w:bookmarkEnd w:id="889"/>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[Heading deleted: Gazette 10 Jan 1975 p. 51.]</w:t>
      </w:r>
    </w:p>
    <w:p>
      <w:pPr>
        <w:pStyle w:val="Ednotesection"/>
        <w:spacing w:before="200"/>
      </w:pPr>
      <w:r>
        <w:t>[</w:t>
      </w:r>
      <w:r>
        <w:rPr>
          <w:b/>
        </w:rPr>
        <w:t>9.</w:t>
      </w:r>
      <w:r>
        <w:rPr>
          <w:b/>
        </w:rPr>
        <w:tab/>
      </w:r>
      <w:r>
        <w:t xml:space="preserve">Deleted: Gazette 10 Jan 1975 p. 51.] </w:t>
      </w:r>
    </w:p>
    <w:p>
      <w:pPr>
        <w:pStyle w:val="Heading3"/>
      </w:pPr>
      <w:bookmarkStart w:id="890" w:name="_Toc129073972"/>
      <w:bookmarkStart w:id="891" w:name="_Toc129075255"/>
      <w:bookmarkStart w:id="892" w:name="_Toc129078044"/>
      <w:r>
        <w:rPr>
          <w:rStyle w:val="CharDivNo"/>
        </w:rPr>
        <w:t>Division 4</w:t>
      </w:r>
      <w:r>
        <w:t> — </w:t>
      </w:r>
      <w:r>
        <w:rPr>
          <w:rStyle w:val="CharDivText"/>
        </w:rPr>
        <w:t>Declaration on originating summons</w:t>
      </w:r>
      <w:bookmarkEnd w:id="890"/>
      <w:bookmarkEnd w:id="891"/>
      <w:bookmarkEnd w:id="892"/>
    </w:p>
    <w:p>
      <w:pPr>
        <w:pStyle w:val="Footnoteheading"/>
        <w:spacing w:before="100"/>
      </w:pPr>
      <w:r>
        <w:tab/>
        <w:t xml:space="preserve">[Heading inserted: Gazette 22 Feb 2008 p. 638.] </w:t>
      </w:r>
    </w:p>
    <w:p>
      <w:pPr>
        <w:pStyle w:val="Heading5"/>
        <w:spacing w:before="200"/>
        <w:rPr>
          <w:snapToGrid w:val="0"/>
        </w:rPr>
      </w:pPr>
      <w:bookmarkStart w:id="893" w:name="_Toc129078045"/>
      <w:r>
        <w:rPr>
          <w:rStyle w:val="CharSectno"/>
        </w:rPr>
        <w:t>10</w:t>
      </w:r>
      <w:r>
        <w:rPr>
          <w:snapToGrid w:val="0"/>
        </w:rPr>
        <w:t>.</w:t>
      </w:r>
      <w:r>
        <w:rPr>
          <w:snapToGrid w:val="0"/>
        </w:rPr>
        <w:tab/>
        <w:t>Construction of written instruments</w:t>
      </w:r>
      <w:bookmarkEnd w:id="893"/>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894" w:name="_Toc129078046"/>
      <w:r>
        <w:rPr>
          <w:rStyle w:val="CharSectno"/>
        </w:rPr>
        <w:lastRenderedPageBreak/>
        <w:t>11</w:t>
      </w:r>
      <w:r>
        <w:rPr>
          <w:snapToGrid w:val="0"/>
        </w:rPr>
        <w:t>.</w:t>
      </w:r>
      <w:r>
        <w:rPr>
          <w:snapToGrid w:val="0"/>
        </w:rPr>
        <w:tab/>
        <w:t>Construction or validity of legislation</w:t>
      </w:r>
      <w:bookmarkEnd w:id="894"/>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895" w:name="_Toc129078047"/>
      <w:r>
        <w:rPr>
          <w:rStyle w:val="CharSectno"/>
        </w:rPr>
        <w:t>12</w:t>
      </w:r>
      <w:r>
        <w:rPr>
          <w:snapToGrid w:val="0"/>
        </w:rPr>
        <w:t>.</w:t>
      </w:r>
      <w:r>
        <w:rPr>
          <w:snapToGrid w:val="0"/>
        </w:rPr>
        <w:tab/>
        <w:t>Court may refuse to determine summons in some cases</w:t>
      </w:r>
      <w:bookmarkEnd w:id="89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896" w:name="_Toc129078048"/>
      <w:r>
        <w:rPr>
          <w:rStyle w:val="CharSectno"/>
        </w:rPr>
        <w:t>13</w:t>
      </w:r>
      <w:r>
        <w:rPr>
          <w:snapToGrid w:val="0"/>
        </w:rPr>
        <w:t>.</w:t>
      </w:r>
      <w:r>
        <w:rPr>
          <w:snapToGrid w:val="0"/>
        </w:rPr>
        <w:tab/>
        <w:t>Effect of contracts for sale etc. of land</w:t>
      </w:r>
      <w:bookmarkEnd w:id="896"/>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897" w:name="_Toc129073977"/>
      <w:bookmarkStart w:id="898" w:name="_Toc129075260"/>
      <w:bookmarkStart w:id="899" w:name="_Toc129078049"/>
      <w:r>
        <w:rPr>
          <w:rStyle w:val="CharDivNo"/>
        </w:rPr>
        <w:t>Division 5</w:t>
      </w:r>
      <w:r>
        <w:t> — </w:t>
      </w:r>
      <w:r>
        <w:rPr>
          <w:rStyle w:val="CharDivText"/>
        </w:rPr>
        <w:t>General</w:t>
      </w:r>
      <w:bookmarkEnd w:id="897"/>
      <w:bookmarkEnd w:id="898"/>
      <w:bookmarkEnd w:id="899"/>
    </w:p>
    <w:p>
      <w:pPr>
        <w:pStyle w:val="Footnoteheading"/>
        <w:keepNext/>
      </w:pPr>
      <w:r>
        <w:tab/>
        <w:t xml:space="preserve">[Heading inserted: Gazette 22 Feb 2008 p. 638.] </w:t>
      </w:r>
    </w:p>
    <w:p>
      <w:pPr>
        <w:pStyle w:val="Heading5"/>
        <w:rPr>
          <w:snapToGrid w:val="0"/>
        </w:rPr>
      </w:pPr>
      <w:bookmarkStart w:id="900" w:name="_Toc129078050"/>
      <w:r>
        <w:rPr>
          <w:rStyle w:val="CharSectno"/>
        </w:rPr>
        <w:t>14</w:t>
      </w:r>
      <w:r>
        <w:rPr>
          <w:snapToGrid w:val="0"/>
        </w:rPr>
        <w:t>.</w:t>
      </w:r>
      <w:r>
        <w:rPr>
          <w:snapToGrid w:val="0"/>
        </w:rPr>
        <w:tab/>
        <w:t>Form and issue of originating summons</w:t>
      </w:r>
      <w:bookmarkEnd w:id="900"/>
    </w:p>
    <w:p>
      <w:pPr>
        <w:pStyle w:val="Subsection"/>
        <w:rPr>
          <w:snapToGrid w:val="0"/>
        </w:rPr>
      </w:pPr>
      <w:r>
        <w:rPr>
          <w:snapToGrid w:val="0"/>
        </w:rPr>
        <w:tab/>
        <w:t>(1)</w:t>
      </w:r>
      <w:r>
        <w:rPr>
          <w:snapToGrid w:val="0"/>
        </w:rPr>
        <w:tab/>
        <w:t xml:space="preserve">An originating summons must be in Form No. 74 or 75 as the case may require and must be prepared by the applicant or </w:t>
      </w:r>
      <w:r>
        <w:t>the applicant’s</w:t>
      </w:r>
      <w:r>
        <w:rPr>
          <w:snapToGrid w:val="0"/>
        </w:rPr>
        <w:t xml:space="preserve"> solicitor.</w:t>
      </w:r>
    </w:p>
    <w:p>
      <w:pPr>
        <w:pStyle w:val="Subsection"/>
        <w:rPr>
          <w:snapToGrid w:val="0"/>
        </w:rPr>
      </w:pPr>
      <w:r>
        <w:rPr>
          <w:snapToGrid w:val="0"/>
        </w:rPr>
        <w:lastRenderedPageBreak/>
        <w:tab/>
        <w:t>(2)</w:t>
      </w:r>
      <w:r>
        <w:rPr>
          <w:snapToGrid w:val="0"/>
        </w:rPr>
        <w:tab/>
        <w:t xml:space="preserve">The party taking out an originating summons </w:t>
      </w:r>
      <w:r>
        <w:t>must</w:t>
      </w:r>
      <w:r>
        <w:rPr>
          <w:snapToGrid w:val="0"/>
        </w:rPr>
        <w:t xml:space="preserve"> be described as a plaintiff, and the other parties </w:t>
      </w:r>
      <w:r>
        <w:t>must</w:t>
      </w:r>
      <w:r>
        <w:rPr>
          <w:snapToGrid w:val="0"/>
        </w:rPr>
        <w:t xml:space="preserve"> be described as defendants.</w:t>
      </w:r>
    </w:p>
    <w:p>
      <w:pPr>
        <w:pStyle w:val="Subsection"/>
        <w:rPr>
          <w:snapToGrid w:val="0"/>
        </w:rPr>
      </w:pPr>
      <w:r>
        <w:rPr>
          <w:snapToGrid w:val="0"/>
        </w:rPr>
        <w:tab/>
        <w:t>(3)</w:t>
      </w:r>
      <w:r>
        <w:rPr>
          <w:snapToGrid w:val="0"/>
        </w:rPr>
        <w:tab/>
        <w:t xml:space="preserve">Issue of an originating summons takes place upon its being sealed </w:t>
      </w:r>
      <w:r>
        <w:t>with the seal of the Court.</w:t>
      </w:r>
    </w:p>
    <w:p>
      <w:pPr>
        <w:pStyle w:val="Ednotesubsection"/>
      </w:pPr>
      <w:r>
        <w:tab/>
        <w:t>[(4)</w:t>
      </w:r>
      <w:r>
        <w:tab/>
        <w:t>deleted]</w:t>
      </w:r>
    </w:p>
    <w:p>
      <w:pPr>
        <w:pStyle w:val="Subsection"/>
        <w:rPr>
          <w:snapToGrid w:val="0"/>
        </w:rPr>
      </w:pPr>
      <w:r>
        <w:rPr>
          <w:snapToGrid w:val="0"/>
        </w:rPr>
        <w:tab/>
        <w:t>(5)</w:t>
      </w:r>
      <w:r>
        <w:rPr>
          <w:snapToGrid w:val="0"/>
        </w:rPr>
        <w:tab/>
        <w:t xml:space="preserve">An originating summons </w:t>
      </w:r>
      <w:r>
        <w:t>must</w:t>
      </w:r>
      <w:r>
        <w:rPr>
          <w:snapToGrid w:val="0"/>
        </w:rPr>
        <w:t xml:space="preserve"> be entitled in the matter of the Act (if any) and the section </w:t>
      </w:r>
      <w:r>
        <w:t xml:space="preserve">of the Act (if any), </w:t>
      </w:r>
      <w:r>
        <w:rPr>
          <w:snapToGrid w:val="0"/>
        </w:rPr>
        <w:t>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Footnotesection"/>
      </w:pPr>
      <w:r>
        <w:tab/>
        <w:t>[Rule 14 amended: SL 2020/242 r. 5(1)-(5).]</w:t>
      </w:r>
    </w:p>
    <w:p>
      <w:pPr>
        <w:pStyle w:val="Heading5"/>
        <w:rPr>
          <w:snapToGrid w:val="0"/>
        </w:rPr>
      </w:pPr>
      <w:bookmarkStart w:id="901" w:name="_Toc129078051"/>
      <w:r>
        <w:rPr>
          <w:rStyle w:val="CharSectno"/>
        </w:rPr>
        <w:t>15</w:t>
      </w:r>
      <w:r>
        <w:rPr>
          <w:snapToGrid w:val="0"/>
        </w:rPr>
        <w:t>.</w:t>
      </w:r>
      <w:r>
        <w:rPr>
          <w:snapToGrid w:val="0"/>
        </w:rPr>
        <w:tab/>
        <w:t>Order 7 applies to originating summons</w:t>
      </w:r>
      <w:bookmarkEnd w:id="901"/>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02" w:name="_Toc129078052"/>
      <w:r>
        <w:rPr>
          <w:rStyle w:val="CharSectno"/>
        </w:rPr>
        <w:t>16</w:t>
      </w:r>
      <w:r>
        <w:rPr>
          <w:snapToGrid w:val="0"/>
        </w:rPr>
        <w:t>.</w:t>
      </w:r>
      <w:r>
        <w:rPr>
          <w:snapToGrid w:val="0"/>
        </w:rPr>
        <w:tab/>
        <w:t>Time for appearance</w:t>
      </w:r>
      <w:bookmarkEnd w:id="902"/>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Gazette 3 Oct 1975 p. 3769.] </w:t>
      </w:r>
    </w:p>
    <w:p>
      <w:pPr>
        <w:pStyle w:val="Heading5"/>
        <w:rPr>
          <w:snapToGrid w:val="0"/>
        </w:rPr>
      </w:pPr>
      <w:bookmarkStart w:id="903" w:name="_Toc129078053"/>
      <w:r>
        <w:rPr>
          <w:rStyle w:val="CharSectno"/>
        </w:rPr>
        <w:t>17</w:t>
      </w:r>
      <w:r>
        <w:rPr>
          <w:snapToGrid w:val="0"/>
        </w:rPr>
        <w:t>.</w:t>
      </w:r>
      <w:r>
        <w:rPr>
          <w:snapToGrid w:val="0"/>
        </w:rPr>
        <w:tab/>
        <w:t>Entry of appearance</w:t>
      </w:r>
      <w:bookmarkEnd w:id="903"/>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keepNext/>
        <w:rPr>
          <w:snapToGrid w:val="0"/>
        </w:rPr>
      </w:pPr>
      <w:r>
        <w:rPr>
          <w:snapToGrid w:val="0"/>
        </w:rPr>
        <w:lastRenderedPageBreak/>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04" w:name="_Toc129078054"/>
      <w:r>
        <w:rPr>
          <w:rStyle w:val="CharSectno"/>
        </w:rPr>
        <w:t>18</w:t>
      </w:r>
      <w:r>
        <w:rPr>
          <w:snapToGrid w:val="0"/>
        </w:rPr>
        <w:t>.</w:t>
      </w:r>
      <w:r>
        <w:rPr>
          <w:snapToGrid w:val="0"/>
        </w:rPr>
        <w:tab/>
        <w:t>When appearance not required</w:t>
      </w:r>
      <w:bookmarkEnd w:id="904"/>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Gazette 13 Oct 1978 p. 3701; 20 Jun 1986 p. 2040; 13 Nov 2015 p. 4646.] </w:t>
      </w:r>
    </w:p>
    <w:p>
      <w:pPr>
        <w:pStyle w:val="Heading5"/>
        <w:rPr>
          <w:snapToGrid w:val="0"/>
        </w:rPr>
      </w:pPr>
      <w:bookmarkStart w:id="905" w:name="_Toc129078055"/>
      <w:r>
        <w:rPr>
          <w:rStyle w:val="CharSectno"/>
        </w:rPr>
        <w:lastRenderedPageBreak/>
        <w:t>18A</w:t>
      </w:r>
      <w:r>
        <w:rPr>
          <w:snapToGrid w:val="0"/>
        </w:rPr>
        <w:t>.</w:t>
      </w:r>
      <w:r>
        <w:rPr>
          <w:snapToGrid w:val="0"/>
        </w:rPr>
        <w:tab/>
        <w:t>Time for service where appearance not required</w:t>
      </w:r>
      <w:bookmarkEnd w:id="905"/>
      <w:r>
        <w:rPr>
          <w:snapToGrid w:val="0"/>
        </w:rPr>
        <w:t xml:space="preserve"> </w:t>
      </w:r>
    </w:p>
    <w:p>
      <w:pPr>
        <w:pStyle w:val="Subsection"/>
        <w:keepNext/>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Gazette 3 Oct 1975 p. 3770.] </w:t>
      </w:r>
    </w:p>
    <w:p>
      <w:pPr>
        <w:pStyle w:val="Heading5"/>
        <w:rPr>
          <w:snapToGrid w:val="0"/>
        </w:rPr>
      </w:pPr>
      <w:bookmarkStart w:id="906" w:name="_Toc129078056"/>
      <w:r>
        <w:rPr>
          <w:rStyle w:val="CharSectno"/>
        </w:rPr>
        <w:t>19</w:t>
      </w:r>
      <w:r>
        <w:rPr>
          <w:snapToGrid w:val="0"/>
        </w:rPr>
        <w:t>.</w:t>
      </w:r>
      <w:r>
        <w:rPr>
          <w:snapToGrid w:val="0"/>
        </w:rPr>
        <w:tab/>
        <w:t>Fixing time for hearing summons</w:t>
      </w:r>
      <w:bookmarkEnd w:id="906"/>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xml:space="preserve">, obtain an appointment for the attendance of the parties for the hearing of the summons and a day and </w:t>
      </w:r>
      <w:r>
        <w:t>time must be fixed by a notice in Form 76 which must be sealed with the seal of the Court.</w:t>
      </w:r>
    </w:p>
    <w:p>
      <w:pPr>
        <w:pStyle w:val="Subsection"/>
      </w:pPr>
      <w:r>
        <w:tab/>
        <w:t>(2)</w:t>
      </w:r>
      <w:r>
        <w:tab/>
        <w:t xml:space="preserve">The plaintiff must not apply for an appointment under subrule (1) unless — </w:t>
      </w:r>
    </w:p>
    <w:p>
      <w:pPr>
        <w:pStyle w:val="Indenta"/>
      </w:pPr>
      <w:r>
        <w:tab/>
        <w:t>(a)</w:t>
      </w:r>
      <w:r>
        <w:tab/>
        <w:t xml:space="preserve">the plaintiff is ready to proceed; and </w:t>
      </w:r>
    </w:p>
    <w:p>
      <w:pPr>
        <w:pStyle w:val="Indenta"/>
      </w:pPr>
      <w:r>
        <w:tab/>
        <w:t>(b)</w:t>
      </w:r>
      <w:r>
        <w:tab/>
        <w:t>as far as is known to the plaintiff, the matter is ready for hearing.</w:t>
      </w:r>
    </w:p>
    <w:p>
      <w:pPr>
        <w:pStyle w:val="Subsection"/>
      </w:pPr>
      <w:r>
        <w:tab/>
        <w:t>(3)</w:t>
      </w:r>
      <w:r>
        <w:tab/>
        <w:t xml:space="preserve">Unless the Court orders otherwise, at least 14 days before the time fixed for the hearing of the originating summons, the plaintiff must serve upon each defendant who has entered an appearance a copy of — </w:t>
      </w:r>
    </w:p>
    <w:p>
      <w:pPr>
        <w:pStyle w:val="Indenta"/>
      </w:pPr>
      <w:r>
        <w:tab/>
        <w:t>(a)</w:t>
      </w:r>
      <w:r>
        <w:tab/>
        <w:t xml:space="preserve">the notice in Form 76; and </w:t>
      </w:r>
    </w:p>
    <w:p>
      <w:pPr>
        <w:pStyle w:val="Indenta"/>
      </w:pPr>
      <w:r>
        <w:tab/>
        <w:t>(b)</w:t>
      </w:r>
      <w:r>
        <w:tab/>
        <w:t>each affidavit in support, not being an affidavit in reply to an affidavit filed by a defendant.</w:t>
      </w:r>
    </w:p>
    <w:p>
      <w:pPr>
        <w:pStyle w:val="Subsection"/>
      </w:pPr>
      <w:r>
        <w:lastRenderedPageBreak/>
        <w:tab/>
        <w:t>(4)</w:t>
      </w:r>
      <w:r>
        <w:tab/>
        <w:t xml:space="preserve">If a plaintiff has not applied for an appointment under subrule (1) — </w:t>
      </w:r>
    </w:p>
    <w:p>
      <w:pPr>
        <w:pStyle w:val="Indenta"/>
      </w:pPr>
      <w:r>
        <w:tab/>
        <w:t>(a)</w:t>
      </w:r>
      <w:r>
        <w:tab/>
        <w:t>a defendant who has entered an appearance may, with the leave of the Court, and on any terms that the Court may order, obtain an appointment for the hearing of the originating summons fixed by a notice in Form 76 which must be sealed with the seal of the Court; and</w:t>
      </w:r>
    </w:p>
    <w:p>
      <w:pPr>
        <w:pStyle w:val="Indenta"/>
      </w:pPr>
      <w:r>
        <w:tab/>
        <w:t>(b)</w:t>
      </w:r>
      <w:r>
        <w:tab/>
        <w:t>a defendant who obtains an appointment under paragraph (a) must, unless the Court orders otherwise, at least 14 days before the time fixed for the hearing, serve a copy of the notice in Form 76 on the plaintiff and every other party who has entered an appearance.</w:t>
      </w:r>
    </w:p>
    <w:p>
      <w:pPr>
        <w:pStyle w:val="Ednotesubsection"/>
      </w:pPr>
      <w:r>
        <w:tab/>
        <w:t>[(5), (6)</w:t>
      </w:r>
      <w:r>
        <w:tab/>
        <w:t>deleted]</w:t>
      </w:r>
    </w:p>
    <w:p>
      <w:pPr>
        <w:pStyle w:val="Footnotesection"/>
      </w:pPr>
      <w:r>
        <w:tab/>
        <w:t>[Rule 19 inserted: Gazette 3 Oct 1975 p. 3770; amended: Gazette 28 Jun 2011 p. 2552</w:t>
      </w:r>
      <w:r>
        <w:noBreakHyphen/>
        <w:t>3; 16 Aug 2017 p. 4416</w:t>
      </w:r>
      <w:r>
        <w:noBreakHyphen/>
        <w:t xml:space="preserve">17; SL 2020/242 r. 5(6) and (7).] </w:t>
      </w:r>
    </w:p>
    <w:p>
      <w:pPr>
        <w:pStyle w:val="Ednotesection"/>
      </w:pPr>
      <w:r>
        <w:t>[</w:t>
      </w:r>
      <w:r>
        <w:rPr>
          <w:b/>
        </w:rPr>
        <w:t>20.</w:t>
      </w:r>
      <w:r>
        <w:tab/>
        <w:t>Deleted: Gazette 16 Aug 2017 p. 4417</w:t>
      </w:r>
    </w:p>
    <w:p>
      <w:pPr>
        <w:pStyle w:val="Heading5"/>
        <w:rPr>
          <w:snapToGrid w:val="0"/>
        </w:rPr>
      </w:pPr>
      <w:bookmarkStart w:id="907" w:name="_Toc129078057"/>
      <w:r>
        <w:rPr>
          <w:rStyle w:val="CharSectno"/>
        </w:rPr>
        <w:t>21</w:t>
      </w:r>
      <w:r>
        <w:rPr>
          <w:snapToGrid w:val="0"/>
        </w:rPr>
        <w:t>.</w:t>
      </w:r>
      <w:r>
        <w:rPr>
          <w:snapToGrid w:val="0"/>
        </w:rPr>
        <w:tab/>
        <w:t>Evidence at hearing to be by affidavit</w:t>
      </w:r>
      <w:bookmarkEnd w:id="907"/>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Gazette 3 Oct 1975 p. 3770.] </w:t>
      </w:r>
    </w:p>
    <w:p>
      <w:pPr>
        <w:pStyle w:val="Heading5"/>
        <w:rPr>
          <w:snapToGrid w:val="0"/>
        </w:rPr>
      </w:pPr>
      <w:bookmarkStart w:id="908" w:name="_Toc129078058"/>
      <w:r>
        <w:rPr>
          <w:rStyle w:val="CharSectno"/>
        </w:rPr>
        <w:t>22</w:t>
      </w:r>
      <w:r>
        <w:rPr>
          <w:snapToGrid w:val="0"/>
        </w:rPr>
        <w:t>.</w:t>
      </w:r>
      <w:r>
        <w:rPr>
          <w:snapToGrid w:val="0"/>
        </w:rPr>
        <w:tab/>
        <w:t>Hearings in absence of party</w:t>
      </w:r>
      <w:bookmarkEnd w:id="908"/>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lastRenderedPageBreak/>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09" w:name="_Toc129078059"/>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909"/>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910" w:name="_Toc129078060"/>
      <w:r>
        <w:rPr>
          <w:rStyle w:val="CharSectno"/>
        </w:rPr>
        <w:t>24</w:t>
      </w:r>
      <w:r>
        <w:rPr>
          <w:snapToGrid w:val="0"/>
        </w:rPr>
        <w:t>.</w:t>
      </w:r>
      <w:r>
        <w:rPr>
          <w:snapToGrid w:val="0"/>
        </w:rPr>
        <w:tab/>
        <w:t>Costs thrown away by non</w:t>
      </w:r>
      <w:r>
        <w:rPr>
          <w:snapToGrid w:val="0"/>
        </w:rPr>
        <w:noBreakHyphen/>
        <w:t>attendance of party</w:t>
      </w:r>
      <w:bookmarkEnd w:id="910"/>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Gazette 9 Nov 1973 p. 4165.] </w:t>
      </w:r>
    </w:p>
    <w:p>
      <w:pPr>
        <w:pStyle w:val="Heading5"/>
        <w:rPr>
          <w:snapToGrid w:val="0"/>
        </w:rPr>
      </w:pPr>
      <w:bookmarkStart w:id="911" w:name="_Toc129078061"/>
      <w:r>
        <w:rPr>
          <w:rStyle w:val="CharSectno"/>
        </w:rPr>
        <w:t>25</w:t>
      </w:r>
      <w:r>
        <w:rPr>
          <w:snapToGrid w:val="0"/>
        </w:rPr>
        <w:t>.</w:t>
      </w:r>
      <w:r>
        <w:rPr>
          <w:snapToGrid w:val="0"/>
        </w:rPr>
        <w:tab/>
        <w:t>Hearings not completed on hearing date</w:t>
      </w:r>
      <w:bookmarkEnd w:id="911"/>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912" w:name="_Toc129078062"/>
      <w:r>
        <w:rPr>
          <w:rStyle w:val="CharSectno"/>
        </w:rPr>
        <w:t>26</w:t>
      </w:r>
      <w:r>
        <w:rPr>
          <w:snapToGrid w:val="0"/>
        </w:rPr>
        <w:t>.</w:t>
      </w:r>
      <w:r>
        <w:rPr>
          <w:snapToGrid w:val="0"/>
        </w:rPr>
        <w:tab/>
        <w:t>Other matters that may be included in one summons</w:t>
      </w:r>
      <w:bookmarkEnd w:id="912"/>
    </w:p>
    <w:p>
      <w:pPr>
        <w:pStyle w:val="Subsection"/>
        <w:rPr>
          <w:snapToGrid w:val="0"/>
        </w:rPr>
      </w:pPr>
      <w:r>
        <w:rPr>
          <w:snapToGrid w:val="0"/>
        </w:rPr>
        <w:tab/>
      </w:r>
      <w:r>
        <w:rPr>
          <w:snapToGrid w:val="0"/>
        </w:rPr>
        <w:tab/>
        <w:t xml:space="preserve">In every cause or matter where any party thereto makes any application at chambers, either by way of originating summons, summons or otherwise, he shall be at liberty to include in one and the same application all matters upon which he then desires </w:t>
      </w:r>
      <w:r>
        <w:rPr>
          <w:snapToGrid w:val="0"/>
        </w:rPr>
        <w:lastRenderedPageBreak/>
        <w:t>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Gazette 9 Nov 1973 p. 4165.] </w:t>
      </w:r>
    </w:p>
    <w:p>
      <w:pPr>
        <w:pStyle w:val="Heading5"/>
        <w:rPr>
          <w:snapToGrid w:val="0"/>
        </w:rPr>
      </w:pPr>
      <w:bookmarkStart w:id="913" w:name="_Toc129078063"/>
      <w:r>
        <w:rPr>
          <w:rStyle w:val="CharSectno"/>
        </w:rPr>
        <w:t>27</w:t>
      </w:r>
      <w:r>
        <w:rPr>
          <w:snapToGrid w:val="0"/>
        </w:rPr>
        <w:t>.</w:t>
      </w:r>
      <w:r>
        <w:rPr>
          <w:snapToGrid w:val="0"/>
        </w:rPr>
        <w:tab/>
        <w:t>Directions as to hearings, evidence etc.</w:t>
      </w:r>
      <w:bookmarkEnd w:id="913"/>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14" w:name="_Toc129078064"/>
      <w:r>
        <w:rPr>
          <w:rStyle w:val="CharSectno"/>
        </w:rPr>
        <w:t>28</w:t>
      </w:r>
      <w:r>
        <w:rPr>
          <w:snapToGrid w:val="0"/>
        </w:rPr>
        <w:t>.</w:t>
      </w:r>
      <w:r>
        <w:rPr>
          <w:snapToGrid w:val="0"/>
        </w:rPr>
        <w:tab/>
        <w:t>Adjourning hearings</w:t>
      </w:r>
      <w:bookmarkEnd w:id="914"/>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lastRenderedPageBreak/>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Gazette 3 Oct 1975 p. 3771; 28 Jun 2011 p. 2552.] </w:t>
      </w:r>
    </w:p>
    <w:p>
      <w:pPr>
        <w:pStyle w:val="Heading5"/>
        <w:rPr>
          <w:snapToGrid w:val="0"/>
        </w:rPr>
      </w:pPr>
      <w:bookmarkStart w:id="915" w:name="_Toc129078065"/>
      <w:r>
        <w:rPr>
          <w:rStyle w:val="CharSectno"/>
        </w:rPr>
        <w:t>29</w:t>
      </w:r>
      <w:r>
        <w:rPr>
          <w:snapToGrid w:val="0"/>
        </w:rPr>
        <w:t>.</w:t>
      </w:r>
      <w:r>
        <w:rPr>
          <w:snapToGrid w:val="0"/>
        </w:rPr>
        <w:tab/>
        <w:t>Court’s powers and procedure at hearings</w:t>
      </w:r>
      <w:bookmarkEnd w:id="915"/>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16" w:name="_Toc129078066"/>
      <w:r>
        <w:rPr>
          <w:rStyle w:val="CharSectno"/>
        </w:rPr>
        <w:t>30</w:t>
      </w:r>
      <w:r>
        <w:rPr>
          <w:snapToGrid w:val="0"/>
        </w:rPr>
        <w:t>.</w:t>
      </w:r>
      <w:r>
        <w:rPr>
          <w:snapToGrid w:val="0"/>
        </w:rPr>
        <w:tab/>
      </w:r>
      <w:r>
        <w:rPr>
          <w:i/>
          <w:snapToGrid w:val="0"/>
        </w:rPr>
        <w:t xml:space="preserve">Transfer of Land Act 1893 </w:t>
      </w:r>
      <w:r>
        <w:rPr>
          <w:snapToGrid w:val="0"/>
        </w:rPr>
        <w:t>s. 129C applications, directions as to</w:t>
      </w:r>
      <w:bookmarkEnd w:id="916"/>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lastRenderedPageBreak/>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Ednotesubsection"/>
      </w:pPr>
      <w:r>
        <w:tab/>
        <w:t>[(3)</w:t>
      </w:r>
      <w:r>
        <w:tab/>
        <w:t>deleted]</w:t>
      </w:r>
    </w:p>
    <w:p>
      <w:pPr>
        <w:pStyle w:val="Footnotesection"/>
      </w:pPr>
      <w:r>
        <w:tab/>
        <w:t>[Rule 30 inserted: Gazette 24 Jun 1977 p. 1914</w:t>
      </w:r>
      <w:r>
        <w:noBreakHyphen/>
        <w:t xml:space="preserve">15; amended: Gazette 30 Jul 1982 p. 2946; 30 Nov 1984 p. 3951; 13 Nov 2015 p. 4646.] </w:t>
      </w:r>
    </w:p>
    <w:p>
      <w:pPr>
        <w:pStyle w:val="Heading2"/>
        <w:rPr>
          <w:b w:val="0"/>
        </w:rPr>
      </w:pPr>
      <w:bookmarkStart w:id="917" w:name="_Toc129073995"/>
      <w:bookmarkStart w:id="918" w:name="_Toc129075278"/>
      <w:bookmarkStart w:id="919" w:name="_Toc129078067"/>
      <w:r>
        <w:rPr>
          <w:rStyle w:val="CharPartNo"/>
        </w:rPr>
        <w:lastRenderedPageBreak/>
        <w:t>Order 59</w:t>
      </w:r>
      <w:r>
        <w:rPr>
          <w:rStyle w:val="CharDivNo"/>
        </w:rPr>
        <w:t> </w:t>
      </w:r>
      <w:r>
        <w:t>—</w:t>
      </w:r>
      <w:r>
        <w:rPr>
          <w:rStyle w:val="CharDivText"/>
        </w:rPr>
        <w:t> </w:t>
      </w:r>
      <w:r>
        <w:rPr>
          <w:rStyle w:val="CharPartText"/>
        </w:rPr>
        <w:t>Applications and proceedings in chambers</w:t>
      </w:r>
      <w:bookmarkEnd w:id="917"/>
      <w:bookmarkEnd w:id="918"/>
      <w:bookmarkEnd w:id="919"/>
    </w:p>
    <w:p>
      <w:pPr>
        <w:pStyle w:val="Heading5"/>
        <w:rPr>
          <w:snapToGrid w:val="0"/>
        </w:rPr>
      </w:pPr>
      <w:bookmarkStart w:id="920" w:name="_Toc129078068"/>
      <w:r>
        <w:rPr>
          <w:rStyle w:val="CharSectno"/>
        </w:rPr>
        <w:t>1</w:t>
      </w:r>
      <w:r>
        <w:rPr>
          <w:snapToGrid w:val="0"/>
        </w:rPr>
        <w:t>.</w:t>
      </w:r>
      <w:r>
        <w:rPr>
          <w:snapToGrid w:val="0"/>
        </w:rPr>
        <w:tab/>
        <w:t>Business to be dealt with in chambers</w:t>
      </w:r>
      <w:bookmarkEnd w:id="920"/>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lastRenderedPageBreak/>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Gazette 28 Oct 1996 p. 5699; 21 Feb 2007 p. 562; 28 Jun 2011 p. 2555.] </w:t>
      </w:r>
    </w:p>
    <w:p>
      <w:pPr>
        <w:pStyle w:val="Heading5"/>
        <w:rPr>
          <w:snapToGrid w:val="0"/>
        </w:rPr>
      </w:pPr>
      <w:bookmarkStart w:id="921" w:name="_Toc129078069"/>
      <w:r>
        <w:rPr>
          <w:rStyle w:val="CharSectno"/>
        </w:rPr>
        <w:t>2</w:t>
      </w:r>
      <w:r>
        <w:rPr>
          <w:snapToGrid w:val="0"/>
        </w:rPr>
        <w:t>.</w:t>
      </w:r>
      <w:r>
        <w:rPr>
          <w:snapToGrid w:val="0"/>
        </w:rPr>
        <w:tab/>
        <w:t>Hearings may be in open court or chambers</w:t>
      </w:r>
      <w:bookmarkEnd w:id="921"/>
    </w:p>
    <w:p>
      <w:pPr>
        <w:pStyle w:val="Subsection"/>
        <w:rPr>
          <w:snapToGrid w:val="0"/>
        </w:rPr>
      </w:pPr>
      <w:r>
        <w:rPr>
          <w:snapToGrid w:val="0"/>
        </w:rPr>
        <w:tab/>
        <w:t>(1)</w:t>
      </w:r>
      <w:r>
        <w:rPr>
          <w:snapToGrid w:val="0"/>
        </w:rPr>
        <w:tab/>
        <w:t xml:space="preserve">Where in any cause or matter commenced by originating summons it appears to the Court at any stage of the proceedings, that the proceedings should for any reason be heard in open court, the Court may order that the hearing or further hearing of </w:t>
      </w:r>
      <w:r>
        <w:rPr>
          <w:snapToGrid w:val="0"/>
        </w:rPr>
        <w:lastRenderedPageBreak/>
        <w:t>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922" w:name="_Toc129078070"/>
      <w:r>
        <w:rPr>
          <w:rStyle w:val="CharSectno"/>
        </w:rPr>
        <w:t>3</w:t>
      </w:r>
      <w:r>
        <w:rPr>
          <w:snapToGrid w:val="0"/>
        </w:rPr>
        <w:t>.</w:t>
      </w:r>
      <w:r>
        <w:rPr>
          <w:snapToGrid w:val="0"/>
        </w:rPr>
        <w:tab/>
        <w:t>Applications in chambers</w:t>
      </w:r>
      <w:bookmarkEnd w:id="922"/>
    </w:p>
    <w:p>
      <w:pPr>
        <w:pStyle w:val="Subsection"/>
      </w:pPr>
      <w:r>
        <w:tab/>
        <w:t>(1)</w:t>
      </w:r>
      <w:r>
        <w:tab/>
        <w:t xml:space="preserve">If these rules do not require or authorise an application in chambers to be made in some other manner — </w:t>
      </w:r>
    </w:p>
    <w:p>
      <w:pPr>
        <w:pStyle w:val="Indenta"/>
      </w:pPr>
      <w:r>
        <w:tab/>
        <w:t>(a)</w:t>
      </w:r>
      <w:r>
        <w:tab/>
        <w:t>an application to commence proceedings in chambers must be made by originating summons; and</w:t>
      </w:r>
    </w:p>
    <w:p>
      <w:pPr>
        <w:pStyle w:val="Indenta"/>
      </w:pPr>
      <w:r>
        <w:tab/>
        <w:t>(b)</w:t>
      </w:r>
      <w:r>
        <w:tab/>
        <w:t>any other application in chambers must be made —</w:t>
      </w:r>
    </w:p>
    <w:p>
      <w:pPr>
        <w:pStyle w:val="Indenti"/>
      </w:pPr>
      <w:r>
        <w:tab/>
        <w:t>(i)</w:t>
      </w:r>
      <w:r>
        <w:tab/>
        <w:t>if it is ex parte, by motion; or</w:t>
      </w:r>
    </w:p>
    <w:p>
      <w:pPr>
        <w:pStyle w:val="Indenti"/>
      </w:pPr>
      <w:r>
        <w:tab/>
        <w:t>(ii)</w:t>
      </w:r>
      <w:r>
        <w:tab/>
        <w:t>in any other case, by summons.</w:t>
      </w:r>
    </w:p>
    <w:p>
      <w:pPr>
        <w:pStyle w:val="Ednotesubsection"/>
      </w:pPr>
      <w:r>
        <w:tab/>
        <w:t>[(2)</w:t>
      </w:r>
      <w:r>
        <w:tab/>
        <w:t>deleted]</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Gazette 28 Oct 1996 p. 5699</w:t>
      </w:r>
      <w:r>
        <w:noBreakHyphen/>
        <w:t>700; amended: Gazette 28 Jul 2010 p. 3467; 16 Aug 2017 p. 4417</w:t>
      </w:r>
      <w:r>
        <w:noBreakHyphen/>
        <w:t xml:space="preserve">18.] </w:t>
      </w:r>
    </w:p>
    <w:p>
      <w:pPr>
        <w:pStyle w:val="Heading5"/>
        <w:rPr>
          <w:snapToGrid w:val="0"/>
        </w:rPr>
      </w:pPr>
      <w:bookmarkStart w:id="923" w:name="_Toc129078071"/>
      <w:r>
        <w:rPr>
          <w:rStyle w:val="CharSectno"/>
        </w:rPr>
        <w:t>4</w:t>
      </w:r>
      <w:r>
        <w:rPr>
          <w:snapToGrid w:val="0"/>
        </w:rPr>
        <w:t>.</w:t>
      </w:r>
      <w:r>
        <w:rPr>
          <w:snapToGrid w:val="0"/>
        </w:rPr>
        <w:tab/>
        <w:t>Form and issue of summons</w:t>
      </w:r>
      <w:bookmarkEnd w:id="923"/>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 xml:space="preserve">A summons is issued by being sealed </w:t>
      </w:r>
      <w:r>
        <w:t>with the seal of the Court.</w:t>
      </w:r>
    </w:p>
    <w:p>
      <w:pPr>
        <w:pStyle w:val="Ednotesubsection"/>
      </w:pPr>
      <w:r>
        <w:tab/>
        <w:t>[(3)</w:t>
      </w:r>
      <w:r>
        <w:tab/>
        <w:t>deleted]</w:t>
      </w:r>
    </w:p>
    <w:p>
      <w:pPr>
        <w:pStyle w:val="Subsection"/>
        <w:keepNext/>
        <w:rPr>
          <w:snapToGrid w:val="0"/>
        </w:rPr>
      </w:pPr>
      <w:r>
        <w:rPr>
          <w:snapToGrid w:val="0"/>
        </w:rPr>
        <w:lastRenderedPageBreak/>
        <w:tab/>
        <w:t>(4)</w:t>
      </w:r>
      <w:r>
        <w:rPr>
          <w:snapToGrid w:val="0"/>
        </w:rPr>
        <w:tab/>
        <w:t xml:space="preserve">A summons </w:t>
      </w:r>
      <w:r>
        <w:t>must</w:t>
      </w:r>
      <w:r>
        <w:rPr>
          <w:snapToGrid w:val="0"/>
        </w:rPr>
        <w:t xml:space="preserve"> not be amended after issue except with the leave of the Court.</w:t>
      </w:r>
    </w:p>
    <w:p>
      <w:pPr>
        <w:pStyle w:val="Footnotesection"/>
      </w:pPr>
      <w:r>
        <w:tab/>
        <w:t>[Rule 4 amended: SL 2020/242 r. 6.]</w:t>
      </w:r>
    </w:p>
    <w:p>
      <w:pPr>
        <w:pStyle w:val="Heading5"/>
        <w:rPr>
          <w:snapToGrid w:val="0"/>
        </w:rPr>
      </w:pPr>
      <w:bookmarkStart w:id="924" w:name="_Toc129078072"/>
      <w:r>
        <w:rPr>
          <w:rStyle w:val="CharSectno"/>
        </w:rPr>
        <w:t>5</w:t>
      </w:r>
      <w:r>
        <w:rPr>
          <w:snapToGrid w:val="0"/>
        </w:rPr>
        <w:t>.</w:t>
      </w:r>
      <w:r>
        <w:rPr>
          <w:snapToGrid w:val="0"/>
        </w:rPr>
        <w:tab/>
        <w:t>Summons, service of</w:t>
      </w:r>
      <w:bookmarkEnd w:id="924"/>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Gazette 3 Oct 1975 p. 3771; 28 Jun 2011 p. 2552.] </w:t>
      </w:r>
    </w:p>
    <w:p>
      <w:pPr>
        <w:pStyle w:val="Heading5"/>
        <w:rPr>
          <w:snapToGrid w:val="0"/>
        </w:rPr>
      </w:pPr>
      <w:bookmarkStart w:id="925" w:name="_Toc129078073"/>
      <w:r>
        <w:rPr>
          <w:rStyle w:val="CharSectno"/>
        </w:rPr>
        <w:t>6</w:t>
      </w:r>
      <w:r>
        <w:rPr>
          <w:snapToGrid w:val="0"/>
        </w:rPr>
        <w:t>.</w:t>
      </w:r>
      <w:r>
        <w:rPr>
          <w:snapToGrid w:val="0"/>
        </w:rPr>
        <w:tab/>
        <w:t>Experts, assistance of</w:t>
      </w:r>
      <w:bookmarkEnd w:id="925"/>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926" w:name="_Toc129078074"/>
      <w:r>
        <w:rPr>
          <w:rStyle w:val="CharSectno"/>
        </w:rPr>
        <w:t>7</w:t>
      </w:r>
      <w:r>
        <w:rPr>
          <w:snapToGrid w:val="0"/>
        </w:rPr>
        <w:t>.</w:t>
      </w:r>
      <w:r>
        <w:rPr>
          <w:snapToGrid w:val="0"/>
        </w:rPr>
        <w:tab/>
        <w:t>Application of O. 58 r. 22 to 28</w:t>
      </w:r>
      <w:bookmarkEnd w:id="926"/>
      <w:r>
        <w:rPr>
          <w:snapToGrid w:val="0"/>
        </w:rPr>
        <w:t xml:space="preserve"> </w:t>
      </w:r>
    </w:p>
    <w:p>
      <w:pPr>
        <w:pStyle w:val="Subsection"/>
        <w:rPr>
          <w:snapToGrid w:val="0"/>
        </w:rPr>
      </w:pPr>
      <w:r>
        <w:rPr>
          <w:snapToGrid w:val="0"/>
        </w:rPr>
        <w:tab/>
      </w:r>
      <w:r>
        <w:rPr>
          <w:snapToGrid w:val="0"/>
        </w:rPr>
        <w:tab/>
        <w:t xml:space="preserve">Order 58 rules 22 to 28, with any necessary changes, apply in relation to an application in chambers under this Order in the </w:t>
      </w:r>
      <w:r>
        <w:rPr>
          <w:snapToGrid w:val="0"/>
        </w:rPr>
        <w:lastRenderedPageBreak/>
        <w:t>same way as they apply to an application made by originating summons.</w:t>
      </w:r>
    </w:p>
    <w:p>
      <w:pPr>
        <w:pStyle w:val="Footnotesection"/>
      </w:pPr>
      <w:r>
        <w:tab/>
        <w:t xml:space="preserve">[Rule 7 inserted: Gazette 28 Oct 1996 p. 5700.] </w:t>
      </w:r>
    </w:p>
    <w:p>
      <w:pPr>
        <w:pStyle w:val="Heading5"/>
        <w:rPr>
          <w:snapToGrid w:val="0"/>
        </w:rPr>
      </w:pPr>
      <w:bookmarkStart w:id="927" w:name="_Toc129078075"/>
      <w:r>
        <w:rPr>
          <w:rStyle w:val="CharSectno"/>
        </w:rPr>
        <w:t>8</w:t>
      </w:r>
      <w:r>
        <w:rPr>
          <w:snapToGrid w:val="0"/>
        </w:rPr>
        <w:t>.</w:t>
      </w:r>
      <w:r>
        <w:rPr>
          <w:snapToGrid w:val="0"/>
        </w:rPr>
        <w:tab/>
        <w:t>Stay of proceedings, ordering</w:t>
      </w:r>
      <w:bookmarkEnd w:id="927"/>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928" w:name="_Toc129078076"/>
      <w:r>
        <w:rPr>
          <w:rStyle w:val="CharSectno"/>
        </w:rPr>
        <w:t>9</w:t>
      </w:r>
      <w:r>
        <w:rPr>
          <w:snapToGrid w:val="0"/>
        </w:rPr>
        <w:t>.</w:t>
      </w:r>
      <w:r>
        <w:rPr>
          <w:snapToGrid w:val="0"/>
        </w:rPr>
        <w:tab/>
        <w:t>Parties to confer before making application</w:t>
      </w:r>
      <w:bookmarkEnd w:id="928"/>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Gazette 28 Oct 1996 p. 5700; amended: Gazette 28 Jun 2011 p. 2552.] </w:t>
      </w:r>
    </w:p>
    <w:p>
      <w:pPr>
        <w:pStyle w:val="Heading5"/>
        <w:rPr>
          <w:snapToGrid w:val="0"/>
        </w:rPr>
      </w:pPr>
      <w:bookmarkStart w:id="929" w:name="_Toc129078077"/>
      <w:r>
        <w:rPr>
          <w:rStyle w:val="CharSectno"/>
        </w:rPr>
        <w:t>10</w:t>
      </w:r>
      <w:r>
        <w:rPr>
          <w:snapToGrid w:val="0"/>
        </w:rPr>
        <w:t>.</w:t>
      </w:r>
      <w:r>
        <w:rPr>
          <w:snapToGrid w:val="0"/>
        </w:rPr>
        <w:tab/>
        <w:t>Orders, form of</w:t>
      </w:r>
      <w:bookmarkEnd w:id="929"/>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Gazette 10 Jan 1975 p. 51; amended: Gazette 28 Jun 2011 p. 2552.] </w:t>
      </w:r>
    </w:p>
    <w:p>
      <w:pPr>
        <w:pStyle w:val="Heading2"/>
      </w:pPr>
      <w:bookmarkStart w:id="930" w:name="_Toc129074006"/>
      <w:bookmarkStart w:id="931" w:name="_Toc129075289"/>
      <w:bookmarkStart w:id="932" w:name="_Toc129078078"/>
      <w:r>
        <w:rPr>
          <w:rStyle w:val="CharPartNo"/>
        </w:rPr>
        <w:lastRenderedPageBreak/>
        <w:t>Order 60</w:t>
      </w:r>
      <w:r>
        <w:rPr>
          <w:b w:val="0"/>
        </w:rPr>
        <w:t> </w:t>
      </w:r>
      <w:r>
        <w:t>—</w:t>
      </w:r>
      <w:r>
        <w:rPr>
          <w:b w:val="0"/>
        </w:rPr>
        <w:t> </w:t>
      </w:r>
      <w:r>
        <w:rPr>
          <w:rStyle w:val="CharPartText"/>
        </w:rPr>
        <w:t>Masters’ jurisdiction</w:t>
      </w:r>
      <w:bookmarkEnd w:id="930"/>
      <w:bookmarkEnd w:id="931"/>
      <w:bookmarkEnd w:id="932"/>
    </w:p>
    <w:p>
      <w:pPr>
        <w:pStyle w:val="Footnotesection"/>
      </w:pPr>
      <w:r>
        <w:tab/>
        <w:t>[Heading inserted: Gazette 21 Feb 2007 p. 562.]</w:t>
      </w:r>
    </w:p>
    <w:p>
      <w:pPr>
        <w:pStyle w:val="Heading5"/>
      </w:pPr>
      <w:bookmarkStart w:id="933" w:name="_Toc129078079"/>
      <w:r>
        <w:rPr>
          <w:rStyle w:val="CharSectno"/>
        </w:rPr>
        <w:t>1</w:t>
      </w:r>
      <w:r>
        <w:t>.</w:t>
      </w:r>
      <w:r>
        <w:tab/>
        <w:t>Masters’ general jurisdiction</w:t>
      </w:r>
      <w:bookmarkEnd w:id="933"/>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 xml:space="preserve">proceedings relating to the liberty of a person including seeking a writ of </w:t>
      </w:r>
      <w:r>
        <w:rPr>
          <w:i/>
        </w:rPr>
        <w:t>habeas corpus ad subjiciendum</w:t>
      </w:r>
      <w:r>
        <w:t xml:space="preserve"> under Order 57;</w:t>
      </w:r>
    </w:p>
    <w:p>
      <w:pPr>
        <w:pStyle w:val="Indenta"/>
      </w:pPr>
      <w:r>
        <w:tab/>
        <w:t>(b)</w:t>
      </w:r>
      <w:r>
        <w:tab/>
        <w:t>proceedings for contempt of court;</w:t>
      </w:r>
    </w:p>
    <w:p>
      <w:pPr>
        <w:pStyle w:val="Indenta"/>
      </w:pPr>
      <w:r>
        <w:tab/>
        <w:t>(c)</w:t>
      </w:r>
      <w:r>
        <w:tab/>
        <w:t xml:space="preserve">proceedings seeking judicial review under Order 56, other than proceedings relating to the adjudication or purported adjudication of a payment dispute under the </w:t>
      </w:r>
      <w:r>
        <w:rPr>
          <w:i/>
        </w:rPr>
        <w:t>Construction Contracts Act 2004</w:t>
      </w:r>
      <w:r>
        <w:t xml:space="preserve"> Part 3;</w:t>
      </w:r>
    </w:p>
    <w:p>
      <w:pPr>
        <w:pStyle w:val="Indenta"/>
      </w:pPr>
      <w:r>
        <w:tab/>
        <w:t>(d)</w:t>
      </w:r>
      <w:r>
        <w:tab/>
        <w:t xml:space="preserve">proceedings seeking a review order under the </w:t>
      </w:r>
      <w:r>
        <w:rPr>
          <w:i/>
        </w:rPr>
        <w:t>Magistrates Court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lastRenderedPageBreak/>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 xml:space="preserve">For the purposes of any proceedings before him or her, a master may exercise the powers of the Court under the </w:t>
      </w:r>
      <w:r>
        <w:rPr>
          <w:i/>
        </w:rPr>
        <w:t>Evidence Act 1906</w:t>
      </w:r>
      <w:r>
        <w:t xml:space="preserve"> section 16(1)(b), 51 or 52.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Gazette 21 Feb 2007 p. 562</w:t>
      </w:r>
      <w:r>
        <w:noBreakHyphen/>
        <w:t>3; amended: Gazette 13 Nov 2015 p. 4646.]</w:t>
      </w:r>
    </w:p>
    <w:p>
      <w:pPr>
        <w:pStyle w:val="Heading5"/>
      </w:pPr>
      <w:bookmarkStart w:id="934" w:name="_Toc129078080"/>
      <w:r>
        <w:rPr>
          <w:rStyle w:val="CharSectno"/>
        </w:rPr>
        <w:t>2</w:t>
      </w:r>
      <w:r>
        <w:t>.</w:t>
      </w:r>
      <w:r>
        <w:tab/>
        <w:t>Master may refer matter to judge or Court of Appeal</w:t>
      </w:r>
      <w:bookmarkEnd w:id="934"/>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Gazette 21 Feb 2007 p. 563.]</w:t>
      </w:r>
    </w:p>
    <w:p>
      <w:pPr>
        <w:pStyle w:val="Heading2"/>
        <w:rPr>
          <w:b w:val="0"/>
        </w:rPr>
      </w:pPr>
      <w:bookmarkStart w:id="935" w:name="_Toc129074009"/>
      <w:bookmarkStart w:id="936" w:name="_Toc129075292"/>
      <w:bookmarkStart w:id="937" w:name="_Toc129078081"/>
      <w:r>
        <w:rPr>
          <w:rStyle w:val="CharPartNo"/>
        </w:rPr>
        <w:lastRenderedPageBreak/>
        <w:t>Order 60A</w:t>
      </w:r>
      <w:r>
        <w:rPr>
          <w:rStyle w:val="CharDivNo"/>
        </w:rPr>
        <w:t> </w:t>
      </w:r>
      <w:r>
        <w:t>—</w:t>
      </w:r>
      <w:r>
        <w:rPr>
          <w:rStyle w:val="CharDivText"/>
        </w:rPr>
        <w:t> </w:t>
      </w:r>
      <w:r>
        <w:rPr>
          <w:rStyle w:val="CharPartText"/>
        </w:rPr>
        <w:t>Jurisdiction of registrars and appeals from registrars’ decisions</w:t>
      </w:r>
      <w:bookmarkEnd w:id="935"/>
      <w:bookmarkEnd w:id="936"/>
      <w:bookmarkEnd w:id="937"/>
    </w:p>
    <w:p>
      <w:pPr>
        <w:pStyle w:val="Footnoteheading"/>
        <w:ind w:left="890"/>
        <w:rPr>
          <w:snapToGrid w:val="0"/>
        </w:rPr>
      </w:pPr>
      <w:r>
        <w:rPr>
          <w:snapToGrid w:val="0"/>
        </w:rPr>
        <w:tab/>
        <w:t>[Heading inserted: Gazette 28 Oct 1996 p. 5701.]</w:t>
      </w:r>
    </w:p>
    <w:p>
      <w:pPr>
        <w:pStyle w:val="Heading5"/>
        <w:spacing w:before="260"/>
        <w:rPr>
          <w:snapToGrid w:val="0"/>
        </w:rPr>
      </w:pPr>
      <w:bookmarkStart w:id="938" w:name="_Toc129078082"/>
      <w:r>
        <w:rPr>
          <w:rStyle w:val="CharSectno"/>
        </w:rPr>
        <w:t>1</w:t>
      </w:r>
      <w:r>
        <w:rPr>
          <w:snapToGrid w:val="0"/>
        </w:rPr>
        <w:t>.</w:t>
      </w:r>
      <w:r>
        <w:rPr>
          <w:snapToGrid w:val="0"/>
        </w:rPr>
        <w:tab/>
      </w:r>
      <w:r>
        <w:rPr>
          <w:szCs w:val="24"/>
        </w:rPr>
        <w:t>Registrars’ general jurisdiction</w:t>
      </w:r>
      <w:bookmarkEnd w:id="938"/>
    </w:p>
    <w:p>
      <w:pPr>
        <w:pStyle w:val="Subsection"/>
      </w:pPr>
      <w:r>
        <w:rPr>
          <w:snapToGrid w:val="0"/>
        </w:rPr>
        <w:tab/>
      </w:r>
      <w:r>
        <w:t>(1)</w:t>
      </w:r>
      <w:r>
        <w:tab/>
        <w:t>A registrar</w:t>
      </w:r>
      <w:r>
        <w:rPr>
          <w:snapToGrid w:val="0"/>
        </w:rPr>
        <w:t xml:space="preserve"> may exercise these powers of the Court </w:t>
      </w:r>
      <w:r>
        <w:t>— </w:t>
      </w:r>
    </w:p>
    <w:p>
      <w:pPr>
        <w:pStyle w:val="Ednotepara"/>
        <w:rPr>
          <w:snapToGrid w:val="0"/>
        </w:rPr>
      </w:pPr>
      <w:r>
        <w:rPr>
          <w:snapToGrid w:val="0"/>
        </w:rPr>
        <w:tab/>
        <w:t>[(aa)</w:t>
      </w:r>
      <w:r>
        <w:rPr>
          <w:snapToGrid w:val="0"/>
        </w:rPr>
        <w:tab/>
        <w:t>deleted]</w:t>
      </w:r>
    </w:p>
    <w:p>
      <w:pPr>
        <w:pStyle w:val="Indenta"/>
        <w:spacing w:before="120"/>
        <w:rPr>
          <w:snapToGrid w:val="0"/>
        </w:rPr>
      </w:pPr>
      <w:r>
        <w:rPr>
          <w:snapToGrid w:val="0"/>
        </w:rPr>
        <w:tab/>
        <w:t>(a)</w:t>
      </w:r>
      <w:r>
        <w:rPr>
          <w:snapToGrid w:val="0"/>
        </w:rPr>
        <w:tab/>
        <w:t>under Order 42 rule 8, to obtain the consent of a defendant in person;</w:t>
      </w:r>
    </w:p>
    <w:p>
      <w:pPr>
        <w:pStyle w:val="Indenta"/>
      </w:pPr>
      <w:r>
        <w:tab/>
        <w:t>(b)</w:t>
      </w:r>
      <w:r>
        <w:tab/>
        <w:t>under Order 67B, the Court’s powers in relation to access to information, records and other things;</w:t>
      </w:r>
    </w:p>
    <w:p>
      <w:pPr>
        <w:pStyle w:val="Ednotepara"/>
        <w:rPr>
          <w:snapToGrid w:val="0"/>
        </w:rPr>
      </w:pPr>
      <w:r>
        <w:rPr>
          <w:snapToGrid w:val="0"/>
        </w:rPr>
        <w:tab/>
        <w:t>[(c)-(d)</w:t>
      </w:r>
      <w:r>
        <w:rPr>
          <w:snapToGrid w:val="0"/>
        </w:rPr>
        <w:tab/>
        <w:t>deleted]</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Ednotesubsection"/>
      </w:pPr>
      <w:r>
        <w:tab/>
        <w:t>[(2)</w:t>
      </w:r>
      <w:r>
        <w:tab/>
        <w:t>deleted]</w:t>
      </w:r>
    </w:p>
    <w:p>
      <w:pPr>
        <w:pStyle w:val="Footnotesection"/>
        <w:spacing w:before="200"/>
        <w:ind w:left="890" w:hanging="890"/>
      </w:pPr>
      <w:r>
        <w:tab/>
        <w:t xml:space="preserve">[Rule 1 inserted: Gazette 28 Oct 1996 p. 5701; amended: Gazette 16 Jul 1999 p. 3194; 23 Jan 2001 p. 562; 27 Sep 2002 p. 4829; 21 May 2004 p. 1712; 13 Nov 2015 p. 4646-7; 16 Nov 2016 p. 5199; 16 Aug 2017 p. 4418; 27 Feb 2018 p. 572.] </w:t>
      </w:r>
    </w:p>
    <w:p>
      <w:pPr>
        <w:pStyle w:val="Heading5"/>
      </w:pPr>
      <w:bookmarkStart w:id="939" w:name="_Toc129078083"/>
      <w:r>
        <w:rPr>
          <w:rStyle w:val="CharSectno"/>
        </w:rPr>
        <w:t>2</w:t>
      </w:r>
      <w:r>
        <w:t>.</w:t>
      </w:r>
      <w:r>
        <w:tab/>
        <w:t>Registrars’ jurisdiction with respect to case management</w:t>
      </w:r>
      <w:bookmarkEnd w:id="939"/>
    </w:p>
    <w:p>
      <w:pPr>
        <w:pStyle w:val="Subsection"/>
      </w:pPr>
      <w:r>
        <w:tab/>
        <w:t>(1)</w:t>
      </w:r>
      <w:r>
        <w:tab/>
        <w:t xml:space="preserve">For the purposes of Order 4A, a registrar has, in relation to a case for which the registrar is the case manager, the same jurisdiction that a judge sitting in chambers would have under the </w:t>
      </w:r>
      <w:r>
        <w:rPr>
          <w:i/>
        </w:rPr>
        <w:t>Supreme Court Act 1935</w:t>
      </w:r>
      <w:r>
        <w:t xml:space="preserve"> or these rules if a judge were the case manager.</w:t>
      </w:r>
    </w:p>
    <w:p>
      <w:pPr>
        <w:pStyle w:val="Subsection"/>
      </w:pPr>
      <w:r>
        <w:lastRenderedPageBreak/>
        <w:tab/>
        <w:t>(2)</w:t>
      </w:r>
      <w:r>
        <w:tab/>
        <w:t xml:space="preserve">However, a registrar does not have jurisdiction under subrule (1) in respect of any of the following — </w:t>
      </w:r>
    </w:p>
    <w:p>
      <w:pPr>
        <w:pStyle w:val="Indenta"/>
      </w:pPr>
      <w:r>
        <w:tab/>
        <w:t>(a)</w:t>
      </w:r>
      <w:r>
        <w:tab/>
        <w:t xml:space="preserve">proceedings to which any of the following applies — </w:t>
      </w:r>
    </w:p>
    <w:p>
      <w:pPr>
        <w:pStyle w:val="Indenti"/>
      </w:pPr>
      <w:r>
        <w:tab/>
        <w:t>(i)</w:t>
      </w:r>
      <w:r>
        <w:tab/>
        <w:t>Order 51 (Receivers);</w:t>
      </w:r>
    </w:p>
    <w:p>
      <w:pPr>
        <w:pStyle w:val="Indenti"/>
      </w:pPr>
      <w:r>
        <w:tab/>
        <w:t>(ii)</w:t>
      </w:r>
      <w:r>
        <w:tab/>
        <w:t>Order 52 (Interlocutory injunctions, interim preservation of property);</w:t>
      </w:r>
    </w:p>
    <w:p>
      <w:pPr>
        <w:pStyle w:val="Indenti"/>
      </w:pPr>
      <w:r>
        <w:tab/>
        <w:t>(iii)</w:t>
      </w:r>
      <w:r>
        <w:tab/>
        <w:t>Order 52A (Freezing orders);</w:t>
      </w:r>
    </w:p>
    <w:p>
      <w:pPr>
        <w:pStyle w:val="Indenti"/>
      </w:pPr>
      <w:r>
        <w:tab/>
        <w:t>(iv)</w:t>
      </w:r>
      <w:r>
        <w:tab/>
        <w:t>Order 52B (Search orders);</w:t>
      </w:r>
    </w:p>
    <w:p>
      <w:pPr>
        <w:pStyle w:val="Indenti"/>
      </w:pPr>
      <w:r>
        <w:tab/>
        <w:t>(v)</w:t>
      </w:r>
      <w:r>
        <w:tab/>
        <w:t>Order 61 (Proceedings under judgments and orders);</w:t>
      </w:r>
    </w:p>
    <w:p>
      <w:pPr>
        <w:pStyle w:val="Indenti"/>
      </w:pPr>
      <w:r>
        <w:tab/>
        <w:t>(vi)</w:t>
      </w:r>
      <w:r>
        <w:tab/>
        <w:t xml:space="preserve">Order 70 rule 7 (removal of next friend or guardian </w:t>
      </w:r>
      <w:r>
        <w:rPr>
          <w:i/>
        </w:rPr>
        <w:t>ad litem</w:t>
      </w:r>
      <w:r>
        <w:t>);</w:t>
      </w:r>
    </w:p>
    <w:p>
      <w:pPr>
        <w:pStyle w:val="Indenti"/>
      </w:pPr>
      <w:r>
        <w:tab/>
        <w:t>(vii)</w:t>
      </w:r>
      <w:r>
        <w:tab/>
        <w:t>Order 70 rule 10 (approval of settlement, compromise or acceptance of money paid into court);</w:t>
      </w:r>
    </w:p>
    <w:p>
      <w:pPr>
        <w:pStyle w:val="Indenti"/>
      </w:pPr>
      <w:r>
        <w:tab/>
        <w:t>(viii)</w:t>
      </w:r>
      <w:r>
        <w:tab/>
        <w:t>Order 70 rule 11 (approval of agreement for settlement or compromise);</w:t>
      </w:r>
    </w:p>
    <w:p>
      <w:pPr>
        <w:pStyle w:val="Indenti"/>
      </w:pPr>
      <w:r>
        <w:tab/>
        <w:t>(ix)</w:t>
      </w:r>
      <w:r>
        <w:tab/>
        <w:t>Order 70 rule 12 (control of money recovered for person under disability);</w:t>
      </w:r>
    </w:p>
    <w:p>
      <w:pPr>
        <w:pStyle w:val="Indenti"/>
      </w:pPr>
      <w:r>
        <w:tab/>
        <w:t>(x)</w:t>
      </w:r>
      <w:r>
        <w:tab/>
        <w:t xml:space="preserve">the </w:t>
      </w:r>
      <w:r>
        <w:rPr>
          <w:i/>
        </w:rPr>
        <w:t>Supreme Court (Arbitration) Rules 2016</w:t>
      </w:r>
      <w:r>
        <w:t>;</w:t>
      </w:r>
    </w:p>
    <w:p>
      <w:pPr>
        <w:pStyle w:val="Indenta"/>
      </w:pPr>
      <w:r>
        <w:tab/>
        <w:t>(b)</w:t>
      </w:r>
      <w:r>
        <w:tab/>
        <w:t>proceedings referred to in Order 60 rule 1(3);</w:t>
      </w:r>
    </w:p>
    <w:p>
      <w:pPr>
        <w:pStyle w:val="Indenta"/>
      </w:pPr>
      <w:r>
        <w:tab/>
        <w:t>(c)</w:t>
      </w:r>
      <w:r>
        <w:tab/>
        <w:t>a review of the taxation of costs under Order 66 rule 55;</w:t>
      </w:r>
    </w:p>
    <w:p>
      <w:pPr>
        <w:pStyle w:val="Indenta"/>
      </w:pPr>
      <w:r>
        <w:tab/>
        <w:t>(d)</w:t>
      </w:r>
      <w:r>
        <w:tab/>
        <w:t xml:space="preserve">proceedings under any of the following — </w:t>
      </w:r>
    </w:p>
    <w:p>
      <w:pPr>
        <w:pStyle w:val="Indenti"/>
      </w:pPr>
      <w:r>
        <w:tab/>
        <w:t>(i)</w:t>
      </w:r>
      <w:r>
        <w:tab/>
        <w:t xml:space="preserve">the </w:t>
      </w:r>
      <w:r>
        <w:rPr>
          <w:i/>
        </w:rPr>
        <w:t>Transfer of Land Act 1893</w:t>
      </w:r>
      <w:r>
        <w:t>;</w:t>
      </w:r>
    </w:p>
    <w:p>
      <w:pPr>
        <w:pStyle w:val="Indenti"/>
      </w:pPr>
      <w:r>
        <w:tab/>
        <w:t>(ii)</w:t>
      </w:r>
      <w:r>
        <w:tab/>
        <w:t xml:space="preserve">the </w:t>
      </w:r>
      <w:r>
        <w:rPr>
          <w:i/>
        </w:rPr>
        <w:t>Trustees Act 1962</w:t>
      </w:r>
      <w:r>
        <w:t>;</w:t>
      </w:r>
    </w:p>
    <w:p>
      <w:pPr>
        <w:pStyle w:val="Indenti"/>
      </w:pPr>
      <w:r>
        <w:tab/>
        <w:t>(iii)</w:t>
      </w:r>
      <w:r>
        <w:tab/>
        <w:t xml:space="preserve">the </w:t>
      </w:r>
      <w:r>
        <w:rPr>
          <w:i/>
        </w:rPr>
        <w:t>Australian Securities and Investments Commission Act 2001</w:t>
      </w:r>
      <w:r>
        <w:t xml:space="preserve"> (Commonwealth);</w:t>
      </w:r>
    </w:p>
    <w:p>
      <w:pPr>
        <w:pStyle w:val="Indenti"/>
      </w:pPr>
      <w:r>
        <w:tab/>
        <w:t>(iv)</w:t>
      </w:r>
      <w:r>
        <w:tab/>
        <w:t xml:space="preserve">the </w:t>
      </w:r>
      <w:r>
        <w:rPr>
          <w:i/>
        </w:rPr>
        <w:t>Corporations Act 2001</w:t>
      </w:r>
      <w:r>
        <w:t xml:space="preserve"> (Commonwealth);</w:t>
      </w:r>
    </w:p>
    <w:p>
      <w:pPr>
        <w:pStyle w:val="Indenti"/>
      </w:pPr>
      <w:r>
        <w:tab/>
        <w:t>(v)</w:t>
      </w:r>
      <w:r>
        <w:tab/>
        <w:t xml:space="preserve">the </w:t>
      </w:r>
      <w:r>
        <w:rPr>
          <w:i/>
        </w:rPr>
        <w:t>Cross-Border Insolvency Act 2008</w:t>
      </w:r>
      <w:r>
        <w:t xml:space="preserve"> (Commonwealth).</w:t>
      </w:r>
    </w:p>
    <w:p>
      <w:pPr>
        <w:pStyle w:val="Subsection"/>
      </w:pPr>
      <w:r>
        <w:lastRenderedPageBreak/>
        <w:tab/>
        <w:t>(3)</w:t>
      </w:r>
      <w:r>
        <w:tab/>
        <w:t>Subrule (2) does not apply to or in relation to a matter that is referred to a registrar by a judge or master.</w:t>
      </w:r>
    </w:p>
    <w:p>
      <w:pPr>
        <w:pStyle w:val="Subsection"/>
      </w:pPr>
      <w:r>
        <w:tab/>
        <w:t>(4)</w:t>
      </w:r>
      <w:r>
        <w:tab/>
        <w:t>A registrar cannot order the attachment or committal of any person.</w:t>
      </w:r>
    </w:p>
    <w:p>
      <w:pPr>
        <w:pStyle w:val="Subsection"/>
      </w:pPr>
      <w:r>
        <w:tab/>
        <w:t>(5)</w:t>
      </w:r>
      <w:r>
        <w:tab/>
        <w:t>An interlocutory order or case management direction made by a  registrar is not enforceable by a writ of attachment or order of committal.</w:t>
      </w:r>
    </w:p>
    <w:p>
      <w:pPr>
        <w:pStyle w:val="Footnotesection"/>
      </w:pPr>
      <w:r>
        <w:tab/>
        <w:t>[Rule 2 inserted: Gazette 13 Nov 2015 p. 4647-8; amended: Gazette 20 Dec 2016 p. 5842; 16 Aug 2017 p. 4418.]</w:t>
      </w:r>
    </w:p>
    <w:p>
      <w:pPr>
        <w:pStyle w:val="Heading5"/>
      </w:pPr>
      <w:bookmarkStart w:id="940" w:name="_Toc129078084"/>
      <w:r>
        <w:rPr>
          <w:rStyle w:val="CharSectno"/>
        </w:rPr>
        <w:t>2A</w:t>
      </w:r>
      <w:r>
        <w:t>.</w:t>
      </w:r>
      <w:r>
        <w:tab/>
        <w:t>Registrars to deal with applications within their jurisdiction</w:t>
      </w:r>
      <w:bookmarkEnd w:id="940"/>
    </w:p>
    <w:p>
      <w:pPr>
        <w:pStyle w:val="Subsection"/>
      </w:pPr>
      <w:r>
        <w:tab/>
      </w:r>
      <w:r>
        <w:tab/>
        <w:t>If an application made to the Court requests the exercise of jurisdiction or a power of the Court that under this Order is exercisable by a registrar, the application must be dealt with by a registrar unless —</w:t>
      </w:r>
    </w:p>
    <w:p>
      <w:pPr>
        <w:pStyle w:val="Indenta"/>
      </w:pPr>
      <w:r>
        <w:tab/>
        <w:t>(a)</w:t>
      </w:r>
      <w:r>
        <w:tab/>
        <w:t>under rule 3 the proceedings have been referred to a judge or master; or</w:t>
      </w:r>
    </w:p>
    <w:p>
      <w:pPr>
        <w:pStyle w:val="Indenta"/>
      </w:pPr>
      <w:r>
        <w:tab/>
        <w:t>(b)</w:t>
      </w:r>
      <w:r>
        <w:tab/>
        <w:t>a judge, master or registrar has granted leave for the application to be dealt with by a judge or master.</w:t>
      </w:r>
    </w:p>
    <w:p>
      <w:pPr>
        <w:pStyle w:val="Footnotesection"/>
      </w:pPr>
      <w:r>
        <w:tab/>
        <w:t>[Rule 2A inserted: Gazette 27 Feb 2018 p. 573.]</w:t>
      </w:r>
    </w:p>
    <w:p>
      <w:pPr>
        <w:pStyle w:val="Heading5"/>
      </w:pPr>
      <w:bookmarkStart w:id="941" w:name="_Toc129078085"/>
      <w:r>
        <w:rPr>
          <w:rStyle w:val="CharSectno"/>
        </w:rPr>
        <w:t>3</w:t>
      </w:r>
      <w:r>
        <w:t>.</w:t>
      </w:r>
      <w:r>
        <w:tab/>
        <w:t>Registrar may refer proceedings to judge or master</w:t>
      </w:r>
      <w:bookmarkEnd w:id="941"/>
    </w:p>
    <w:p>
      <w:pPr>
        <w:pStyle w:val="Subsection"/>
      </w:pPr>
      <w:r>
        <w:tab/>
        <w:t>(1)</w:t>
      </w:r>
      <w:r>
        <w:tab/>
        <w:t>A registrar may refer any proceedings before him or her to a judge or master.</w:t>
      </w:r>
    </w:p>
    <w:p>
      <w:pPr>
        <w:pStyle w:val="Subsection"/>
      </w:pPr>
      <w:r>
        <w:tab/>
        <w:t>(2)</w:t>
      </w:r>
      <w:r>
        <w:tab/>
        <w:t>The judge or master may deal with the proceedings or refer them back to the registrar with or without directions.</w:t>
      </w:r>
    </w:p>
    <w:p>
      <w:pPr>
        <w:pStyle w:val="Subsection"/>
      </w:pPr>
      <w:r>
        <w:tab/>
        <w:t>(3)</w:t>
      </w:r>
      <w:r>
        <w:tab/>
        <w:t>Pending the determination of the proceedings by the judge or master, the registrar may make an interim order.</w:t>
      </w:r>
    </w:p>
    <w:p>
      <w:pPr>
        <w:pStyle w:val="Footnotesection"/>
      </w:pPr>
      <w:r>
        <w:tab/>
        <w:t>[Rule 3 inserted: Gazette 13 Nov 2015 p. 4648.]</w:t>
      </w:r>
    </w:p>
    <w:p>
      <w:pPr>
        <w:pStyle w:val="Heading5"/>
      </w:pPr>
      <w:bookmarkStart w:id="942" w:name="_Toc129078086"/>
      <w:r>
        <w:rPr>
          <w:rStyle w:val="CharSectno"/>
        </w:rPr>
        <w:lastRenderedPageBreak/>
        <w:t>4</w:t>
      </w:r>
      <w:r>
        <w:t>.</w:t>
      </w:r>
      <w:r>
        <w:tab/>
        <w:t>Appeals from decisions of registrars</w:t>
      </w:r>
      <w:bookmarkEnd w:id="942"/>
    </w:p>
    <w:p>
      <w:pPr>
        <w:pStyle w:val="Subsection"/>
      </w:pPr>
      <w:r>
        <w:tab/>
        <w:t>(1)</w:t>
      </w:r>
      <w:r>
        <w:tab/>
        <w:t>A party who is dissatisfied with an order or decision of a registrar may appeal from it.</w:t>
      </w:r>
    </w:p>
    <w:p>
      <w:pPr>
        <w:pStyle w:val="Subsection"/>
      </w:pPr>
      <w:r>
        <w:tab/>
        <w:t>(2)</w:t>
      </w:r>
      <w:r>
        <w:tab/>
        <w:t>The appeal must be made to a judge, but a judge may order that it be heard by a master.</w:t>
      </w:r>
    </w:p>
    <w:p>
      <w:pPr>
        <w:pStyle w:val="Subsection"/>
      </w:pPr>
      <w:r>
        <w:tab/>
        <w:t>(3)</w:t>
      </w:r>
      <w:r>
        <w:tab/>
        <w:t xml:space="preserve">This rule does not apply to an order or decision of a registrar — </w:t>
      </w:r>
    </w:p>
    <w:p>
      <w:pPr>
        <w:pStyle w:val="Indenta"/>
      </w:pPr>
      <w:r>
        <w:tab/>
        <w:t>(a)</w:t>
      </w:r>
      <w:r>
        <w:tab/>
        <w:t>made or given in relation to a cause, matter, question or issue referred to or tried by the registrar under section 50 or 51 of the Act; or</w:t>
      </w:r>
    </w:p>
    <w:p>
      <w:pPr>
        <w:pStyle w:val="Indenta"/>
      </w:pPr>
      <w:r>
        <w:tab/>
        <w:t>(b)</w:t>
      </w:r>
      <w:r>
        <w:tab/>
        <w:t>made or given in proceedings to which Order 61 applies; or</w:t>
      </w:r>
    </w:p>
    <w:p>
      <w:pPr>
        <w:pStyle w:val="Indenta"/>
      </w:pPr>
      <w:r>
        <w:tab/>
        <w:t>(c)</w:t>
      </w:r>
      <w:r>
        <w:tab/>
        <w:t>when acting as a taxing officer; or</w:t>
      </w:r>
    </w:p>
    <w:p>
      <w:pPr>
        <w:pStyle w:val="Indenta"/>
      </w:pPr>
      <w:r>
        <w:tab/>
        <w:t>(d)</w:t>
      </w:r>
      <w:r>
        <w:tab/>
        <w:t>made under Order 67A; or</w:t>
      </w:r>
    </w:p>
    <w:p>
      <w:pPr>
        <w:pStyle w:val="Indenta"/>
      </w:pPr>
      <w:r>
        <w:tab/>
        <w:t>(e)</w:t>
      </w:r>
      <w:r>
        <w:tab/>
        <w:t>to which Order 67B rule 17 applies.</w:t>
      </w:r>
    </w:p>
    <w:p>
      <w:pPr>
        <w:pStyle w:val="Footnotesection"/>
      </w:pPr>
      <w:r>
        <w:tab/>
        <w:t>[Rule 4 inserted: Gazette 13 Nov 2015 p. 4648; amended: Gazette 27 Feb 2018 p. 573.]</w:t>
      </w:r>
    </w:p>
    <w:p>
      <w:pPr>
        <w:pStyle w:val="Heading5"/>
      </w:pPr>
      <w:bookmarkStart w:id="943" w:name="_Toc129078087"/>
      <w:r>
        <w:rPr>
          <w:rStyle w:val="CharSectno"/>
        </w:rPr>
        <w:t>5</w:t>
      </w:r>
      <w:r>
        <w:t>.</w:t>
      </w:r>
      <w:r>
        <w:tab/>
        <w:t>Appeal procedure</w:t>
      </w:r>
      <w:bookmarkEnd w:id="943"/>
      <w:r>
        <w:t xml:space="preserve"> </w:t>
      </w:r>
    </w:p>
    <w:p>
      <w:pPr>
        <w:pStyle w:val="Subsection"/>
      </w:pPr>
      <w:r>
        <w:tab/>
        <w:t>(1)</w:t>
      </w:r>
      <w:r>
        <w:tab/>
        <w:t>An appeal from the decision of a registrar must be commenced within 10 days after the date of the order or decision appealed against or any longer period allowed by a judge or master.</w:t>
      </w:r>
    </w:p>
    <w:p>
      <w:pPr>
        <w:pStyle w:val="Subsection"/>
      </w:pPr>
      <w:r>
        <w:tab/>
        <w:t>(2)</w:t>
      </w:r>
      <w:r>
        <w:tab/>
        <w:t>The appeal must be commenced and proceed on the file in which the action was commenced.</w:t>
      </w:r>
    </w:p>
    <w:p>
      <w:pPr>
        <w:pStyle w:val="Subsection"/>
      </w:pPr>
      <w:r>
        <w:tab/>
        <w:t>(3)</w:t>
      </w:r>
      <w:r>
        <w:tab/>
        <w:t xml:space="preserve">The appeal must be commenced by filing an appeal notice in Form 80A, stating the following — </w:t>
      </w:r>
    </w:p>
    <w:p>
      <w:pPr>
        <w:pStyle w:val="Indenta"/>
      </w:pPr>
      <w:r>
        <w:tab/>
        <w:t>(a)</w:t>
      </w:r>
      <w:r>
        <w:tab/>
        <w:t>the order or direction appealed against;</w:t>
      </w:r>
    </w:p>
    <w:p>
      <w:pPr>
        <w:pStyle w:val="Indenta"/>
      </w:pPr>
      <w:r>
        <w:tab/>
        <w:t>(b)</w:t>
      </w:r>
      <w:r>
        <w:tab/>
        <w:t>briefly, but specifically, the grounds of the appeal;</w:t>
      </w:r>
    </w:p>
    <w:p>
      <w:pPr>
        <w:pStyle w:val="Indenta"/>
      </w:pPr>
      <w:r>
        <w:tab/>
        <w:t>(c)</w:t>
      </w:r>
      <w:r>
        <w:tab/>
        <w:t>the order or directions sought at the appeal;</w:t>
      </w:r>
    </w:p>
    <w:p>
      <w:pPr>
        <w:pStyle w:val="Indenta"/>
      </w:pPr>
      <w:r>
        <w:tab/>
        <w:t>(d)</w:t>
      </w:r>
      <w:r>
        <w:tab/>
        <w:t>any directions considered necessary to facilitate the hearing of the appeal;</w:t>
      </w:r>
    </w:p>
    <w:p>
      <w:pPr>
        <w:pStyle w:val="Indenta"/>
      </w:pPr>
      <w:r>
        <w:lastRenderedPageBreak/>
        <w:tab/>
        <w:t>(e)</w:t>
      </w:r>
      <w:r>
        <w:tab/>
        <w:t>for the period of 32 days beginning on the 14</w:t>
      </w:r>
      <w:r>
        <w:rPr>
          <w:vertAlign w:val="superscript"/>
        </w:rPr>
        <w:t>th</w:t>
      </w:r>
      <w:r>
        <w:t> day after the date of the filing of the appeal notice, any days within that period on which the appellant will be unavailable to attend the hearing of the appeal.</w:t>
      </w:r>
    </w:p>
    <w:p>
      <w:pPr>
        <w:pStyle w:val="Subsection"/>
      </w:pPr>
      <w:r>
        <w:tab/>
        <w:t>(4)</w:t>
      </w:r>
      <w:r>
        <w:tab/>
        <w:t>No appeal books are required for the appeal.</w:t>
      </w:r>
    </w:p>
    <w:p>
      <w:pPr>
        <w:pStyle w:val="Subsection"/>
      </w:pPr>
      <w:r>
        <w:tab/>
        <w:t>(5)</w:t>
      </w:r>
      <w:r>
        <w:tab/>
        <w:t>Within one day after filing an appeal notice under this rule a copy of it must be served on the other parties.</w:t>
      </w:r>
    </w:p>
    <w:p>
      <w:pPr>
        <w:pStyle w:val="Footnotesection"/>
      </w:pPr>
      <w:r>
        <w:tab/>
        <w:t>[Rule 5 inserted: Gazette 13 Nov 2015 p. 4648-9.]</w:t>
      </w:r>
    </w:p>
    <w:p>
      <w:pPr>
        <w:pStyle w:val="Heading5"/>
      </w:pPr>
      <w:bookmarkStart w:id="944" w:name="_Toc129078088"/>
      <w:r>
        <w:rPr>
          <w:rStyle w:val="CharSectno"/>
        </w:rPr>
        <w:t>6A</w:t>
      </w:r>
      <w:r>
        <w:t>.</w:t>
      </w:r>
      <w:r>
        <w:tab/>
        <w:t>Other parties to appeal to advise certain matters</w:t>
      </w:r>
      <w:bookmarkEnd w:id="944"/>
    </w:p>
    <w:p>
      <w:pPr>
        <w:pStyle w:val="Subsection"/>
      </w:pPr>
      <w:r>
        <w:tab/>
      </w:r>
      <w:r>
        <w:tab/>
        <w:t xml:space="preserve">Each party on whom an appeal notice is served under rule 5(5) must, within 3 days after the date of service on them, advise the party who filed the appeal notice and the Court, in writing, of — </w:t>
      </w:r>
    </w:p>
    <w:p>
      <w:pPr>
        <w:pStyle w:val="Indenta"/>
      </w:pPr>
      <w:r>
        <w:tab/>
        <w:t>(a)</w:t>
      </w:r>
      <w:r>
        <w:tab/>
        <w:t>any directions that the party considers necessary to facilitate the appeal; and</w:t>
      </w:r>
    </w:p>
    <w:p>
      <w:pPr>
        <w:pStyle w:val="Indenta"/>
      </w:pPr>
      <w:r>
        <w:tab/>
        <w:t>(b)</w:t>
      </w:r>
      <w:r>
        <w:tab/>
        <w:t>for the period of 32 days beginning on the 14</w:t>
      </w:r>
      <w:r>
        <w:rPr>
          <w:vertAlign w:val="superscript"/>
        </w:rPr>
        <w:t>th</w:t>
      </w:r>
      <w:r>
        <w:t> day after the date of service of the appeal notice, any days within that period on which the party will be unavailable to attend the hearing of the appeal.</w:t>
      </w:r>
    </w:p>
    <w:p>
      <w:pPr>
        <w:pStyle w:val="Footnotesection"/>
      </w:pPr>
      <w:r>
        <w:tab/>
        <w:t>[Rule 6A inserted: Gazette 13 Nov 2015 p. 4649.]</w:t>
      </w:r>
    </w:p>
    <w:p>
      <w:pPr>
        <w:pStyle w:val="Heading5"/>
      </w:pPr>
      <w:bookmarkStart w:id="945" w:name="_Toc129078089"/>
      <w:r>
        <w:rPr>
          <w:rStyle w:val="CharSectno"/>
        </w:rPr>
        <w:t>6</w:t>
      </w:r>
      <w:r>
        <w:t>.</w:t>
      </w:r>
      <w:r>
        <w:tab/>
        <w:t>Appeal is by way of new hearing</w:t>
      </w:r>
      <w:bookmarkEnd w:id="945"/>
      <w:r>
        <w:t xml:space="preserve"> </w:t>
      </w:r>
    </w:p>
    <w:p>
      <w:pPr>
        <w:pStyle w:val="Subsection"/>
      </w:pPr>
      <w:r>
        <w:tab/>
      </w:r>
      <w:r>
        <w:tab/>
        <w:t>An appeal from a registrar is to be by way of a new hearing of the matter that was before the registrar.</w:t>
      </w:r>
    </w:p>
    <w:p>
      <w:pPr>
        <w:pStyle w:val="Footnotesection"/>
      </w:pPr>
      <w:r>
        <w:tab/>
        <w:t>[Rule 6 inserted: Gazette 13 Nov 2015 p. 4649.]</w:t>
      </w:r>
    </w:p>
    <w:p>
      <w:pPr>
        <w:pStyle w:val="Heading5"/>
      </w:pPr>
      <w:bookmarkStart w:id="946" w:name="_Toc129078090"/>
      <w:r>
        <w:rPr>
          <w:rStyle w:val="CharSectno"/>
        </w:rPr>
        <w:t>7</w:t>
      </w:r>
      <w:r>
        <w:t>.</w:t>
      </w:r>
      <w:r>
        <w:tab/>
        <w:t>This Order not to apply to Court of Appeal Registrar</w:t>
      </w:r>
      <w:bookmarkEnd w:id="946"/>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Gazette 29 Apr 2005 p. 1792.] </w:t>
      </w:r>
    </w:p>
    <w:p>
      <w:pPr>
        <w:pStyle w:val="Heading2"/>
        <w:rPr>
          <w:b w:val="0"/>
        </w:rPr>
      </w:pPr>
      <w:bookmarkStart w:id="947" w:name="_Toc129074019"/>
      <w:bookmarkStart w:id="948" w:name="_Toc129075302"/>
      <w:bookmarkStart w:id="949" w:name="_Toc129078091"/>
      <w:r>
        <w:rPr>
          <w:rStyle w:val="CharPartNo"/>
        </w:rPr>
        <w:lastRenderedPageBreak/>
        <w:t>Order 61</w:t>
      </w:r>
      <w:r>
        <w:t> — </w:t>
      </w:r>
      <w:r>
        <w:rPr>
          <w:rStyle w:val="CharPartText"/>
        </w:rPr>
        <w:t>Proceedings under judgments and orders</w:t>
      </w:r>
      <w:bookmarkEnd w:id="947"/>
      <w:bookmarkEnd w:id="948"/>
      <w:bookmarkEnd w:id="949"/>
    </w:p>
    <w:p>
      <w:pPr>
        <w:pStyle w:val="Heading3"/>
      </w:pPr>
      <w:bookmarkStart w:id="950" w:name="_Toc129074020"/>
      <w:bookmarkStart w:id="951" w:name="_Toc129075303"/>
      <w:bookmarkStart w:id="952" w:name="_Toc129078092"/>
      <w:r>
        <w:rPr>
          <w:rStyle w:val="CharDivNo"/>
        </w:rPr>
        <w:t>Division 1</w:t>
      </w:r>
      <w:r>
        <w:t> — </w:t>
      </w:r>
      <w:r>
        <w:rPr>
          <w:rStyle w:val="CharDivText"/>
        </w:rPr>
        <w:t>Application of order</w:t>
      </w:r>
      <w:bookmarkEnd w:id="950"/>
      <w:bookmarkEnd w:id="951"/>
      <w:bookmarkEnd w:id="952"/>
    </w:p>
    <w:p>
      <w:pPr>
        <w:pStyle w:val="Footnoteheading"/>
      </w:pPr>
      <w:r>
        <w:tab/>
        <w:t xml:space="preserve">[Heading inserted: Gazette 22 Feb 2008 p. 638.] </w:t>
      </w:r>
    </w:p>
    <w:p>
      <w:pPr>
        <w:pStyle w:val="Heading5"/>
        <w:rPr>
          <w:snapToGrid w:val="0"/>
        </w:rPr>
      </w:pPr>
      <w:bookmarkStart w:id="953" w:name="_Toc129078093"/>
      <w:r>
        <w:rPr>
          <w:rStyle w:val="CharSectno"/>
        </w:rPr>
        <w:t>1</w:t>
      </w:r>
      <w:r>
        <w:rPr>
          <w:snapToGrid w:val="0"/>
        </w:rPr>
        <w:t>.</w:t>
      </w:r>
      <w:r>
        <w:rPr>
          <w:snapToGrid w:val="0"/>
        </w:rPr>
        <w:tab/>
        <w:t>Application to proceedings under orders</w:t>
      </w:r>
      <w:bookmarkEnd w:id="953"/>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Gazette 2 Jul 1982 p. 2317.] </w:t>
      </w:r>
    </w:p>
    <w:p>
      <w:pPr>
        <w:pStyle w:val="Heading3"/>
      </w:pPr>
      <w:bookmarkStart w:id="954" w:name="_Toc129074022"/>
      <w:bookmarkStart w:id="955" w:name="_Toc129075305"/>
      <w:bookmarkStart w:id="956" w:name="_Toc129078094"/>
      <w:r>
        <w:rPr>
          <w:rStyle w:val="CharDivNo"/>
        </w:rPr>
        <w:t>Division 2</w:t>
      </w:r>
      <w:r>
        <w:t> — </w:t>
      </w:r>
      <w:r>
        <w:rPr>
          <w:rStyle w:val="CharDivText"/>
        </w:rPr>
        <w:t>Summons to proceed</w:t>
      </w:r>
      <w:bookmarkEnd w:id="954"/>
      <w:bookmarkEnd w:id="955"/>
      <w:bookmarkEnd w:id="956"/>
    </w:p>
    <w:p>
      <w:pPr>
        <w:pStyle w:val="Footnoteheading"/>
      </w:pPr>
      <w:r>
        <w:tab/>
        <w:t xml:space="preserve">[Heading inserted: Gazette 22 Feb 2008 p. 639.] </w:t>
      </w:r>
    </w:p>
    <w:p>
      <w:pPr>
        <w:pStyle w:val="Heading5"/>
        <w:rPr>
          <w:snapToGrid w:val="0"/>
        </w:rPr>
      </w:pPr>
      <w:bookmarkStart w:id="957" w:name="_Toc129078095"/>
      <w:r>
        <w:rPr>
          <w:rStyle w:val="CharSectno"/>
        </w:rPr>
        <w:t>2</w:t>
      </w:r>
      <w:r>
        <w:rPr>
          <w:snapToGrid w:val="0"/>
        </w:rPr>
        <w:t>.</w:t>
      </w:r>
      <w:r>
        <w:rPr>
          <w:snapToGrid w:val="0"/>
        </w:rPr>
        <w:tab/>
        <w:t>Summons to proceed, requirement for and proceedings on</w:t>
      </w:r>
      <w:bookmarkEnd w:id="957"/>
      <w:r>
        <w:rPr>
          <w:snapToGrid w:val="0"/>
        </w:rPr>
        <w:t xml:space="preserve"> </w:t>
      </w:r>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lastRenderedPageBreak/>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Gazette 28 Jun 2011 p. 2552.]</w:t>
      </w:r>
    </w:p>
    <w:p>
      <w:pPr>
        <w:pStyle w:val="Heading5"/>
        <w:spacing w:before="180"/>
        <w:rPr>
          <w:snapToGrid w:val="0"/>
        </w:rPr>
      </w:pPr>
      <w:bookmarkStart w:id="958" w:name="_Toc129078096"/>
      <w:r>
        <w:rPr>
          <w:rStyle w:val="CharSectno"/>
        </w:rPr>
        <w:t>3</w:t>
      </w:r>
      <w:r>
        <w:rPr>
          <w:snapToGrid w:val="0"/>
        </w:rPr>
        <w:t>.</w:t>
      </w:r>
      <w:r>
        <w:rPr>
          <w:snapToGrid w:val="0"/>
        </w:rPr>
        <w:tab/>
        <w:t>Notice of judgment, Court may order service of in some cases</w:t>
      </w:r>
      <w:bookmarkEnd w:id="958"/>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lastRenderedPageBreak/>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Gazette 28 Jun 2011 p. 2552.]</w:t>
      </w:r>
    </w:p>
    <w:p>
      <w:pPr>
        <w:pStyle w:val="Heading5"/>
        <w:rPr>
          <w:snapToGrid w:val="0"/>
        </w:rPr>
      </w:pPr>
      <w:bookmarkStart w:id="959" w:name="_Toc129078097"/>
      <w:r>
        <w:rPr>
          <w:rStyle w:val="CharSectno"/>
        </w:rPr>
        <w:t>4</w:t>
      </w:r>
      <w:r>
        <w:rPr>
          <w:snapToGrid w:val="0"/>
        </w:rPr>
        <w:t>.</w:t>
      </w:r>
      <w:r>
        <w:rPr>
          <w:snapToGrid w:val="0"/>
        </w:rPr>
        <w:tab/>
        <w:t>Settling deed if parties differ, procedure for</w:t>
      </w:r>
      <w:bookmarkEnd w:id="959"/>
    </w:p>
    <w:p>
      <w:pPr>
        <w:pStyle w:val="Subsection"/>
        <w:rPr>
          <w:snapToGrid w:val="0"/>
        </w:rPr>
      </w:pPr>
      <w:r>
        <w:rPr>
          <w:snapToGrid w:val="0"/>
        </w:rPr>
        <w:tab/>
      </w:r>
      <w:r>
        <w:rPr>
          <w:snapToGrid w:val="0"/>
        </w:rPr>
        <w:tab/>
        <w:t xml:space="preserve">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w:t>
      </w:r>
      <w:r>
        <w:rPr>
          <w:snapToGrid w:val="0"/>
        </w:rPr>
        <w:lastRenderedPageBreak/>
        <w:t>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60" w:name="_Toc129078098"/>
      <w:r>
        <w:rPr>
          <w:rStyle w:val="CharSectno"/>
        </w:rPr>
        <w:t>5</w:t>
      </w:r>
      <w:r>
        <w:rPr>
          <w:snapToGrid w:val="0"/>
        </w:rPr>
        <w:t>.</w:t>
      </w:r>
      <w:r>
        <w:rPr>
          <w:snapToGrid w:val="0"/>
        </w:rPr>
        <w:tab/>
        <w:t>When service of notice of judgment may be dispensed with</w:t>
      </w:r>
      <w:bookmarkEnd w:id="960"/>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61" w:name="_Toc129078099"/>
      <w:r>
        <w:rPr>
          <w:rStyle w:val="CharSectno"/>
        </w:rPr>
        <w:t>6</w:t>
      </w:r>
      <w:r>
        <w:rPr>
          <w:snapToGrid w:val="0"/>
        </w:rPr>
        <w:t>.</w:t>
      </w:r>
      <w:r>
        <w:rPr>
          <w:snapToGrid w:val="0"/>
        </w:rPr>
        <w:tab/>
        <w:t>Judgment for accounts etc., power to bind persons in some cases</w:t>
      </w:r>
      <w:bookmarkEnd w:id="961"/>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62" w:name="_Toc129078100"/>
      <w:r>
        <w:rPr>
          <w:rStyle w:val="CharSectno"/>
        </w:rPr>
        <w:t>7</w:t>
      </w:r>
      <w:r>
        <w:rPr>
          <w:snapToGrid w:val="0"/>
        </w:rPr>
        <w:t>.</w:t>
      </w:r>
      <w:r>
        <w:rPr>
          <w:snapToGrid w:val="0"/>
        </w:rPr>
        <w:tab/>
        <w:t>Procedure where some parties not served etc.</w:t>
      </w:r>
      <w:bookmarkEnd w:id="962"/>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63" w:name="_Toc129078101"/>
      <w:r>
        <w:rPr>
          <w:rStyle w:val="CharSectno"/>
        </w:rPr>
        <w:lastRenderedPageBreak/>
        <w:t>8</w:t>
      </w:r>
      <w:r>
        <w:rPr>
          <w:snapToGrid w:val="0"/>
        </w:rPr>
        <w:t>.</w:t>
      </w:r>
      <w:r>
        <w:rPr>
          <w:snapToGrid w:val="0"/>
        </w:rPr>
        <w:tab/>
        <w:t>Course of proceedings in chambers</w:t>
      </w:r>
      <w:bookmarkEnd w:id="963"/>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64" w:name="_Toc129074030"/>
      <w:bookmarkStart w:id="965" w:name="_Toc129075313"/>
      <w:bookmarkStart w:id="966" w:name="_Toc129078102"/>
      <w:r>
        <w:rPr>
          <w:rStyle w:val="CharDivNo"/>
        </w:rPr>
        <w:t>Division 3</w:t>
      </w:r>
      <w:r>
        <w:t> — </w:t>
      </w:r>
      <w:r>
        <w:rPr>
          <w:rStyle w:val="CharDivText"/>
        </w:rPr>
        <w:t>Attendances</w:t>
      </w:r>
      <w:bookmarkEnd w:id="964"/>
      <w:bookmarkEnd w:id="965"/>
      <w:bookmarkEnd w:id="966"/>
    </w:p>
    <w:p>
      <w:pPr>
        <w:pStyle w:val="Footnoteheading"/>
      </w:pPr>
      <w:r>
        <w:tab/>
        <w:t xml:space="preserve">[Heading inserted: Gazette 22 Feb 2008 p. 639.] </w:t>
      </w:r>
    </w:p>
    <w:p>
      <w:pPr>
        <w:pStyle w:val="Heading5"/>
        <w:spacing w:before="240"/>
        <w:rPr>
          <w:snapToGrid w:val="0"/>
        </w:rPr>
      </w:pPr>
      <w:bookmarkStart w:id="967" w:name="_Toc129078103"/>
      <w:r>
        <w:rPr>
          <w:rStyle w:val="CharSectno"/>
        </w:rPr>
        <w:t>9</w:t>
      </w:r>
      <w:r>
        <w:rPr>
          <w:snapToGrid w:val="0"/>
        </w:rPr>
        <w:t>.</w:t>
      </w:r>
      <w:r>
        <w:rPr>
          <w:snapToGrid w:val="0"/>
        </w:rPr>
        <w:tab/>
        <w:t>Classifying interests of parties</w:t>
      </w:r>
      <w:bookmarkEnd w:id="967"/>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68" w:name="_Toc129078104"/>
      <w:r>
        <w:rPr>
          <w:rStyle w:val="CharSectno"/>
        </w:rPr>
        <w:lastRenderedPageBreak/>
        <w:t>10</w:t>
      </w:r>
      <w:r>
        <w:rPr>
          <w:snapToGrid w:val="0"/>
        </w:rPr>
        <w:t>.</w:t>
      </w:r>
      <w:r>
        <w:rPr>
          <w:snapToGrid w:val="0"/>
        </w:rPr>
        <w:tab/>
        <w:t>Judge may require distinct solicitor to represent parties</w:t>
      </w:r>
      <w:bookmarkEnd w:id="968"/>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69" w:name="_Toc129078105"/>
      <w:r>
        <w:rPr>
          <w:rStyle w:val="CharSectno"/>
        </w:rPr>
        <w:t>11</w:t>
      </w:r>
      <w:r>
        <w:rPr>
          <w:snapToGrid w:val="0"/>
        </w:rPr>
        <w:t>.</w:t>
      </w:r>
      <w:r>
        <w:rPr>
          <w:snapToGrid w:val="0"/>
        </w:rPr>
        <w:tab/>
        <w:t>Attendance of parties not directed to attend</w:t>
      </w:r>
      <w:bookmarkEnd w:id="969"/>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70" w:name="_Toc129078106"/>
      <w:r>
        <w:rPr>
          <w:rStyle w:val="CharSectno"/>
        </w:rPr>
        <w:t>12</w:t>
      </w:r>
      <w:r>
        <w:rPr>
          <w:snapToGrid w:val="0"/>
        </w:rPr>
        <w:t>.</w:t>
      </w:r>
      <w:r>
        <w:rPr>
          <w:snapToGrid w:val="0"/>
        </w:rPr>
        <w:tab/>
        <w:t>Order stating parties directed to attend</w:t>
      </w:r>
      <w:bookmarkEnd w:id="970"/>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71" w:name="_Toc129074035"/>
      <w:bookmarkStart w:id="972" w:name="_Toc129075318"/>
      <w:bookmarkStart w:id="973" w:name="_Toc129078107"/>
      <w:r>
        <w:rPr>
          <w:rStyle w:val="CharDivNo"/>
        </w:rPr>
        <w:t>Division 4</w:t>
      </w:r>
      <w:r>
        <w:t> — </w:t>
      </w:r>
      <w:r>
        <w:rPr>
          <w:rStyle w:val="CharDivText"/>
        </w:rPr>
        <w:t>Claims of creditors and other claimants</w:t>
      </w:r>
      <w:bookmarkEnd w:id="971"/>
      <w:bookmarkEnd w:id="972"/>
      <w:bookmarkEnd w:id="973"/>
    </w:p>
    <w:p>
      <w:pPr>
        <w:pStyle w:val="Footnoteheading"/>
      </w:pPr>
      <w:r>
        <w:tab/>
        <w:t xml:space="preserve">[Heading inserted: Gazette 22 Feb 2008 p. 639.] </w:t>
      </w:r>
    </w:p>
    <w:p>
      <w:pPr>
        <w:pStyle w:val="Heading5"/>
        <w:rPr>
          <w:snapToGrid w:val="0"/>
        </w:rPr>
      </w:pPr>
      <w:bookmarkStart w:id="974" w:name="_Toc129078108"/>
      <w:r>
        <w:rPr>
          <w:rStyle w:val="CharSectno"/>
        </w:rPr>
        <w:t>13</w:t>
      </w:r>
      <w:r>
        <w:rPr>
          <w:snapToGrid w:val="0"/>
        </w:rPr>
        <w:t>.</w:t>
      </w:r>
      <w:r>
        <w:rPr>
          <w:snapToGrid w:val="0"/>
        </w:rPr>
        <w:tab/>
        <w:t>Advertisements for creditors etc., power to direct</w:t>
      </w:r>
      <w:bookmarkEnd w:id="974"/>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75" w:name="_Toc129078109"/>
      <w:r>
        <w:rPr>
          <w:rStyle w:val="CharSectno"/>
        </w:rPr>
        <w:lastRenderedPageBreak/>
        <w:t>14</w:t>
      </w:r>
      <w:r>
        <w:rPr>
          <w:snapToGrid w:val="0"/>
        </w:rPr>
        <w:t>.</w:t>
      </w:r>
      <w:r>
        <w:rPr>
          <w:snapToGrid w:val="0"/>
        </w:rPr>
        <w:tab/>
        <w:t>Advertisements, preparation etc. of</w:t>
      </w:r>
      <w:bookmarkEnd w:id="975"/>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976" w:name="_Toc129078110"/>
      <w:r>
        <w:rPr>
          <w:rStyle w:val="CharSectno"/>
        </w:rPr>
        <w:t>15</w:t>
      </w:r>
      <w:r>
        <w:rPr>
          <w:snapToGrid w:val="0"/>
        </w:rPr>
        <w:t>.</w:t>
      </w:r>
      <w:r>
        <w:rPr>
          <w:snapToGrid w:val="0"/>
        </w:rPr>
        <w:tab/>
        <w:t>Advertisements, contents of</w:t>
      </w:r>
      <w:bookmarkEnd w:id="976"/>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977" w:name="_Toc129078111"/>
      <w:r>
        <w:rPr>
          <w:rStyle w:val="CharSectno"/>
        </w:rPr>
        <w:t>15A</w:t>
      </w:r>
      <w:r>
        <w:t>.</w:t>
      </w:r>
      <w:r>
        <w:tab/>
        <w:t>Claims to state claimant’s contact details</w:t>
      </w:r>
      <w:bookmarkEnd w:id="977"/>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Gazette 21 Feb 2007 p. 564.]</w:t>
      </w:r>
    </w:p>
    <w:p>
      <w:pPr>
        <w:pStyle w:val="Heading5"/>
        <w:rPr>
          <w:snapToGrid w:val="0"/>
        </w:rPr>
      </w:pPr>
      <w:bookmarkStart w:id="978" w:name="_Toc129078112"/>
      <w:r>
        <w:rPr>
          <w:rStyle w:val="CharSectno"/>
        </w:rPr>
        <w:t>16</w:t>
      </w:r>
      <w:r>
        <w:rPr>
          <w:snapToGrid w:val="0"/>
        </w:rPr>
        <w:t>.</w:t>
      </w:r>
      <w:r>
        <w:rPr>
          <w:snapToGrid w:val="0"/>
        </w:rPr>
        <w:tab/>
        <w:t>Failure to claim within specified time</w:t>
      </w:r>
      <w:bookmarkEnd w:id="978"/>
    </w:p>
    <w:p>
      <w:pPr>
        <w:pStyle w:val="Subsection"/>
        <w:rPr>
          <w:snapToGrid w:val="0"/>
        </w:rPr>
      </w:pPr>
      <w:r>
        <w:rPr>
          <w:snapToGrid w:val="0"/>
        </w:rPr>
        <w:tab/>
      </w:r>
      <w:r>
        <w:rPr>
          <w:snapToGrid w:val="0"/>
        </w:rPr>
        <w:tab/>
        <w:t xml:space="preserve">A claimant who does not send full particulars of his claim to the person named in the advertisement within the time therein specified shall not be entitled to prove his claim except with the </w:t>
      </w:r>
      <w:r>
        <w:rPr>
          <w:snapToGrid w:val="0"/>
        </w:rPr>
        <w:lastRenderedPageBreak/>
        <w:t>leave of the Court, and in granting such leave the Court may impose such terms as to costs and otherwise as it thinks just.</w:t>
      </w:r>
    </w:p>
    <w:p>
      <w:pPr>
        <w:pStyle w:val="Heading5"/>
        <w:rPr>
          <w:snapToGrid w:val="0"/>
        </w:rPr>
      </w:pPr>
      <w:bookmarkStart w:id="979" w:name="_Toc129078113"/>
      <w:r>
        <w:rPr>
          <w:rStyle w:val="CharSectno"/>
        </w:rPr>
        <w:t>17</w:t>
      </w:r>
      <w:r>
        <w:rPr>
          <w:snapToGrid w:val="0"/>
        </w:rPr>
        <w:t>.</w:t>
      </w:r>
      <w:r>
        <w:rPr>
          <w:snapToGrid w:val="0"/>
        </w:rPr>
        <w:tab/>
        <w:t>Examination and verification of claims</w:t>
      </w:r>
      <w:bookmarkEnd w:id="979"/>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lastRenderedPageBreak/>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Gazette 28 Jun 2011 p. 2552</w:t>
      </w:r>
      <w:r>
        <w:noBreakHyphen/>
        <w:t>3.]</w:t>
      </w:r>
    </w:p>
    <w:p>
      <w:pPr>
        <w:pStyle w:val="Heading5"/>
        <w:rPr>
          <w:snapToGrid w:val="0"/>
        </w:rPr>
      </w:pPr>
      <w:bookmarkStart w:id="980" w:name="_Toc129078114"/>
      <w:r>
        <w:rPr>
          <w:rStyle w:val="CharSectno"/>
        </w:rPr>
        <w:t>18</w:t>
      </w:r>
      <w:r>
        <w:rPr>
          <w:snapToGrid w:val="0"/>
        </w:rPr>
        <w:t>.</w:t>
      </w:r>
      <w:r>
        <w:rPr>
          <w:snapToGrid w:val="0"/>
        </w:rPr>
        <w:tab/>
        <w:t>Adjudicating on claims</w:t>
      </w:r>
      <w:bookmarkEnd w:id="980"/>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lastRenderedPageBreak/>
        <w:tab/>
        <w:t>(b)</w:t>
      </w:r>
      <w:r>
        <w:rPr>
          <w:snapToGrid w:val="0"/>
        </w:rPr>
        <w:tab/>
        <w:t xml:space="preserve">to </w:t>
      </w:r>
      <w:r>
        <w:t>file</w:t>
      </w:r>
      <w:r>
        <w:rPr>
          <w:snapToGrid w:val="0"/>
        </w:rPr>
        <w:t xml:space="preserve">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pPr>
      <w:r>
        <w:tab/>
        <w:t>(5)</w:t>
      </w:r>
      <w:r>
        <w:tab/>
        <w:t>A person claiming to be a creditor need not make an affidavit or attend in support of the claim, unless the person has been served with a notice under subrule (2)(a).</w:t>
      </w:r>
    </w:p>
    <w:p>
      <w:pPr>
        <w:pStyle w:val="Subsection"/>
      </w:pPr>
      <w:r>
        <w:tab/>
        <w:t>(6)</w:t>
      </w:r>
      <w:r>
        <w:tab/>
        <w:t>Unless the Court otherwise directs, a person claiming to be a secured creditor must file evidence of the security interest claimed.</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Gazette 28 Jun 2011 p. 2552; 27 Feb 2018 p. 573-4.]</w:t>
      </w:r>
    </w:p>
    <w:p>
      <w:pPr>
        <w:pStyle w:val="Heading5"/>
        <w:rPr>
          <w:snapToGrid w:val="0"/>
        </w:rPr>
      </w:pPr>
      <w:bookmarkStart w:id="981" w:name="_Toc129078115"/>
      <w:r>
        <w:rPr>
          <w:rStyle w:val="CharSectno"/>
        </w:rPr>
        <w:t>19</w:t>
      </w:r>
      <w:r>
        <w:rPr>
          <w:snapToGrid w:val="0"/>
        </w:rPr>
        <w:t>.</w:t>
      </w:r>
      <w:r>
        <w:rPr>
          <w:snapToGrid w:val="0"/>
        </w:rPr>
        <w:tab/>
        <w:t>Adjourning adjudications; fixing time for filing evidence etc.</w:t>
      </w:r>
      <w:bookmarkEnd w:id="981"/>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982" w:name="_Toc129078116"/>
      <w:r>
        <w:rPr>
          <w:rStyle w:val="CharSectno"/>
        </w:rPr>
        <w:t>20</w:t>
      </w:r>
      <w:r>
        <w:rPr>
          <w:snapToGrid w:val="0"/>
        </w:rPr>
        <w:t>.</w:t>
      </w:r>
      <w:r>
        <w:rPr>
          <w:snapToGrid w:val="0"/>
        </w:rPr>
        <w:tab/>
        <w:t>Service of notice of judgment on certain claimants</w:t>
      </w:r>
      <w:bookmarkEnd w:id="982"/>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lastRenderedPageBreak/>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Gazette 28 Jun 2011 p. 2552.]</w:t>
      </w:r>
    </w:p>
    <w:p>
      <w:pPr>
        <w:pStyle w:val="Heading5"/>
        <w:rPr>
          <w:snapToGrid w:val="0"/>
        </w:rPr>
      </w:pPr>
      <w:bookmarkStart w:id="983" w:name="_Toc129078117"/>
      <w:r>
        <w:rPr>
          <w:rStyle w:val="CharSectno"/>
        </w:rPr>
        <w:t>21</w:t>
      </w:r>
      <w:r>
        <w:rPr>
          <w:snapToGrid w:val="0"/>
        </w:rPr>
        <w:t>.</w:t>
      </w:r>
      <w:r>
        <w:rPr>
          <w:snapToGrid w:val="0"/>
        </w:rPr>
        <w:tab/>
        <w:t>Notice of claims allowed or disallowed</w:t>
      </w:r>
      <w:bookmarkEnd w:id="983"/>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 xml:space="preserve">Such party as the Court shall direct must make out a list of the creditors’ claims, and a list of any other claims, allowed and file </w:t>
      </w:r>
      <w:r>
        <w:t>it.</w:t>
      </w:r>
    </w:p>
    <w:p>
      <w:pPr>
        <w:pStyle w:val="Footnotesection"/>
        <w:spacing w:before="100"/>
        <w:ind w:left="890" w:hanging="890"/>
      </w:pPr>
      <w:r>
        <w:rPr>
          <w:i w:val="0"/>
        </w:rPr>
        <w:tab/>
      </w:r>
      <w:r>
        <w:t xml:space="preserve">[Rule 21 amended: Gazette 30 Nov 1984 p. 3954; 27 Feb 2018 p. 574.] </w:t>
      </w:r>
    </w:p>
    <w:p>
      <w:pPr>
        <w:pStyle w:val="Ednotesection"/>
      </w:pPr>
      <w:r>
        <w:t>[</w:t>
      </w:r>
      <w:r>
        <w:rPr>
          <w:b/>
        </w:rPr>
        <w:t>22.</w:t>
      </w:r>
      <w:r>
        <w:tab/>
        <w:t>Deleted: Gazette 21 Feb 2007 p. 564.]</w:t>
      </w:r>
    </w:p>
    <w:p>
      <w:pPr>
        <w:pStyle w:val="Heading3"/>
      </w:pPr>
      <w:bookmarkStart w:id="984" w:name="_Toc129074046"/>
      <w:bookmarkStart w:id="985" w:name="_Toc129075329"/>
      <w:bookmarkStart w:id="986" w:name="_Toc129078118"/>
      <w:r>
        <w:rPr>
          <w:rStyle w:val="CharDivNo"/>
        </w:rPr>
        <w:lastRenderedPageBreak/>
        <w:t>Division 5</w:t>
      </w:r>
      <w:r>
        <w:t> — </w:t>
      </w:r>
      <w:r>
        <w:rPr>
          <w:rStyle w:val="CharDivText"/>
        </w:rPr>
        <w:t>Interest</w:t>
      </w:r>
      <w:bookmarkEnd w:id="984"/>
      <w:bookmarkEnd w:id="985"/>
      <w:bookmarkEnd w:id="986"/>
    </w:p>
    <w:p>
      <w:pPr>
        <w:pStyle w:val="Footnoteheading"/>
        <w:keepNext/>
        <w:spacing w:before="100"/>
      </w:pPr>
      <w:r>
        <w:tab/>
        <w:t xml:space="preserve">[Heading inserted: Gazette 22 Feb 2008 p. 639.] </w:t>
      </w:r>
    </w:p>
    <w:p>
      <w:pPr>
        <w:pStyle w:val="Heading5"/>
        <w:rPr>
          <w:snapToGrid w:val="0"/>
        </w:rPr>
      </w:pPr>
      <w:bookmarkStart w:id="987" w:name="_Toc129078119"/>
      <w:r>
        <w:rPr>
          <w:rStyle w:val="CharSectno"/>
        </w:rPr>
        <w:t>23</w:t>
      </w:r>
      <w:r>
        <w:rPr>
          <w:snapToGrid w:val="0"/>
        </w:rPr>
        <w:t>.</w:t>
      </w:r>
      <w:r>
        <w:rPr>
          <w:snapToGrid w:val="0"/>
        </w:rPr>
        <w:tab/>
        <w:t>Interest on debts</w:t>
      </w:r>
      <w:bookmarkEnd w:id="987"/>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spacing w:before="180"/>
        <w:rPr>
          <w:snapToGrid w:val="0"/>
        </w:rPr>
      </w:pPr>
      <w:bookmarkStart w:id="988" w:name="_Toc129078120"/>
      <w:r>
        <w:rPr>
          <w:rStyle w:val="CharSectno"/>
        </w:rPr>
        <w:t>24</w:t>
      </w:r>
      <w:r>
        <w:rPr>
          <w:snapToGrid w:val="0"/>
        </w:rPr>
        <w:t>.</w:t>
      </w:r>
      <w:r>
        <w:rPr>
          <w:snapToGrid w:val="0"/>
        </w:rPr>
        <w:tab/>
        <w:t>Interest on legacies</w:t>
      </w:r>
      <w:bookmarkEnd w:id="988"/>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spacing w:before="200"/>
      </w:pPr>
      <w:bookmarkStart w:id="989" w:name="_Toc129074049"/>
      <w:bookmarkStart w:id="990" w:name="_Toc129075332"/>
      <w:bookmarkStart w:id="991" w:name="_Toc129078121"/>
      <w:r>
        <w:rPr>
          <w:rStyle w:val="CharDivNo"/>
        </w:rPr>
        <w:t>Division 6</w:t>
      </w:r>
      <w:r>
        <w:t> — </w:t>
      </w:r>
      <w:r>
        <w:rPr>
          <w:rStyle w:val="CharDivText"/>
        </w:rPr>
        <w:t>Masters’ and registrars’ certificates</w:t>
      </w:r>
      <w:bookmarkEnd w:id="989"/>
      <w:bookmarkEnd w:id="990"/>
      <w:bookmarkEnd w:id="991"/>
    </w:p>
    <w:p>
      <w:pPr>
        <w:pStyle w:val="Footnoteheading"/>
        <w:keepNext/>
        <w:keepLines/>
      </w:pPr>
      <w:r>
        <w:tab/>
        <w:t xml:space="preserve">[Heading inserted: Gazette 22 Feb 2008 p. 639.] </w:t>
      </w:r>
    </w:p>
    <w:p>
      <w:pPr>
        <w:pStyle w:val="Heading5"/>
        <w:spacing w:before="180"/>
        <w:rPr>
          <w:snapToGrid w:val="0"/>
        </w:rPr>
      </w:pPr>
      <w:bookmarkStart w:id="992" w:name="_Toc129078122"/>
      <w:r>
        <w:rPr>
          <w:rStyle w:val="CharSectno"/>
        </w:rPr>
        <w:t>25</w:t>
      </w:r>
      <w:r>
        <w:rPr>
          <w:snapToGrid w:val="0"/>
        </w:rPr>
        <w:t>.</w:t>
      </w:r>
      <w:r>
        <w:rPr>
          <w:snapToGrid w:val="0"/>
        </w:rPr>
        <w:tab/>
        <w:t>Master’s certificate</w:t>
      </w:r>
      <w:bookmarkEnd w:id="992"/>
    </w:p>
    <w:p>
      <w:pPr>
        <w:pStyle w:val="Subsection"/>
        <w:spacing w:before="120"/>
        <w:rPr>
          <w:snapToGrid w:val="0"/>
        </w:rPr>
      </w:pPr>
      <w:r>
        <w:rPr>
          <w:snapToGrid w:val="0"/>
        </w:rPr>
        <w:tab/>
        <w:t>(1)</w:t>
      </w:r>
      <w:r>
        <w:rPr>
          <w:snapToGrid w:val="0"/>
        </w:rPr>
        <w:tab/>
        <w:t>The result of proceedings before a master under a judgment shall be stated in a certificate signed by the master.</w:t>
      </w:r>
    </w:p>
    <w:p>
      <w:pPr>
        <w:pStyle w:val="Subsection"/>
        <w:spacing w:before="120"/>
        <w:rPr>
          <w:snapToGrid w:val="0"/>
        </w:rPr>
      </w:pPr>
      <w:r>
        <w:rPr>
          <w:snapToGrid w:val="0"/>
        </w:rPr>
        <w:tab/>
        <w:t>(2)</w:t>
      </w:r>
      <w:r>
        <w:rPr>
          <w:snapToGrid w:val="0"/>
        </w:rPr>
        <w:tab/>
        <w:t xml:space="preserve">The certificate of the master shall refer to so much of the judgment, to such documents or parts thereof, and to such of the </w:t>
      </w:r>
      <w:r>
        <w:rPr>
          <w:snapToGrid w:val="0"/>
        </w:rPr>
        <w:lastRenderedPageBreak/>
        <w:t>evidence as will make it clear upon what the result stated in the certificate is founded.</w:t>
      </w:r>
    </w:p>
    <w:p>
      <w:pPr>
        <w:pStyle w:val="Subsection"/>
        <w:spacing w:before="120"/>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spacing w:before="120"/>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Gazette 30 Nov 1984 p. 3952; 28 Jun 2011 p. 2552.] </w:t>
      </w:r>
    </w:p>
    <w:p>
      <w:pPr>
        <w:pStyle w:val="Heading5"/>
        <w:spacing w:before="180"/>
        <w:rPr>
          <w:snapToGrid w:val="0"/>
        </w:rPr>
      </w:pPr>
      <w:bookmarkStart w:id="993" w:name="_Toc129078123"/>
      <w:r>
        <w:rPr>
          <w:rStyle w:val="CharSectno"/>
        </w:rPr>
        <w:t>26</w:t>
      </w:r>
      <w:r>
        <w:rPr>
          <w:snapToGrid w:val="0"/>
        </w:rPr>
        <w:t>.</w:t>
      </w:r>
      <w:r>
        <w:rPr>
          <w:snapToGrid w:val="0"/>
        </w:rPr>
        <w:tab/>
        <w:t>Settling and filing master’s certificate</w:t>
      </w:r>
      <w:bookmarkEnd w:id="993"/>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spacing w:before="180"/>
        <w:rPr>
          <w:snapToGrid w:val="0"/>
        </w:rPr>
      </w:pPr>
      <w:bookmarkStart w:id="994" w:name="_Toc129078124"/>
      <w:r>
        <w:rPr>
          <w:rStyle w:val="CharSectno"/>
        </w:rPr>
        <w:t>27</w:t>
      </w:r>
      <w:r>
        <w:rPr>
          <w:snapToGrid w:val="0"/>
        </w:rPr>
        <w:t>.</w:t>
      </w:r>
      <w:r>
        <w:rPr>
          <w:snapToGrid w:val="0"/>
        </w:rPr>
        <w:tab/>
        <w:t>Judge may determine questions in proceedings before master</w:t>
      </w:r>
      <w:bookmarkEnd w:id="994"/>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lastRenderedPageBreak/>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widowControl w:val="0"/>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Lines w:val="0"/>
        <w:spacing w:before="80"/>
        <w:ind w:left="890" w:hanging="890"/>
      </w:pPr>
      <w:r>
        <w:tab/>
        <w:t>[Rule 27 amended: Gazette 29 Apr 2005 p. 1795; 28 Jun 2011 p. 2552.]</w:t>
      </w:r>
    </w:p>
    <w:p>
      <w:pPr>
        <w:pStyle w:val="Heading5"/>
        <w:rPr>
          <w:snapToGrid w:val="0"/>
        </w:rPr>
      </w:pPr>
      <w:bookmarkStart w:id="995" w:name="_Toc129078125"/>
      <w:r>
        <w:rPr>
          <w:rStyle w:val="CharSectno"/>
        </w:rPr>
        <w:t>28</w:t>
      </w:r>
      <w:r>
        <w:rPr>
          <w:snapToGrid w:val="0"/>
        </w:rPr>
        <w:t>.</w:t>
      </w:r>
      <w:r>
        <w:rPr>
          <w:snapToGrid w:val="0"/>
        </w:rPr>
        <w:tab/>
        <w:t>Appeal against master’s certificate</w:t>
      </w:r>
      <w:bookmarkEnd w:id="995"/>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Gazette 2 Jul 1982 p. 2317; amended: Gazette 30 Nov 1984 p. 3952; 29 Apr 2005 p. 1792</w:t>
      </w:r>
      <w:r>
        <w:noBreakHyphen/>
        <w:t xml:space="preserve">3.] </w:t>
      </w:r>
    </w:p>
    <w:p>
      <w:pPr>
        <w:pStyle w:val="Heading5"/>
        <w:rPr>
          <w:snapToGrid w:val="0"/>
        </w:rPr>
      </w:pPr>
      <w:bookmarkStart w:id="996" w:name="_Toc129078126"/>
      <w:r>
        <w:rPr>
          <w:rStyle w:val="CharSectno"/>
        </w:rPr>
        <w:lastRenderedPageBreak/>
        <w:t>28A</w:t>
      </w:r>
      <w:r>
        <w:rPr>
          <w:snapToGrid w:val="0"/>
        </w:rPr>
        <w:t>.</w:t>
      </w:r>
      <w:r>
        <w:rPr>
          <w:snapToGrid w:val="0"/>
        </w:rPr>
        <w:tab/>
        <w:t>Judge may discharge or vary registrar’s certificate</w:t>
      </w:r>
      <w:bookmarkEnd w:id="996"/>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Gazette 2 Jul 1982 p. 2317; amended: Gazette 28 Jun 2011 p. 2552.] </w:t>
      </w:r>
    </w:p>
    <w:p>
      <w:pPr>
        <w:pStyle w:val="Heading3"/>
        <w:keepLines/>
        <w:spacing w:before="300"/>
      </w:pPr>
      <w:bookmarkStart w:id="997" w:name="_Toc129074055"/>
      <w:bookmarkStart w:id="998" w:name="_Toc129075338"/>
      <w:bookmarkStart w:id="999" w:name="_Toc129078127"/>
      <w:r>
        <w:rPr>
          <w:rStyle w:val="CharDivNo"/>
        </w:rPr>
        <w:t>Division 7</w:t>
      </w:r>
      <w:r>
        <w:t> — </w:t>
      </w:r>
      <w:r>
        <w:rPr>
          <w:rStyle w:val="CharDivText"/>
        </w:rPr>
        <w:t>Further consideration</w:t>
      </w:r>
      <w:bookmarkEnd w:id="997"/>
      <w:bookmarkEnd w:id="998"/>
      <w:bookmarkEnd w:id="999"/>
    </w:p>
    <w:p>
      <w:pPr>
        <w:pStyle w:val="Footnoteheading"/>
        <w:keepNext/>
        <w:keepLines/>
      </w:pPr>
      <w:r>
        <w:tab/>
        <w:t xml:space="preserve">[Heading inserted: Gazette 22 Feb 2008 p. 639.] </w:t>
      </w:r>
    </w:p>
    <w:p>
      <w:pPr>
        <w:pStyle w:val="Heading5"/>
        <w:rPr>
          <w:snapToGrid w:val="0"/>
        </w:rPr>
      </w:pPr>
      <w:bookmarkStart w:id="1000" w:name="_Toc129078128"/>
      <w:r>
        <w:rPr>
          <w:rStyle w:val="CharSectno"/>
        </w:rPr>
        <w:t>29</w:t>
      </w:r>
      <w:r>
        <w:rPr>
          <w:snapToGrid w:val="0"/>
        </w:rPr>
        <w:t>.</w:t>
      </w:r>
      <w:r>
        <w:rPr>
          <w:snapToGrid w:val="0"/>
        </w:rPr>
        <w:tab/>
        <w:t>Summons to have matter in chambers further considered</w:t>
      </w:r>
      <w:bookmarkEnd w:id="1000"/>
    </w:p>
    <w:p>
      <w:pPr>
        <w:pStyle w:val="Subsection"/>
      </w:pPr>
      <w:r>
        <w:tab/>
        <w:t>(1)</w:t>
      </w:r>
      <w:r>
        <w:tab/>
        <w:t xml:space="preserve">Where any matter originating in chambers shall, at the original or any subsequent hearing, have been adjourned for further consideration in chambers, such matter may, after the expiration </w:t>
      </w:r>
      <w:r>
        <w:lastRenderedPageBreak/>
        <w:t>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001" w:name="_Toc129074057"/>
      <w:bookmarkStart w:id="1002" w:name="_Toc129075340"/>
      <w:bookmarkStart w:id="1003" w:name="_Toc129078129"/>
      <w:r>
        <w:rPr>
          <w:rStyle w:val="CharPartNo"/>
        </w:rPr>
        <w:lastRenderedPageBreak/>
        <w:t>Order 62</w:t>
      </w:r>
      <w:r>
        <w:rPr>
          <w:rStyle w:val="CharDivNo"/>
        </w:rPr>
        <w:t> </w:t>
      </w:r>
      <w:r>
        <w:t>—</w:t>
      </w:r>
      <w:r>
        <w:rPr>
          <w:rStyle w:val="CharDivText"/>
        </w:rPr>
        <w:t> </w:t>
      </w:r>
      <w:r>
        <w:rPr>
          <w:rStyle w:val="CharPartText"/>
          <w:i/>
          <w:iCs/>
        </w:rPr>
        <w:t>Trustees Act 1962</w:t>
      </w:r>
      <w:r>
        <w:rPr>
          <w:rStyle w:val="CharPartText"/>
        </w:rPr>
        <w:t xml:space="preserve"> rules</w:t>
      </w:r>
      <w:bookmarkEnd w:id="1001"/>
      <w:bookmarkEnd w:id="1002"/>
      <w:bookmarkEnd w:id="1003"/>
    </w:p>
    <w:p>
      <w:pPr>
        <w:pStyle w:val="Footnoteheading"/>
      </w:pPr>
      <w:r>
        <w:tab/>
        <w:t xml:space="preserve">[Heading inserted: Gazette 22 Feb 2008 p. 640.] </w:t>
      </w:r>
    </w:p>
    <w:p>
      <w:pPr>
        <w:pStyle w:val="Heading5"/>
        <w:rPr>
          <w:snapToGrid w:val="0"/>
        </w:rPr>
      </w:pPr>
      <w:bookmarkStart w:id="1004" w:name="_Toc129078130"/>
      <w:r>
        <w:rPr>
          <w:rStyle w:val="CharSectno"/>
        </w:rPr>
        <w:t>1</w:t>
      </w:r>
      <w:r>
        <w:rPr>
          <w:snapToGrid w:val="0"/>
        </w:rPr>
        <w:t>.</w:t>
      </w:r>
      <w:r>
        <w:rPr>
          <w:snapToGrid w:val="0"/>
        </w:rPr>
        <w:tab/>
        <w:t>Making applications under Act</w:t>
      </w:r>
      <w:bookmarkEnd w:id="1004"/>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Gazette 15 Jun 1973 p. 2249; 28 Jun 2011 p. 2552.] </w:t>
      </w:r>
    </w:p>
    <w:p>
      <w:pPr>
        <w:pStyle w:val="Heading5"/>
        <w:rPr>
          <w:snapToGrid w:val="0"/>
        </w:rPr>
      </w:pPr>
      <w:bookmarkStart w:id="1005" w:name="_Toc129078131"/>
      <w:r>
        <w:rPr>
          <w:rStyle w:val="CharSectno"/>
        </w:rPr>
        <w:t>2</w:t>
      </w:r>
      <w:r>
        <w:rPr>
          <w:snapToGrid w:val="0"/>
        </w:rPr>
        <w:t>.</w:t>
      </w:r>
      <w:r>
        <w:rPr>
          <w:snapToGrid w:val="0"/>
        </w:rPr>
        <w:tab/>
        <w:t>Title of proceedings</w:t>
      </w:r>
      <w:bookmarkEnd w:id="1005"/>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06" w:name="_Toc129078132"/>
      <w:r>
        <w:rPr>
          <w:rStyle w:val="CharSectno"/>
        </w:rPr>
        <w:t>3</w:t>
      </w:r>
      <w:r>
        <w:rPr>
          <w:snapToGrid w:val="0"/>
        </w:rPr>
        <w:t>.</w:t>
      </w:r>
      <w:r>
        <w:rPr>
          <w:snapToGrid w:val="0"/>
        </w:rPr>
        <w:tab/>
        <w:t>Payment into court under Act s. 99</w:t>
      </w:r>
      <w:bookmarkEnd w:id="1006"/>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r>
        <w:lastRenderedPageBreak/>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Gazette 21 Feb 2007 p. 564.]</w:t>
      </w:r>
    </w:p>
    <w:p>
      <w:pPr>
        <w:pStyle w:val="Heading5"/>
        <w:rPr>
          <w:snapToGrid w:val="0"/>
        </w:rPr>
      </w:pPr>
      <w:bookmarkStart w:id="1007" w:name="_Toc129078133"/>
      <w:r>
        <w:rPr>
          <w:rStyle w:val="CharSectno"/>
        </w:rPr>
        <w:t>4</w:t>
      </w:r>
      <w:r>
        <w:rPr>
          <w:snapToGrid w:val="0"/>
        </w:rPr>
        <w:t>.</w:t>
      </w:r>
      <w:r>
        <w:rPr>
          <w:snapToGrid w:val="0"/>
        </w:rPr>
        <w:tab/>
        <w:t>Notice of payment in etc.</w:t>
      </w:r>
      <w:bookmarkEnd w:id="100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08" w:name="_Toc129078134"/>
      <w:r>
        <w:rPr>
          <w:rStyle w:val="CharSectno"/>
        </w:rPr>
        <w:t>5</w:t>
      </w:r>
      <w:r>
        <w:rPr>
          <w:snapToGrid w:val="0"/>
        </w:rPr>
        <w:t>.</w:t>
      </w:r>
      <w:r>
        <w:rPr>
          <w:snapToGrid w:val="0"/>
        </w:rPr>
        <w:tab/>
        <w:t>Applications in respect of money etc. paid into court</w:t>
      </w:r>
      <w:bookmarkEnd w:id="1008"/>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r>
        <w:tab/>
        <w:t>[Rule 5 amended: Gazette 21 Feb 2007 p. 564.]</w:t>
      </w:r>
    </w:p>
    <w:p>
      <w:pPr>
        <w:pStyle w:val="Ednotepart"/>
      </w:pPr>
      <w:r>
        <w:t>[Order 62A (r. 1-5) deleted: Gazette 16 Nov 2016 p. 5199.]</w:t>
      </w:r>
    </w:p>
    <w:p>
      <w:pPr>
        <w:pStyle w:val="Ednotepart"/>
      </w:pPr>
      <w:r>
        <w:t>[Orders 63, 63A and 64 deleted: Gazette 29 Apr 2005 p. 1793.]</w:t>
      </w:r>
    </w:p>
    <w:p>
      <w:pPr>
        <w:pStyle w:val="Heading2"/>
      </w:pPr>
      <w:bookmarkStart w:id="1009" w:name="_Toc129074063"/>
      <w:bookmarkStart w:id="1010" w:name="_Toc129075346"/>
      <w:bookmarkStart w:id="1011" w:name="_Toc129078135"/>
      <w:r>
        <w:rPr>
          <w:rStyle w:val="CharPartNo"/>
        </w:rPr>
        <w:lastRenderedPageBreak/>
        <w:t>Order 65</w:t>
      </w:r>
      <w:r>
        <w:rPr>
          <w:b w:val="0"/>
        </w:rPr>
        <w:t> </w:t>
      </w:r>
      <w:r>
        <w:t>—</w:t>
      </w:r>
      <w:r>
        <w:rPr>
          <w:b w:val="0"/>
        </w:rPr>
        <w:t> </w:t>
      </w:r>
      <w:r>
        <w:rPr>
          <w:rStyle w:val="CharPartText"/>
        </w:rPr>
        <w:t>Appeals to the General Division</w:t>
      </w:r>
      <w:bookmarkEnd w:id="1009"/>
      <w:bookmarkEnd w:id="1010"/>
      <w:bookmarkEnd w:id="1011"/>
    </w:p>
    <w:p>
      <w:pPr>
        <w:pStyle w:val="Footnoteheading"/>
      </w:pPr>
      <w:r>
        <w:tab/>
        <w:t>[Heading inserted: Gazette 21 Feb 2007 p. 564.]</w:t>
      </w:r>
    </w:p>
    <w:p>
      <w:pPr>
        <w:pStyle w:val="Heading3"/>
      </w:pPr>
      <w:bookmarkStart w:id="1012" w:name="_Toc129074064"/>
      <w:bookmarkStart w:id="1013" w:name="_Toc129075347"/>
      <w:bookmarkStart w:id="1014" w:name="_Toc129078136"/>
      <w:r>
        <w:rPr>
          <w:rStyle w:val="CharDivNo"/>
        </w:rPr>
        <w:t>Division 1</w:t>
      </w:r>
      <w:r>
        <w:t> — </w:t>
      </w:r>
      <w:r>
        <w:rPr>
          <w:rStyle w:val="CharDivText"/>
        </w:rPr>
        <w:t>Preliminary matters</w:t>
      </w:r>
      <w:bookmarkEnd w:id="1012"/>
      <w:bookmarkEnd w:id="1013"/>
      <w:bookmarkEnd w:id="1014"/>
    </w:p>
    <w:p>
      <w:pPr>
        <w:pStyle w:val="Footnoteheading"/>
      </w:pPr>
      <w:r>
        <w:tab/>
        <w:t>[Heading inserted: Gazette 21 Feb 2007 p. 564.]</w:t>
      </w:r>
    </w:p>
    <w:p>
      <w:pPr>
        <w:pStyle w:val="Heading5"/>
      </w:pPr>
      <w:bookmarkStart w:id="1015" w:name="_Toc129078137"/>
      <w:r>
        <w:rPr>
          <w:rStyle w:val="CharSectno"/>
        </w:rPr>
        <w:t>1</w:t>
      </w:r>
      <w:r>
        <w:t>.</w:t>
      </w:r>
      <w:r>
        <w:tab/>
        <w:t>Terms used</w:t>
      </w:r>
      <w:bookmarkEnd w:id="1015"/>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lastRenderedPageBreak/>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Gazette 21 Feb 2007 p. 564</w:t>
      </w:r>
      <w:r>
        <w:noBreakHyphen/>
        <w:t>5.]</w:t>
      </w:r>
    </w:p>
    <w:p>
      <w:pPr>
        <w:pStyle w:val="Heading5"/>
      </w:pPr>
      <w:bookmarkStart w:id="1016" w:name="_Toc129078138"/>
      <w:r>
        <w:rPr>
          <w:rStyle w:val="CharSectno"/>
        </w:rPr>
        <w:t>2</w:t>
      </w:r>
      <w:r>
        <w:t>.</w:t>
      </w:r>
      <w:r>
        <w:tab/>
        <w:t>Application of this Order</w:t>
      </w:r>
      <w:bookmarkEnd w:id="1016"/>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r>
        <w:tab/>
        <w:t>[Rule 2 inserted: Gazette 21 Feb 2007 p. 565.]</w:t>
      </w:r>
    </w:p>
    <w:p>
      <w:pPr>
        <w:pStyle w:val="Heading3"/>
      </w:pPr>
      <w:bookmarkStart w:id="1017" w:name="_Toc129074067"/>
      <w:bookmarkStart w:id="1018" w:name="_Toc129075350"/>
      <w:bookmarkStart w:id="1019" w:name="_Toc129078139"/>
      <w:r>
        <w:rPr>
          <w:rStyle w:val="CharDivNo"/>
        </w:rPr>
        <w:t>Division 2</w:t>
      </w:r>
      <w:r>
        <w:t> — </w:t>
      </w:r>
      <w:r>
        <w:rPr>
          <w:rStyle w:val="CharDivText"/>
        </w:rPr>
        <w:t>General matters</w:t>
      </w:r>
      <w:bookmarkEnd w:id="1017"/>
      <w:bookmarkEnd w:id="1018"/>
      <w:bookmarkEnd w:id="1019"/>
    </w:p>
    <w:p>
      <w:pPr>
        <w:pStyle w:val="Footnoteheading"/>
      </w:pPr>
      <w:r>
        <w:tab/>
        <w:t>[Heading inserted: Gazette 21 Feb 2007 p. 565.]</w:t>
      </w:r>
    </w:p>
    <w:p>
      <w:pPr>
        <w:pStyle w:val="Heading5"/>
      </w:pPr>
      <w:bookmarkStart w:id="1020" w:name="_Toc129078140"/>
      <w:r>
        <w:rPr>
          <w:rStyle w:val="CharSectno"/>
        </w:rPr>
        <w:t>3</w:t>
      </w:r>
      <w:r>
        <w:t>.</w:t>
      </w:r>
      <w:r>
        <w:tab/>
        <w:t>Hearings by telephone</w:t>
      </w:r>
      <w:bookmarkEnd w:id="1020"/>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r>
        <w:tab/>
        <w:t>[Rule 3 inserted: Gazette 21 Feb 2007 p. 565</w:t>
      </w:r>
      <w:r>
        <w:noBreakHyphen/>
        <w:t>6.]</w:t>
      </w:r>
    </w:p>
    <w:p>
      <w:pPr>
        <w:pStyle w:val="Heading5"/>
      </w:pPr>
      <w:bookmarkStart w:id="1021" w:name="_Toc129078141"/>
      <w:r>
        <w:rPr>
          <w:rStyle w:val="CharSectno"/>
        </w:rPr>
        <w:lastRenderedPageBreak/>
        <w:t>4</w:t>
      </w:r>
      <w:r>
        <w:t>.</w:t>
      </w:r>
      <w:r>
        <w:tab/>
        <w:t>Judge’s general jurisdiction</w:t>
      </w:r>
      <w:bookmarkEnd w:id="1021"/>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lastRenderedPageBreak/>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r>
        <w:tab/>
        <w:t>[Rule 4 inserted: Gazette 21 Feb 2007 p. 566; amended: Gazette 22 Feb 2008 p. 640.]</w:t>
      </w:r>
    </w:p>
    <w:p>
      <w:pPr>
        <w:pStyle w:val="Heading5"/>
      </w:pPr>
      <w:bookmarkStart w:id="1022" w:name="_Toc129078142"/>
      <w:r>
        <w:rPr>
          <w:rStyle w:val="CharSectno"/>
        </w:rPr>
        <w:t>5</w:t>
      </w:r>
      <w:r>
        <w:t>.</w:t>
      </w:r>
      <w:r>
        <w:tab/>
        <w:t>Non</w:t>
      </w:r>
      <w:r>
        <w:noBreakHyphen/>
        <w:t>attendance by party, consequences of</w:t>
      </w:r>
      <w:bookmarkEnd w:id="1022"/>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r>
        <w:tab/>
        <w:t>[Rule 5 inserted: Gazette 21 Feb 2007 p. 567.]</w:t>
      </w:r>
    </w:p>
    <w:p>
      <w:pPr>
        <w:pStyle w:val="Heading5"/>
      </w:pPr>
      <w:bookmarkStart w:id="1023" w:name="_Toc129078143"/>
      <w:r>
        <w:rPr>
          <w:rStyle w:val="CharSectno"/>
        </w:rPr>
        <w:t>6</w:t>
      </w:r>
      <w:r>
        <w:t>.</w:t>
      </w:r>
      <w:r>
        <w:tab/>
        <w:t>Decisions made in absence of party</w:t>
      </w:r>
      <w:bookmarkEnd w:id="1023"/>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r>
        <w:tab/>
        <w:t>[Rule 6 inserted: Gazette 21 Feb 2007 p. 567.]</w:t>
      </w:r>
    </w:p>
    <w:p>
      <w:pPr>
        <w:pStyle w:val="Heading5"/>
      </w:pPr>
      <w:bookmarkStart w:id="1024" w:name="_Toc129078144"/>
      <w:r>
        <w:rPr>
          <w:rStyle w:val="CharSectno"/>
        </w:rPr>
        <w:t>7</w:t>
      </w:r>
      <w:r>
        <w:t>.</w:t>
      </w:r>
      <w:r>
        <w:tab/>
        <w:t>Decisions made on the papers</w:t>
      </w:r>
      <w:bookmarkEnd w:id="1024"/>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lastRenderedPageBreak/>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r>
        <w:tab/>
        <w:t>[Rule 7 inserted: Gazette 21 Feb 2007 p. 567.]</w:t>
      </w:r>
    </w:p>
    <w:p>
      <w:pPr>
        <w:pStyle w:val="Heading3"/>
      </w:pPr>
      <w:bookmarkStart w:id="1025" w:name="_Toc129074073"/>
      <w:bookmarkStart w:id="1026" w:name="_Toc129075356"/>
      <w:bookmarkStart w:id="1027" w:name="_Toc129078145"/>
      <w:r>
        <w:rPr>
          <w:rStyle w:val="CharDivNo"/>
        </w:rPr>
        <w:t>Division 3</w:t>
      </w:r>
      <w:r>
        <w:t> — </w:t>
      </w:r>
      <w:r>
        <w:rPr>
          <w:rStyle w:val="CharDivText"/>
        </w:rPr>
        <w:t>Procedure on appeals</w:t>
      </w:r>
      <w:bookmarkEnd w:id="1025"/>
      <w:bookmarkEnd w:id="1026"/>
      <w:bookmarkEnd w:id="1027"/>
    </w:p>
    <w:p>
      <w:pPr>
        <w:pStyle w:val="Footnoteheading"/>
      </w:pPr>
      <w:r>
        <w:tab/>
        <w:t>[Heading inserted: Gazette 21 Feb 2007 p. 568.]</w:t>
      </w:r>
    </w:p>
    <w:p>
      <w:pPr>
        <w:pStyle w:val="Heading5"/>
      </w:pPr>
      <w:bookmarkStart w:id="1028" w:name="_Toc129078146"/>
      <w:r>
        <w:rPr>
          <w:rStyle w:val="CharSectno"/>
        </w:rPr>
        <w:t>8</w:t>
      </w:r>
      <w:r>
        <w:t>.</w:t>
      </w:r>
      <w:r>
        <w:tab/>
        <w:t>Nature of appeals</w:t>
      </w:r>
      <w:bookmarkEnd w:id="1028"/>
    </w:p>
    <w:p>
      <w:pPr>
        <w:pStyle w:val="Subsection"/>
      </w:pPr>
      <w:r>
        <w:tab/>
      </w:r>
      <w:r>
        <w:tab/>
        <w:t>An appeal will be by way of rehearing unless another written law provides otherwise.</w:t>
      </w:r>
    </w:p>
    <w:p>
      <w:pPr>
        <w:pStyle w:val="Footnotesection"/>
      </w:pPr>
      <w:r>
        <w:tab/>
        <w:t>[Rule 8 inserted: Gazette 21 Feb 2007 p. 568.]</w:t>
      </w:r>
    </w:p>
    <w:p>
      <w:pPr>
        <w:pStyle w:val="Heading5"/>
      </w:pPr>
      <w:bookmarkStart w:id="1029" w:name="_Toc129078147"/>
      <w:r>
        <w:rPr>
          <w:rStyle w:val="CharSectno"/>
        </w:rPr>
        <w:t>9</w:t>
      </w:r>
      <w:r>
        <w:t>.</w:t>
      </w:r>
      <w:r>
        <w:tab/>
        <w:t>Time for appealing</w:t>
      </w:r>
      <w:bookmarkEnd w:id="1029"/>
    </w:p>
    <w:p>
      <w:pPr>
        <w:pStyle w:val="Subsection"/>
      </w:pPr>
      <w:r>
        <w:tab/>
      </w:r>
      <w:r>
        <w:tab/>
        <w:t>An appeal against a decision must be commenced within 21 days after the date of the decision.</w:t>
      </w:r>
    </w:p>
    <w:p>
      <w:pPr>
        <w:pStyle w:val="Footnotesection"/>
      </w:pPr>
      <w:r>
        <w:tab/>
        <w:t>[Rule 9 inserted: Gazette 21 Feb 2007 p. 568.]</w:t>
      </w:r>
    </w:p>
    <w:p>
      <w:pPr>
        <w:pStyle w:val="Heading5"/>
      </w:pPr>
      <w:bookmarkStart w:id="1030" w:name="_Toc129078148"/>
      <w:r>
        <w:rPr>
          <w:rStyle w:val="CharSectno"/>
        </w:rPr>
        <w:lastRenderedPageBreak/>
        <w:t>10</w:t>
      </w:r>
      <w:r>
        <w:t>.</w:t>
      </w:r>
      <w:r>
        <w:tab/>
        <w:t>Appeal, how to commence</w:t>
      </w:r>
      <w:bookmarkEnd w:id="1030"/>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lastRenderedPageBreak/>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r>
        <w:tab/>
        <w:t>[Rule 10 inserted: Gazette 21 Feb 2007 p. 568</w:t>
      </w:r>
      <w:r>
        <w:noBreakHyphen/>
        <w:t>9.]</w:t>
      </w:r>
    </w:p>
    <w:p>
      <w:pPr>
        <w:pStyle w:val="Heading5"/>
      </w:pPr>
      <w:bookmarkStart w:id="1031" w:name="_Toc129078149"/>
      <w:r>
        <w:rPr>
          <w:rStyle w:val="CharSectno"/>
        </w:rPr>
        <w:t>11</w:t>
      </w:r>
      <w:r>
        <w:t>.</w:t>
      </w:r>
      <w:r>
        <w:tab/>
        <w:t>Primary court to be notified and to supply records</w:t>
      </w:r>
      <w:bookmarkEnd w:id="1031"/>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r>
        <w:tab/>
        <w:t>[Rule 11 inserted: Gazette 21 Feb 2007 p. 569.]</w:t>
      </w:r>
    </w:p>
    <w:p>
      <w:pPr>
        <w:pStyle w:val="Heading5"/>
      </w:pPr>
      <w:bookmarkStart w:id="1032" w:name="_Toc129078150"/>
      <w:r>
        <w:rPr>
          <w:rStyle w:val="CharSectno"/>
        </w:rPr>
        <w:t>12</w:t>
      </w:r>
      <w:r>
        <w:t>.</w:t>
      </w:r>
      <w:r>
        <w:tab/>
        <w:t>Respondent’s options</w:t>
      </w:r>
      <w:bookmarkEnd w:id="1032"/>
    </w:p>
    <w:p>
      <w:pPr>
        <w:pStyle w:val="Subsection"/>
      </w:pPr>
      <w:r>
        <w:tab/>
        <w:t>(1)</w:t>
      </w:r>
      <w:r>
        <w:tab/>
        <w:t>On being served with an appeal notice, a respondent may file a Form No. 85 (Notice of respondent’s intention).</w:t>
      </w:r>
    </w:p>
    <w:p>
      <w:pPr>
        <w:pStyle w:val="Subsection"/>
      </w:pPr>
      <w:r>
        <w:lastRenderedPageBreak/>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r>
        <w:tab/>
        <w:t>[Rule 12 inserted: Gazette 21 Feb 2007 p. 569.]</w:t>
      </w:r>
    </w:p>
    <w:p>
      <w:pPr>
        <w:pStyle w:val="Heading5"/>
      </w:pPr>
      <w:bookmarkStart w:id="1033" w:name="_Toc129078151"/>
      <w:r>
        <w:rPr>
          <w:rStyle w:val="CharSectno"/>
        </w:rPr>
        <w:t>13</w:t>
      </w:r>
      <w:r>
        <w:t>.</w:t>
      </w:r>
      <w:r>
        <w:tab/>
        <w:t>Interim order, applying for</w:t>
      </w:r>
      <w:bookmarkEnd w:id="1033"/>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r>
        <w:tab/>
        <w:t>[Rule 13 inserted: Gazette 21 Feb 2007 p. 570.]</w:t>
      </w:r>
    </w:p>
    <w:p>
      <w:pPr>
        <w:pStyle w:val="Heading5"/>
      </w:pPr>
      <w:bookmarkStart w:id="1034" w:name="_Toc129078152"/>
      <w:r>
        <w:rPr>
          <w:rStyle w:val="CharSectno"/>
        </w:rPr>
        <w:t>14</w:t>
      </w:r>
      <w:r>
        <w:t>.</w:t>
      </w:r>
      <w:r>
        <w:tab/>
        <w:t>Urgent appeal order, nature of</w:t>
      </w:r>
      <w:bookmarkEnd w:id="1034"/>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lastRenderedPageBreak/>
        <w:tab/>
        <w:t>(b)</w:t>
      </w:r>
      <w:r>
        <w:tab/>
        <w:t>any order that will or may facilitate the appeal being heard as quickly as practicable consistent with the proper administration of justice.</w:t>
      </w:r>
    </w:p>
    <w:p>
      <w:pPr>
        <w:pStyle w:val="Footnotesection"/>
      </w:pPr>
      <w:r>
        <w:tab/>
        <w:t>[Rule 14 inserted: Gazette 21 Feb 2007 p. 570.]</w:t>
      </w:r>
    </w:p>
    <w:p>
      <w:pPr>
        <w:pStyle w:val="Heading5"/>
      </w:pPr>
      <w:bookmarkStart w:id="1035" w:name="_Toc129078153"/>
      <w:r>
        <w:rPr>
          <w:rStyle w:val="CharSectno"/>
        </w:rPr>
        <w:t>15</w:t>
      </w:r>
      <w:r>
        <w:t>.</w:t>
      </w:r>
      <w:r>
        <w:tab/>
        <w:t>Consenting to orders</w:t>
      </w:r>
      <w:bookmarkEnd w:id="1035"/>
    </w:p>
    <w:p>
      <w:pPr>
        <w:pStyle w:val="Subsection"/>
      </w:pPr>
      <w:r>
        <w:tab/>
      </w:r>
      <w:r>
        <w:tab/>
        <w:t>The parties to an appeal may consent to an interim or other order, other than an urgent appeal order, being made by filing a Form No. 87 (Consent notice).</w:t>
      </w:r>
    </w:p>
    <w:p>
      <w:pPr>
        <w:pStyle w:val="Footnotesection"/>
      </w:pPr>
      <w:r>
        <w:tab/>
        <w:t>[Rule 15 inserted: Gazette 21 Feb 2007 p. 570.]</w:t>
      </w:r>
    </w:p>
    <w:p>
      <w:pPr>
        <w:pStyle w:val="Heading5"/>
      </w:pPr>
      <w:bookmarkStart w:id="1036" w:name="_Toc129078154"/>
      <w:r>
        <w:rPr>
          <w:rStyle w:val="CharSectno"/>
        </w:rPr>
        <w:t>16</w:t>
      </w:r>
      <w:r>
        <w:t>.</w:t>
      </w:r>
      <w:r>
        <w:tab/>
        <w:t>Appeal books not needed unless ordered</w:t>
      </w:r>
      <w:bookmarkEnd w:id="1036"/>
    </w:p>
    <w:p>
      <w:pPr>
        <w:pStyle w:val="Subsection"/>
      </w:pPr>
      <w:r>
        <w:tab/>
      </w:r>
      <w:r>
        <w:tab/>
        <w:t>An appeal book containing the documents needed to decide the appeal is not required unless it has been ordered under rule 4.</w:t>
      </w:r>
    </w:p>
    <w:p>
      <w:pPr>
        <w:pStyle w:val="Footnotesection"/>
      </w:pPr>
      <w:r>
        <w:tab/>
        <w:t>[Rule 16 inserted: Gazette 21 Feb 2007 p. 570.]</w:t>
      </w:r>
    </w:p>
    <w:p>
      <w:pPr>
        <w:pStyle w:val="Heading3"/>
      </w:pPr>
      <w:bookmarkStart w:id="1037" w:name="_Toc129074083"/>
      <w:bookmarkStart w:id="1038" w:name="_Toc129075366"/>
      <w:bookmarkStart w:id="1039" w:name="_Toc129078155"/>
      <w:r>
        <w:rPr>
          <w:rStyle w:val="CharDivNo"/>
        </w:rPr>
        <w:t>Division 4</w:t>
      </w:r>
      <w:r>
        <w:t> — </w:t>
      </w:r>
      <w:r>
        <w:rPr>
          <w:rStyle w:val="CharDivText"/>
        </w:rPr>
        <w:t>Concluding an appeal</w:t>
      </w:r>
      <w:bookmarkEnd w:id="1037"/>
      <w:bookmarkEnd w:id="1038"/>
      <w:bookmarkEnd w:id="1039"/>
    </w:p>
    <w:p>
      <w:pPr>
        <w:pStyle w:val="Footnoteheading"/>
      </w:pPr>
      <w:r>
        <w:tab/>
        <w:t>[Heading inserted: Gazette 21 Feb 2007 p. 570.]</w:t>
      </w:r>
    </w:p>
    <w:p>
      <w:pPr>
        <w:pStyle w:val="Heading5"/>
        <w:spacing w:before="180"/>
      </w:pPr>
      <w:bookmarkStart w:id="1040" w:name="_Toc129078156"/>
      <w:r>
        <w:rPr>
          <w:rStyle w:val="CharSectno"/>
        </w:rPr>
        <w:t>17</w:t>
      </w:r>
      <w:r>
        <w:t>.</w:t>
      </w:r>
      <w:r>
        <w:tab/>
        <w:t>Discontinuing an appeal</w:t>
      </w:r>
      <w:bookmarkEnd w:id="1040"/>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lastRenderedPageBreak/>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r>
        <w:tab/>
        <w:t>[Rule 17 inserted: Gazette 21 Feb 2007 p. 570</w:t>
      </w:r>
      <w:r>
        <w:noBreakHyphen/>
        <w:t>1.]</w:t>
      </w:r>
    </w:p>
    <w:p>
      <w:pPr>
        <w:pStyle w:val="Heading5"/>
      </w:pPr>
      <w:bookmarkStart w:id="1041" w:name="_Toc129078157"/>
      <w:r>
        <w:rPr>
          <w:rStyle w:val="CharSectno"/>
        </w:rPr>
        <w:t>18</w:t>
      </w:r>
      <w:r>
        <w:t>.</w:t>
      </w:r>
      <w:r>
        <w:tab/>
        <w:t>Settling an appeal</w:t>
      </w:r>
      <w:bookmarkEnd w:id="1041"/>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r>
        <w:tab/>
        <w:t>[Rule 18 inserted: Gazette 21 Feb 2007 p. 571; amended: Gazette 28 Jun 2011 p. 2551.]</w:t>
      </w:r>
    </w:p>
    <w:p>
      <w:pPr>
        <w:pStyle w:val="Heading5"/>
      </w:pPr>
      <w:bookmarkStart w:id="1042" w:name="_Toc129078158"/>
      <w:r>
        <w:rPr>
          <w:rStyle w:val="CharSectno"/>
        </w:rPr>
        <w:t>19</w:t>
      </w:r>
      <w:r>
        <w:t>.</w:t>
      </w:r>
      <w:r>
        <w:tab/>
        <w:t>Return of exhibits</w:t>
      </w:r>
      <w:bookmarkEnd w:id="1042"/>
    </w:p>
    <w:p>
      <w:pPr>
        <w:pStyle w:val="Subsection"/>
      </w:pPr>
      <w:r>
        <w:tab/>
        <w:t>(1)</w:t>
      </w:r>
      <w:r>
        <w:tab/>
        <w:t>This rule does not apply to or in respect of any record or thing that forms part of the Court’s record.</w:t>
      </w:r>
    </w:p>
    <w:p>
      <w:pPr>
        <w:pStyle w:val="Subsection"/>
        <w:keepNext/>
      </w:pPr>
      <w:r>
        <w:lastRenderedPageBreak/>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file a written undertaking as to the care, maintenance and custody of it and its re</w:t>
      </w:r>
      <w:r>
        <w:noBreakHyphen/>
        <w:t>delivery to the Court.</w:t>
      </w:r>
    </w:p>
    <w:p>
      <w:pPr>
        <w:pStyle w:val="Subsection"/>
      </w:pPr>
      <w:r>
        <w:tab/>
        <w:t>(6)</w:t>
      </w:r>
      <w:r>
        <w:tab/>
        <w:t xml:space="preserve">If a record or thing remains in the possession of the Court after reasonable steps have been taken to identify a person who is </w:t>
      </w:r>
      <w:r>
        <w:lastRenderedPageBreak/>
        <w:t>entitled to possession of it and to require the person to collect it from the court, a judge may order a registrar to destroy it or dispose of it in some other way.</w:t>
      </w:r>
    </w:p>
    <w:p>
      <w:pPr>
        <w:pStyle w:val="Footnotesection"/>
      </w:pPr>
      <w:r>
        <w:tab/>
        <w:t>[Rule 19 inserted: Gazette 21 Feb 2007 p. 571</w:t>
      </w:r>
      <w:r>
        <w:noBreakHyphen/>
        <w:t>2; amended: Gazette 27 Feb 2018 p. 574.]</w:t>
      </w:r>
    </w:p>
    <w:p>
      <w:pPr>
        <w:pStyle w:val="Ednotepart"/>
      </w:pPr>
      <w:r>
        <w:t>[Orders 65A and 65B deleted: Gazette 29 Apr 2005 p. 1800.]</w:t>
      </w:r>
    </w:p>
    <w:p>
      <w:pPr>
        <w:pStyle w:val="Heading2"/>
      </w:pPr>
      <w:bookmarkStart w:id="1043" w:name="_Toc129074087"/>
      <w:bookmarkStart w:id="1044" w:name="_Toc129075370"/>
      <w:bookmarkStart w:id="1045" w:name="_Toc129078159"/>
      <w:r>
        <w:rPr>
          <w:rStyle w:val="CharPartNo"/>
        </w:rPr>
        <w:lastRenderedPageBreak/>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43"/>
      <w:bookmarkEnd w:id="1044"/>
      <w:bookmarkEnd w:id="1045"/>
    </w:p>
    <w:p>
      <w:pPr>
        <w:pStyle w:val="Footnoteheading"/>
      </w:pPr>
      <w:r>
        <w:tab/>
        <w:t xml:space="preserve">[Heading inserted: Gazette 22 Feb 2008 p. 640.] </w:t>
      </w:r>
    </w:p>
    <w:p>
      <w:pPr>
        <w:pStyle w:val="Heading5"/>
      </w:pPr>
      <w:bookmarkStart w:id="1046" w:name="_Toc129078160"/>
      <w:r>
        <w:rPr>
          <w:rStyle w:val="CharSectno"/>
        </w:rPr>
        <w:t>1</w:t>
      </w:r>
      <w:r>
        <w:t>.</w:t>
      </w:r>
      <w:r>
        <w:tab/>
        <w:t>Term used: Electoral Commissioner</w:t>
      </w:r>
      <w:bookmarkEnd w:id="104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Gazette 2 Feb 2001 p. 698.]</w:t>
      </w:r>
    </w:p>
    <w:p>
      <w:pPr>
        <w:pStyle w:val="Heading5"/>
      </w:pPr>
      <w:bookmarkStart w:id="1047" w:name="_Toc129078161"/>
      <w:r>
        <w:rPr>
          <w:rStyle w:val="CharSectno"/>
        </w:rPr>
        <w:t>2</w:t>
      </w:r>
      <w:r>
        <w:t>.</w:t>
      </w:r>
      <w:r>
        <w:tab/>
        <w:t>Application of this Order</w:t>
      </w:r>
      <w:bookmarkEnd w:id="1047"/>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Gazette 2 Feb 2001 p. 698.]</w:t>
      </w:r>
    </w:p>
    <w:p>
      <w:pPr>
        <w:pStyle w:val="Heading5"/>
      </w:pPr>
      <w:bookmarkStart w:id="1048" w:name="_Toc129078162"/>
      <w:r>
        <w:rPr>
          <w:rStyle w:val="CharSectno"/>
        </w:rPr>
        <w:t>3</w:t>
      </w:r>
      <w:r>
        <w:t>.</w:t>
      </w:r>
      <w:r>
        <w:tab/>
        <w:t>Application for review</w:t>
      </w:r>
      <w:bookmarkEnd w:id="104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Gazette 2 Feb 2001 p. 698.]</w:t>
      </w:r>
    </w:p>
    <w:p>
      <w:pPr>
        <w:pStyle w:val="Heading5"/>
      </w:pPr>
      <w:bookmarkStart w:id="1049" w:name="_Toc129078163"/>
      <w:r>
        <w:rPr>
          <w:rStyle w:val="CharSectno"/>
        </w:rPr>
        <w:t>4</w:t>
      </w:r>
      <w:r>
        <w:t>.</w:t>
      </w:r>
      <w:r>
        <w:tab/>
        <w:t>Title of proceedings</w:t>
      </w:r>
      <w:bookmarkEnd w:id="1049"/>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Gazette 2 Feb 2001 p. 698.]</w:t>
      </w:r>
    </w:p>
    <w:p>
      <w:pPr>
        <w:pStyle w:val="Heading5"/>
      </w:pPr>
      <w:bookmarkStart w:id="1050" w:name="_Toc129078164"/>
      <w:r>
        <w:rPr>
          <w:rStyle w:val="CharSectno"/>
        </w:rPr>
        <w:lastRenderedPageBreak/>
        <w:t>5</w:t>
      </w:r>
      <w:r>
        <w:t>.</w:t>
      </w:r>
      <w:r>
        <w:tab/>
        <w:t>Hearing the review</w:t>
      </w:r>
      <w:bookmarkEnd w:id="105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Gazette 2 Feb 2001 p. 698</w:t>
      </w:r>
      <w:r>
        <w:noBreakHyphen/>
        <w:t>9.]</w:t>
      </w:r>
    </w:p>
    <w:p>
      <w:pPr>
        <w:pStyle w:val="Heading5"/>
      </w:pPr>
      <w:bookmarkStart w:id="1051" w:name="_Toc129078165"/>
      <w:r>
        <w:rPr>
          <w:rStyle w:val="CharSectno"/>
        </w:rPr>
        <w:t>6</w:t>
      </w:r>
      <w:r>
        <w:t>.</w:t>
      </w:r>
      <w:r>
        <w:tab/>
        <w:t>Date of hearing</w:t>
      </w:r>
      <w:bookmarkEnd w:id="1051"/>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Gazette 2 Feb 2001 p. 699.]</w:t>
      </w:r>
    </w:p>
    <w:p>
      <w:pPr>
        <w:pStyle w:val="Heading5"/>
      </w:pPr>
      <w:bookmarkStart w:id="1052" w:name="_Toc129078166"/>
      <w:r>
        <w:rPr>
          <w:rStyle w:val="CharSectno"/>
        </w:rPr>
        <w:lastRenderedPageBreak/>
        <w:t>7</w:t>
      </w:r>
      <w:r>
        <w:t>.</w:t>
      </w:r>
      <w:r>
        <w:tab/>
        <w:t>Review book</w:t>
      </w:r>
      <w:bookmarkEnd w:id="105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file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Gazette 2 Feb 2001 p. 699; amended: Gazette 27 Feb 2018 p. 574.]</w:t>
      </w:r>
    </w:p>
    <w:p>
      <w:pPr>
        <w:pStyle w:val="Heading5"/>
      </w:pPr>
      <w:bookmarkStart w:id="1053" w:name="_Toc129078167"/>
      <w:r>
        <w:rPr>
          <w:rStyle w:val="CharSectno"/>
        </w:rPr>
        <w:t>8</w:t>
      </w:r>
      <w:r>
        <w:t>.</w:t>
      </w:r>
      <w:r>
        <w:tab/>
        <w:t>Applicant limited to grounds in originating motion</w:t>
      </w:r>
      <w:bookmarkEnd w:id="1053"/>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Gazette 2 Feb 2001 p. 699</w:t>
      </w:r>
      <w:r>
        <w:noBreakHyphen/>
        <w:t>700.]</w:t>
      </w:r>
    </w:p>
    <w:p>
      <w:pPr>
        <w:pStyle w:val="Heading5"/>
      </w:pPr>
      <w:bookmarkStart w:id="1054" w:name="_Toc129078168"/>
      <w:r>
        <w:rPr>
          <w:rStyle w:val="CharSectno"/>
        </w:rPr>
        <w:t>9</w:t>
      </w:r>
      <w:r>
        <w:t>.</w:t>
      </w:r>
      <w:r>
        <w:tab/>
        <w:t>Right to be heard in opposition</w:t>
      </w:r>
      <w:bookmarkEnd w:id="105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lastRenderedPageBreak/>
        <w:tab/>
        <w:t>(2)</w:t>
      </w:r>
      <w:r>
        <w:tab/>
        <w:t>A person who is heard under this rule, may, in the discretion of the Court, be ordered to pay costs.</w:t>
      </w:r>
    </w:p>
    <w:p>
      <w:pPr>
        <w:pStyle w:val="Footnotesection"/>
      </w:pPr>
      <w:r>
        <w:tab/>
        <w:t>[Rule 9 inserted: Gazette 2 Feb 2001 p. 700.]</w:t>
      </w:r>
    </w:p>
    <w:p>
      <w:pPr>
        <w:pStyle w:val="Heading5"/>
      </w:pPr>
      <w:bookmarkStart w:id="1055" w:name="_Toc129078169"/>
      <w:r>
        <w:rPr>
          <w:rStyle w:val="CharSectno"/>
        </w:rPr>
        <w:t>10</w:t>
      </w:r>
      <w:r>
        <w:t>.</w:t>
      </w:r>
      <w:r>
        <w:tab/>
        <w:t>Additional affidavits, determination of issue etc.</w:t>
      </w:r>
      <w:bookmarkEnd w:id="1055"/>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Gazette 2 Feb 2001 p. 700.]</w:t>
      </w:r>
    </w:p>
    <w:p>
      <w:pPr>
        <w:pStyle w:val="Heading5"/>
      </w:pPr>
      <w:bookmarkStart w:id="1056" w:name="_Toc129078170"/>
      <w:r>
        <w:rPr>
          <w:rStyle w:val="CharSectno"/>
        </w:rPr>
        <w:t>11</w:t>
      </w:r>
      <w:r>
        <w:t>.</w:t>
      </w:r>
      <w:r>
        <w:tab/>
        <w:t>Order as to result of review</w:t>
      </w:r>
      <w:bookmarkEnd w:id="1056"/>
    </w:p>
    <w:p>
      <w:pPr>
        <w:pStyle w:val="Subsection"/>
      </w:pPr>
      <w:r>
        <w:tab/>
        <w:t>(1)</w:t>
      </w:r>
      <w:r>
        <w:tab/>
        <w:t>The result of the review must be embodied in a formal order, which must be filed.</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Gazette 2 Feb 2001 p. 700; amended: Gazette 27 Feb 2018 p. 575.]</w:t>
      </w:r>
    </w:p>
    <w:p>
      <w:pPr>
        <w:pStyle w:val="Heading5"/>
      </w:pPr>
      <w:bookmarkStart w:id="1057" w:name="_Toc129078171"/>
      <w:r>
        <w:rPr>
          <w:rStyle w:val="CharSectno"/>
        </w:rPr>
        <w:t>12</w:t>
      </w:r>
      <w:r>
        <w:t>.</w:t>
      </w:r>
      <w:r>
        <w:tab/>
        <w:t>Application of rules of court</w:t>
      </w:r>
      <w:bookmarkEnd w:id="1057"/>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Gazette 2 Feb 2001 p. 700.]</w:t>
      </w:r>
    </w:p>
    <w:p>
      <w:pPr>
        <w:pStyle w:val="Heading2"/>
      </w:pPr>
      <w:bookmarkStart w:id="1058" w:name="_Toc129074100"/>
      <w:bookmarkStart w:id="1059" w:name="_Toc129075383"/>
      <w:bookmarkStart w:id="1060" w:name="_Toc129078172"/>
      <w:r>
        <w:rPr>
          <w:rStyle w:val="CharPartNo"/>
        </w:rPr>
        <w:lastRenderedPageBreak/>
        <w:t>Order 66</w:t>
      </w:r>
      <w:r>
        <w:t> — </w:t>
      </w:r>
      <w:r>
        <w:rPr>
          <w:rStyle w:val="CharPartText"/>
        </w:rPr>
        <w:t>Costs</w:t>
      </w:r>
      <w:bookmarkEnd w:id="1058"/>
      <w:bookmarkEnd w:id="1059"/>
      <w:bookmarkEnd w:id="1060"/>
    </w:p>
    <w:p>
      <w:pPr>
        <w:pStyle w:val="Heading3"/>
      </w:pPr>
      <w:bookmarkStart w:id="1061" w:name="_Toc129074101"/>
      <w:bookmarkStart w:id="1062" w:name="_Toc129075384"/>
      <w:bookmarkStart w:id="1063" w:name="_Toc129078173"/>
      <w:r>
        <w:rPr>
          <w:rStyle w:val="CharDivNo"/>
        </w:rPr>
        <w:t>Division 1</w:t>
      </w:r>
      <w:r>
        <w:t> — </w:t>
      </w:r>
      <w:r>
        <w:rPr>
          <w:rStyle w:val="CharDivText"/>
        </w:rPr>
        <w:t>General</w:t>
      </w:r>
      <w:bookmarkEnd w:id="1061"/>
      <w:bookmarkEnd w:id="1062"/>
      <w:bookmarkEnd w:id="1063"/>
    </w:p>
    <w:p>
      <w:pPr>
        <w:pStyle w:val="Footnoteheading"/>
      </w:pPr>
      <w:r>
        <w:tab/>
        <w:t xml:space="preserve">[Heading inserted: Gazette 22 Feb 2008 p. 640.] </w:t>
      </w:r>
    </w:p>
    <w:p>
      <w:pPr>
        <w:pStyle w:val="Heading5"/>
        <w:rPr>
          <w:snapToGrid w:val="0"/>
        </w:rPr>
      </w:pPr>
      <w:bookmarkStart w:id="1064" w:name="_Toc129078174"/>
      <w:r>
        <w:rPr>
          <w:rStyle w:val="CharSectno"/>
        </w:rPr>
        <w:t>1</w:t>
      </w:r>
      <w:r>
        <w:rPr>
          <w:snapToGrid w:val="0"/>
        </w:rPr>
        <w:t>.</w:t>
      </w:r>
      <w:r>
        <w:rPr>
          <w:snapToGrid w:val="0"/>
        </w:rPr>
        <w:tab/>
        <w:t>General rules as to costs</w:t>
      </w:r>
      <w:bookmarkEnd w:id="1064"/>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xml:space="preserve">, but in such case the Court may grant that defendant such sum for costs as will compensate him for expenses necessarily incurred by him and may in doing so exercise the powers hereinafter conferred </w:t>
      </w:r>
      <w:r>
        <w:rPr>
          <w:snapToGrid w:val="0"/>
        </w:rPr>
        <w:lastRenderedPageBreak/>
        <w:t>on it to order costs out of any property or fund with or without a right of recourse against any other party to the action or matter.</w:t>
      </w:r>
    </w:p>
    <w:p>
      <w:pPr>
        <w:pStyle w:val="Heading5"/>
        <w:rPr>
          <w:snapToGrid w:val="0"/>
        </w:rPr>
      </w:pPr>
      <w:bookmarkStart w:id="1065" w:name="_Toc129078175"/>
      <w:r>
        <w:rPr>
          <w:rStyle w:val="CharSectno"/>
        </w:rPr>
        <w:t>2</w:t>
      </w:r>
      <w:r>
        <w:rPr>
          <w:snapToGrid w:val="0"/>
        </w:rPr>
        <w:t>.</w:t>
      </w:r>
      <w:r>
        <w:rPr>
          <w:snapToGrid w:val="0"/>
        </w:rPr>
        <w:tab/>
        <w:t>Costs where several causes of action, defendants etc.</w:t>
      </w:r>
      <w:bookmarkEnd w:id="1065"/>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lastRenderedPageBreak/>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066" w:name="_Toc129078176"/>
      <w:r>
        <w:rPr>
          <w:rStyle w:val="CharSectno"/>
        </w:rPr>
        <w:t>3</w:t>
      </w:r>
      <w:r>
        <w:rPr>
          <w:snapToGrid w:val="0"/>
        </w:rPr>
        <w:t>.</w:t>
      </w:r>
      <w:r>
        <w:rPr>
          <w:snapToGrid w:val="0"/>
        </w:rPr>
        <w:tab/>
        <w:t>Costs of amendment without leave or where facts or documents not admitted</w:t>
      </w:r>
      <w:bookmarkEnd w:id="1066"/>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067" w:name="_Toc129078177"/>
      <w:r>
        <w:rPr>
          <w:rStyle w:val="CharSectno"/>
        </w:rPr>
        <w:t>4</w:t>
      </w:r>
      <w:r>
        <w:rPr>
          <w:snapToGrid w:val="0"/>
        </w:rPr>
        <w:t>.</w:t>
      </w:r>
      <w:r>
        <w:rPr>
          <w:snapToGrid w:val="0"/>
        </w:rPr>
        <w:tab/>
        <w:t>Action as to property, ordering costs out of property</w:t>
      </w:r>
      <w:bookmarkEnd w:id="1067"/>
    </w:p>
    <w:p>
      <w:pPr>
        <w:pStyle w:val="Subsection"/>
        <w:rPr>
          <w:snapToGrid w:val="0"/>
        </w:rPr>
      </w:pPr>
      <w:r>
        <w:rPr>
          <w:snapToGrid w:val="0"/>
        </w:rPr>
        <w:tab/>
        <w:t>(1)</w:t>
      </w:r>
      <w:r>
        <w:rPr>
          <w:snapToGrid w:val="0"/>
        </w:rPr>
        <w:tab/>
        <w:t xml:space="preserve">Where property is the subject of any action or matter, or where any question arising therein will affect any right or claim to </w:t>
      </w:r>
      <w:r>
        <w:rPr>
          <w:snapToGrid w:val="0"/>
        </w:rPr>
        <w:lastRenderedPageBreak/>
        <w:t>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068" w:name="_Toc129078178"/>
      <w:r>
        <w:rPr>
          <w:rStyle w:val="CharSectno"/>
        </w:rPr>
        <w:t>5</w:t>
      </w:r>
      <w:r>
        <w:rPr>
          <w:snapToGrid w:val="0"/>
        </w:rPr>
        <w:t>.</w:t>
      </w:r>
      <w:r>
        <w:rPr>
          <w:snapToGrid w:val="0"/>
        </w:rPr>
        <w:tab/>
        <w:t>Lawyer may be ordered to pay costs etc.</w:t>
      </w:r>
      <w:bookmarkEnd w:id="1068"/>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legal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 xml:space="preserve">No order under this rule shall be made against a </w:t>
      </w:r>
      <w:r>
        <w:t>legal practitioner</w:t>
      </w:r>
      <w:r>
        <w:rPr>
          <w:snapToGrid w:val="0"/>
        </w:rPr>
        <w:t xml:space="preserve"> unless he has been given a reasonable opportunity to appear before the Court and show cause why the order should not be made, except where any proceeding in court or in </w:t>
      </w:r>
      <w:r>
        <w:rPr>
          <w:snapToGrid w:val="0"/>
        </w:rPr>
        <w:lastRenderedPageBreak/>
        <w:t>chambers cannot conveniently proceed, and fails or is adjourned without useful progress being made — </w:t>
      </w:r>
    </w:p>
    <w:p>
      <w:pPr>
        <w:pStyle w:val="Indenta"/>
        <w:spacing w:before="60"/>
        <w:rPr>
          <w:snapToGrid w:val="0"/>
        </w:rPr>
      </w:pPr>
      <w:r>
        <w:rPr>
          <w:snapToGrid w:val="0"/>
        </w:rPr>
        <w:tab/>
        <w:t>(a)</w:t>
      </w:r>
      <w:r>
        <w:rPr>
          <w:snapToGrid w:val="0"/>
        </w:rPr>
        <w:tab/>
        <w:t xml:space="preserve">because of the failure of the </w:t>
      </w:r>
      <w:r>
        <w:t>legal practitioner</w:t>
      </w:r>
      <w:r>
        <w:rPr>
          <w:snapToGrid w:val="0"/>
        </w:rPr>
        <w:t xml:space="preserve"> to attend in person or by a proper representative; or</w:t>
      </w:r>
    </w:p>
    <w:p>
      <w:pPr>
        <w:pStyle w:val="Indenta"/>
        <w:rPr>
          <w:snapToGrid w:val="0"/>
        </w:rPr>
      </w:pPr>
      <w:r>
        <w:rPr>
          <w:snapToGrid w:val="0"/>
        </w:rPr>
        <w:tab/>
        <w:t>(b)</w:t>
      </w:r>
      <w:r>
        <w:rPr>
          <w:snapToGrid w:val="0"/>
        </w:rPr>
        <w:tab/>
        <w:t xml:space="preserve">because of the failure of the </w:t>
      </w:r>
      <w:r>
        <w:t>legal practitioner</w:t>
      </w:r>
      <w:r>
        <w:rPr>
          <w:snapToGrid w:val="0"/>
        </w:rPr>
        <w:t xml:space="preserve">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 xml:space="preserve">The Court may direct that notice of any proceedings or order against a </w:t>
      </w:r>
      <w:r>
        <w:t>legal practitioner</w:t>
      </w:r>
      <w:r>
        <w:rPr>
          <w:snapToGrid w:val="0"/>
        </w:rPr>
        <w:t xml:space="preserve"> under this rule shall be given to his client in such manner as may be specified in the direction.</w:t>
      </w:r>
    </w:p>
    <w:p>
      <w:pPr>
        <w:pStyle w:val="Footnotesection"/>
      </w:pPr>
      <w:r>
        <w:tab/>
        <w:t>[Rule 5 amended: Gazette 23 Jan 2001 p. 562</w:t>
      </w:r>
      <w:r>
        <w:noBreakHyphen/>
        <w:t>3; SL 2022/74 r. 15.]</w:t>
      </w:r>
    </w:p>
    <w:p>
      <w:pPr>
        <w:pStyle w:val="Heading5"/>
        <w:rPr>
          <w:snapToGrid w:val="0"/>
        </w:rPr>
      </w:pPr>
      <w:bookmarkStart w:id="1069" w:name="_Toc129078179"/>
      <w:r>
        <w:rPr>
          <w:rStyle w:val="CharSectno"/>
        </w:rPr>
        <w:t>6</w:t>
      </w:r>
      <w:r>
        <w:rPr>
          <w:snapToGrid w:val="0"/>
        </w:rPr>
        <w:t>.</w:t>
      </w:r>
      <w:r>
        <w:rPr>
          <w:snapToGrid w:val="0"/>
        </w:rPr>
        <w:tab/>
        <w:t xml:space="preserve">Solicitor guardian </w:t>
      </w:r>
      <w:r>
        <w:rPr>
          <w:i/>
          <w:snapToGrid w:val="0"/>
        </w:rPr>
        <w:t>ad litem</w:t>
      </w:r>
      <w:r>
        <w:rPr>
          <w:snapToGrid w:val="0"/>
        </w:rPr>
        <w:t>, costs of</w:t>
      </w:r>
      <w:bookmarkEnd w:id="1069"/>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070" w:name="_Toc129078180"/>
      <w:r>
        <w:rPr>
          <w:rStyle w:val="CharSectno"/>
        </w:rPr>
        <w:lastRenderedPageBreak/>
        <w:t>7</w:t>
      </w:r>
      <w:r>
        <w:rPr>
          <w:snapToGrid w:val="0"/>
        </w:rPr>
        <w:t>.</w:t>
      </w:r>
      <w:r>
        <w:rPr>
          <w:snapToGrid w:val="0"/>
        </w:rPr>
        <w:tab/>
        <w:t>Set</w:t>
      </w:r>
      <w:r>
        <w:rPr>
          <w:snapToGrid w:val="0"/>
        </w:rPr>
        <w:noBreakHyphen/>
        <w:t>off may be allowed despite solicitor’s lien</w:t>
      </w:r>
      <w:bookmarkEnd w:id="1070"/>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071" w:name="_Toc129078181"/>
      <w:r>
        <w:rPr>
          <w:rStyle w:val="CharSectno"/>
        </w:rPr>
        <w:t>8</w:t>
      </w:r>
      <w:r>
        <w:rPr>
          <w:snapToGrid w:val="0"/>
        </w:rPr>
        <w:t>.</w:t>
      </w:r>
      <w:r>
        <w:rPr>
          <w:snapToGrid w:val="0"/>
        </w:rPr>
        <w:tab/>
        <w:t>State solicitors, costs of</w:t>
      </w:r>
      <w:bookmarkEnd w:id="1071"/>
    </w:p>
    <w:p>
      <w:pPr>
        <w:pStyle w:val="Subsection"/>
        <w:rPr>
          <w:snapToGrid w:val="0"/>
        </w:rPr>
      </w:pPr>
      <w:r>
        <w:rPr>
          <w:snapToGrid w:val="0"/>
        </w:rPr>
        <w:tab/>
      </w:r>
      <w:r>
        <w:rPr>
          <w:snapToGrid w:val="0"/>
        </w:rPr>
        <w:tab/>
        <w:t xml:space="preserve">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w:t>
      </w:r>
      <w:r>
        <w:t>legal practitioner</w:t>
      </w:r>
      <w:r>
        <w:rPr>
          <w:snapToGrid w:val="0"/>
        </w:rPr>
        <w:t xml:space="preserve"> engaged by such party.</w:t>
      </w:r>
    </w:p>
    <w:p>
      <w:pPr>
        <w:pStyle w:val="Footnotesection"/>
      </w:pPr>
      <w:r>
        <w:tab/>
        <w:t xml:space="preserve">[Rule 8 amended: Gazette 19 Dec 1975 p. 4571; 19 Apr 2005 p. 1299; SL 2022/74 r. 15.] </w:t>
      </w:r>
    </w:p>
    <w:p>
      <w:pPr>
        <w:pStyle w:val="Heading5"/>
      </w:pPr>
      <w:bookmarkStart w:id="1072" w:name="_Toc129078182"/>
      <w:r>
        <w:rPr>
          <w:rStyle w:val="CharSectno"/>
        </w:rPr>
        <w:t>8A</w:t>
      </w:r>
      <w:r>
        <w:t>.</w:t>
      </w:r>
      <w:r>
        <w:tab/>
        <w:t>Costs in case of legal practitioner acting pro bono</w:t>
      </w:r>
      <w:bookmarkEnd w:id="1072"/>
    </w:p>
    <w:p>
      <w:pPr>
        <w:pStyle w:val="Subsection"/>
      </w:pPr>
      <w:r>
        <w:tab/>
        <w:t>(1)</w:t>
      </w:r>
      <w:r>
        <w:tab/>
        <w:t>In an action or matter in which a legal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legal practitioner may recover the amount ordered to be paid in respect of — </w:t>
      </w:r>
    </w:p>
    <w:p>
      <w:pPr>
        <w:pStyle w:val="Indenta"/>
      </w:pPr>
      <w:r>
        <w:tab/>
        <w:t>(a)</w:t>
      </w:r>
      <w:r>
        <w:tab/>
        <w:t>fees for the legal practitioner’s services; and</w:t>
      </w:r>
    </w:p>
    <w:p>
      <w:pPr>
        <w:pStyle w:val="Indenta"/>
      </w:pPr>
      <w:r>
        <w:tab/>
        <w:t>(b)</w:t>
      </w:r>
      <w:r>
        <w:tab/>
        <w:t>disbursements incurred by the legal practitioner on behalf of the party.</w:t>
      </w:r>
    </w:p>
    <w:p>
      <w:pPr>
        <w:pStyle w:val="Footnotesection"/>
      </w:pPr>
      <w:r>
        <w:tab/>
        <w:t xml:space="preserve">[Rule 8A inserted: Gazette 22 Feb 2008 p. 641; amended: SL 2022/74 r. 15.] </w:t>
      </w:r>
    </w:p>
    <w:p>
      <w:pPr>
        <w:pStyle w:val="Heading5"/>
        <w:rPr>
          <w:snapToGrid w:val="0"/>
        </w:rPr>
      </w:pPr>
      <w:bookmarkStart w:id="1073" w:name="_Toc129078183"/>
      <w:r>
        <w:rPr>
          <w:rStyle w:val="CharSectno"/>
        </w:rPr>
        <w:t>9</w:t>
      </w:r>
      <w:r>
        <w:rPr>
          <w:snapToGrid w:val="0"/>
        </w:rPr>
        <w:t>.</w:t>
      </w:r>
      <w:r>
        <w:rPr>
          <w:snapToGrid w:val="0"/>
        </w:rPr>
        <w:tab/>
        <w:t>Restriction of discretion to order costs in some cases</w:t>
      </w:r>
      <w:bookmarkEnd w:id="1073"/>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 xml:space="preserve">examines the witnesses produced to support the will shall not be liable to pay the costs of the party propounding </w:t>
      </w:r>
      <w:r>
        <w:rPr>
          <w:snapToGrid w:val="0"/>
        </w:rPr>
        <w:lastRenderedPageBreak/>
        <w:t>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074" w:name="_Toc129078184"/>
      <w:r>
        <w:rPr>
          <w:rStyle w:val="CharSectno"/>
        </w:rPr>
        <w:t>10</w:t>
      </w:r>
      <w:r>
        <w:rPr>
          <w:snapToGrid w:val="0"/>
        </w:rPr>
        <w:t>.</w:t>
      </w:r>
      <w:r>
        <w:rPr>
          <w:snapToGrid w:val="0"/>
        </w:rPr>
        <w:tab/>
        <w:t>Stage at which costs may be dealt with</w:t>
      </w:r>
      <w:bookmarkEnd w:id="1074"/>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lastRenderedPageBreak/>
        <w:tab/>
        <w:t>(c)</w:t>
      </w:r>
      <w:r>
        <w:rPr>
          <w:snapToGrid w:val="0"/>
        </w:rPr>
        <w:tab/>
        <w:t>order that the costs be ascertained by taxation or otherwise in that other court or tribunal.</w:t>
      </w:r>
    </w:p>
    <w:p>
      <w:pPr>
        <w:pStyle w:val="Heading5"/>
        <w:rPr>
          <w:snapToGrid w:val="0"/>
        </w:rPr>
      </w:pPr>
      <w:bookmarkStart w:id="1075" w:name="_Toc129078185"/>
      <w:r>
        <w:rPr>
          <w:rStyle w:val="CharSectno"/>
        </w:rPr>
        <w:t>11</w:t>
      </w:r>
      <w:r>
        <w:rPr>
          <w:snapToGrid w:val="0"/>
        </w:rPr>
        <w:t>.</w:t>
      </w:r>
      <w:r>
        <w:rPr>
          <w:snapToGrid w:val="0"/>
        </w:rPr>
        <w:tab/>
        <w:t>Scale of costs</w:t>
      </w:r>
      <w:bookmarkEnd w:id="1075"/>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legal costs determination made under the </w:t>
      </w:r>
      <w:r>
        <w:rPr>
          <w:i/>
        </w:rPr>
        <w:t>Legal Profession Uniform Law Application Act 2022</w:t>
      </w:r>
      <w:r>
        <w:t xml:space="preserve"> section 133, that relates to the costs that may be charged by law practices in respect of business before the Court carried out by legal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Uniform Law (WA)</w:t>
      </w:r>
      <w:r>
        <w:t xml:space="preserve"> permitting law practices</w:t>
      </w:r>
      <w:r>
        <w:rPr>
          <w:i/>
        </w:rPr>
        <w:t xml:space="preserve"> </w:t>
      </w:r>
      <w:r>
        <w:t xml:space="preserve">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keepNext/>
        <w:spacing w:before="120"/>
        <w:rPr>
          <w:snapToGrid w:val="0"/>
        </w:rPr>
      </w:pPr>
      <w:r>
        <w:rPr>
          <w:snapToGrid w:val="0"/>
        </w:rPr>
        <w:lastRenderedPageBreak/>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Gazette 7 Feb 1992 p. 686</w:t>
      </w:r>
      <w:r>
        <w:noBreakHyphen/>
        <w:t xml:space="preserve">7; amended: Gazette 19 Apr 2005 p. 1299; 3 Jul 2009 p. 2699; SL 2022/74 r. 11(1) and (2) and 15.] </w:t>
      </w:r>
    </w:p>
    <w:p>
      <w:pPr>
        <w:pStyle w:val="Ednotesection"/>
      </w:pPr>
      <w:r>
        <w:t>[</w:t>
      </w:r>
      <w:r>
        <w:rPr>
          <w:b/>
        </w:rPr>
        <w:t>12.</w:t>
      </w:r>
      <w:r>
        <w:tab/>
        <w:t>Deleted: Gazette 21 Feb 2007 p. 575.]</w:t>
      </w:r>
    </w:p>
    <w:p>
      <w:pPr>
        <w:pStyle w:val="Heading5"/>
        <w:keepNext w:val="0"/>
        <w:keepLines w:val="0"/>
        <w:rPr>
          <w:snapToGrid w:val="0"/>
        </w:rPr>
      </w:pPr>
      <w:bookmarkStart w:id="1076" w:name="_Toc129078186"/>
      <w:r>
        <w:rPr>
          <w:rStyle w:val="CharSectno"/>
        </w:rPr>
        <w:t>13</w:t>
      </w:r>
      <w:r>
        <w:rPr>
          <w:snapToGrid w:val="0"/>
        </w:rPr>
        <w:t>.</w:t>
      </w:r>
      <w:r>
        <w:rPr>
          <w:snapToGrid w:val="0"/>
        </w:rPr>
        <w:tab/>
        <w:t>Costs where scale does not apply</w:t>
      </w:r>
      <w:bookmarkEnd w:id="1076"/>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Gazette 7 Feb 1992 p. 687.] </w:t>
      </w:r>
    </w:p>
    <w:p>
      <w:pPr>
        <w:pStyle w:val="Heading5"/>
        <w:rPr>
          <w:snapToGrid w:val="0"/>
        </w:rPr>
      </w:pPr>
      <w:bookmarkStart w:id="1077" w:name="_Toc129078187"/>
      <w:r>
        <w:rPr>
          <w:rStyle w:val="CharSectno"/>
        </w:rPr>
        <w:t>14</w:t>
      </w:r>
      <w:r>
        <w:rPr>
          <w:snapToGrid w:val="0"/>
        </w:rPr>
        <w:t>.</w:t>
      </w:r>
      <w:r>
        <w:rPr>
          <w:snapToGrid w:val="0"/>
        </w:rPr>
        <w:tab/>
        <w:t>Lump sum award for costs, interim award as to</w:t>
      </w:r>
      <w:bookmarkEnd w:id="1077"/>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Gazette 19 Dec 1975 p. 4572.] </w:t>
      </w:r>
    </w:p>
    <w:p>
      <w:pPr>
        <w:pStyle w:val="Ednotesection"/>
      </w:pPr>
      <w:r>
        <w:lastRenderedPageBreak/>
        <w:t>[</w:t>
      </w:r>
      <w:r>
        <w:rPr>
          <w:b/>
        </w:rPr>
        <w:t>16.</w:t>
      </w:r>
      <w:r>
        <w:rPr>
          <w:b/>
        </w:rPr>
        <w:tab/>
      </w:r>
      <w:r>
        <w:t xml:space="preserve">Deleted: Gazette 7 Feb 1992 p. 687.] </w:t>
      </w:r>
    </w:p>
    <w:p>
      <w:pPr>
        <w:pStyle w:val="Heading5"/>
        <w:rPr>
          <w:snapToGrid w:val="0"/>
        </w:rPr>
      </w:pPr>
      <w:bookmarkStart w:id="1078" w:name="_Toc129078188"/>
      <w:r>
        <w:rPr>
          <w:rStyle w:val="CharSectno"/>
        </w:rPr>
        <w:t>17</w:t>
      </w:r>
      <w:r>
        <w:rPr>
          <w:snapToGrid w:val="0"/>
        </w:rPr>
        <w:t>.</w:t>
      </w:r>
      <w:r>
        <w:rPr>
          <w:snapToGrid w:val="0"/>
        </w:rPr>
        <w:tab/>
        <w:t>Cases that Magistrates Court could have decided, costs in</w:t>
      </w:r>
      <w:bookmarkEnd w:id="1078"/>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r>
        <w:tab/>
        <w:t>[Rule 17 amended: Gazette 29 Apr 2005 p. 1800.]</w:t>
      </w:r>
    </w:p>
    <w:p>
      <w:pPr>
        <w:pStyle w:val="Heading5"/>
        <w:rPr>
          <w:snapToGrid w:val="0"/>
        </w:rPr>
      </w:pPr>
      <w:bookmarkStart w:id="1079" w:name="_Toc129078189"/>
      <w:r>
        <w:rPr>
          <w:rStyle w:val="CharSectno"/>
        </w:rPr>
        <w:t>18</w:t>
      </w:r>
      <w:r>
        <w:rPr>
          <w:snapToGrid w:val="0"/>
        </w:rPr>
        <w:t>.</w:t>
      </w:r>
      <w:r>
        <w:rPr>
          <w:snapToGrid w:val="0"/>
        </w:rPr>
        <w:tab/>
        <w:t>Matters not provided for in scale</w:t>
      </w:r>
      <w:bookmarkEnd w:id="107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lastRenderedPageBreak/>
        <w:tab/>
        <w:t>(b)</w:t>
      </w:r>
      <w:r>
        <w:rPr>
          <w:snapToGrid w:val="0"/>
        </w:rPr>
        <w:tab/>
        <w:t>for a conference or consultation where and to the extent that the conference or consultation was necessary.</w:t>
      </w:r>
    </w:p>
    <w:p>
      <w:pPr>
        <w:pStyle w:val="Footnotesection"/>
      </w:pPr>
      <w:r>
        <w:tab/>
        <w:t>[Rule 18 inserted: Gazette 19 Dec 1975 p. 4572</w:t>
      </w:r>
      <w:r>
        <w:noBreakHyphen/>
        <w:t xml:space="preserve">3; amended: Gazette 14 Dec 1979 p. 3871; 7 Feb 1992 p. 687; 28 Jun 2011 p. 2552.] </w:t>
      </w:r>
    </w:p>
    <w:p>
      <w:pPr>
        <w:pStyle w:val="Heading5"/>
        <w:rPr>
          <w:snapToGrid w:val="0"/>
        </w:rPr>
      </w:pPr>
      <w:bookmarkStart w:id="1080" w:name="_Toc129078190"/>
      <w:r>
        <w:rPr>
          <w:rStyle w:val="CharSectno"/>
        </w:rPr>
        <w:t>19</w:t>
      </w:r>
      <w:r>
        <w:rPr>
          <w:snapToGrid w:val="0"/>
        </w:rPr>
        <w:t>.</w:t>
      </w:r>
      <w:r>
        <w:rPr>
          <w:snapToGrid w:val="0"/>
        </w:rPr>
        <w:tab/>
        <w:t>Disbursements etc. allowable on taxation</w:t>
      </w:r>
      <w:bookmarkEnd w:id="1080"/>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Gazette 30 Jun 2000 p. 3418.]</w:t>
      </w:r>
    </w:p>
    <w:p>
      <w:pPr>
        <w:pStyle w:val="Heading5"/>
        <w:rPr>
          <w:snapToGrid w:val="0"/>
        </w:rPr>
      </w:pPr>
      <w:bookmarkStart w:id="1081" w:name="_Toc129078191"/>
      <w:r>
        <w:rPr>
          <w:rStyle w:val="CharSectno"/>
        </w:rPr>
        <w:t>20</w:t>
      </w:r>
      <w:r>
        <w:rPr>
          <w:snapToGrid w:val="0"/>
        </w:rPr>
        <w:t>.</w:t>
      </w:r>
      <w:r>
        <w:rPr>
          <w:snapToGrid w:val="0"/>
        </w:rPr>
        <w:tab/>
        <w:t>Basis for calculating costs</w:t>
      </w:r>
      <w:bookmarkEnd w:id="1081"/>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 xml:space="preserve">Where relief other than a liquidated sum is claimed, either alone or in addition to a liquidated sum, the Court in giving judgment shall fix the value of the subject matter for the purpose of </w:t>
      </w:r>
      <w:r>
        <w:rPr>
          <w:snapToGrid w:val="0"/>
        </w:rPr>
        <w:lastRenderedPageBreak/>
        <w:t>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Gazette 30 Nov 1984 p. 3952.] </w:t>
      </w:r>
    </w:p>
    <w:p>
      <w:pPr>
        <w:pStyle w:val="Heading5"/>
        <w:rPr>
          <w:snapToGrid w:val="0"/>
        </w:rPr>
      </w:pPr>
      <w:bookmarkStart w:id="1082" w:name="_Toc129078192"/>
      <w:r>
        <w:rPr>
          <w:rStyle w:val="CharSectno"/>
        </w:rPr>
        <w:t>21</w:t>
      </w:r>
      <w:r>
        <w:rPr>
          <w:snapToGrid w:val="0"/>
        </w:rPr>
        <w:t>.</w:t>
      </w:r>
      <w:r>
        <w:rPr>
          <w:snapToGrid w:val="0"/>
        </w:rPr>
        <w:tab/>
        <w:t>No substantial trial, costs in case of</w:t>
      </w:r>
      <w:bookmarkEnd w:id="1082"/>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Gazette 19 Dec 1975 p. 4573; 7 Feb 1992 p. 687.] </w:t>
      </w:r>
    </w:p>
    <w:p>
      <w:pPr>
        <w:pStyle w:val="Ednotesection"/>
      </w:pPr>
      <w:r>
        <w:t>[</w:t>
      </w:r>
      <w:r>
        <w:rPr>
          <w:b/>
        </w:rPr>
        <w:t>22.</w:t>
      </w:r>
      <w:r>
        <w:rPr>
          <w:b/>
        </w:rPr>
        <w:tab/>
      </w:r>
      <w:r>
        <w:t xml:space="preserve">Deleted: Gazette 19 Dec 1975 p. 4573.] </w:t>
      </w:r>
    </w:p>
    <w:p>
      <w:pPr>
        <w:pStyle w:val="Heading5"/>
        <w:rPr>
          <w:snapToGrid w:val="0"/>
        </w:rPr>
      </w:pPr>
      <w:bookmarkStart w:id="1083" w:name="_Toc129078193"/>
      <w:r>
        <w:rPr>
          <w:rStyle w:val="CharSectno"/>
        </w:rPr>
        <w:t>23</w:t>
      </w:r>
      <w:r>
        <w:rPr>
          <w:snapToGrid w:val="0"/>
        </w:rPr>
        <w:t>.</w:t>
      </w:r>
      <w:r>
        <w:rPr>
          <w:snapToGrid w:val="0"/>
        </w:rPr>
        <w:tab/>
        <w:t>Certain fees in scales may be increased if inadequate</w:t>
      </w:r>
      <w:bookmarkEnd w:id="1083"/>
    </w:p>
    <w:p>
      <w:pPr>
        <w:pStyle w:val="Subsection"/>
        <w:keepNext/>
        <w:rPr>
          <w:snapToGrid w:val="0"/>
        </w:rPr>
      </w:pPr>
      <w:r>
        <w:rPr>
          <w:snapToGrid w:val="0"/>
        </w:rPr>
        <w:tab/>
      </w:r>
      <w:r>
        <w:rPr>
          <w:snapToGrid w:val="0"/>
        </w:rPr>
        <w:tab/>
        <w:t xml:space="preserve">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w:t>
      </w:r>
      <w:r>
        <w:rPr>
          <w:snapToGrid w:val="0"/>
        </w:rPr>
        <w:lastRenderedPageBreak/>
        <w:t>document has been drawn or settled by counsel or by the solicitor.</w:t>
      </w:r>
    </w:p>
    <w:p>
      <w:pPr>
        <w:pStyle w:val="Footnotesection"/>
      </w:pPr>
      <w:r>
        <w:tab/>
        <w:t xml:space="preserve">[Rule 23 amended: Gazette 19 Dec 1975 p. 4573; 7 Feb 1992 p. 687.] </w:t>
      </w:r>
    </w:p>
    <w:p>
      <w:pPr>
        <w:pStyle w:val="Heading5"/>
        <w:rPr>
          <w:snapToGrid w:val="0"/>
        </w:rPr>
      </w:pPr>
      <w:bookmarkStart w:id="1084" w:name="_Toc129078194"/>
      <w:r>
        <w:rPr>
          <w:rStyle w:val="CharSectno"/>
        </w:rPr>
        <w:t>24</w:t>
      </w:r>
      <w:r>
        <w:rPr>
          <w:snapToGrid w:val="0"/>
        </w:rPr>
        <w:t>.</w:t>
      </w:r>
      <w:r>
        <w:rPr>
          <w:snapToGrid w:val="0"/>
        </w:rPr>
        <w:tab/>
        <w:t>Judgment for person under disability, solicitor’s costs in case of</w:t>
      </w:r>
      <w:bookmarkEnd w:id="1084"/>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xml:space="preserve"> (2)(b) as if for references to a </w:t>
      </w:r>
      <w:r>
        <w:rPr>
          <w:snapToGrid w:val="0"/>
        </w:rPr>
        <w:lastRenderedPageBreak/>
        <w:t>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Gazette 29 Apr 2005 p. 1795; 28 Jun 2011 p. 2552 and 2555.]</w:t>
      </w:r>
    </w:p>
    <w:p>
      <w:pPr>
        <w:pStyle w:val="Heading5"/>
      </w:pPr>
      <w:bookmarkStart w:id="1085" w:name="_Toc129078195"/>
      <w:r>
        <w:rPr>
          <w:rStyle w:val="CharSectno"/>
        </w:rPr>
        <w:t>25</w:t>
      </w:r>
      <w:r>
        <w:t>.</w:t>
      </w:r>
      <w:r>
        <w:tab/>
        <w:t>Own costs orders</w:t>
      </w:r>
      <w:bookmarkEnd w:id="1085"/>
    </w:p>
    <w:p>
      <w:pPr>
        <w:pStyle w:val="Subsection"/>
      </w:pPr>
      <w:r>
        <w:tab/>
        <w:t>(1)</w:t>
      </w:r>
      <w:r>
        <w:tab/>
        <w:t xml:space="preserve">In this rule — </w:t>
      </w:r>
    </w:p>
    <w:p>
      <w:pPr>
        <w:pStyle w:val="Defstart"/>
      </w:pPr>
      <w:r>
        <w:tab/>
      </w:r>
      <w:r>
        <w:rPr>
          <w:rStyle w:val="CharDefText"/>
        </w:rPr>
        <w:t>claim</w:t>
      </w:r>
      <w:r>
        <w:t xml:space="preserve"> means a claim for relief in connection with — </w:t>
      </w:r>
    </w:p>
    <w:p>
      <w:pPr>
        <w:pStyle w:val="Defpara"/>
      </w:pPr>
      <w:r>
        <w:tab/>
        <w:t>(a)</w:t>
      </w:r>
      <w:r>
        <w:tab/>
        <w:t xml:space="preserve">an alleged breach of any provision in the Australian Consumer Law (as defined in the </w:t>
      </w:r>
      <w:r>
        <w:rPr>
          <w:i/>
        </w:rPr>
        <w:t>Fair Trading Act 2010</w:t>
      </w:r>
      <w:r>
        <w:t xml:space="preserve"> section 17) Part 2.2, 2.3 or 5.5; or</w:t>
      </w:r>
    </w:p>
    <w:p>
      <w:pPr>
        <w:pStyle w:val="Defpara"/>
      </w:pPr>
      <w:r>
        <w:tab/>
        <w:t>(b)</w:t>
      </w:r>
      <w:r>
        <w:tab/>
        <w:t xml:space="preserve">an alleged breach of the </w:t>
      </w:r>
      <w:r>
        <w:rPr>
          <w:i/>
        </w:rPr>
        <w:t>Corporations Act 2001</w:t>
      </w:r>
      <w:r>
        <w:t xml:space="preserve"> (Commonwealth) section 991A or 1325C; or</w:t>
      </w:r>
    </w:p>
    <w:p>
      <w:pPr>
        <w:pStyle w:val="Defpara"/>
      </w:pPr>
      <w:r>
        <w:tab/>
        <w:t>(c)</w:t>
      </w:r>
      <w:r>
        <w:tab/>
        <w:t>an allegation of unconscionable conduct; or</w:t>
      </w:r>
    </w:p>
    <w:p>
      <w:pPr>
        <w:pStyle w:val="Defpara"/>
      </w:pPr>
      <w:r>
        <w:tab/>
        <w:t>(d)</w:t>
      </w:r>
      <w:r>
        <w:tab/>
        <w:t>an allegation of economic duress or abuse of power;</w:t>
      </w:r>
    </w:p>
    <w:p>
      <w:pPr>
        <w:pStyle w:val="Defstart"/>
      </w:pPr>
      <w:r>
        <w:tab/>
      </w:r>
      <w:r>
        <w:rPr>
          <w:rStyle w:val="CharDefText"/>
        </w:rPr>
        <w:t>claimant</w:t>
      </w:r>
      <w:r>
        <w:t xml:space="preserve"> means a person making a claim;</w:t>
      </w:r>
    </w:p>
    <w:p>
      <w:pPr>
        <w:pStyle w:val="Defstart"/>
      </w:pPr>
      <w:r>
        <w:tab/>
      </w:r>
      <w:r>
        <w:rPr>
          <w:rStyle w:val="CharDefText"/>
        </w:rPr>
        <w:t>own costs order</w:t>
      </w:r>
      <w:r>
        <w:t>, in relation to a case, means an order that each party to the case is to bear its own costs of the proceedings.</w:t>
      </w:r>
    </w:p>
    <w:p>
      <w:pPr>
        <w:pStyle w:val="Subsection"/>
      </w:pPr>
      <w:r>
        <w:tab/>
        <w:t>(2)</w:t>
      </w:r>
      <w:r>
        <w:tab/>
        <w:t>Subject to subrules (3) and (4), the Court may, on an application by a claimant, make an own costs order at any time during proceedings on a case that involves a claim.</w:t>
      </w:r>
    </w:p>
    <w:p>
      <w:pPr>
        <w:pStyle w:val="Subsection"/>
      </w:pPr>
      <w:r>
        <w:tab/>
        <w:t>(3)</w:t>
      </w:r>
      <w:r>
        <w:tab/>
        <w:t xml:space="preserve">Before making the own costs order the Court must have regard to the following — </w:t>
      </w:r>
    </w:p>
    <w:p>
      <w:pPr>
        <w:pStyle w:val="Indenta"/>
      </w:pPr>
      <w:r>
        <w:tab/>
        <w:t>(a)</w:t>
      </w:r>
      <w:r>
        <w:tab/>
        <w:t>whether the proceedings raise an issue of general importance;</w:t>
      </w:r>
    </w:p>
    <w:p>
      <w:pPr>
        <w:pStyle w:val="Indenta"/>
      </w:pPr>
      <w:r>
        <w:lastRenderedPageBreak/>
        <w:tab/>
        <w:t>(b)</w:t>
      </w:r>
      <w:r>
        <w:tab/>
        <w:t>whether a defendant to the claim has substantially greater financial resources than a claimant;</w:t>
      </w:r>
    </w:p>
    <w:p>
      <w:pPr>
        <w:pStyle w:val="Indenta"/>
      </w:pPr>
      <w:r>
        <w:tab/>
        <w:t>(c)</w:t>
      </w:r>
      <w:r>
        <w:tab/>
        <w:t>whether the claim has reasonable merit;</w:t>
      </w:r>
    </w:p>
    <w:p>
      <w:pPr>
        <w:pStyle w:val="Indenta"/>
      </w:pPr>
      <w:r>
        <w:tab/>
        <w:t>(d)</w:t>
      </w:r>
      <w:r>
        <w:tab/>
        <w:t>whether the legal practitioners of each claimant have agreed to act on a fee arrangement that, viewed objectively at the time the arrangement is made, is likely to result in the claimant being charged no more than the fees that could be recovered under the applicable Court scale;</w:t>
      </w:r>
    </w:p>
    <w:p>
      <w:pPr>
        <w:pStyle w:val="Indenta"/>
      </w:pPr>
      <w:r>
        <w:tab/>
        <w:t>(e)</w:t>
      </w:r>
      <w:r>
        <w:tab/>
        <w:t>any other matter the Court considers appropriate.</w:t>
      </w:r>
    </w:p>
    <w:p>
      <w:pPr>
        <w:pStyle w:val="Subsection"/>
      </w:pPr>
      <w:r>
        <w:tab/>
        <w:t>(4)</w:t>
      </w:r>
      <w:r>
        <w:tab/>
        <w:t>The Court must not make an own costs order if a claimant has agreed to pay any part of the proceeds obtained by way of judgment or settlement of the claim to any third party who is in the business of providing litigation funding or support.</w:t>
      </w:r>
    </w:p>
    <w:p>
      <w:pPr>
        <w:pStyle w:val="Subsection"/>
      </w:pPr>
      <w:r>
        <w:tab/>
        <w:t>(5)</w:t>
      </w:r>
      <w:r>
        <w:tab/>
        <w:t>An own costs order does not affect a party’s liability for costs ordered against the party —</w:t>
      </w:r>
    </w:p>
    <w:p>
      <w:pPr>
        <w:pStyle w:val="Indenta"/>
      </w:pPr>
      <w:r>
        <w:tab/>
        <w:t>(a)</w:t>
      </w:r>
      <w:r>
        <w:tab/>
        <w:t>by way of sanction for improper conduct or abuse of process, including persistently advancing by way of claim or defence contentions that are not reasonably arguable; or</w:t>
      </w:r>
    </w:p>
    <w:p>
      <w:pPr>
        <w:pStyle w:val="Indenta"/>
      </w:pPr>
      <w:r>
        <w:tab/>
        <w:t>(b)</w:t>
      </w:r>
      <w:r>
        <w:tab/>
        <w:t>in other exceptional circumstances that the Court considers warrant the making of a special order for costs.</w:t>
      </w:r>
    </w:p>
    <w:p>
      <w:pPr>
        <w:pStyle w:val="Subsection"/>
      </w:pPr>
      <w:r>
        <w:tab/>
        <w:t>(6)</w:t>
      </w:r>
      <w:r>
        <w:tab/>
        <w:t xml:space="preserve">An own costs order applies to costs incurred by the parties — </w:t>
      </w:r>
    </w:p>
    <w:p>
      <w:pPr>
        <w:pStyle w:val="Indenta"/>
      </w:pPr>
      <w:r>
        <w:tab/>
        <w:t>(a)</w:t>
      </w:r>
      <w:r>
        <w:tab/>
        <w:t>from a time during the proceedings specified in the order; or</w:t>
      </w:r>
    </w:p>
    <w:p>
      <w:pPr>
        <w:pStyle w:val="Indenta"/>
      </w:pPr>
      <w:r>
        <w:tab/>
        <w:t>(b)</w:t>
      </w:r>
      <w:r>
        <w:tab/>
        <w:t>if no time is specified in the order, from the day on which the order is made.</w:t>
      </w:r>
    </w:p>
    <w:p>
      <w:pPr>
        <w:pStyle w:val="Subsection"/>
      </w:pPr>
      <w:r>
        <w:tab/>
        <w:t>(7)</w:t>
      </w:r>
      <w:r>
        <w:tab/>
        <w:t>For the purposes of subrule (6)(a), the Court may specify a time during the proceedings that is before the own costs order was made or applied for.</w:t>
      </w:r>
    </w:p>
    <w:p>
      <w:pPr>
        <w:pStyle w:val="Subsection"/>
      </w:pPr>
      <w:r>
        <w:lastRenderedPageBreak/>
        <w:tab/>
        <w:t>(8)</w:t>
      </w:r>
      <w:r>
        <w:tab/>
        <w:t>The Court may revoke an own costs order at any time during proceedings if the Court considers that there has been a material change in the circumstances warranting the revocation.</w:t>
      </w:r>
    </w:p>
    <w:p>
      <w:pPr>
        <w:pStyle w:val="Subsection"/>
      </w:pPr>
      <w:r>
        <w:tab/>
        <w:t>(9)</w:t>
      </w:r>
      <w:r>
        <w:tab/>
        <w:t>An own costs order revoked under subrule (8) continues to apply to costs incurred by the parties before the day on which the order was revoked as if the order had not been revoked.</w:t>
      </w:r>
    </w:p>
    <w:p>
      <w:pPr>
        <w:pStyle w:val="Subsection"/>
      </w:pPr>
      <w:r>
        <w:tab/>
        <w:t>(10)</w:t>
      </w:r>
      <w:r>
        <w:tab/>
        <w:t>This rule does not affect the Court’s general discretion with respect to costs.</w:t>
      </w:r>
    </w:p>
    <w:p>
      <w:pPr>
        <w:pStyle w:val="Footnotesection"/>
        <w:spacing w:before="100"/>
        <w:ind w:left="890" w:hanging="890"/>
      </w:pPr>
      <w:r>
        <w:tab/>
        <w:t>[Rule 25 inserted: Gazette 26 Sep 2014 p. 3560</w:t>
      </w:r>
      <w:r>
        <w:noBreakHyphen/>
        <w:t>1; amended: SL 2022/74 r. 15.]</w:t>
      </w:r>
    </w:p>
    <w:p>
      <w:pPr>
        <w:pStyle w:val="Ednotesection"/>
      </w:pPr>
      <w:r>
        <w:t>[</w:t>
      </w:r>
      <w:r>
        <w:rPr>
          <w:b/>
        </w:rPr>
        <w:t>26</w:t>
      </w:r>
      <w:r>
        <w:rPr>
          <w:b/>
        </w:rPr>
        <w:noBreakHyphen/>
        <w:t>31.</w:t>
      </w:r>
      <w:r>
        <w:tab/>
        <w:t xml:space="preserve">Deleted: Gazette 19 Dec 1975 p. 4573.] </w:t>
      </w:r>
    </w:p>
    <w:p>
      <w:pPr>
        <w:pStyle w:val="Heading3"/>
      </w:pPr>
      <w:bookmarkStart w:id="1086" w:name="_Toc129074124"/>
      <w:bookmarkStart w:id="1087" w:name="_Toc129075407"/>
      <w:bookmarkStart w:id="1088" w:name="_Toc129078196"/>
      <w:r>
        <w:rPr>
          <w:rStyle w:val="CharDivNo"/>
        </w:rPr>
        <w:t>Division 2</w:t>
      </w:r>
      <w:r>
        <w:t> — </w:t>
      </w:r>
      <w:r>
        <w:rPr>
          <w:rStyle w:val="CharDivText"/>
        </w:rPr>
        <w:t>Taxation of costs</w:t>
      </w:r>
      <w:bookmarkEnd w:id="1086"/>
      <w:bookmarkEnd w:id="1087"/>
      <w:bookmarkEnd w:id="1088"/>
    </w:p>
    <w:p>
      <w:pPr>
        <w:pStyle w:val="Footnoteheading"/>
      </w:pPr>
      <w:r>
        <w:tab/>
        <w:t xml:space="preserve">[Heading inserted: Gazette 22 Feb 2008 p. 640.] </w:t>
      </w:r>
    </w:p>
    <w:p>
      <w:pPr>
        <w:pStyle w:val="Heading5"/>
        <w:rPr>
          <w:snapToGrid w:val="0"/>
        </w:rPr>
      </w:pPr>
      <w:bookmarkStart w:id="1089" w:name="_Toc129078197"/>
      <w:r>
        <w:rPr>
          <w:rStyle w:val="CharSectno"/>
        </w:rPr>
        <w:t>32</w:t>
      </w:r>
      <w:r>
        <w:rPr>
          <w:snapToGrid w:val="0"/>
        </w:rPr>
        <w:t>.</w:t>
      </w:r>
      <w:r>
        <w:rPr>
          <w:snapToGrid w:val="0"/>
        </w:rPr>
        <w:tab/>
        <w:t>Bills of costs to be taxed</w:t>
      </w:r>
      <w:bookmarkEnd w:id="1089"/>
    </w:p>
    <w:p>
      <w:pPr>
        <w:pStyle w:val="Subsection"/>
        <w:rPr>
          <w:snapToGrid w:val="0"/>
        </w:rPr>
      </w:pPr>
      <w:r>
        <w:rPr>
          <w:snapToGrid w:val="0"/>
        </w:rPr>
        <w:tab/>
        <w:t>(1)</w:t>
      </w:r>
      <w:r>
        <w:rPr>
          <w:snapToGrid w:val="0"/>
        </w:rPr>
        <w:tab/>
        <w:t xml:space="preserve">Unless the Court in a particular case otherwise directs, bills of costs and fees which are payable to </w:t>
      </w:r>
      <w:r>
        <w:t>legal practitioners</w:t>
      </w:r>
      <w:r>
        <w:rPr>
          <w:snapToGrid w:val="0"/>
        </w:rPr>
        <w:t xml:space="preserve">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Footnotesection"/>
      </w:pPr>
      <w:r>
        <w:tab/>
        <w:t>[Rule 32 amended: SL 2022/74 r. 15.]</w:t>
      </w:r>
    </w:p>
    <w:p>
      <w:pPr>
        <w:pStyle w:val="Heading5"/>
        <w:rPr>
          <w:snapToGrid w:val="0"/>
        </w:rPr>
      </w:pPr>
      <w:bookmarkStart w:id="1090" w:name="_Toc129078198"/>
      <w:r>
        <w:rPr>
          <w:rStyle w:val="CharSectno"/>
        </w:rPr>
        <w:lastRenderedPageBreak/>
        <w:t>33</w:t>
      </w:r>
      <w:r>
        <w:rPr>
          <w:snapToGrid w:val="0"/>
        </w:rPr>
        <w:t>.</w:t>
      </w:r>
      <w:r>
        <w:rPr>
          <w:snapToGrid w:val="0"/>
        </w:rPr>
        <w:tab/>
        <w:t>Indorsements on bill of costs</w:t>
      </w:r>
      <w:bookmarkEnd w:id="1090"/>
    </w:p>
    <w:p>
      <w:pPr>
        <w:pStyle w:val="Subsection"/>
        <w:keepNext/>
        <w:rPr>
          <w:snapToGrid w:val="0"/>
        </w:rPr>
      </w:pPr>
      <w:r>
        <w:rPr>
          <w:snapToGrid w:val="0"/>
        </w:rPr>
        <w:tab/>
      </w:r>
      <w:r>
        <w:rPr>
          <w:snapToGrid w:val="0"/>
        </w:rPr>
        <w:tab/>
        <w:t>Every bill of costs which is left for taxation shall have indorsed therein a notice of appointment, and the name and address of the solicitor by whom it is so left, including any solicitor who is entitled or intended to participate in the costs to be taxed.</w:t>
      </w:r>
    </w:p>
    <w:p>
      <w:pPr>
        <w:pStyle w:val="Footnotesection"/>
      </w:pPr>
      <w:r>
        <w:tab/>
        <w:t>[Rule 33 amended: Gazette 27 Feb 2018 p. 575.]</w:t>
      </w:r>
    </w:p>
    <w:p>
      <w:pPr>
        <w:pStyle w:val="Heading5"/>
        <w:rPr>
          <w:snapToGrid w:val="0"/>
        </w:rPr>
      </w:pPr>
      <w:bookmarkStart w:id="1091" w:name="_Toc129078199"/>
      <w:r>
        <w:rPr>
          <w:rStyle w:val="CharSectno"/>
        </w:rPr>
        <w:t>34</w:t>
      </w:r>
      <w:r>
        <w:rPr>
          <w:snapToGrid w:val="0"/>
        </w:rPr>
        <w:t>.</w:t>
      </w:r>
      <w:r>
        <w:rPr>
          <w:snapToGrid w:val="0"/>
        </w:rPr>
        <w:tab/>
        <w:t>When notice of taxation need not be given</w:t>
      </w:r>
      <w:bookmarkEnd w:id="1091"/>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092" w:name="_Toc129078200"/>
      <w:r>
        <w:rPr>
          <w:rStyle w:val="CharSectno"/>
        </w:rPr>
        <w:t>35</w:t>
      </w:r>
      <w:r>
        <w:rPr>
          <w:snapToGrid w:val="0"/>
        </w:rPr>
        <w:t>.</w:t>
      </w:r>
      <w:r>
        <w:rPr>
          <w:snapToGrid w:val="0"/>
        </w:rPr>
        <w:tab/>
        <w:t>Notice of taxation</w:t>
      </w:r>
      <w:bookmarkEnd w:id="1092"/>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093" w:name="_Toc129078201"/>
      <w:r>
        <w:rPr>
          <w:rStyle w:val="CharSectno"/>
        </w:rPr>
        <w:t>36</w:t>
      </w:r>
      <w:r>
        <w:rPr>
          <w:snapToGrid w:val="0"/>
        </w:rPr>
        <w:t>.</w:t>
      </w:r>
      <w:r>
        <w:rPr>
          <w:snapToGrid w:val="0"/>
        </w:rPr>
        <w:tab/>
        <w:t>Vouchers as to disbursements to be filed</w:t>
      </w:r>
      <w:bookmarkEnd w:id="1093"/>
    </w:p>
    <w:p>
      <w:pPr>
        <w:pStyle w:val="Subsection"/>
        <w:rPr>
          <w:snapToGrid w:val="0"/>
        </w:rPr>
      </w:pPr>
      <w:r>
        <w:rPr>
          <w:snapToGrid w:val="0"/>
        </w:rPr>
        <w:tab/>
      </w:r>
      <w:r>
        <w:rPr>
          <w:snapToGrid w:val="0"/>
        </w:rPr>
        <w:tab/>
        <w:t xml:space="preserve">A party leaving a bill of costs for taxation must </w:t>
      </w:r>
      <w:r>
        <w:t>file</w:t>
      </w:r>
      <w:r>
        <w:rPr>
          <w:snapToGrid w:val="0"/>
        </w:rPr>
        <w:t xml:space="preserv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Gazette 19 Dec 1975 p. 4573; amended: Gazette 27 Feb 2018 p. 575.] </w:t>
      </w:r>
    </w:p>
    <w:p>
      <w:pPr>
        <w:pStyle w:val="Heading5"/>
        <w:rPr>
          <w:snapToGrid w:val="0"/>
        </w:rPr>
      </w:pPr>
      <w:bookmarkStart w:id="1094" w:name="_Toc129078202"/>
      <w:r>
        <w:rPr>
          <w:rStyle w:val="CharSectno"/>
        </w:rPr>
        <w:t>37</w:t>
      </w:r>
      <w:r>
        <w:rPr>
          <w:snapToGrid w:val="0"/>
        </w:rPr>
        <w:t>.</w:t>
      </w:r>
      <w:r>
        <w:rPr>
          <w:snapToGrid w:val="0"/>
        </w:rPr>
        <w:tab/>
        <w:t>Solicitor delaying taxation</w:t>
      </w:r>
      <w:bookmarkEnd w:id="1094"/>
    </w:p>
    <w:p>
      <w:pPr>
        <w:pStyle w:val="Subsection"/>
        <w:rPr>
          <w:snapToGrid w:val="0"/>
        </w:rPr>
      </w:pPr>
      <w:r>
        <w:rPr>
          <w:snapToGrid w:val="0"/>
        </w:rPr>
        <w:tab/>
      </w:r>
      <w:r>
        <w:rPr>
          <w:snapToGrid w:val="0"/>
        </w:rPr>
        <w:tab/>
        <w:t xml:space="preserve">Where any solicitor fails to </w:t>
      </w:r>
      <w:r>
        <w:t>file</w:t>
      </w:r>
      <w:r>
        <w:rPr>
          <w:snapToGrid w:val="0"/>
        </w:rPr>
        <w:t xml:space="preserve"> his bill with the necessary papers and vouchers within the time or extended time fixed by the taxing officer, or in any way delays or impedes the taxation he shall, unless the taxing officer otherwise directs, forfeit the </w:t>
      </w:r>
      <w:r>
        <w:rPr>
          <w:snapToGrid w:val="0"/>
        </w:rPr>
        <w:lastRenderedPageBreak/>
        <w:t>fees to which he would be entitled for preparing his bill of costs and attending on taxation.</w:t>
      </w:r>
    </w:p>
    <w:p>
      <w:pPr>
        <w:pStyle w:val="Footnotesection"/>
      </w:pPr>
      <w:r>
        <w:rPr>
          <w:i w:val="0"/>
        </w:rPr>
        <w:tab/>
      </w:r>
      <w:r>
        <w:t xml:space="preserve">[Rule 37 amended: Gazette 27 Feb 2018 p. 575.] </w:t>
      </w:r>
    </w:p>
    <w:p>
      <w:pPr>
        <w:pStyle w:val="Heading5"/>
        <w:rPr>
          <w:snapToGrid w:val="0"/>
        </w:rPr>
      </w:pPr>
      <w:bookmarkStart w:id="1095" w:name="_Toc129078203"/>
      <w:r>
        <w:rPr>
          <w:rStyle w:val="CharSectno"/>
        </w:rPr>
        <w:t>38</w:t>
      </w:r>
      <w:r>
        <w:rPr>
          <w:snapToGrid w:val="0"/>
        </w:rPr>
        <w:t>.</w:t>
      </w:r>
      <w:r>
        <w:rPr>
          <w:snapToGrid w:val="0"/>
        </w:rPr>
        <w:tab/>
        <w:t>Appointment to tax costs to be peremptory</w:t>
      </w:r>
      <w:bookmarkEnd w:id="1095"/>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096" w:name="_Toc129078204"/>
      <w:r>
        <w:rPr>
          <w:rStyle w:val="CharSectno"/>
        </w:rPr>
        <w:t>39</w:t>
      </w:r>
      <w:r>
        <w:rPr>
          <w:snapToGrid w:val="0"/>
        </w:rPr>
        <w:t>.</w:t>
      </w:r>
      <w:r>
        <w:rPr>
          <w:snapToGrid w:val="0"/>
        </w:rPr>
        <w:tab/>
        <w:t>Taxing officer may direct bills of costs to be brought in</w:t>
      </w:r>
      <w:bookmarkEnd w:id="1096"/>
    </w:p>
    <w:p>
      <w:pPr>
        <w:pStyle w:val="Subsection"/>
        <w:spacing w:before="120"/>
        <w:rPr>
          <w:snapToGrid w:val="0"/>
        </w:rPr>
      </w:pPr>
      <w:r>
        <w:rPr>
          <w:snapToGrid w:val="0"/>
        </w:rPr>
        <w:tab/>
      </w:r>
      <w:r>
        <w:rPr>
          <w:snapToGrid w:val="0"/>
        </w:rPr>
        <w:tab/>
        <w:t xml:space="preserve">When an order directing the taxation of any costs in a proceeding has been made, the taxing officer may of his own motion give notice to a party to </w:t>
      </w:r>
      <w:r>
        <w:t>file</w:t>
      </w:r>
      <w:r>
        <w:rPr>
          <w:snapToGrid w:val="0"/>
        </w:rPr>
        <w:t xml:space="preserve"> his bills of costs for taxation and may limit a time for that purpose.</w:t>
      </w:r>
    </w:p>
    <w:p>
      <w:pPr>
        <w:pStyle w:val="Footnotesection"/>
      </w:pPr>
      <w:r>
        <w:rPr>
          <w:i w:val="0"/>
        </w:rPr>
        <w:tab/>
      </w:r>
      <w:r>
        <w:t xml:space="preserve">[Rule 39 amended: Gazette 27 Feb 2018 p. 575.] </w:t>
      </w:r>
    </w:p>
    <w:p>
      <w:pPr>
        <w:pStyle w:val="Heading5"/>
        <w:spacing w:before="200"/>
        <w:rPr>
          <w:snapToGrid w:val="0"/>
        </w:rPr>
      </w:pPr>
      <w:bookmarkStart w:id="1097" w:name="_Toc129078205"/>
      <w:r>
        <w:rPr>
          <w:rStyle w:val="CharSectno"/>
        </w:rPr>
        <w:t>40</w:t>
      </w:r>
      <w:r>
        <w:rPr>
          <w:snapToGrid w:val="0"/>
        </w:rPr>
        <w:t>.</w:t>
      </w:r>
      <w:r>
        <w:rPr>
          <w:snapToGrid w:val="0"/>
        </w:rPr>
        <w:tab/>
        <w:t>Default by party in taxing costs</w:t>
      </w:r>
      <w:bookmarkEnd w:id="1097"/>
    </w:p>
    <w:p>
      <w:pPr>
        <w:pStyle w:val="Subsection"/>
        <w:spacing w:before="120"/>
        <w:rPr>
          <w:snapToGrid w:val="0"/>
        </w:rPr>
      </w:pPr>
      <w:r>
        <w:rPr>
          <w:snapToGrid w:val="0"/>
        </w:rPr>
        <w:tab/>
      </w:r>
      <w:r>
        <w:rPr>
          <w:snapToGrid w:val="0"/>
        </w:rPr>
        <w:tab/>
        <w:t xml:space="preserve">When a party entitled to costs refuses or neglects to </w:t>
      </w:r>
      <w:r>
        <w:t>file</w:t>
      </w:r>
      <w:r>
        <w:rPr>
          <w:snapToGrid w:val="0"/>
        </w:rPr>
        <w:t xml:space="preserve">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Footnotesection"/>
      </w:pPr>
      <w:r>
        <w:rPr>
          <w:i w:val="0"/>
        </w:rPr>
        <w:tab/>
      </w:r>
      <w:r>
        <w:t xml:space="preserve">[Rule 40 amended: Gazette 27 Feb 2018 p. 575.] </w:t>
      </w:r>
    </w:p>
    <w:p>
      <w:pPr>
        <w:pStyle w:val="Heading5"/>
        <w:spacing w:before="200"/>
        <w:rPr>
          <w:snapToGrid w:val="0"/>
        </w:rPr>
      </w:pPr>
      <w:bookmarkStart w:id="1098" w:name="_Toc129078206"/>
      <w:r>
        <w:rPr>
          <w:rStyle w:val="CharSectno"/>
        </w:rPr>
        <w:t>41</w:t>
      </w:r>
      <w:r>
        <w:rPr>
          <w:snapToGrid w:val="0"/>
        </w:rPr>
        <w:t>.</w:t>
      </w:r>
      <w:r>
        <w:rPr>
          <w:snapToGrid w:val="0"/>
        </w:rPr>
        <w:tab/>
        <w:t>If costs payable out of property, notice to clients may be directed</w:t>
      </w:r>
      <w:bookmarkEnd w:id="1098"/>
    </w:p>
    <w:p>
      <w:pPr>
        <w:pStyle w:val="Subsection"/>
        <w:spacing w:before="120"/>
        <w:rPr>
          <w:snapToGrid w:val="0"/>
        </w:rPr>
      </w:pPr>
      <w:r>
        <w:rPr>
          <w:snapToGrid w:val="0"/>
        </w:rPr>
        <w:tab/>
      </w:r>
      <w:r>
        <w:rPr>
          <w:snapToGrid w:val="0"/>
        </w:rPr>
        <w:tab/>
        <w:t xml:space="preserve">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w:t>
      </w:r>
      <w:r>
        <w:rPr>
          <w:snapToGrid w:val="0"/>
        </w:rPr>
        <w:lastRenderedPageBreak/>
        <w:t>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099" w:name="_Toc129078207"/>
      <w:r>
        <w:rPr>
          <w:rStyle w:val="CharSectno"/>
        </w:rPr>
        <w:t>42</w:t>
      </w:r>
      <w:r>
        <w:rPr>
          <w:snapToGrid w:val="0"/>
        </w:rPr>
        <w:t>.</w:t>
      </w:r>
      <w:r>
        <w:rPr>
          <w:snapToGrid w:val="0"/>
        </w:rPr>
        <w:tab/>
        <w:t>Bills of costs, content of</w:t>
      </w:r>
      <w:bookmarkEnd w:id="1099"/>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Gazette 30 Aug 1974 p. 3242; amended: Gazette 19 Dec 1975 p. 4573.] </w:t>
      </w:r>
    </w:p>
    <w:p>
      <w:pPr>
        <w:pStyle w:val="Heading5"/>
        <w:rPr>
          <w:snapToGrid w:val="0"/>
        </w:rPr>
      </w:pPr>
      <w:bookmarkStart w:id="1100" w:name="_Toc129078208"/>
      <w:r>
        <w:rPr>
          <w:rStyle w:val="CharSectno"/>
        </w:rPr>
        <w:t>43</w:t>
      </w:r>
      <w:r>
        <w:rPr>
          <w:snapToGrid w:val="0"/>
        </w:rPr>
        <w:t>.</w:t>
      </w:r>
      <w:r>
        <w:rPr>
          <w:snapToGrid w:val="0"/>
        </w:rPr>
        <w:tab/>
        <w:t>Taxing officer’s decisions on fact are final</w:t>
      </w:r>
      <w:bookmarkEnd w:id="1100"/>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101" w:name="_Toc129078209"/>
      <w:r>
        <w:rPr>
          <w:rStyle w:val="CharSectno"/>
        </w:rPr>
        <w:t>44</w:t>
      </w:r>
      <w:r>
        <w:rPr>
          <w:snapToGrid w:val="0"/>
        </w:rPr>
        <w:t>.</w:t>
      </w:r>
      <w:r>
        <w:rPr>
          <w:snapToGrid w:val="0"/>
        </w:rPr>
        <w:tab/>
        <w:t>Taxing officer’s powers</w:t>
      </w:r>
      <w:bookmarkEnd w:id="1101"/>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lastRenderedPageBreak/>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Gazette 26 Mar 1993 p. 1845</w:t>
      </w:r>
      <w:r>
        <w:noBreakHyphen/>
        <w:t xml:space="preserve">6; 26 Aug 1994 p. 4415.] </w:t>
      </w:r>
    </w:p>
    <w:p>
      <w:pPr>
        <w:pStyle w:val="Heading5"/>
        <w:rPr>
          <w:snapToGrid w:val="0"/>
        </w:rPr>
      </w:pPr>
      <w:bookmarkStart w:id="1102" w:name="_Toc129078210"/>
      <w:r>
        <w:rPr>
          <w:rStyle w:val="CharSectno"/>
        </w:rPr>
        <w:t>45</w:t>
      </w:r>
      <w:r>
        <w:rPr>
          <w:snapToGrid w:val="0"/>
        </w:rPr>
        <w:t>.</w:t>
      </w:r>
      <w:r>
        <w:rPr>
          <w:snapToGrid w:val="0"/>
        </w:rPr>
        <w:tab/>
        <w:t>Taxing officer may refer taxation question to Court</w:t>
      </w:r>
      <w:bookmarkEnd w:id="1102"/>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103" w:name="_Toc129078211"/>
      <w:r>
        <w:rPr>
          <w:rStyle w:val="CharSectno"/>
        </w:rPr>
        <w:t>46</w:t>
      </w:r>
      <w:r>
        <w:rPr>
          <w:snapToGrid w:val="0"/>
        </w:rPr>
        <w:t>.</w:t>
      </w:r>
      <w:r>
        <w:rPr>
          <w:snapToGrid w:val="0"/>
        </w:rPr>
        <w:tab/>
        <w:t>Where proceedings adjourned into court</w:t>
      </w:r>
      <w:bookmarkEnd w:id="110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104" w:name="_Toc129078212"/>
      <w:r>
        <w:rPr>
          <w:rStyle w:val="CharSectno"/>
        </w:rPr>
        <w:t>47</w:t>
      </w:r>
      <w:r>
        <w:rPr>
          <w:snapToGrid w:val="0"/>
        </w:rPr>
        <w:t>.</w:t>
      </w:r>
      <w:r>
        <w:rPr>
          <w:snapToGrid w:val="0"/>
        </w:rPr>
        <w:tab/>
        <w:t>Interrogatories and discovery, costs of</w:t>
      </w:r>
      <w:bookmarkEnd w:id="1104"/>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 xml:space="preserve">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w:t>
      </w:r>
      <w:r>
        <w:rPr>
          <w:snapToGrid w:val="0"/>
        </w:rPr>
        <w:lastRenderedPageBreak/>
        <w:t>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105" w:name="_Toc129078213"/>
      <w:r>
        <w:rPr>
          <w:rStyle w:val="CharSectno"/>
        </w:rPr>
        <w:t>48</w:t>
      </w:r>
      <w:r>
        <w:rPr>
          <w:snapToGrid w:val="0"/>
        </w:rPr>
        <w:t>.</w:t>
      </w:r>
      <w:r>
        <w:rPr>
          <w:snapToGrid w:val="0"/>
        </w:rPr>
        <w:tab/>
        <w:t>Costs of motion etc. follow event</w:t>
      </w:r>
      <w:bookmarkEnd w:id="1105"/>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06" w:name="_Toc129078214"/>
      <w:r>
        <w:rPr>
          <w:rStyle w:val="CharSectno"/>
        </w:rPr>
        <w:t>49</w:t>
      </w:r>
      <w:r>
        <w:rPr>
          <w:snapToGrid w:val="0"/>
        </w:rPr>
        <w:t>.</w:t>
      </w:r>
      <w:r>
        <w:rPr>
          <w:snapToGrid w:val="0"/>
        </w:rPr>
        <w:tab/>
        <w:t>Motion etc. stood over to trial and no order made as to costs, costs in case of</w:t>
      </w:r>
      <w:bookmarkEnd w:id="1106"/>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07" w:name="_Toc129078215"/>
      <w:r>
        <w:rPr>
          <w:rStyle w:val="CharSectno"/>
        </w:rPr>
        <w:t>50</w:t>
      </w:r>
      <w:r>
        <w:rPr>
          <w:snapToGrid w:val="0"/>
        </w:rPr>
        <w:t>.</w:t>
      </w:r>
      <w:r>
        <w:rPr>
          <w:snapToGrid w:val="0"/>
        </w:rPr>
        <w:tab/>
        <w:t>Costs reserved</w:t>
      </w:r>
      <w:bookmarkEnd w:id="1107"/>
    </w:p>
    <w:p>
      <w:pPr>
        <w:pStyle w:val="Subsection"/>
        <w:rPr>
          <w:snapToGrid w:val="0"/>
        </w:rPr>
      </w:pPr>
      <w:r>
        <w:rPr>
          <w:snapToGrid w:val="0"/>
        </w:rPr>
        <w:tab/>
      </w:r>
      <w:r>
        <w:rPr>
          <w:snapToGrid w:val="0"/>
        </w:rPr>
        <w:tab/>
        <w:t xml:space="preserve">When the costs of a motion, application, or other proceeding are reserved by the Court or a judge, costs of the motion, </w:t>
      </w:r>
      <w:r>
        <w:rPr>
          <w:snapToGrid w:val="0"/>
        </w:rPr>
        <w:lastRenderedPageBreak/>
        <w:t>application, or proceedings shall not be allowed to a party without an order of the Court or a judge.</w:t>
      </w:r>
    </w:p>
    <w:p>
      <w:pPr>
        <w:pStyle w:val="Heading5"/>
      </w:pPr>
      <w:bookmarkStart w:id="1108" w:name="_Toc129078216"/>
      <w:r>
        <w:rPr>
          <w:rStyle w:val="CharSectno"/>
        </w:rPr>
        <w:t>51</w:t>
      </w:r>
      <w:r>
        <w:t>.</w:t>
      </w:r>
      <w:r>
        <w:tab/>
        <w:t>When Court may fix costs</w:t>
      </w:r>
      <w:bookmarkEnd w:id="1108"/>
    </w:p>
    <w:p>
      <w:pPr>
        <w:pStyle w:val="Subsection"/>
        <w:keepNext/>
      </w:pPr>
      <w:r>
        <w:tab/>
        <w:t>(1)</w:t>
      </w:r>
      <w:r>
        <w:tab/>
        <w:t xml:space="preserve">In a particular action or matter the Court may, instead of making an order for taxation of costs — </w:t>
      </w:r>
    </w:p>
    <w:p>
      <w:pPr>
        <w:pStyle w:val="Indenta"/>
      </w:pPr>
      <w:r>
        <w:tab/>
        <w:t>(a)</w:t>
      </w:r>
      <w:r>
        <w:tab/>
        <w:t>make an order fixing the costs of a party to the action or matter in accordance with this Order; or</w:t>
      </w:r>
    </w:p>
    <w:p>
      <w:pPr>
        <w:pStyle w:val="Indenta"/>
      </w:pPr>
      <w:r>
        <w:tab/>
        <w:t>(b)</w:t>
      </w:r>
      <w:r>
        <w:tab/>
        <w:t xml:space="preserve">make an order under the </w:t>
      </w:r>
      <w:r>
        <w:rPr>
          <w:i/>
        </w:rPr>
        <w:t>Legal Profession Uniform Law Application Act 2022</w:t>
      </w:r>
      <w:r>
        <w:t xml:space="preserve"> section 141(3).</w:t>
      </w:r>
    </w:p>
    <w:p>
      <w:pPr>
        <w:pStyle w:val="Subsection"/>
      </w:pPr>
      <w:r>
        <w:tab/>
        <w:t>(2)</w:t>
      </w:r>
      <w:r>
        <w:tab/>
        <w:t>The Court may make an order under subrule (1) on its own motion or on an application by a party.</w:t>
      </w:r>
    </w:p>
    <w:p>
      <w:pPr>
        <w:pStyle w:val="Subsection"/>
      </w:pPr>
      <w:r>
        <w:tab/>
        <w:t>(3)</w:t>
      </w:r>
      <w:r>
        <w:tab/>
        <w:t>A party seeking an order under subrule (1)(b) must apply for the order within —</w:t>
      </w:r>
    </w:p>
    <w:p>
      <w:pPr>
        <w:pStyle w:val="Indenta"/>
      </w:pPr>
      <w:r>
        <w:tab/>
        <w:t>(a)</w:t>
      </w:r>
      <w:r>
        <w:tab/>
        <w:t>30 days after the date of the relevant judgment; or</w:t>
      </w:r>
    </w:p>
    <w:p>
      <w:pPr>
        <w:pStyle w:val="Indenta"/>
      </w:pPr>
      <w:r>
        <w:tab/>
        <w:t>(b)</w:t>
      </w:r>
      <w:r>
        <w:tab/>
        <w:t>another time fixed by the Court.</w:t>
      </w:r>
    </w:p>
    <w:p>
      <w:pPr>
        <w:pStyle w:val="Footnotesection"/>
      </w:pPr>
      <w:r>
        <w:tab/>
        <w:t>[Rule 51 inserted: Gazette 29 Jun 2018 p. 2438; amended: SL 2022/74 r. 11(3).]</w:t>
      </w:r>
    </w:p>
    <w:p>
      <w:pPr>
        <w:pStyle w:val="Heading5"/>
        <w:rPr>
          <w:snapToGrid w:val="0"/>
        </w:rPr>
      </w:pPr>
      <w:bookmarkStart w:id="1109" w:name="_Toc129078217"/>
      <w:r>
        <w:rPr>
          <w:rStyle w:val="CharSectno"/>
        </w:rPr>
        <w:t>52</w:t>
      </w:r>
      <w:r>
        <w:rPr>
          <w:snapToGrid w:val="0"/>
        </w:rPr>
        <w:t>.</w:t>
      </w:r>
      <w:r>
        <w:rPr>
          <w:snapToGrid w:val="0"/>
        </w:rPr>
        <w:tab/>
        <w:t>Taxing officer may refer question to judge if costs to be apportioned etc.</w:t>
      </w:r>
      <w:bookmarkEnd w:id="1109"/>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110" w:name="_Toc129074146"/>
      <w:bookmarkStart w:id="1111" w:name="_Toc129075429"/>
      <w:bookmarkStart w:id="1112" w:name="_Toc129078218"/>
      <w:r>
        <w:rPr>
          <w:rStyle w:val="CharDivNo"/>
        </w:rPr>
        <w:lastRenderedPageBreak/>
        <w:t>Division 3</w:t>
      </w:r>
      <w:r>
        <w:t> — </w:t>
      </w:r>
      <w:r>
        <w:rPr>
          <w:rStyle w:val="CharDivText"/>
        </w:rPr>
        <w:t>Review of taxation</w:t>
      </w:r>
      <w:bookmarkEnd w:id="1110"/>
      <w:bookmarkEnd w:id="1111"/>
      <w:bookmarkEnd w:id="1112"/>
    </w:p>
    <w:p>
      <w:pPr>
        <w:pStyle w:val="Footnoteheading"/>
        <w:keepNext/>
      </w:pPr>
      <w:r>
        <w:tab/>
        <w:t xml:space="preserve">[Heading inserted: Gazette 22 Feb 2008 p. 641.] </w:t>
      </w:r>
    </w:p>
    <w:p>
      <w:pPr>
        <w:pStyle w:val="Heading5"/>
        <w:rPr>
          <w:snapToGrid w:val="0"/>
        </w:rPr>
      </w:pPr>
      <w:bookmarkStart w:id="1113" w:name="_Toc129078219"/>
      <w:r>
        <w:rPr>
          <w:rStyle w:val="CharSectno"/>
        </w:rPr>
        <w:t>53</w:t>
      </w:r>
      <w:r>
        <w:rPr>
          <w:snapToGrid w:val="0"/>
        </w:rPr>
        <w:t>.</w:t>
      </w:r>
      <w:r>
        <w:rPr>
          <w:snapToGrid w:val="0"/>
        </w:rPr>
        <w:tab/>
        <w:t>Party dissatisfied with taxation may object and apply for review</w:t>
      </w:r>
      <w:bookmarkEnd w:id="1113"/>
    </w:p>
    <w:p>
      <w:pPr>
        <w:pStyle w:val="Subsection"/>
        <w:keepNext/>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114" w:name="_Toc129078220"/>
      <w:r>
        <w:rPr>
          <w:rStyle w:val="CharSectno"/>
        </w:rPr>
        <w:t>54</w:t>
      </w:r>
      <w:r>
        <w:rPr>
          <w:snapToGrid w:val="0"/>
        </w:rPr>
        <w:t>.</w:t>
      </w:r>
      <w:r>
        <w:rPr>
          <w:snapToGrid w:val="0"/>
        </w:rPr>
        <w:tab/>
        <w:t>Review of taxation by taxing officer</w:t>
      </w:r>
      <w:bookmarkEnd w:id="1114"/>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 xml:space="preserve">If so required by a party, the taxing officer shall state in his certificate of taxation or by reference to the objection, the </w:t>
      </w:r>
      <w:r>
        <w:rPr>
          <w:snapToGrid w:val="0"/>
        </w:rPr>
        <w:lastRenderedPageBreak/>
        <w:t>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keepNext/>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Gazette 7 Feb 1992 p. 687; 28 Jun 2011 p. 2555.] </w:t>
      </w:r>
    </w:p>
    <w:p>
      <w:pPr>
        <w:pStyle w:val="Heading5"/>
        <w:rPr>
          <w:snapToGrid w:val="0"/>
        </w:rPr>
      </w:pPr>
      <w:bookmarkStart w:id="1115" w:name="_Toc129078221"/>
      <w:r>
        <w:rPr>
          <w:rStyle w:val="CharSectno"/>
        </w:rPr>
        <w:t>55</w:t>
      </w:r>
      <w:r>
        <w:rPr>
          <w:snapToGrid w:val="0"/>
        </w:rPr>
        <w:t>.</w:t>
      </w:r>
      <w:r>
        <w:rPr>
          <w:snapToGrid w:val="0"/>
        </w:rPr>
        <w:tab/>
        <w:t>Review of taxation by judge</w:t>
      </w:r>
      <w:bookmarkEnd w:id="1115"/>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116" w:name="_Toc129078222"/>
      <w:r>
        <w:rPr>
          <w:rStyle w:val="CharSectno"/>
        </w:rPr>
        <w:t>56</w:t>
      </w:r>
      <w:r>
        <w:rPr>
          <w:snapToGrid w:val="0"/>
        </w:rPr>
        <w:t>.</w:t>
      </w:r>
      <w:r>
        <w:rPr>
          <w:snapToGrid w:val="0"/>
        </w:rPr>
        <w:tab/>
        <w:t>No further evidence on review except with leave</w:t>
      </w:r>
      <w:bookmarkEnd w:id="1116"/>
    </w:p>
    <w:p>
      <w:pPr>
        <w:pStyle w:val="Subsection"/>
        <w:keepNext/>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t>
      </w:r>
      <w:r>
        <w:rPr>
          <w:snapToGrid w:val="0"/>
        </w:rPr>
        <w:lastRenderedPageBreak/>
        <w:t>which has been brought in before the taxing officer, and further evidence shall not be received upon the hearing of the application unless the judge otherwise directs.</w:t>
      </w:r>
    </w:p>
    <w:p>
      <w:pPr>
        <w:pStyle w:val="Footnotesection"/>
      </w:pPr>
      <w:r>
        <w:tab/>
        <w:t>[Rule 56 amended: Gazette 28 Jun 2011 p. 2555.]</w:t>
      </w:r>
    </w:p>
    <w:p>
      <w:pPr>
        <w:pStyle w:val="Heading3"/>
      </w:pPr>
      <w:bookmarkStart w:id="1117" w:name="_Toc129074151"/>
      <w:bookmarkStart w:id="1118" w:name="_Toc129075434"/>
      <w:bookmarkStart w:id="1119" w:name="_Toc129078223"/>
      <w:r>
        <w:rPr>
          <w:rStyle w:val="CharDivNo"/>
        </w:rPr>
        <w:t>Division 4</w:t>
      </w:r>
      <w:r>
        <w:t> — </w:t>
      </w:r>
      <w:r>
        <w:rPr>
          <w:rStyle w:val="CharDivText"/>
        </w:rPr>
        <w:t>Miscellaneous</w:t>
      </w:r>
      <w:bookmarkEnd w:id="1117"/>
      <w:bookmarkEnd w:id="1118"/>
      <w:bookmarkEnd w:id="1119"/>
    </w:p>
    <w:p>
      <w:pPr>
        <w:pStyle w:val="Footnoteheading"/>
        <w:keepNext/>
      </w:pPr>
      <w:r>
        <w:tab/>
        <w:t xml:space="preserve">[Heading inserted: Gazette 22 Feb 2008 p. 641.] </w:t>
      </w:r>
    </w:p>
    <w:p>
      <w:pPr>
        <w:pStyle w:val="Heading5"/>
        <w:rPr>
          <w:snapToGrid w:val="0"/>
        </w:rPr>
      </w:pPr>
      <w:bookmarkStart w:id="1120" w:name="_Toc129078224"/>
      <w:r>
        <w:rPr>
          <w:rStyle w:val="CharSectno"/>
        </w:rPr>
        <w:t>57</w:t>
      </w:r>
      <w:r>
        <w:rPr>
          <w:snapToGrid w:val="0"/>
        </w:rPr>
        <w:t>.</w:t>
      </w:r>
      <w:r>
        <w:rPr>
          <w:snapToGrid w:val="0"/>
        </w:rPr>
        <w:tab/>
        <w:t>Taxing officer’s certificate enforceable as judgment</w:t>
      </w:r>
      <w:bookmarkEnd w:id="1120"/>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121" w:name="_Toc129078225"/>
      <w:r>
        <w:rPr>
          <w:rStyle w:val="CharSectno"/>
        </w:rPr>
        <w:t>58</w:t>
      </w:r>
      <w:r>
        <w:rPr>
          <w:snapToGrid w:val="0"/>
        </w:rPr>
        <w:t>.</w:t>
      </w:r>
      <w:r>
        <w:rPr>
          <w:snapToGrid w:val="0"/>
        </w:rPr>
        <w:tab/>
        <w:t>Stay on review</w:t>
      </w:r>
      <w:bookmarkEnd w:id="1121"/>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122" w:name="_Toc129078226"/>
      <w:r>
        <w:rPr>
          <w:rStyle w:val="CharSectno"/>
        </w:rPr>
        <w:t>59</w:t>
      </w:r>
      <w:r>
        <w:rPr>
          <w:snapToGrid w:val="0"/>
        </w:rPr>
        <w:t>.</w:t>
      </w:r>
      <w:r>
        <w:rPr>
          <w:snapToGrid w:val="0"/>
        </w:rPr>
        <w:tab/>
        <w:t>Party liable to be paid and to pay costs, taxing officer’s powers in case of</w:t>
      </w:r>
      <w:bookmarkEnd w:id="1122"/>
    </w:p>
    <w:p>
      <w:pPr>
        <w:pStyle w:val="Subsection"/>
        <w:keepNext/>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123" w:name="_Toc129078227"/>
      <w:r>
        <w:rPr>
          <w:rStyle w:val="CharSectno"/>
        </w:rPr>
        <w:lastRenderedPageBreak/>
        <w:t>60</w:t>
      </w:r>
      <w:r>
        <w:rPr>
          <w:snapToGrid w:val="0"/>
        </w:rPr>
        <w:t>.</w:t>
      </w:r>
      <w:r>
        <w:rPr>
          <w:snapToGrid w:val="0"/>
        </w:rPr>
        <w:tab/>
        <w:t>Taking of accounts, taxing officer’s duties and powers on</w:t>
      </w:r>
      <w:bookmarkEnd w:id="1123"/>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keepNext/>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Gazette 14 Dec 1979 p. 3871.] </w:t>
      </w:r>
    </w:p>
    <w:p>
      <w:pPr>
        <w:pStyle w:val="Heading5"/>
        <w:rPr>
          <w:snapToGrid w:val="0"/>
        </w:rPr>
      </w:pPr>
      <w:bookmarkStart w:id="1124" w:name="_Toc129078228"/>
      <w:r>
        <w:rPr>
          <w:rStyle w:val="CharSectno"/>
        </w:rPr>
        <w:t>61</w:t>
      </w:r>
      <w:r>
        <w:rPr>
          <w:snapToGrid w:val="0"/>
        </w:rPr>
        <w:t>.</w:t>
      </w:r>
      <w:r>
        <w:rPr>
          <w:snapToGrid w:val="0"/>
        </w:rPr>
        <w:tab/>
        <w:t>Interim certificate in matters of account</w:t>
      </w:r>
      <w:bookmarkEnd w:id="1124"/>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125" w:name="_Toc129074157"/>
      <w:bookmarkStart w:id="1126" w:name="_Toc129075440"/>
      <w:bookmarkStart w:id="1127" w:name="_Toc129078229"/>
      <w:r>
        <w:rPr>
          <w:rStyle w:val="CharPartNo"/>
        </w:rPr>
        <w:lastRenderedPageBreak/>
        <w:t>Order 67</w:t>
      </w:r>
      <w:r>
        <w:rPr>
          <w:rStyle w:val="CharDivNo"/>
        </w:rPr>
        <w:t> </w:t>
      </w:r>
      <w:r>
        <w:t>—</w:t>
      </w:r>
      <w:r>
        <w:rPr>
          <w:rStyle w:val="CharDivText"/>
        </w:rPr>
        <w:t> </w:t>
      </w:r>
      <w:r>
        <w:rPr>
          <w:rStyle w:val="CharPartText"/>
        </w:rPr>
        <w:t>Central Office, officers</w:t>
      </w:r>
      <w:bookmarkEnd w:id="1125"/>
      <w:bookmarkEnd w:id="1126"/>
      <w:bookmarkEnd w:id="1127"/>
    </w:p>
    <w:p>
      <w:pPr>
        <w:pStyle w:val="Heading5"/>
        <w:rPr>
          <w:snapToGrid w:val="0"/>
        </w:rPr>
      </w:pPr>
      <w:bookmarkStart w:id="1128" w:name="_Toc129078230"/>
      <w:r>
        <w:rPr>
          <w:rStyle w:val="CharSectno"/>
        </w:rPr>
        <w:t>1</w:t>
      </w:r>
      <w:r>
        <w:rPr>
          <w:snapToGrid w:val="0"/>
        </w:rPr>
        <w:t>.</w:t>
      </w:r>
      <w:r>
        <w:rPr>
          <w:snapToGrid w:val="0"/>
        </w:rPr>
        <w:tab/>
        <w:t>Superintendence of Central Office</w:t>
      </w:r>
      <w:bookmarkEnd w:id="1128"/>
    </w:p>
    <w:p>
      <w:pPr>
        <w:pStyle w:val="Subsection"/>
        <w:rPr>
          <w:snapToGrid w:val="0"/>
        </w:rPr>
      </w:pPr>
      <w:r>
        <w:rPr>
          <w:snapToGrid w:val="0"/>
        </w:rPr>
        <w:tab/>
      </w:r>
      <w:r>
        <w:rPr>
          <w:snapToGrid w:val="0"/>
        </w:rPr>
        <w:tab/>
        <w:t xml:space="preserve">The </w:t>
      </w:r>
      <w:r>
        <w:t>Chief Justice or the Principal Registrar must</w:t>
      </w:r>
      <w:r>
        <w:rPr>
          <w:snapToGrid w:val="0"/>
        </w:rPr>
        <w:t xml:space="preserve"> superintend the business of the Central Office </w:t>
      </w:r>
      <w:r>
        <w:t>and give</w:t>
      </w:r>
      <w:r>
        <w:rPr>
          <w:snapToGrid w:val="0"/>
        </w:rPr>
        <w:t xml:space="preserve"> any directions that may be required on questions of practice and procedure.</w:t>
      </w:r>
    </w:p>
    <w:p>
      <w:pPr>
        <w:pStyle w:val="Footnotesection"/>
      </w:pPr>
      <w:r>
        <w:rPr>
          <w:i w:val="0"/>
        </w:rPr>
        <w:tab/>
      </w:r>
      <w:r>
        <w:t>[Rule 1 inserted: Gazette 14 Dec 1979 p. 3871; amended: Gazette 30 Nov 1984 p. 3952; SL 2020/242 r. 7(1).]</w:t>
      </w:r>
    </w:p>
    <w:p>
      <w:pPr>
        <w:pStyle w:val="Heading5"/>
        <w:rPr>
          <w:snapToGrid w:val="0"/>
        </w:rPr>
      </w:pPr>
      <w:bookmarkStart w:id="1129" w:name="_Toc129078231"/>
      <w:r>
        <w:rPr>
          <w:rStyle w:val="CharSectno"/>
        </w:rPr>
        <w:t>2</w:t>
      </w:r>
      <w:r>
        <w:rPr>
          <w:snapToGrid w:val="0"/>
        </w:rPr>
        <w:t>.</w:t>
      </w:r>
      <w:r>
        <w:rPr>
          <w:snapToGrid w:val="0"/>
        </w:rPr>
        <w:tab/>
        <w:t>Ministerial acts of registrar</w:t>
      </w:r>
      <w:bookmarkEnd w:id="1129"/>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Gazette 14 Dec 1979 p. 3871.]</w:t>
      </w:r>
    </w:p>
    <w:p>
      <w:pPr>
        <w:pStyle w:val="Heading5"/>
        <w:rPr>
          <w:snapToGrid w:val="0"/>
        </w:rPr>
      </w:pPr>
      <w:bookmarkStart w:id="1130" w:name="_Toc129078232"/>
      <w:r>
        <w:rPr>
          <w:rStyle w:val="CharSectno"/>
        </w:rPr>
        <w:t>3</w:t>
      </w:r>
      <w:r>
        <w:rPr>
          <w:snapToGrid w:val="0"/>
        </w:rPr>
        <w:t>.</w:t>
      </w:r>
      <w:r>
        <w:rPr>
          <w:snapToGrid w:val="0"/>
        </w:rPr>
        <w:tab/>
        <w:t>Taking of oaths and affidavits</w:t>
      </w:r>
      <w:bookmarkEnd w:id="1130"/>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Gazette 14 Dec 1979 p. 3871; amended: Gazette 30 Nov 1984 p. 3952.]</w:t>
      </w:r>
    </w:p>
    <w:p>
      <w:pPr>
        <w:pStyle w:val="Heading5"/>
        <w:rPr>
          <w:snapToGrid w:val="0"/>
        </w:rPr>
      </w:pPr>
      <w:bookmarkStart w:id="1131" w:name="_Toc129078233"/>
      <w:r>
        <w:rPr>
          <w:rStyle w:val="CharSectno"/>
        </w:rPr>
        <w:t>4</w:t>
      </w:r>
      <w:r>
        <w:rPr>
          <w:snapToGrid w:val="0"/>
        </w:rPr>
        <w:t>.</w:t>
      </w:r>
      <w:r>
        <w:rPr>
          <w:snapToGrid w:val="0"/>
        </w:rPr>
        <w:tab/>
        <w:t>Seals</w:t>
      </w:r>
      <w:bookmarkEnd w:id="1131"/>
    </w:p>
    <w:p>
      <w:pPr>
        <w:pStyle w:val="Subsection"/>
        <w:rPr>
          <w:snapToGrid w:val="0"/>
        </w:rPr>
      </w:pPr>
      <w:r>
        <w:rPr>
          <w:snapToGrid w:val="0"/>
        </w:rPr>
        <w:tab/>
      </w:r>
      <w:r>
        <w:rPr>
          <w:snapToGrid w:val="0"/>
        </w:rPr>
        <w:tab/>
        <w:t xml:space="preserve">The official seals </w:t>
      </w:r>
      <w:r>
        <w:t>of the Court</w:t>
      </w:r>
      <w:r>
        <w:rPr>
          <w:snapToGrid w:val="0"/>
        </w:rPr>
        <w:t xml:space="preserve"> shall be such as the Chief Justice from time to time directs.</w:t>
      </w:r>
    </w:p>
    <w:p>
      <w:pPr>
        <w:pStyle w:val="Footnotesection"/>
      </w:pPr>
      <w:r>
        <w:rPr>
          <w:i w:val="0"/>
        </w:rPr>
        <w:tab/>
      </w:r>
      <w:r>
        <w:t xml:space="preserve">[Rule 4 amended: Gazette 27 Feb 2018 p. 576.] </w:t>
      </w:r>
    </w:p>
    <w:p>
      <w:pPr>
        <w:pStyle w:val="Heading5"/>
        <w:rPr>
          <w:snapToGrid w:val="0"/>
        </w:rPr>
      </w:pPr>
      <w:bookmarkStart w:id="1132" w:name="_Toc129078234"/>
      <w:r>
        <w:rPr>
          <w:rStyle w:val="CharSectno"/>
        </w:rPr>
        <w:t>5</w:t>
      </w:r>
      <w:r>
        <w:rPr>
          <w:snapToGrid w:val="0"/>
        </w:rPr>
        <w:t>.</w:t>
      </w:r>
      <w:r>
        <w:rPr>
          <w:snapToGrid w:val="0"/>
        </w:rPr>
        <w:tab/>
        <w:t>Abuse of process etc., procedure in case of</w:t>
      </w:r>
      <w:bookmarkEnd w:id="1132"/>
    </w:p>
    <w:p>
      <w:pPr>
        <w:pStyle w:val="Subsection"/>
        <w:rPr>
          <w:snapToGrid w:val="0"/>
        </w:rPr>
      </w:pPr>
      <w:r>
        <w:rPr>
          <w:snapToGrid w:val="0"/>
        </w:rPr>
        <w:tab/>
        <w:t>(1)</w:t>
      </w:r>
      <w:r>
        <w:rPr>
          <w:snapToGrid w:val="0"/>
        </w:rPr>
        <w:tab/>
        <w:t xml:space="preserve">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w:t>
      </w:r>
      <w:r>
        <w:rPr>
          <w:snapToGrid w:val="0"/>
        </w:rPr>
        <w:lastRenderedPageBreak/>
        <w:t>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Gazette 24 Jan 1995 p. 271; amended: Gazette 28 Jun 2011 p. 2552</w:t>
      </w:r>
      <w:r>
        <w:noBreakHyphen/>
        <w:t>3.]</w:t>
      </w:r>
    </w:p>
    <w:p>
      <w:pPr>
        <w:pStyle w:val="Heading5"/>
        <w:rPr>
          <w:snapToGrid w:val="0"/>
        </w:rPr>
      </w:pPr>
      <w:bookmarkStart w:id="1133" w:name="_Toc129078235"/>
      <w:r>
        <w:rPr>
          <w:rStyle w:val="CharSectno"/>
        </w:rPr>
        <w:t>6</w:t>
      </w:r>
      <w:r>
        <w:rPr>
          <w:snapToGrid w:val="0"/>
        </w:rPr>
        <w:t>.</w:t>
      </w:r>
      <w:r>
        <w:rPr>
          <w:snapToGrid w:val="0"/>
        </w:rPr>
        <w:tab/>
        <w:t>Sealed documents, evidentiary status of</w:t>
      </w:r>
      <w:bookmarkEnd w:id="1133"/>
    </w:p>
    <w:p>
      <w:pPr>
        <w:pStyle w:val="Subsection"/>
        <w:rPr>
          <w:snapToGrid w:val="0"/>
        </w:rPr>
      </w:pPr>
      <w:r>
        <w:rPr>
          <w:snapToGrid w:val="0"/>
        </w:rPr>
        <w:tab/>
      </w:r>
      <w:r>
        <w:rPr>
          <w:snapToGrid w:val="0"/>
        </w:rPr>
        <w:tab/>
        <w:t xml:space="preserve">All copies, certificates, and other documents appearing to be sealed with a seal of the </w:t>
      </w:r>
      <w:r>
        <w:t>Court</w:t>
      </w:r>
      <w:r>
        <w:rPr>
          <w:snapToGrid w:val="0"/>
        </w:rPr>
        <w:t xml:space="preserve"> shall be presumed to be </w:t>
      </w:r>
      <w:r>
        <w:t>true</w:t>
      </w:r>
      <w:r>
        <w:rPr>
          <w:snapToGrid w:val="0"/>
        </w:rPr>
        <w:t xml:space="preserve"> copies or certificates or other documents issued </w:t>
      </w:r>
      <w:r>
        <w:t xml:space="preserve">by the Court, </w:t>
      </w:r>
      <w:r>
        <w:rPr>
          <w:snapToGrid w:val="0"/>
        </w:rPr>
        <w:t xml:space="preserve">and if duly stamped may be received in evidence, and no signature or other formality, except the sealing with a seal </w:t>
      </w:r>
      <w:r>
        <w:t xml:space="preserve">of the Court, </w:t>
      </w:r>
      <w:r>
        <w:rPr>
          <w:snapToGrid w:val="0"/>
        </w:rPr>
        <w:t>shall be required for the authentication of any such copy, certificate, or other document.</w:t>
      </w:r>
    </w:p>
    <w:p>
      <w:pPr>
        <w:pStyle w:val="Footnotesection"/>
      </w:pPr>
      <w:r>
        <w:rPr>
          <w:i w:val="0"/>
        </w:rPr>
        <w:tab/>
      </w:r>
      <w:r>
        <w:t xml:space="preserve">[Rule 6 amended: Gazette 27 Feb 2018 p. 576.] </w:t>
      </w:r>
    </w:p>
    <w:p>
      <w:pPr>
        <w:pStyle w:val="Heading5"/>
        <w:rPr>
          <w:snapToGrid w:val="0"/>
        </w:rPr>
      </w:pPr>
      <w:bookmarkStart w:id="1134" w:name="_Toc129078236"/>
      <w:r>
        <w:rPr>
          <w:rStyle w:val="CharSectno"/>
        </w:rPr>
        <w:t>7</w:t>
      </w:r>
      <w:r>
        <w:rPr>
          <w:snapToGrid w:val="0"/>
        </w:rPr>
        <w:t>.</w:t>
      </w:r>
      <w:r>
        <w:rPr>
          <w:snapToGrid w:val="0"/>
        </w:rPr>
        <w:tab/>
        <w:t>Petition, award etc. to be filed before judgment etc. passed</w:t>
      </w:r>
      <w:bookmarkEnd w:id="1134"/>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pPr>
      <w:bookmarkStart w:id="1135" w:name="_Toc129078237"/>
      <w:r>
        <w:rPr>
          <w:rStyle w:val="CharSectno"/>
        </w:rPr>
        <w:lastRenderedPageBreak/>
        <w:t>8</w:t>
      </w:r>
      <w:r>
        <w:t>.</w:t>
      </w:r>
      <w:r>
        <w:tab/>
        <w:t>Indexes to filed documents</w:t>
      </w:r>
      <w:bookmarkEnd w:id="1135"/>
    </w:p>
    <w:p>
      <w:pPr>
        <w:pStyle w:val="Subsection"/>
      </w:pPr>
      <w:r>
        <w:tab/>
      </w:r>
      <w:r>
        <w:tab/>
        <w:t>Proper indexes or calendars to the files or bundles of all documents that are filed must be kept, in the manner directed by the Chief Justice from time to time, so that they may be conveniently referred to when required.</w:t>
      </w:r>
    </w:p>
    <w:p>
      <w:pPr>
        <w:pStyle w:val="Footnotesection"/>
      </w:pPr>
      <w:r>
        <w:rPr>
          <w:i w:val="0"/>
        </w:rPr>
        <w:tab/>
      </w:r>
      <w:r>
        <w:t xml:space="preserve">[Rule 8 inserted: Gazette 27 Feb 2018 p. 576.] </w:t>
      </w:r>
    </w:p>
    <w:p>
      <w:pPr>
        <w:pStyle w:val="Heading5"/>
        <w:rPr>
          <w:snapToGrid w:val="0"/>
        </w:rPr>
      </w:pPr>
      <w:bookmarkStart w:id="1136" w:name="_Toc129078238"/>
      <w:r>
        <w:rPr>
          <w:rStyle w:val="CharSectno"/>
        </w:rPr>
        <w:t>9</w:t>
      </w:r>
      <w:r>
        <w:rPr>
          <w:snapToGrid w:val="0"/>
        </w:rPr>
        <w:t>.</w:t>
      </w:r>
      <w:r>
        <w:rPr>
          <w:snapToGrid w:val="0"/>
        </w:rPr>
        <w:tab/>
        <w:t>Date of filing to be marked etc.</w:t>
      </w:r>
      <w:bookmarkEnd w:id="1136"/>
    </w:p>
    <w:p>
      <w:pPr>
        <w:pStyle w:val="Subsection"/>
        <w:rPr>
          <w:snapToGrid w:val="0"/>
        </w:rPr>
      </w:pPr>
      <w:r>
        <w:rPr>
          <w:snapToGrid w:val="0"/>
        </w:rPr>
        <w:tab/>
        <w:t>(1)</w:t>
      </w:r>
      <w:r>
        <w:rPr>
          <w:snapToGrid w:val="0"/>
        </w:rPr>
        <w:tab/>
        <w:t>All documents filed in any proceedings must be sealed with a seal showing the date on which the document was filed</w:t>
      </w:r>
      <w:r>
        <w:t xml:space="preserve"> and, if the document was filed electronically, a record of the fact that it was filed electronically</w:t>
      </w:r>
      <w:r>
        <w:rPr>
          <w:snapToGrid w:val="0"/>
        </w:rPr>
        <w:t>.</w:t>
      </w:r>
    </w:p>
    <w:p>
      <w:pPr>
        <w:pStyle w:val="Subsection"/>
      </w:pPr>
      <w:r>
        <w:tab/>
        <w:t>(1A)</w:t>
      </w:r>
      <w:r>
        <w:tab/>
        <w:t>A document filed electronically may be sealed by means of the ECMS.</w:t>
      </w:r>
    </w:p>
    <w:p>
      <w:pPr>
        <w:pStyle w:val="Subsection"/>
        <w:rPr>
          <w:snapToGrid w:val="0"/>
        </w:rPr>
      </w:pPr>
      <w:r>
        <w:rPr>
          <w:snapToGrid w:val="0"/>
        </w:rPr>
        <w:tab/>
        <w:t>(2)</w:t>
      </w:r>
      <w:r>
        <w:rPr>
          <w:snapToGrid w:val="0"/>
        </w:rPr>
        <w:tab/>
        <w:t xml:space="preserve">There shall be entered in records kept in the </w:t>
      </w:r>
      <w:r>
        <w:t>manner directed by the Chief Justice from time to time</w:t>
      </w:r>
      <w:r>
        <w:rPr>
          <w:snapToGrid w:val="0"/>
        </w:rPr>
        <w:t xml:space="preserve"> for the purpose particulars of the date of delivery </w:t>
      </w:r>
      <w:r>
        <w:t>or receipt</w:t>
      </w:r>
      <w:r>
        <w:rPr>
          <w:snapToGrid w:val="0"/>
        </w:rPr>
        <w:t xml:space="preserve"> of every document for filing, the date of the document and the title of the cause or matter of which the document forms part of the record.</w:t>
      </w:r>
    </w:p>
    <w:p>
      <w:pPr>
        <w:pStyle w:val="Footnotesection"/>
      </w:pPr>
      <w:r>
        <w:tab/>
        <w:t xml:space="preserve">[Rule 9 amended: Gazette 26 Mar 1993 p. 1846; 22 Feb 2008 p. 650; 27 Feb 2018 p. 577; 31 Dec 2019 p. 4677-8.] </w:t>
      </w:r>
    </w:p>
    <w:p>
      <w:pPr>
        <w:pStyle w:val="Heading5"/>
      </w:pPr>
      <w:bookmarkStart w:id="1137" w:name="_Toc129078239"/>
      <w:r>
        <w:rPr>
          <w:rStyle w:val="CharSectno"/>
        </w:rPr>
        <w:t>10</w:t>
      </w:r>
      <w:r>
        <w:t>.</w:t>
      </w:r>
      <w:r>
        <w:tab/>
        <w:t>Custody of documents and things</w:t>
      </w:r>
      <w:bookmarkEnd w:id="1137"/>
    </w:p>
    <w:p>
      <w:pPr>
        <w:pStyle w:val="Subsection"/>
      </w:pPr>
      <w:r>
        <w:tab/>
        <w:t>(1)</w:t>
      </w:r>
      <w:r>
        <w:tab/>
        <w:t xml:space="preserve">The Principal Registrar has custody of all — </w:t>
      </w:r>
    </w:p>
    <w:p>
      <w:pPr>
        <w:pStyle w:val="Indenta"/>
      </w:pPr>
      <w:r>
        <w:tab/>
        <w:t>(a)</w:t>
      </w:r>
      <w:r>
        <w:tab/>
        <w:t>filed documents; and</w:t>
      </w:r>
    </w:p>
    <w:p>
      <w:pPr>
        <w:pStyle w:val="Indenta"/>
      </w:pPr>
      <w:r>
        <w:tab/>
        <w:t>(b)</w:t>
      </w:r>
      <w:r>
        <w:tab/>
        <w:t>things and other documents kept, left or deposited in the Central Office, whether or not due to a Court order.</w:t>
      </w:r>
    </w:p>
    <w:p>
      <w:pPr>
        <w:pStyle w:val="Subsection"/>
      </w:pPr>
      <w:r>
        <w:tab/>
        <w:t>(2)</w:t>
      </w:r>
      <w:r>
        <w:tab/>
        <w:t>The Principal Registrar must ensure the things referred to in subrule (1) are kept in safe custody.</w:t>
      </w:r>
    </w:p>
    <w:p>
      <w:pPr>
        <w:pStyle w:val="Footnotesection"/>
      </w:pPr>
      <w:r>
        <w:rPr>
          <w:i w:val="0"/>
        </w:rPr>
        <w:tab/>
      </w:r>
      <w:r>
        <w:t xml:space="preserve">[Rule 10 inserted: Gazette 27 Feb 2018 p. 577.] </w:t>
      </w:r>
    </w:p>
    <w:p>
      <w:pPr>
        <w:pStyle w:val="Ednotesection"/>
      </w:pPr>
      <w:r>
        <w:t>[</w:t>
      </w:r>
      <w:r>
        <w:rPr>
          <w:b/>
        </w:rPr>
        <w:t>11.</w:t>
      </w:r>
      <w:r>
        <w:tab/>
        <w:t>Deleted: Gazette 27 Feb 2018 p. 577.]</w:t>
      </w:r>
    </w:p>
    <w:p>
      <w:pPr>
        <w:pStyle w:val="Heading5"/>
        <w:rPr>
          <w:snapToGrid w:val="0"/>
        </w:rPr>
      </w:pPr>
      <w:bookmarkStart w:id="1138" w:name="_Toc129078240"/>
      <w:r>
        <w:rPr>
          <w:rStyle w:val="CharSectno"/>
        </w:rPr>
        <w:lastRenderedPageBreak/>
        <w:t>12</w:t>
      </w:r>
      <w:r>
        <w:rPr>
          <w:snapToGrid w:val="0"/>
        </w:rPr>
        <w:t>.</w:t>
      </w:r>
      <w:r>
        <w:rPr>
          <w:snapToGrid w:val="0"/>
        </w:rPr>
        <w:tab/>
        <w:t>Deposit of documents</w:t>
      </w:r>
      <w:bookmarkEnd w:id="1138"/>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139" w:name="_Toc129078241"/>
      <w:r>
        <w:rPr>
          <w:rStyle w:val="CharSectno"/>
        </w:rPr>
        <w:t>13</w:t>
      </w:r>
      <w:r>
        <w:rPr>
          <w:snapToGrid w:val="0"/>
        </w:rPr>
        <w:t>.</w:t>
      </w:r>
      <w:r>
        <w:rPr>
          <w:snapToGrid w:val="0"/>
        </w:rPr>
        <w:tab/>
        <w:t>Restriction on removal of documents</w:t>
      </w:r>
      <w:bookmarkEnd w:id="1139"/>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Gazette 14 Dec 1979 p. 3871.] </w:t>
      </w:r>
    </w:p>
    <w:p>
      <w:pPr>
        <w:pStyle w:val="Heading5"/>
        <w:spacing w:before="240"/>
        <w:rPr>
          <w:snapToGrid w:val="0"/>
        </w:rPr>
      </w:pPr>
      <w:bookmarkStart w:id="1140" w:name="_Toc129078242"/>
      <w:r>
        <w:rPr>
          <w:rStyle w:val="CharSectno"/>
        </w:rPr>
        <w:t>14</w:t>
      </w:r>
      <w:r>
        <w:rPr>
          <w:snapToGrid w:val="0"/>
        </w:rPr>
        <w:t>.</w:t>
      </w:r>
      <w:r>
        <w:rPr>
          <w:snapToGrid w:val="0"/>
        </w:rPr>
        <w:tab/>
        <w:t>Deposit for officer’s expenses</w:t>
      </w:r>
      <w:bookmarkEnd w:id="1140"/>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141" w:name="_Toc129078243"/>
      <w:r>
        <w:rPr>
          <w:rStyle w:val="CharSectno"/>
        </w:rPr>
        <w:t>15</w:t>
      </w:r>
      <w:r>
        <w:rPr>
          <w:snapToGrid w:val="0"/>
        </w:rPr>
        <w:t>.</w:t>
      </w:r>
      <w:r>
        <w:rPr>
          <w:snapToGrid w:val="0"/>
        </w:rPr>
        <w:tab/>
        <w:t>Admissions, awards etc. to be filed</w:t>
      </w:r>
      <w:bookmarkEnd w:id="1141"/>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copies thereof, or of any part thereof that may be required, shall be ready to be delivered to the party requiring the same within 48 hours after the same shall have been bespoken.</w:t>
      </w:r>
    </w:p>
    <w:p>
      <w:pPr>
        <w:pStyle w:val="Footnotesection"/>
      </w:pPr>
      <w:r>
        <w:rPr>
          <w:i w:val="0"/>
        </w:rPr>
        <w:tab/>
      </w:r>
      <w:r>
        <w:t xml:space="preserve">[Rule 15 amended: Gazette 27 Feb 2018 p. 577.] </w:t>
      </w:r>
    </w:p>
    <w:p>
      <w:pPr>
        <w:pStyle w:val="Heading5"/>
        <w:spacing w:before="240"/>
        <w:rPr>
          <w:snapToGrid w:val="0"/>
        </w:rPr>
      </w:pPr>
      <w:bookmarkStart w:id="1142" w:name="_Toc129078244"/>
      <w:r>
        <w:rPr>
          <w:rStyle w:val="CharSectno"/>
        </w:rPr>
        <w:lastRenderedPageBreak/>
        <w:t>16</w:t>
      </w:r>
      <w:r>
        <w:rPr>
          <w:snapToGrid w:val="0"/>
        </w:rPr>
        <w:t>.</w:t>
      </w:r>
      <w:r>
        <w:rPr>
          <w:snapToGrid w:val="0"/>
        </w:rPr>
        <w:tab/>
        <w:t>New forms</w:t>
      </w:r>
      <w:bookmarkEnd w:id="1142"/>
    </w:p>
    <w:p>
      <w:pPr>
        <w:pStyle w:val="Subsection"/>
        <w:rPr>
          <w:snapToGrid w:val="0"/>
        </w:rPr>
      </w:pPr>
      <w:r>
        <w:rPr>
          <w:snapToGrid w:val="0"/>
        </w:rPr>
        <w:tab/>
      </w:r>
      <w:r>
        <w:rPr>
          <w:snapToGrid w:val="0"/>
        </w:rPr>
        <w:tab/>
        <w:t xml:space="preserve">The </w:t>
      </w:r>
      <w:r>
        <w:t>Chief Justice or the Principal Registrar</w:t>
      </w:r>
      <w:r>
        <w:rPr>
          <w:snapToGrid w:val="0"/>
        </w:rPr>
        <w:t xml:space="preserve">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Gazette 30 Nov 1984 p. 3952; 28 Jun 2011 p. 2555; SL 2020/242 r. 7(2).] </w:t>
      </w:r>
    </w:p>
    <w:p>
      <w:pPr>
        <w:pStyle w:val="Heading5"/>
        <w:spacing w:before="240"/>
        <w:rPr>
          <w:snapToGrid w:val="0"/>
        </w:rPr>
      </w:pPr>
      <w:bookmarkStart w:id="1143" w:name="_Toc129078245"/>
      <w:r>
        <w:rPr>
          <w:rStyle w:val="CharSectno"/>
        </w:rPr>
        <w:t>17</w:t>
      </w:r>
      <w:r>
        <w:rPr>
          <w:snapToGrid w:val="0"/>
        </w:rPr>
        <w:t>.</w:t>
      </w:r>
      <w:r>
        <w:rPr>
          <w:snapToGrid w:val="0"/>
        </w:rPr>
        <w:tab/>
        <w:t>Accounts etc. to be taken by registrar, rules applying to</w:t>
      </w:r>
      <w:bookmarkEnd w:id="1143"/>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Gazette 14 Dec 1979 p. 3872; amended: Gazette 1 Aug 1980 p. 2559.] </w:t>
      </w:r>
    </w:p>
    <w:p>
      <w:pPr>
        <w:pStyle w:val="Heading5"/>
        <w:rPr>
          <w:snapToGrid w:val="0"/>
        </w:rPr>
      </w:pPr>
      <w:bookmarkStart w:id="1144" w:name="_Toc129078246"/>
      <w:r>
        <w:rPr>
          <w:rStyle w:val="CharSectno"/>
        </w:rPr>
        <w:t>18</w:t>
      </w:r>
      <w:r>
        <w:rPr>
          <w:snapToGrid w:val="0"/>
        </w:rPr>
        <w:t>.</w:t>
      </w:r>
      <w:r>
        <w:rPr>
          <w:snapToGrid w:val="0"/>
        </w:rPr>
        <w:tab/>
        <w:t>Reference in judgment etc. to registrar, effect of</w:t>
      </w:r>
      <w:bookmarkEnd w:id="114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Gazette 14 Dec 1979 p. 3872.] </w:t>
      </w:r>
    </w:p>
    <w:p>
      <w:pPr>
        <w:pStyle w:val="Ednotesection"/>
      </w:pPr>
      <w:r>
        <w:t>[</w:t>
      </w:r>
      <w:r>
        <w:rPr>
          <w:b/>
        </w:rPr>
        <w:t>18A, 18B.</w:t>
      </w:r>
      <w:r>
        <w:tab/>
        <w:t>Deleted: Gazette 27 Feb 2018 p. 578]</w:t>
      </w:r>
    </w:p>
    <w:p>
      <w:pPr>
        <w:pStyle w:val="Heading5"/>
      </w:pPr>
      <w:bookmarkStart w:id="1145" w:name="_Toc129078247"/>
      <w:r>
        <w:rPr>
          <w:rStyle w:val="CharSectno"/>
        </w:rPr>
        <w:t>19</w:t>
      </w:r>
      <w:r>
        <w:t>.</w:t>
      </w:r>
      <w:r>
        <w:tab/>
        <w:t>Principal Registrar may declare ECMS unavailable</w:t>
      </w:r>
      <w:bookmarkEnd w:id="1145"/>
    </w:p>
    <w:p>
      <w:pPr>
        <w:pStyle w:val="Subsection"/>
      </w:pPr>
      <w:r>
        <w:tab/>
        <w:t>(1)</w:t>
      </w:r>
      <w:r>
        <w:tab/>
        <w:t>The Principal Registrar may, in any manner the Principal Registrar thinks fit, declare that the ECMS is unavailable for use for a period set by the Principal Registrar.</w:t>
      </w:r>
    </w:p>
    <w:p>
      <w:pPr>
        <w:pStyle w:val="Subsection"/>
      </w:pPr>
      <w:r>
        <w:tab/>
        <w:t>(2)</w:t>
      </w:r>
      <w:r>
        <w:tab/>
        <w:t>The Principal Registrar, in writing, may delegate the Principal Registrar’s function under this rule to 1 or more other officers of the Court.</w:t>
      </w:r>
    </w:p>
    <w:p>
      <w:pPr>
        <w:pStyle w:val="Subsection"/>
      </w:pPr>
      <w:r>
        <w:lastRenderedPageBreak/>
        <w:tab/>
        <w:t>(3)</w:t>
      </w:r>
      <w:r>
        <w:tab/>
        <w:t>For the purposes of these rules, a declaration made by a delegate of the Principal Registrar under this rule is taken to be a declaration made by the Principal Registrar.</w:t>
      </w:r>
    </w:p>
    <w:p>
      <w:pPr>
        <w:pStyle w:val="Footnotesection"/>
      </w:pPr>
      <w:r>
        <w:rPr>
          <w:i w:val="0"/>
        </w:rPr>
        <w:tab/>
      </w:r>
      <w:r>
        <w:t xml:space="preserve">[Rule 19 inserted: Gazette 27 Feb 2018 p. 578; amended: Gazette 31 Dec 2019 p. 4677-8.] </w:t>
      </w:r>
    </w:p>
    <w:p>
      <w:pPr>
        <w:pStyle w:val="Ednotesection"/>
      </w:pPr>
      <w:r>
        <w:t>[</w:t>
      </w:r>
      <w:r>
        <w:rPr>
          <w:b/>
        </w:rPr>
        <w:t>20, 21.</w:t>
      </w:r>
      <w:r>
        <w:tab/>
        <w:t>Deleted: Gazette 27 Feb 2018 p. 578.]</w:t>
      </w:r>
    </w:p>
    <w:p>
      <w:pPr>
        <w:pStyle w:val="Heading2"/>
      </w:pPr>
      <w:bookmarkStart w:id="1146" w:name="_Toc129074176"/>
      <w:bookmarkStart w:id="1147" w:name="_Toc129075459"/>
      <w:bookmarkStart w:id="1148" w:name="_Toc129078248"/>
      <w:r>
        <w:rPr>
          <w:rStyle w:val="CharPartNo"/>
        </w:rPr>
        <w:lastRenderedPageBreak/>
        <w:t>Order 67A</w:t>
      </w:r>
      <w:r>
        <w:rPr>
          <w:b w:val="0"/>
        </w:rPr>
        <w:t> </w:t>
      </w:r>
      <w:r>
        <w:t>—</w:t>
      </w:r>
      <w:r>
        <w:rPr>
          <w:b w:val="0"/>
        </w:rPr>
        <w:t> </w:t>
      </w:r>
      <w:r>
        <w:rPr>
          <w:rStyle w:val="CharPartText"/>
        </w:rPr>
        <w:t>Filing documents</w:t>
      </w:r>
      <w:bookmarkEnd w:id="1146"/>
      <w:bookmarkEnd w:id="1147"/>
      <w:bookmarkEnd w:id="1148"/>
    </w:p>
    <w:p>
      <w:pPr>
        <w:pStyle w:val="Footnoteheading"/>
      </w:pPr>
      <w:r>
        <w:tab/>
        <w:t xml:space="preserve">[Heading inserted: Gazette 27 Feb 2018 p. 578.] </w:t>
      </w:r>
    </w:p>
    <w:p>
      <w:pPr>
        <w:pStyle w:val="Heading3"/>
      </w:pPr>
      <w:bookmarkStart w:id="1149" w:name="_Toc129074177"/>
      <w:bookmarkStart w:id="1150" w:name="_Toc129075460"/>
      <w:bookmarkStart w:id="1151" w:name="_Toc129078249"/>
      <w:r>
        <w:rPr>
          <w:rStyle w:val="CharDivNo"/>
        </w:rPr>
        <w:t>Division 1</w:t>
      </w:r>
      <w:r>
        <w:t> — </w:t>
      </w:r>
      <w:r>
        <w:rPr>
          <w:rStyle w:val="CharDivText"/>
        </w:rPr>
        <w:t>Preliminary matters</w:t>
      </w:r>
      <w:bookmarkEnd w:id="1149"/>
      <w:bookmarkEnd w:id="1150"/>
      <w:bookmarkEnd w:id="1151"/>
    </w:p>
    <w:p>
      <w:pPr>
        <w:pStyle w:val="Footnoteheading"/>
      </w:pPr>
      <w:r>
        <w:tab/>
        <w:t xml:space="preserve">[Heading inserted: Gazette 27 Feb 2018 p. 578.] </w:t>
      </w:r>
    </w:p>
    <w:p>
      <w:pPr>
        <w:pStyle w:val="Heading5"/>
      </w:pPr>
      <w:bookmarkStart w:id="1152" w:name="_Toc129078250"/>
      <w:r>
        <w:rPr>
          <w:rStyle w:val="CharSectno"/>
        </w:rPr>
        <w:t>1</w:t>
      </w:r>
      <w:r>
        <w:t>.</w:t>
      </w:r>
      <w:r>
        <w:tab/>
        <w:t>Terms used</w:t>
      </w:r>
      <w:bookmarkEnd w:id="1152"/>
    </w:p>
    <w:p>
      <w:pPr>
        <w:pStyle w:val="Subsection"/>
      </w:pPr>
      <w:r>
        <w:tab/>
      </w:r>
      <w:r>
        <w:tab/>
        <w:t>In this Order —</w:t>
      </w:r>
    </w:p>
    <w:p>
      <w:pPr>
        <w:pStyle w:val="Defstart"/>
      </w:pPr>
      <w:r>
        <w:tab/>
      </w:r>
      <w:r>
        <w:rPr>
          <w:rStyle w:val="CharDefText"/>
        </w:rPr>
        <w:t>complying document</w:t>
      </w:r>
      <w:r>
        <w:t xml:space="preserve"> means a document the form and content of which comply with these rules and any Court order or direction;</w:t>
      </w:r>
    </w:p>
    <w:p>
      <w:pPr>
        <w:pStyle w:val="Defstart"/>
      </w:pPr>
      <w:r>
        <w:tab/>
      </w:r>
      <w:r>
        <w:rPr>
          <w:rStyle w:val="CharDefText"/>
        </w:rPr>
        <w:t>deliver</w:t>
      </w:r>
      <w:r>
        <w:t xml:space="preserve"> means deliver by hand;</w:t>
      </w:r>
    </w:p>
    <w:p>
      <w:pPr>
        <w:pStyle w:val="Defstart"/>
      </w:pPr>
      <w:r>
        <w:tab/>
      </w:r>
      <w:r>
        <w:rPr>
          <w:rStyle w:val="CharDefText"/>
        </w:rPr>
        <w:t>Practice Directions</w:t>
      </w:r>
      <w:r>
        <w:t xml:space="preserve"> means practice directions issued by the Court from time to time.</w:t>
      </w:r>
    </w:p>
    <w:p>
      <w:pPr>
        <w:pStyle w:val="Footnotesection"/>
      </w:pPr>
      <w:r>
        <w:tab/>
        <w:t xml:space="preserve">[Rule 1 inserted: Gazette 27 Feb 2018 p. 578.] </w:t>
      </w:r>
    </w:p>
    <w:p>
      <w:pPr>
        <w:pStyle w:val="Heading3"/>
      </w:pPr>
      <w:bookmarkStart w:id="1153" w:name="_Toc129074179"/>
      <w:bookmarkStart w:id="1154" w:name="_Toc129075462"/>
      <w:bookmarkStart w:id="1155" w:name="_Toc129078251"/>
      <w:r>
        <w:rPr>
          <w:rStyle w:val="CharDivNo"/>
        </w:rPr>
        <w:t>Division 2</w:t>
      </w:r>
      <w:r>
        <w:t> — </w:t>
      </w:r>
      <w:r>
        <w:rPr>
          <w:rStyle w:val="CharDivText"/>
        </w:rPr>
        <w:t>Filing documents</w:t>
      </w:r>
      <w:bookmarkEnd w:id="1153"/>
      <w:bookmarkEnd w:id="1154"/>
      <w:bookmarkEnd w:id="1155"/>
    </w:p>
    <w:p>
      <w:pPr>
        <w:pStyle w:val="Footnoteheading"/>
      </w:pPr>
      <w:r>
        <w:tab/>
        <w:t xml:space="preserve">[Heading inserted: Gazette 27 Feb 2018 p. 579.] </w:t>
      </w:r>
    </w:p>
    <w:p>
      <w:pPr>
        <w:pStyle w:val="Heading5"/>
      </w:pPr>
      <w:bookmarkStart w:id="1156" w:name="_Toc129078252"/>
      <w:r>
        <w:rPr>
          <w:rStyle w:val="CharSectno"/>
        </w:rPr>
        <w:t>2</w:t>
      </w:r>
      <w:r>
        <w:t>.</w:t>
      </w:r>
      <w:r>
        <w:tab/>
        <w:t>General rules about filing documents</w:t>
      </w:r>
      <w:bookmarkEnd w:id="1156"/>
    </w:p>
    <w:p>
      <w:pPr>
        <w:pStyle w:val="Subsection"/>
      </w:pPr>
      <w:r>
        <w:tab/>
        <w:t>(1)</w:t>
      </w:r>
      <w:r>
        <w:tab/>
        <w:t>A person who is required by these rules or the Court to file a document, or who wants to do so, must, in accordance with this Order, present a complying document to the Court for filing.</w:t>
      </w:r>
    </w:p>
    <w:p>
      <w:pPr>
        <w:pStyle w:val="Subsection"/>
      </w:pPr>
      <w:r>
        <w:tab/>
        <w:t>(2)</w:t>
      </w:r>
      <w:r>
        <w:tab/>
        <w:t>The complying document must be presented together with any fee required to be paid when filing it or with the information the Court needs to enable the Court to be paid the fee.</w:t>
      </w:r>
    </w:p>
    <w:p>
      <w:pPr>
        <w:pStyle w:val="Subsection"/>
      </w:pPr>
      <w:r>
        <w:tab/>
        <w:t>(3)</w:t>
      </w:r>
      <w:r>
        <w:tab/>
        <w:t>A person must not present more than 1 copy of a document to the Court for filing unless these rules or the Court requires more than 1 copy to be filed.</w:t>
      </w:r>
    </w:p>
    <w:p>
      <w:pPr>
        <w:pStyle w:val="Subsection"/>
      </w:pPr>
      <w:r>
        <w:tab/>
        <w:t>(4)</w:t>
      </w:r>
      <w:r>
        <w:tab/>
        <w:t xml:space="preserve">If a party is required by these rules or the Court to file a document, the party cannot, without the Court’s leave, refer to </w:t>
      </w:r>
      <w:r>
        <w:lastRenderedPageBreak/>
        <w:t>or rely on the document in any hearing or in any other filed document unless it has been filed.</w:t>
      </w:r>
    </w:p>
    <w:p>
      <w:pPr>
        <w:pStyle w:val="Subsection"/>
      </w:pPr>
      <w:r>
        <w:tab/>
        <w:t>(5)</w:t>
      </w:r>
      <w:r>
        <w:tab/>
        <w:t>If under subrule (4) a party is given leave, the party must file the document as soon as practicable after the leave is given.</w:t>
      </w:r>
    </w:p>
    <w:p>
      <w:pPr>
        <w:pStyle w:val="Subsection"/>
      </w:pPr>
      <w:r>
        <w:tab/>
        <w:t>(6)</w:t>
      </w:r>
      <w:r>
        <w:tab/>
        <w:t>The Principal Registrar may refuse to file a document that is presented for filing if it is not a complying document or has been presented in contravention of this Order or a direction given under rule 3(4).</w:t>
      </w:r>
    </w:p>
    <w:p>
      <w:pPr>
        <w:pStyle w:val="Footnotesection"/>
      </w:pPr>
      <w:r>
        <w:tab/>
        <w:t xml:space="preserve">[Rule 2 inserted: Gazette 27 Feb 2018 p. 579.] </w:t>
      </w:r>
    </w:p>
    <w:p>
      <w:pPr>
        <w:pStyle w:val="Heading5"/>
      </w:pPr>
      <w:bookmarkStart w:id="1157" w:name="_Toc129078253"/>
      <w:r>
        <w:rPr>
          <w:rStyle w:val="CharSectno"/>
        </w:rPr>
        <w:t>3</w:t>
      </w:r>
      <w:r>
        <w:t>.</w:t>
      </w:r>
      <w:r>
        <w:tab/>
        <w:t>Documents must be filed using ECMS</w:t>
      </w:r>
      <w:bookmarkEnd w:id="1157"/>
    </w:p>
    <w:p>
      <w:pPr>
        <w:pStyle w:val="Subsection"/>
      </w:pPr>
      <w:r>
        <w:tab/>
        <w:t>(1)</w:t>
      </w:r>
      <w:r>
        <w:tab/>
        <w:t>To present a complying document to the Court for filing, a person must present it electronically using the ECMS and in accordance with rule 4 unless —</w:t>
      </w:r>
    </w:p>
    <w:p>
      <w:pPr>
        <w:pStyle w:val="Indenta"/>
      </w:pPr>
      <w:r>
        <w:tab/>
        <w:t>(a)</w:t>
      </w:r>
      <w:r>
        <w:tab/>
        <w:t>the ECMS has been declared unavailable for use under Order 67 rule 19, is otherwise unavailable for use or does not permit the document to be presented; or</w:t>
      </w:r>
    </w:p>
    <w:p>
      <w:pPr>
        <w:pStyle w:val="Indenta"/>
      </w:pPr>
      <w:r>
        <w:tab/>
        <w:t>(b)</w:t>
      </w:r>
      <w:r>
        <w:tab/>
        <w:t>these rules state that the document cannot be filed electronically; or</w:t>
      </w:r>
    </w:p>
    <w:p>
      <w:pPr>
        <w:pStyle w:val="Indenta"/>
      </w:pPr>
      <w:r>
        <w:tab/>
        <w:t>(c)</w:t>
      </w:r>
      <w:r>
        <w:tab/>
        <w:t>the document is filed for the purposes of proceedings or matters referred to in Order 1 rule 3(2) or (3); or</w:t>
      </w:r>
    </w:p>
    <w:p>
      <w:pPr>
        <w:pStyle w:val="Indenta"/>
      </w:pPr>
      <w:r>
        <w:tab/>
        <w:t>(d)</w:t>
      </w:r>
      <w:r>
        <w:tab/>
        <w:t>the document is filed for the purposes of Order 75A or 81H; or</w:t>
      </w:r>
    </w:p>
    <w:p>
      <w:pPr>
        <w:pStyle w:val="Indenta"/>
      </w:pPr>
      <w:r>
        <w:tab/>
        <w:t>(e)</w:t>
      </w:r>
      <w:r>
        <w:tab/>
        <w:t xml:space="preserve">the document is filed for the purposes of a criminal appeal, as defined in the </w:t>
      </w:r>
      <w:r>
        <w:rPr>
          <w:i/>
        </w:rPr>
        <w:t>Supreme Court (Court of Appeal) Rules 2005</w:t>
      </w:r>
      <w:r>
        <w:t xml:space="preserve"> rule 3(1); or</w:t>
      </w:r>
    </w:p>
    <w:p>
      <w:pPr>
        <w:pStyle w:val="Indenta"/>
      </w:pPr>
      <w:r>
        <w:tab/>
        <w:t>(f)</w:t>
      </w:r>
      <w:r>
        <w:tab/>
        <w:t xml:space="preserve">the document is filed for the purposes of an application under the </w:t>
      </w:r>
      <w:r>
        <w:rPr>
          <w:i/>
        </w:rPr>
        <w:t>Terrorism (Extraordinary Powers) Act 2005</w:t>
      </w:r>
      <w:r>
        <w:t xml:space="preserve"> or the </w:t>
      </w:r>
      <w:r>
        <w:rPr>
          <w:i/>
        </w:rPr>
        <w:t>Terrorism (Preventative Detention) Act 2006</w:t>
      </w:r>
      <w:r>
        <w:t>; or</w:t>
      </w:r>
    </w:p>
    <w:p>
      <w:pPr>
        <w:pStyle w:val="Indenta"/>
      </w:pPr>
      <w:r>
        <w:tab/>
        <w:t>(g)</w:t>
      </w:r>
      <w:r>
        <w:tab/>
        <w:t>the document is filed for the purposes of an urgent application made outside office hours; or</w:t>
      </w:r>
    </w:p>
    <w:p>
      <w:pPr>
        <w:pStyle w:val="Indenta"/>
      </w:pPr>
      <w:r>
        <w:lastRenderedPageBreak/>
        <w:tab/>
        <w:t>(h)</w:t>
      </w:r>
      <w:r>
        <w:tab/>
        <w:t>the document is filed by a person given permission under subrule (3) to file it otherwise than in accordance with this rule; or</w:t>
      </w:r>
    </w:p>
    <w:p>
      <w:pPr>
        <w:pStyle w:val="Indenta"/>
      </w:pPr>
      <w:r>
        <w:tab/>
        <w:t>(i)</w:t>
      </w:r>
      <w:r>
        <w:tab/>
        <w:t>the document is in a class of documents declared in the Practice Directions to be exempt from the requirement to be filed using the ECMS; or</w:t>
      </w:r>
    </w:p>
    <w:p>
      <w:pPr>
        <w:pStyle w:val="Indenta"/>
      </w:pPr>
      <w:r>
        <w:tab/>
        <w:t>(j)</w:t>
      </w:r>
      <w:r>
        <w:tab/>
        <w:t>the document is filed by a person in a class of persons declared in the Practice Directions to be exempt from the requirement to file using the ECMS.</w:t>
      </w:r>
    </w:p>
    <w:p>
      <w:pPr>
        <w:pStyle w:val="Subsection"/>
      </w:pPr>
      <w:r>
        <w:tab/>
        <w:t>(2)</w:t>
      </w:r>
      <w:r>
        <w:tab/>
        <w:t>If under subrule (1) a person cannot present a document electronically using the ECMS, the person may present it to the Court —</w:t>
      </w:r>
    </w:p>
    <w:p>
      <w:pPr>
        <w:pStyle w:val="Indenta"/>
      </w:pPr>
      <w:r>
        <w:tab/>
        <w:t>(a)</w:t>
      </w:r>
      <w:r>
        <w:tab/>
        <w:t>subject to rule 4, by emailing it; or</w:t>
      </w:r>
    </w:p>
    <w:p>
      <w:pPr>
        <w:pStyle w:val="Indenta"/>
      </w:pPr>
      <w:r>
        <w:tab/>
        <w:t>(b)</w:t>
      </w:r>
      <w:r>
        <w:tab/>
        <w:t>subject to rule 5, by delivering it; or</w:t>
      </w:r>
    </w:p>
    <w:p>
      <w:pPr>
        <w:pStyle w:val="Indenta"/>
      </w:pPr>
      <w:r>
        <w:tab/>
        <w:t>(c)</w:t>
      </w:r>
      <w:r>
        <w:tab/>
        <w:t>subject to rule 6, by posting it; or</w:t>
      </w:r>
    </w:p>
    <w:p>
      <w:pPr>
        <w:pStyle w:val="Indenta"/>
      </w:pPr>
      <w:r>
        <w:tab/>
        <w:t>(d)</w:t>
      </w:r>
      <w:r>
        <w:tab/>
        <w:t>subject to rule 7, by faxing it.</w:t>
      </w:r>
    </w:p>
    <w:p>
      <w:pPr>
        <w:pStyle w:val="Subsection"/>
      </w:pPr>
      <w:r>
        <w:tab/>
        <w:t>(3)</w:t>
      </w:r>
      <w:r>
        <w:tab/>
        <w:t>The Principal Registrar, for any good reason and without a formal application or request, may permit a person to present a document otherwise than in accordance with subrule (1).</w:t>
      </w:r>
    </w:p>
    <w:p>
      <w:pPr>
        <w:pStyle w:val="Subsection"/>
      </w:pPr>
      <w:r>
        <w:tab/>
        <w:t>(4)</w:t>
      </w:r>
      <w:r>
        <w:tab/>
        <w:t>When giving permission under subrule (3), the Principal Registrar may give directions as to the manner in which the document is to be presented, including as to whether the document is to be presented to the Court —</w:t>
      </w:r>
    </w:p>
    <w:p>
      <w:pPr>
        <w:pStyle w:val="Indenta"/>
      </w:pPr>
      <w:r>
        <w:tab/>
        <w:t>(a)</w:t>
      </w:r>
      <w:r>
        <w:tab/>
        <w:t>by emailing it; or</w:t>
      </w:r>
    </w:p>
    <w:p>
      <w:pPr>
        <w:pStyle w:val="Indenta"/>
      </w:pPr>
      <w:r>
        <w:tab/>
        <w:t>(b)</w:t>
      </w:r>
      <w:r>
        <w:tab/>
        <w:t>by delivering it; or</w:t>
      </w:r>
    </w:p>
    <w:p>
      <w:pPr>
        <w:pStyle w:val="Indenta"/>
      </w:pPr>
      <w:r>
        <w:tab/>
        <w:t>(c)</w:t>
      </w:r>
      <w:r>
        <w:tab/>
        <w:t>by posting it; or</w:t>
      </w:r>
    </w:p>
    <w:p>
      <w:pPr>
        <w:pStyle w:val="Indenta"/>
      </w:pPr>
      <w:r>
        <w:tab/>
        <w:t>(d)</w:t>
      </w:r>
      <w:r>
        <w:tab/>
        <w:t>by faxing it.</w:t>
      </w:r>
    </w:p>
    <w:p>
      <w:pPr>
        <w:pStyle w:val="Footnotesection"/>
      </w:pPr>
      <w:r>
        <w:tab/>
        <w:t xml:space="preserve">[Rule 3 inserted: Gazette 27 Feb 2018 p. 579-81; amended: Gazette 31 Dec 2019 p. 4677-8; SL 2021/34 r. 15.] </w:t>
      </w:r>
    </w:p>
    <w:p>
      <w:pPr>
        <w:pStyle w:val="Heading5"/>
      </w:pPr>
      <w:bookmarkStart w:id="1158" w:name="_Toc129078254"/>
      <w:r>
        <w:rPr>
          <w:rStyle w:val="CharSectno"/>
        </w:rPr>
        <w:lastRenderedPageBreak/>
        <w:t>4</w:t>
      </w:r>
      <w:r>
        <w:t>.</w:t>
      </w:r>
      <w:r>
        <w:tab/>
        <w:t>Documents presented for filing using ECMS or email</w:t>
      </w:r>
      <w:bookmarkEnd w:id="1158"/>
    </w:p>
    <w:p>
      <w:pPr>
        <w:pStyle w:val="Subsection"/>
      </w:pPr>
      <w:r>
        <w:tab/>
        <w:t>(1)</w:t>
      </w:r>
      <w:r>
        <w:tab/>
        <w:t>This rule applies to documents being presented to the Court for filing using the ECMS or email.</w:t>
      </w:r>
    </w:p>
    <w:p>
      <w:pPr>
        <w:pStyle w:val="Subsection"/>
      </w:pPr>
      <w:r>
        <w:tab/>
        <w:t>(2)</w:t>
      </w:r>
      <w:r>
        <w:tab/>
        <w:t>A person must not email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email it.</w:t>
      </w:r>
    </w:p>
    <w:p>
      <w:pPr>
        <w:pStyle w:val="Subsection"/>
      </w:pPr>
      <w:r>
        <w:tab/>
        <w:t>(3)</w:t>
      </w:r>
      <w:r>
        <w:tab/>
        <w:t xml:space="preserve">If under subrule (2) a person can email a document to the Court, the person must ensure — </w:t>
      </w:r>
    </w:p>
    <w:p>
      <w:pPr>
        <w:pStyle w:val="Indenta"/>
      </w:pPr>
      <w:r>
        <w:tab/>
        <w:t>(a)</w:t>
      </w:r>
      <w:r>
        <w:tab/>
        <w:t>the document is emailed to the email address of the Court specified by the Practice Directions; and</w:t>
      </w:r>
    </w:p>
    <w:p>
      <w:pPr>
        <w:pStyle w:val="Indenta"/>
      </w:pPr>
      <w:r>
        <w:tab/>
        <w:t>(b)</w:t>
      </w:r>
      <w:r>
        <w:tab/>
        <w:t xml:space="preserve">the email by which the document is sent to the Court includes the following — </w:t>
      </w:r>
    </w:p>
    <w:p>
      <w:pPr>
        <w:pStyle w:val="Indenti"/>
      </w:pPr>
      <w:r>
        <w:tab/>
        <w:t>(i)</w:t>
      </w:r>
      <w:r>
        <w:tab/>
        <w:t>the name of the person sending the document;</w:t>
      </w:r>
    </w:p>
    <w:p>
      <w:pPr>
        <w:pStyle w:val="Indenti"/>
      </w:pPr>
      <w:r>
        <w:tab/>
        <w:t>(ii)</w:t>
      </w:r>
      <w:r>
        <w:tab/>
        <w:t>the title and number of the proceeding to which the document relates;</w:t>
      </w:r>
    </w:p>
    <w:p>
      <w:pPr>
        <w:pStyle w:val="Indenti"/>
      </w:pPr>
      <w:r>
        <w:tab/>
        <w:t>(iii)</w:t>
      </w:r>
      <w:r>
        <w:tab/>
        <w:t>a description of the document;</w:t>
      </w:r>
    </w:p>
    <w:p>
      <w:pPr>
        <w:pStyle w:val="Indenti"/>
      </w:pPr>
      <w:r>
        <w:tab/>
        <w:t>(iv)</w:t>
      </w:r>
      <w:r>
        <w:tab/>
        <w:t>an explanation of the basis on which subrule (2) applies to the document.</w:t>
      </w:r>
    </w:p>
    <w:p>
      <w:pPr>
        <w:pStyle w:val="Subsection"/>
      </w:pPr>
      <w:r>
        <w:tab/>
        <w:t>(4)</w:t>
      </w:r>
      <w:r>
        <w:tab/>
        <w:t>Subrule (5) applies to these documents —</w:t>
      </w:r>
    </w:p>
    <w:p>
      <w:pPr>
        <w:pStyle w:val="Indenta"/>
      </w:pPr>
      <w:r>
        <w:tab/>
        <w:t>(a)</w:t>
      </w:r>
      <w:r>
        <w:tab/>
        <w:t>an affidavit;</w:t>
      </w:r>
    </w:p>
    <w:p>
      <w:pPr>
        <w:pStyle w:val="Indenta"/>
      </w:pPr>
      <w:r>
        <w:tab/>
        <w:t>(b)</w:t>
      </w:r>
      <w:r>
        <w:tab/>
        <w:t>a consent to the Court doing anything;</w:t>
      </w:r>
    </w:p>
    <w:p>
      <w:pPr>
        <w:pStyle w:val="Indenta"/>
      </w:pPr>
      <w:r>
        <w:tab/>
        <w:t>(c)</w:t>
      </w:r>
      <w:r>
        <w:tab/>
        <w:t>a document signed by a person who is not a party to the proceedings.</w:t>
      </w:r>
    </w:p>
    <w:p>
      <w:pPr>
        <w:pStyle w:val="Subsection"/>
      </w:pPr>
      <w:r>
        <w:tab/>
        <w:t>(5)</w:t>
      </w:r>
      <w:r>
        <w:tab/>
        <w:t>A document to which this subrule applies must not be presented for filing using the ECMS or email unless it is signed and is presented in a .pdf electronic format.</w:t>
      </w:r>
    </w:p>
    <w:p>
      <w:pPr>
        <w:pStyle w:val="Subsection"/>
      </w:pPr>
      <w:r>
        <w:tab/>
        <w:t>(6)</w:t>
      </w:r>
      <w:r>
        <w:tab/>
        <w:t>Subrule (7) applies to any document that is not listed in subrule (4) and that, under these rules, must be signed before it is filed.</w:t>
      </w:r>
    </w:p>
    <w:p>
      <w:pPr>
        <w:pStyle w:val="Subsection"/>
      </w:pPr>
      <w:r>
        <w:lastRenderedPageBreak/>
        <w:tab/>
        <w:t>(7)</w:t>
      </w:r>
      <w:r>
        <w:tab/>
        <w:t>If a document to which this subrule applies is to be presented for filing —</w:t>
      </w:r>
    </w:p>
    <w:p>
      <w:pPr>
        <w:pStyle w:val="Indenta"/>
      </w:pPr>
      <w:r>
        <w:tab/>
        <w:t>(a)</w:t>
      </w:r>
      <w:r>
        <w:tab/>
        <w:t>it must be signed before it is presented; and</w:t>
      </w:r>
    </w:p>
    <w:p>
      <w:pPr>
        <w:pStyle w:val="Indenta"/>
      </w:pPr>
      <w:r>
        <w:tab/>
        <w:t>(b)</w:t>
      </w:r>
      <w:r>
        <w:tab/>
        <w:t>a copy of it, in .docx electronic format, that states the name of the person who is required to sign it instead of showing the person’s signature, at any place in it where the signature is required, must be presented instead of the signed copy; and</w:t>
      </w:r>
    </w:p>
    <w:p>
      <w:pPr>
        <w:pStyle w:val="Indenta"/>
      </w:pPr>
      <w:r>
        <w:tab/>
        <w:t>(c)</w:t>
      </w:r>
      <w:r>
        <w:tab/>
        <w:t>the electronic copy must be presented using the ECMS or, subject to subrule (2), email; and</w:t>
      </w:r>
    </w:p>
    <w:p>
      <w:pPr>
        <w:pStyle w:val="Indenta"/>
      </w:pPr>
      <w:r>
        <w:tab/>
        <w:t>(d)</w:t>
      </w:r>
      <w:r>
        <w:tab/>
        <w:t>the person filing it must retain the signed copy and produce it if required to do so by the Court.</w:t>
      </w:r>
    </w:p>
    <w:p>
      <w:pPr>
        <w:pStyle w:val="Subsection"/>
      </w:pPr>
      <w:r>
        <w:tab/>
        <w:t>(8)</w:t>
      </w:r>
      <w:r>
        <w:tab/>
        <w:t>A person who files a document by email must —</w:t>
      </w:r>
    </w:p>
    <w:p>
      <w:pPr>
        <w:pStyle w:val="Indenta"/>
      </w:pPr>
      <w:r>
        <w:tab/>
        <w:t>(a)</w:t>
      </w:r>
      <w:r>
        <w:tab/>
        <w:t>indorse the first page of the original document with —</w:t>
      </w:r>
    </w:p>
    <w:p>
      <w:pPr>
        <w:pStyle w:val="Indenti"/>
      </w:pPr>
      <w:r>
        <w:tab/>
        <w:t>(i)</w:t>
      </w:r>
      <w:r>
        <w:tab/>
        <w:t>a statement that the document is the original of a document sent by email; and</w:t>
      </w:r>
    </w:p>
    <w:p>
      <w:pPr>
        <w:pStyle w:val="Indenti"/>
      </w:pPr>
      <w:r>
        <w:tab/>
        <w:t>(ii)</w:t>
      </w:r>
      <w:r>
        <w:tab/>
        <w:t>the date and time the document was sent by email;</w:t>
      </w:r>
    </w:p>
    <w:p>
      <w:pPr>
        <w:pStyle w:val="Indenta"/>
      </w:pPr>
      <w:r>
        <w:tab/>
      </w:r>
      <w:r>
        <w:tab/>
        <w:t>and</w:t>
      </w:r>
    </w:p>
    <w:p>
      <w:pPr>
        <w:pStyle w:val="Indenta"/>
      </w:pPr>
      <w:r>
        <w:tab/>
        <w:t>(b)</w:t>
      </w:r>
      <w:r>
        <w:tab/>
        <w:t>keep the indorsed original document; and</w:t>
      </w:r>
    </w:p>
    <w:p>
      <w:pPr>
        <w:pStyle w:val="Indenta"/>
      </w:pPr>
      <w:r>
        <w:tab/>
        <w:t>(c)</w:t>
      </w:r>
      <w:r>
        <w:tab/>
        <w:t>if required to do so by the Court, produce the indorsed original document to the Court.</w:t>
      </w:r>
    </w:p>
    <w:p>
      <w:pPr>
        <w:pStyle w:val="Subsection"/>
      </w:pPr>
      <w:r>
        <w:tab/>
        <w:t>(9)</w:t>
      </w:r>
      <w:r>
        <w:tab/>
        <w:t>Subject to subrules (4) to (7), all documents presented to the Court for filing using the ECMS or email must be in an electronic format specified by the Practice Directions.</w:t>
      </w:r>
    </w:p>
    <w:p>
      <w:pPr>
        <w:pStyle w:val="Subsection"/>
      </w:pPr>
      <w:r>
        <w:tab/>
        <w:t>(10)</w:t>
      </w:r>
      <w:r>
        <w:tab/>
        <w:t>A document filed electronically is taken to have been filed on the day and at the time recorded by the ECMS.</w:t>
      </w:r>
    </w:p>
    <w:p>
      <w:pPr>
        <w:pStyle w:val="Subsection"/>
      </w:pPr>
      <w:r>
        <w:tab/>
        <w:t>(11)</w:t>
      </w:r>
      <w:r>
        <w:tab/>
        <w:t>A document filed by email is taken to have been filed on the day and at the time when the Court receives the email.</w:t>
      </w:r>
    </w:p>
    <w:p>
      <w:pPr>
        <w:pStyle w:val="Subsection"/>
      </w:pPr>
      <w:r>
        <w:tab/>
        <w:t>(12)</w:t>
      </w:r>
      <w:r>
        <w:tab/>
        <w:t>Subrule (10) does not apply to a document that is recorded in the ECMS under rule 8(1) as if it had been filed electronically.</w:t>
      </w:r>
    </w:p>
    <w:p>
      <w:pPr>
        <w:pStyle w:val="Subsection"/>
      </w:pPr>
      <w:r>
        <w:lastRenderedPageBreak/>
        <w:tab/>
        <w:t>(13)</w:t>
      </w:r>
      <w:r>
        <w:tab/>
        <w:t xml:space="preserve">If — </w:t>
      </w:r>
    </w:p>
    <w:p>
      <w:pPr>
        <w:pStyle w:val="Indenta"/>
      </w:pPr>
      <w:r>
        <w:tab/>
        <w:t>(a)</w:t>
      </w:r>
      <w:r>
        <w:tab/>
        <w:t>these rules require 2 or more copies of a document to be filed; and</w:t>
      </w:r>
    </w:p>
    <w:p>
      <w:pPr>
        <w:pStyle w:val="Indenta"/>
      </w:pPr>
      <w:r>
        <w:tab/>
        <w:t>(b)</w:t>
      </w:r>
      <w:r>
        <w:tab/>
        <w:t>the document is filed electronically or by email,</w:t>
      </w:r>
    </w:p>
    <w:p>
      <w:pPr>
        <w:pStyle w:val="Subsection"/>
      </w:pPr>
      <w:r>
        <w:tab/>
      </w:r>
      <w:r>
        <w:tab/>
        <w:t>the requirement in paragraph (a) is taken to have been complied with.</w:t>
      </w:r>
    </w:p>
    <w:p>
      <w:pPr>
        <w:pStyle w:val="Subsection"/>
      </w:pPr>
      <w:r>
        <w:tab/>
        <w:t>(14)</w:t>
      </w:r>
      <w:r>
        <w:tab/>
        <w:t>A document that is presented for filing using the ECMS or email but not in accordance with the requirements of the ECMS and this rule is taken not to have been filed.</w:t>
      </w:r>
    </w:p>
    <w:p>
      <w:pPr>
        <w:pStyle w:val="Subsection"/>
      </w:pPr>
      <w:r>
        <w:tab/>
        <w:t>(15)</w:t>
      </w:r>
      <w:r>
        <w:tab/>
        <w:t>The Court may at any time, on the application of a party or on its own initiative, order a person who has presented a document for filing using the ECMS or email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4 inserted: Gazette 27 Feb 2018 p. 581-4; amended: Gazette 31 Dec 2019 p. 4677-8.] </w:t>
      </w:r>
    </w:p>
    <w:p>
      <w:pPr>
        <w:pStyle w:val="Heading5"/>
      </w:pPr>
      <w:bookmarkStart w:id="1159" w:name="_Toc129078255"/>
      <w:r>
        <w:rPr>
          <w:rStyle w:val="CharSectno"/>
        </w:rPr>
        <w:t>5</w:t>
      </w:r>
      <w:r>
        <w:t>.</w:t>
      </w:r>
      <w:r>
        <w:tab/>
        <w:t>Delivering documents for filing</w:t>
      </w:r>
      <w:bookmarkEnd w:id="1159"/>
    </w:p>
    <w:p>
      <w:pPr>
        <w:pStyle w:val="Subsection"/>
      </w:pPr>
      <w:r>
        <w:tab/>
      </w:r>
      <w:r>
        <w:tab/>
        <w:t>A person must not deliver a document to the Court for filing unless —</w:t>
      </w:r>
    </w:p>
    <w:p>
      <w:pPr>
        <w:pStyle w:val="Indenta"/>
      </w:pPr>
      <w:r>
        <w:tab/>
        <w:t>(a)</w:t>
      </w:r>
      <w:r>
        <w:tab/>
        <w:t>these rules say it cannot be filed electronically; or</w:t>
      </w:r>
    </w:p>
    <w:p>
      <w:pPr>
        <w:pStyle w:val="Indenta"/>
      </w:pPr>
      <w:r>
        <w:tab/>
        <w:t>(b)</w:t>
      </w:r>
      <w:r>
        <w:tab/>
        <w:t>the Principal Registrar has permitted the person to deliver it.</w:t>
      </w:r>
    </w:p>
    <w:p>
      <w:pPr>
        <w:pStyle w:val="Footnotesection"/>
      </w:pPr>
      <w:r>
        <w:tab/>
        <w:t xml:space="preserve">[Rule 5 inserted: Gazette 27 Feb 2018 p. 584.] </w:t>
      </w:r>
    </w:p>
    <w:p>
      <w:pPr>
        <w:pStyle w:val="Heading5"/>
      </w:pPr>
      <w:bookmarkStart w:id="1160" w:name="_Toc129078256"/>
      <w:r>
        <w:rPr>
          <w:rStyle w:val="CharSectno"/>
        </w:rPr>
        <w:t>6</w:t>
      </w:r>
      <w:r>
        <w:t>.</w:t>
      </w:r>
      <w:r>
        <w:tab/>
        <w:t>Posting documents for filing</w:t>
      </w:r>
      <w:bookmarkEnd w:id="1160"/>
    </w:p>
    <w:p>
      <w:pPr>
        <w:pStyle w:val="Subsection"/>
      </w:pPr>
      <w:r>
        <w:tab/>
        <w:t>(1)</w:t>
      </w:r>
      <w:r>
        <w:tab/>
        <w:t>A person must not post a document to the Court for filing unless —</w:t>
      </w:r>
    </w:p>
    <w:p>
      <w:pPr>
        <w:pStyle w:val="Indenta"/>
      </w:pPr>
      <w:r>
        <w:tab/>
        <w:t>(a)</w:t>
      </w:r>
      <w:r>
        <w:tab/>
        <w:t>these rules say it cannot be filed electronically; or</w:t>
      </w:r>
    </w:p>
    <w:p>
      <w:pPr>
        <w:pStyle w:val="Indenta"/>
      </w:pPr>
      <w:r>
        <w:lastRenderedPageBreak/>
        <w:tab/>
        <w:t>(b)</w:t>
      </w:r>
      <w:r>
        <w:tab/>
        <w:t>the Principal Registrar has permitted the person to post it.</w:t>
      </w:r>
    </w:p>
    <w:p>
      <w:pPr>
        <w:pStyle w:val="Subsection"/>
      </w:pPr>
      <w:r>
        <w:tab/>
        <w:t>(2)</w:t>
      </w:r>
      <w:r>
        <w:tab/>
        <w:t>If under subrule (1) a person can post a document to the Court, the person must comply with subrules (3) and (4).</w:t>
      </w:r>
    </w:p>
    <w:p>
      <w:pPr>
        <w:pStyle w:val="Subsection"/>
      </w:pPr>
      <w:r>
        <w:tab/>
        <w:t>(3)</w:t>
      </w:r>
      <w:r>
        <w:tab/>
        <w:t>A document sent by post to the Court must have a cover page stating the following —</w:t>
      </w:r>
    </w:p>
    <w:p>
      <w:pPr>
        <w:pStyle w:val="Indenta"/>
      </w:pPr>
      <w:r>
        <w:tab/>
        <w:t>(a)</w:t>
      </w:r>
      <w:r>
        <w:tab/>
        <w:t>the name of the person sending the document;</w:t>
      </w:r>
    </w:p>
    <w:p>
      <w:pPr>
        <w:pStyle w:val="Indenta"/>
      </w:pPr>
      <w:r>
        <w:tab/>
        <w:t>(b)</w:t>
      </w:r>
      <w:r>
        <w:tab/>
        <w:t>the title and number of the proceeding to which the document relates;</w:t>
      </w:r>
    </w:p>
    <w:p>
      <w:pPr>
        <w:pStyle w:val="Indenta"/>
      </w:pPr>
      <w:r>
        <w:tab/>
        <w:t>(c)</w:t>
      </w:r>
      <w:r>
        <w:tab/>
        <w:t>a description of the document;</w:t>
      </w:r>
    </w:p>
    <w:p>
      <w:pPr>
        <w:pStyle w:val="Indenta"/>
      </w:pPr>
      <w:r>
        <w:tab/>
        <w:t>(d)</w:t>
      </w:r>
      <w:r>
        <w:tab/>
        <w:t>an explanation of the basis on which subrule (1) applies to the document.</w:t>
      </w:r>
    </w:p>
    <w:p>
      <w:pPr>
        <w:pStyle w:val="Subsection"/>
      </w:pPr>
      <w:r>
        <w:tab/>
        <w:t>(4)</w:t>
      </w:r>
      <w:r>
        <w:tab/>
        <w:t>The document must be posted —</w:t>
      </w:r>
    </w:p>
    <w:p>
      <w:pPr>
        <w:pStyle w:val="Indenta"/>
      </w:pPr>
      <w:r>
        <w:tab/>
        <w:t>(a)</w:t>
      </w:r>
      <w:r>
        <w:tab/>
        <w:t>in an A4 or larger envelope; and</w:t>
      </w:r>
    </w:p>
    <w:p>
      <w:pPr>
        <w:pStyle w:val="Indenta"/>
      </w:pPr>
      <w:r>
        <w:tab/>
        <w:t>(b)</w:t>
      </w:r>
      <w:r>
        <w:tab/>
        <w:t>to the postal address of the Court specified in the Practice Directions.</w:t>
      </w:r>
    </w:p>
    <w:p>
      <w:pPr>
        <w:pStyle w:val="Footnotesection"/>
      </w:pPr>
      <w:r>
        <w:tab/>
        <w:t xml:space="preserve">[Rule 6 inserted: Gazette 27 Feb 2018 p. 584-5.] </w:t>
      </w:r>
    </w:p>
    <w:p>
      <w:pPr>
        <w:pStyle w:val="Heading5"/>
      </w:pPr>
      <w:bookmarkStart w:id="1161" w:name="_Toc129078257"/>
      <w:r>
        <w:rPr>
          <w:rStyle w:val="CharSectno"/>
        </w:rPr>
        <w:t>7</w:t>
      </w:r>
      <w:r>
        <w:t>.</w:t>
      </w:r>
      <w:r>
        <w:tab/>
        <w:t>Faxing documents for filing</w:t>
      </w:r>
      <w:bookmarkEnd w:id="1161"/>
    </w:p>
    <w:p>
      <w:pPr>
        <w:pStyle w:val="Subsection"/>
      </w:pPr>
      <w:r>
        <w:tab/>
        <w:t>(1)</w:t>
      </w:r>
      <w:r>
        <w:tab/>
        <w:t>A person must not fax a document to the Court for filing unless the Principal Registrar has permitted the person to fax it.</w:t>
      </w:r>
    </w:p>
    <w:p>
      <w:pPr>
        <w:pStyle w:val="Subsection"/>
      </w:pPr>
      <w:r>
        <w:tab/>
        <w:t>(2)</w:t>
      </w:r>
      <w:r>
        <w:tab/>
        <w:t>If under subrule (1) a person can fax a document to the Court, the person must comply with subrules (3) to (8).</w:t>
      </w:r>
    </w:p>
    <w:p>
      <w:pPr>
        <w:pStyle w:val="Subsection"/>
      </w:pPr>
      <w:r>
        <w:tab/>
        <w:t>(3)</w:t>
      </w:r>
      <w:r>
        <w:tab/>
        <w:t>The person must use the fax number of the Court specified in the Practice Directions.</w:t>
      </w:r>
    </w:p>
    <w:p>
      <w:pPr>
        <w:pStyle w:val="Subsection"/>
      </w:pPr>
      <w:r>
        <w:tab/>
        <w:t>(4)</w:t>
      </w:r>
      <w:r>
        <w:tab/>
        <w:t>A document that, with any attachments and a cover page, has more than 20 pages, must not be filed by fax and any such document received by the Court is to be taken not to have been filed.</w:t>
      </w:r>
    </w:p>
    <w:p>
      <w:pPr>
        <w:pStyle w:val="Subsection"/>
        <w:keepNext/>
      </w:pPr>
      <w:r>
        <w:lastRenderedPageBreak/>
        <w:tab/>
        <w:t>(5)</w:t>
      </w:r>
      <w:r>
        <w:tab/>
        <w:t>A document sent by fax to the Court must have a cover page stating —</w:t>
      </w:r>
    </w:p>
    <w:p>
      <w:pPr>
        <w:pStyle w:val="Indenta"/>
      </w:pPr>
      <w:r>
        <w:tab/>
        <w:t>(a)</w:t>
      </w:r>
      <w:r>
        <w:tab/>
        <w:t>the name, postal address, document exchange number (if any), telephone number and fax number of the person sending the document; and</w:t>
      </w:r>
    </w:p>
    <w:p>
      <w:pPr>
        <w:pStyle w:val="Indenta"/>
      </w:pPr>
      <w:r>
        <w:tab/>
        <w:t>(b)</w:t>
      </w:r>
      <w:r>
        <w:tab/>
        <w:t>the number of pages (including the cover page) being sent by fax.</w:t>
      </w:r>
    </w:p>
    <w:p>
      <w:pPr>
        <w:pStyle w:val="Subsection"/>
      </w:pPr>
      <w:r>
        <w:tab/>
        <w:t>(6)</w:t>
      </w:r>
      <w:r>
        <w:tab/>
        <w:t>A person who files a document by fax must —</w:t>
      </w:r>
    </w:p>
    <w:p>
      <w:pPr>
        <w:pStyle w:val="Indenta"/>
      </w:pPr>
      <w:r>
        <w:tab/>
        <w:t>(a)</w:t>
      </w:r>
      <w:r>
        <w:tab/>
        <w:t>indorse the first page of the original document with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indorsed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(7)</w:t>
      </w:r>
      <w:r>
        <w:tab/>
        <w:t>A document filed by fax is to be taken to have been filed on the day and at the time when the Court receives the fax.</w:t>
      </w:r>
    </w:p>
    <w:p>
      <w:pPr>
        <w:pStyle w:val="Subsection"/>
      </w:pPr>
      <w:r>
        <w:tab/>
        <w:t>(8)</w:t>
      </w:r>
      <w:r>
        <w:tab/>
        <w:t>The Court may at any time, on the application of a party or on its own initiative, order a person who has faxed a document to the Court —</w:t>
      </w:r>
    </w:p>
    <w:p>
      <w:pPr>
        <w:pStyle w:val="Indenta"/>
      </w:pPr>
      <w:r>
        <w:tab/>
        <w:t>(a)</w:t>
      </w:r>
      <w:r>
        <w:tab/>
        <w:t>to have the original paper copy of it with the person at any conference or hearing in the course of the case concerned;</w:t>
      </w:r>
    </w:p>
    <w:p>
      <w:pPr>
        <w:pStyle w:val="Indenta"/>
      </w:pPr>
      <w:r>
        <w:tab/>
        <w:t>(b)</w:t>
      </w:r>
      <w:r>
        <w:tab/>
        <w:t>to file the original paper copy of it by a means specified in the order.</w:t>
      </w:r>
    </w:p>
    <w:p>
      <w:pPr>
        <w:pStyle w:val="Footnotesection"/>
      </w:pPr>
      <w:r>
        <w:tab/>
        <w:t xml:space="preserve">[Rule 7 inserted: Gazette 27 Feb 2018 p. 585-6.] </w:t>
      </w:r>
    </w:p>
    <w:p>
      <w:pPr>
        <w:pStyle w:val="Heading5"/>
      </w:pPr>
      <w:bookmarkStart w:id="1162" w:name="_Toc129078258"/>
      <w:r>
        <w:rPr>
          <w:rStyle w:val="CharSectno"/>
        </w:rPr>
        <w:lastRenderedPageBreak/>
        <w:t>8</w:t>
      </w:r>
      <w:r>
        <w:t>.</w:t>
      </w:r>
      <w:r>
        <w:tab/>
        <w:t>How filed paper documents are to be dealt with</w:t>
      </w:r>
      <w:bookmarkEnd w:id="1162"/>
    </w:p>
    <w:p>
      <w:pPr>
        <w:pStyle w:val="Subsection"/>
        <w:keepNext/>
      </w:pPr>
      <w:r>
        <w:tab/>
        <w:t>(1)</w:t>
      </w:r>
      <w:r>
        <w:tab/>
        <w:t xml:space="preserve">If — </w:t>
      </w:r>
    </w:p>
    <w:p>
      <w:pPr>
        <w:pStyle w:val="Indenta"/>
      </w:pPr>
      <w:r>
        <w:tab/>
        <w:t>(a)</w:t>
      </w:r>
      <w:r>
        <w:tab/>
        <w:t>a paper copy of a document is filed in accordance with these rules; and</w:t>
      </w:r>
    </w:p>
    <w:p>
      <w:pPr>
        <w:pStyle w:val="Indenta"/>
      </w:pPr>
      <w:r>
        <w:tab/>
        <w:t>(b)</w:t>
      </w:r>
      <w:r>
        <w:tab/>
        <w:t>an electronic copy of it is not filed,</w:t>
      </w:r>
    </w:p>
    <w:p>
      <w:pPr>
        <w:pStyle w:val="Subsection"/>
      </w:pPr>
      <w:r>
        <w:tab/>
      </w:r>
      <w:r>
        <w:tab/>
        <w:t>the Principal Registrar may convert the document to an electronic format and record it in the ECMS as if it had been filed electronically.</w:t>
      </w:r>
    </w:p>
    <w:p>
      <w:pPr>
        <w:pStyle w:val="Subsection"/>
      </w:pPr>
      <w:r>
        <w:tab/>
        <w:t>(2)</w:t>
      </w:r>
      <w:r>
        <w:tab/>
        <w:t>Subrules (3) to (6) apply to a paper version of a document filed in the Court if the document is recorded in the ECMS under subrule (1) as if it had been filed electronically.</w:t>
      </w:r>
    </w:p>
    <w:p>
      <w:pPr>
        <w:pStyle w:val="Subsection"/>
      </w:pPr>
      <w:r>
        <w:tab/>
        <w:t>(3)</w:t>
      </w:r>
      <w:r>
        <w:tab/>
        <w:t xml:space="preserve">If a document is recorded in the ECMS under subrule (1) as if it had been filed electronically, the paper version of the document must be retained by the Court — </w:t>
      </w:r>
    </w:p>
    <w:p>
      <w:pPr>
        <w:pStyle w:val="Indenta"/>
      </w:pPr>
      <w:r>
        <w:tab/>
        <w:t>(a)</w:t>
      </w:r>
      <w:r>
        <w:tab/>
        <w:t>for 90 days from the day it was filed; and</w:t>
      </w:r>
    </w:p>
    <w:p>
      <w:pPr>
        <w:pStyle w:val="Indenta"/>
      </w:pPr>
      <w:r>
        <w:tab/>
        <w:t>(b)</w:t>
      </w:r>
      <w:r>
        <w:tab/>
        <w:t>until it is collected or the period referred to in subrule (4) expires, whichever occurs first.</w:t>
      </w:r>
    </w:p>
    <w:p>
      <w:pPr>
        <w:pStyle w:val="Subsection"/>
      </w:pPr>
      <w:r>
        <w:tab/>
        <w:t>(4)</w:t>
      </w:r>
      <w:r>
        <w:tab/>
        <w:t>The person who filed the paper version of the document may collect it from the Court within 30 days after the period referred to in subrule (3)(a) expires.</w:t>
      </w:r>
    </w:p>
    <w:p>
      <w:pPr>
        <w:pStyle w:val="Subsection"/>
      </w:pPr>
      <w:r>
        <w:tab/>
        <w:t>(5)</w:t>
      </w:r>
      <w:r>
        <w:tab/>
        <w:t>If the paper version of the document is not collected within the period referred to in subrule (4), a registrar may cause the document to be destroyed.</w:t>
      </w:r>
    </w:p>
    <w:p>
      <w:pPr>
        <w:pStyle w:val="Subsection"/>
      </w:pPr>
      <w:r>
        <w:tab/>
        <w:t>(6)</w:t>
      </w:r>
      <w:r>
        <w:tab/>
        <w:t xml:space="preserve">If the paper version of the document is collected within the period referred to in subrule (4), the person who filed it must, unless a registrar approves the destruction of the document — </w:t>
      </w:r>
    </w:p>
    <w:p>
      <w:pPr>
        <w:pStyle w:val="Indenta"/>
      </w:pPr>
      <w:r>
        <w:tab/>
        <w:t>(a)</w:t>
      </w:r>
      <w:r>
        <w:tab/>
        <w:t>keep the document; and</w:t>
      </w:r>
    </w:p>
    <w:p>
      <w:pPr>
        <w:pStyle w:val="Indenta"/>
      </w:pPr>
      <w:r>
        <w:tab/>
        <w:t>(b)</w:t>
      </w:r>
      <w:r>
        <w:tab/>
        <w:t>if directed to do so by the Court, produce the document to the Court.</w:t>
      </w:r>
    </w:p>
    <w:p>
      <w:pPr>
        <w:pStyle w:val="Footnotesection"/>
      </w:pPr>
      <w:r>
        <w:tab/>
        <w:t xml:space="preserve">[Rule 8 inserted: Gazette 27 Feb 2018 p. 587; amended: Gazette 31 Dec 2019 p. 4677-8.] </w:t>
      </w:r>
    </w:p>
    <w:p>
      <w:pPr>
        <w:pStyle w:val="Heading3"/>
      </w:pPr>
      <w:bookmarkStart w:id="1163" w:name="_Toc129074187"/>
      <w:bookmarkStart w:id="1164" w:name="_Toc129075470"/>
      <w:bookmarkStart w:id="1165" w:name="_Toc129078259"/>
      <w:r>
        <w:rPr>
          <w:rStyle w:val="CharDivNo"/>
        </w:rPr>
        <w:lastRenderedPageBreak/>
        <w:t>Division 3</w:t>
      </w:r>
      <w:r>
        <w:t> — </w:t>
      </w:r>
      <w:r>
        <w:rPr>
          <w:rStyle w:val="CharDivText"/>
        </w:rPr>
        <w:t>Documents containing sensitive information</w:t>
      </w:r>
      <w:bookmarkEnd w:id="1163"/>
      <w:bookmarkEnd w:id="1164"/>
      <w:bookmarkEnd w:id="1165"/>
    </w:p>
    <w:p>
      <w:pPr>
        <w:pStyle w:val="Footnoteheading"/>
        <w:keepNext/>
      </w:pPr>
      <w:r>
        <w:tab/>
        <w:t xml:space="preserve">[Heading inserted: Gazette 27 Feb 2018 p. 588.] </w:t>
      </w:r>
    </w:p>
    <w:p>
      <w:pPr>
        <w:pStyle w:val="Heading5"/>
      </w:pPr>
      <w:bookmarkStart w:id="1166" w:name="_Toc129078260"/>
      <w:r>
        <w:rPr>
          <w:rStyle w:val="CharSectno"/>
        </w:rPr>
        <w:t>9</w:t>
      </w:r>
      <w:r>
        <w:t>.</w:t>
      </w:r>
      <w:r>
        <w:tab/>
        <w:t>Terms used</w:t>
      </w:r>
      <w:bookmarkEnd w:id="1166"/>
    </w:p>
    <w:p>
      <w:pPr>
        <w:pStyle w:val="Subsection"/>
      </w:pPr>
      <w:r>
        <w:tab/>
      </w:r>
      <w:r>
        <w:tab/>
        <w:t>In this Division —</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tab/>
      </w:r>
      <w:r>
        <w:rPr>
          <w:rStyle w:val="CharDefText"/>
        </w:rPr>
        <w:t>restricted document</w:t>
      </w:r>
      <w:r>
        <w:t xml:space="preserve"> means a document the existence and the whole of the contents of which must not be known or accessible to anyone other than the person filing it and a judge, master or registrar;</w:t>
      </w:r>
    </w:p>
    <w:p>
      <w:pPr>
        <w:pStyle w:val="Defstart"/>
      </w:pPr>
      <w:r>
        <w:tab/>
      </w:r>
      <w:r>
        <w:rPr>
          <w:rStyle w:val="CharDefText"/>
        </w:rPr>
        <w:t>restricted information</w:t>
      </w:r>
      <w:r>
        <w:t xml:space="preserve"> means information access to which is restricted by —</w:t>
      </w:r>
    </w:p>
    <w:p>
      <w:pPr>
        <w:pStyle w:val="Defpara"/>
      </w:pPr>
      <w:r>
        <w:tab/>
        <w:t>(a)</w:t>
      </w:r>
      <w:r>
        <w:tab/>
        <w:t>legislation; or</w:t>
      </w:r>
    </w:p>
    <w:p>
      <w:pPr>
        <w:pStyle w:val="Defpara"/>
      </w:pPr>
      <w:r>
        <w:tab/>
        <w:t>(b)</w:t>
      </w:r>
      <w:r>
        <w:tab/>
        <w:t>an order made by a court in Australia.</w:t>
      </w:r>
    </w:p>
    <w:p>
      <w:pPr>
        <w:pStyle w:val="Footnotesection"/>
      </w:pPr>
      <w:r>
        <w:tab/>
        <w:t xml:space="preserve">[Rule 9 inserted: Gazette 27 Feb 2018 p. 588.] </w:t>
      </w:r>
    </w:p>
    <w:p>
      <w:pPr>
        <w:pStyle w:val="Heading5"/>
      </w:pPr>
      <w:bookmarkStart w:id="1167" w:name="_Toc129078261"/>
      <w:r>
        <w:rPr>
          <w:rStyle w:val="CharSectno"/>
        </w:rPr>
        <w:t>10</w:t>
      </w:r>
      <w:r>
        <w:t>.</w:t>
      </w:r>
      <w:r>
        <w:tab/>
        <w:t>Person to advise Court if filing sensitive document</w:t>
      </w:r>
      <w:bookmarkEnd w:id="1167"/>
    </w:p>
    <w:p>
      <w:pPr>
        <w:pStyle w:val="Subsection"/>
      </w:pPr>
      <w:r>
        <w:tab/>
        <w:t>(1)</w:t>
      </w:r>
      <w:r>
        <w:tab/>
        <w:t>A person presenting a document to the Court for filing must advise the Court —</w:t>
      </w:r>
    </w:p>
    <w:p>
      <w:pPr>
        <w:pStyle w:val="Indenta"/>
      </w:pPr>
      <w:r>
        <w:tab/>
        <w:t>(a)</w:t>
      </w:r>
      <w:r>
        <w:tab/>
        <w:t xml:space="preserve">if access to all or a part of the information in the document is restricted because — </w:t>
      </w:r>
    </w:p>
    <w:p>
      <w:pPr>
        <w:pStyle w:val="Indenti"/>
      </w:pPr>
      <w:r>
        <w:tab/>
        <w:t>(i)</w:t>
      </w:r>
      <w:r>
        <w:tab/>
        <w:t>the information is restricted information; or</w:t>
      </w:r>
    </w:p>
    <w:p>
      <w:pPr>
        <w:pStyle w:val="Indenti"/>
      </w:pPr>
      <w:r>
        <w:tab/>
        <w:t>(ii)</w:t>
      </w:r>
      <w:r>
        <w:tab/>
        <w:t>the person is applying under Order 67B rule 5 for an order restricting access to the information;</w:t>
      </w:r>
    </w:p>
    <w:p>
      <w:pPr>
        <w:pStyle w:val="Indenta"/>
      </w:pPr>
      <w:r>
        <w:tab/>
      </w:r>
      <w:r>
        <w:tab/>
        <w:t>or</w:t>
      </w:r>
    </w:p>
    <w:p>
      <w:pPr>
        <w:pStyle w:val="Indenta"/>
      </w:pPr>
      <w:r>
        <w:tab/>
        <w:t>(b)</w:t>
      </w:r>
      <w:r>
        <w:tab/>
        <w:t>if the document is a restricted document; or</w:t>
      </w:r>
    </w:p>
    <w:p>
      <w:pPr>
        <w:pStyle w:val="Indenta"/>
      </w:pPr>
      <w:r>
        <w:tab/>
        <w:t>(c)</w:t>
      </w:r>
      <w:r>
        <w:tab/>
        <w:t>if the existence and content of the document must not be made accessible or known to the judge or master who is or will be trying the case in respect of which the document is filed.</w:t>
      </w:r>
    </w:p>
    <w:p>
      <w:pPr>
        <w:pStyle w:val="Subsection"/>
      </w:pPr>
      <w:r>
        <w:lastRenderedPageBreak/>
        <w:tab/>
        <w:t>(2)</w:t>
      </w:r>
      <w:r>
        <w:tab/>
        <w:t>If a person presents a document to the Court for filing electronically, 2 or more of paragraphs (a), (b) and (c) in subrule (1) cannot apply to the document.</w:t>
      </w:r>
    </w:p>
    <w:p>
      <w:pPr>
        <w:pStyle w:val="Subsection"/>
      </w:pPr>
      <w:r>
        <w:tab/>
        <w:t>(3)</w:t>
      </w:r>
      <w:r>
        <w:tab/>
        <w:t xml:space="preserve">A person wanting to advise the Court under subrule (1) must — </w:t>
      </w:r>
    </w:p>
    <w:p>
      <w:pPr>
        <w:pStyle w:val="Indenta"/>
      </w:pPr>
      <w:r>
        <w:tab/>
        <w:t>(a)</w:t>
      </w:r>
      <w:r>
        <w:tab/>
        <w:t>if the person is presenting the document for filing electronically, record the advice on the ECMS and —</w:t>
      </w:r>
    </w:p>
    <w:p>
      <w:pPr>
        <w:pStyle w:val="Indenti"/>
      </w:pPr>
      <w:r>
        <w:tab/>
        <w:t>(i)</w:t>
      </w:r>
      <w:r>
        <w:tab/>
        <w:t>if subrule (1)(a)(i) applies to information in the document, comply with rule 11;</w:t>
      </w:r>
    </w:p>
    <w:p>
      <w:pPr>
        <w:pStyle w:val="Indenti"/>
      </w:pPr>
      <w:r>
        <w:tab/>
        <w:t>(ii)</w:t>
      </w:r>
      <w:r>
        <w:tab/>
        <w:t>if subrule (1)(a)(ii) applies to information in the document, comply with rule 12;</w:t>
      </w:r>
    </w:p>
    <w:p>
      <w:pPr>
        <w:pStyle w:val="Indenti"/>
      </w:pPr>
      <w:r>
        <w:tab/>
        <w:t>(iii)</w:t>
      </w:r>
      <w:r>
        <w:tab/>
        <w:t>if subrule (1)(b) applies to the document, comply with rule 13;</w:t>
      </w:r>
    </w:p>
    <w:p>
      <w:pPr>
        <w:pStyle w:val="Indenti"/>
      </w:pPr>
      <w:r>
        <w:tab/>
        <w:t>(iv)</w:t>
      </w:r>
      <w:r>
        <w:tab/>
        <w:t>if subrule (1)(c) applies to the document, comply with rule 14;</w:t>
      </w:r>
    </w:p>
    <w:p>
      <w:pPr>
        <w:pStyle w:val="Indenta"/>
      </w:pPr>
      <w:r>
        <w:tab/>
        <w:t>(b)</w:t>
      </w:r>
      <w:r>
        <w:tab/>
        <w:t xml:space="preserve">otherwise comply with — </w:t>
      </w:r>
    </w:p>
    <w:p>
      <w:pPr>
        <w:pStyle w:val="Indenti"/>
      </w:pPr>
      <w:r>
        <w:tab/>
        <w:t>(i)</w:t>
      </w:r>
      <w:r>
        <w:tab/>
        <w:t>rule 11 if subrule (1)(a)(i) applies to information in the document;</w:t>
      </w:r>
    </w:p>
    <w:p>
      <w:pPr>
        <w:pStyle w:val="Indenti"/>
      </w:pPr>
      <w:r>
        <w:tab/>
        <w:t>(ii)</w:t>
      </w:r>
      <w:r>
        <w:tab/>
        <w:t>rule 12 if subrule (1)(a)(ii) applies to information in the document;</w:t>
      </w:r>
    </w:p>
    <w:p>
      <w:pPr>
        <w:pStyle w:val="Indenti"/>
      </w:pPr>
      <w:r>
        <w:tab/>
        <w:t>(iii)</w:t>
      </w:r>
      <w:r>
        <w:tab/>
        <w:t>rule 13 if subrule (1)(b) applies to the document;</w:t>
      </w:r>
    </w:p>
    <w:p>
      <w:pPr>
        <w:pStyle w:val="Indenti"/>
      </w:pPr>
      <w:r>
        <w:tab/>
        <w:t>(iv)</w:t>
      </w:r>
      <w:r>
        <w:tab/>
        <w:t>rule 14 if subrule (1)(c) applies to the document.</w:t>
      </w:r>
    </w:p>
    <w:p>
      <w:pPr>
        <w:pStyle w:val="Subsection"/>
      </w:pPr>
      <w:r>
        <w:tab/>
        <w:t>(4)</w:t>
      </w:r>
      <w:r>
        <w:tab/>
        <w:t>A person who has presented a document to the Court for filing may subsequently advise the Court that 1 of paragraphs (a), (b) and (c) in subrule (1) applies to a document by asking the Principal Registrar to act under subrule (6).</w:t>
      </w:r>
    </w:p>
    <w:p>
      <w:pPr>
        <w:pStyle w:val="Subsection"/>
      </w:pPr>
      <w:r>
        <w:tab/>
        <w:t>(5)</w:t>
      </w:r>
      <w:r>
        <w:tab/>
        <w:t>If under this rule the Court has been advised that 1 of paragraphs (a), (b) or (c) in subrule (1) applies to a document, it is to be presumed that the paragraph does apply to it until —</w:t>
      </w:r>
    </w:p>
    <w:p>
      <w:pPr>
        <w:pStyle w:val="Indenta"/>
      </w:pPr>
      <w:r>
        <w:tab/>
        <w:t>(a)</w:t>
      </w:r>
      <w:r>
        <w:tab/>
        <w:t>its classification is changed or cancelled under subrule (6); or</w:t>
      </w:r>
    </w:p>
    <w:p>
      <w:pPr>
        <w:pStyle w:val="Indenta"/>
      </w:pPr>
      <w:r>
        <w:tab/>
        <w:t>(b)</w:t>
      </w:r>
      <w:r>
        <w:tab/>
        <w:t>if an order made under Order 67B rule 5(3) applies to it, the order is cancelled.</w:t>
      </w:r>
    </w:p>
    <w:p>
      <w:pPr>
        <w:pStyle w:val="Subsection"/>
      </w:pPr>
      <w:r>
        <w:lastRenderedPageBreak/>
        <w:tab/>
        <w:t>(6)</w:t>
      </w:r>
      <w:r>
        <w:tab/>
        <w:t>If satisfied there is good reason to do so, the Principal Registrar, by amending information on the ECMS or by taking other reasonable steps, may —</w:t>
      </w:r>
    </w:p>
    <w:p>
      <w:pPr>
        <w:pStyle w:val="Indenta"/>
      </w:pPr>
      <w:r>
        <w:tab/>
        <w:t>(a)</w:t>
      </w:r>
      <w:r>
        <w:tab/>
        <w:t>classify a filed document as being a document to which 1 of paragraphs (a), (b) and (c) in subrule (1) applies;</w:t>
      </w:r>
    </w:p>
    <w:p>
      <w:pPr>
        <w:pStyle w:val="Indenta"/>
      </w:pPr>
      <w:r>
        <w:tab/>
        <w:t>(b)</w:t>
      </w:r>
      <w:r>
        <w:tab/>
        <w:t>if a filed document is already such a document —</w:t>
      </w:r>
    </w:p>
    <w:p>
      <w:pPr>
        <w:pStyle w:val="Indenti"/>
      </w:pPr>
      <w:r>
        <w:tab/>
        <w:t>(i)</w:t>
      </w:r>
      <w:r>
        <w:tab/>
        <w:t>change its classification; or</w:t>
      </w:r>
    </w:p>
    <w:p>
      <w:pPr>
        <w:pStyle w:val="Indenti"/>
      </w:pPr>
      <w:r>
        <w:tab/>
        <w:t>(ii)</w:t>
      </w:r>
      <w:r>
        <w:tab/>
        <w:t>cancel its classification as a document to which any of paragraphs (a), (b) and (c) in subrule (1) applies.</w:t>
      </w:r>
    </w:p>
    <w:p>
      <w:pPr>
        <w:pStyle w:val="Subsection"/>
      </w:pPr>
      <w:r>
        <w:tab/>
        <w:t>(7)</w:t>
      </w:r>
      <w:r>
        <w:tab/>
        <w:t>The Principal Registrar must not act under subrule (6) unless the Principal Registrar has given the person who filed the document, and any person served with the document, an opportunity to object to the action.</w:t>
      </w:r>
    </w:p>
    <w:p>
      <w:pPr>
        <w:pStyle w:val="Subsection"/>
      </w:pPr>
      <w:r>
        <w:tab/>
        <w:t>(8)</w:t>
      </w:r>
      <w:r>
        <w:tab/>
        <w:t>Before acting under subrule (6), the Principal Registrar may give the person who filed the document any directions reasonably necessary to enable the Principal Registrar to properly classify the document, including directions that require the person to serve the document on 1 or more other persons.</w:t>
      </w:r>
    </w:p>
    <w:p>
      <w:pPr>
        <w:pStyle w:val="Footnotesection"/>
      </w:pPr>
      <w:r>
        <w:tab/>
        <w:t xml:space="preserve">[Rule 10 inserted: Gazette 27 Feb 2018 p. 588-90; amended: Gazette 31 Dec 2019 p. 4677-8.] </w:t>
      </w:r>
    </w:p>
    <w:p>
      <w:pPr>
        <w:pStyle w:val="Heading5"/>
      </w:pPr>
      <w:bookmarkStart w:id="1168" w:name="_Toc129078262"/>
      <w:r>
        <w:rPr>
          <w:rStyle w:val="CharSectno"/>
        </w:rPr>
        <w:t>11</w:t>
      </w:r>
      <w:r>
        <w:t>.</w:t>
      </w:r>
      <w:r>
        <w:tab/>
        <w:t>Documents containing restricted information</w:t>
      </w:r>
      <w:bookmarkEnd w:id="1168"/>
    </w:p>
    <w:p>
      <w:pPr>
        <w:pStyle w:val="Subsection"/>
      </w:pPr>
      <w:r>
        <w:tab/>
        <w:t>(1)</w:t>
      </w:r>
      <w:r>
        <w:tab/>
        <w:t>This rule applies if under rule 10(1) a person advises the Court that a document presented for filing contains restricted information.</w:t>
      </w:r>
    </w:p>
    <w:p>
      <w:pPr>
        <w:pStyle w:val="Subsection"/>
      </w:pPr>
      <w:r>
        <w:t xml:space="preserve"> </w:t>
      </w:r>
      <w:r>
        <w:tab/>
        <w:t>(2)</w:t>
      </w:r>
      <w:r>
        <w:tab/>
        <w:t>If the document was filed electronically, by email or by fax, the person who filed it must, within 24 hours after filing it, do the following —</w:t>
      </w:r>
    </w:p>
    <w:p>
      <w:pPr>
        <w:pStyle w:val="Indenta"/>
      </w:pPr>
      <w:r>
        <w:tab/>
        <w:t>(a)</w:t>
      </w:r>
      <w:r>
        <w:tab/>
        <w:t>file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contains information to which access is restricted by [</w:t>
      </w:r>
      <w:r>
        <w:rPr>
          <w:i/>
        </w:rPr>
        <w:t xml:space="preserve">the </w:t>
      </w:r>
      <w:r>
        <w:rPr>
          <w:i/>
        </w:rPr>
        <w:lastRenderedPageBreak/>
        <w:t>short title and provision of applicable legislation or the details of the applicable court order</w:t>
      </w:r>
      <w:r>
        <w:t>].;</w:t>
      </w:r>
    </w:p>
    <w:p>
      <w:pPr>
        <w:pStyle w:val="Indenti"/>
      </w:pPr>
      <w:r>
        <w:tab/>
        <w:t>(ii)</w:t>
      </w:r>
      <w:r>
        <w:tab/>
        <w:t>identifies the legislation, or court order, that restricts access to the information;</w:t>
      </w:r>
    </w:p>
    <w:p>
      <w:pPr>
        <w:pStyle w:val="Indenti"/>
      </w:pPr>
      <w:r>
        <w:tab/>
        <w:t>(iii)</w:t>
      </w:r>
      <w:r>
        <w:tab/>
        <w:t>identifies the restricted information in the document;</w:t>
      </w:r>
    </w:p>
    <w:p>
      <w:pPr>
        <w:pStyle w:val="Indenti"/>
      </w:pPr>
      <w:r>
        <w:tab/>
        <w:t>(iv)</w:t>
      </w:r>
      <w:r>
        <w:tab/>
        <w:t>identifies the person, or class of persons, who can have access to the information lawfully;</w:t>
      </w:r>
    </w:p>
    <w:p>
      <w:pPr>
        <w:pStyle w:val="Indenti"/>
      </w:pPr>
      <w:r>
        <w:tab/>
        <w:t>(v)</w:t>
      </w:r>
      <w:r>
        <w:tab/>
        <w:t>identifies the person, or class of persons, whose access to the information is restricted;</w:t>
      </w:r>
    </w:p>
    <w:p>
      <w:pPr>
        <w:pStyle w:val="Indenti"/>
      </w:pPr>
      <w:r>
        <w:tab/>
        <w:t>(vi)</w:t>
      </w:r>
      <w:r>
        <w:tab/>
        <w:t>states the conditions, if any, that the Court should impose if it were to give access to the information to any such person;</w:t>
      </w:r>
    </w:p>
    <w:p>
      <w:pPr>
        <w:pStyle w:val="Indenti"/>
      </w:pPr>
      <w:r>
        <w:tab/>
        <w:t>(vii)</w:t>
      </w:r>
      <w:r>
        <w:tab/>
        <w:t>states whether the information will cease to be restricted information and, if so, when it will cease to be restricted information;</w:t>
      </w:r>
    </w:p>
    <w:p>
      <w:pPr>
        <w:pStyle w:val="Indenta"/>
      </w:pPr>
      <w:r>
        <w:tab/>
        <w:t>(b)</w:t>
      </w:r>
      <w:r>
        <w:tab/>
        <w:t>if a court order restricts access to the information, file a copy of the order.</w:t>
      </w:r>
    </w:p>
    <w:p>
      <w:pPr>
        <w:pStyle w:val="Subsection"/>
      </w:pPr>
      <w:r>
        <w:tab/>
        <w:t>(3)</w:t>
      </w:r>
      <w:r>
        <w:tab/>
        <w:t>If the document was filed by delivering it,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This document contains information to which access is restricted by [</w:t>
      </w:r>
      <w:r>
        <w:rPr>
          <w:i/>
        </w:rPr>
        <w:t>the short title and provision of applicable legislation or the details of the applicable court order</w:t>
      </w:r>
      <w:r>
        <w:t>].;</w:t>
      </w:r>
    </w:p>
    <w:p>
      <w:pPr>
        <w:pStyle w:val="Indenta"/>
      </w:pPr>
      <w:r>
        <w:tab/>
        <w:t>(b)</w:t>
      </w:r>
      <w:r>
        <w:tab/>
        <w:t>within 1 day after filing it, file a memorandum that does the following —</w:t>
      </w:r>
    </w:p>
    <w:p>
      <w:pPr>
        <w:pStyle w:val="Indenti"/>
      </w:pPr>
      <w:r>
        <w:tab/>
        <w:t>(i)</w:t>
      </w:r>
      <w:r>
        <w:tab/>
        <w:t>identifies the legislation, or court order, that restricts access to the information;</w:t>
      </w:r>
    </w:p>
    <w:p>
      <w:pPr>
        <w:pStyle w:val="Indenti"/>
      </w:pPr>
      <w:r>
        <w:tab/>
        <w:t>(ii)</w:t>
      </w:r>
      <w:r>
        <w:tab/>
        <w:t>identifies the restricted information in the document;</w:t>
      </w:r>
    </w:p>
    <w:p>
      <w:pPr>
        <w:pStyle w:val="Indenti"/>
      </w:pPr>
      <w:r>
        <w:lastRenderedPageBreak/>
        <w:tab/>
        <w:t>(iii)</w:t>
      </w:r>
      <w:r>
        <w:tab/>
        <w:t>identifies the person, or class of persons, who can have access to the information lawfully;</w:t>
      </w:r>
    </w:p>
    <w:p>
      <w:pPr>
        <w:pStyle w:val="Indenti"/>
      </w:pPr>
      <w:r>
        <w:tab/>
        <w:t>(iv)</w:t>
      </w:r>
      <w:r>
        <w:tab/>
        <w:t>identifies the person, or class of persons, whose access to the information is restricted;</w:t>
      </w:r>
    </w:p>
    <w:p>
      <w:pPr>
        <w:pStyle w:val="Indenti"/>
      </w:pPr>
      <w:r>
        <w:tab/>
        <w:t>(v)</w:t>
      </w:r>
      <w:r>
        <w:tab/>
        <w:t>states the conditions, if any, that the Court should impose if it were to give access to the information to any such person;</w:t>
      </w:r>
    </w:p>
    <w:p>
      <w:pPr>
        <w:pStyle w:val="Indenta"/>
      </w:pPr>
      <w:r>
        <w:tab/>
        <w:t>(c)</w:t>
      </w:r>
      <w:r>
        <w:tab/>
        <w:t>if a court order restricts access to the information in the document, file a copy of the order within 1 day after filing the document.</w:t>
      </w:r>
    </w:p>
    <w:p>
      <w:pPr>
        <w:pStyle w:val="Subsection"/>
      </w:pPr>
      <w:r>
        <w:tab/>
        <w:t>(4)</w:t>
      </w:r>
      <w:r>
        <w:tab/>
        <w:t>If the person who filed the document does not comply with subrule (2) or (3), as the case requires, the Principal Registrar may exercise the powers in rule 10(6).</w:t>
      </w:r>
    </w:p>
    <w:p>
      <w:pPr>
        <w:pStyle w:val="Subsection"/>
      </w:pPr>
      <w:r>
        <w:tab/>
        <w:t>(5)</w:t>
      </w:r>
      <w:r>
        <w:tab/>
        <w:t>If a judge, master or registrar is not satisfied the document contains restricted information, the judge, master or registrar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11 inserted: Gazette 27 Feb 2018 p. 591-3.] </w:t>
      </w:r>
    </w:p>
    <w:p>
      <w:pPr>
        <w:pStyle w:val="Heading5"/>
      </w:pPr>
      <w:bookmarkStart w:id="1169" w:name="_Toc129078263"/>
      <w:r>
        <w:rPr>
          <w:rStyle w:val="CharSectno"/>
        </w:rPr>
        <w:t>12</w:t>
      </w:r>
      <w:r>
        <w:t>.</w:t>
      </w:r>
      <w:r>
        <w:tab/>
        <w:t>Documents containing information to which access should be restricted</w:t>
      </w:r>
      <w:bookmarkEnd w:id="1169"/>
    </w:p>
    <w:p>
      <w:pPr>
        <w:pStyle w:val="Subsection"/>
      </w:pPr>
      <w:r>
        <w:tab/>
        <w:t>(1)</w:t>
      </w:r>
      <w:r>
        <w:tab/>
        <w:t>This rule applies if under rule 10(1) a person advises the Court that the person is applying under Order 67B rule 5 for an order restricting access to information in a document presented for filing.</w:t>
      </w:r>
    </w:p>
    <w:p>
      <w:pPr>
        <w:pStyle w:val="Subsection"/>
      </w:pPr>
      <w:r>
        <w:tab/>
        <w:t>(2)</w:t>
      </w:r>
      <w:r>
        <w:tab/>
        <w:t>If the document was filed electronically, the person who filed it must, within 24 hours after filing it, file electronically an application that complies with Order 67B rule 5(2) and that applies for an order made under Order 67B rule 5(3).</w:t>
      </w:r>
    </w:p>
    <w:p>
      <w:pPr>
        <w:pStyle w:val="Subsection"/>
        <w:keepNext/>
      </w:pPr>
      <w:r>
        <w:lastRenderedPageBreak/>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 xml:space="preserve">Attention: </w:t>
      </w:r>
      <w:r>
        <w:t xml:space="preserve">This document contains information that is the subject of an application for an order made under the </w:t>
      </w:r>
      <w:r>
        <w:rPr>
          <w:i/>
        </w:rPr>
        <w:t>Rules of the Supreme Court 1971</w:t>
      </w:r>
      <w:r>
        <w:t xml:space="preserve"> Order 67B rule 5 that restricts access to it.;</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12 inserted: Gazette 27 Feb 2018 p. 593-4.] </w:t>
      </w:r>
    </w:p>
    <w:p>
      <w:pPr>
        <w:pStyle w:val="Heading5"/>
      </w:pPr>
      <w:bookmarkStart w:id="1170" w:name="_Toc129078264"/>
      <w:r>
        <w:rPr>
          <w:rStyle w:val="CharSectno"/>
        </w:rPr>
        <w:t>13</w:t>
      </w:r>
      <w:r>
        <w:t>.</w:t>
      </w:r>
      <w:r>
        <w:tab/>
        <w:t>Restricted documents</w:t>
      </w:r>
      <w:bookmarkEnd w:id="1170"/>
    </w:p>
    <w:p>
      <w:pPr>
        <w:pStyle w:val="Subsection"/>
      </w:pPr>
      <w:r>
        <w:tab/>
        <w:t>(1)</w:t>
      </w:r>
      <w:r>
        <w:tab/>
        <w:t>This rule applies if under rule 10(1) a person advises the Court that a document presented for filing is a restricted document.</w:t>
      </w:r>
    </w:p>
    <w:p>
      <w:pPr>
        <w:pStyle w:val="Subsection"/>
      </w:pPr>
      <w:r>
        <w:tab/>
        <w:t>(2)</w:t>
      </w:r>
      <w:r>
        <w:tab/>
        <w:t xml:space="preserve">If the document was filed electronically, the person who filed it must, within 24 hours after filing it, do the following — </w:t>
      </w:r>
    </w:p>
    <w:p>
      <w:pPr>
        <w:pStyle w:val="Indenta"/>
      </w:pPr>
      <w:r>
        <w:tab/>
        <w:t>(a)</w:t>
      </w:r>
      <w:r>
        <w:tab/>
        <w:t>file electronically a memorandum that does the following —</w:t>
      </w:r>
    </w:p>
    <w:p>
      <w:pPr>
        <w:pStyle w:val="Indenti"/>
      </w:pPr>
      <w:r>
        <w:tab/>
        <w:t>(i)</w:t>
      </w:r>
      <w:r>
        <w:tab/>
        <w:t>states —</w:t>
      </w:r>
    </w:p>
    <w:p>
      <w:pPr>
        <w:pStyle w:val="Indenti"/>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i"/>
      </w:pPr>
      <w:r>
        <w:tab/>
        <w:t>(ii)</w:t>
      </w:r>
      <w:r>
        <w:tab/>
        <w:t>explains why the document is a restricted document;</w:t>
      </w:r>
    </w:p>
    <w:p>
      <w:pPr>
        <w:pStyle w:val="Indenti"/>
      </w:pPr>
      <w:r>
        <w:lastRenderedPageBreak/>
        <w:tab/>
        <w:t>(iii)</w:t>
      </w:r>
      <w:r>
        <w:tab/>
        <w:t>if the document is a restricted document by virtue of legislation, or a court order, identify the legislation or order;</w:t>
      </w:r>
    </w:p>
    <w:p>
      <w:pPr>
        <w:pStyle w:val="Indenti"/>
      </w:pPr>
      <w:r>
        <w:tab/>
        <w:t>(iv)</w:t>
      </w:r>
      <w:r>
        <w:tab/>
        <w:t>states the conditions, if any, that the Court should impose if it were to give access to the document to anyone other than the person filing it and a judge or master;</w:t>
      </w:r>
    </w:p>
    <w:p>
      <w:pPr>
        <w:pStyle w:val="Indenti"/>
      </w:pPr>
      <w:r>
        <w:tab/>
        <w:t>(v)</w:t>
      </w:r>
      <w:r>
        <w:tab/>
        <w:t>states whether the document will cease to be a restricted document and, if so, when it will cease to be a restricted document;</w:t>
      </w:r>
    </w:p>
    <w:p>
      <w:pPr>
        <w:pStyle w:val="Indenta"/>
      </w:pPr>
      <w:r>
        <w:tab/>
        <w:t>(b)</w:t>
      </w:r>
      <w:r>
        <w:tab/>
        <w:t>if the document is a restricted document by virtue of a court order, file electronically a copy of the order;</w:t>
      </w:r>
    </w:p>
    <w:p>
      <w:pPr>
        <w:pStyle w:val="Indenta"/>
      </w:pPr>
      <w:r>
        <w:tab/>
        <w:t>(c)</w:t>
      </w:r>
      <w:r>
        <w:tab/>
        <w:t>if the document is a not a restricted document by virtue of legislation or a court order — file electronically an application that complies with Order 67B rule 5(2) and that applies for an order made under Order 67B rule 5(3).</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is a document the existence and the whole of the contents of which must not be known or accessible to anyone other than the person filing it and a judge or master.;</w:t>
      </w:r>
    </w:p>
    <w:p>
      <w:pPr>
        <w:pStyle w:val="Indenta"/>
      </w:pPr>
      <w:r>
        <w:tab/>
        <w:t>(b)</w:t>
      </w:r>
      <w:r>
        <w:tab/>
        <w:t>within 1 day after filing it, file an application that complies with Order 67B rule 5(2) and that applies for an order made under Order 67B rule 5(3).</w:t>
      </w:r>
    </w:p>
    <w:p>
      <w:pPr>
        <w:pStyle w:val="Subsection"/>
      </w:pPr>
      <w:r>
        <w:tab/>
        <w:t>(4)</w:t>
      </w:r>
      <w:r>
        <w:tab/>
        <w:t>If the person who filed the document does not comply with subrule (2) or (3), as the case requires, the Principal Registrar may exercise the powers in rule 10(6).</w:t>
      </w:r>
    </w:p>
    <w:p>
      <w:pPr>
        <w:pStyle w:val="Subsection"/>
        <w:keepNext/>
      </w:pPr>
      <w:r>
        <w:lastRenderedPageBreak/>
        <w:tab/>
        <w:t>(5)</w:t>
      </w:r>
      <w:r>
        <w:tab/>
        <w:t>If a judge or master is not satisfied the document is a restricted document, the judge or master —</w:t>
      </w:r>
    </w:p>
    <w:p>
      <w:pPr>
        <w:pStyle w:val="Indenta"/>
      </w:pPr>
      <w:r>
        <w:tab/>
        <w:t>(a)</w:t>
      </w:r>
      <w:r>
        <w:tab/>
        <w:t>must notify the person who filed the document accordingly; and</w:t>
      </w:r>
    </w:p>
    <w:p>
      <w:pPr>
        <w:pStyle w:val="Indenta"/>
      </w:pPr>
      <w:r>
        <w:tab/>
        <w:t>(b)</w:t>
      </w:r>
      <w:r>
        <w:tab/>
        <w:t>may direct the Principal Registrar to exercise the powers in rule 10(6).</w:t>
      </w:r>
    </w:p>
    <w:p>
      <w:pPr>
        <w:pStyle w:val="Footnotesection"/>
      </w:pPr>
      <w:r>
        <w:tab/>
        <w:t xml:space="preserve">[Rule 13 inserted: Gazette 27 Feb 2018 p. 594-5.] </w:t>
      </w:r>
    </w:p>
    <w:p>
      <w:pPr>
        <w:pStyle w:val="Heading5"/>
      </w:pPr>
      <w:bookmarkStart w:id="1171" w:name="_Toc129078265"/>
      <w:r>
        <w:rPr>
          <w:rStyle w:val="CharSectno"/>
        </w:rPr>
        <w:t>14</w:t>
      </w:r>
      <w:r>
        <w:t>.</w:t>
      </w:r>
      <w:r>
        <w:tab/>
        <w:t>Documents that are not to be accessible to judiciary</w:t>
      </w:r>
      <w:bookmarkEnd w:id="1171"/>
    </w:p>
    <w:p>
      <w:pPr>
        <w:pStyle w:val="Subsection"/>
      </w:pPr>
      <w:r>
        <w:tab/>
        <w:t>(1)</w:t>
      </w:r>
      <w:r>
        <w:tab/>
        <w:t>This rule applies if under rule 10(1) a person advises the Court that the existence and content of a document presented for filing must not be made accessible or known to the judge or master who is or will be trying the case in respect of which the document is filed.</w:t>
      </w:r>
    </w:p>
    <w:p>
      <w:pPr>
        <w:pStyle w:val="Subsection"/>
      </w:pPr>
      <w:r>
        <w:tab/>
        <w:t>(2)</w:t>
      </w:r>
      <w:r>
        <w:tab/>
        <w:t>If the document was filed electronically, the person who filed it must, within 24 hours after filing it, file electronically a memorandum that does the following —</w:t>
      </w:r>
    </w:p>
    <w:p>
      <w:pPr>
        <w:pStyle w:val="Indenta"/>
      </w:pPr>
      <w:r>
        <w:tab/>
        <w:t>(a)</w:t>
      </w:r>
      <w:r>
        <w:tab/>
        <w:t>states —</w:t>
      </w:r>
    </w:p>
    <w:p>
      <w:pPr>
        <w:pStyle w:val="Indenta"/>
      </w:pPr>
      <w:r>
        <w:tab/>
      </w:r>
      <w:r>
        <w:tab/>
      </w:r>
      <w:r>
        <w:rPr>
          <w:b/>
        </w:rPr>
        <w:t>Attention:</w:t>
      </w:r>
      <w:r>
        <w:t xml:space="preserve"> [</w:t>
      </w:r>
      <w:r>
        <w:rPr>
          <w:i/>
        </w:rPr>
        <w:t>Identify the document</w:t>
      </w:r>
      <w:r>
        <w:t>] is a document the existence and content of which must not be made accessible or known to the judge or master who is or will be trying the case in respect of which it is filed.;</w:t>
      </w:r>
    </w:p>
    <w:p>
      <w:pPr>
        <w:pStyle w:val="Indenta"/>
      </w:pPr>
      <w:r>
        <w:tab/>
        <w:t>(b)</w:t>
      </w:r>
      <w:r>
        <w:tab/>
        <w:t>explains why the document is such a document;</w:t>
      </w:r>
    </w:p>
    <w:p>
      <w:pPr>
        <w:pStyle w:val="Indenta"/>
      </w:pPr>
      <w:r>
        <w:tab/>
        <w:t>(c)</w:t>
      </w:r>
      <w:r>
        <w:tab/>
        <w:t>states whether the document will cease to be such a document and, if so, when it will cease to be such a document.</w:t>
      </w:r>
    </w:p>
    <w:p>
      <w:pPr>
        <w:pStyle w:val="Subsection"/>
      </w:pPr>
      <w:r>
        <w:tab/>
        <w:t>(3)</w:t>
      </w:r>
      <w:r>
        <w:tab/>
        <w:t>If the document was not filed electronically, the person who filed it must do the following —</w:t>
      </w:r>
    </w:p>
    <w:p>
      <w:pPr>
        <w:pStyle w:val="Indenta"/>
      </w:pPr>
      <w:r>
        <w:tab/>
        <w:t>(a)</w:t>
      </w:r>
      <w:r>
        <w:tab/>
        <w:t>ensure the document has a cover sheet that includes this statement —</w:t>
      </w:r>
    </w:p>
    <w:p>
      <w:pPr>
        <w:pStyle w:val="Indenta"/>
      </w:pPr>
      <w:r>
        <w:tab/>
      </w:r>
      <w:r>
        <w:tab/>
      </w:r>
      <w:r>
        <w:rPr>
          <w:b/>
        </w:rPr>
        <w:t>Attention:</w:t>
      </w:r>
      <w:r>
        <w:t xml:space="preserve"> [</w:t>
      </w:r>
      <w:r>
        <w:rPr>
          <w:i/>
        </w:rPr>
        <w:t>Identify the document</w:t>
      </w:r>
      <w:r>
        <w:t xml:space="preserve">] is a document the existence and content of which must not be made </w:t>
      </w:r>
      <w:r>
        <w:lastRenderedPageBreak/>
        <w:t>accessible or known to the judge or master who is or will be trying the case in respect of which it is filed.;</w:t>
      </w:r>
    </w:p>
    <w:p>
      <w:pPr>
        <w:pStyle w:val="Indenta"/>
      </w:pPr>
      <w:r>
        <w:tab/>
        <w:t>(b)</w:t>
      </w:r>
      <w:r>
        <w:tab/>
        <w:t>within 1 day after filing it, file a memorandum that does the following —</w:t>
      </w:r>
    </w:p>
    <w:p>
      <w:pPr>
        <w:pStyle w:val="Indenti"/>
      </w:pPr>
      <w:r>
        <w:tab/>
        <w:t>(i)</w:t>
      </w:r>
      <w:r>
        <w:tab/>
        <w:t>explains why the document is such a document;</w:t>
      </w:r>
    </w:p>
    <w:p>
      <w:pPr>
        <w:pStyle w:val="Indenti"/>
      </w:pPr>
      <w:r>
        <w:tab/>
        <w:t>(ii)</w:t>
      </w:r>
      <w:r>
        <w:tab/>
        <w:t>states whether the document will cease to be such a document and, if so, when it will cease to be such a document.</w:t>
      </w:r>
    </w:p>
    <w:p>
      <w:pPr>
        <w:pStyle w:val="Subsection"/>
      </w:pPr>
      <w:r>
        <w:tab/>
        <w:t>(4)</w:t>
      </w:r>
      <w:r>
        <w:tab/>
        <w:t>If the person who filed the document does not comply with subrule (2) or (3), as the case requires, the Principal Registrar may exercise the powers in rule 10(6).</w:t>
      </w:r>
    </w:p>
    <w:p>
      <w:pPr>
        <w:pStyle w:val="Footnotesection"/>
      </w:pPr>
      <w:r>
        <w:tab/>
        <w:t xml:space="preserve">[Rule 14 inserted: Gazette 27 Feb 2018 p. 596-7.] </w:t>
      </w:r>
    </w:p>
    <w:p>
      <w:pPr>
        <w:pStyle w:val="Heading3"/>
      </w:pPr>
      <w:bookmarkStart w:id="1172" w:name="_Toc129074194"/>
      <w:bookmarkStart w:id="1173" w:name="_Toc129075477"/>
      <w:bookmarkStart w:id="1174" w:name="_Toc129078266"/>
      <w:r>
        <w:rPr>
          <w:rStyle w:val="CharDivNo"/>
        </w:rPr>
        <w:t>Division 4</w:t>
      </w:r>
      <w:r>
        <w:t> — </w:t>
      </w:r>
      <w:r>
        <w:rPr>
          <w:rStyle w:val="CharDivText"/>
        </w:rPr>
        <w:t>Miscellaneous matters</w:t>
      </w:r>
      <w:bookmarkEnd w:id="1172"/>
      <w:bookmarkEnd w:id="1173"/>
      <w:bookmarkEnd w:id="1174"/>
    </w:p>
    <w:p>
      <w:pPr>
        <w:pStyle w:val="Footnoteheading"/>
      </w:pPr>
      <w:r>
        <w:tab/>
        <w:t xml:space="preserve">[Heading inserted: Gazette 27 Feb 2018 p. 597.] </w:t>
      </w:r>
    </w:p>
    <w:p>
      <w:pPr>
        <w:pStyle w:val="Heading5"/>
      </w:pPr>
      <w:bookmarkStart w:id="1175" w:name="_Toc129078267"/>
      <w:r>
        <w:rPr>
          <w:rStyle w:val="CharSectno"/>
        </w:rPr>
        <w:t>15</w:t>
      </w:r>
      <w:r>
        <w:t>.</w:t>
      </w:r>
      <w:r>
        <w:tab/>
        <w:t>Principal Registrar may delegate</w:t>
      </w:r>
      <w:bookmarkEnd w:id="1175"/>
    </w:p>
    <w:p>
      <w:pPr>
        <w:pStyle w:val="Subsection"/>
      </w:pPr>
      <w:r>
        <w:tab/>
        <w:t>(1)</w:t>
      </w:r>
      <w:r>
        <w:tab/>
        <w:t>The Principal Registrar, in writing, may delegate all or any of the Principal Registrar’s functions under this Order to 1 or more other officers of the Court.</w:t>
      </w:r>
    </w:p>
    <w:p>
      <w:pPr>
        <w:pStyle w:val="Subsection"/>
      </w:pPr>
      <w:r>
        <w:tab/>
        <w:t>(2)</w:t>
      </w:r>
      <w:r>
        <w:tab/>
        <w:t>For the purposes of these rules, a decision made by a delegate of the Principal Registrar under this Order is taken to be a decision made by the Principal Registrar.</w:t>
      </w:r>
    </w:p>
    <w:p>
      <w:pPr>
        <w:pStyle w:val="Footnotesection"/>
      </w:pPr>
      <w:r>
        <w:tab/>
        <w:t xml:space="preserve">[Rule 15 inserted: Gazette 27 Feb 2018 p. 597.] </w:t>
      </w:r>
    </w:p>
    <w:p>
      <w:pPr>
        <w:pStyle w:val="Heading5"/>
      </w:pPr>
      <w:bookmarkStart w:id="1176" w:name="_Toc129078268"/>
      <w:r>
        <w:rPr>
          <w:rStyle w:val="CharSectno"/>
        </w:rPr>
        <w:t>16</w:t>
      </w:r>
      <w:r>
        <w:t>.</w:t>
      </w:r>
      <w:r>
        <w:tab/>
        <w:t>Principal Registrar may refer matters to judge or master</w:t>
      </w:r>
      <w:bookmarkEnd w:id="1176"/>
    </w:p>
    <w:p>
      <w:pPr>
        <w:pStyle w:val="Subsection"/>
      </w:pPr>
      <w:r>
        <w:tab/>
      </w:r>
      <w:r>
        <w:tab/>
        <w:t>The Principal Registrar may refer a question that arises under this Order in respect of a document to a judge or master.</w:t>
      </w:r>
    </w:p>
    <w:p>
      <w:pPr>
        <w:pStyle w:val="Footnotesection"/>
      </w:pPr>
      <w:r>
        <w:tab/>
        <w:t xml:space="preserve">[Rule 16 inserted: Gazette 27 Feb 2018 p. 597.] </w:t>
      </w:r>
    </w:p>
    <w:p>
      <w:pPr>
        <w:pStyle w:val="Heading5"/>
      </w:pPr>
      <w:bookmarkStart w:id="1177" w:name="_Toc129078269"/>
      <w:r>
        <w:rPr>
          <w:rStyle w:val="CharSectno"/>
        </w:rPr>
        <w:lastRenderedPageBreak/>
        <w:t>17</w:t>
      </w:r>
      <w:r>
        <w:t>.</w:t>
      </w:r>
      <w:r>
        <w:tab/>
        <w:t>Appeals from decisions made under this Order</w:t>
      </w:r>
      <w:bookmarkEnd w:id="1177"/>
    </w:p>
    <w:p>
      <w:pPr>
        <w:pStyle w:val="Subsection"/>
      </w:pPr>
      <w:r>
        <w:tab/>
        <w:t>(1)</w:t>
      </w:r>
      <w:r>
        <w:tab/>
        <w:t>A person who is dissatisfied by a decision made under this Order by the Principal Registrar may ask the Principal Registrar for the decision to be made afresh by a judge or master.</w:t>
      </w:r>
    </w:p>
    <w:p>
      <w:pPr>
        <w:pStyle w:val="Subsection"/>
      </w:pPr>
      <w:r>
        <w:tab/>
        <w:t>(2)</w:t>
      </w:r>
      <w:r>
        <w:tab/>
        <w:t>If the Principal Registrar receives a request made under subrule (1), the Principal Registrar must refer the matter concerned to a judge or master.</w:t>
      </w:r>
    </w:p>
    <w:p>
      <w:pPr>
        <w:pStyle w:val="Footnotesection"/>
      </w:pPr>
      <w:r>
        <w:tab/>
        <w:t xml:space="preserve">[Rule 17 inserted: Gazette 27 Feb 2018 p. 597.] </w:t>
      </w:r>
    </w:p>
    <w:p>
      <w:pPr>
        <w:pStyle w:val="Heading2"/>
      </w:pPr>
      <w:bookmarkStart w:id="1178" w:name="_Toc129074198"/>
      <w:bookmarkStart w:id="1179" w:name="_Toc129075481"/>
      <w:bookmarkStart w:id="1180" w:name="_Toc129078270"/>
      <w:r>
        <w:rPr>
          <w:rStyle w:val="CharPartNo"/>
        </w:rPr>
        <w:lastRenderedPageBreak/>
        <w:t>Order 67B</w:t>
      </w:r>
      <w:r>
        <w:rPr>
          <w:b w:val="0"/>
        </w:rPr>
        <w:t> </w:t>
      </w:r>
      <w:r>
        <w:t>—</w:t>
      </w:r>
      <w:r>
        <w:rPr>
          <w:b w:val="0"/>
        </w:rPr>
        <w:t> </w:t>
      </w:r>
      <w:r>
        <w:rPr>
          <w:rStyle w:val="CharPartText"/>
        </w:rPr>
        <w:t>Access to information and things held by the Court</w:t>
      </w:r>
      <w:bookmarkEnd w:id="1178"/>
      <w:bookmarkEnd w:id="1179"/>
      <w:bookmarkEnd w:id="1180"/>
    </w:p>
    <w:p>
      <w:pPr>
        <w:pStyle w:val="Footnoteheading"/>
      </w:pPr>
      <w:r>
        <w:tab/>
        <w:t xml:space="preserve">[Heading inserted: Gazette 27 Feb 2018 p. 598.] </w:t>
      </w:r>
    </w:p>
    <w:p>
      <w:pPr>
        <w:pStyle w:val="Heading3"/>
      </w:pPr>
      <w:bookmarkStart w:id="1181" w:name="_Toc129074199"/>
      <w:bookmarkStart w:id="1182" w:name="_Toc129075482"/>
      <w:bookmarkStart w:id="1183" w:name="_Toc129078271"/>
      <w:r>
        <w:rPr>
          <w:rStyle w:val="CharDivNo"/>
        </w:rPr>
        <w:t>Division 1</w:t>
      </w:r>
      <w:r>
        <w:t> — </w:t>
      </w:r>
      <w:r>
        <w:rPr>
          <w:rStyle w:val="CharDivText"/>
        </w:rPr>
        <w:t>Preliminary matters</w:t>
      </w:r>
      <w:bookmarkEnd w:id="1181"/>
      <w:bookmarkEnd w:id="1182"/>
      <w:bookmarkEnd w:id="1183"/>
    </w:p>
    <w:p>
      <w:pPr>
        <w:pStyle w:val="Footnoteheading"/>
      </w:pPr>
      <w:r>
        <w:tab/>
        <w:t xml:space="preserve">[Heading inserted: Gazette 27 Feb 2018 p. 598.] </w:t>
      </w:r>
    </w:p>
    <w:p>
      <w:pPr>
        <w:pStyle w:val="Heading5"/>
      </w:pPr>
      <w:bookmarkStart w:id="1184" w:name="_Toc129078272"/>
      <w:r>
        <w:rPr>
          <w:rStyle w:val="CharSectno"/>
        </w:rPr>
        <w:t>1</w:t>
      </w:r>
      <w:r>
        <w:t>.</w:t>
      </w:r>
      <w:r>
        <w:tab/>
        <w:t>Terms used</w:t>
      </w:r>
      <w:bookmarkEnd w:id="1184"/>
    </w:p>
    <w:p>
      <w:pPr>
        <w:pStyle w:val="Subsection"/>
      </w:pPr>
      <w:r>
        <w:tab/>
        <w:t>(1)</w:t>
      </w:r>
      <w:r>
        <w:tab/>
        <w:t>In this Order —</w:t>
      </w:r>
    </w:p>
    <w:p>
      <w:pPr>
        <w:pStyle w:val="Defstart"/>
      </w:pPr>
      <w:r>
        <w:tab/>
      </w:r>
      <w:r>
        <w:rPr>
          <w:rStyle w:val="CharDefText"/>
        </w:rPr>
        <w:t>hearing</w:t>
      </w:r>
      <w:r>
        <w:t xml:space="preserve"> means any hearing, including a trial, held by the Court in a proceeding;</w:t>
      </w:r>
    </w:p>
    <w:p>
      <w:pPr>
        <w:pStyle w:val="Defstart"/>
      </w:pPr>
      <w:r>
        <w:tab/>
      </w:r>
      <w:r>
        <w:rPr>
          <w:rStyle w:val="CharDefText"/>
        </w:rPr>
        <w:t>legislation</w:t>
      </w:r>
      <w:r>
        <w:t xml:space="preserve"> means — </w:t>
      </w:r>
    </w:p>
    <w:p>
      <w:pPr>
        <w:pStyle w:val="Defpara"/>
      </w:pPr>
      <w:r>
        <w:tab/>
        <w:t>(a)</w:t>
      </w:r>
      <w:r>
        <w:tab/>
        <w:t>a written law; or</w:t>
      </w:r>
    </w:p>
    <w:p>
      <w:pPr>
        <w:pStyle w:val="Defpara"/>
      </w:pPr>
      <w:r>
        <w:tab/>
        <w:t>(b)</w:t>
      </w:r>
      <w:r>
        <w:tab/>
        <w:t>legislation of another Australian jurisdiction;</w:t>
      </w:r>
    </w:p>
    <w:p>
      <w:pPr>
        <w:pStyle w:val="Defstart"/>
      </w:pPr>
      <w:r>
        <w:rPr>
          <w:szCs w:val="24"/>
        </w:rPr>
        <w:tab/>
      </w:r>
      <w:r>
        <w:rPr>
          <w:rStyle w:val="CharDefText"/>
          <w:szCs w:val="24"/>
        </w:rPr>
        <w:t>media manager</w:t>
      </w:r>
      <w:r>
        <w:rPr>
          <w:szCs w:val="24"/>
        </w:rPr>
        <w:t xml:space="preserve"> means the person who, on behalf of the Court, manages its relations with media organisations;</w:t>
      </w:r>
    </w:p>
    <w:p>
      <w:pPr>
        <w:pStyle w:val="Defstart"/>
      </w:pPr>
      <w:r>
        <w:tab/>
      </w:r>
      <w:r>
        <w:rPr>
          <w:rStyle w:val="CharDefText"/>
        </w:rPr>
        <w:t xml:space="preserve">media </w:t>
      </w:r>
      <w:r>
        <w:rPr>
          <w:rStyle w:val="CharDefText"/>
          <w:szCs w:val="24"/>
        </w:rPr>
        <w:t>organisation</w:t>
      </w:r>
      <w:r>
        <w:t xml:space="preserve"> means an organisation the principal purpose of which is to, and which itself does, disseminate news or information directly to the public by means of printed paper, radio, television or the internet;</w:t>
      </w:r>
    </w:p>
    <w:p>
      <w:pPr>
        <w:pStyle w:val="Defstart"/>
      </w:pPr>
      <w:r>
        <w:tab/>
      </w:r>
      <w:r>
        <w:rPr>
          <w:rStyle w:val="CharDefText"/>
        </w:rPr>
        <w:t>media representative</w:t>
      </w:r>
      <w:r>
        <w:t xml:space="preserve"> means a person who is employed by a media organisation;</w:t>
      </w:r>
    </w:p>
    <w:p>
      <w:pPr>
        <w:pStyle w:val="Defstart"/>
      </w:pPr>
      <w:r>
        <w:tab/>
      </w:r>
      <w:r>
        <w:rPr>
          <w:rStyle w:val="CharDefText"/>
        </w:rPr>
        <w:t>probate application</w:t>
      </w:r>
      <w:r>
        <w:t xml:space="preserve"> means an application for a grant, as defined in the </w:t>
      </w:r>
      <w:r>
        <w:rPr>
          <w:i/>
        </w:rPr>
        <w:t>Non</w:t>
      </w:r>
      <w:r>
        <w:rPr>
          <w:i/>
        </w:rPr>
        <w:noBreakHyphen/>
        <w:t>contentious Probate Rules 1967</w:t>
      </w:r>
      <w:r>
        <w:t xml:space="preserve"> rule 2;</w:t>
      </w:r>
    </w:p>
    <w:p>
      <w:pPr>
        <w:pStyle w:val="Defstart"/>
      </w:pPr>
      <w:r>
        <w:tab/>
      </w:r>
      <w:r>
        <w:rPr>
          <w:rStyle w:val="CharDefText"/>
        </w:rPr>
        <w:t>proceeding</w:t>
      </w:r>
      <w:r>
        <w:t xml:space="preserve"> means —</w:t>
      </w:r>
    </w:p>
    <w:p>
      <w:pPr>
        <w:pStyle w:val="Defpara"/>
      </w:pPr>
      <w:r>
        <w:tab/>
        <w:t>(a)</w:t>
      </w:r>
      <w:r>
        <w:tab/>
        <w:t>any case, or appeal, in the civil jurisdiction of the General Division; and</w:t>
      </w:r>
    </w:p>
    <w:p>
      <w:pPr>
        <w:pStyle w:val="Defpara"/>
      </w:pPr>
      <w:r>
        <w:tab/>
        <w:t>(b)</w:t>
      </w:r>
      <w:r>
        <w:tab/>
        <w:t xml:space="preserve">any civil appeal, as defined in the </w:t>
      </w:r>
      <w:r>
        <w:rPr>
          <w:i/>
        </w:rPr>
        <w:t>Supreme Court (Court of Appeal) Rules 2005</w:t>
      </w:r>
      <w:r>
        <w:t xml:space="preserve"> rule 3(1); and</w:t>
      </w:r>
    </w:p>
    <w:p>
      <w:pPr>
        <w:pStyle w:val="Defpara"/>
      </w:pPr>
      <w:r>
        <w:tab/>
        <w:t>(c)</w:t>
      </w:r>
      <w:r>
        <w:tab/>
        <w:t>any proceeding on a probate application;</w:t>
      </w:r>
    </w:p>
    <w:p>
      <w:pPr>
        <w:pStyle w:val="Defstart"/>
        <w:keepNext/>
      </w:pPr>
      <w:r>
        <w:lastRenderedPageBreak/>
        <w:tab/>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r>
      <w:r>
        <w:rPr>
          <w:rStyle w:val="CharDefText"/>
        </w:rPr>
        <w:t>transcript</w:t>
      </w:r>
      <w:r>
        <w:t xml:space="preserve"> means a transcript of an audio or audio</w:t>
      </w:r>
      <w:r>
        <w:noBreakHyphen/>
        <w:t>visual recording of a hearing in the Court.</w:t>
      </w:r>
    </w:p>
    <w:p>
      <w:pPr>
        <w:pStyle w:val="Subsection"/>
      </w:pPr>
      <w:r>
        <w:tab/>
        <w:t>(2)</w:t>
      </w:r>
      <w:r>
        <w:tab/>
        <w:t>In this Order, a reference to information or to a record or thing includes a reference to a part of it.</w:t>
      </w:r>
    </w:p>
    <w:p>
      <w:pPr>
        <w:pStyle w:val="Footnotesection"/>
      </w:pPr>
      <w:r>
        <w:tab/>
        <w:t xml:space="preserve">[Rule 1 inserted: Gazette 27 Feb 2018 p. 598-9.] </w:t>
      </w:r>
    </w:p>
    <w:p>
      <w:pPr>
        <w:pStyle w:val="Heading5"/>
      </w:pPr>
      <w:bookmarkStart w:id="1185" w:name="_Toc129078273"/>
      <w:r>
        <w:rPr>
          <w:rStyle w:val="CharSectno"/>
        </w:rPr>
        <w:t>2</w:t>
      </w:r>
      <w:r>
        <w:t>.</w:t>
      </w:r>
      <w:r>
        <w:tab/>
        <w:t>Application of this Order</w:t>
      </w:r>
      <w:bookmarkEnd w:id="1185"/>
    </w:p>
    <w:p>
      <w:pPr>
        <w:pStyle w:val="Subsection"/>
      </w:pPr>
      <w:r>
        <w:tab/>
        <w:t>(1)</w:t>
      </w:r>
      <w:r>
        <w:tab/>
        <w:t>This Order applies to information, records and other things held by the Court in respect of proceedings, whether or not due to a Court order.</w:t>
      </w:r>
    </w:p>
    <w:p>
      <w:pPr>
        <w:pStyle w:val="Subsection"/>
      </w:pPr>
      <w:r>
        <w:tab/>
        <w:t>(2)</w:t>
      </w:r>
      <w:r>
        <w:tab/>
        <w:t xml:space="preserve">This Order, other than Division 7, applies — </w:t>
      </w:r>
    </w:p>
    <w:p>
      <w:pPr>
        <w:pStyle w:val="Indenta"/>
      </w:pPr>
      <w:r>
        <w:tab/>
        <w:t>(a)</w:t>
      </w:r>
      <w:r>
        <w:tab/>
        <w:t>to any person, other than a party to a proceeding, who wants access to information or a record or other thing held by the Court in respect of a proceeding commenced on or after 1 March 2018; and</w:t>
      </w:r>
    </w:p>
    <w:p>
      <w:pPr>
        <w:pStyle w:val="Indenta"/>
      </w:pPr>
      <w:r>
        <w:tab/>
        <w:t>(b)</w:t>
      </w:r>
      <w:r>
        <w:tab/>
        <w:t>to any party to a proceeding who wants access to information or a record or other thing held by the Court in respect of the proceeding, no matter when it was commenced.</w:t>
      </w:r>
    </w:p>
    <w:p>
      <w:pPr>
        <w:pStyle w:val="Subsection"/>
      </w:pPr>
      <w:r>
        <w:tab/>
        <w:t>(3)</w:t>
      </w:r>
      <w:r>
        <w:tab/>
        <w:t>Despite subrules (1) and (2), this Order does not apply to these —</w:t>
      </w:r>
    </w:p>
    <w:p>
      <w:pPr>
        <w:pStyle w:val="Indenta"/>
      </w:pPr>
      <w:r>
        <w:tab/>
        <w:t>(a)</w:t>
      </w:r>
      <w:r>
        <w:tab/>
        <w:t>a record or other thing —</w:t>
      </w:r>
    </w:p>
    <w:p>
      <w:pPr>
        <w:pStyle w:val="Indenti"/>
      </w:pPr>
      <w:r>
        <w:tab/>
        <w:t>(i)</w:t>
      </w:r>
      <w:r>
        <w:tab/>
        <w:t>that is held by the Court as a result of a subpoena it issued in a proceeding; and</w:t>
      </w:r>
    </w:p>
    <w:p>
      <w:pPr>
        <w:pStyle w:val="Indenti"/>
      </w:pPr>
      <w:r>
        <w:lastRenderedPageBreak/>
        <w:tab/>
        <w:t>(ii)</w:t>
      </w:r>
      <w:r>
        <w:tab/>
        <w:t>that has not been formally admitted into evidence as an exhibit, or marked for identification, in the proceeding;</w:t>
      </w:r>
    </w:p>
    <w:p>
      <w:pPr>
        <w:pStyle w:val="Indenta"/>
      </w:pPr>
      <w:r>
        <w:tab/>
        <w:t>(b)</w:t>
      </w:r>
      <w:r>
        <w:tab/>
        <w:t>information, records or other things that the Court has ceased to hold in respect of proceedings;</w:t>
      </w:r>
    </w:p>
    <w:p>
      <w:pPr>
        <w:pStyle w:val="Indenta"/>
      </w:pPr>
      <w:r>
        <w:tab/>
        <w:t>(c)</w:t>
      </w:r>
      <w:r>
        <w:tab/>
        <w:t>a record that —</w:t>
      </w:r>
    </w:p>
    <w:p>
      <w:pPr>
        <w:pStyle w:val="Indenti"/>
      </w:pPr>
      <w:r>
        <w:tab/>
        <w:t>(i)</w:t>
      </w:r>
      <w:r>
        <w:tab/>
        <w:t>is created by or sent to the Court in respect of a proceeding for administrative purposes; and</w:t>
      </w:r>
    </w:p>
    <w:p>
      <w:pPr>
        <w:pStyle w:val="Indenti"/>
      </w:pPr>
      <w:r>
        <w:tab/>
        <w:t>(ii)</w:t>
      </w:r>
      <w:r>
        <w:tab/>
        <w:t>is not a filed document; and</w:t>
      </w:r>
    </w:p>
    <w:p>
      <w:pPr>
        <w:pStyle w:val="Indenti"/>
      </w:pPr>
      <w:r>
        <w:tab/>
        <w:t>(iii)</w:t>
      </w:r>
      <w:r>
        <w:tab/>
        <w:t>is not part of an index or other record of all cases in the Court.</w:t>
      </w:r>
    </w:p>
    <w:p>
      <w:pPr>
        <w:pStyle w:val="Footnotesection"/>
      </w:pPr>
      <w:r>
        <w:tab/>
        <w:t xml:space="preserve">[Rule 2 inserted: Gazette 27 Feb 2018 p. 599-600.] </w:t>
      </w:r>
    </w:p>
    <w:p>
      <w:pPr>
        <w:pStyle w:val="Heading5"/>
      </w:pPr>
      <w:bookmarkStart w:id="1186" w:name="_Toc129078274"/>
      <w:r>
        <w:rPr>
          <w:rStyle w:val="CharSectno"/>
        </w:rPr>
        <w:t>3</w:t>
      </w:r>
      <w:r>
        <w:t>.</w:t>
      </w:r>
      <w:r>
        <w:tab/>
        <w:t>Access to information and things under other legislation</w:t>
      </w:r>
      <w:bookmarkEnd w:id="1186"/>
    </w:p>
    <w:p>
      <w:pPr>
        <w:pStyle w:val="Subsection"/>
      </w:pPr>
      <w:r>
        <w:tab/>
      </w:r>
      <w:r>
        <w:tab/>
        <w:t>This Order does not affect any entitlement a person has under any other legislation to be given access to information or a record or thing.</w:t>
      </w:r>
    </w:p>
    <w:p>
      <w:pPr>
        <w:pStyle w:val="Footnotesection"/>
      </w:pPr>
      <w:r>
        <w:tab/>
        <w:t xml:space="preserve">[Rule 3 inserted: Gazette 27 Feb 2018 p. 600.] </w:t>
      </w:r>
    </w:p>
    <w:p>
      <w:pPr>
        <w:pStyle w:val="Heading5"/>
      </w:pPr>
      <w:bookmarkStart w:id="1187" w:name="_Toc129078275"/>
      <w:r>
        <w:rPr>
          <w:rStyle w:val="CharSectno"/>
        </w:rPr>
        <w:t>4</w:t>
      </w:r>
      <w:r>
        <w:t>.</w:t>
      </w:r>
      <w:r>
        <w:tab/>
        <w:t>Order does not limit Court’s general power to release information</w:t>
      </w:r>
      <w:bookmarkEnd w:id="1187"/>
    </w:p>
    <w:p>
      <w:pPr>
        <w:pStyle w:val="Subsection"/>
      </w:pPr>
      <w:r>
        <w:tab/>
      </w:r>
      <w:r>
        <w:tab/>
        <w:t>This Order does not prevent the Court from releasing, on its own initiative, any information, record or other thing to any person, on any terms and conditions and in any manner, it thinks ﬁt.</w:t>
      </w:r>
    </w:p>
    <w:p>
      <w:pPr>
        <w:pStyle w:val="Footnotesection"/>
      </w:pPr>
      <w:r>
        <w:tab/>
        <w:t xml:space="preserve">[Rule 4 inserted: Gazette 27 Feb 2018 p. 600.] </w:t>
      </w:r>
    </w:p>
    <w:p>
      <w:pPr>
        <w:pStyle w:val="Heading3"/>
      </w:pPr>
      <w:bookmarkStart w:id="1188" w:name="_Toc129074204"/>
      <w:bookmarkStart w:id="1189" w:name="_Toc129075487"/>
      <w:bookmarkStart w:id="1190" w:name="_Toc129078276"/>
      <w:r>
        <w:rPr>
          <w:rStyle w:val="CharDivNo"/>
        </w:rPr>
        <w:t>Division 2</w:t>
      </w:r>
      <w:r>
        <w:t> — </w:t>
      </w:r>
      <w:r>
        <w:rPr>
          <w:rStyle w:val="CharDivText"/>
        </w:rPr>
        <w:t>Orders restricting access</w:t>
      </w:r>
      <w:bookmarkEnd w:id="1188"/>
      <w:bookmarkEnd w:id="1189"/>
      <w:bookmarkEnd w:id="1190"/>
    </w:p>
    <w:p>
      <w:pPr>
        <w:pStyle w:val="Footnoteheading"/>
      </w:pPr>
      <w:r>
        <w:tab/>
        <w:t xml:space="preserve">[Heading inserted: Gazette 27 Feb 2018 p. 601.] </w:t>
      </w:r>
    </w:p>
    <w:p>
      <w:pPr>
        <w:pStyle w:val="Heading5"/>
      </w:pPr>
      <w:bookmarkStart w:id="1191" w:name="_Toc129078277"/>
      <w:r>
        <w:rPr>
          <w:rStyle w:val="CharSectno"/>
        </w:rPr>
        <w:t>5</w:t>
      </w:r>
      <w:r>
        <w:t>.</w:t>
      </w:r>
      <w:r>
        <w:tab/>
        <w:t>Court’s powers to restrict access</w:t>
      </w:r>
      <w:bookmarkEnd w:id="1191"/>
    </w:p>
    <w:p>
      <w:pPr>
        <w:pStyle w:val="Subsection"/>
      </w:pPr>
      <w:r>
        <w:tab/>
        <w:t>(1)</w:t>
      </w:r>
      <w:r>
        <w:tab/>
        <w:t xml:space="preserve">The Court may make an order under this rule — </w:t>
      </w:r>
    </w:p>
    <w:p>
      <w:pPr>
        <w:pStyle w:val="Indenta"/>
      </w:pPr>
      <w:r>
        <w:tab/>
        <w:t>(a)</w:t>
      </w:r>
      <w:r>
        <w:tab/>
        <w:t xml:space="preserve">on its own initiative; or </w:t>
      </w:r>
    </w:p>
    <w:p>
      <w:pPr>
        <w:pStyle w:val="Indenta"/>
      </w:pPr>
      <w:r>
        <w:lastRenderedPageBreak/>
        <w:tab/>
        <w:t>(b)</w:t>
      </w:r>
      <w:r>
        <w:tab/>
        <w:t>on the application of any person.</w:t>
      </w:r>
    </w:p>
    <w:p>
      <w:pPr>
        <w:pStyle w:val="Subsection"/>
      </w:pPr>
      <w:r>
        <w:tab/>
        <w:t>(2)</w:t>
      </w:r>
      <w:r>
        <w:tab/>
        <w:t>An application for an order made under subrule (3) must do the following —</w:t>
      </w:r>
    </w:p>
    <w:p>
      <w:pPr>
        <w:pStyle w:val="Indenta"/>
      </w:pPr>
      <w:r>
        <w:tab/>
        <w:t>(a)</w:t>
      </w:r>
      <w:r>
        <w:tab/>
        <w:t>state the grounds for the application;</w:t>
      </w:r>
    </w:p>
    <w:p>
      <w:pPr>
        <w:pStyle w:val="Indenta"/>
      </w:pPr>
      <w:r>
        <w:tab/>
        <w:t>(b)</w:t>
      </w:r>
      <w:r>
        <w:tab/>
        <w:t>identify the information, record or thing to which the order should apply;</w:t>
      </w:r>
    </w:p>
    <w:p>
      <w:pPr>
        <w:pStyle w:val="Indenta"/>
      </w:pPr>
      <w:r>
        <w:tab/>
        <w:t>(c)</w:t>
      </w:r>
      <w:r>
        <w:tab/>
        <w:t>state the person, or class of persons, whose access to the information, record or thing should be restricted by the order;</w:t>
      </w:r>
    </w:p>
    <w:p>
      <w:pPr>
        <w:pStyle w:val="Indenta"/>
      </w:pPr>
      <w:r>
        <w:tab/>
        <w:t>(d)</w:t>
      </w:r>
      <w:r>
        <w:tab/>
        <w:t>state any conditions that should apply if the Court were to give access to the information, record or thing;</w:t>
      </w:r>
    </w:p>
    <w:p>
      <w:pPr>
        <w:pStyle w:val="Indenta"/>
      </w:pPr>
      <w:r>
        <w:tab/>
        <w:t>(e)</w:t>
      </w:r>
      <w:r>
        <w:tab/>
        <w:t>state the period for which the order should apply.</w:t>
      </w:r>
    </w:p>
    <w:p>
      <w:pPr>
        <w:pStyle w:val="Subsection"/>
      </w:pPr>
      <w:r>
        <w:tab/>
        <w:t>(3)</w:t>
      </w:r>
      <w:r>
        <w:tab/>
        <w:t>The Court may make an order that restricts access to information or a record or other thing if it considers —</w:t>
      </w:r>
    </w:p>
    <w:p>
      <w:pPr>
        <w:pStyle w:val="Indenta"/>
      </w:pPr>
      <w:r>
        <w:tab/>
        <w:t>(a)</w:t>
      </w:r>
      <w:r>
        <w:tab/>
        <w:t>that the information, record or thing is the subject of a pending claim that it is privileged or confidential; or</w:t>
      </w:r>
    </w:p>
    <w:p>
      <w:pPr>
        <w:pStyle w:val="Indenta"/>
      </w:pPr>
      <w:r>
        <w:tab/>
        <w:t>(b)</w:t>
      </w:r>
      <w:r>
        <w:tab/>
        <w:t>that the information, record or thing is privileged or confidential; or</w:t>
      </w:r>
    </w:p>
    <w:p>
      <w:pPr>
        <w:pStyle w:val="Indenta"/>
      </w:pPr>
      <w:r>
        <w:tab/>
        <w:t>(c)</w:t>
      </w:r>
      <w:r>
        <w:tab/>
        <w:t>that in the interests of justice, access to the information, record or thing should be restricted.</w:t>
      </w:r>
    </w:p>
    <w:p>
      <w:pPr>
        <w:pStyle w:val="Subsection"/>
      </w:pPr>
      <w:r>
        <w:tab/>
        <w:t>(4)</w:t>
      </w:r>
      <w:r>
        <w:tab/>
        <w:t xml:space="preserve">An order made under subrule (3) must include the reasons for it and sufficient information to identify clearly — </w:t>
      </w:r>
    </w:p>
    <w:p>
      <w:pPr>
        <w:pStyle w:val="Indenta"/>
      </w:pPr>
      <w:r>
        <w:tab/>
        <w:t>(a)</w:t>
      </w:r>
      <w:r>
        <w:tab/>
        <w:t>the information, record or thing to which the order applies; and</w:t>
      </w:r>
    </w:p>
    <w:p>
      <w:pPr>
        <w:pStyle w:val="Indenta"/>
      </w:pPr>
      <w:r>
        <w:tab/>
        <w:t>(b)</w:t>
      </w:r>
      <w:r>
        <w:tab/>
        <w:t>the person, or class of persons, whose access to the information, record or thing is restricted by the order; and</w:t>
      </w:r>
    </w:p>
    <w:p>
      <w:pPr>
        <w:pStyle w:val="Indenta"/>
      </w:pPr>
      <w:r>
        <w:tab/>
        <w:t>(c)</w:t>
      </w:r>
      <w:r>
        <w:tab/>
        <w:t>any conditions that will apply if access to the information, record or thing were to be given by the Court; and</w:t>
      </w:r>
    </w:p>
    <w:p>
      <w:pPr>
        <w:pStyle w:val="Indenta"/>
      </w:pPr>
      <w:r>
        <w:tab/>
        <w:t>(d)</w:t>
      </w:r>
      <w:r>
        <w:tab/>
        <w:t>the period during which the order applies.</w:t>
      </w:r>
    </w:p>
    <w:p>
      <w:pPr>
        <w:pStyle w:val="Subsection"/>
      </w:pPr>
      <w:r>
        <w:lastRenderedPageBreak/>
        <w:tab/>
        <w:t>(5)</w:t>
      </w:r>
      <w:r>
        <w:tab/>
        <w:t>The Court may at any time, by order, amend or cancel an order made under subrule (3).</w:t>
      </w:r>
    </w:p>
    <w:p>
      <w:pPr>
        <w:pStyle w:val="Subsection"/>
      </w:pPr>
      <w:r>
        <w:tab/>
        <w:t>(6)</w:t>
      </w:r>
      <w:r>
        <w:tab/>
        <w:t>If an application is made for an order made under subrule (3) in respect of information or a record or other thing, access to the information, record or thing is taken to be unavailable to all but the Court and the applicant until the application is decided.</w:t>
      </w:r>
    </w:p>
    <w:p>
      <w:pPr>
        <w:pStyle w:val="Footnotesection"/>
      </w:pPr>
      <w:r>
        <w:tab/>
        <w:t xml:space="preserve">[Rule 5 inserted: Gazette 27 Feb 2018 p. 601-2.] </w:t>
      </w:r>
    </w:p>
    <w:p>
      <w:pPr>
        <w:pStyle w:val="Heading3"/>
      </w:pPr>
      <w:bookmarkStart w:id="1192" w:name="_Toc129074206"/>
      <w:bookmarkStart w:id="1193" w:name="_Toc129075489"/>
      <w:bookmarkStart w:id="1194" w:name="_Toc129078278"/>
      <w:r>
        <w:rPr>
          <w:rStyle w:val="CharDivNo"/>
        </w:rPr>
        <w:t>Division 3</w:t>
      </w:r>
      <w:r>
        <w:t> — </w:t>
      </w:r>
      <w:r>
        <w:rPr>
          <w:rStyle w:val="CharDivText"/>
        </w:rPr>
        <w:t>Entitlements to access</w:t>
      </w:r>
      <w:bookmarkEnd w:id="1192"/>
      <w:bookmarkEnd w:id="1193"/>
      <w:bookmarkEnd w:id="1194"/>
    </w:p>
    <w:p>
      <w:pPr>
        <w:pStyle w:val="Footnoteheading"/>
      </w:pPr>
      <w:r>
        <w:tab/>
        <w:t xml:space="preserve">[Heading inserted: Gazette 27 Feb 2018 p. 602.] </w:t>
      </w:r>
    </w:p>
    <w:p>
      <w:pPr>
        <w:pStyle w:val="Heading5"/>
      </w:pPr>
      <w:bookmarkStart w:id="1195" w:name="_Toc129078279"/>
      <w:r>
        <w:rPr>
          <w:rStyle w:val="CharSectno"/>
        </w:rPr>
        <w:t>6</w:t>
      </w:r>
      <w:r>
        <w:t>.</w:t>
      </w:r>
      <w:r>
        <w:tab/>
        <w:t>Entitlements of every person</w:t>
      </w:r>
      <w:bookmarkEnd w:id="1195"/>
    </w:p>
    <w:p>
      <w:pPr>
        <w:pStyle w:val="Subsection"/>
      </w:pPr>
      <w:r>
        <w:tab/>
        <w:t>(1)</w:t>
      </w:r>
      <w:r>
        <w:tab/>
        <w:t>For the purposes of this rule, a person’s access to information or a document is restricted if the person’s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Unless the person’s access to the information is restricted, any person is entitled to have access to the information listed in the Table held by the Court.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and Court of Appeal information</w:t>
            </w:r>
          </w:p>
        </w:tc>
      </w:tr>
      <w:tr>
        <w:trPr>
          <w:cantSplit/>
        </w:trPr>
        <w:tc>
          <w:tcPr>
            <w:tcW w:w="5500" w:type="dxa"/>
            <w:tcBorders>
              <w:bottom w:val="nil"/>
            </w:tcBorders>
          </w:tcPr>
          <w:p>
            <w:pPr>
              <w:pStyle w:val="TableNAm"/>
              <w:spacing w:before="0"/>
              <w:ind w:left="590" w:hanging="590"/>
            </w:pPr>
            <w:r>
              <w:t>1.</w:t>
            </w:r>
            <w:r>
              <w:tab/>
              <w:t>Whether a named person is or is not a party to a proceeding.</w:t>
            </w:r>
          </w:p>
        </w:tc>
      </w:tr>
      <w:tr>
        <w:trPr>
          <w:cantSplit/>
        </w:trPr>
        <w:tc>
          <w:tcPr>
            <w:tcW w:w="5500" w:type="dxa"/>
            <w:tcBorders>
              <w:top w:val="nil"/>
              <w:bottom w:val="nil"/>
            </w:tcBorders>
          </w:tcPr>
          <w:p>
            <w:pPr>
              <w:pStyle w:val="TableNAm"/>
              <w:spacing w:before="0"/>
              <w:ind w:left="590" w:hanging="590"/>
            </w:pPr>
            <w:r>
              <w:t>2.</w:t>
            </w:r>
            <w:r>
              <w:tab/>
              <w:t>Whether a named person is or is not a witness in a proceeding.</w:t>
            </w:r>
          </w:p>
        </w:tc>
      </w:tr>
      <w:tr>
        <w:trPr>
          <w:cantSplit/>
        </w:trPr>
        <w:tc>
          <w:tcPr>
            <w:tcW w:w="5500" w:type="dxa"/>
            <w:tcBorders>
              <w:top w:val="nil"/>
              <w:bottom w:val="nil"/>
            </w:tcBorders>
          </w:tcPr>
          <w:p>
            <w:pPr>
              <w:pStyle w:val="TableNAm"/>
              <w:spacing w:before="0"/>
              <w:ind w:left="590" w:hanging="590"/>
            </w:pPr>
            <w:r>
              <w:t>3.</w:t>
            </w:r>
            <w:r>
              <w:tab/>
              <w:t>Whether an identified record or thing that relates to a proceeding is or is not held by the Court.</w:t>
            </w:r>
          </w:p>
        </w:tc>
      </w:tr>
      <w:tr>
        <w:trPr>
          <w:cantSplit/>
        </w:trPr>
        <w:tc>
          <w:tcPr>
            <w:tcW w:w="5500" w:type="dxa"/>
            <w:tcBorders>
              <w:top w:val="nil"/>
              <w:bottom w:val="nil"/>
            </w:tcBorders>
          </w:tcPr>
          <w:p>
            <w:pPr>
              <w:pStyle w:val="TableNAm"/>
              <w:spacing w:before="0"/>
              <w:ind w:left="590" w:hanging="590"/>
            </w:pPr>
            <w:r>
              <w:lastRenderedPageBreak/>
              <w:t>4.</w:t>
            </w:r>
            <w:r>
              <w:tab/>
              <w:t>In respect of an identified proceeding —</w:t>
            </w:r>
          </w:p>
          <w:p>
            <w:pPr>
              <w:pStyle w:val="TableNAm"/>
              <w:tabs>
                <w:tab w:val="left" w:pos="1111"/>
              </w:tabs>
              <w:spacing w:before="0"/>
              <w:ind w:left="1123" w:hanging="1123"/>
            </w:pPr>
            <w:r>
              <w:tab/>
              <w:t>(a)</w:t>
            </w:r>
            <w:r>
              <w:tab/>
              <w:t>the name of each party to it;</w:t>
            </w:r>
          </w:p>
          <w:p>
            <w:pPr>
              <w:pStyle w:val="TableNAm"/>
              <w:tabs>
                <w:tab w:val="left" w:pos="1111"/>
              </w:tabs>
              <w:spacing w:before="0"/>
              <w:ind w:left="1123" w:hanging="1123"/>
            </w:pPr>
            <w:r>
              <w:tab/>
              <w:t>(b)</w:t>
            </w:r>
            <w:r>
              <w:tab/>
              <w:t>the name of the representative (if any) of each party to it;</w:t>
            </w:r>
          </w:p>
          <w:p>
            <w:pPr>
              <w:pStyle w:val="TableNAm"/>
              <w:tabs>
                <w:tab w:val="left" w:pos="1111"/>
              </w:tabs>
              <w:spacing w:before="0"/>
              <w:ind w:left="1123" w:hanging="1123"/>
            </w:pPr>
            <w:r>
              <w:tab/>
              <w:t>(c)</w:t>
            </w:r>
            <w:r>
              <w:tab/>
              <w:t>the date on which it was commenced;</w:t>
            </w:r>
          </w:p>
          <w:p>
            <w:pPr>
              <w:pStyle w:val="TableNAm"/>
              <w:tabs>
                <w:tab w:val="left" w:pos="1111"/>
              </w:tabs>
              <w:spacing w:before="0"/>
              <w:ind w:left="1123" w:hanging="1123"/>
            </w:pPr>
            <w:r>
              <w:tab/>
              <w:t>(d)</w:t>
            </w:r>
            <w:r>
              <w:tab/>
              <w:t>the matter reference number assigned to it by the Court;</w:t>
            </w:r>
          </w:p>
        </w:tc>
      </w:tr>
      <w:tr>
        <w:trPr>
          <w:cantSplit/>
        </w:trPr>
        <w:tc>
          <w:tcPr>
            <w:tcW w:w="5500" w:type="dxa"/>
            <w:tcBorders>
              <w:top w:val="nil"/>
            </w:tcBorders>
          </w:tcPr>
          <w:p>
            <w:pPr>
              <w:pStyle w:val="TableNAm"/>
              <w:tabs>
                <w:tab w:val="left" w:pos="1111"/>
              </w:tabs>
              <w:spacing w:before="0"/>
              <w:ind w:left="1123" w:hanging="1123"/>
            </w:pPr>
            <w:r>
              <w:tab/>
              <w:t>(e)</w:t>
            </w:r>
            <w:r>
              <w:tab/>
              <w:t>the title of any filed document held in relation to it;</w:t>
            </w:r>
          </w:p>
          <w:p>
            <w:pPr>
              <w:pStyle w:val="TableNAm"/>
              <w:tabs>
                <w:tab w:val="left" w:pos="1111"/>
              </w:tabs>
              <w:spacing w:before="0"/>
              <w:ind w:left="1123" w:hanging="1123"/>
            </w:pPr>
            <w:r>
              <w:tab/>
              <w:t>(f)</w:t>
            </w:r>
            <w:r>
              <w:tab/>
              <w:t>the date on which a filed document was filed;</w:t>
            </w:r>
          </w:p>
          <w:p>
            <w:pPr>
              <w:pStyle w:val="TableNAm"/>
              <w:tabs>
                <w:tab w:val="left" w:pos="1111"/>
              </w:tabs>
              <w:spacing w:before="0"/>
              <w:ind w:left="1123" w:hanging="1123"/>
            </w:pPr>
            <w:r>
              <w:tab/>
              <w:t>(g)</w:t>
            </w:r>
            <w:r>
              <w:tab/>
              <w:t>the date, time and nature of any hearing in it;</w:t>
            </w:r>
          </w:p>
          <w:p>
            <w:pPr>
              <w:pStyle w:val="TableNAm"/>
              <w:tabs>
                <w:tab w:val="left" w:pos="1111"/>
              </w:tabs>
              <w:spacing w:before="0"/>
              <w:ind w:left="1123" w:hanging="1123"/>
            </w:pPr>
            <w:r>
              <w:tab/>
              <w:t>(h)</w:t>
            </w:r>
            <w:r>
              <w:tab/>
              <w:t>the current status of it.</w:t>
            </w:r>
          </w:p>
        </w:tc>
      </w:tr>
      <w:tr>
        <w:tc>
          <w:tcPr>
            <w:tcW w:w="5500" w:type="dxa"/>
            <w:tcBorders>
              <w:bottom w:val="single" w:sz="4" w:space="0" w:color="auto"/>
            </w:tcBorders>
            <w:shd w:val="clear" w:color="auto" w:fill="auto"/>
          </w:tcPr>
          <w:p>
            <w:pPr>
              <w:pStyle w:val="TableNAm"/>
              <w:spacing w:before="0"/>
              <w:ind w:left="573" w:hanging="573"/>
            </w:pPr>
            <w:r>
              <w:rPr>
                <w:b/>
              </w:rPr>
              <w:t>B.</w:t>
            </w:r>
            <w:r>
              <w:rPr>
                <w:b/>
              </w:rPr>
              <w:tab/>
            </w:r>
            <w:r>
              <w:rPr>
                <w:b/>
                <w:bCs/>
              </w:rPr>
              <w:t>General</w:t>
            </w:r>
            <w:r>
              <w:rPr>
                <w:b/>
              </w:rPr>
              <w:t xml:space="preserve"> Division (non</w:t>
            </w:r>
            <w:r>
              <w:rPr>
                <w:b/>
              </w:rPr>
              <w:noBreakHyphen/>
              <w:t>contentious probate jurisdiction) information</w:t>
            </w:r>
          </w:p>
        </w:tc>
      </w:tr>
      <w:tr>
        <w:tc>
          <w:tcPr>
            <w:tcW w:w="5500" w:type="dxa"/>
            <w:tcBorders>
              <w:bottom w:val="nil"/>
            </w:tcBorders>
            <w:shd w:val="clear" w:color="auto" w:fill="auto"/>
          </w:tcPr>
          <w:p>
            <w:pPr>
              <w:pStyle w:val="TableNAm"/>
              <w:spacing w:before="0"/>
              <w:ind w:left="590" w:hanging="590"/>
            </w:pPr>
            <w:r>
              <w:t>1.</w:t>
            </w:r>
            <w:r>
              <w:tab/>
              <w:t>Whether a named person has made a probate application.</w:t>
            </w:r>
          </w:p>
        </w:tc>
      </w:tr>
      <w:tr>
        <w:tc>
          <w:tcPr>
            <w:tcW w:w="5500" w:type="dxa"/>
            <w:tcBorders>
              <w:top w:val="nil"/>
              <w:bottom w:val="nil"/>
            </w:tcBorders>
            <w:shd w:val="clear" w:color="auto" w:fill="auto"/>
          </w:tcPr>
          <w:p>
            <w:pPr>
              <w:pStyle w:val="TableNAm"/>
              <w:spacing w:before="0"/>
              <w:ind w:left="590" w:hanging="590"/>
            </w:pPr>
            <w:r>
              <w:t>2.</w:t>
            </w:r>
            <w:r>
              <w:tab/>
              <w:t>Whether an identified record or thing that relates to a probate application is or is not held by the Court.</w:t>
            </w:r>
          </w:p>
        </w:tc>
      </w:tr>
      <w:tr>
        <w:trPr>
          <w:cantSplit/>
        </w:trPr>
        <w:tc>
          <w:tcPr>
            <w:tcW w:w="5500" w:type="dxa"/>
            <w:tcBorders>
              <w:top w:val="nil"/>
            </w:tcBorders>
            <w:shd w:val="clear" w:color="auto" w:fill="auto"/>
          </w:tcPr>
          <w:p>
            <w:pPr>
              <w:pStyle w:val="TableNAm"/>
              <w:spacing w:before="0"/>
              <w:ind w:left="588" w:hanging="588"/>
            </w:pPr>
            <w:r>
              <w:t>3.</w:t>
            </w:r>
            <w:r>
              <w:tab/>
              <w:t>In respect of an identified probate application —</w:t>
            </w:r>
          </w:p>
          <w:p>
            <w:pPr>
              <w:pStyle w:val="TableNAm"/>
              <w:tabs>
                <w:tab w:val="left" w:pos="1111"/>
              </w:tabs>
              <w:spacing w:before="0"/>
              <w:ind w:left="1120" w:hanging="1120"/>
            </w:pPr>
            <w:r>
              <w:tab/>
              <w:t>(a)</w:t>
            </w:r>
            <w:r>
              <w:tab/>
              <w:t>the name of the applicant;</w:t>
            </w:r>
          </w:p>
          <w:p>
            <w:pPr>
              <w:pStyle w:val="TableNAm"/>
              <w:tabs>
                <w:tab w:val="left" w:pos="1111"/>
              </w:tabs>
              <w:spacing w:before="0"/>
              <w:ind w:left="1120" w:hanging="1120"/>
            </w:pPr>
            <w:r>
              <w:tab/>
              <w:t>(b)</w:t>
            </w:r>
            <w:r>
              <w:tab/>
              <w:t>the name of the representative (if any) of the applicant;</w:t>
            </w:r>
          </w:p>
          <w:p>
            <w:pPr>
              <w:pStyle w:val="TableNAm"/>
              <w:tabs>
                <w:tab w:val="left" w:pos="1111"/>
              </w:tabs>
              <w:spacing w:before="0"/>
              <w:ind w:left="1120" w:hanging="1120"/>
            </w:pPr>
            <w:r>
              <w:tab/>
              <w:t>(c)</w:t>
            </w:r>
            <w:r>
              <w:tab/>
              <w:t>the date on which it was made;</w:t>
            </w:r>
          </w:p>
          <w:p>
            <w:pPr>
              <w:pStyle w:val="TableNAm"/>
              <w:tabs>
                <w:tab w:val="left" w:pos="1111"/>
              </w:tabs>
              <w:spacing w:before="0"/>
              <w:ind w:left="1120" w:hanging="1120"/>
            </w:pPr>
            <w:r>
              <w:tab/>
              <w:t>(d)</w:t>
            </w:r>
            <w:r>
              <w:tab/>
              <w:t>the matter reference number assigned to it by the Court;</w:t>
            </w:r>
          </w:p>
          <w:p>
            <w:pPr>
              <w:pStyle w:val="TableNAm"/>
              <w:tabs>
                <w:tab w:val="left" w:pos="1111"/>
              </w:tabs>
              <w:spacing w:before="0"/>
              <w:ind w:left="1120" w:hanging="1120"/>
            </w:pPr>
            <w:r>
              <w:tab/>
              <w:t>(e)</w:t>
            </w:r>
            <w:r>
              <w:tab/>
              <w:t>the title of any filed document held in relation to it;</w:t>
            </w:r>
          </w:p>
          <w:p>
            <w:pPr>
              <w:pStyle w:val="TableNAm"/>
              <w:tabs>
                <w:tab w:val="left" w:pos="1111"/>
              </w:tabs>
              <w:spacing w:before="0"/>
              <w:ind w:left="1120" w:hanging="1120"/>
            </w:pPr>
            <w:r>
              <w:tab/>
              <w:t>(f)</w:t>
            </w:r>
            <w:r>
              <w:tab/>
              <w:t>the date on which a filed document was filed;</w:t>
            </w:r>
          </w:p>
          <w:p>
            <w:pPr>
              <w:pStyle w:val="TableNAm"/>
              <w:tabs>
                <w:tab w:val="left" w:pos="1111"/>
              </w:tabs>
              <w:spacing w:before="0"/>
              <w:ind w:left="1120" w:hanging="1120"/>
            </w:pPr>
            <w:r>
              <w:tab/>
              <w:t>(g)</w:t>
            </w:r>
            <w:r>
              <w:tab/>
              <w:t>the date, time and nature of any hearing in it;</w:t>
            </w:r>
          </w:p>
          <w:p>
            <w:pPr>
              <w:pStyle w:val="TableNAm"/>
              <w:tabs>
                <w:tab w:val="left" w:pos="1111"/>
              </w:tabs>
              <w:spacing w:before="0"/>
              <w:ind w:left="1120" w:hanging="1120"/>
            </w:pPr>
            <w:r>
              <w:tab/>
              <w:t>(h)</w:t>
            </w:r>
            <w:r>
              <w:tab/>
              <w:t>the current status of it.</w:t>
            </w:r>
          </w:p>
        </w:tc>
      </w:tr>
    </w:tbl>
    <w:p>
      <w:pPr>
        <w:pStyle w:val="Subsection"/>
      </w:pPr>
      <w:r>
        <w:lastRenderedPageBreak/>
        <w:tab/>
        <w:t>(3)</w:t>
      </w:r>
      <w:r>
        <w:tab/>
        <w:t>Unless the person’s access to the document is restricted, any person is entitled to have access to any of the filed documents, listed in the Table, that commenced a proceeding.</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3" w:hanging="573"/>
            </w:pPr>
            <w:r>
              <w:rPr>
                <w:b/>
                <w:bCs/>
              </w:rPr>
              <w:t>A.</w:t>
            </w:r>
            <w:r>
              <w:rPr>
                <w:b/>
                <w:bCs/>
              </w:rPr>
              <w:tab/>
              <w:t>General Division (general jurisdiction) documents</w:t>
            </w:r>
          </w:p>
        </w:tc>
      </w:tr>
      <w:tr>
        <w:trPr>
          <w:cantSplit/>
        </w:trPr>
        <w:tc>
          <w:tcPr>
            <w:tcW w:w="5500" w:type="dxa"/>
            <w:tcBorders>
              <w:bottom w:val="nil"/>
            </w:tcBorders>
          </w:tcPr>
          <w:p>
            <w:pPr>
              <w:pStyle w:val="TableNAm"/>
              <w:spacing w:before="0"/>
              <w:ind w:left="588" w:hanging="588"/>
            </w:pPr>
            <w:r>
              <w:t xml:space="preserve">1. </w:t>
            </w:r>
            <w:r>
              <w:tab/>
              <w:t>A writ indorsed under Order 6 rule 1 or indorsed with a statement of claim.</w:t>
            </w:r>
          </w:p>
        </w:tc>
      </w:tr>
      <w:tr>
        <w:trPr>
          <w:cantSplit/>
        </w:trPr>
        <w:tc>
          <w:tcPr>
            <w:tcW w:w="5500" w:type="dxa"/>
            <w:tcBorders>
              <w:top w:val="nil"/>
              <w:bottom w:val="nil"/>
            </w:tcBorders>
          </w:tcPr>
          <w:p>
            <w:pPr>
              <w:pStyle w:val="TableNAm"/>
              <w:spacing w:before="0"/>
              <w:ind w:left="588" w:hanging="588"/>
            </w:pPr>
            <w:r>
              <w:t>2.</w:t>
            </w:r>
            <w:r>
              <w:tab/>
              <w:t>An originating summons or motion, or other document, that commenced a proceeding under any of these Acts —</w:t>
            </w:r>
          </w:p>
          <w:p>
            <w:pPr>
              <w:pStyle w:val="TableNAm"/>
              <w:tabs>
                <w:tab w:val="left" w:pos="1111"/>
              </w:tabs>
              <w:spacing w:before="0"/>
              <w:ind w:left="1123" w:hanging="1123"/>
            </w:pPr>
            <w:r>
              <w:tab/>
              <w:t>(a)</w:t>
            </w:r>
            <w:r>
              <w:tab/>
              <w:t xml:space="preserve">the </w:t>
            </w:r>
            <w:r>
              <w:rPr>
                <w:i/>
              </w:rPr>
              <w:t>Corporations Act 2001</w:t>
            </w:r>
            <w:r>
              <w:t xml:space="preserve"> (Commonwealth);</w:t>
            </w:r>
          </w:p>
          <w:p>
            <w:pPr>
              <w:pStyle w:val="TableNAm"/>
              <w:tabs>
                <w:tab w:val="left" w:pos="1111"/>
              </w:tabs>
              <w:spacing w:before="0"/>
              <w:ind w:left="1123" w:hanging="1123"/>
            </w:pPr>
            <w:r>
              <w:tab/>
              <w:t>(b)</w:t>
            </w:r>
            <w:r>
              <w:tab/>
              <w:t xml:space="preserve">the </w:t>
            </w:r>
            <w:r>
              <w:rPr>
                <w:i/>
              </w:rPr>
              <w:t>Family Provision Act 1972</w:t>
            </w:r>
            <w:r>
              <w:t>;</w:t>
            </w:r>
          </w:p>
          <w:p>
            <w:pPr>
              <w:pStyle w:val="TableNAm"/>
              <w:tabs>
                <w:tab w:val="left" w:pos="1111"/>
              </w:tabs>
              <w:spacing w:before="0"/>
              <w:ind w:left="1123" w:hanging="1123"/>
            </w:pPr>
            <w:r>
              <w:tab/>
              <w:t>(c)</w:t>
            </w:r>
            <w:r>
              <w:tab/>
              <w:t xml:space="preserve">the </w:t>
            </w:r>
            <w:r>
              <w:rPr>
                <w:i/>
              </w:rPr>
              <w:t>Transfer of Land Act 1893</w:t>
            </w:r>
            <w:r>
              <w:t>;</w:t>
            </w:r>
          </w:p>
          <w:p>
            <w:pPr>
              <w:pStyle w:val="TableNAm"/>
              <w:tabs>
                <w:tab w:val="left" w:pos="1111"/>
              </w:tabs>
              <w:spacing w:before="0"/>
              <w:ind w:left="1123" w:hanging="1123"/>
            </w:pPr>
            <w:r>
              <w:tab/>
              <w:t>(d)</w:t>
            </w:r>
            <w:r>
              <w:tab/>
              <w:t xml:space="preserve">the </w:t>
            </w:r>
            <w:r>
              <w:rPr>
                <w:i/>
              </w:rPr>
              <w:t>Trustees Act 1962</w:t>
            </w:r>
            <w:r>
              <w:t>.</w:t>
            </w:r>
          </w:p>
        </w:tc>
      </w:tr>
      <w:tr>
        <w:trPr>
          <w:cantSplit/>
        </w:trPr>
        <w:tc>
          <w:tcPr>
            <w:tcW w:w="5500" w:type="dxa"/>
            <w:tcBorders>
              <w:top w:val="nil"/>
            </w:tcBorders>
          </w:tcPr>
          <w:p>
            <w:pPr>
              <w:pStyle w:val="TableNAm"/>
              <w:spacing w:before="0"/>
              <w:ind w:left="588" w:hanging="588"/>
            </w:pPr>
            <w:r>
              <w:t>3.</w:t>
            </w:r>
            <w:r>
              <w:tab/>
              <w:t>An appeal notice.</w:t>
            </w:r>
          </w:p>
        </w:tc>
      </w:tr>
      <w:tr>
        <w:trPr>
          <w:cantSplit/>
        </w:trPr>
        <w:tc>
          <w:tcPr>
            <w:tcW w:w="5500" w:type="dxa"/>
          </w:tcPr>
          <w:p>
            <w:pPr>
              <w:pStyle w:val="TableNAm"/>
              <w:spacing w:before="0"/>
              <w:ind w:left="574" w:hanging="574"/>
            </w:pPr>
            <w:r>
              <w:rPr>
                <w:b/>
              </w:rPr>
              <w:t>B.</w:t>
            </w:r>
            <w:r>
              <w:rPr>
                <w:b/>
              </w:rPr>
              <w:tab/>
              <w:t>Court of Appeal document</w:t>
            </w:r>
          </w:p>
        </w:tc>
      </w:tr>
      <w:tr>
        <w:trPr>
          <w:cantSplit/>
        </w:trPr>
        <w:tc>
          <w:tcPr>
            <w:tcW w:w="5500" w:type="dxa"/>
          </w:tcPr>
          <w:p>
            <w:pPr>
              <w:pStyle w:val="TableNAm"/>
              <w:spacing w:before="0"/>
              <w:ind w:left="588" w:hanging="588"/>
            </w:pPr>
            <w:r>
              <w:t>1.</w:t>
            </w:r>
            <w:r>
              <w:tab/>
              <w:t>An appeal notice.</w:t>
            </w:r>
          </w:p>
        </w:tc>
      </w:tr>
      <w:tr>
        <w:trPr>
          <w:cantSplit/>
        </w:trPr>
        <w:tc>
          <w:tcPr>
            <w:tcW w:w="5500" w:type="dxa"/>
          </w:tcPr>
          <w:p>
            <w:pPr>
              <w:pStyle w:val="TableNAm"/>
              <w:spacing w:before="0"/>
              <w:ind w:left="574" w:hanging="574"/>
            </w:pPr>
            <w:r>
              <w:rPr>
                <w:b/>
              </w:rPr>
              <w:t>C.</w:t>
            </w:r>
            <w:r>
              <w:rPr>
                <w:b/>
              </w:rPr>
              <w:tab/>
              <w:t>General Division (non</w:t>
            </w:r>
            <w:r>
              <w:rPr>
                <w:b/>
              </w:rPr>
              <w:noBreakHyphen/>
              <w:t>contentious probate jurisdiction) documents</w:t>
            </w:r>
          </w:p>
        </w:tc>
      </w:tr>
      <w:tr>
        <w:trPr>
          <w:cantSplit/>
        </w:trPr>
        <w:tc>
          <w:tcPr>
            <w:tcW w:w="5500" w:type="dxa"/>
          </w:tcPr>
          <w:p>
            <w:pPr>
              <w:pStyle w:val="TableNAm"/>
              <w:spacing w:before="0"/>
              <w:ind w:left="588" w:hanging="588"/>
            </w:pPr>
            <w:r>
              <w:t>1.</w:t>
            </w:r>
            <w:r>
              <w:tab/>
              <w:t xml:space="preserve">The originating motion that applies for a grant (as defined in the </w:t>
            </w:r>
            <w:r>
              <w:rPr>
                <w:i/>
              </w:rPr>
              <w:t>Non</w:t>
            </w:r>
            <w:r>
              <w:rPr>
                <w:i/>
              </w:rPr>
              <w:noBreakHyphen/>
              <w:t>contentious Probate Rules 1967</w:t>
            </w:r>
            <w:r>
              <w:t xml:space="preserve"> rule 2).</w:t>
            </w:r>
          </w:p>
        </w:tc>
      </w:tr>
    </w:tbl>
    <w:p>
      <w:pPr>
        <w:pStyle w:val="Subsection"/>
      </w:pPr>
      <w:r>
        <w:tab/>
        <w:t>(4)</w:t>
      </w:r>
      <w:r>
        <w:tab/>
        <w:t>Unless the person’s access to the document is restricted, any person is entitled to have access to —</w:t>
      </w:r>
    </w:p>
    <w:p>
      <w:pPr>
        <w:pStyle w:val="Indenta"/>
      </w:pPr>
      <w:r>
        <w:tab/>
        <w:t>(a)</w:t>
      </w:r>
      <w:r>
        <w:tab/>
        <w:t>any of the documents listed in Part A of the Table held by the Court in respect of a proceeding that was commenced by means of a document listed in Part A of the Table to subrule (3);</w:t>
      </w:r>
    </w:p>
    <w:p>
      <w:pPr>
        <w:pStyle w:val="Indenta"/>
      </w:pPr>
      <w:r>
        <w:tab/>
        <w:t>(b)</w:t>
      </w:r>
      <w:r>
        <w:tab/>
        <w:t>any of the documents listed in Part B of the Table held by the Court in respect of a proceeding that was commenced by means of a document listed in Part B of the Table to subrule (3);</w:t>
      </w:r>
    </w:p>
    <w:p>
      <w:pPr>
        <w:pStyle w:val="Indenta"/>
      </w:pPr>
      <w:r>
        <w:lastRenderedPageBreak/>
        <w:tab/>
        <w:t>(c)</w:t>
      </w:r>
      <w:r>
        <w:tab/>
        <w:t>any of the documents listed in Part C of the Table held by the Court in respect of a proceeding that was commenced by means of a document listed in Part C of the Table to subrule (3).</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500"/>
      </w:tblGrid>
      <w:tr>
        <w:trPr>
          <w:cantSplit/>
        </w:trPr>
        <w:tc>
          <w:tcPr>
            <w:tcW w:w="5500" w:type="dxa"/>
            <w:tcBorders>
              <w:bottom w:val="single" w:sz="4" w:space="0" w:color="auto"/>
            </w:tcBorders>
          </w:tcPr>
          <w:p>
            <w:pPr>
              <w:pStyle w:val="TableNAm"/>
              <w:spacing w:before="0"/>
              <w:ind w:left="574" w:hanging="574"/>
            </w:pPr>
            <w:r>
              <w:rPr>
                <w:b/>
                <w:bCs/>
              </w:rPr>
              <w:t>A.</w:t>
            </w:r>
            <w:r>
              <w:rPr>
                <w:b/>
                <w:bCs/>
              </w:rPr>
              <w:tab/>
            </w:r>
            <w:r>
              <w:rPr>
                <w:b/>
              </w:rPr>
              <w:t>General</w:t>
            </w:r>
            <w:r>
              <w:rPr>
                <w:b/>
                <w:bCs/>
              </w:rPr>
              <w:t xml:space="preserve"> Division (general jurisdiction) documents</w:t>
            </w:r>
          </w:p>
        </w:tc>
      </w:tr>
      <w:tr>
        <w:trPr>
          <w:cantSplit/>
        </w:trPr>
        <w:tc>
          <w:tcPr>
            <w:tcW w:w="5500" w:type="dxa"/>
            <w:tcBorders>
              <w:bottom w:val="nil"/>
            </w:tcBorders>
          </w:tcPr>
          <w:p>
            <w:pPr>
              <w:pStyle w:val="TableNAm"/>
              <w:spacing w:before="0"/>
              <w:ind w:left="588" w:hanging="588"/>
            </w:pPr>
            <w:r>
              <w:t xml:space="preserve">1. </w:t>
            </w:r>
            <w:r>
              <w:tab/>
              <w:t>A memorandum of appearance.</w:t>
            </w:r>
          </w:p>
        </w:tc>
      </w:tr>
      <w:tr>
        <w:trPr>
          <w:cantSplit/>
        </w:trPr>
        <w:tc>
          <w:tcPr>
            <w:tcW w:w="5500" w:type="dxa"/>
            <w:tcBorders>
              <w:top w:val="nil"/>
              <w:bottom w:val="nil"/>
            </w:tcBorders>
          </w:tcPr>
          <w:p>
            <w:pPr>
              <w:pStyle w:val="TableNAm"/>
              <w:spacing w:before="0"/>
              <w:ind w:left="588" w:hanging="588"/>
            </w:pPr>
            <w:r>
              <w:t>2.</w:t>
            </w:r>
            <w:r>
              <w:tab/>
              <w:t>A notice of change of solicitor.</w:t>
            </w:r>
          </w:p>
        </w:tc>
      </w:tr>
      <w:tr>
        <w:trPr>
          <w:cantSplit/>
        </w:trPr>
        <w:tc>
          <w:tcPr>
            <w:tcW w:w="5500" w:type="dxa"/>
            <w:tcBorders>
              <w:top w:val="nil"/>
              <w:bottom w:val="nil"/>
            </w:tcBorders>
          </w:tcPr>
          <w:p>
            <w:pPr>
              <w:pStyle w:val="TableNAm"/>
              <w:spacing w:before="0"/>
              <w:ind w:left="588" w:hanging="588"/>
            </w:pPr>
            <w:r>
              <w:t>3.</w:t>
            </w:r>
            <w:r>
              <w:tab/>
              <w:t>A notice of intention to act in person.</w:t>
            </w:r>
          </w:p>
        </w:tc>
      </w:tr>
      <w:tr>
        <w:trPr>
          <w:cantSplit/>
        </w:trPr>
        <w:tc>
          <w:tcPr>
            <w:tcW w:w="5500" w:type="dxa"/>
            <w:tcBorders>
              <w:top w:val="nil"/>
              <w:bottom w:val="nil"/>
            </w:tcBorders>
          </w:tcPr>
          <w:p>
            <w:pPr>
              <w:pStyle w:val="TableNAm"/>
              <w:spacing w:before="0"/>
              <w:ind w:left="588" w:hanging="588"/>
            </w:pPr>
            <w:r>
              <w:t>4.</w:t>
            </w:r>
            <w:r>
              <w:tab/>
              <w:t>A notice of ceasing to act.</w:t>
            </w:r>
          </w:p>
        </w:tc>
      </w:tr>
      <w:tr>
        <w:trPr>
          <w:cantSplit/>
        </w:trPr>
        <w:tc>
          <w:tcPr>
            <w:tcW w:w="5500" w:type="dxa"/>
            <w:tcBorders>
              <w:top w:val="nil"/>
              <w:bottom w:val="nil"/>
            </w:tcBorders>
          </w:tcPr>
          <w:p>
            <w:pPr>
              <w:pStyle w:val="TableNAm"/>
              <w:spacing w:before="0"/>
              <w:ind w:left="588" w:hanging="588"/>
            </w:pPr>
            <w:r>
              <w:t>5.</w:t>
            </w:r>
            <w:r>
              <w:tab/>
              <w:t>A notice of discontinuance.</w:t>
            </w:r>
          </w:p>
        </w:tc>
      </w:tr>
      <w:tr>
        <w:trPr>
          <w:cantSplit/>
        </w:trPr>
        <w:tc>
          <w:tcPr>
            <w:tcW w:w="5500" w:type="dxa"/>
            <w:tcBorders>
              <w:top w:val="nil"/>
              <w:bottom w:val="nil"/>
            </w:tcBorders>
          </w:tcPr>
          <w:p>
            <w:pPr>
              <w:pStyle w:val="TableNAm"/>
              <w:spacing w:before="0"/>
              <w:ind w:left="588" w:hanging="588"/>
            </w:pPr>
            <w:r>
              <w:t>6.</w:t>
            </w:r>
            <w:r>
              <w:tab/>
              <w:t>A list of exhibits.</w:t>
            </w:r>
          </w:p>
        </w:tc>
      </w:tr>
      <w:tr>
        <w:trPr>
          <w:cantSplit/>
        </w:trPr>
        <w:tc>
          <w:tcPr>
            <w:tcW w:w="5500" w:type="dxa"/>
            <w:tcBorders>
              <w:top w:val="nil"/>
              <w:bottom w:val="nil"/>
            </w:tcBorders>
          </w:tcPr>
          <w:p>
            <w:pPr>
              <w:pStyle w:val="TableNAm"/>
              <w:spacing w:before="0"/>
              <w:ind w:left="588" w:hanging="588"/>
            </w:pPr>
            <w:r>
              <w:t>7.</w:t>
            </w:r>
            <w:r>
              <w:tab/>
              <w:t>A list of things tendered to the Court in a hearing in the proceeding but not admitted into evidence.</w:t>
            </w:r>
          </w:p>
        </w:tc>
      </w:tr>
      <w:tr>
        <w:trPr>
          <w:cantSplit/>
        </w:trPr>
        <w:tc>
          <w:tcPr>
            <w:tcW w:w="5500" w:type="dxa"/>
            <w:tcBorders>
              <w:top w:val="nil"/>
              <w:bottom w:val="nil"/>
            </w:tcBorders>
          </w:tcPr>
          <w:p>
            <w:pPr>
              <w:pStyle w:val="TableNAm"/>
              <w:spacing w:before="0"/>
              <w:ind w:left="588" w:hanging="588"/>
            </w:pPr>
            <w:r>
              <w:t>8.</w:t>
            </w:r>
            <w:r>
              <w:tab/>
              <w:t>A judgment of the Court and the reasons for it.</w:t>
            </w:r>
          </w:p>
        </w:tc>
      </w:tr>
      <w:tr>
        <w:trPr>
          <w:cantSplit/>
        </w:trPr>
        <w:tc>
          <w:tcPr>
            <w:tcW w:w="5500" w:type="dxa"/>
            <w:tcBorders>
              <w:top w:val="nil"/>
              <w:bottom w:val="nil"/>
            </w:tcBorders>
          </w:tcPr>
          <w:p>
            <w:pPr>
              <w:pStyle w:val="TableNAm"/>
              <w:spacing w:before="0"/>
              <w:ind w:left="588" w:hanging="588"/>
            </w:pPr>
            <w:r>
              <w:t>9.</w:t>
            </w:r>
            <w:r>
              <w:tab/>
              <w:t>An order of the Court.</w:t>
            </w:r>
          </w:p>
        </w:tc>
      </w:tr>
      <w:tr>
        <w:trPr>
          <w:cantSplit/>
        </w:trPr>
        <w:tc>
          <w:tcPr>
            <w:tcW w:w="5500" w:type="dxa"/>
            <w:tcBorders>
              <w:top w:val="nil"/>
              <w:bottom w:val="nil"/>
            </w:tcBorders>
          </w:tcPr>
          <w:p>
            <w:pPr>
              <w:pStyle w:val="TableNAm"/>
              <w:spacing w:before="0"/>
              <w:ind w:left="588" w:hanging="588"/>
            </w:pPr>
            <w:r>
              <w:t>10.</w:t>
            </w:r>
            <w:r>
              <w:tab/>
              <w:t>A transcript.</w:t>
            </w:r>
          </w:p>
        </w:tc>
      </w:tr>
      <w:tr>
        <w:trPr>
          <w:cantSplit/>
        </w:trPr>
        <w:tc>
          <w:tcPr>
            <w:tcW w:w="5500" w:type="dxa"/>
            <w:tcBorders>
              <w:top w:val="nil"/>
              <w:bottom w:val="nil"/>
            </w:tcBorders>
          </w:tcPr>
          <w:p>
            <w:pPr>
              <w:pStyle w:val="TableNAm"/>
              <w:spacing w:before="0"/>
              <w:ind w:left="588" w:hanging="588"/>
            </w:pPr>
            <w:r>
              <w:t>11.</w:t>
            </w:r>
            <w:r>
              <w:tab/>
              <w:t>A notice of respondent’s intention filed under Order 65.</w:t>
            </w:r>
          </w:p>
        </w:tc>
      </w:tr>
      <w:tr>
        <w:trPr>
          <w:cantSplit/>
        </w:trPr>
        <w:tc>
          <w:tcPr>
            <w:tcW w:w="5500" w:type="dxa"/>
            <w:tcBorders>
              <w:top w:val="nil"/>
            </w:tcBorders>
          </w:tcPr>
          <w:p>
            <w:pPr>
              <w:pStyle w:val="TableNAm"/>
              <w:spacing w:before="0"/>
              <w:ind w:left="588" w:hanging="588"/>
            </w:pPr>
            <w:r>
              <w:t>12.</w:t>
            </w:r>
            <w:r>
              <w:tab/>
              <w:t>A discontinuance notice filed under Order 65.</w:t>
            </w:r>
          </w:p>
        </w:tc>
      </w:tr>
      <w:tr>
        <w:trPr>
          <w:cantSplit/>
        </w:trPr>
        <w:tc>
          <w:tcPr>
            <w:tcW w:w="5500" w:type="dxa"/>
            <w:tcBorders>
              <w:bottom w:val="single" w:sz="4" w:space="0" w:color="auto"/>
            </w:tcBorders>
          </w:tcPr>
          <w:p>
            <w:pPr>
              <w:pStyle w:val="TableNAm"/>
              <w:spacing w:before="0"/>
              <w:ind w:left="574" w:hanging="574"/>
            </w:pPr>
            <w:r>
              <w:rPr>
                <w:b/>
              </w:rPr>
              <w:t>B.</w:t>
            </w:r>
            <w:r>
              <w:rPr>
                <w:b/>
              </w:rPr>
              <w:tab/>
              <w:t>Court of Appeal documents</w:t>
            </w:r>
          </w:p>
        </w:tc>
      </w:tr>
      <w:tr>
        <w:trPr>
          <w:cantSplit/>
        </w:trPr>
        <w:tc>
          <w:tcPr>
            <w:tcW w:w="5500" w:type="dxa"/>
            <w:tcBorders>
              <w:bottom w:val="nil"/>
            </w:tcBorders>
          </w:tcPr>
          <w:p>
            <w:pPr>
              <w:pStyle w:val="TableNAm"/>
              <w:spacing w:before="0"/>
              <w:ind w:left="588" w:hanging="588"/>
            </w:pPr>
            <w:r>
              <w:t>1.</w:t>
            </w:r>
            <w:r>
              <w:tab/>
              <w:t>A notice of a respondent’s intention.</w:t>
            </w:r>
          </w:p>
        </w:tc>
      </w:tr>
      <w:tr>
        <w:trPr>
          <w:cantSplit/>
        </w:trPr>
        <w:tc>
          <w:tcPr>
            <w:tcW w:w="5500" w:type="dxa"/>
            <w:tcBorders>
              <w:top w:val="nil"/>
              <w:bottom w:val="nil"/>
            </w:tcBorders>
          </w:tcPr>
          <w:p>
            <w:pPr>
              <w:pStyle w:val="TableNAm"/>
              <w:spacing w:before="0"/>
              <w:ind w:left="588" w:hanging="588"/>
            </w:pPr>
            <w:r>
              <w:t>2.</w:t>
            </w:r>
            <w:r>
              <w:tab/>
              <w:t>A notice of a respondent’s cross appeal.</w:t>
            </w:r>
          </w:p>
        </w:tc>
      </w:tr>
      <w:tr>
        <w:trPr>
          <w:cantSplit/>
        </w:trPr>
        <w:tc>
          <w:tcPr>
            <w:tcW w:w="5500" w:type="dxa"/>
            <w:tcBorders>
              <w:top w:val="nil"/>
              <w:bottom w:val="nil"/>
            </w:tcBorders>
          </w:tcPr>
          <w:p>
            <w:pPr>
              <w:pStyle w:val="TableNAm"/>
              <w:spacing w:before="0"/>
              <w:ind w:left="588" w:hanging="588"/>
            </w:pPr>
            <w:r>
              <w:t>3.</w:t>
            </w:r>
            <w:r>
              <w:tab/>
              <w:t>A discontinuance notice.</w:t>
            </w:r>
          </w:p>
        </w:tc>
      </w:tr>
      <w:tr>
        <w:trPr>
          <w:cantSplit/>
        </w:trPr>
        <w:tc>
          <w:tcPr>
            <w:tcW w:w="5500" w:type="dxa"/>
            <w:tcBorders>
              <w:top w:val="nil"/>
              <w:bottom w:val="nil"/>
            </w:tcBorders>
          </w:tcPr>
          <w:p>
            <w:pPr>
              <w:pStyle w:val="TableNAm"/>
              <w:spacing w:before="0"/>
              <w:ind w:left="588" w:hanging="588"/>
            </w:pPr>
            <w:r>
              <w:t>4.</w:t>
            </w:r>
            <w:r>
              <w:tab/>
              <w:t>A list of exhibits referred to in the Court of Appeal.</w:t>
            </w:r>
          </w:p>
        </w:tc>
      </w:tr>
      <w:tr>
        <w:trPr>
          <w:cantSplit/>
        </w:trPr>
        <w:tc>
          <w:tcPr>
            <w:tcW w:w="5500" w:type="dxa"/>
            <w:tcBorders>
              <w:top w:val="nil"/>
              <w:bottom w:val="nil"/>
            </w:tcBorders>
          </w:tcPr>
          <w:p>
            <w:pPr>
              <w:pStyle w:val="TableNAm"/>
              <w:spacing w:before="0"/>
              <w:ind w:left="588" w:hanging="588"/>
            </w:pPr>
            <w:r>
              <w:t>5.</w:t>
            </w:r>
            <w:r>
              <w:tab/>
              <w:t>A judgment of the Court of Appeal and the reasons for it.</w:t>
            </w:r>
          </w:p>
        </w:tc>
      </w:tr>
      <w:tr>
        <w:trPr>
          <w:cantSplit/>
        </w:trPr>
        <w:tc>
          <w:tcPr>
            <w:tcW w:w="5500" w:type="dxa"/>
            <w:tcBorders>
              <w:top w:val="nil"/>
            </w:tcBorders>
          </w:tcPr>
          <w:p>
            <w:pPr>
              <w:pStyle w:val="TableNAm"/>
              <w:spacing w:before="0"/>
              <w:ind w:left="588" w:hanging="588"/>
            </w:pPr>
            <w:r>
              <w:t>6.</w:t>
            </w:r>
            <w:r>
              <w:tab/>
              <w:t>An order made by the Court of Appeal.</w:t>
            </w:r>
          </w:p>
        </w:tc>
      </w:tr>
      <w:tr>
        <w:trPr>
          <w:cantSplit/>
        </w:trPr>
        <w:tc>
          <w:tcPr>
            <w:tcW w:w="5500" w:type="dxa"/>
            <w:tcBorders>
              <w:top w:val="single" w:sz="4" w:space="0" w:color="auto"/>
              <w:left w:val="single" w:sz="4" w:space="0" w:color="auto"/>
              <w:bottom w:val="single" w:sz="4" w:space="0" w:color="auto"/>
              <w:right w:val="single" w:sz="4" w:space="0" w:color="auto"/>
            </w:tcBorders>
          </w:tcPr>
          <w:p>
            <w:pPr>
              <w:pStyle w:val="TableNAm"/>
              <w:spacing w:before="0"/>
              <w:ind w:left="574" w:hanging="574"/>
            </w:pPr>
            <w:r>
              <w:rPr>
                <w:b/>
              </w:rPr>
              <w:t>C.</w:t>
            </w:r>
            <w:r>
              <w:rPr>
                <w:b/>
              </w:rPr>
              <w:tab/>
              <w:t>General Division (non-contentious probate jurisdiction) documents</w:t>
            </w:r>
          </w:p>
        </w:tc>
      </w:tr>
      <w:tr>
        <w:trPr>
          <w:cantSplit/>
        </w:trPr>
        <w:tc>
          <w:tcPr>
            <w:tcW w:w="5500" w:type="dxa"/>
            <w:tcBorders>
              <w:top w:val="single" w:sz="4" w:space="0" w:color="auto"/>
              <w:left w:val="single" w:sz="4" w:space="0" w:color="auto"/>
              <w:bottom w:val="nil"/>
              <w:right w:val="single" w:sz="4" w:space="0" w:color="auto"/>
            </w:tcBorders>
          </w:tcPr>
          <w:p>
            <w:pPr>
              <w:pStyle w:val="TableNAm"/>
              <w:spacing w:before="0"/>
              <w:ind w:left="588" w:hanging="588"/>
            </w:pPr>
            <w:r>
              <w:t>1.</w:t>
            </w:r>
            <w:r>
              <w:tab/>
              <w:t xml:space="preserve">The grant (as defined in the </w:t>
            </w:r>
            <w:r>
              <w:rPr>
                <w:i/>
              </w:rPr>
              <w:t>Non</w:t>
            </w:r>
            <w:r>
              <w:rPr>
                <w:i/>
              </w:rPr>
              <w:noBreakHyphen/>
              <w:t>contentious Probate Rules 1967</w:t>
            </w:r>
            <w:r>
              <w:t xml:space="preserve"> rule 2) with, if applicable, the will attached.</w:t>
            </w:r>
          </w:p>
        </w:tc>
      </w:tr>
      <w:tr>
        <w:trPr>
          <w:cantSplit/>
        </w:trPr>
        <w:tc>
          <w:tcPr>
            <w:tcW w:w="5500" w:type="dxa"/>
            <w:tcBorders>
              <w:top w:val="nil"/>
              <w:left w:val="single" w:sz="4" w:space="0" w:color="auto"/>
              <w:bottom w:val="single" w:sz="4" w:space="0" w:color="auto"/>
              <w:right w:val="single" w:sz="4" w:space="0" w:color="auto"/>
            </w:tcBorders>
          </w:tcPr>
          <w:p>
            <w:pPr>
              <w:pStyle w:val="TableNAm"/>
              <w:spacing w:before="0"/>
              <w:ind w:left="588" w:hanging="588"/>
            </w:pPr>
            <w:r>
              <w:t>2.</w:t>
            </w:r>
            <w:r>
              <w:tab/>
              <w:t>Any order dismissing the originating motion.</w:t>
            </w:r>
          </w:p>
        </w:tc>
      </w:tr>
    </w:tbl>
    <w:p>
      <w:pPr>
        <w:pStyle w:val="Subsection"/>
      </w:pPr>
      <w:r>
        <w:lastRenderedPageBreak/>
        <w:tab/>
        <w:t>(5)</w:t>
      </w:r>
      <w:r>
        <w:tab/>
        <w:t>Despite subrules (2) to (4), a person using the website called the eCourts Portal of Western Australia is entitled to have access to any information or record to which the website, if used lawfully, allows the user to have access.</w:t>
      </w:r>
    </w:p>
    <w:p>
      <w:pPr>
        <w:pStyle w:val="Subsection"/>
      </w:pPr>
      <w:r>
        <w:tab/>
        <w:t>(6)</w:t>
      </w:r>
      <w:r>
        <w:tab/>
        <w:t>Despite subrules (2) to (4), an authorised user of the ECMS is entitled to have access to any information or record to which the system, if used lawfully, allows the user to have access.</w:t>
      </w:r>
    </w:p>
    <w:p>
      <w:pPr>
        <w:pStyle w:val="Footnotesection"/>
      </w:pPr>
      <w:r>
        <w:tab/>
        <w:t xml:space="preserve">[Rule 6 inserted: Gazette 27 Feb 2018 p. 602-6; amended: Gazette 31 Dec 2019 p. 4677-8.] </w:t>
      </w:r>
    </w:p>
    <w:p>
      <w:pPr>
        <w:pStyle w:val="Heading5"/>
      </w:pPr>
      <w:bookmarkStart w:id="1196" w:name="_Toc129078280"/>
      <w:r>
        <w:rPr>
          <w:rStyle w:val="CharSectno"/>
        </w:rPr>
        <w:t>7</w:t>
      </w:r>
      <w:r>
        <w:t>.</w:t>
      </w:r>
      <w:r>
        <w:tab/>
        <w:t>Entitlements of parties</w:t>
      </w:r>
      <w:bookmarkEnd w:id="1196"/>
    </w:p>
    <w:p>
      <w:pPr>
        <w:pStyle w:val="Subsection"/>
      </w:pPr>
      <w:r>
        <w:tab/>
        <w:t>(1)</w:t>
      </w:r>
      <w:r>
        <w:tab/>
        <w:t>For the purposes of this rule, a party’s access to information or a record or other thing is restricted if the party’s access to it is restricted by —</w:t>
      </w:r>
    </w:p>
    <w:p>
      <w:pPr>
        <w:pStyle w:val="Indenta"/>
      </w:pPr>
      <w:r>
        <w:tab/>
        <w:t>(a)</w:t>
      </w:r>
      <w:r>
        <w:tab/>
        <w:t>legislation; or</w:t>
      </w:r>
    </w:p>
    <w:p>
      <w:pPr>
        <w:pStyle w:val="Indenta"/>
      </w:pPr>
      <w:r>
        <w:tab/>
        <w:t>(b)</w:t>
      </w:r>
      <w:r>
        <w:tab/>
        <w:t>an order made by a court in Australia.</w:t>
      </w:r>
    </w:p>
    <w:p>
      <w:pPr>
        <w:pStyle w:val="Subsection"/>
      </w:pPr>
      <w:r>
        <w:tab/>
        <w:t>(2)</w:t>
      </w:r>
      <w:r>
        <w:tab/>
        <w:t xml:space="preserve">Unless the party’s access to the information, record or thing is restricted, a party to a proceeding is entitled to have access to any of the following held by the Court in respect of the proceeding — </w:t>
      </w:r>
    </w:p>
    <w:p>
      <w:pPr>
        <w:pStyle w:val="Indenta"/>
      </w:pPr>
      <w:r>
        <w:tab/>
        <w:t>(a)</w:t>
      </w:r>
      <w:r>
        <w:tab/>
        <w:t>a filed document;</w:t>
      </w:r>
    </w:p>
    <w:p>
      <w:pPr>
        <w:pStyle w:val="Indenta"/>
      </w:pPr>
      <w:r>
        <w:tab/>
        <w:t>(b)</w:t>
      </w:r>
      <w:r>
        <w:tab/>
        <w:t>a list of exhibits;</w:t>
      </w:r>
    </w:p>
    <w:p>
      <w:pPr>
        <w:pStyle w:val="Indenta"/>
      </w:pPr>
      <w:r>
        <w:tab/>
        <w:t>(c)</w:t>
      </w:r>
      <w:r>
        <w:tab/>
        <w:t>an exhibit;</w:t>
      </w:r>
    </w:p>
    <w:p>
      <w:pPr>
        <w:pStyle w:val="Indenta"/>
      </w:pPr>
      <w:r>
        <w:tab/>
        <w:t>(d)</w:t>
      </w:r>
      <w:r>
        <w:tab/>
        <w:t>a list of things tendered to the Court in a hearing in the proceeding but not admitted into evidence;</w:t>
      </w:r>
    </w:p>
    <w:p>
      <w:pPr>
        <w:pStyle w:val="Indenta"/>
      </w:pPr>
      <w:r>
        <w:tab/>
        <w:t>(e)</w:t>
      </w:r>
      <w:r>
        <w:tab/>
        <w:t>any thing on the list referred to in paragraph (d);</w:t>
      </w:r>
    </w:p>
    <w:p>
      <w:pPr>
        <w:pStyle w:val="Indenta"/>
      </w:pPr>
      <w:r>
        <w:tab/>
        <w:t>(f)</w:t>
      </w:r>
      <w:r>
        <w:tab/>
        <w:t>a transcript.</w:t>
      </w:r>
    </w:p>
    <w:p>
      <w:pPr>
        <w:pStyle w:val="Footnotesection"/>
      </w:pPr>
      <w:r>
        <w:tab/>
        <w:t xml:space="preserve">[Rule 7 inserted: Gazette 27 Feb 2018 p. 606-7.] </w:t>
      </w:r>
    </w:p>
    <w:p>
      <w:pPr>
        <w:pStyle w:val="Heading3"/>
      </w:pPr>
      <w:bookmarkStart w:id="1197" w:name="_Toc129074209"/>
      <w:bookmarkStart w:id="1198" w:name="_Toc129075492"/>
      <w:bookmarkStart w:id="1199" w:name="_Toc129078281"/>
      <w:r>
        <w:rPr>
          <w:rStyle w:val="CharDivNo"/>
        </w:rPr>
        <w:lastRenderedPageBreak/>
        <w:t>Division 4</w:t>
      </w:r>
      <w:r>
        <w:t> — </w:t>
      </w:r>
      <w:r>
        <w:rPr>
          <w:rStyle w:val="CharDivText"/>
        </w:rPr>
        <w:t>Access with the Court’s permission</w:t>
      </w:r>
      <w:bookmarkEnd w:id="1197"/>
      <w:bookmarkEnd w:id="1198"/>
      <w:bookmarkEnd w:id="1199"/>
    </w:p>
    <w:p>
      <w:pPr>
        <w:pStyle w:val="Footnoteheading"/>
        <w:keepNext/>
      </w:pPr>
      <w:r>
        <w:tab/>
        <w:t xml:space="preserve">[Heading inserted: Gazette 27 Feb 2018 p. 607.] </w:t>
      </w:r>
    </w:p>
    <w:p>
      <w:pPr>
        <w:pStyle w:val="Heading5"/>
      </w:pPr>
      <w:bookmarkStart w:id="1200" w:name="_Toc129078282"/>
      <w:r>
        <w:rPr>
          <w:rStyle w:val="CharSectno"/>
        </w:rPr>
        <w:t>8</w:t>
      </w:r>
      <w:r>
        <w:t>.</w:t>
      </w:r>
      <w:r>
        <w:tab/>
        <w:t>Access with the Court’s permission</w:t>
      </w:r>
      <w:bookmarkEnd w:id="1200"/>
    </w:p>
    <w:p>
      <w:pPr>
        <w:pStyle w:val="Subsection"/>
      </w:pPr>
      <w:r>
        <w:tab/>
      </w:r>
      <w:r>
        <w:tab/>
        <w:t>A person who, for any reason, is not entitled to have access to information or a record or other thing under Division 3 may have access to it only —</w:t>
      </w:r>
    </w:p>
    <w:p>
      <w:pPr>
        <w:pStyle w:val="Indenta"/>
      </w:pPr>
      <w:r>
        <w:tab/>
        <w:t>(a)</w:t>
      </w:r>
      <w:r>
        <w:tab/>
        <w:t>with the permission of the Court given under rule 9 on an application made to the Court under rule 11; or</w:t>
      </w:r>
    </w:p>
    <w:p>
      <w:pPr>
        <w:pStyle w:val="Indenta"/>
      </w:pPr>
      <w:r>
        <w:tab/>
        <w:t>(b)</w:t>
      </w:r>
      <w:r>
        <w:tab/>
        <w:t>with the permission of the media manager given under rule 10 on an application made to the media manager under rule 11.</w:t>
      </w:r>
    </w:p>
    <w:p>
      <w:pPr>
        <w:pStyle w:val="Footnotesection"/>
      </w:pPr>
      <w:r>
        <w:tab/>
        <w:t xml:space="preserve">[Rule 8 inserted: Gazette 27 Feb 2018 p. 607.] </w:t>
      </w:r>
    </w:p>
    <w:p>
      <w:pPr>
        <w:pStyle w:val="Heading5"/>
      </w:pPr>
      <w:bookmarkStart w:id="1201" w:name="_Toc129078283"/>
      <w:r>
        <w:rPr>
          <w:rStyle w:val="CharSectno"/>
        </w:rPr>
        <w:t>9</w:t>
      </w:r>
      <w:r>
        <w:t>.</w:t>
      </w:r>
      <w:r>
        <w:tab/>
        <w:t>When Court can give permission</w:t>
      </w:r>
      <w:bookmarkEnd w:id="1201"/>
    </w:p>
    <w:p>
      <w:pPr>
        <w:pStyle w:val="Subsection"/>
      </w:pPr>
      <w:r>
        <w:tab/>
        <w:t>(1)</w:t>
      </w:r>
      <w:r>
        <w:tab/>
        <w:t>This rule applies if an application for permission is made in writing to the Court under rule 11.</w:t>
      </w:r>
    </w:p>
    <w:p>
      <w:pPr>
        <w:pStyle w:val="Subsection"/>
      </w:pPr>
      <w:r>
        <w:tab/>
        <w:t>(2)</w:t>
      </w:r>
      <w:r>
        <w:tab/>
        <w:t>This rule must be read with rule 13.</w:t>
      </w:r>
    </w:p>
    <w:p>
      <w:pPr>
        <w:pStyle w:val="Subsection"/>
      </w:pPr>
      <w:r>
        <w:tab/>
        <w:t>(3)</w:t>
      </w:r>
      <w:r>
        <w:tab/>
        <w:t>The Court must give permission if satisfied —</w:t>
      </w:r>
    </w:p>
    <w:p>
      <w:pPr>
        <w:pStyle w:val="Indenta"/>
      </w:pPr>
      <w:r>
        <w:tab/>
        <w:t>(a)</w:t>
      </w:r>
      <w:r>
        <w:tab/>
        <w:t>the application —</w:t>
      </w:r>
    </w:p>
    <w:p>
      <w:pPr>
        <w:pStyle w:val="Indenti"/>
      </w:pPr>
      <w:r>
        <w:tab/>
        <w:t>(i)</w:t>
      </w:r>
      <w:r>
        <w:tab/>
        <w:t>relates to information or a record or other thing that was considered by the Court in the proceeding to which the application relates; or</w:t>
      </w:r>
    </w:p>
    <w:p>
      <w:pPr>
        <w:pStyle w:val="Indenti"/>
      </w:pPr>
      <w:r>
        <w:tab/>
        <w:t>(ii)</w:t>
      </w:r>
      <w:r>
        <w:tab/>
        <w:t>relates to the transcript of the whole or a part of a hearing in that proceeding that the applicant was entitled to attend;</w:t>
      </w:r>
    </w:p>
    <w:p>
      <w:pPr>
        <w:pStyle w:val="Indenta"/>
      </w:pPr>
      <w:r>
        <w:tab/>
      </w:r>
      <w:r>
        <w:tab/>
        <w:t>and</w:t>
      </w:r>
    </w:p>
    <w:p>
      <w:pPr>
        <w:pStyle w:val="Indenta"/>
      </w:pPr>
      <w:r>
        <w:tab/>
        <w:t>(b)</w:t>
      </w:r>
      <w:r>
        <w:tab/>
        <w:t>the application does not relate to an audio or audio</w:t>
      </w:r>
      <w:r>
        <w:noBreakHyphen/>
        <w:t>visual recording of a hearing in that proceeding; and</w:t>
      </w:r>
    </w:p>
    <w:p>
      <w:pPr>
        <w:pStyle w:val="Indenta"/>
      </w:pPr>
      <w:r>
        <w:tab/>
        <w:t>(c)</w:t>
      </w:r>
      <w:r>
        <w:tab/>
        <w:t xml:space="preserve">if the application relates to information or a record or other thing that was considered by the Court in that </w:t>
      </w:r>
      <w:r>
        <w:lastRenderedPageBreak/>
        <w:t>proceeding but was not admitted into evidence or was struck out — that giving permission would not prejudice or adversely affect any person; and</w:t>
      </w:r>
    </w:p>
    <w:p>
      <w:pPr>
        <w:pStyle w:val="Indenta"/>
      </w:pPr>
      <w:r>
        <w:tab/>
        <w:t>(d)</w:t>
      </w:r>
      <w:r>
        <w:tab/>
        <w:t>that giving permission would not breach —</w:t>
      </w:r>
    </w:p>
    <w:p>
      <w:pPr>
        <w:pStyle w:val="Indenti"/>
      </w:pPr>
      <w:r>
        <w:tab/>
        <w:t>(i)</w:t>
      </w:r>
      <w:r>
        <w:tab/>
        <w:t>any legislation; or</w:t>
      </w:r>
    </w:p>
    <w:p>
      <w:pPr>
        <w:pStyle w:val="Indenti"/>
      </w:pPr>
      <w:r>
        <w:tab/>
        <w:t>(ii)</w:t>
      </w:r>
      <w:r>
        <w:tab/>
        <w:t>an order made by a court in Australia;</w:t>
      </w:r>
    </w:p>
    <w:p>
      <w:pPr>
        <w:pStyle w:val="Indenta"/>
      </w:pPr>
      <w:r>
        <w:tab/>
      </w:r>
      <w:r>
        <w:tab/>
        <w:t>and</w:t>
      </w:r>
    </w:p>
    <w:p>
      <w:pPr>
        <w:pStyle w:val="Indenta"/>
      </w:pPr>
      <w:r>
        <w:tab/>
        <w:t>(e)</w:t>
      </w:r>
      <w:r>
        <w:tab/>
        <w:t xml:space="preserve">the arrangements necessary to give the applicant access would not — </w:t>
      </w:r>
    </w:p>
    <w:p>
      <w:pPr>
        <w:pStyle w:val="Indenti"/>
      </w:pPr>
      <w:r>
        <w:tab/>
        <w:t>(i)</w:t>
      </w:r>
      <w:r>
        <w:tab/>
        <w:t>be unreasonably expensive or time consuming for the Court or a party; or</w:t>
      </w:r>
    </w:p>
    <w:p>
      <w:pPr>
        <w:pStyle w:val="Indenti"/>
      </w:pPr>
      <w:r>
        <w:tab/>
        <w:t>(ii)</w:t>
      </w:r>
      <w:r>
        <w:tab/>
        <w:t>unduly impede the efficient conduct of the proceeding;</w:t>
      </w:r>
    </w:p>
    <w:p>
      <w:pPr>
        <w:pStyle w:val="Indenta"/>
      </w:pPr>
      <w:r>
        <w:tab/>
      </w:r>
      <w:r>
        <w:tab/>
        <w:t>and</w:t>
      </w:r>
    </w:p>
    <w:p>
      <w:pPr>
        <w:pStyle w:val="Indenta"/>
      </w:pPr>
      <w:r>
        <w:tab/>
        <w:t>(f)</w:t>
      </w:r>
      <w:r>
        <w:tab/>
        <w:t>there is no other good reason to refuse the application.</w:t>
      </w:r>
    </w:p>
    <w:p>
      <w:pPr>
        <w:pStyle w:val="Subsection"/>
      </w:pPr>
      <w:r>
        <w:tab/>
        <w:t>(4)</w:t>
      </w:r>
      <w:r>
        <w:tab/>
        <w:t>If the application does not relate to information or a record or other thing referred to in subrule (3)(a) or to a recording referred to in subrule (3)(b), the Court may give permission if satisfied —</w:t>
      </w:r>
    </w:p>
    <w:p>
      <w:pPr>
        <w:pStyle w:val="Indenta"/>
      </w:pPr>
      <w:r>
        <w:tab/>
        <w:t>(a)</w:t>
      </w:r>
      <w:r>
        <w:tab/>
        <w:t>as to the matters in subrule (3)(d) to (f); and</w:t>
      </w:r>
    </w:p>
    <w:p>
      <w:pPr>
        <w:pStyle w:val="Indenta"/>
      </w:pPr>
      <w:r>
        <w:tab/>
        <w:t>(b)</w:t>
      </w:r>
      <w:r>
        <w:tab/>
        <w:t>there is a good reason to do so.</w:t>
      </w:r>
    </w:p>
    <w:p>
      <w:pPr>
        <w:pStyle w:val="Subsection"/>
      </w:pPr>
      <w:r>
        <w:tab/>
        <w:t>(5)</w:t>
      </w:r>
      <w:r>
        <w:tab/>
        <w:t>If under subrule (3)(a)(ii) the Court is not satisfied the applicant was entitled to attend the hearing, the Court may nevertheless give permission if satisfied —</w:t>
      </w:r>
    </w:p>
    <w:p>
      <w:pPr>
        <w:pStyle w:val="Indenta"/>
      </w:pPr>
      <w:r>
        <w:tab/>
        <w:t>(a)</w:t>
      </w:r>
      <w:r>
        <w:tab/>
        <w:t>as to the other matters in subrule (3); and</w:t>
      </w:r>
    </w:p>
    <w:p>
      <w:pPr>
        <w:pStyle w:val="Indenta"/>
      </w:pPr>
      <w:r>
        <w:tab/>
        <w:t>(b)</w:t>
      </w:r>
      <w:r>
        <w:tab/>
        <w:t>there is a good reason to do so.</w:t>
      </w:r>
    </w:p>
    <w:p>
      <w:pPr>
        <w:pStyle w:val="Subsection"/>
      </w:pPr>
      <w:r>
        <w:tab/>
        <w:t>(6)</w:t>
      </w:r>
      <w:r>
        <w:tab/>
        <w:t xml:space="preserve">If the application relates to a recording referred to in subrule (3)(b) then — </w:t>
      </w:r>
    </w:p>
    <w:p>
      <w:pPr>
        <w:pStyle w:val="Indenta"/>
      </w:pPr>
      <w:r>
        <w:tab/>
        <w:t>(a)</w:t>
      </w:r>
      <w:r>
        <w:tab/>
        <w:t>if the recording has been broadcast on the Court’s website, the Court may give permission if satisfied there is no good reason to refuse the application; or</w:t>
      </w:r>
    </w:p>
    <w:p>
      <w:pPr>
        <w:pStyle w:val="Indenta"/>
      </w:pPr>
      <w:r>
        <w:lastRenderedPageBreak/>
        <w:tab/>
        <w:t>(b)</w:t>
      </w:r>
      <w:r>
        <w:tab/>
        <w:t>if the recording has not been broadcast on the Court’s website, the Court may give permission only if satisfied —</w:t>
      </w:r>
    </w:p>
    <w:p>
      <w:pPr>
        <w:pStyle w:val="Indenti"/>
      </w:pPr>
      <w:r>
        <w:tab/>
        <w:t>(i)</w:t>
      </w:r>
      <w:r>
        <w:tab/>
        <w:t>as to the matters in subrule (3)(d) to (f); and</w:t>
      </w:r>
    </w:p>
    <w:p>
      <w:pPr>
        <w:pStyle w:val="Indenti"/>
      </w:pPr>
      <w:r>
        <w:tab/>
        <w:t>(ii)</w:t>
      </w:r>
      <w:r>
        <w:tab/>
        <w:t>there is an exceptional reason to do so.</w:t>
      </w:r>
    </w:p>
    <w:p>
      <w:pPr>
        <w:pStyle w:val="Footnotesection"/>
      </w:pPr>
      <w:r>
        <w:tab/>
        <w:t xml:space="preserve">[Rule 9 inserted: Gazette 27 Feb 2018 p. 607-9.] </w:t>
      </w:r>
    </w:p>
    <w:p>
      <w:pPr>
        <w:pStyle w:val="Heading5"/>
      </w:pPr>
      <w:bookmarkStart w:id="1202" w:name="_Toc129078284"/>
      <w:r>
        <w:rPr>
          <w:rStyle w:val="CharSectno"/>
        </w:rPr>
        <w:t>10</w:t>
      </w:r>
      <w:r>
        <w:t>.</w:t>
      </w:r>
      <w:r>
        <w:tab/>
        <w:t>When media manager can give permission</w:t>
      </w:r>
      <w:bookmarkEnd w:id="1202"/>
    </w:p>
    <w:p>
      <w:pPr>
        <w:pStyle w:val="Subsection"/>
      </w:pPr>
      <w:r>
        <w:tab/>
        <w:t>(1)</w:t>
      </w:r>
      <w:r>
        <w:tab/>
        <w:t>This rule applies if —</w:t>
      </w:r>
    </w:p>
    <w:p>
      <w:pPr>
        <w:pStyle w:val="Indenta"/>
      </w:pPr>
      <w:r>
        <w:tab/>
        <w:t>(a)</w:t>
      </w:r>
      <w:r>
        <w:tab/>
        <w:t>a media representative makes an oral application for permission under rule 11 to the media manager; or</w:t>
      </w:r>
    </w:p>
    <w:p>
      <w:pPr>
        <w:pStyle w:val="Indenta"/>
      </w:pPr>
      <w:r>
        <w:tab/>
        <w:t>(b)</w:t>
      </w:r>
      <w:r>
        <w:tab/>
        <w:t>a media representative makes a written application for permission under rule 11 to the Court that the Court refers to the media manager to deal with.</w:t>
      </w:r>
    </w:p>
    <w:p>
      <w:pPr>
        <w:pStyle w:val="Subsection"/>
      </w:pPr>
      <w:r>
        <w:tab/>
        <w:t>(2)</w:t>
      </w:r>
      <w:r>
        <w:tab/>
        <w:t>This rule must be read with rule 13.</w:t>
      </w:r>
    </w:p>
    <w:p>
      <w:pPr>
        <w:pStyle w:val="Subsection"/>
      </w:pPr>
      <w:r>
        <w:tab/>
        <w:t>(3)</w:t>
      </w:r>
      <w:r>
        <w:tab/>
        <w:t>The media manager must give permission if satisfied —</w:t>
      </w:r>
    </w:p>
    <w:p>
      <w:pPr>
        <w:pStyle w:val="Indenta"/>
      </w:pPr>
      <w:r>
        <w:tab/>
        <w:t>(a)</w:t>
      </w:r>
      <w:r>
        <w:tab/>
        <w:t>the applicant is a media representative; and</w:t>
      </w:r>
    </w:p>
    <w:p>
      <w:pPr>
        <w:pStyle w:val="Indenta"/>
      </w:pPr>
      <w:r>
        <w:tab/>
        <w:t>(b)</w:t>
      </w:r>
      <w:r>
        <w:tab/>
        <w:t>the Court has already given another media representative permission to have access to the information, record or other thing to which the applicant wants access; and</w:t>
      </w:r>
    </w:p>
    <w:p>
      <w:pPr>
        <w:pStyle w:val="Indenta"/>
      </w:pPr>
      <w:r>
        <w:tab/>
        <w:t>(c)</w:t>
      </w:r>
      <w:r>
        <w:tab/>
        <w:t>neither the other media representative nor the other media representative’s employer is a party to the proceeding in respect of which that information, record or other thing is held by the Court; and</w:t>
      </w:r>
    </w:p>
    <w:p>
      <w:pPr>
        <w:pStyle w:val="Indenta"/>
      </w:pPr>
      <w:r>
        <w:tab/>
        <w:t>(d)</w:t>
      </w:r>
      <w:r>
        <w:tab/>
        <w:t>neither the applicant nor the applicant’s employer is a party to that proceeding.</w:t>
      </w:r>
    </w:p>
    <w:p>
      <w:pPr>
        <w:pStyle w:val="Subsection"/>
      </w:pPr>
      <w:r>
        <w:tab/>
        <w:t>(4)</w:t>
      </w:r>
      <w:r>
        <w:tab/>
        <w:t>If the media manager gives permission under subrule (3), it must be on the same terms and conditions (if any) as those on which the Court gave permission to the other media representative.</w:t>
      </w:r>
    </w:p>
    <w:p>
      <w:pPr>
        <w:pStyle w:val="Footnotesection"/>
      </w:pPr>
      <w:r>
        <w:tab/>
        <w:t xml:space="preserve">[Rule 10 inserted: Gazette 27 Feb 2018 p. 609-10.] </w:t>
      </w:r>
    </w:p>
    <w:p>
      <w:pPr>
        <w:pStyle w:val="Heading3"/>
      </w:pPr>
      <w:bookmarkStart w:id="1203" w:name="_Toc129074213"/>
      <w:bookmarkStart w:id="1204" w:name="_Toc129075496"/>
      <w:bookmarkStart w:id="1205" w:name="_Toc129078285"/>
      <w:r>
        <w:rPr>
          <w:rStyle w:val="CharDivNo"/>
        </w:rPr>
        <w:lastRenderedPageBreak/>
        <w:t>Division 5</w:t>
      </w:r>
      <w:r>
        <w:t> — </w:t>
      </w:r>
      <w:r>
        <w:rPr>
          <w:rStyle w:val="CharDivText"/>
        </w:rPr>
        <w:t>Applications for access</w:t>
      </w:r>
      <w:bookmarkEnd w:id="1203"/>
      <w:bookmarkEnd w:id="1204"/>
      <w:bookmarkEnd w:id="1205"/>
    </w:p>
    <w:p>
      <w:pPr>
        <w:pStyle w:val="Footnoteheading"/>
      </w:pPr>
      <w:r>
        <w:tab/>
        <w:t xml:space="preserve">[Heading inserted: Gazette 27 Feb 2018 p. 610.] </w:t>
      </w:r>
    </w:p>
    <w:p>
      <w:pPr>
        <w:pStyle w:val="Heading5"/>
      </w:pPr>
      <w:bookmarkStart w:id="1206" w:name="_Toc129078286"/>
      <w:r>
        <w:rPr>
          <w:rStyle w:val="CharSectno"/>
        </w:rPr>
        <w:t>11</w:t>
      </w:r>
      <w:r>
        <w:t>.</w:t>
      </w:r>
      <w:r>
        <w:tab/>
        <w:t>Applying for access</w:t>
      </w:r>
      <w:bookmarkEnd w:id="1206"/>
    </w:p>
    <w:p>
      <w:pPr>
        <w:pStyle w:val="Subsection"/>
      </w:pPr>
      <w:r>
        <w:tab/>
        <w:t>(1)</w:t>
      </w:r>
      <w:r>
        <w:tab/>
        <w:t>A person using the Court’s website —</w:t>
      </w:r>
    </w:p>
    <w:p>
      <w:pPr>
        <w:pStyle w:val="Indenta"/>
      </w:pPr>
      <w:r>
        <w:tab/>
        <w:t>(a)</w:t>
      </w:r>
      <w:r>
        <w:tab/>
        <w:t>may have access to any information or record to which the website, if used lawfully, allows the user to have access; and</w:t>
      </w:r>
    </w:p>
    <w:p>
      <w:pPr>
        <w:pStyle w:val="Indenta"/>
      </w:pPr>
      <w:r>
        <w:tab/>
        <w:t>(b)</w:t>
      </w:r>
      <w:r>
        <w:tab/>
        <w:t>need not apply under this rule for access to the information or record.</w:t>
      </w:r>
    </w:p>
    <w:p>
      <w:pPr>
        <w:pStyle w:val="Subsection"/>
      </w:pPr>
      <w:r>
        <w:tab/>
        <w:t>(2)</w:t>
      </w:r>
      <w:r>
        <w:tab/>
        <w:t>A person who is an authorised user of the ECMS —</w:t>
      </w:r>
    </w:p>
    <w:p>
      <w:pPr>
        <w:pStyle w:val="Indenta"/>
      </w:pPr>
      <w:r>
        <w:tab/>
        <w:t>(a)</w:t>
      </w:r>
      <w:r>
        <w:tab/>
        <w:t>may have access to any information or record related to proceedings to which that system, if used lawfully, allows the person to have access; and</w:t>
      </w:r>
    </w:p>
    <w:p>
      <w:pPr>
        <w:pStyle w:val="Indenta"/>
      </w:pPr>
      <w:r>
        <w:tab/>
        <w:t>(b)</w:t>
      </w:r>
      <w:r>
        <w:tab/>
        <w:t>need not apply under this rule for access to the information or record.</w:t>
      </w:r>
    </w:p>
    <w:p>
      <w:pPr>
        <w:pStyle w:val="Subsection"/>
      </w:pPr>
      <w:r>
        <w:tab/>
        <w:t>(3)</w:t>
      </w:r>
      <w:r>
        <w:tab/>
        <w:t>A person who, under Division 3 or 4, wants access to information or a record or other thing must apply under this rule.</w:t>
      </w:r>
    </w:p>
    <w:p>
      <w:pPr>
        <w:pStyle w:val="Subsection"/>
      </w:pPr>
      <w:r>
        <w:tab/>
        <w:t>(4)</w:t>
      </w:r>
      <w:r>
        <w:tab/>
        <w:t>The application is taken to be an interlocutory application in the proceeding in respect of which the information, record or other thing is held by the Court, whether or not the applicant is a party to that proceeding.</w:t>
      </w:r>
    </w:p>
    <w:p>
      <w:pPr>
        <w:pStyle w:val="Subsection"/>
      </w:pPr>
      <w:r>
        <w:tab/>
        <w:t>(5)</w:t>
      </w:r>
      <w:r>
        <w:tab/>
        <w:t>Despite subrule (4), Order 4A rule 4A does not apply to the application.</w:t>
      </w:r>
    </w:p>
    <w:p>
      <w:pPr>
        <w:pStyle w:val="Subsection"/>
      </w:pPr>
      <w:r>
        <w:tab/>
        <w:t>(6)</w:t>
      </w:r>
      <w:r>
        <w:tab/>
        <w:t>Despite Order 59 rules 1(1) and 3, the application may be made by letter to the Principal Registrar.</w:t>
      </w:r>
    </w:p>
    <w:p>
      <w:pPr>
        <w:pStyle w:val="Subsection"/>
      </w:pPr>
      <w:r>
        <w:tab/>
        <w:t>(7)</w:t>
      </w:r>
      <w:r>
        <w:tab/>
        <w:t>If an application is made under subrule (6), the Principal Registrar may require the applicant to file a motion or summons in accordance with Order 59 rule 3(1)(b).</w:t>
      </w:r>
    </w:p>
    <w:p>
      <w:pPr>
        <w:pStyle w:val="Subsection"/>
      </w:pPr>
      <w:r>
        <w:lastRenderedPageBreak/>
        <w:tab/>
        <w:t>(8)</w:t>
      </w:r>
      <w:r>
        <w:tab/>
        <w:t>A person may apply orally to the Court for access to information or a record or thing if —</w:t>
      </w:r>
    </w:p>
    <w:p>
      <w:pPr>
        <w:pStyle w:val="Indenta"/>
      </w:pPr>
      <w:r>
        <w:tab/>
        <w:t>(a)</w:t>
      </w:r>
      <w:r>
        <w:tab/>
        <w:t>the person is entitled under Division 3 to have access to the information, record or other thing; and</w:t>
      </w:r>
    </w:p>
    <w:p>
      <w:pPr>
        <w:pStyle w:val="Indenta"/>
      </w:pPr>
      <w:r>
        <w:tab/>
        <w:t>(b)</w:t>
      </w:r>
      <w:r>
        <w:tab/>
        <w:t>no fee is payable in respect of the application.</w:t>
      </w:r>
    </w:p>
    <w:p>
      <w:pPr>
        <w:pStyle w:val="Subsection"/>
      </w:pPr>
      <w:r>
        <w:tab/>
        <w:t>(9)</w:t>
      </w:r>
      <w:r>
        <w:tab/>
        <w:t>A media representative may apply orally to the media manager for access to information if the media representative —</w:t>
      </w:r>
    </w:p>
    <w:p>
      <w:pPr>
        <w:pStyle w:val="Indenta"/>
      </w:pPr>
      <w:r>
        <w:tab/>
        <w:t>(a)</w:t>
      </w:r>
      <w:r>
        <w:tab/>
        <w:t>is entitled under rule 6 to have access to the information; and</w:t>
      </w:r>
    </w:p>
    <w:p>
      <w:pPr>
        <w:pStyle w:val="Indenta"/>
      </w:pPr>
      <w:r>
        <w:tab/>
        <w:t>(b)</w:t>
      </w:r>
      <w:r>
        <w:tab/>
        <w:t>gives the media manager the case number of the proceeding in respect of which the information is held by the Court.</w:t>
      </w:r>
    </w:p>
    <w:p>
      <w:pPr>
        <w:pStyle w:val="Subsection"/>
      </w:pPr>
      <w:r>
        <w:tab/>
        <w:t>(10)</w:t>
      </w:r>
      <w:r>
        <w:tab/>
        <w:t>Every written application must be accompanied by the prescribed fee (if any).</w:t>
      </w:r>
    </w:p>
    <w:p>
      <w:pPr>
        <w:pStyle w:val="Subsection"/>
      </w:pPr>
      <w:r>
        <w:tab/>
        <w:t>(11)</w:t>
      </w:r>
      <w:r>
        <w:tab/>
        <w:t>Every application must —</w:t>
      </w:r>
    </w:p>
    <w:p>
      <w:pPr>
        <w:pStyle w:val="Indenta"/>
      </w:pPr>
      <w:r>
        <w:tab/>
        <w:t>(a)</w:t>
      </w:r>
      <w:r>
        <w:tab/>
        <w:t>describe clearly —</w:t>
      </w:r>
    </w:p>
    <w:p>
      <w:pPr>
        <w:pStyle w:val="Indenti"/>
      </w:pPr>
      <w:r>
        <w:tab/>
        <w:t>(i)</w:t>
      </w:r>
      <w:r>
        <w:tab/>
        <w:t>the information, record or other thing to which access is wanted; and</w:t>
      </w:r>
    </w:p>
    <w:p>
      <w:pPr>
        <w:pStyle w:val="Indenti"/>
      </w:pPr>
      <w:r>
        <w:tab/>
        <w:t>(ii)</w:t>
      </w:r>
      <w:r>
        <w:tab/>
        <w:t>the proceeding in respect of which the information, record or other thing is held by the Court;</w:t>
      </w:r>
    </w:p>
    <w:p>
      <w:pPr>
        <w:pStyle w:val="Indenta"/>
      </w:pPr>
      <w:r>
        <w:tab/>
      </w:r>
      <w:r>
        <w:tab/>
        <w:t>and</w:t>
      </w:r>
    </w:p>
    <w:p>
      <w:pPr>
        <w:pStyle w:val="Indenta"/>
      </w:pPr>
      <w:r>
        <w:tab/>
        <w:t>(b)</w:t>
      </w:r>
      <w:r>
        <w:tab/>
        <w:t>if the applicant is a media representative, must state —</w:t>
      </w:r>
    </w:p>
    <w:p>
      <w:pPr>
        <w:pStyle w:val="Indenti"/>
      </w:pPr>
      <w:r>
        <w:tab/>
        <w:t>(i)</w:t>
      </w:r>
      <w:r>
        <w:tab/>
        <w:t>that fact; and</w:t>
      </w:r>
    </w:p>
    <w:p>
      <w:pPr>
        <w:pStyle w:val="Indenti"/>
      </w:pPr>
      <w:r>
        <w:tab/>
        <w:t>(ii)</w:t>
      </w:r>
      <w:r>
        <w:tab/>
        <w:t>whether the applicant or the applicant’s employer is a party to the proceeding in respect of which the information, record or other thing is held by the Court;</w:t>
      </w:r>
    </w:p>
    <w:p>
      <w:pPr>
        <w:pStyle w:val="Indenta"/>
      </w:pPr>
      <w:r>
        <w:tab/>
      </w:r>
      <w:r>
        <w:tab/>
        <w:t>and</w:t>
      </w:r>
    </w:p>
    <w:p>
      <w:pPr>
        <w:pStyle w:val="Indenta"/>
      </w:pPr>
      <w:r>
        <w:tab/>
        <w:t>(c)</w:t>
      </w:r>
      <w:r>
        <w:tab/>
        <w:t xml:space="preserve">if it is for access to information or a record, state the format (such as paper or digital) in which the applicant, </w:t>
      </w:r>
      <w:r>
        <w:lastRenderedPageBreak/>
        <w:t>if allowed access, would prefer to be given the information or record.</w:t>
      </w:r>
    </w:p>
    <w:p>
      <w:pPr>
        <w:pStyle w:val="Subsection"/>
      </w:pPr>
      <w:r>
        <w:tab/>
        <w:t>(12)</w:t>
      </w:r>
      <w:r>
        <w:tab/>
        <w:t>Every application for permission to have access must state the reasons why access is wanted.</w:t>
      </w:r>
    </w:p>
    <w:p>
      <w:pPr>
        <w:pStyle w:val="Subsection"/>
      </w:pPr>
      <w:r>
        <w:tab/>
        <w:t>(13)</w:t>
      </w:r>
      <w:r>
        <w:tab/>
        <w:t>The applicant need not serve the application on, or give notice of it to, any person unless the Court orders otherwise under rule 12.</w:t>
      </w:r>
    </w:p>
    <w:p>
      <w:pPr>
        <w:pStyle w:val="Footnotesection"/>
      </w:pPr>
      <w:r>
        <w:tab/>
        <w:t xml:space="preserve">[Rule 11 inserted: Gazette 27 Feb 2018 p. 610-13; amended: Gazette 31 Dec 2019 p. 4677-8.] </w:t>
      </w:r>
    </w:p>
    <w:p>
      <w:pPr>
        <w:pStyle w:val="Heading5"/>
      </w:pPr>
      <w:bookmarkStart w:id="1207" w:name="_Toc129078287"/>
      <w:r>
        <w:rPr>
          <w:rStyle w:val="CharSectno"/>
        </w:rPr>
        <w:t>12</w:t>
      </w:r>
      <w:r>
        <w:t>.</w:t>
      </w:r>
      <w:r>
        <w:tab/>
        <w:t>Court’s powers as to applications for permission</w:t>
      </w:r>
      <w:bookmarkEnd w:id="1207"/>
    </w:p>
    <w:p>
      <w:pPr>
        <w:pStyle w:val="Subsection"/>
      </w:pPr>
      <w:r>
        <w:tab/>
        <w:t>(1)</w:t>
      </w:r>
      <w:r>
        <w:tab/>
        <w:t>This rule applies if a written application is made to the Court under rule 11 for permission to have access.</w:t>
      </w:r>
    </w:p>
    <w:p>
      <w:pPr>
        <w:pStyle w:val="Subsection"/>
      </w:pPr>
      <w:r>
        <w:tab/>
        <w:t>(2)</w:t>
      </w:r>
      <w:r>
        <w:tab/>
        <w:t>The Court —</w:t>
      </w:r>
    </w:p>
    <w:p>
      <w:pPr>
        <w:pStyle w:val="Indenta"/>
      </w:pPr>
      <w:r>
        <w:tab/>
        <w:t>(a)</w:t>
      </w:r>
      <w:r>
        <w:tab/>
        <w:t>may order the applicant to provide additional information in the form of an affidavit;</w:t>
      </w:r>
    </w:p>
    <w:p>
      <w:pPr>
        <w:pStyle w:val="Indenta"/>
      </w:pPr>
      <w:r>
        <w:tab/>
        <w:t>(b)</w:t>
      </w:r>
      <w:r>
        <w:tab/>
        <w:t>may order the applicant to serve on a person specified in the order —</w:t>
      </w:r>
    </w:p>
    <w:p>
      <w:pPr>
        <w:pStyle w:val="Indenti"/>
      </w:pPr>
      <w:r>
        <w:tab/>
        <w:t>(i)</w:t>
      </w:r>
      <w:r>
        <w:tab/>
        <w:t>the application; and</w:t>
      </w:r>
    </w:p>
    <w:p>
      <w:pPr>
        <w:pStyle w:val="Indenti"/>
      </w:pPr>
      <w:r>
        <w:tab/>
        <w:t>(ii)</w:t>
      </w:r>
      <w:r>
        <w:tab/>
        <w:t>a notice giving the person an opportunity to give the Court submissions about the application;</w:t>
      </w:r>
    </w:p>
    <w:p>
      <w:pPr>
        <w:pStyle w:val="Indenta"/>
      </w:pPr>
      <w:r>
        <w:tab/>
        <w:t>(c)</w:t>
      </w:r>
      <w:r>
        <w:tab/>
        <w:t>may request any person to give it submissions about the application;</w:t>
      </w:r>
    </w:p>
    <w:p>
      <w:pPr>
        <w:pStyle w:val="Indenta"/>
      </w:pPr>
      <w:r>
        <w:tab/>
        <w:t>(d)</w:t>
      </w:r>
      <w:r>
        <w:tab/>
        <w:t>may decide the application on the basis of the documents filed without requiring the applicant to attend a hearing.</w:t>
      </w:r>
    </w:p>
    <w:p>
      <w:pPr>
        <w:pStyle w:val="Subsection"/>
      </w:pPr>
      <w:r>
        <w:tab/>
        <w:t>(3)</w:t>
      </w:r>
      <w:r>
        <w:tab/>
        <w:t>The Court is not required to determine an application until after the applicant complies with an order made under subrule (2).</w:t>
      </w:r>
    </w:p>
    <w:p>
      <w:pPr>
        <w:pStyle w:val="Footnotesection"/>
      </w:pPr>
      <w:r>
        <w:tab/>
        <w:t xml:space="preserve">[Rule 12 inserted: Gazette 27 Feb 2018 p. 613.] </w:t>
      </w:r>
    </w:p>
    <w:p>
      <w:pPr>
        <w:pStyle w:val="Heading5"/>
      </w:pPr>
      <w:bookmarkStart w:id="1208" w:name="_Toc129078288"/>
      <w:r>
        <w:rPr>
          <w:rStyle w:val="CharSectno"/>
        </w:rPr>
        <w:t>13</w:t>
      </w:r>
      <w:r>
        <w:t>.</w:t>
      </w:r>
      <w:r>
        <w:tab/>
        <w:t>How applications are determined</w:t>
      </w:r>
      <w:bookmarkEnd w:id="1208"/>
    </w:p>
    <w:p>
      <w:pPr>
        <w:pStyle w:val="Subsection"/>
      </w:pPr>
      <w:r>
        <w:tab/>
        <w:t>(1)</w:t>
      </w:r>
      <w:r>
        <w:tab/>
        <w:t>This rule applies to every application made under rule 11.</w:t>
      </w:r>
    </w:p>
    <w:p>
      <w:pPr>
        <w:pStyle w:val="Subsection"/>
      </w:pPr>
      <w:r>
        <w:lastRenderedPageBreak/>
        <w:tab/>
        <w:t>(2)</w:t>
      </w:r>
      <w:r>
        <w:tab/>
        <w:t>The Court or the media manager, as the case may be, may grant the application —</w:t>
      </w:r>
    </w:p>
    <w:p>
      <w:pPr>
        <w:pStyle w:val="Indenta"/>
      </w:pPr>
      <w:r>
        <w:tab/>
        <w:t>(a)</w:t>
      </w:r>
      <w:r>
        <w:tab/>
        <w:t>in whole or in part; and</w:t>
      </w:r>
    </w:p>
    <w:p>
      <w:pPr>
        <w:pStyle w:val="Indenta"/>
      </w:pPr>
      <w:r>
        <w:tab/>
        <w:t>(b)</w:t>
      </w:r>
      <w:r>
        <w:tab/>
        <w:t>with or without conditions.</w:t>
      </w:r>
    </w:p>
    <w:p>
      <w:pPr>
        <w:pStyle w:val="Subsection"/>
      </w:pPr>
      <w:r>
        <w:tab/>
        <w:t>(3)</w:t>
      </w:r>
      <w:r>
        <w:tab/>
        <w:t>If the Court or the media manager, as the case may be, is satisfied the applicant is entitled under Division 3 to have the access wanted, the Court or media manager must grant the application.</w:t>
      </w:r>
    </w:p>
    <w:p>
      <w:pPr>
        <w:pStyle w:val="Subsection"/>
      </w:pPr>
      <w:r>
        <w:tab/>
        <w:t>(4)</w:t>
      </w:r>
      <w:r>
        <w:tab/>
        <w:t>If the Court is satisfied the applicant needs permission to have the access wanted, it must determine the application in accordance with rule 9.</w:t>
      </w:r>
    </w:p>
    <w:p>
      <w:pPr>
        <w:pStyle w:val="Subsection"/>
      </w:pPr>
      <w:r>
        <w:tab/>
        <w:t>(5)</w:t>
      </w:r>
      <w:r>
        <w:tab/>
        <w:t>If the media manager is satisfied the applicant needs permission to have the access wanted, the media manager must determine the application in accordance with rule 10.</w:t>
      </w:r>
    </w:p>
    <w:p>
      <w:pPr>
        <w:pStyle w:val="Subsection"/>
      </w:pPr>
      <w:r>
        <w:tab/>
        <w:t>(6)</w:t>
      </w:r>
      <w:r>
        <w:tab/>
        <w:t>If the media manager refuses a written application —</w:t>
      </w:r>
    </w:p>
    <w:p>
      <w:pPr>
        <w:pStyle w:val="Indenta"/>
      </w:pPr>
      <w:r>
        <w:tab/>
        <w:t>(a)</w:t>
      </w:r>
      <w:r>
        <w:tab/>
        <w:t>the media manager may refer it to the Court to determine afresh; and</w:t>
      </w:r>
    </w:p>
    <w:p>
      <w:pPr>
        <w:pStyle w:val="Indenta"/>
      </w:pPr>
      <w:r>
        <w:tab/>
        <w:t>(b)</w:t>
      </w:r>
      <w:r>
        <w:tab/>
        <w:t>the refusal does not affect the applicant’s right to apply to the Court for access.</w:t>
      </w:r>
    </w:p>
    <w:p>
      <w:pPr>
        <w:pStyle w:val="Footnotesection"/>
      </w:pPr>
      <w:r>
        <w:tab/>
        <w:t>[Rule 13 inserted: Gazette 27 Feb 2018 p. 613</w:t>
      </w:r>
      <w:r>
        <w:noBreakHyphen/>
        <w:t xml:space="preserve">14.] </w:t>
      </w:r>
    </w:p>
    <w:p>
      <w:pPr>
        <w:pStyle w:val="Heading3"/>
      </w:pPr>
      <w:bookmarkStart w:id="1209" w:name="_Toc129074217"/>
      <w:bookmarkStart w:id="1210" w:name="_Toc129075500"/>
      <w:bookmarkStart w:id="1211" w:name="_Toc129078289"/>
      <w:r>
        <w:rPr>
          <w:rStyle w:val="CharDivNo"/>
        </w:rPr>
        <w:t>Division 6</w:t>
      </w:r>
      <w:r>
        <w:t> — </w:t>
      </w:r>
      <w:r>
        <w:rPr>
          <w:rStyle w:val="CharDivText"/>
        </w:rPr>
        <w:t>How access is given</w:t>
      </w:r>
      <w:bookmarkEnd w:id="1209"/>
      <w:bookmarkEnd w:id="1210"/>
      <w:bookmarkEnd w:id="1211"/>
    </w:p>
    <w:p>
      <w:pPr>
        <w:pStyle w:val="Footnoteheading"/>
      </w:pPr>
      <w:r>
        <w:tab/>
        <w:t xml:space="preserve">[Heading inserted: Gazette 27 Feb 2018 p. 614.] </w:t>
      </w:r>
    </w:p>
    <w:p>
      <w:pPr>
        <w:pStyle w:val="Heading5"/>
      </w:pPr>
      <w:bookmarkStart w:id="1212" w:name="_Toc129078290"/>
      <w:r>
        <w:rPr>
          <w:rStyle w:val="CharSectno"/>
        </w:rPr>
        <w:t>14</w:t>
      </w:r>
      <w:r>
        <w:t>.</w:t>
      </w:r>
      <w:r>
        <w:tab/>
        <w:t>How and when the Court gives access</w:t>
      </w:r>
      <w:bookmarkEnd w:id="1212"/>
    </w:p>
    <w:p>
      <w:pPr>
        <w:pStyle w:val="Subsection"/>
      </w:pPr>
      <w:r>
        <w:tab/>
        <w:t>(1)</w:t>
      </w:r>
      <w:r>
        <w:tab/>
        <w:t>For the purposes of this rule, an applicant is allowed access to information or a record or other thing if, on an application made under Division 5 —</w:t>
      </w:r>
    </w:p>
    <w:p>
      <w:pPr>
        <w:pStyle w:val="Indenta"/>
      </w:pPr>
      <w:r>
        <w:tab/>
        <w:t>(a)</w:t>
      </w:r>
      <w:r>
        <w:tab/>
        <w:t>it is determined the applicant is entitled to have access to the information, record or other thing; or</w:t>
      </w:r>
    </w:p>
    <w:p>
      <w:pPr>
        <w:pStyle w:val="Indenta"/>
      </w:pPr>
      <w:r>
        <w:tab/>
        <w:t>(b)</w:t>
      </w:r>
      <w:r>
        <w:tab/>
        <w:t>the applicant is given permission to have access to the information, record or other thing.</w:t>
      </w:r>
    </w:p>
    <w:p>
      <w:pPr>
        <w:pStyle w:val="Subsection"/>
      </w:pPr>
      <w:r>
        <w:lastRenderedPageBreak/>
        <w:tab/>
        <w:t>(2)</w:t>
      </w:r>
      <w:r>
        <w:tab/>
        <w:t>If an applicant is allowed access to information, the Court may give the applicant the information either orally or in writing.</w:t>
      </w:r>
    </w:p>
    <w:p>
      <w:pPr>
        <w:pStyle w:val="Subsection"/>
      </w:pPr>
      <w:r>
        <w:tab/>
        <w:t>(3)</w:t>
      </w:r>
      <w:r>
        <w:tab/>
        <w:t>If an applicant is allowed access to a record, the Court must give the applicant —</w:t>
      </w:r>
    </w:p>
    <w:p>
      <w:pPr>
        <w:pStyle w:val="Indenta"/>
      </w:pPr>
      <w:r>
        <w:tab/>
        <w:t>(a)</w:t>
      </w:r>
      <w:r>
        <w:tab/>
        <w:t>a reasonable opportunity to view or listen to it or both and, if necessary, the means by which to do so; and</w:t>
      </w:r>
    </w:p>
    <w:p>
      <w:pPr>
        <w:pStyle w:val="Indenta"/>
      </w:pPr>
      <w:r>
        <w:tab/>
        <w:t>(b)</w:t>
      </w:r>
      <w:r>
        <w:tab/>
        <w:t>a copy of it in, if practicable, the format preferred by the applicant.</w:t>
      </w:r>
    </w:p>
    <w:p>
      <w:pPr>
        <w:pStyle w:val="Subsection"/>
      </w:pPr>
      <w:r>
        <w:tab/>
        <w:t>(4)</w:t>
      </w:r>
      <w:r>
        <w:tab/>
        <w:t>If an applicant is allowed access to a thing that is not a record, the Court must give the applicant a reasonable opportunity —</w:t>
      </w:r>
    </w:p>
    <w:p>
      <w:pPr>
        <w:pStyle w:val="Indenta"/>
      </w:pPr>
      <w:r>
        <w:tab/>
        <w:t>(a)</w:t>
      </w:r>
      <w:r>
        <w:tab/>
        <w:t>to inspect it; and</w:t>
      </w:r>
    </w:p>
    <w:p>
      <w:pPr>
        <w:pStyle w:val="Indenta"/>
      </w:pPr>
      <w:r>
        <w:tab/>
        <w:t>(b)</w:t>
      </w:r>
      <w:r>
        <w:tab/>
        <w:t>to record an image of it.</w:t>
      </w:r>
    </w:p>
    <w:p>
      <w:pPr>
        <w:pStyle w:val="Subsection"/>
      </w:pPr>
      <w:r>
        <w:tab/>
        <w:t>(5)</w:t>
      </w:r>
      <w:r>
        <w:tab/>
        <w:t>Any physical access given under this rule must be given during office hours at the Central Office.</w:t>
      </w:r>
    </w:p>
    <w:p>
      <w:pPr>
        <w:pStyle w:val="Subsection"/>
      </w:pPr>
      <w:r>
        <w:tab/>
        <w:t>(6)</w:t>
      </w:r>
      <w:r>
        <w:tab/>
        <w:t>This rule does not prevent the Court from giving access to information or a record by electronic means.</w:t>
      </w:r>
    </w:p>
    <w:p>
      <w:pPr>
        <w:pStyle w:val="Footnotesection"/>
      </w:pPr>
      <w:r>
        <w:tab/>
        <w:t>[Rule 14 inserted: Gazette 27 Feb 2018 p. 614</w:t>
      </w:r>
      <w:r>
        <w:noBreakHyphen/>
        <w:t xml:space="preserve">15.] </w:t>
      </w:r>
    </w:p>
    <w:p>
      <w:pPr>
        <w:pStyle w:val="Heading3"/>
      </w:pPr>
      <w:bookmarkStart w:id="1213" w:name="_Toc129074219"/>
      <w:bookmarkStart w:id="1214" w:name="_Toc129075502"/>
      <w:bookmarkStart w:id="1215" w:name="_Toc129078291"/>
      <w:r>
        <w:rPr>
          <w:rStyle w:val="CharDivNo"/>
        </w:rPr>
        <w:t>Division 7</w:t>
      </w:r>
      <w:r>
        <w:t> — </w:t>
      </w:r>
      <w:r>
        <w:rPr>
          <w:rStyle w:val="CharDivText"/>
        </w:rPr>
        <w:t>Access by non</w:t>
      </w:r>
      <w:r>
        <w:rPr>
          <w:rStyle w:val="CharDivText"/>
        </w:rPr>
        <w:noBreakHyphen/>
        <w:t>parties to documents in cases commenced before 1 March 2018</w:t>
      </w:r>
      <w:bookmarkEnd w:id="1213"/>
      <w:bookmarkEnd w:id="1214"/>
      <w:bookmarkEnd w:id="1215"/>
    </w:p>
    <w:p>
      <w:pPr>
        <w:pStyle w:val="Footnoteheading"/>
      </w:pPr>
      <w:r>
        <w:tab/>
        <w:t xml:space="preserve">[Heading inserted: Gazette 27 Feb 2018 p. 615.] </w:t>
      </w:r>
    </w:p>
    <w:p>
      <w:pPr>
        <w:pStyle w:val="Heading5"/>
      </w:pPr>
      <w:bookmarkStart w:id="1216" w:name="_Toc129078292"/>
      <w:r>
        <w:rPr>
          <w:rStyle w:val="CharSectno"/>
        </w:rPr>
        <w:t>15</w:t>
      </w:r>
      <w:r>
        <w:t>.</w:t>
      </w:r>
      <w:r>
        <w:tab/>
        <w:t>Application of this Division</w:t>
      </w:r>
      <w:bookmarkEnd w:id="1216"/>
    </w:p>
    <w:p>
      <w:pPr>
        <w:pStyle w:val="Subsection"/>
      </w:pPr>
      <w:r>
        <w:tab/>
      </w:r>
      <w:r>
        <w:tab/>
        <w:t>This Division applies to a person, other than a party to a proceeding, who wants access to information or a record or other thing held by the Court in respect of a proceeding commenced before 1 March 2018.</w:t>
      </w:r>
    </w:p>
    <w:p>
      <w:pPr>
        <w:pStyle w:val="Footnotesection"/>
      </w:pPr>
      <w:r>
        <w:tab/>
        <w:t xml:space="preserve">[Rule 15 inserted: Gazette 27 Feb 2018 p. 615.] </w:t>
      </w:r>
    </w:p>
    <w:p>
      <w:pPr>
        <w:pStyle w:val="Heading5"/>
      </w:pPr>
      <w:bookmarkStart w:id="1217" w:name="_Toc129078293"/>
      <w:r>
        <w:rPr>
          <w:rStyle w:val="CharSectno"/>
        </w:rPr>
        <w:lastRenderedPageBreak/>
        <w:t>16</w:t>
      </w:r>
      <w:r>
        <w:t>.</w:t>
      </w:r>
      <w:r>
        <w:tab/>
        <w:t>Documents that can be inspected or copied</w:t>
      </w:r>
      <w:bookmarkEnd w:id="1217"/>
    </w:p>
    <w:p>
      <w:pPr>
        <w:pStyle w:val="Subsection"/>
      </w:pPr>
      <w:r>
        <w:tab/>
        <w:t>(1)</w:t>
      </w:r>
      <w:r>
        <w:tab/>
        <w:t>Any person referred to in rule 15 is, on payment of the prescribed fee, entitled during office hours to inspect and be given a copy of any of these filed documents —</w:t>
      </w:r>
    </w:p>
    <w:p>
      <w:pPr>
        <w:pStyle w:val="Indenta"/>
      </w:pPr>
      <w:r>
        <w:tab/>
        <w:t>(a)</w:t>
      </w:r>
      <w:r>
        <w:tab/>
        <w:t>any writ, and the statement of claim (if any) indorsed on the writ under Order 6 rule 3;</w:t>
      </w:r>
    </w:p>
    <w:p>
      <w:pPr>
        <w:pStyle w:val="Indenta"/>
      </w:pPr>
      <w:r>
        <w:tab/>
        <w:t>(b)</w:t>
      </w:r>
      <w:r>
        <w:tab/>
        <w:t xml:space="preserve">any originating application made under the </w:t>
      </w:r>
      <w:r>
        <w:rPr>
          <w:i/>
        </w:rPr>
        <w:t>Corporations Act 2001</w:t>
      </w:r>
      <w:r>
        <w:t xml:space="preserve"> (Commonwealth);</w:t>
      </w:r>
    </w:p>
    <w:p>
      <w:pPr>
        <w:pStyle w:val="Indenta"/>
      </w:pPr>
      <w:r>
        <w:tab/>
        <w:t>(c)</w:t>
      </w:r>
      <w:r>
        <w:tab/>
        <w:t xml:space="preserve">any appeal notice filed under the </w:t>
      </w:r>
      <w:r>
        <w:rPr>
          <w:i/>
        </w:rPr>
        <w:t>Supreme Court (Court of Appeal) Rules 2005</w:t>
      </w:r>
      <w:r>
        <w:t>;</w:t>
      </w:r>
    </w:p>
    <w:p>
      <w:pPr>
        <w:pStyle w:val="Indenta"/>
      </w:pPr>
      <w:r>
        <w:tab/>
        <w:t>(d)</w:t>
      </w:r>
      <w:r>
        <w:tab/>
        <w:t>any judgment or order given or made in court;</w:t>
      </w:r>
    </w:p>
    <w:p>
      <w:pPr>
        <w:pStyle w:val="Indenta"/>
      </w:pPr>
      <w:r>
        <w:tab/>
        <w:t>(e)</w:t>
      </w:r>
      <w:r>
        <w:tab/>
        <w:t>with the leave of the Court or a registrar, any other document.</w:t>
      </w:r>
    </w:p>
    <w:p>
      <w:pPr>
        <w:pStyle w:val="Subsection"/>
      </w:pPr>
      <w:r>
        <w:tab/>
        <w:t>(2)</w:t>
      </w:r>
      <w:r>
        <w:tab/>
        <w:t>An application for leave made under subrule (1)(e) need not be served on any person.</w:t>
      </w:r>
    </w:p>
    <w:p>
      <w:pPr>
        <w:pStyle w:val="Subsection"/>
      </w:pPr>
      <w:r>
        <w:tab/>
        <w:t>(3)</w:t>
      </w:r>
      <w:r>
        <w:tab/>
        <w:t>This rule does not entitle a person to search, inspect or take a copy of any part of a document that contains information that the person is prevented by an Act from possessing.</w:t>
      </w:r>
    </w:p>
    <w:p>
      <w:pPr>
        <w:pStyle w:val="Footnotesection"/>
      </w:pPr>
      <w:r>
        <w:tab/>
        <w:t>[Rule 16 inserted: Gazette 27 Feb 2018 p. 615</w:t>
      </w:r>
      <w:r>
        <w:noBreakHyphen/>
        <w:t xml:space="preserve">16.] </w:t>
      </w:r>
    </w:p>
    <w:p>
      <w:pPr>
        <w:pStyle w:val="Heading3"/>
      </w:pPr>
      <w:bookmarkStart w:id="1218" w:name="_Toc129074222"/>
      <w:bookmarkStart w:id="1219" w:name="_Toc129075505"/>
      <w:bookmarkStart w:id="1220" w:name="_Toc129078294"/>
      <w:r>
        <w:rPr>
          <w:rStyle w:val="CharDivNo"/>
        </w:rPr>
        <w:t>Division 8</w:t>
      </w:r>
      <w:r>
        <w:t> — </w:t>
      </w:r>
      <w:r>
        <w:rPr>
          <w:rStyle w:val="CharDivText"/>
        </w:rPr>
        <w:t>Miscellaneous matters</w:t>
      </w:r>
      <w:bookmarkEnd w:id="1218"/>
      <w:bookmarkEnd w:id="1219"/>
      <w:bookmarkEnd w:id="1220"/>
    </w:p>
    <w:p>
      <w:pPr>
        <w:pStyle w:val="Footnoteheading"/>
      </w:pPr>
      <w:r>
        <w:tab/>
        <w:t xml:space="preserve">[Heading inserted: Gazette 27 Feb 2018 p. 616.] </w:t>
      </w:r>
    </w:p>
    <w:p>
      <w:pPr>
        <w:pStyle w:val="Heading5"/>
      </w:pPr>
      <w:bookmarkStart w:id="1221" w:name="_Toc129078295"/>
      <w:r>
        <w:rPr>
          <w:rStyle w:val="CharSectno"/>
        </w:rPr>
        <w:t>17</w:t>
      </w:r>
      <w:r>
        <w:t>.</w:t>
      </w:r>
      <w:r>
        <w:tab/>
        <w:t>Registrars’ decisions may be dealt with by judge or master</w:t>
      </w:r>
      <w:bookmarkEnd w:id="1221"/>
    </w:p>
    <w:p>
      <w:pPr>
        <w:pStyle w:val="Subsection"/>
      </w:pPr>
      <w:r>
        <w:tab/>
        <w:t>(1)</w:t>
      </w:r>
      <w:r>
        <w:tab/>
        <w:t>In this rule —</w:t>
      </w:r>
    </w:p>
    <w:p>
      <w:pPr>
        <w:pStyle w:val="Defstart"/>
      </w:pPr>
      <w:r>
        <w:tab/>
      </w:r>
      <w:r>
        <w:rPr>
          <w:rStyle w:val="CharDefText"/>
        </w:rPr>
        <w:t>access application</w:t>
      </w:r>
      <w:r>
        <w:t xml:space="preserve"> means an application made under rule 11.</w:t>
      </w:r>
    </w:p>
    <w:p>
      <w:pPr>
        <w:pStyle w:val="Subsection"/>
      </w:pPr>
      <w:r>
        <w:tab/>
        <w:t>(2)</w:t>
      </w:r>
      <w:r>
        <w:tab/>
        <w:t>A person dissatisfied by a decision made under this Order by a registrar on an access application may ask the registrar for the access application to be dealt with in a new hearing by a judge or master.</w:t>
      </w:r>
    </w:p>
    <w:p>
      <w:pPr>
        <w:pStyle w:val="Subsection"/>
      </w:pPr>
      <w:r>
        <w:lastRenderedPageBreak/>
        <w:tab/>
        <w:t>(3)</w:t>
      </w:r>
      <w:r>
        <w:tab/>
        <w:t>If a registrar receives a request made under subrule (1), the registrar must refer the matter concerned to a judge or master.</w:t>
      </w:r>
    </w:p>
    <w:p>
      <w:pPr>
        <w:pStyle w:val="Footnotesection"/>
      </w:pPr>
      <w:r>
        <w:tab/>
        <w:t>[Rule 17 inserted: Gazette 27 Feb 2018 p. 616.]</w:t>
      </w:r>
    </w:p>
    <w:p>
      <w:pPr>
        <w:pStyle w:val="Heading2"/>
        <w:rPr>
          <w:b w:val="0"/>
        </w:rPr>
      </w:pPr>
      <w:bookmarkStart w:id="1222" w:name="_Toc129074224"/>
      <w:bookmarkStart w:id="1223" w:name="_Toc129075507"/>
      <w:bookmarkStart w:id="1224" w:name="_Toc129078296"/>
      <w:r>
        <w:rPr>
          <w:rStyle w:val="CharPartNo"/>
        </w:rPr>
        <w:lastRenderedPageBreak/>
        <w:t>Order 68</w:t>
      </w:r>
      <w:r>
        <w:rPr>
          <w:rStyle w:val="CharDivNo"/>
        </w:rPr>
        <w:t> </w:t>
      </w:r>
      <w:r>
        <w:t>—</w:t>
      </w:r>
      <w:r>
        <w:rPr>
          <w:rStyle w:val="CharDivText"/>
        </w:rPr>
        <w:t> </w:t>
      </w:r>
      <w:r>
        <w:rPr>
          <w:rStyle w:val="CharPartText"/>
        </w:rPr>
        <w:t>Sittings, vacations and office hours</w:t>
      </w:r>
      <w:bookmarkEnd w:id="1222"/>
      <w:bookmarkEnd w:id="1223"/>
      <w:bookmarkEnd w:id="1224"/>
    </w:p>
    <w:p>
      <w:pPr>
        <w:pStyle w:val="Heading5"/>
        <w:rPr>
          <w:snapToGrid w:val="0"/>
        </w:rPr>
      </w:pPr>
      <w:bookmarkStart w:id="1225" w:name="_Toc129078297"/>
      <w:r>
        <w:rPr>
          <w:rStyle w:val="CharSectno"/>
        </w:rPr>
        <w:t>1</w:t>
      </w:r>
      <w:r>
        <w:rPr>
          <w:snapToGrid w:val="0"/>
        </w:rPr>
        <w:t>.</w:t>
      </w:r>
      <w:r>
        <w:rPr>
          <w:snapToGrid w:val="0"/>
        </w:rPr>
        <w:tab/>
        <w:t>Civil sittings</w:t>
      </w:r>
      <w:bookmarkEnd w:id="1225"/>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Gazette 29 Apr 2005 p. 1793.]</w:t>
      </w:r>
    </w:p>
    <w:p>
      <w:pPr>
        <w:pStyle w:val="Heading5"/>
        <w:rPr>
          <w:snapToGrid w:val="0"/>
        </w:rPr>
      </w:pPr>
      <w:bookmarkStart w:id="1226" w:name="_Toc129078298"/>
      <w:r>
        <w:rPr>
          <w:rStyle w:val="CharSectno"/>
        </w:rPr>
        <w:t>2</w:t>
      </w:r>
      <w:r>
        <w:rPr>
          <w:snapToGrid w:val="0"/>
        </w:rPr>
        <w:t>.</w:t>
      </w:r>
      <w:r>
        <w:rPr>
          <w:snapToGrid w:val="0"/>
        </w:rPr>
        <w:tab/>
        <w:t>Criminal sittings</w:t>
      </w:r>
      <w:bookmarkEnd w:id="1226"/>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227" w:name="_Toc129078299"/>
      <w:r>
        <w:rPr>
          <w:rStyle w:val="CharSectno"/>
        </w:rPr>
        <w:t>3</w:t>
      </w:r>
      <w:r>
        <w:rPr>
          <w:snapToGrid w:val="0"/>
        </w:rPr>
        <w:t>.</w:t>
      </w:r>
      <w:r>
        <w:rPr>
          <w:snapToGrid w:val="0"/>
        </w:rPr>
        <w:tab/>
        <w:t>Court vacations</w:t>
      </w:r>
      <w:bookmarkEnd w:id="1227"/>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Gazette 23 Sep 1983 p. 3798; 26 Aug 1994 p. 4413.] </w:t>
      </w:r>
    </w:p>
    <w:p>
      <w:pPr>
        <w:pStyle w:val="Heading5"/>
        <w:keepLines w:val="0"/>
        <w:rPr>
          <w:snapToGrid w:val="0"/>
        </w:rPr>
      </w:pPr>
      <w:bookmarkStart w:id="1228" w:name="_Toc129078300"/>
      <w:r>
        <w:rPr>
          <w:rStyle w:val="CharSectno"/>
        </w:rPr>
        <w:lastRenderedPageBreak/>
        <w:t>4</w:t>
      </w:r>
      <w:r>
        <w:rPr>
          <w:snapToGrid w:val="0"/>
        </w:rPr>
        <w:t>.</w:t>
      </w:r>
      <w:r>
        <w:rPr>
          <w:snapToGrid w:val="0"/>
        </w:rPr>
        <w:tab/>
        <w:t>Days included in sitting and vacation</w:t>
      </w:r>
      <w:bookmarkEnd w:id="1228"/>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229" w:name="_Toc129078301"/>
      <w:r>
        <w:rPr>
          <w:rStyle w:val="CharSectno"/>
        </w:rPr>
        <w:t>5</w:t>
      </w:r>
      <w:r>
        <w:rPr>
          <w:snapToGrid w:val="0"/>
        </w:rPr>
        <w:t>.</w:t>
      </w:r>
      <w:r>
        <w:rPr>
          <w:snapToGrid w:val="0"/>
        </w:rPr>
        <w:tab/>
        <w:t>When Court’s offices are open</w:t>
      </w:r>
      <w:bookmarkEnd w:id="1229"/>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Gazette 9 Nov 1973 p. 4165; 26 Aug 1994 p. 4413.] </w:t>
      </w:r>
    </w:p>
    <w:p>
      <w:pPr>
        <w:pStyle w:val="Heading5"/>
        <w:rPr>
          <w:snapToGrid w:val="0"/>
        </w:rPr>
      </w:pPr>
      <w:bookmarkStart w:id="1230" w:name="_Toc129078302"/>
      <w:r>
        <w:rPr>
          <w:rStyle w:val="CharSectno"/>
        </w:rPr>
        <w:t>6</w:t>
      </w:r>
      <w:r>
        <w:rPr>
          <w:snapToGrid w:val="0"/>
        </w:rPr>
        <w:t>.</w:t>
      </w:r>
      <w:r>
        <w:rPr>
          <w:snapToGrid w:val="0"/>
        </w:rPr>
        <w:tab/>
        <w:t>Office hours</w:t>
      </w:r>
      <w:bookmarkEnd w:id="1230"/>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Gazette 10 Nov 1995 p. 5247.] </w:t>
      </w:r>
    </w:p>
    <w:p>
      <w:pPr>
        <w:pStyle w:val="Heading5"/>
        <w:rPr>
          <w:snapToGrid w:val="0"/>
        </w:rPr>
      </w:pPr>
      <w:bookmarkStart w:id="1231" w:name="_Toc129078303"/>
      <w:r>
        <w:rPr>
          <w:rStyle w:val="CharSectno"/>
        </w:rPr>
        <w:t>7</w:t>
      </w:r>
      <w:r>
        <w:rPr>
          <w:snapToGrid w:val="0"/>
        </w:rPr>
        <w:t>.</w:t>
      </w:r>
      <w:r>
        <w:rPr>
          <w:snapToGrid w:val="0"/>
        </w:rPr>
        <w:tab/>
        <w:t>Vacation Judge</w:t>
      </w:r>
      <w:bookmarkEnd w:id="123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232" w:name="_Toc129074232"/>
      <w:bookmarkStart w:id="1233" w:name="_Toc129075515"/>
      <w:bookmarkStart w:id="1234" w:name="_Toc129078304"/>
      <w:r>
        <w:rPr>
          <w:rStyle w:val="CharPartNo"/>
        </w:rPr>
        <w:lastRenderedPageBreak/>
        <w:t>Order 69</w:t>
      </w:r>
      <w:r>
        <w:rPr>
          <w:rStyle w:val="CharDivNo"/>
        </w:rPr>
        <w:t> </w:t>
      </w:r>
      <w:r>
        <w:t>—</w:t>
      </w:r>
      <w:r>
        <w:rPr>
          <w:rStyle w:val="CharDivText"/>
        </w:rPr>
        <w:t> </w:t>
      </w:r>
      <w:r>
        <w:rPr>
          <w:rStyle w:val="CharPartText"/>
        </w:rPr>
        <w:t>Paper, printing, notice, and copies</w:t>
      </w:r>
      <w:bookmarkEnd w:id="1232"/>
      <w:bookmarkEnd w:id="1233"/>
      <w:bookmarkEnd w:id="1234"/>
    </w:p>
    <w:p>
      <w:pPr>
        <w:pStyle w:val="Heading5"/>
        <w:rPr>
          <w:snapToGrid w:val="0"/>
        </w:rPr>
      </w:pPr>
      <w:bookmarkStart w:id="1235" w:name="_Toc129078305"/>
      <w:r>
        <w:rPr>
          <w:rStyle w:val="CharSectno"/>
        </w:rPr>
        <w:t>1</w:t>
      </w:r>
      <w:r>
        <w:rPr>
          <w:snapToGrid w:val="0"/>
        </w:rPr>
        <w:t>.</w:t>
      </w:r>
      <w:r>
        <w:rPr>
          <w:snapToGrid w:val="0"/>
        </w:rPr>
        <w:tab/>
        <w:t>Printing of documents, rules as to</w:t>
      </w:r>
      <w:bookmarkEnd w:id="1235"/>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pages of clear sharp and legible type.</w:t>
      </w:r>
    </w:p>
    <w:p>
      <w:pPr>
        <w:pStyle w:val="Subsection"/>
        <w:rPr>
          <w:snapToGrid w:val="0"/>
        </w:rPr>
      </w:pPr>
      <w:r>
        <w:rPr>
          <w:snapToGrid w:val="0"/>
        </w:rPr>
        <w:tab/>
        <w:t>(3)</w:t>
      </w:r>
      <w:r>
        <w:rPr>
          <w:snapToGrid w:val="0"/>
        </w:rPr>
        <w:tab/>
        <w:t xml:space="preserve">Any document produced by a photographic or similar process giving a positive, clear, and permanent representation free from blemishes, shall to the extent that it contains a </w:t>
      </w:r>
      <w:r>
        <w:t>copy</w:t>
      </w:r>
      <w:r>
        <w:rPr>
          <w:snapToGrid w:val="0"/>
        </w:rPr>
        <w:t xml:space="preserve"> of any printed or typewritten matter be treated for the purpose of these rules as if it were printed.</w:t>
      </w:r>
    </w:p>
    <w:p>
      <w:pPr>
        <w:pStyle w:val="Footnotesection"/>
      </w:pPr>
      <w:r>
        <w:tab/>
        <w:t>[Rule 1 amended: Gazette 27 Feb 2018 p. 616</w:t>
      </w:r>
      <w:r>
        <w:noBreakHyphen/>
        <w:t>17.]</w:t>
      </w:r>
    </w:p>
    <w:p>
      <w:pPr>
        <w:pStyle w:val="Heading5"/>
        <w:rPr>
          <w:snapToGrid w:val="0"/>
        </w:rPr>
      </w:pPr>
      <w:bookmarkStart w:id="1236" w:name="_Toc129078306"/>
      <w:r>
        <w:rPr>
          <w:rStyle w:val="CharSectno"/>
        </w:rPr>
        <w:t>2</w:t>
      </w:r>
      <w:r>
        <w:rPr>
          <w:snapToGrid w:val="0"/>
        </w:rPr>
        <w:t>.</w:t>
      </w:r>
      <w:r>
        <w:rPr>
          <w:snapToGrid w:val="0"/>
        </w:rPr>
        <w:tab/>
        <w:t>Requirements as to documents prepared by parties</w:t>
      </w:r>
      <w:bookmarkEnd w:id="1236"/>
    </w:p>
    <w:p>
      <w:pPr>
        <w:pStyle w:val="Subsection"/>
      </w:pPr>
      <w:r>
        <w:tab/>
        <w:t>(1A)</w:t>
      </w:r>
      <w:r>
        <w:tab/>
        <w:t>For the purposes of documents filed electronically, this rule applies with any necessary changes.</w:t>
      </w:r>
    </w:p>
    <w:p>
      <w:pPr>
        <w:pStyle w:val="Subsection"/>
        <w:rPr>
          <w:snapToGrid w:val="0"/>
        </w:rPr>
      </w:pPr>
      <w:r>
        <w:rPr>
          <w:snapToGrid w:val="0"/>
        </w:rPr>
        <w:tab/>
        <w:t>(1)</w:t>
      </w:r>
      <w:r>
        <w:rPr>
          <w:snapToGrid w:val="0"/>
        </w:rPr>
        <w:tab/>
        <w:t xml:space="preserve">Unless the nature of the document renders it impracticable, every document prepared by a party for use in the Supreme Court </w:t>
      </w:r>
      <w:r>
        <w:t xml:space="preserve">must, </w:t>
      </w:r>
      <w:r>
        <w:rPr>
          <w:snapToGrid w:val="0"/>
        </w:rPr>
        <w:t xml:space="preserve">subject to any directions given from time to time by the </w:t>
      </w:r>
      <w:r>
        <w:t xml:space="preserve">Principal Registrar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 xml:space="preserve">be upon white paper of good and durable quality and capable of receiving ink </w:t>
      </w:r>
      <w:r>
        <w:t>writing; and</w:t>
      </w:r>
    </w:p>
    <w:p>
      <w:pPr>
        <w:pStyle w:val="Indenta"/>
      </w:pPr>
      <w:r>
        <w:lastRenderedPageBreak/>
        <w:tab/>
        <w:t>(ca)</w:t>
      </w:r>
      <w:r>
        <w:tab/>
        <w:t>comply with subrule (1AA);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 xml:space="preserve">one side only of the paper with a margin of not less than </w:t>
      </w:r>
      <w:r>
        <w:t>30 </w:t>
      </w:r>
      <w:r>
        <w:rPr>
          <w:snapToGrid w:val="0"/>
        </w:rPr>
        <w:t>mm on the left hand side of each sheet; or</w:t>
      </w:r>
    </w:p>
    <w:p>
      <w:pPr>
        <w:pStyle w:val="Indenti"/>
        <w:rPr>
          <w:snapToGrid w:val="0"/>
        </w:rPr>
      </w:pPr>
      <w:r>
        <w:rPr>
          <w:snapToGrid w:val="0"/>
        </w:rPr>
        <w:tab/>
        <w:t>(ii)</w:t>
      </w:r>
      <w:r>
        <w:rPr>
          <w:snapToGrid w:val="0"/>
        </w:rPr>
        <w:tab/>
        <w:t xml:space="preserve">both sides of the paper with a margin of not less than </w:t>
      </w:r>
      <w:r>
        <w:t>30 </w:t>
      </w:r>
      <w:r>
        <w:rPr>
          <w:snapToGrid w:val="0"/>
        </w:rPr>
        <w:t xml:space="preserve">mm on the left hand side of the front of each sheet and not less than </w:t>
      </w:r>
      <w:r>
        <w:t>30 </w:t>
      </w:r>
      <w:r>
        <w:rPr>
          <w:snapToGrid w:val="0"/>
        </w:rPr>
        <w:t>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r>
      <w:r>
        <w:t xml:space="preserve">unless the document is in a prescribed form, </w:t>
      </w:r>
      <w:r>
        <w:rPr>
          <w:snapToGrid w:val="0"/>
        </w:rPr>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pPr>
      <w:r>
        <w:lastRenderedPageBreak/>
        <w:tab/>
        <w:t>(1AA)</w:t>
      </w:r>
      <w:r>
        <w:tab/>
        <w:t>The textual content of a document, including any endnotes, footnotes and quotations, must be typewritten or printed using at least the size of print used for these rules (12 point Times New Roman).</w:t>
      </w:r>
    </w:p>
    <w:p>
      <w:pPr>
        <w:pStyle w:val="Subsection"/>
      </w:pPr>
      <w:r>
        <w:tab/>
        <w:t>(1AB)</w:t>
      </w:r>
      <w:r>
        <w:tab/>
        <w:t>Except as provided in subrule (1AC), a document may show an abbreviation of the title of the proceeding which is sufficient to identify the proceeding.</w:t>
      </w:r>
    </w:p>
    <w:p>
      <w:pPr>
        <w:pStyle w:val="Subsection"/>
      </w:pPr>
      <w:r>
        <w:tab/>
        <w:t>(1AC)</w:t>
      </w:r>
      <w:r>
        <w:tab/>
        <w:t xml:space="preserve">Subrule (1AB) does not apply to the following documents — </w:t>
      </w:r>
    </w:p>
    <w:p>
      <w:pPr>
        <w:pStyle w:val="Indenta"/>
      </w:pPr>
      <w:r>
        <w:tab/>
        <w:t>(a)</w:t>
      </w:r>
      <w:r>
        <w:tab/>
        <w:t>an originating process;</w:t>
      </w:r>
    </w:p>
    <w:p>
      <w:pPr>
        <w:pStyle w:val="Indenta"/>
      </w:pPr>
      <w:r>
        <w:tab/>
        <w:t>(b)</w:t>
      </w:r>
      <w:r>
        <w:tab/>
        <w:t>a document to be served on a person who is not a party to a proceeding;</w:t>
      </w:r>
    </w:p>
    <w:p>
      <w:pPr>
        <w:pStyle w:val="Indenta"/>
      </w:pPr>
      <w:r>
        <w:tab/>
        <w:t>(c)</w:t>
      </w:r>
      <w:r>
        <w:tab/>
        <w:t>a final judgment or order.</w:t>
      </w:r>
    </w:p>
    <w:p>
      <w:pPr>
        <w:pStyle w:val="Ednotesubsection"/>
      </w:pPr>
      <w:r>
        <w:tab/>
        <w:t>[(1a)</w:t>
      </w:r>
      <w:r>
        <w:tab/>
        <w:t>deleted]</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Ednotesubsection"/>
      </w:pPr>
      <w:r>
        <w:tab/>
        <w:t>[(3)</w:t>
      </w:r>
      <w:r>
        <w:tab/>
        <w:t>deleted]</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keepNext/>
      </w:pPr>
      <w:r>
        <w:tab/>
        <w:t>(5)</w:t>
      </w:r>
      <w:r>
        <w:tab/>
        <w:t xml:space="preserve">The Court may require — </w:t>
      </w:r>
    </w:p>
    <w:p>
      <w:pPr>
        <w:pStyle w:val="Indenta"/>
      </w:pPr>
      <w:r>
        <w:tab/>
        <w:t>(a)</w:t>
      </w:r>
      <w:r>
        <w:tab/>
        <w:t>any document required for use in the Court to be printed or otherwise produced in any particular manner that it thinks fit; or</w:t>
      </w:r>
    </w:p>
    <w:p>
      <w:pPr>
        <w:pStyle w:val="Indenta"/>
      </w:pPr>
      <w:r>
        <w:tab/>
        <w:t>(b)</w:t>
      </w:r>
      <w:r>
        <w:tab/>
        <w:t>1 or more paper versions of any document that has been filed electronically to be delivered to the Central Office.</w:t>
      </w:r>
    </w:p>
    <w:p>
      <w:pPr>
        <w:pStyle w:val="Footnotesection"/>
      </w:pPr>
      <w:r>
        <w:tab/>
        <w:t>[Rule 2 amended: Gazette 7 Dec 1973 p. 4489; 30 Nov 1984 p. 3952; 15 Dec 1989 p. 4520; 24 Oct 1995 p. 4919; 21 Feb 2007 p. 575</w:t>
      </w:r>
      <w:r>
        <w:noBreakHyphen/>
        <w:t xml:space="preserve">6; 28 Jun 2011 p. 2552; 24 May 2017 p. 2607; 27 Feb 2018 p. 617; SL 2020/242 r. 8.] </w:t>
      </w:r>
    </w:p>
    <w:p>
      <w:pPr>
        <w:pStyle w:val="Ednotesection"/>
      </w:pPr>
      <w:r>
        <w:lastRenderedPageBreak/>
        <w:t>[</w:t>
      </w:r>
      <w:r>
        <w:rPr>
          <w:b/>
        </w:rPr>
        <w:t>3.</w:t>
      </w:r>
      <w:r>
        <w:tab/>
        <w:t>Deleted: Gazette 27 Feb 2018 p. 617.]</w:t>
      </w:r>
    </w:p>
    <w:p>
      <w:pPr>
        <w:pStyle w:val="Heading5"/>
        <w:rPr>
          <w:snapToGrid w:val="0"/>
        </w:rPr>
      </w:pPr>
      <w:bookmarkStart w:id="1237" w:name="_Toc129078307"/>
      <w:r>
        <w:rPr>
          <w:rStyle w:val="CharSectno"/>
        </w:rPr>
        <w:t>4</w:t>
      </w:r>
      <w:r>
        <w:rPr>
          <w:snapToGrid w:val="0"/>
        </w:rPr>
        <w:t>.</w:t>
      </w:r>
      <w:r>
        <w:rPr>
          <w:snapToGrid w:val="0"/>
        </w:rPr>
        <w:tab/>
        <w:t>Copies of documents for other parties</w:t>
      </w:r>
      <w:bookmarkEnd w:id="1237"/>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238" w:name="_Toc129078308"/>
      <w:r>
        <w:rPr>
          <w:rStyle w:val="CharSectno"/>
        </w:rPr>
        <w:t>5</w:t>
      </w:r>
      <w:r>
        <w:rPr>
          <w:snapToGrid w:val="0"/>
        </w:rPr>
        <w:t>.</w:t>
      </w:r>
      <w:r>
        <w:rPr>
          <w:snapToGrid w:val="0"/>
        </w:rPr>
        <w:tab/>
        <w:t>Requirements as to copies</w:t>
      </w:r>
      <w:bookmarkEnd w:id="1238"/>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 xml:space="preserve">The party by whom a copy is supplied under this Order, or if he sues or appears by a solicitor, his solicitor shall be answerable for the copy being a true copy of the </w:t>
      </w:r>
      <w:r>
        <w:t>original.</w:t>
      </w:r>
    </w:p>
    <w:p>
      <w:pPr>
        <w:pStyle w:val="Footnotesection"/>
      </w:pPr>
      <w:r>
        <w:tab/>
        <w:t>[Rule 5 amended: Gazette 21 Feb 2007 p. 576; 27 Feb 2018 p. 617.]</w:t>
      </w:r>
    </w:p>
    <w:p>
      <w:pPr>
        <w:pStyle w:val="Heading5"/>
        <w:rPr>
          <w:snapToGrid w:val="0"/>
        </w:rPr>
      </w:pPr>
      <w:bookmarkStart w:id="1239" w:name="_Toc129078309"/>
      <w:r>
        <w:rPr>
          <w:rStyle w:val="CharSectno"/>
        </w:rPr>
        <w:lastRenderedPageBreak/>
        <w:t>6</w:t>
      </w:r>
      <w:r>
        <w:rPr>
          <w:snapToGrid w:val="0"/>
        </w:rPr>
        <w:t>.</w:t>
      </w:r>
      <w:r>
        <w:rPr>
          <w:snapToGrid w:val="0"/>
        </w:rPr>
        <w:tab/>
        <w:t xml:space="preserve">Copies of affidavits on certain </w:t>
      </w:r>
      <w:r>
        <w:rPr>
          <w:i/>
          <w:snapToGrid w:val="0"/>
        </w:rPr>
        <w:t>ex parte</w:t>
      </w:r>
      <w:r>
        <w:rPr>
          <w:snapToGrid w:val="0"/>
        </w:rPr>
        <w:t xml:space="preserve"> applications</w:t>
      </w:r>
      <w:bookmarkEnd w:id="1239"/>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Gazette 28 Jun 2011 p. 2552.]</w:t>
      </w:r>
    </w:p>
    <w:p>
      <w:pPr>
        <w:pStyle w:val="Heading2"/>
        <w:rPr>
          <w:b w:val="0"/>
        </w:rPr>
      </w:pPr>
      <w:bookmarkStart w:id="1240" w:name="_Toc129074238"/>
      <w:bookmarkStart w:id="1241" w:name="_Toc129075521"/>
      <w:bookmarkStart w:id="1242" w:name="_Toc129078310"/>
      <w:r>
        <w:rPr>
          <w:rStyle w:val="CharPartNo"/>
        </w:rPr>
        <w:lastRenderedPageBreak/>
        <w:t>Order 70</w:t>
      </w:r>
      <w:r>
        <w:rPr>
          <w:rStyle w:val="CharDivNo"/>
        </w:rPr>
        <w:t> </w:t>
      </w:r>
      <w:r>
        <w:t>—</w:t>
      </w:r>
      <w:r>
        <w:rPr>
          <w:rStyle w:val="CharDivText"/>
        </w:rPr>
        <w:t> </w:t>
      </w:r>
      <w:r>
        <w:rPr>
          <w:rStyle w:val="CharPartText"/>
        </w:rPr>
        <w:t>Disability</w:t>
      </w:r>
      <w:bookmarkEnd w:id="1240"/>
      <w:bookmarkEnd w:id="1241"/>
      <w:bookmarkEnd w:id="1242"/>
    </w:p>
    <w:p>
      <w:pPr>
        <w:pStyle w:val="Heading5"/>
        <w:rPr>
          <w:snapToGrid w:val="0"/>
        </w:rPr>
      </w:pPr>
      <w:bookmarkStart w:id="1243" w:name="_Toc129078311"/>
      <w:r>
        <w:rPr>
          <w:rStyle w:val="CharSectno"/>
        </w:rPr>
        <w:t>1</w:t>
      </w:r>
      <w:r>
        <w:rPr>
          <w:snapToGrid w:val="0"/>
        </w:rPr>
        <w:t>.</w:t>
      </w:r>
      <w:r>
        <w:rPr>
          <w:snapToGrid w:val="0"/>
        </w:rPr>
        <w:tab/>
        <w:t>Terms used</w:t>
      </w:r>
      <w:bookmarkEnd w:id="1243"/>
    </w:p>
    <w:p>
      <w:pPr>
        <w:pStyle w:val="Subsection"/>
        <w:rPr>
          <w:snapToGrid w:val="0"/>
        </w:rPr>
      </w:pPr>
      <w:r>
        <w:rPr>
          <w:snapToGrid w:val="0"/>
        </w:rPr>
        <w:tab/>
      </w:r>
      <w:r>
        <w:rPr>
          <w:snapToGrid w:val="0"/>
        </w:rPr>
        <w:tab/>
        <w:t>In this Order unless the contrary intention appears — </w:t>
      </w:r>
    </w:p>
    <w:p>
      <w:pPr>
        <w:pStyle w:val="Defstart"/>
      </w:pPr>
      <w:r>
        <w:tab/>
      </w:r>
      <w:r>
        <w:rPr>
          <w:rStyle w:val="CharDefText"/>
        </w:rPr>
        <w:t>GAA 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 (a) or (b), who, by reason of mental illness, defect or infirmity, however occasioned, is declared by the Court to be incapable of managing their affairs in respect of any proceedings to which the declaration relates;</w:t>
      </w:r>
    </w:p>
    <w:p>
      <w:pPr>
        <w:pStyle w:val="Defstart"/>
      </w:pPr>
      <w:r>
        <w:tab/>
      </w:r>
      <w:r>
        <w:rPr>
          <w:rStyle w:val="CharDefText"/>
        </w:rPr>
        <w:t>represented person</w:t>
      </w:r>
      <w:r>
        <w:t xml:space="preserve"> means a person in respect of whom a guardian or administrator has been appointed under the GAA Act with authority to do either or both of the following — </w:t>
      </w:r>
    </w:p>
    <w:p>
      <w:pPr>
        <w:pStyle w:val="Defpara"/>
      </w:pPr>
      <w:r>
        <w:tab/>
        <w:t>(a)</w:t>
      </w:r>
      <w:r>
        <w:tab/>
        <w:t>as the next friend of the represented person, to commence, conduct or settle on behalf of the represented person specified proceedings, some proceedings or all proceedings;</w:t>
      </w:r>
    </w:p>
    <w:p>
      <w:pPr>
        <w:pStyle w:val="Defpara"/>
      </w:pPr>
      <w:r>
        <w:tab/>
        <w:t>(b)</w:t>
      </w:r>
      <w:r>
        <w:tab/>
        <w:t xml:space="preserve">as the guardian </w:t>
      </w:r>
      <w:r>
        <w:rPr>
          <w:i/>
        </w:rPr>
        <w:t>ad litem</w:t>
      </w:r>
      <w:r>
        <w:t xml:space="preserve"> of the represented person, to defend or settle specified proceedings, some proceedings, or all proceedings, that are taken against the represented person.</w:t>
      </w:r>
    </w:p>
    <w:p>
      <w:pPr>
        <w:pStyle w:val="Footnotesection"/>
      </w:pPr>
      <w:r>
        <w:tab/>
        <w:t xml:space="preserve">[Rule 1 inserted: Gazette 22 Jul 1994 p. 3746; amended: SL 2020/242 r. 9(1)-(3).] </w:t>
      </w:r>
    </w:p>
    <w:p>
      <w:pPr>
        <w:pStyle w:val="Heading5"/>
        <w:rPr>
          <w:snapToGrid w:val="0"/>
        </w:rPr>
      </w:pPr>
      <w:bookmarkStart w:id="1244" w:name="_Toc129078312"/>
      <w:r>
        <w:rPr>
          <w:rStyle w:val="CharSectno"/>
        </w:rPr>
        <w:t>2</w:t>
      </w:r>
      <w:r>
        <w:rPr>
          <w:snapToGrid w:val="0"/>
        </w:rPr>
        <w:t>.</w:t>
      </w:r>
      <w:r>
        <w:rPr>
          <w:snapToGrid w:val="0"/>
        </w:rPr>
        <w:tab/>
        <w:t>Persons under disability suing or defending</w:t>
      </w:r>
      <w:bookmarkEnd w:id="1244"/>
    </w:p>
    <w:p>
      <w:pPr>
        <w:pStyle w:val="Subsection"/>
        <w:keepNext/>
      </w:pPr>
      <w:r>
        <w:tab/>
        <w:t>(1)</w:t>
      </w:r>
      <w:r>
        <w:tab/>
        <w:t xml:space="preserve">Except as provided in subrule (4) a person under disability — </w:t>
      </w:r>
    </w:p>
    <w:p>
      <w:pPr>
        <w:pStyle w:val="Indenta"/>
      </w:pPr>
      <w:r>
        <w:tab/>
        <w:t>(a)</w:t>
      </w:r>
      <w:r>
        <w:tab/>
        <w:t>cannot bring, or make a claim in, any proceedings except by the person’s next friend; and</w:t>
      </w:r>
    </w:p>
    <w:p>
      <w:pPr>
        <w:pStyle w:val="Indenta"/>
      </w:pPr>
      <w:r>
        <w:tab/>
        <w:t>(b)</w:t>
      </w:r>
      <w:r>
        <w:tab/>
        <w:t xml:space="preserve">cannot defend, make a counterclaim or intervene in any proceedings, or appear in any proceedings under a </w:t>
      </w:r>
      <w:r>
        <w:lastRenderedPageBreak/>
        <w:t xml:space="preserve">judgment or order, notice of which has been served on the person, except by the person’s guardian </w:t>
      </w:r>
      <w:r>
        <w:rPr>
          <w:i/>
        </w:rPr>
        <w:t>ad litem</w:t>
      </w:r>
      <w: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w:t>
      </w:r>
      <w:r>
        <w:t>must</w:t>
      </w:r>
      <w:r>
        <w:rPr>
          <w:snapToGrid w:val="0"/>
        </w:rPr>
        <w:t xml:space="preserve"> or may, if the party is a person under disability, be done by </w:t>
      </w:r>
      <w:r>
        <w:t>the person’s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Subsection"/>
      </w:pPr>
      <w:r>
        <w:tab/>
        <w:t>(5)</w:t>
      </w:r>
      <w:r>
        <w:tab/>
        <w:t xml:space="preserve">If a person under disability is a represented person, the next friend or guardian </w:t>
      </w:r>
      <w:r>
        <w:rPr>
          <w:i/>
        </w:rPr>
        <w:t>ad litem</w:t>
      </w:r>
      <w:r>
        <w:t xml:space="preserve"> of the represented person in any proceedings must be — </w:t>
      </w:r>
    </w:p>
    <w:p>
      <w:pPr>
        <w:pStyle w:val="Indenta"/>
      </w:pPr>
      <w:r>
        <w:tab/>
        <w:t>(a)</w:t>
      </w:r>
      <w:r>
        <w:tab/>
        <w:t xml:space="preserve">a guardian or administrator of the represented person authorised under the GAA Act Part 5 or 6 to act as next friend or guardian </w:t>
      </w:r>
      <w:r>
        <w:rPr>
          <w:i/>
        </w:rPr>
        <w:t>ad litem</w:t>
      </w:r>
      <w:r>
        <w:t>, as the case may be, in those proceedings; or</w:t>
      </w:r>
    </w:p>
    <w:p>
      <w:pPr>
        <w:pStyle w:val="Indenta"/>
      </w:pPr>
      <w:r>
        <w:tab/>
        <w:t>(b)</w:t>
      </w:r>
      <w:r>
        <w:tab/>
        <w:t xml:space="preserve">some other person appointed by the Court to be the next friend or guardian </w:t>
      </w:r>
      <w:r>
        <w:rPr>
          <w:i/>
        </w:rPr>
        <w:t>ad litem</w:t>
      </w:r>
      <w:r>
        <w:t>, as the case may be, in those proceedings.</w:t>
      </w:r>
    </w:p>
    <w:p>
      <w:pPr>
        <w:pStyle w:val="Subsection"/>
      </w:pPr>
      <w:r>
        <w:tab/>
        <w:t>(6)</w:t>
      </w:r>
      <w:r>
        <w:tab/>
        <w:t xml:space="preserve">An appointment by the Court under subrule (5)(b) may be — </w:t>
      </w:r>
    </w:p>
    <w:p>
      <w:pPr>
        <w:pStyle w:val="Indenta"/>
      </w:pPr>
      <w:r>
        <w:tab/>
        <w:t>(a)</w:t>
      </w:r>
      <w:r>
        <w:tab/>
        <w:t>of its own motion; or</w:t>
      </w:r>
    </w:p>
    <w:p>
      <w:pPr>
        <w:pStyle w:val="Indenta"/>
      </w:pPr>
      <w:r>
        <w:tab/>
        <w:t>(b)</w:t>
      </w:r>
      <w:r>
        <w:tab/>
        <w:t>on an application made under rule 5.</w:t>
      </w:r>
    </w:p>
    <w:p>
      <w:pPr>
        <w:pStyle w:val="Subsection"/>
      </w:pPr>
      <w:r>
        <w:tab/>
        <w:t>(7)</w:t>
      </w:r>
      <w:r>
        <w:tab/>
        <w:t>For the purposes of subrule (6)(b) the Court may vary the requirements of rule 5 as it considers appropriate in the circumstances.</w:t>
      </w:r>
    </w:p>
    <w:p>
      <w:pPr>
        <w:pStyle w:val="Footnotesection"/>
      </w:pPr>
      <w:r>
        <w:tab/>
        <w:t>[Rule 2 amended: Gazette 28 Jun 2011 p. 2552; SL 2020/242 r. 9(4)-(6).]</w:t>
      </w:r>
    </w:p>
    <w:p>
      <w:pPr>
        <w:pStyle w:val="Heading5"/>
        <w:rPr>
          <w:snapToGrid w:val="0"/>
        </w:rPr>
      </w:pPr>
      <w:bookmarkStart w:id="1245" w:name="_Toc129078313"/>
      <w:r>
        <w:rPr>
          <w:rStyle w:val="CharSectno"/>
        </w:rPr>
        <w:lastRenderedPageBreak/>
        <w:t>3</w:t>
      </w:r>
      <w:r>
        <w:rPr>
          <w:snapToGrid w:val="0"/>
        </w:rPr>
        <w:t>.</w:t>
      </w:r>
      <w:r>
        <w:rPr>
          <w:snapToGrid w:val="0"/>
        </w:rPr>
        <w:tab/>
        <w:t xml:space="preserve">Appointment of next friend or guardian </w:t>
      </w:r>
      <w:r>
        <w:rPr>
          <w:i/>
          <w:snapToGrid w:val="0"/>
        </w:rPr>
        <w:t>ad litem</w:t>
      </w:r>
      <w:bookmarkEnd w:id="1245"/>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w:t>
      </w:r>
      <w:r>
        <w:t>necessary for the purpose of a proceeding to which this rule applies.</w:t>
      </w:r>
    </w:p>
    <w:p>
      <w:pPr>
        <w:pStyle w:val="Subsection"/>
        <w:rPr>
          <w:snapToGrid w:val="0"/>
        </w:rPr>
      </w:pPr>
      <w:r>
        <w:rPr>
          <w:snapToGrid w:val="0"/>
        </w:rPr>
        <w:tab/>
        <w:t>(3)</w:t>
      </w:r>
      <w:r>
        <w:rPr>
          <w:snapToGrid w:val="0"/>
        </w:rPr>
        <w:tab/>
        <w:t xml:space="preserve">If a person under disability is a represented person, a guardian or administrator authorised under the GAA Act Part 5 or 6 to act as next friend or guardian </w:t>
      </w:r>
      <w:r>
        <w:rPr>
          <w:i/>
          <w:snapToGrid w:val="0"/>
        </w:rPr>
        <w:t>ad litem</w:t>
      </w:r>
      <w:r>
        <w:rPr>
          <w:snapToGrid w:val="0"/>
        </w:rPr>
        <w:t xml:space="preserve">, as the case may be, of the represented person in the proceedings is the next friend or guardian </w:t>
      </w:r>
      <w:r>
        <w:rPr>
          <w:i/>
          <w:snapToGrid w:val="0"/>
        </w:rPr>
        <w:t>ad litem</w:t>
      </w:r>
      <w:r>
        <w:rPr>
          <w:snapToGrid w:val="0"/>
        </w:rPr>
        <w:t>, as the case may be.</w:t>
      </w:r>
    </w:p>
    <w:p>
      <w:pPr>
        <w:pStyle w:val="Subsection"/>
        <w:rPr>
          <w:snapToGrid w:val="0"/>
        </w:rPr>
      </w:pPr>
      <w:r>
        <w:tab/>
        <w:t>(4)</w:t>
      </w:r>
      <w:r>
        <w:tab/>
        <w:t>Subrule (3) does not apply</w:t>
      </w:r>
      <w:r>
        <w:rPr>
          <w:snapToGrid w:val="0"/>
        </w:rPr>
        <w:t xml:space="preserve">, in a case to which </w:t>
      </w:r>
      <w:r>
        <w:t>subrule</w:t>
      </w:r>
      <w:r>
        <w:rPr>
          <w:snapToGrid w:val="0"/>
        </w:rPr>
        <w:t xml:space="preserve"> (5) or (6) or rule 6 applies, if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w:t>
      </w:r>
      <w:r>
        <w:t>is</w:t>
      </w:r>
      <w:r>
        <w:rPr>
          <w:snapToGrid w:val="0"/>
        </w:rPr>
        <w:t xml:space="preserve"> entitled to act as such friend or guardian, as the case may be, of the person under disability in those proceedings unless the Court makes an order appointing </w:t>
      </w:r>
      <w:r>
        <w:t>another person</w:t>
      </w:r>
      <w:r>
        <w:rPr>
          <w:snapToGrid w:val="0"/>
        </w:rPr>
        <w:t xml:space="preserve">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w:t>
      </w:r>
      <w:r>
        <w:t>to the proceedings</w:t>
      </w:r>
      <w:r>
        <w:rPr>
          <w:snapToGrid w:val="0"/>
        </w:rPr>
        <w:t xml:space="preserve"> becomes a person under a disability, an application </w:t>
      </w:r>
      <w:r>
        <w:t>must</w:t>
      </w:r>
      <w:r>
        <w:rPr>
          <w:snapToGrid w:val="0"/>
        </w:rPr>
        <w:t xml:space="preserve"> be made to the Court for the appointment of a next friend or guardian </w:t>
      </w:r>
      <w:r>
        <w:rPr>
          <w:i/>
          <w:snapToGrid w:val="0"/>
        </w:rPr>
        <w:t>ad litem</w:t>
      </w:r>
      <w:r>
        <w:rPr>
          <w:snapToGrid w:val="0"/>
        </w:rPr>
        <w:t>, as the case may be, of that party.</w:t>
      </w:r>
    </w:p>
    <w:p>
      <w:pPr>
        <w:pStyle w:val="Subsection"/>
        <w:keepNext/>
        <w:rPr>
          <w:snapToGrid w:val="0"/>
        </w:rPr>
      </w:pPr>
      <w:r>
        <w:rPr>
          <w:snapToGrid w:val="0"/>
        </w:rPr>
        <w:tab/>
        <w:t>(7)</w:t>
      </w:r>
      <w:r>
        <w:rPr>
          <w:snapToGrid w:val="0"/>
        </w:rPr>
        <w:tab/>
        <w:t xml:space="preserve">Except where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xml:space="preserve"> (3), or is the Public </w:t>
      </w:r>
      <w:r>
        <w:rPr>
          <w:snapToGrid w:val="0"/>
        </w:rPr>
        <w:lastRenderedPageBreak/>
        <w:t xml:space="preserve">Trustee, the documents specified in subrule (8) must be filed before — </w:t>
      </w:r>
    </w:p>
    <w:p>
      <w:pPr>
        <w:pStyle w:val="Indenta"/>
        <w:rPr>
          <w:snapToGrid w:val="0"/>
        </w:rPr>
      </w:pPr>
      <w:r>
        <w:rPr>
          <w:snapToGrid w:val="0"/>
        </w:rPr>
        <w:tab/>
        <w:t>(a)</w:t>
      </w:r>
      <w:r>
        <w:rPr>
          <w:snapToGrid w:val="0"/>
        </w:rPr>
        <w:tab/>
        <w:t>the name of any person can be used in a cause or matter as next friend of the person under disability; and</w:t>
      </w:r>
    </w:p>
    <w:p>
      <w:pPr>
        <w:pStyle w:val="Indenta"/>
        <w:rPr>
          <w:snapToGrid w:val="0"/>
        </w:rPr>
      </w:pPr>
      <w:r>
        <w:rPr>
          <w:snapToGrid w:val="0"/>
        </w:rPr>
        <w:tab/>
        <w:t>(b)</w:t>
      </w:r>
      <w:r>
        <w:rPr>
          <w:snapToGrid w:val="0"/>
        </w:rPr>
        <w:tab/>
        <w:t>an appearance can be entered in a cause or matter for the person under disability; and</w:t>
      </w:r>
    </w:p>
    <w:p>
      <w:pPr>
        <w:pStyle w:val="Indenta"/>
      </w:pPr>
      <w:r>
        <w:rPr>
          <w:snapToGrid w:val="0"/>
        </w:rPr>
        <w:tab/>
        <w:t>(c)</w:t>
      </w:r>
      <w:r>
        <w:rPr>
          <w:snapToGrid w:val="0"/>
        </w:rPr>
        <w:tab/>
        <w:t xml:space="preserve">the person under disability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tab/>
        <w:t>(b)</w:t>
      </w:r>
      <w:r>
        <w:tab/>
      </w:r>
      <w:r>
        <w:rPr>
          <w:snapToGrid w:val="0"/>
        </w:rPr>
        <w:t>an affidavit by the solicitor for the person under disability deposing — </w:t>
      </w:r>
    </w:p>
    <w:p>
      <w:pPr>
        <w:pStyle w:val="Indenti"/>
        <w:rPr>
          <w:snapToGrid w:val="0"/>
        </w:rPr>
      </w:pPr>
      <w:r>
        <w:rPr>
          <w:snapToGrid w:val="0"/>
        </w:rPr>
        <w:tab/>
        <w:t>(i)</w:t>
      </w:r>
      <w:r>
        <w:rPr>
          <w:snapToGrid w:val="0"/>
        </w:rPr>
        <w:tab/>
        <w:t>that the solicitor knows or believes, as the case may be, that the person to whom the affidavit relates is an infant or a represented person, stating (in the case of a represented person) the grounds of that knowledge or belief; and</w:t>
      </w:r>
    </w:p>
    <w:p>
      <w:pPr>
        <w:pStyle w:val="Indenti"/>
        <w:rPr>
          <w:snapToGrid w:val="0"/>
        </w:rPr>
      </w:pPr>
      <w:r>
        <w:rPr>
          <w:snapToGrid w:val="0"/>
        </w:rPr>
        <w:tab/>
        <w:t>(ii)</w:t>
      </w:r>
      <w:r>
        <w:rPr>
          <w:snapToGrid w:val="0"/>
        </w:rPr>
        <w:tab/>
        <w:t xml:space="preserve">that the person named in the affidavit as next friend or guardian </w:t>
      </w:r>
      <w:r>
        <w:rPr>
          <w:i/>
          <w:snapToGrid w:val="0"/>
        </w:rPr>
        <w:t>ad litem</w:t>
      </w:r>
      <w:r>
        <w:rPr>
          <w:snapToGrid w:val="0"/>
        </w:rPr>
        <w:t>, as the case may be, has no interest in the cause or matter in question adverse to that of the person under disability; and</w:t>
      </w:r>
    </w:p>
    <w:p>
      <w:pPr>
        <w:pStyle w:val="Indenti"/>
        <w:rPr>
          <w:snapToGrid w:val="0"/>
        </w:rPr>
      </w:pPr>
      <w:r>
        <w:rPr>
          <w:snapToGrid w:val="0"/>
        </w:rPr>
        <w:tab/>
        <w:t>(iii)</w:t>
      </w:r>
      <w:r>
        <w:rPr>
          <w:snapToGrid w:val="0"/>
        </w:rPr>
        <w:tab/>
        <w:t xml:space="preserve">that in the case of an infant (who is not a represented person) who has attained the age of 14 years, the infant consents to the person named in the affidavit acting as next friend or guardian </w:t>
      </w:r>
      <w:r>
        <w:rPr>
          <w:i/>
          <w:snapToGrid w:val="0"/>
        </w:rPr>
        <w:t>ad litem</w:t>
      </w:r>
      <w:r>
        <w:rPr>
          <w:snapToGrid w:val="0"/>
        </w:rPr>
        <w:t>, as the case may be.</w:t>
      </w:r>
    </w:p>
    <w:p>
      <w:pPr>
        <w:pStyle w:val="Ednotepara"/>
      </w:pPr>
      <w:r>
        <w:tab/>
        <w:t>[(c)</w:t>
      </w:r>
      <w:r>
        <w:tab/>
        <w:t>deleted]</w:t>
      </w:r>
    </w:p>
    <w:p>
      <w:pPr>
        <w:pStyle w:val="Subsection"/>
        <w:rPr>
          <w:snapToGrid w:val="0"/>
        </w:rPr>
      </w:pPr>
      <w:r>
        <w:lastRenderedPageBreak/>
        <w:tab/>
        <w:t>(9)</w:t>
      </w:r>
      <w:r>
        <w:tab/>
        <w:t>If</w:t>
      </w:r>
      <w:r>
        <w:rPr>
          <w:snapToGrid w:val="0"/>
        </w:rPr>
        <w:t xml:space="preserve"> the person who is the next friend or guardian </w:t>
      </w:r>
      <w:r>
        <w:rPr>
          <w:i/>
          <w:snapToGrid w:val="0"/>
        </w:rPr>
        <w:t>ad litem</w:t>
      </w:r>
      <w:r>
        <w:rPr>
          <w:snapToGrid w:val="0"/>
        </w:rPr>
        <w:t xml:space="preserve">, as the case may be, of a represented person and is authorised under the GAA Act Part 5 or 6 to conduct proceedings in a cause or matter in the name of the represented person or on behalf of the represented person, a copy of the order made under the GAA Act Part 5 or 6 giving the authority must be filed before — </w:t>
      </w:r>
    </w:p>
    <w:p>
      <w:pPr>
        <w:pStyle w:val="Indenta"/>
        <w:rPr>
          <w:snapToGrid w:val="0"/>
        </w:rPr>
      </w:pPr>
      <w:r>
        <w:rPr>
          <w:snapToGrid w:val="0"/>
        </w:rPr>
        <w:tab/>
        <w:t>(a)</w:t>
      </w:r>
      <w:r>
        <w:rPr>
          <w:snapToGrid w:val="0"/>
        </w:rPr>
        <w:tab/>
        <w:t>the name of any person can be used in the cause or matter as next friend of the represented person; and</w:t>
      </w:r>
    </w:p>
    <w:p>
      <w:pPr>
        <w:pStyle w:val="Indenta"/>
        <w:rPr>
          <w:snapToGrid w:val="0"/>
        </w:rPr>
      </w:pPr>
      <w:r>
        <w:rPr>
          <w:snapToGrid w:val="0"/>
        </w:rPr>
        <w:tab/>
        <w:t>(b)</w:t>
      </w:r>
      <w:r>
        <w:rPr>
          <w:snapToGrid w:val="0"/>
        </w:rPr>
        <w:tab/>
        <w:t>an appearance can be entered in a cause or matter for the represented person; and</w:t>
      </w:r>
    </w:p>
    <w:p>
      <w:pPr>
        <w:pStyle w:val="Indenta"/>
      </w:pPr>
      <w:r>
        <w:rPr>
          <w:snapToGrid w:val="0"/>
        </w:rPr>
        <w:tab/>
        <w:t>(c)</w:t>
      </w:r>
      <w:r>
        <w:rPr>
          <w:snapToGrid w:val="0"/>
        </w:rPr>
        <w:tab/>
        <w:t xml:space="preserve">the represented person is entitled to appear by the person’s guardian </w:t>
      </w:r>
      <w:r>
        <w:rPr>
          <w:i/>
          <w:snapToGrid w:val="0"/>
        </w:rPr>
        <w:t>ad litem</w:t>
      </w:r>
      <w:r>
        <w:rPr>
          <w:snapToGrid w:val="0"/>
        </w:rPr>
        <w:t xml:space="preserve"> on the hearing of a petition, summons or motion which, or notice of which, has been served on the person.</w:t>
      </w:r>
    </w:p>
    <w:p>
      <w:pPr>
        <w:pStyle w:val="Footnotesection"/>
      </w:pPr>
      <w:r>
        <w:tab/>
        <w:t>[Rule 3 amended: Gazette 22 Jul 1994 p. 3746</w:t>
      </w:r>
      <w:r>
        <w:noBreakHyphen/>
        <w:t>8; 28 Jun 2011 p. 2552</w:t>
      </w:r>
      <w:r>
        <w:noBreakHyphen/>
        <w:t xml:space="preserve">3; SL 2020/242 r. 9(7)-(13).] </w:t>
      </w:r>
    </w:p>
    <w:p>
      <w:pPr>
        <w:pStyle w:val="Heading5"/>
        <w:rPr>
          <w:snapToGrid w:val="0"/>
        </w:rPr>
      </w:pPr>
      <w:bookmarkStart w:id="1246" w:name="_Toc129078314"/>
      <w:r>
        <w:rPr>
          <w:rStyle w:val="CharSectno"/>
        </w:rPr>
        <w:t>4</w:t>
      </w:r>
      <w:r>
        <w:rPr>
          <w:snapToGrid w:val="0"/>
        </w:rPr>
        <w:t>.</w:t>
      </w:r>
      <w:r>
        <w:rPr>
          <w:snapToGrid w:val="0"/>
        </w:rPr>
        <w:tab/>
        <w:t>Special provisions for probate actions</w:t>
      </w:r>
      <w:bookmarkEnd w:id="1246"/>
    </w:p>
    <w:p>
      <w:pPr>
        <w:pStyle w:val="Subsection"/>
        <w:rPr>
          <w:snapToGrid w:val="0"/>
        </w:rPr>
      </w:pPr>
      <w:r>
        <w:rPr>
          <w:snapToGrid w:val="0"/>
        </w:rPr>
        <w:tab/>
        <w:t>(1)</w:t>
      </w:r>
      <w:r>
        <w:rPr>
          <w:snapToGrid w:val="0"/>
        </w:rPr>
        <w:tab/>
        <w:t>This rule applies in relation to a probate action.</w:t>
      </w:r>
    </w:p>
    <w:p>
      <w:pPr>
        <w:pStyle w:val="Subsection"/>
      </w:pPr>
      <w:r>
        <w:tab/>
        <w:t>(2)</w:t>
      </w:r>
      <w:r>
        <w:tab/>
        <w:t xml:space="preserve">Except as provided in subrule (3), a person must not act in a probate action as next friend or guardian </w:t>
      </w:r>
      <w:r>
        <w:rPr>
          <w:i/>
        </w:rPr>
        <w:t>ad litem</w:t>
      </w:r>
      <w:r>
        <w:t xml:space="preserve"> of a person under disability unless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pPr>
      <w:r>
        <w:tab/>
        <w:t>(a)</w:t>
      </w:r>
      <w:r>
        <w:tab/>
      </w:r>
      <w:r>
        <w:rPr>
          <w:snapToGrid w:val="0"/>
        </w:rPr>
        <w:t>in the case of a represented person, the person is the guardian or administrator authorised under the GAA Act Part 5 or 6 to conduct legal proceedings in the name of the represented person;</w:t>
      </w:r>
    </w:p>
    <w:p>
      <w:pPr>
        <w:pStyle w:val="Indenta"/>
        <w:rPr>
          <w:snapToGrid w:val="0"/>
        </w:rPr>
      </w:pPr>
      <w:r>
        <w:rPr>
          <w:snapToGrid w:val="0"/>
        </w:rPr>
        <w:tab/>
        <w:t>(b)</w:t>
      </w:r>
      <w:r>
        <w:rPr>
          <w:snapToGrid w:val="0"/>
        </w:rPr>
        <w:tab/>
        <w:t xml:space="preserve">in the case of an infant (who is not also a represented person) </w:t>
      </w:r>
      <w:r>
        <w:t>the person</w:t>
      </w:r>
      <w:r>
        <w:rPr>
          <w:snapToGrid w:val="0"/>
        </w:rPr>
        <w:t xml:space="preserv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w:t>
      </w:r>
      <w:r>
        <w:rPr>
          <w:snapToGrid w:val="0"/>
        </w:rPr>
        <w:lastRenderedPageBreak/>
        <w:t xml:space="preserve">paragraph (b) and the person is one of the next of kin of the infant and has been appointed by </w:t>
      </w:r>
      <w:r>
        <w:t>the infant to act as the infant’s</w:t>
      </w:r>
      <w:r>
        <w:rPr>
          <w:snapToGrid w:val="0"/>
        </w:rPr>
        <w:t xml:space="preserve">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w:t>
      </w:r>
      <w:r>
        <w:t>the person</w:t>
      </w:r>
      <w:r>
        <w:rPr>
          <w:snapToGrid w:val="0"/>
        </w:rPr>
        <w:t xml:space="preserve"> in the action (where </w:t>
      </w:r>
      <w:r>
        <w:t>the person</w:t>
      </w:r>
      <w:r>
        <w:rPr>
          <w:snapToGrid w:val="0"/>
        </w:rPr>
        <w:t xml:space="preserv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w:t>
      </w:r>
      <w:r>
        <w:t xml:space="preserve">the GAA Act Part 5 or 6 </w:t>
      </w:r>
      <w:r>
        <w:rPr>
          <w:snapToGrid w:val="0"/>
        </w:rPr>
        <w:t xml:space="preserve">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keepNext/>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w:t>
      </w:r>
      <w:r>
        <w:t xml:space="preserve">the proposed next friend or guardian </w:t>
      </w:r>
      <w:r>
        <w:rPr>
          <w:i/>
        </w:rPr>
        <w:t>ad litem</w:t>
      </w:r>
      <w:r>
        <w:rPr>
          <w:snapToGrid w:val="0"/>
        </w:rPr>
        <w:t xml:space="preserve"> has no interest in the action adverse to that of the infant, and is a next</w:t>
      </w:r>
      <w:r>
        <w:rPr>
          <w:snapToGrid w:val="0"/>
        </w:rPr>
        <w:noBreakHyphen/>
        <w:t>of</w:t>
      </w:r>
      <w:r>
        <w:rPr>
          <w:snapToGrid w:val="0"/>
        </w:rPr>
        <w:noBreakHyphen/>
        <w:t>kin of the infant.</w:t>
      </w:r>
    </w:p>
    <w:p>
      <w:pPr>
        <w:pStyle w:val="Footnotesection"/>
      </w:pPr>
      <w:r>
        <w:lastRenderedPageBreak/>
        <w:tab/>
        <w:t xml:space="preserve">[Rule 4 amended: Gazette 30 Nov 1984 p. 3952; 22 Jul 1994 p. 3748; 30 Jun 2003 p. 2631; 28 Jun 2011 p. 2552 and 2555; SL 2020/242 r. 9(14)-(17).] </w:t>
      </w:r>
    </w:p>
    <w:p>
      <w:pPr>
        <w:pStyle w:val="Heading5"/>
        <w:rPr>
          <w:snapToGrid w:val="0"/>
        </w:rPr>
      </w:pPr>
      <w:bookmarkStart w:id="1247" w:name="_Toc129078315"/>
      <w:r>
        <w:rPr>
          <w:rStyle w:val="CharSectno"/>
        </w:rPr>
        <w:t>5</w:t>
      </w:r>
      <w:r>
        <w:rPr>
          <w:snapToGrid w:val="0"/>
        </w:rPr>
        <w:t>.</w:t>
      </w:r>
      <w:r>
        <w:rPr>
          <w:snapToGrid w:val="0"/>
        </w:rPr>
        <w:tab/>
        <w:t>Procedure on no appearance by person under disability</w:t>
      </w:r>
      <w:bookmarkEnd w:id="124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w:t>
      </w:r>
      <w:r>
        <w:t xml:space="preserve">(as respects the person under disability) </w:t>
      </w:r>
      <w:r>
        <w:rPr>
          <w:snapToGrid w:val="0"/>
        </w:rPr>
        <w:t xml:space="preserve">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w:t>
      </w:r>
      <w:r>
        <w:rPr>
          <w:snapToGrid w:val="0"/>
        </w:rPr>
        <w:lastRenderedPageBreak/>
        <w:t>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xml:space="preserve"> (6) that notice of the application was, after the expiration of the time limited for appearance, and at least 7 days before the day named in the notice for hearing the application, duly served on </w:t>
      </w:r>
      <w:r>
        <w:t>the person under disability.</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Gazette 28 Jun 2011 p. 2552</w:t>
      </w:r>
      <w:r>
        <w:noBreakHyphen/>
        <w:t>3; SL 2020/242 r. 9(18) and (19).]</w:t>
      </w:r>
    </w:p>
    <w:p>
      <w:pPr>
        <w:pStyle w:val="Heading5"/>
        <w:rPr>
          <w:snapToGrid w:val="0"/>
        </w:rPr>
      </w:pPr>
      <w:bookmarkStart w:id="1248" w:name="_Toc129078316"/>
      <w:r>
        <w:rPr>
          <w:rStyle w:val="CharSectno"/>
        </w:rPr>
        <w:lastRenderedPageBreak/>
        <w:t>6</w:t>
      </w:r>
      <w:r>
        <w:rPr>
          <w:snapToGrid w:val="0"/>
        </w:rPr>
        <w:t>.</w:t>
      </w:r>
      <w:r>
        <w:rPr>
          <w:snapToGrid w:val="0"/>
        </w:rPr>
        <w:tab/>
        <w:t>Time for application by person under disability to discharge or vary order under O. 18 r. 7</w:t>
      </w:r>
      <w:bookmarkEnd w:id="1248"/>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w:t>
      </w:r>
      <w:r>
        <w:t>that person.</w:t>
      </w:r>
    </w:p>
    <w:p>
      <w:pPr>
        <w:pStyle w:val="Footnotesection"/>
      </w:pPr>
      <w:r>
        <w:tab/>
        <w:t>[Rule 6 amended: SL 2020/242 r. 9(20).]</w:t>
      </w:r>
    </w:p>
    <w:p>
      <w:pPr>
        <w:pStyle w:val="Heading5"/>
        <w:rPr>
          <w:snapToGrid w:val="0"/>
        </w:rPr>
      </w:pPr>
      <w:bookmarkStart w:id="1249" w:name="_Toc129078317"/>
      <w:r>
        <w:rPr>
          <w:rStyle w:val="CharSectno"/>
        </w:rPr>
        <w:t>7</w:t>
      </w:r>
      <w:r>
        <w:rPr>
          <w:snapToGrid w:val="0"/>
        </w:rPr>
        <w:t>.</w:t>
      </w:r>
      <w:r>
        <w:rPr>
          <w:snapToGrid w:val="0"/>
        </w:rPr>
        <w:tab/>
        <w:t>Removal of next friend or guardian</w:t>
      </w:r>
      <w:bookmarkEnd w:id="1249"/>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w:t>
      </w:r>
      <w:r>
        <w:t>must</w:t>
      </w:r>
      <w:r>
        <w:rPr>
          <w:snapToGrid w:val="0"/>
        </w:rPr>
        <w:t xml:space="preserve">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Footnotesection"/>
      </w:pPr>
      <w:r>
        <w:tab/>
        <w:t>[Rule 7 amended: SL 2020/242 r. 9(21).]</w:t>
      </w:r>
    </w:p>
    <w:p>
      <w:pPr>
        <w:pStyle w:val="Heading5"/>
      </w:pPr>
      <w:bookmarkStart w:id="1250" w:name="_Toc129078318"/>
      <w:r>
        <w:rPr>
          <w:rStyle w:val="CharSectno"/>
        </w:rPr>
        <w:t>8</w:t>
      </w:r>
      <w:r>
        <w:t>.</w:t>
      </w:r>
      <w:r>
        <w:tab/>
        <w:t>No implied admission from pleading</w:t>
      </w:r>
      <w:bookmarkEnd w:id="1250"/>
    </w:p>
    <w:p>
      <w:pPr>
        <w:pStyle w:val="Subsection"/>
        <w:keepNext/>
      </w:pPr>
      <w:r>
        <w:tab/>
      </w:r>
      <w:r>
        <w:tab/>
        <w:t xml:space="preserve">Despite anything in Order 20 rule 14(1), a person under disability is not taken to admit the truth of any allegation of fact made in the pleading of the opposite party by reason only that </w:t>
      </w:r>
      <w:r>
        <w:lastRenderedPageBreak/>
        <w:t>the allegation was not traversed in the pleadings of the person under disability.</w:t>
      </w:r>
    </w:p>
    <w:p>
      <w:pPr>
        <w:pStyle w:val="Footnotesection"/>
      </w:pPr>
      <w:r>
        <w:tab/>
        <w:t>[Rule 8 inserted: SL 2020/242 r. 9(22).]</w:t>
      </w:r>
    </w:p>
    <w:p>
      <w:pPr>
        <w:pStyle w:val="Heading5"/>
        <w:rPr>
          <w:snapToGrid w:val="0"/>
        </w:rPr>
      </w:pPr>
      <w:bookmarkStart w:id="1251" w:name="_Toc129078319"/>
      <w:r>
        <w:rPr>
          <w:rStyle w:val="CharSectno"/>
        </w:rPr>
        <w:t>9</w:t>
      </w:r>
      <w:r>
        <w:rPr>
          <w:snapToGrid w:val="0"/>
        </w:rPr>
        <w:t>.</w:t>
      </w:r>
      <w:r>
        <w:rPr>
          <w:snapToGrid w:val="0"/>
        </w:rPr>
        <w:tab/>
        <w:t>Discovery and interrogatories</w:t>
      </w:r>
      <w:bookmarkEnd w:id="1251"/>
    </w:p>
    <w:p>
      <w:pPr>
        <w:pStyle w:val="Subsection"/>
        <w:rPr>
          <w:snapToGrid w:val="0"/>
        </w:rPr>
      </w:pPr>
      <w:r>
        <w:rPr>
          <w:snapToGrid w:val="0"/>
        </w:rPr>
        <w:tab/>
      </w:r>
      <w:r>
        <w:rPr>
          <w:snapToGrid w:val="0"/>
        </w:rPr>
        <w:tab/>
        <w:t xml:space="preserve">Orders 26 and 27 apply to a person under disability and to </w:t>
      </w:r>
      <w:r>
        <w:t>the person’s</w:t>
      </w:r>
      <w:r>
        <w:rPr>
          <w:snapToGrid w:val="0"/>
        </w:rPr>
        <w:t xml:space="preserve"> next friend or guardian </w:t>
      </w:r>
      <w:r>
        <w:rPr>
          <w:i/>
          <w:snapToGrid w:val="0"/>
        </w:rPr>
        <w:t>ad litem</w:t>
      </w:r>
      <w:r>
        <w:rPr>
          <w:snapToGrid w:val="0"/>
        </w:rPr>
        <w:t>.</w:t>
      </w:r>
    </w:p>
    <w:p>
      <w:pPr>
        <w:pStyle w:val="Footnotesection"/>
      </w:pPr>
      <w:r>
        <w:tab/>
        <w:t>[Rule 9 amended: SL 2020/242 r. 9(23).]</w:t>
      </w:r>
    </w:p>
    <w:p>
      <w:pPr>
        <w:pStyle w:val="Heading5"/>
        <w:rPr>
          <w:snapToGrid w:val="0"/>
        </w:rPr>
      </w:pPr>
      <w:bookmarkStart w:id="1252" w:name="_Toc129078320"/>
      <w:r>
        <w:rPr>
          <w:rStyle w:val="CharSectno"/>
        </w:rPr>
        <w:t>10</w:t>
      </w:r>
      <w:r>
        <w:rPr>
          <w:snapToGrid w:val="0"/>
        </w:rPr>
        <w:t>.</w:t>
      </w:r>
      <w:r>
        <w:rPr>
          <w:snapToGrid w:val="0"/>
        </w:rPr>
        <w:tab/>
        <w:t>Settlement etc. of action by person under disability</w:t>
      </w:r>
      <w:bookmarkEnd w:id="1252"/>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xml:space="preserve">) in which there is a claim by or on behalf of or against a person under disability, </w:t>
      </w:r>
      <w:r>
        <w:t>is</w:t>
      </w:r>
      <w:r>
        <w:rPr>
          <w:snapToGrid w:val="0"/>
        </w:rPr>
        <w:t xml:space="preserv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 xml:space="preserve">if made before the hearing of a cause or matter, </w:t>
      </w:r>
      <w:r>
        <w:t>must</w:t>
      </w:r>
      <w:r>
        <w:rPr>
          <w:snapToGrid w:val="0"/>
        </w:rPr>
        <w:t xml:space="preserve"> be by summons in chambers;</w:t>
      </w:r>
    </w:p>
    <w:p>
      <w:pPr>
        <w:pStyle w:val="Indenta"/>
        <w:rPr>
          <w:snapToGrid w:val="0"/>
        </w:rPr>
      </w:pPr>
      <w:r>
        <w:rPr>
          <w:snapToGrid w:val="0"/>
        </w:rPr>
        <w:tab/>
        <w:t>(b)</w:t>
      </w:r>
      <w:r>
        <w:rPr>
          <w:snapToGrid w:val="0"/>
        </w:rPr>
        <w:tab/>
        <w:t xml:space="preserve">if made during the trial of an action or issue, </w:t>
      </w:r>
      <w:r>
        <w:t>must</w:t>
      </w:r>
      <w:r>
        <w:rPr>
          <w:snapToGrid w:val="0"/>
        </w:rPr>
        <w:t xml:space="preserve"> be to the trial judge on motion,</w:t>
      </w:r>
    </w:p>
    <w:p>
      <w:pPr>
        <w:pStyle w:val="Subsection"/>
        <w:rPr>
          <w:snapToGrid w:val="0"/>
        </w:rPr>
      </w:pPr>
      <w:r>
        <w:rPr>
          <w:snapToGrid w:val="0"/>
        </w:rPr>
        <w:tab/>
      </w:r>
      <w:r>
        <w:rPr>
          <w:snapToGrid w:val="0"/>
        </w:rPr>
        <w:tab/>
        <w:t xml:space="preserve">and </w:t>
      </w:r>
      <w:r>
        <w:t>must</w:t>
      </w:r>
      <w:r>
        <w:rPr>
          <w:snapToGrid w:val="0"/>
        </w:rPr>
        <w:t xml:space="preserve"> be supported by affidavit and by the opinion of an independent counsel; but the Court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Gazette 7 Oct 1977 p. 3602; amended: Gazette 29 Apr 2005 p. 1795; 28 Jun 2011 p. 2552; SL 2020/242 r. 9(24) and (25).] </w:t>
      </w:r>
    </w:p>
    <w:p>
      <w:pPr>
        <w:pStyle w:val="Heading5"/>
      </w:pPr>
      <w:bookmarkStart w:id="1253" w:name="_Toc129078321"/>
      <w:r>
        <w:rPr>
          <w:rStyle w:val="CharSectno"/>
        </w:rPr>
        <w:lastRenderedPageBreak/>
        <w:t>10A</w:t>
      </w:r>
      <w:r>
        <w:t>.</w:t>
      </w:r>
      <w:r>
        <w:tab/>
        <w:t>Settlement etc. of appeal by person under disability</w:t>
      </w:r>
      <w:bookmarkEnd w:id="1253"/>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Gazette 29 Apr 2005 p. 1793.] </w:t>
      </w:r>
    </w:p>
    <w:p>
      <w:pPr>
        <w:pStyle w:val="Heading5"/>
        <w:rPr>
          <w:snapToGrid w:val="0"/>
        </w:rPr>
      </w:pPr>
      <w:bookmarkStart w:id="1254" w:name="_Toc129078322"/>
      <w:r>
        <w:rPr>
          <w:rStyle w:val="CharSectno"/>
        </w:rPr>
        <w:t>11</w:t>
      </w:r>
      <w:r>
        <w:rPr>
          <w:snapToGrid w:val="0"/>
        </w:rPr>
        <w:t>.</w:t>
      </w:r>
      <w:r>
        <w:rPr>
          <w:snapToGrid w:val="0"/>
        </w:rPr>
        <w:tab/>
        <w:t>Settlement etc. before action commenced</w:t>
      </w:r>
      <w:bookmarkEnd w:id="1254"/>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255" w:name="_Toc129078323"/>
      <w:r>
        <w:rPr>
          <w:rStyle w:val="CharSectno"/>
        </w:rPr>
        <w:t>12</w:t>
      </w:r>
      <w:r>
        <w:rPr>
          <w:snapToGrid w:val="0"/>
        </w:rPr>
        <w:t>.</w:t>
      </w:r>
      <w:r>
        <w:rPr>
          <w:snapToGrid w:val="0"/>
        </w:rPr>
        <w:tab/>
        <w:t>Control of money recovered for person under disability</w:t>
      </w:r>
      <w:bookmarkEnd w:id="1255"/>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lastRenderedPageBreak/>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 xml:space="preserve">the money </w:t>
      </w:r>
      <w:r>
        <w:t xml:space="preserve">must, </w:t>
      </w:r>
      <w:r>
        <w:rPr>
          <w:snapToGrid w:val="0"/>
        </w:rPr>
        <w:t>unless otherwise ordered by the Court, be paid to the Public Trustee for investment on behalf of the person under disability, and if the Court so orders may be invested by the Public Trustee in investments outside the</w:t>
      </w:r>
      <w:r>
        <w:t xml:space="preserve"> Common Account established under the </w:t>
      </w:r>
      <w:r>
        <w:rPr>
          <w:i/>
        </w:rPr>
        <w:t>Public Trustee Act 1941</w:t>
      </w:r>
      <w:r>
        <w:t>.</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Footnotesection"/>
      </w:pPr>
      <w:r>
        <w:tab/>
        <w:t>[Rule 12 amended: Gazette 12 Jun 2012 p. 2452; SL 2020/242 r. 9(26).]</w:t>
      </w:r>
    </w:p>
    <w:p>
      <w:pPr>
        <w:pStyle w:val="Heading5"/>
        <w:rPr>
          <w:snapToGrid w:val="0"/>
        </w:rPr>
      </w:pPr>
      <w:bookmarkStart w:id="1256" w:name="_Toc129078324"/>
      <w:r>
        <w:rPr>
          <w:rStyle w:val="CharSectno"/>
        </w:rPr>
        <w:t>13</w:t>
      </w:r>
      <w:r>
        <w:rPr>
          <w:snapToGrid w:val="0"/>
        </w:rPr>
        <w:t>.</w:t>
      </w:r>
      <w:r>
        <w:rPr>
          <w:snapToGrid w:val="0"/>
        </w:rPr>
        <w:tab/>
        <w:t>Personal service on person under disability</w:t>
      </w:r>
      <w:bookmarkEnd w:id="1256"/>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tab/>
        <w:t>(3)</w:t>
      </w:r>
      <w:r>
        <w:tab/>
        <w:t xml:space="preserve">If the person to be served is a person under disability only because of infancy and has </w:t>
      </w:r>
      <w:r>
        <w:rPr>
          <w:snapToGrid w:val="0"/>
        </w:rPr>
        <w:t xml:space="preserve">no next friend or guardian </w:t>
      </w:r>
      <w:r>
        <w:rPr>
          <w:i/>
          <w:snapToGrid w:val="0"/>
        </w:rPr>
        <w:t>ad litem</w:t>
      </w:r>
      <w:r>
        <w:rPr>
          <w:snapToGrid w:val="0"/>
        </w:rPr>
        <w:t xml:space="preserve"> in the proceedings, the document may be served — </w:t>
      </w:r>
    </w:p>
    <w:p>
      <w:pPr>
        <w:pStyle w:val="Indenta"/>
      </w:pPr>
      <w:r>
        <w:tab/>
        <w:t>(a)</w:t>
      </w:r>
      <w:r>
        <w:tab/>
        <w:t>if the person is aged 16 years or upwards, on the person; or</w:t>
      </w:r>
    </w:p>
    <w:p>
      <w:pPr>
        <w:pStyle w:val="Indenta"/>
      </w:pPr>
      <w:r>
        <w:lastRenderedPageBreak/>
        <w:tab/>
        <w:t>(b)</w:t>
      </w:r>
      <w:r>
        <w:tab/>
        <w:t>on one of the person’s parents or the person’s guardian; or</w:t>
      </w:r>
    </w:p>
    <w:p>
      <w:pPr>
        <w:pStyle w:val="Indenta"/>
      </w:pPr>
      <w:r>
        <w:tab/>
        <w:t>(c)</w:t>
      </w:r>
      <w:r>
        <w:tab/>
        <w:t>if the person has no parent or guardian, on the person with whom the person resides or in whose care the person is.</w:t>
      </w:r>
    </w:p>
    <w:p>
      <w:pPr>
        <w:pStyle w:val="Subsection"/>
      </w:pPr>
      <w:r>
        <w:tab/>
        <w:t>(4)</w:t>
      </w:r>
      <w:r>
        <w:tab/>
        <w:t xml:space="preserve">If the person to be served is a represented person as defined in the GAA Act section 3(1) and has no next friend or guardian </w:t>
      </w:r>
      <w:r>
        <w:rPr>
          <w:i/>
        </w:rPr>
        <w:t>ad litem</w:t>
      </w:r>
      <w:r>
        <w:t xml:space="preserve"> in the proceedings, the document may be served — </w:t>
      </w:r>
    </w:p>
    <w:p>
      <w:pPr>
        <w:pStyle w:val="Indenta"/>
        <w:rPr>
          <w:snapToGrid w:val="0"/>
        </w:rPr>
      </w:pPr>
      <w:r>
        <w:rPr>
          <w:snapToGrid w:val="0"/>
        </w:rPr>
        <w:tab/>
        <w:t>(a)</w:t>
      </w:r>
      <w:r>
        <w:rPr>
          <w:snapToGrid w:val="0"/>
        </w:rPr>
        <w:tab/>
        <w:t xml:space="preserve">on the Public Trustee if the person is a represented person as defined in the </w:t>
      </w:r>
      <w:r>
        <w:rPr>
          <w:i/>
          <w:snapToGrid w:val="0"/>
        </w:rPr>
        <w:t>Public Trustee Act 1941</w:t>
      </w:r>
      <w:r>
        <w:rPr>
          <w:snapToGrid w:val="0"/>
        </w:rPr>
        <w:t xml:space="preserve"> section 2; or</w:t>
      </w:r>
    </w:p>
    <w:p>
      <w:pPr>
        <w:pStyle w:val="Indenta"/>
      </w:pPr>
      <w:r>
        <w:tab/>
        <w:t>(b)</w:t>
      </w:r>
      <w:r>
        <w:tab/>
        <w:t>on the person with whom the represented person resides or in whose care the person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w:t>
      </w:r>
      <w:r>
        <w:t>is taken</w:t>
      </w:r>
      <w:r>
        <w:rPr>
          <w:snapToGrid w:val="0"/>
        </w:rPr>
        <w:t xml:space="preserve">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xml:space="preserve"> (2) to (5), be served personally on </w:t>
      </w:r>
      <w:r>
        <w:t xml:space="preserve">the person, </w:t>
      </w:r>
      <w:r>
        <w:rPr>
          <w:snapToGrid w:val="0"/>
        </w:rPr>
        <w:t>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Gazette 15 Jun 1973 p. 2250; 22 Jul 1994 p. 3748; 21 Feb 2007 p. 576; 28 Jun 2011 p. 2552</w:t>
      </w:r>
      <w:r>
        <w:noBreakHyphen/>
        <w:t xml:space="preserve">3 and 2555; SL 2020/242 r. 9(27)-(30).] </w:t>
      </w:r>
    </w:p>
    <w:p>
      <w:pPr>
        <w:pStyle w:val="Heading2"/>
        <w:rPr>
          <w:b w:val="0"/>
        </w:rPr>
      </w:pPr>
      <w:bookmarkStart w:id="1257" w:name="_Toc129074253"/>
      <w:bookmarkStart w:id="1258" w:name="_Toc129075536"/>
      <w:bookmarkStart w:id="1259" w:name="_Toc129078325"/>
      <w:r>
        <w:rPr>
          <w:rStyle w:val="CharPartNo"/>
        </w:rPr>
        <w:lastRenderedPageBreak/>
        <w:t>Order 71</w:t>
      </w:r>
      <w:r>
        <w:rPr>
          <w:rStyle w:val="CharDivNo"/>
        </w:rPr>
        <w:t> </w:t>
      </w:r>
      <w:r>
        <w:t>—</w:t>
      </w:r>
      <w:r>
        <w:rPr>
          <w:rStyle w:val="CharDivText"/>
        </w:rPr>
        <w:t> </w:t>
      </w:r>
      <w:r>
        <w:rPr>
          <w:rStyle w:val="CharPartText"/>
        </w:rPr>
        <w:t>Partners, business names</w:t>
      </w:r>
      <w:bookmarkEnd w:id="1257"/>
      <w:bookmarkEnd w:id="1258"/>
      <w:bookmarkEnd w:id="1259"/>
    </w:p>
    <w:p>
      <w:pPr>
        <w:pStyle w:val="Heading5"/>
        <w:rPr>
          <w:snapToGrid w:val="0"/>
        </w:rPr>
      </w:pPr>
      <w:bookmarkStart w:id="1260" w:name="_Toc129078326"/>
      <w:r>
        <w:rPr>
          <w:rStyle w:val="CharSectno"/>
        </w:rPr>
        <w:t>1</w:t>
      </w:r>
      <w:r>
        <w:rPr>
          <w:snapToGrid w:val="0"/>
        </w:rPr>
        <w:t>.</w:t>
      </w:r>
      <w:r>
        <w:rPr>
          <w:snapToGrid w:val="0"/>
        </w:rPr>
        <w:tab/>
        <w:t>Partners may sue or be sued in name of firm</w:t>
      </w:r>
      <w:bookmarkEnd w:id="1260"/>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261" w:name="_Toc129078327"/>
      <w:r>
        <w:rPr>
          <w:rStyle w:val="CharSectno"/>
        </w:rPr>
        <w:t>2</w:t>
      </w:r>
      <w:r>
        <w:rPr>
          <w:snapToGrid w:val="0"/>
        </w:rPr>
        <w:t>.</w:t>
      </w:r>
      <w:r>
        <w:rPr>
          <w:snapToGrid w:val="0"/>
        </w:rPr>
        <w:tab/>
        <w:t>Disclosure of partners’ names</w:t>
      </w:r>
      <w:bookmarkEnd w:id="1261"/>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xml:space="preserve">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w:t>
      </w:r>
      <w:r>
        <w:rPr>
          <w:snapToGrid w:val="0"/>
        </w:rPr>
        <w:lastRenderedPageBreak/>
        <w:t>power to the Court to strike out any defence by the firm in its firm name.</w:t>
      </w:r>
    </w:p>
    <w:p>
      <w:pPr>
        <w:pStyle w:val="Footnotesection"/>
      </w:pPr>
      <w:r>
        <w:tab/>
        <w:t>[Rule 2 amended: Gazette 28 Jun 2011 p. 2552</w:t>
      </w:r>
      <w:r>
        <w:noBreakHyphen/>
        <w:t>3.]</w:t>
      </w:r>
    </w:p>
    <w:p>
      <w:pPr>
        <w:pStyle w:val="Heading5"/>
        <w:rPr>
          <w:snapToGrid w:val="0"/>
        </w:rPr>
      </w:pPr>
      <w:bookmarkStart w:id="1262" w:name="_Toc129078328"/>
      <w:r>
        <w:rPr>
          <w:rStyle w:val="CharSectno"/>
        </w:rPr>
        <w:t>3</w:t>
      </w:r>
      <w:r>
        <w:rPr>
          <w:snapToGrid w:val="0"/>
        </w:rPr>
        <w:t>.</w:t>
      </w:r>
      <w:r>
        <w:rPr>
          <w:snapToGrid w:val="0"/>
        </w:rPr>
        <w:tab/>
        <w:t>Service on firm</w:t>
      </w:r>
      <w:bookmarkEnd w:id="1262"/>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Gazette 28 Jun 2011 p. 2552.]</w:t>
      </w:r>
    </w:p>
    <w:p>
      <w:pPr>
        <w:pStyle w:val="Heading5"/>
        <w:rPr>
          <w:snapToGrid w:val="0"/>
        </w:rPr>
      </w:pPr>
      <w:bookmarkStart w:id="1263" w:name="_Toc129078329"/>
      <w:r>
        <w:rPr>
          <w:rStyle w:val="CharSectno"/>
        </w:rPr>
        <w:t>4</w:t>
      </w:r>
      <w:r>
        <w:rPr>
          <w:snapToGrid w:val="0"/>
        </w:rPr>
        <w:t>.</w:t>
      </w:r>
      <w:r>
        <w:rPr>
          <w:snapToGrid w:val="0"/>
        </w:rPr>
        <w:tab/>
        <w:t>Person served under r. 3 to be notified of character in which he is served</w:t>
      </w:r>
      <w:bookmarkEnd w:id="1263"/>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264" w:name="_Toc129078330"/>
      <w:r>
        <w:rPr>
          <w:rStyle w:val="CharSectno"/>
        </w:rPr>
        <w:lastRenderedPageBreak/>
        <w:t>5</w:t>
      </w:r>
      <w:r>
        <w:rPr>
          <w:snapToGrid w:val="0"/>
        </w:rPr>
        <w:t>.</w:t>
      </w:r>
      <w:r>
        <w:rPr>
          <w:snapToGrid w:val="0"/>
        </w:rPr>
        <w:tab/>
        <w:t>Appearance of partners</w:t>
      </w:r>
      <w:bookmarkEnd w:id="126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265" w:name="_Toc129078331"/>
      <w:r>
        <w:rPr>
          <w:rStyle w:val="CharSectno"/>
        </w:rPr>
        <w:t>6</w:t>
      </w:r>
      <w:r>
        <w:rPr>
          <w:snapToGrid w:val="0"/>
        </w:rPr>
        <w:t>.</w:t>
      </w:r>
      <w:r>
        <w:rPr>
          <w:snapToGrid w:val="0"/>
        </w:rPr>
        <w:tab/>
        <w:t>No appearance except by partners</w:t>
      </w:r>
      <w:bookmarkEnd w:id="1265"/>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266" w:name="_Toc129078332"/>
      <w:r>
        <w:rPr>
          <w:rStyle w:val="CharSectno"/>
        </w:rPr>
        <w:t>7</w:t>
      </w:r>
      <w:r>
        <w:rPr>
          <w:snapToGrid w:val="0"/>
        </w:rPr>
        <w:t>.</w:t>
      </w:r>
      <w:r>
        <w:rPr>
          <w:snapToGrid w:val="0"/>
        </w:rPr>
        <w:tab/>
        <w:t>Appearance under protest of person served as partner</w:t>
      </w:r>
      <w:bookmarkEnd w:id="1266"/>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lastRenderedPageBreak/>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Gazette 28 Jun 2011 p. 2552.]</w:t>
      </w:r>
    </w:p>
    <w:p>
      <w:pPr>
        <w:pStyle w:val="Ednotesection"/>
      </w:pPr>
      <w:r>
        <w:t>[</w:t>
      </w:r>
      <w:r>
        <w:rPr>
          <w:b/>
          <w:bCs/>
        </w:rPr>
        <w:t>8.</w:t>
      </w:r>
      <w:r>
        <w:tab/>
        <w:t>Deleted: Gazette 22 Feb 2008 p. 641.]</w:t>
      </w:r>
    </w:p>
    <w:p>
      <w:pPr>
        <w:pStyle w:val="Heading5"/>
      </w:pPr>
      <w:bookmarkStart w:id="1267" w:name="_Toc129078333"/>
      <w:r>
        <w:rPr>
          <w:rStyle w:val="CharSectno"/>
        </w:rPr>
        <w:t>9</w:t>
      </w:r>
      <w:r>
        <w:t>.</w:t>
      </w:r>
      <w:r>
        <w:tab/>
        <w:t>Rules 1 to 7 apply also to some actions between firm and its members etc.</w:t>
      </w:r>
      <w:bookmarkEnd w:id="1267"/>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Gazette 22 Feb 2008 p. 642.]</w:t>
      </w:r>
    </w:p>
    <w:p>
      <w:pPr>
        <w:pStyle w:val="Ednotesection"/>
      </w:pPr>
      <w:r>
        <w:t>[</w:t>
      </w:r>
      <w:r>
        <w:rPr>
          <w:b/>
          <w:bCs/>
        </w:rPr>
        <w:t>10.</w:t>
      </w:r>
      <w:r>
        <w:tab/>
        <w:t>Deleted: Gazette 22 Feb 2008 p. 642.]</w:t>
      </w:r>
    </w:p>
    <w:p>
      <w:pPr>
        <w:pStyle w:val="Heading5"/>
        <w:rPr>
          <w:snapToGrid w:val="0"/>
        </w:rPr>
      </w:pPr>
      <w:bookmarkStart w:id="1268" w:name="_Toc129078334"/>
      <w:r>
        <w:rPr>
          <w:rStyle w:val="CharSectno"/>
        </w:rPr>
        <w:t>11</w:t>
      </w:r>
      <w:r>
        <w:rPr>
          <w:snapToGrid w:val="0"/>
        </w:rPr>
        <w:t>.</w:t>
      </w:r>
      <w:r>
        <w:rPr>
          <w:snapToGrid w:val="0"/>
        </w:rPr>
        <w:tab/>
        <w:t>Rules 2 to 9 apply to proceedings begun by originating summons</w:t>
      </w:r>
      <w:bookmarkEnd w:id="1268"/>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Gazette 22 Feb 2008 p. 642.] </w:t>
      </w:r>
    </w:p>
    <w:p>
      <w:pPr>
        <w:pStyle w:val="Heading5"/>
        <w:rPr>
          <w:snapToGrid w:val="0"/>
        </w:rPr>
      </w:pPr>
      <w:bookmarkStart w:id="1269" w:name="_Toc129078335"/>
      <w:r>
        <w:rPr>
          <w:rStyle w:val="CharSectno"/>
        </w:rPr>
        <w:t>12</w:t>
      </w:r>
      <w:r>
        <w:rPr>
          <w:snapToGrid w:val="0"/>
        </w:rPr>
        <w:t>.</w:t>
      </w:r>
      <w:r>
        <w:rPr>
          <w:snapToGrid w:val="0"/>
        </w:rPr>
        <w:tab/>
        <w:t>Application to person using business name</w:t>
      </w:r>
      <w:bookmarkEnd w:id="1269"/>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270" w:name="_Toc129078336"/>
      <w:r>
        <w:rPr>
          <w:rStyle w:val="CharSectno"/>
        </w:rPr>
        <w:lastRenderedPageBreak/>
        <w:t>13</w:t>
      </w:r>
      <w:r>
        <w:rPr>
          <w:snapToGrid w:val="0"/>
        </w:rPr>
        <w:t>.</w:t>
      </w:r>
      <w:r>
        <w:rPr>
          <w:snapToGrid w:val="0"/>
        </w:rPr>
        <w:tab/>
        <w:t>Application to charge partner’s interest in partnership etc.</w:t>
      </w:r>
      <w:bookmarkEnd w:id="1270"/>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271" w:name="_Toc129074265"/>
      <w:bookmarkStart w:id="1272" w:name="_Toc129075548"/>
      <w:bookmarkStart w:id="1273" w:name="_Toc129078337"/>
      <w:r>
        <w:rPr>
          <w:rStyle w:val="CharPartNo"/>
        </w:rPr>
        <w:lastRenderedPageBreak/>
        <w:t>Order 71A</w:t>
      </w:r>
      <w:r>
        <w:rPr>
          <w:b w:val="0"/>
        </w:rPr>
        <w:t> </w:t>
      </w:r>
      <w:r>
        <w:t>—</w:t>
      </w:r>
      <w:r>
        <w:rPr>
          <w:b w:val="0"/>
        </w:rPr>
        <w:t> </w:t>
      </w:r>
      <w:r>
        <w:rPr>
          <w:rStyle w:val="CharPartText"/>
        </w:rPr>
        <w:t>Contact details of parties and others</w:t>
      </w:r>
      <w:bookmarkEnd w:id="1271"/>
      <w:bookmarkEnd w:id="1272"/>
      <w:bookmarkEnd w:id="1273"/>
    </w:p>
    <w:p>
      <w:pPr>
        <w:pStyle w:val="Footnoteheading"/>
      </w:pPr>
      <w:r>
        <w:tab/>
        <w:t>[Heading inserted: Gazette 21 Feb 2007 p. 576.]</w:t>
      </w:r>
    </w:p>
    <w:p>
      <w:pPr>
        <w:pStyle w:val="Heading5"/>
      </w:pPr>
      <w:bookmarkStart w:id="1274" w:name="_Toc129078338"/>
      <w:r>
        <w:rPr>
          <w:rStyle w:val="CharSectno"/>
        </w:rPr>
        <w:t>1</w:t>
      </w:r>
      <w:r>
        <w:t>.</w:t>
      </w:r>
      <w:r>
        <w:tab/>
        <w:t>Addresses of places, requirements for</w:t>
      </w:r>
      <w:bookmarkEnd w:id="1274"/>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Gazette 21 Feb 2007 p. 576.]</w:t>
      </w:r>
    </w:p>
    <w:p>
      <w:pPr>
        <w:pStyle w:val="Heading5"/>
      </w:pPr>
      <w:bookmarkStart w:id="1275" w:name="_Toc129078339"/>
      <w:r>
        <w:rPr>
          <w:rStyle w:val="CharSectno"/>
        </w:rPr>
        <w:t>2</w:t>
      </w:r>
      <w:r>
        <w:t>.</w:t>
      </w:r>
      <w:r>
        <w:tab/>
        <w:t>Geographical addresses</w:t>
      </w:r>
      <w:bookmarkEnd w:id="1275"/>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2015</w:t>
      </w:r>
      <w:r>
        <w:t xml:space="preserve"> — the address of the </w:t>
      </w:r>
      <w:r>
        <w:lastRenderedPageBreak/>
        <w:t>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if the person is the State, a Territory or the Commonwealth — the address of the place in Australia where the legal practitioner representing the person conducts business as a legal practitioner.</w:t>
      </w:r>
    </w:p>
    <w:p>
      <w:pPr>
        <w:pStyle w:val="Footnotesection"/>
      </w:pPr>
      <w:r>
        <w:tab/>
        <w:t>[Rule 2 inserted: Gazette 21 Feb 2007 p. 577; amended: Gazette 22 Feb 2008 p. 653; 16 Nov 2016 p. 5200; SL 2022/74 r. 15.]</w:t>
      </w:r>
    </w:p>
    <w:p>
      <w:pPr>
        <w:pStyle w:val="Heading5"/>
      </w:pPr>
      <w:bookmarkStart w:id="1276" w:name="_Toc129078340"/>
      <w:r>
        <w:t>3A.</w:t>
      </w:r>
      <w:r>
        <w:tab/>
        <w:t>Court may dispense with requirement to state geographical address</w:t>
      </w:r>
      <w:bookmarkEnd w:id="1276"/>
    </w:p>
    <w:p>
      <w:pPr>
        <w:pStyle w:val="Subsection"/>
      </w:pPr>
      <w:r>
        <w:tab/>
        <w:t>(1)</w:t>
      </w:r>
      <w:r>
        <w:tab/>
        <w:t>The Court may, on the application of a person or on its own initiative, order that the person’s geographical address does not have to be stated in a document that is otherwise required under these rules to state the person’s geographical address.</w:t>
      </w:r>
    </w:p>
    <w:p>
      <w:pPr>
        <w:pStyle w:val="Subsection"/>
      </w:pPr>
      <w:r>
        <w:tab/>
        <w:t>(2)</w:t>
      </w:r>
      <w:r>
        <w:tab/>
        <w:t xml:space="preserve">Subject to subrule (3), the Court must not make an order under subrule (1) in relation to a person unless the person — </w:t>
      </w:r>
    </w:p>
    <w:p>
      <w:pPr>
        <w:pStyle w:val="Indenta"/>
      </w:pPr>
      <w:r>
        <w:tab/>
        <w:t>(a)</w:t>
      </w:r>
      <w:r>
        <w:tab/>
        <w:t>is an individual; and</w:t>
      </w:r>
    </w:p>
    <w:p>
      <w:pPr>
        <w:pStyle w:val="Indenta"/>
      </w:pPr>
      <w:r>
        <w:tab/>
        <w:t>(b)</w:t>
      </w:r>
      <w:r>
        <w:tab/>
        <w:t>has provided an address for service; and</w:t>
      </w:r>
    </w:p>
    <w:p>
      <w:pPr>
        <w:pStyle w:val="Indenta"/>
      </w:pPr>
      <w:r>
        <w:tab/>
        <w:t>(c)</w:t>
      </w:r>
      <w:r>
        <w:tab/>
        <w:t>has provided his or her geographical address to the Court on a confidential basis.</w:t>
      </w:r>
    </w:p>
    <w:p>
      <w:pPr>
        <w:pStyle w:val="Subsection"/>
      </w:pPr>
      <w:r>
        <w:tab/>
        <w:t>(3)</w:t>
      </w:r>
      <w:r>
        <w:tab/>
        <w:t>In exceptional circumstances, the Court may make an order under subrule (1) even though the person has not provided his or her geographical address to the Court.</w:t>
      </w:r>
    </w:p>
    <w:p>
      <w:pPr>
        <w:pStyle w:val="Subsection"/>
      </w:pPr>
      <w:r>
        <w:tab/>
        <w:t>(4)</w:t>
      </w:r>
      <w:r>
        <w:tab/>
        <w:t>The Court may, on the application of any person or on its own initiative, do one or more of the following —</w:t>
      </w:r>
    </w:p>
    <w:p>
      <w:pPr>
        <w:pStyle w:val="Indenta"/>
      </w:pPr>
      <w:r>
        <w:tab/>
        <w:t>(a)</w:t>
      </w:r>
      <w:r>
        <w:tab/>
        <w:t>amend or cancel an order made under subrule (1);</w:t>
      </w:r>
    </w:p>
    <w:p>
      <w:pPr>
        <w:pStyle w:val="Indenta"/>
      </w:pPr>
      <w:r>
        <w:tab/>
        <w:t>(b)</w:t>
      </w:r>
      <w:r>
        <w:tab/>
        <w:t>order that the person’s geographical address be given to another person.</w:t>
      </w:r>
    </w:p>
    <w:p>
      <w:pPr>
        <w:pStyle w:val="Footnotesection"/>
      </w:pPr>
      <w:r>
        <w:lastRenderedPageBreak/>
        <w:tab/>
        <w:t>[Rule 3A inserted: Gazette 13 Nov 2015 p. 4649-50.]</w:t>
      </w:r>
    </w:p>
    <w:p>
      <w:pPr>
        <w:pStyle w:val="Heading5"/>
      </w:pPr>
      <w:bookmarkStart w:id="1277" w:name="_Toc129078341"/>
      <w:r>
        <w:rPr>
          <w:rStyle w:val="CharSectno"/>
        </w:rPr>
        <w:t>3</w:t>
      </w:r>
      <w:r>
        <w:t>.</w:t>
      </w:r>
      <w:r>
        <w:tab/>
        <w:t>Service details, meaning of</w:t>
      </w:r>
      <w:bookmarkEnd w:id="1277"/>
    </w:p>
    <w:p>
      <w:pPr>
        <w:pStyle w:val="Subsection"/>
      </w:pPr>
      <w:r>
        <w:tab/>
        <w:t>(1)</w:t>
      </w:r>
      <w:r>
        <w:tab/>
        <w:t>If these rules require a document to state a person’s service details and the person is self</w:t>
      </w:r>
      <w:r>
        <w:noBreakHyphen/>
        <w:t>represented, the document —</w:t>
      </w:r>
    </w:p>
    <w:p>
      <w:pPr>
        <w:pStyle w:val="Indenta"/>
      </w:pPr>
      <w:r>
        <w:tab/>
        <w:t>(a)</w:t>
      </w:r>
      <w:r>
        <w:tab/>
        <w:t>must state a postal address in Australia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legal practitioner, the document —</w:t>
      </w:r>
    </w:p>
    <w:p>
      <w:pPr>
        <w:pStyle w:val="Indenta"/>
      </w:pPr>
      <w:r>
        <w:tab/>
        <w:t>(a)</w:t>
      </w:r>
      <w:r>
        <w:tab/>
        <w:t>must state the name of the legal practitioner; and</w:t>
      </w:r>
    </w:p>
    <w:p>
      <w:pPr>
        <w:pStyle w:val="Indenta"/>
      </w:pPr>
      <w:r>
        <w:tab/>
        <w:t>(b)</w:t>
      </w:r>
      <w:r>
        <w:tab/>
        <w:t>must state the address of the place in Australia where the legal practitioner conducts business as a legal practitioner; and</w:t>
      </w:r>
    </w:p>
    <w:p>
      <w:pPr>
        <w:pStyle w:val="Indenta"/>
      </w:pPr>
      <w:r>
        <w:tab/>
        <w:t>(c)</w:t>
      </w:r>
      <w:r>
        <w:tab/>
        <w:t>must state the legal practitioner’s postal address in Australia; and</w:t>
      </w:r>
    </w:p>
    <w:p>
      <w:pPr>
        <w:pStyle w:val="Indenta"/>
      </w:pPr>
      <w:r>
        <w:tab/>
        <w:t>(d)</w:t>
      </w:r>
      <w:r>
        <w:tab/>
        <w:t>with the legal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in Australia that can be used to serve documents on the legal practitioner.</w:t>
      </w:r>
    </w:p>
    <w:p>
      <w:pPr>
        <w:pStyle w:val="Ednotepara"/>
      </w:pPr>
      <w:r>
        <w:tab/>
        <w:t>[(e)</w:t>
      </w:r>
      <w:r>
        <w:tab/>
        <w:t>deleted]</w:t>
      </w:r>
    </w:p>
    <w:p>
      <w:pPr>
        <w:pStyle w:val="Subsection"/>
      </w:pPr>
      <w:r>
        <w:tab/>
        <w:t>(3)</w:t>
      </w:r>
      <w:r>
        <w:tab/>
        <w:t xml:space="preserve">If under this rule a document states a fax number or an email address of a person, the person is to be taken to have consented </w:t>
      </w:r>
      <w:r>
        <w:lastRenderedPageBreak/>
        <w:t>to being served with documents by fax at that fax number or by means of email at that email address.</w:t>
      </w:r>
    </w:p>
    <w:p>
      <w:pPr>
        <w:pStyle w:val="Subsection"/>
      </w:pPr>
      <w:r>
        <w:tab/>
        <w:t>(4)</w:t>
      </w:r>
      <w:r>
        <w:tab/>
        <w:t xml:space="preserve">If a legal practitioner practises in a business with one or more other legal practitioners or people — </w:t>
      </w:r>
    </w:p>
    <w:p>
      <w:pPr>
        <w:pStyle w:val="Indenta"/>
        <w:spacing w:before="70"/>
      </w:pPr>
      <w:r>
        <w:tab/>
        <w:t>(a)</w:t>
      </w:r>
      <w:r>
        <w:tab/>
        <w:t>a fax number stated under subrule (2) must be the fax number of the business and not that of the legal practitioner personally; and</w:t>
      </w:r>
    </w:p>
    <w:p>
      <w:pPr>
        <w:pStyle w:val="Indenta"/>
        <w:spacing w:before="70"/>
      </w:pPr>
      <w:r>
        <w:tab/>
        <w:t>(b)</w:t>
      </w:r>
      <w:r>
        <w:tab/>
        <w:t>an email address stated under subrule (2) must be the email address of the business and not that of the legal practitioner personally.</w:t>
      </w:r>
    </w:p>
    <w:p>
      <w:pPr>
        <w:pStyle w:val="Subsection"/>
      </w:pPr>
      <w:r>
        <w:tab/>
        <w:t>(5)</w:t>
      </w:r>
      <w:r>
        <w:tab/>
        <w:t>If a party who is self</w:t>
      </w:r>
      <w:r>
        <w:noBreakHyphen/>
        <w:t>represented is an authorised user of the ECMS, any email address stated under subrule (1) must be the email address of the party recorded on the ECMS.</w:t>
      </w:r>
    </w:p>
    <w:p>
      <w:pPr>
        <w:pStyle w:val="Subsection"/>
      </w:pPr>
      <w:r>
        <w:tab/>
        <w:t>(6)</w:t>
      </w:r>
      <w:r>
        <w:tab/>
        <w:t>If a legal practitioner is an authorised user of the ECMS, any email address stated under subrule (2) must be the email address of the legal practitioner recorded on the ECMS.</w:t>
      </w:r>
    </w:p>
    <w:p>
      <w:pPr>
        <w:pStyle w:val="Footnotesection"/>
      </w:pPr>
      <w:r>
        <w:tab/>
        <w:t>[Rule 3 inserted: Gazette 21 Feb 2007 p. 577</w:t>
      </w:r>
      <w:r>
        <w:noBreakHyphen/>
        <w:t>8; amended: Gazette 22 Feb 2008 p. 654; 27 Feb 2018 p. 618; 31 Dec 2019 p. 4677-8; SL 2022/74 r. 15.]</w:t>
      </w:r>
    </w:p>
    <w:p>
      <w:pPr>
        <w:pStyle w:val="Heading5"/>
      </w:pPr>
      <w:bookmarkStart w:id="1278" w:name="_Toc129078342"/>
      <w:r>
        <w:rPr>
          <w:rStyle w:val="CharSectno"/>
        </w:rPr>
        <w:t>4</w:t>
      </w:r>
      <w:r>
        <w:t>.</w:t>
      </w:r>
      <w:r>
        <w:tab/>
        <w:t>Documents without contact details to be rejected</w:t>
      </w:r>
      <w:bookmarkEnd w:id="1278"/>
    </w:p>
    <w:p>
      <w:pPr>
        <w:pStyle w:val="Subsection"/>
      </w:pPr>
      <w:r>
        <w:tab/>
        <w:t>(1)</w:t>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Subsection"/>
      </w:pPr>
      <w:r>
        <w:tab/>
        <w:t>(2)</w:t>
      </w:r>
      <w:r>
        <w:tab/>
        <w:t>A document is not to be rejected on the basis that it does not state a person’s geographical address if the Court has ordered, under rule 3A, that it is not required to be stated.</w:t>
      </w:r>
    </w:p>
    <w:p>
      <w:pPr>
        <w:pStyle w:val="Footnotesection"/>
      </w:pPr>
      <w:r>
        <w:tab/>
        <w:t>[Rule 4 inserted: Gazette 21 Feb 2007 p. 578; amended: Gazette 13 Nov 2015 p. 4650.]</w:t>
      </w:r>
    </w:p>
    <w:p>
      <w:pPr>
        <w:pStyle w:val="Heading5"/>
      </w:pPr>
      <w:bookmarkStart w:id="1279" w:name="_Toc129078343"/>
      <w:r>
        <w:rPr>
          <w:rStyle w:val="CharSectno"/>
        </w:rPr>
        <w:lastRenderedPageBreak/>
        <w:t>5</w:t>
      </w:r>
      <w:r>
        <w:t>.</w:t>
      </w:r>
      <w:r>
        <w:tab/>
        <w:t>Changes of information to be notified</w:t>
      </w:r>
      <w:bookmarkEnd w:id="1279"/>
    </w:p>
    <w:p>
      <w:pPr>
        <w:pStyle w:val="Subsection"/>
        <w:keepNext/>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(aa)</w:t>
      </w:r>
      <w:r>
        <w:tab/>
        <w:t>must be in Form 5AA; and</w:t>
      </w:r>
    </w:p>
    <w:p>
      <w:pPr>
        <w:pStyle w:val="Indenta"/>
      </w:pPr>
      <w:r>
        <w:tab/>
        <w:t>(a)</w:t>
      </w:r>
      <w:r>
        <w:tab/>
        <w:t>must be given by filing a notice and serving it on any person who has been given the information; and</w:t>
      </w:r>
    </w:p>
    <w:p>
      <w:pPr>
        <w:pStyle w:val="Indenta"/>
        <w:keepNext/>
      </w:pPr>
      <w:r>
        <w:tab/>
        <w:t>(b)</w:t>
      </w:r>
      <w:r>
        <w:tab/>
        <w:t>may be given as part of a notice given under Order 8.</w:t>
      </w:r>
    </w:p>
    <w:p>
      <w:pPr>
        <w:pStyle w:val="Footnotesection"/>
      </w:pPr>
      <w:r>
        <w:tab/>
        <w:t>[Rule 5 inserted: Gazette 21 Feb 2007 p. 579; amended: Gazette 13 Nov 2015 p. 4650; 27 Feb 2018 p. 618.]</w:t>
      </w:r>
    </w:p>
    <w:p>
      <w:pPr>
        <w:pStyle w:val="Heading5"/>
      </w:pPr>
      <w:bookmarkStart w:id="1280" w:name="_Toc129078344"/>
      <w:r>
        <w:rPr>
          <w:rStyle w:val="CharSectno"/>
        </w:rPr>
        <w:t>6</w:t>
      </w:r>
      <w:r>
        <w:t>.</w:t>
      </w:r>
      <w:r>
        <w:tab/>
        <w:t>Fictitious details in documents, court powers as to</w:t>
      </w:r>
      <w:bookmarkEnd w:id="1280"/>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Gazette 21 Feb 2007 p. 579.]</w:t>
      </w:r>
    </w:p>
    <w:p>
      <w:pPr>
        <w:pStyle w:val="Heading2"/>
        <w:rPr>
          <w:b w:val="0"/>
        </w:rPr>
      </w:pPr>
      <w:bookmarkStart w:id="1281" w:name="_Toc129074273"/>
      <w:bookmarkStart w:id="1282" w:name="_Toc129075556"/>
      <w:bookmarkStart w:id="1283" w:name="_Toc129078345"/>
      <w:r>
        <w:rPr>
          <w:rStyle w:val="CharPartNo"/>
        </w:rPr>
        <w:lastRenderedPageBreak/>
        <w:t>Order 72</w:t>
      </w:r>
      <w:r>
        <w:rPr>
          <w:rStyle w:val="CharDivNo"/>
        </w:rPr>
        <w:t> </w:t>
      </w:r>
      <w:r>
        <w:t>—</w:t>
      </w:r>
      <w:r>
        <w:rPr>
          <w:rStyle w:val="CharDivText"/>
        </w:rPr>
        <w:t> </w:t>
      </w:r>
      <w:r>
        <w:rPr>
          <w:rStyle w:val="CharPartText"/>
        </w:rPr>
        <w:t>Service of documents</w:t>
      </w:r>
      <w:bookmarkEnd w:id="1281"/>
      <w:bookmarkEnd w:id="1282"/>
      <w:bookmarkEnd w:id="1283"/>
    </w:p>
    <w:p>
      <w:pPr>
        <w:pStyle w:val="Heading5"/>
        <w:rPr>
          <w:snapToGrid w:val="0"/>
        </w:rPr>
      </w:pPr>
      <w:bookmarkStart w:id="1284" w:name="_Toc129078346"/>
      <w:r>
        <w:rPr>
          <w:rStyle w:val="CharSectno"/>
        </w:rPr>
        <w:t>1</w:t>
      </w:r>
      <w:r>
        <w:rPr>
          <w:snapToGrid w:val="0"/>
        </w:rPr>
        <w:t>.</w:t>
      </w:r>
      <w:r>
        <w:rPr>
          <w:snapToGrid w:val="0"/>
        </w:rPr>
        <w:tab/>
        <w:t>When personal service required</w:t>
      </w:r>
      <w:bookmarkEnd w:id="1284"/>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Gazette 28 Jun 2011 p. 2552.]</w:t>
      </w:r>
    </w:p>
    <w:p>
      <w:pPr>
        <w:pStyle w:val="Heading5"/>
        <w:rPr>
          <w:snapToGrid w:val="0"/>
        </w:rPr>
      </w:pPr>
      <w:bookmarkStart w:id="1285" w:name="_Toc129078347"/>
      <w:r>
        <w:rPr>
          <w:rStyle w:val="CharSectno"/>
        </w:rPr>
        <w:t>2</w:t>
      </w:r>
      <w:r>
        <w:rPr>
          <w:snapToGrid w:val="0"/>
        </w:rPr>
        <w:t>.</w:t>
      </w:r>
      <w:r>
        <w:rPr>
          <w:snapToGrid w:val="0"/>
        </w:rPr>
        <w:tab/>
        <w:t>Personal service on individual</w:t>
      </w:r>
      <w:bookmarkEnd w:id="1285"/>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 xml:space="preserve">in any other case the original or </w:t>
      </w:r>
      <w:r>
        <w:t>a true</w:t>
      </w:r>
      <w:r>
        <w:rPr>
          <w:snapToGrid w:val="0"/>
        </w:rPr>
        <w:t xml:space="preserve"> copy.</w:t>
      </w:r>
    </w:p>
    <w:p>
      <w:pPr>
        <w:pStyle w:val="Footnotesection"/>
      </w:pPr>
      <w:r>
        <w:tab/>
        <w:t>[Rule 2 amended: Gazette 27 Feb 2018 p. 618.]</w:t>
      </w:r>
    </w:p>
    <w:p>
      <w:pPr>
        <w:pStyle w:val="Heading5"/>
        <w:rPr>
          <w:snapToGrid w:val="0"/>
        </w:rPr>
      </w:pPr>
      <w:bookmarkStart w:id="1286" w:name="_Toc129078348"/>
      <w:r>
        <w:rPr>
          <w:rStyle w:val="CharSectno"/>
        </w:rPr>
        <w:t>3</w:t>
      </w:r>
      <w:r>
        <w:rPr>
          <w:snapToGrid w:val="0"/>
        </w:rPr>
        <w:t>.</w:t>
      </w:r>
      <w:r>
        <w:rPr>
          <w:snapToGrid w:val="0"/>
        </w:rPr>
        <w:tab/>
        <w:t>Personal service on body corporate</w:t>
      </w:r>
      <w:bookmarkEnd w:id="1286"/>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Gazette 22 Feb 2008 p. 654.] </w:t>
      </w:r>
    </w:p>
    <w:p>
      <w:pPr>
        <w:pStyle w:val="Heading5"/>
      </w:pPr>
      <w:bookmarkStart w:id="1287" w:name="_Toc129078349"/>
      <w:r>
        <w:rPr>
          <w:rStyle w:val="CharSectno"/>
        </w:rPr>
        <w:lastRenderedPageBreak/>
        <w:t>3A</w:t>
      </w:r>
      <w:r>
        <w:t>.</w:t>
      </w:r>
      <w:r>
        <w:tab/>
        <w:t>Personal service on State</w:t>
      </w:r>
      <w:bookmarkEnd w:id="1287"/>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Gazette 21 Feb 2007 p. 579; amended: Gazette 22 Feb 2008 p. 654.]</w:t>
      </w:r>
    </w:p>
    <w:p>
      <w:pPr>
        <w:pStyle w:val="Heading5"/>
        <w:rPr>
          <w:snapToGrid w:val="0"/>
        </w:rPr>
      </w:pPr>
      <w:bookmarkStart w:id="1288" w:name="_Toc129078350"/>
      <w:r>
        <w:rPr>
          <w:rStyle w:val="CharSectno"/>
        </w:rPr>
        <w:t>4</w:t>
      </w:r>
      <w:r>
        <w:rPr>
          <w:snapToGrid w:val="0"/>
        </w:rPr>
        <w:t>.</w:t>
      </w:r>
      <w:r>
        <w:rPr>
          <w:snapToGrid w:val="0"/>
        </w:rPr>
        <w:tab/>
        <w:t>Substituted service</w:t>
      </w:r>
      <w:bookmarkEnd w:id="128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Gazette 14 May 1976 p. 1431; 12 Nov 1976 p. 4277.] </w:t>
      </w:r>
    </w:p>
    <w:p>
      <w:pPr>
        <w:pStyle w:val="Heading5"/>
      </w:pPr>
      <w:bookmarkStart w:id="1289" w:name="_Toc129078351"/>
      <w:r>
        <w:rPr>
          <w:rStyle w:val="CharSectno"/>
        </w:rPr>
        <w:t>5</w:t>
      </w:r>
      <w:r>
        <w:t>.</w:t>
      </w:r>
      <w:r>
        <w:tab/>
        <w:t>Ordinary service, how effected</w:t>
      </w:r>
      <w:bookmarkEnd w:id="1289"/>
    </w:p>
    <w:p>
      <w:pPr>
        <w:pStyle w:val="Subsection"/>
      </w:pPr>
      <w:r>
        <w:tab/>
        <w:t>(1)</w:t>
      </w:r>
      <w:r>
        <w:tab/>
        <w:t>This rule does not apply to a document that, under these rules, has to be served personally.</w:t>
      </w:r>
    </w:p>
    <w:p>
      <w:pPr>
        <w:pStyle w:val="Subsection"/>
      </w:pPr>
      <w:r>
        <w:lastRenderedPageBreak/>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legal practitioner, be addressed to the legal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keepNext/>
      </w:pPr>
      <w:r>
        <w:lastRenderedPageBreak/>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legal practitioner in connection with the proceedings to which the document relates — by delivering it to the place, or posting it by pre</w:t>
      </w:r>
      <w:r>
        <w:noBreakHyphen/>
        <w:t>paid post to the address of the place, where the legal practitioner conducts business as a legal practitioner; or</w:t>
      </w:r>
    </w:p>
    <w:p>
      <w:pPr>
        <w:pStyle w:val="Indenta"/>
      </w:pPr>
      <w:r>
        <w:tab/>
        <w:t>(c)</w:t>
      </w:r>
      <w:r>
        <w:tab/>
        <w:t>by the means that the Court directs in a particular case.</w:t>
      </w:r>
    </w:p>
    <w:p>
      <w:pPr>
        <w:pStyle w:val="Footnotesection"/>
      </w:pPr>
      <w:r>
        <w:tab/>
        <w:t>[Rule 5 inserted: Gazette 21 Feb 2007 p. 580</w:t>
      </w:r>
      <w:r>
        <w:noBreakHyphen/>
        <w:t>1; amended: SL 2022/74 r. 15.]</w:t>
      </w:r>
    </w:p>
    <w:p>
      <w:pPr>
        <w:pStyle w:val="Heading5"/>
      </w:pPr>
      <w:bookmarkStart w:id="1290" w:name="_Toc129078352"/>
      <w:r>
        <w:rPr>
          <w:rStyle w:val="CharSectno"/>
        </w:rPr>
        <w:t>5A</w:t>
      </w:r>
      <w:r>
        <w:t>.</w:t>
      </w:r>
      <w:r>
        <w:tab/>
        <w:t>Ordinary service, when effected</w:t>
      </w:r>
      <w:bookmarkEnd w:id="1290"/>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lastRenderedPageBreak/>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Gazette 21 Feb 2007 p. 581; amended: Gazette 22 Feb 2008 p. 654; 28 Jul 2010 p. 3468.]</w:t>
      </w:r>
    </w:p>
    <w:p>
      <w:pPr>
        <w:pStyle w:val="Heading5"/>
      </w:pPr>
      <w:bookmarkStart w:id="1291" w:name="_Toc129078353"/>
      <w:r>
        <w:rPr>
          <w:rStyle w:val="CharSectno"/>
        </w:rPr>
        <w:t>6</w:t>
      </w:r>
      <w:r>
        <w:t>.</w:t>
      </w:r>
      <w:r>
        <w:tab/>
        <w:t>Service of documents by Court</w:t>
      </w:r>
      <w:bookmarkEnd w:id="1291"/>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an authorised user of the ECMS —</w:t>
      </w:r>
    </w:p>
    <w:p>
      <w:pPr>
        <w:pStyle w:val="Indenti"/>
      </w:pPr>
      <w:r>
        <w:tab/>
        <w:t>(i)</w:t>
      </w:r>
      <w:r>
        <w:tab/>
        <w:t>put it in an electronic mailbox maintained by the Court; and</w:t>
      </w:r>
    </w:p>
    <w:p>
      <w:pPr>
        <w:pStyle w:val="Indenti"/>
      </w:pPr>
      <w:r>
        <w:tab/>
        <w:t>(ii)</w:t>
      </w:r>
      <w:r>
        <w:tab/>
        <w:t>send to the person’s email address recorded on the ECMS an email that says the document is in the mailbox,</w:t>
      </w:r>
    </w:p>
    <w:p>
      <w:pPr>
        <w:pStyle w:val="Indenta"/>
      </w:pPr>
      <w:r>
        <w:tab/>
      </w:r>
      <w:r>
        <w:tab/>
        <w:t>or serve it on the person under rule 5; or</w:t>
      </w:r>
    </w:p>
    <w:p>
      <w:pPr>
        <w:pStyle w:val="Indenta"/>
      </w:pPr>
      <w:r>
        <w:lastRenderedPageBreak/>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Gazette 22 Feb 2008 p. 655; amended: Gazette 27 Feb 2018 p. 618</w:t>
      </w:r>
      <w:r>
        <w:noBreakHyphen/>
        <w:t>19; 31 Dec 2019 p. 4677-8.]</w:t>
      </w:r>
    </w:p>
    <w:p>
      <w:pPr>
        <w:pStyle w:val="Heading5"/>
      </w:pPr>
      <w:bookmarkStart w:id="1292" w:name="_Toc129078354"/>
      <w:r>
        <w:rPr>
          <w:rStyle w:val="CharSectno"/>
        </w:rPr>
        <w:t>6A</w:t>
      </w:r>
      <w:r>
        <w:t>.</w:t>
      </w:r>
      <w:r>
        <w:tab/>
        <w:t>Serving documents by email</w:t>
      </w:r>
      <w:bookmarkEnd w:id="1292"/>
    </w:p>
    <w:p>
      <w:pPr>
        <w:pStyle w:val="Subsection"/>
      </w:pPr>
      <w:r>
        <w:tab/>
      </w:r>
      <w:r>
        <w:tab/>
        <w:t>Order 67A rule 4(4) to (7), with any necessary changes, apply to a document being served by email in the same way as they apply to a document being filed by email.</w:t>
      </w:r>
    </w:p>
    <w:p>
      <w:pPr>
        <w:pStyle w:val="Footnotesection"/>
      </w:pPr>
      <w:r>
        <w:tab/>
        <w:t>[Rule 6A inserted: Gazette 22 Feb 2008 p. 655; amended: Gazette 27 Feb 2018 p. 619.]</w:t>
      </w:r>
    </w:p>
    <w:p>
      <w:pPr>
        <w:pStyle w:val="Heading5"/>
        <w:rPr>
          <w:snapToGrid w:val="0"/>
        </w:rPr>
      </w:pPr>
      <w:bookmarkStart w:id="1293" w:name="_Toc129078355"/>
      <w:r>
        <w:rPr>
          <w:rStyle w:val="CharSectno"/>
        </w:rPr>
        <w:t>7</w:t>
      </w:r>
      <w:r>
        <w:rPr>
          <w:snapToGrid w:val="0"/>
        </w:rPr>
        <w:t>.</w:t>
      </w:r>
      <w:r>
        <w:rPr>
          <w:snapToGrid w:val="0"/>
        </w:rPr>
        <w:tab/>
        <w:t>Affidavits of service, content of</w:t>
      </w:r>
      <w:bookmarkEnd w:id="1293"/>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294" w:name="_Toc129078356"/>
      <w:r>
        <w:rPr>
          <w:rStyle w:val="CharSectno"/>
        </w:rPr>
        <w:t>8</w:t>
      </w:r>
      <w:r>
        <w:rPr>
          <w:snapToGrid w:val="0"/>
        </w:rPr>
        <w:t>.</w:t>
      </w:r>
      <w:r>
        <w:rPr>
          <w:snapToGrid w:val="0"/>
        </w:rPr>
        <w:tab/>
        <w:t>No service required in certain cases</w:t>
      </w:r>
      <w:bookmarkEnd w:id="1294"/>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295" w:name="_Toc129074285"/>
      <w:bookmarkStart w:id="1296" w:name="_Toc129075568"/>
      <w:bookmarkStart w:id="1297" w:name="_Toc129078357"/>
      <w:r>
        <w:rPr>
          <w:rStyle w:val="CharPartNo"/>
        </w:rPr>
        <w:lastRenderedPageBreak/>
        <w:t>Order 73</w:t>
      </w:r>
      <w:r>
        <w:rPr>
          <w:rStyle w:val="CharDivNo"/>
        </w:rPr>
        <w:t> </w:t>
      </w:r>
      <w:r>
        <w:t>—</w:t>
      </w:r>
      <w:r>
        <w:rPr>
          <w:rStyle w:val="CharDivText"/>
        </w:rPr>
        <w:t> </w:t>
      </w:r>
      <w:r>
        <w:rPr>
          <w:rStyle w:val="CharPartText"/>
        </w:rPr>
        <w:t>Probate proceedings</w:t>
      </w:r>
      <w:bookmarkEnd w:id="1295"/>
      <w:bookmarkEnd w:id="1296"/>
      <w:bookmarkEnd w:id="1297"/>
    </w:p>
    <w:p>
      <w:pPr>
        <w:pStyle w:val="Heading5"/>
        <w:rPr>
          <w:snapToGrid w:val="0"/>
        </w:rPr>
      </w:pPr>
      <w:bookmarkStart w:id="1298" w:name="_Toc129078358"/>
      <w:r>
        <w:rPr>
          <w:rStyle w:val="CharSectno"/>
        </w:rPr>
        <w:t>1</w:t>
      </w:r>
      <w:r>
        <w:rPr>
          <w:snapToGrid w:val="0"/>
        </w:rPr>
        <w:t>.</w:t>
      </w:r>
      <w:r>
        <w:rPr>
          <w:snapToGrid w:val="0"/>
        </w:rPr>
        <w:tab/>
        <w:t>Application of this Order and terms used</w:t>
      </w:r>
      <w:bookmarkEnd w:id="1298"/>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299" w:name="_Toc129078359"/>
      <w:r>
        <w:rPr>
          <w:rStyle w:val="CharSectno"/>
        </w:rPr>
        <w:t>2</w:t>
      </w:r>
      <w:r>
        <w:rPr>
          <w:snapToGrid w:val="0"/>
        </w:rPr>
        <w:t>.</w:t>
      </w:r>
      <w:r>
        <w:rPr>
          <w:snapToGrid w:val="0"/>
        </w:rPr>
        <w:tab/>
        <w:t>Commencing probate action</w:t>
      </w:r>
      <w:bookmarkEnd w:id="1299"/>
    </w:p>
    <w:p>
      <w:pPr>
        <w:pStyle w:val="Subsection"/>
      </w:pPr>
      <w:r>
        <w:tab/>
        <w:t>(1)</w:t>
      </w:r>
      <w:r>
        <w:tab/>
        <w:t>A probate action must be begun by writ.</w:t>
      </w:r>
    </w:p>
    <w:p>
      <w:pPr>
        <w:pStyle w:val="Subsection"/>
        <w:rPr>
          <w:snapToGrid w:val="0"/>
        </w:rPr>
      </w:pPr>
      <w:r>
        <w:rPr>
          <w:snapToGrid w:val="0"/>
        </w:rPr>
        <w:tab/>
        <w:t>(2)</w:t>
      </w:r>
      <w:r>
        <w:rPr>
          <w:snapToGrid w:val="0"/>
        </w:rPr>
        <w:tab/>
        <w:t xml:space="preserve">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w:t>
      </w:r>
      <w:r>
        <w:t>filed.</w:t>
      </w:r>
    </w:p>
    <w:p>
      <w:pPr>
        <w:pStyle w:val="Footnotesection"/>
      </w:pPr>
      <w:r>
        <w:tab/>
        <w:t>[Rule 2 amended: Gazette 27 Feb 2018 p. 619.]</w:t>
      </w:r>
    </w:p>
    <w:p>
      <w:pPr>
        <w:pStyle w:val="Ednotesection"/>
      </w:pPr>
      <w:r>
        <w:t>[</w:t>
      </w:r>
      <w:r>
        <w:rPr>
          <w:b/>
        </w:rPr>
        <w:t>3.</w:t>
      </w:r>
      <w:r>
        <w:tab/>
        <w:t>Deleted: Gazette 12 Jun 2012 p. 2452.]</w:t>
      </w:r>
    </w:p>
    <w:p>
      <w:pPr>
        <w:pStyle w:val="Heading5"/>
        <w:rPr>
          <w:snapToGrid w:val="0"/>
        </w:rPr>
      </w:pPr>
      <w:bookmarkStart w:id="1300" w:name="_Toc129078360"/>
      <w:r>
        <w:rPr>
          <w:rStyle w:val="CharSectno"/>
        </w:rPr>
        <w:lastRenderedPageBreak/>
        <w:t>4</w:t>
      </w:r>
      <w:r>
        <w:rPr>
          <w:snapToGrid w:val="0"/>
        </w:rPr>
        <w:t>.</w:t>
      </w:r>
      <w:r>
        <w:rPr>
          <w:snapToGrid w:val="0"/>
        </w:rPr>
        <w:tab/>
        <w:t>Intervention by person who is not defendant</w:t>
      </w:r>
      <w:bookmarkEnd w:id="130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301" w:name="_Toc129078361"/>
      <w:r>
        <w:rPr>
          <w:rStyle w:val="CharSectno"/>
        </w:rPr>
        <w:t>5</w:t>
      </w:r>
      <w:r>
        <w:rPr>
          <w:snapToGrid w:val="0"/>
        </w:rPr>
        <w:t>.</w:t>
      </w:r>
      <w:r>
        <w:rPr>
          <w:snapToGrid w:val="0"/>
        </w:rPr>
        <w:tab/>
        <w:t>Citation against non-party with adverse interest</w:t>
      </w:r>
      <w:bookmarkEnd w:id="1301"/>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302" w:name="_Toc129078362"/>
      <w:r>
        <w:rPr>
          <w:rStyle w:val="CharSectno"/>
        </w:rPr>
        <w:t>6</w:t>
      </w:r>
      <w:r>
        <w:rPr>
          <w:snapToGrid w:val="0"/>
        </w:rPr>
        <w:t>.</w:t>
      </w:r>
      <w:r>
        <w:rPr>
          <w:snapToGrid w:val="0"/>
        </w:rPr>
        <w:tab/>
        <w:t>Person cited failing to appear</w:t>
      </w:r>
      <w:bookmarkEnd w:id="1302"/>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303" w:name="_Toc129078363"/>
      <w:r>
        <w:rPr>
          <w:rStyle w:val="CharSectno"/>
        </w:rPr>
        <w:t>7</w:t>
      </w:r>
      <w:r>
        <w:rPr>
          <w:snapToGrid w:val="0"/>
        </w:rPr>
        <w:t>.</w:t>
      </w:r>
      <w:r>
        <w:rPr>
          <w:snapToGrid w:val="0"/>
        </w:rPr>
        <w:tab/>
        <w:t>Entry of appearance</w:t>
      </w:r>
      <w:bookmarkEnd w:id="1303"/>
    </w:p>
    <w:p>
      <w:pPr>
        <w:pStyle w:val="Subsection"/>
        <w:rPr>
          <w:snapToGrid w:val="0"/>
        </w:rPr>
      </w:pPr>
      <w:r>
        <w:rPr>
          <w:snapToGrid w:val="0"/>
        </w:rPr>
        <w:tab/>
      </w:r>
      <w:r>
        <w:rPr>
          <w:snapToGrid w:val="0"/>
        </w:rPr>
        <w:tab/>
        <w:t xml:space="preserve">An </w:t>
      </w:r>
      <w:r>
        <w:t>entry of</w:t>
      </w:r>
      <w:r>
        <w:rPr>
          <w:snapToGrid w:val="0"/>
        </w:rPr>
        <w:t xml:space="preserve"> appearance in a probate action must be </w:t>
      </w:r>
      <w:r>
        <w:t>filed</w:t>
      </w:r>
      <w:r>
        <w:rPr>
          <w:snapToGrid w:val="0"/>
        </w:rPr>
        <w:t xml:space="preserve"> and Order 12 rules 1 to 7 apply to an entry of appearance by a </w:t>
      </w:r>
      <w:r>
        <w:rPr>
          <w:snapToGrid w:val="0"/>
        </w:rPr>
        <w:lastRenderedPageBreak/>
        <w:t>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Footnotesection"/>
      </w:pPr>
      <w:r>
        <w:tab/>
        <w:t>[Rule 7 amended: Gazette 27 Feb 2018 p. 619</w:t>
      </w:r>
      <w:r>
        <w:noBreakHyphen/>
        <w:t>20.]</w:t>
      </w:r>
    </w:p>
    <w:p>
      <w:pPr>
        <w:pStyle w:val="Heading5"/>
        <w:rPr>
          <w:snapToGrid w:val="0"/>
        </w:rPr>
      </w:pPr>
      <w:bookmarkStart w:id="1304" w:name="_Toc129078364"/>
      <w:r>
        <w:rPr>
          <w:rStyle w:val="CharSectno"/>
        </w:rPr>
        <w:t>8</w:t>
      </w:r>
      <w:r>
        <w:rPr>
          <w:snapToGrid w:val="0"/>
        </w:rPr>
        <w:t>.</w:t>
      </w:r>
      <w:r>
        <w:rPr>
          <w:snapToGrid w:val="0"/>
        </w:rPr>
        <w:tab/>
        <w:t>Citation to executor etc. to bring in probate etc.</w:t>
      </w:r>
      <w:bookmarkEnd w:id="1304"/>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pPr>
      <w:bookmarkStart w:id="1305" w:name="_Toc129078365"/>
      <w:r>
        <w:rPr>
          <w:rStyle w:val="CharSectno"/>
        </w:rPr>
        <w:t>8A</w:t>
      </w:r>
      <w:r>
        <w:t>.</w:t>
      </w:r>
      <w:r>
        <w:tab/>
        <w:t>Applications to include draft citation</w:t>
      </w:r>
      <w:bookmarkEnd w:id="1305"/>
    </w:p>
    <w:p>
      <w:pPr>
        <w:pStyle w:val="Subsection"/>
      </w:pPr>
      <w:r>
        <w:tab/>
      </w:r>
      <w:r>
        <w:tab/>
        <w:t>An application under rule 5 or 8 must include a draft citation.</w:t>
      </w:r>
    </w:p>
    <w:p>
      <w:pPr>
        <w:pStyle w:val="Footnotesection"/>
      </w:pPr>
      <w:r>
        <w:tab/>
        <w:t>[Rule 8A inserted: Gazette 27 Feb 2018 p. 620.]</w:t>
      </w:r>
    </w:p>
    <w:p>
      <w:pPr>
        <w:pStyle w:val="Heading5"/>
        <w:rPr>
          <w:snapToGrid w:val="0"/>
        </w:rPr>
      </w:pPr>
      <w:bookmarkStart w:id="1306" w:name="_Toc129078366"/>
      <w:r>
        <w:rPr>
          <w:rStyle w:val="CharSectno"/>
        </w:rPr>
        <w:t>9</w:t>
      </w:r>
      <w:r>
        <w:rPr>
          <w:snapToGrid w:val="0"/>
        </w:rPr>
        <w:t>.</w:t>
      </w:r>
      <w:r>
        <w:rPr>
          <w:snapToGrid w:val="0"/>
        </w:rPr>
        <w:tab/>
        <w:t>Citations, issue of</w:t>
      </w:r>
      <w:bookmarkEnd w:id="1306"/>
    </w:p>
    <w:p>
      <w:pPr>
        <w:pStyle w:val="Subsection"/>
        <w:rPr>
          <w:snapToGrid w:val="0"/>
        </w:rPr>
      </w:pPr>
      <w:r>
        <w:rPr>
          <w:snapToGrid w:val="0"/>
        </w:rPr>
        <w:tab/>
        <w:t>(1)</w:t>
      </w:r>
      <w:r>
        <w:rPr>
          <w:snapToGrid w:val="0"/>
        </w:rPr>
        <w:tab/>
        <w:t>A citation must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rPr>
          <w:snapToGrid w:val="0"/>
        </w:rPr>
      </w:pPr>
      <w:r>
        <w:rPr>
          <w:snapToGrid w:val="0"/>
        </w:rPr>
        <w:tab/>
        <w:t>(2)</w:t>
      </w:r>
      <w:r>
        <w:rPr>
          <w:snapToGrid w:val="0"/>
        </w:rPr>
        <w:tab/>
        <w:t>A citation is issued upon its being sealed by the proper officer.</w:t>
      </w:r>
    </w:p>
    <w:p>
      <w:pPr>
        <w:pStyle w:val="Footnotesection"/>
      </w:pPr>
      <w:r>
        <w:tab/>
        <w:t xml:space="preserve">[Rule 9 amended: Gazette 14 Dec 1979 p. 3872; 27 Feb 2018 p. 620.] </w:t>
      </w:r>
    </w:p>
    <w:p>
      <w:pPr>
        <w:pStyle w:val="Heading5"/>
        <w:rPr>
          <w:snapToGrid w:val="0"/>
        </w:rPr>
      </w:pPr>
      <w:bookmarkStart w:id="1307" w:name="_Toc129078367"/>
      <w:r>
        <w:rPr>
          <w:rStyle w:val="CharSectno"/>
        </w:rPr>
        <w:lastRenderedPageBreak/>
        <w:t>10</w:t>
      </w:r>
      <w:r>
        <w:rPr>
          <w:snapToGrid w:val="0"/>
        </w:rPr>
        <w:t>.</w:t>
      </w:r>
      <w:r>
        <w:rPr>
          <w:snapToGrid w:val="0"/>
        </w:rPr>
        <w:tab/>
        <w:t>Citations, service of</w:t>
      </w:r>
      <w:bookmarkEnd w:id="1307"/>
    </w:p>
    <w:p>
      <w:pPr>
        <w:pStyle w:val="Subsection"/>
        <w:rPr>
          <w:snapToGrid w:val="0"/>
        </w:rPr>
      </w:pPr>
      <w:r>
        <w:rPr>
          <w:snapToGrid w:val="0"/>
        </w:rPr>
        <w:tab/>
        <w:t>(1)</w:t>
      </w:r>
      <w:r>
        <w:rPr>
          <w:snapToGrid w:val="0"/>
        </w:rPr>
        <w:tab/>
        <w:t>Without prejudice to Order 72 rule 4, a citation must be served personally on the person cited.</w:t>
      </w:r>
    </w:p>
    <w:p>
      <w:pPr>
        <w:pStyle w:val="Subsection"/>
        <w:rPr>
          <w:snapToGrid w:val="0"/>
        </w:rPr>
      </w:pPr>
      <w:r>
        <w:rPr>
          <w:snapToGrid w:val="0"/>
        </w:rPr>
        <w:tab/>
        <w:t>(2)</w:t>
      </w:r>
      <w:r>
        <w:rPr>
          <w:snapToGrid w:val="0"/>
        </w:rPr>
        <w:tab/>
        <w:t>A citation may be served out of the jurisdiction but, if it is issued pursuant to rule 8, only with the leave of the Court.</w:t>
      </w:r>
    </w:p>
    <w:p>
      <w:pPr>
        <w:pStyle w:val="Subsection"/>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rPr>
          <w:snapToGrid w:val="0"/>
        </w:rPr>
      </w:pPr>
      <w:r>
        <w:rPr>
          <w:snapToGrid w:val="0"/>
        </w:rPr>
        <w:tab/>
        <w:t>(4)</w:t>
      </w:r>
      <w:r>
        <w:rPr>
          <w:snapToGrid w:val="0"/>
        </w:rPr>
        <w:tab/>
        <w:t>The order granting leave must fix the time within which the person to be served must comply with the citation.</w:t>
      </w:r>
    </w:p>
    <w:p>
      <w:pPr>
        <w:pStyle w:val="Subsection"/>
      </w:pPr>
      <w:r>
        <w:tab/>
        <w:t>(5)</w:t>
      </w:r>
      <w:r>
        <w:tab/>
        <w:t>Order 10 rules 9, 10 and 11 apply to a citation issued pursuant to rule 8 as they apply to a writ.</w:t>
      </w:r>
    </w:p>
    <w:p>
      <w:pPr>
        <w:pStyle w:val="Footnotesection"/>
      </w:pPr>
      <w:r>
        <w:tab/>
        <w:t>[Rule 10 amended: Gazette 28 Jun 2011 p. 2552; 12 Jun 2012 p. 2452.]</w:t>
      </w:r>
    </w:p>
    <w:p>
      <w:pPr>
        <w:pStyle w:val="Heading5"/>
        <w:spacing w:before="240"/>
        <w:rPr>
          <w:snapToGrid w:val="0"/>
        </w:rPr>
      </w:pPr>
      <w:bookmarkStart w:id="1308" w:name="_Toc129078368"/>
      <w:r>
        <w:rPr>
          <w:rStyle w:val="CharSectno"/>
        </w:rPr>
        <w:t>11</w:t>
      </w:r>
      <w:r>
        <w:rPr>
          <w:snapToGrid w:val="0"/>
        </w:rPr>
        <w:t>.</w:t>
      </w:r>
      <w:r>
        <w:rPr>
          <w:snapToGrid w:val="0"/>
        </w:rPr>
        <w:tab/>
        <w:t>Affidavit of scripts</w:t>
      </w:r>
      <w:bookmarkEnd w:id="1308"/>
    </w:p>
    <w:p>
      <w:pPr>
        <w:pStyle w:val="Subsection"/>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w:t>
      </w:r>
      <w:r>
        <w:rPr>
          <w:snapToGrid w:val="0"/>
        </w:rPr>
        <w:lastRenderedPageBreak/>
        <w:t>appearance by a defendant, or if no defendant enters an appearance and the Court does not otherwise direct, before the action is set down for trial.</w:t>
      </w:r>
    </w:p>
    <w:p>
      <w:pPr>
        <w:pStyle w:val="Footnotesection"/>
      </w:pPr>
      <w:r>
        <w:tab/>
        <w:t>[Rule 11 amended: Gazette 21 Feb 2007 p. 582.]</w:t>
      </w:r>
    </w:p>
    <w:p>
      <w:pPr>
        <w:pStyle w:val="Heading5"/>
        <w:rPr>
          <w:snapToGrid w:val="0"/>
        </w:rPr>
      </w:pPr>
      <w:bookmarkStart w:id="1309" w:name="_Toc129078369"/>
      <w:r>
        <w:rPr>
          <w:rStyle w:val="CharSectno"/>
        </w:rPr>
        <w:t>12</w:t>
      </w:r>
      <w:r>
        <w:rPr>
          <w:snapToGrid w:val="0"/>
        </w:rPr>
        <w:t>.</w:t>
      </w:r>
      <w:r>
        <w:rPr>
          <w:snapToGrid w:val="0"/>
        </w:rPr>
        <w:tab/>
        <w:t>Scripts in pencil, affidavits as to; inspecting affidavits of scripts</w:t>
      </w:r>
      <w:bookmarkEnd w:id="1309"/>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r>
        <w:tab/>
        <w:t>[Rule 12 amended: Gazette 21 Feb 2007 p. 582; 27 Feb 2018 p. 620.]</w:t>
      </w:r>
    </w:p>
    <w:p>
      <w:pPr>
        <w:pStyle w:val="Heading5"/>
        <w:rPr>
          <w:snapToGrid w:val="0"/>
        </w:rPr>
      </w:pPr>
      <w:bookmarkStart w:id="1310" w:name="_Toc129078370"/>
      <w:r>
        <w:rPr>
          <w:rStyle w:val="CharSectno"/>
        </w:rPr>
        <w:t>13</w:t>
      </w:r>
      <w:r>
        <w:rPr>
          <w:snapToGrid w:val="0"/>
        </w:rPr>
        <w:t>.</w:t>
      </w:r>
      <w:r>
        <w:rPr>
          <w:snapToGrid w:val="0"/>
        </w:rPr>
        <w:tab/>
        <w:t>Default of appearance</w:t>
      </w:r>
      <w:bookmarkEnd w:id="1310"/>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 xml:space="preserve">Where the defendant or none of the defendants in a probate action and none of the persons (if any) cited under rule 5, enters an appearance, and the Court has not, on the application of the </w:t>
      </w:r>
      <w:r>
        <w:rPr>
          <w:snapToGrid w:val="0"/>
        </w:rPr>
        <w:lastRenderedPageBreak/>
        <w:t>plaintiff, ordered discontinuance of the action, the plaintiff may, after the time limited for appearance, apply to the Court for leave to set down the action for trial.</w:t>
      </w:r>
    </w:p>
    <w:p>
      <w:pPr>
        <w:pStyle w:val="Subsection"/>
      </w:pPr>
      <w:r>
        <w:tab/>
        <w:t>(4)</w:t>
      </w:r>
      <w:r>
        <w:tab/>
        <w:t>Before applying for leave under subrule (3), the plaintiff must file an affidavit proving due service of the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Gazette 28 Jun 2011 p. 2552; 12 Jun 2012 p. 2452.]</w:t>
      </w:r>
    </w:p>
    <w:p>
      <w:pPr>
        <w:pStyle w:val="Heading5"/>
        <w:rPr>
          <w:snapToGrid w:val="0"/>
        </w:rPr>
      </w:pPr>
      <w:bookmarkStart w:id="1311" w:name="_Toc129078371"/>
      <w:r>
        <w:rPr>
          <w:rStyle w:val="CharSectno"/>
        </w:rPr>
        <w:t>14</w:t>
      </w:r>
      <w:r>
        <w:rPr>
          <w:snapToGrid w:val="0"/>
        </w:rPr>
        <w:t>.</w:t>
      </w:r>
      <w:r>
        <w:rPr>
          <w:snapToGrid w:val="0"/>
        </w:rPr>
        <w:tab/>
        <w:t>Counterclaim</w:t>
      </w:r>
      <w:bookmarkEnd w:id="1311"/>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312" w:name="_Toc129078372"/>
      <w:r>
        <w:rPr>
          <w:rStyle w:val="CharSectno"/>
        </w:rPr>
        <w:t>15</w:t>
      </w:r>
      <w:r>
        <w:rPr>
          <w:snapToGrid w:val="0"/>
        </w:rPr>
        <w:t>.</w:t>
      </w:r>
      <w:r>
        <w:rPr>
          <w:snapToGrid w:val="0"/>
        </w:rPr>
        <w:tab/>
        <w:t>Defendant may require only proof in solemn form</w:t>
      </w:r>
      <w:bookmarkEnd w:id="1312"/>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313" w:name="_Toc129078373"/>
      <w:r>
        <w:rPr>
          <w:rStyle w:val="CharSectno"/>
        </w:rPr>
        <w:t>16</w:t>
      </w:r>
      <w:r>
        <w:rPr>
          <w:snapToGrid w:val="0"/>
        </w:rPr>
        <w:t>.</w:t>
      </w:r>
      <w:r>
        <w:rPr>
          <w:snapToGrid w:val="0"/>
        </w:rPr>
        <w:tab/>
        <w:t>Pleadings</w:t>
      </w:r>
      <w:bookmarkEnd w:id="1313"/>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 xml:space="preserve">Where by virtue of an interest a party claims to be entitled to a grant of letters of administration another party shall not dispute </w:t>
      </w:r>
      <w:r>
        <w:rPr>
          <w:snapToGrid w:val="0"/>
        </w:rPr>
        <w:lastRenderedPageBreak/>
        <w:t>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314" w:name="_Toc129078374"/>
      <w:r>
        <w:rPr>
          <w:rStyle w:val="CharSectno"/>
        </w:rPr>
        <w:t>17</w:t>
      </w:r>
      <w:r>
        <w:rPr>
          <w:snapToGrid w:val="0"/>
        </w:rPr>
        <w:t>.</w:t>
      </w:r>
      <w:r>
        <w:rPr>
          <w:snapToGrid w:val="0"/>
        </w:rPr>
        <w:tab/>
        <w:t>Default of pleadings</w:t>
      </w:r>
      <w:bookmarkEnd w:id="1314"/>
    </w:p>
    <w:p>
      <w:pPr>
        <w:pStyle w:val="Ednotesubsection"/>
      </w:pPr>
      <w:r>
        <w:tab/>
        <w:t>[(1)</w:t>
      </w:r>
      <w:r>
        <w:tab/>
        <w:t>deleted]</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Footnotesection"/>
      </w:pPr>
      <w:r>
        <w:tab/>
        <w:t>[Rule 17 amended: Gazette 16 Nov 2016 p. 5200.]</w:t>
      </w:r>
    </w:p>
    <w:p>
      <w:pPr>
        <w:pStyle w:val="Heading5"/>
        <w:rPr>
          <w:snapToGrid w:val="0"/>
        </w:rPr>
      </w:pPr>
      <w:bookmarkStart w:id="1315" w:name="_Toc129078375"/>
      <w:r>
        <w:rPr>
          <w:rStyle w:val="CharSectno"/>
        </w:rPr>
        <w:t>18</w:t>
      </w:r>
      <w:r>
        <w:rPr>
          <w:snapToGrid w:val="0"/>
        </w:rPr>
        <w:t>.</w:t>
      </w:r>
      <w:r>
        <w:rPr>
          <w:snapToGrid w:val="0"/>
        </w:rPr>
        <w:tab/>
        <w:t>Discontinuance</w:t>
      </w:r>
      <w:bookmarkEnd w:id="1315"/>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 xml:space="preserve">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w:t>
      </w:r>
      <w:r>
        <w:rPr>
          <w:snapToGrid w:val="0"/>
        </w:rPr>
        <w:lastRenderedPageBreak/>
        <w:t>probate of the will or letters of administration of the estate of the deceased person, which is the subject of the action be made to the person entitled thereto.</w:t>
      </w:r>
    </w:p>
    <w:p>
      <w:pPr>
        <w:pStyle w:val="Heading5"/>
        <w:spacing w:before="180"/>
        <w:rPr>
          <w:snapToGrid w:val="0"/>
        </w:rPr>
      </w:pPr>
      <w:bookmarkStart w:id="1316" w:name="_Toc129078376"/>
      <w:r>
        <w:rPr>
          <w:rStyle w:val="CharSectno"/>
        </w:rPr>
        <w:t>19</w:t>
      </w:r>
      <w:r>
        <w:rPr>
          <w:snapToGrid w:val="0"/>
        </w:rPr>
        <w:t>.</w:t>
      </w:r>
      <w:r>
        <w:rPr>
          <w:snapToGrid w:val="0"/>
        </w:rPr>
        <w:tab/>
        <w:t>Compromise</w:t>
      </w:r>
      <w:bookmarkEnd w:id="1316"/>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317" w:name="_Toc129078377"/>
      <w:r>
        <w:rPr>
          <w:rStyle w:val="CharSectno"/>
        </w:rPr>
        <w:t>20</w:t>
      </w:r>
      <w:r>
        <w:rPr>
          <w:snapToGrid w:val="0"/>
        </w:rPr>
        <w:t>.</w:t>
      </w:r>
      <w:r>
        <w:rPr>
          <w:snapToGrid w:val="0"/>
        </w:rPr>
        <w:tab/>
        <w:t>Orders etc. to bring in will etc.</w:t>
      </w:r>
      <w:bookmarkEnd w:id="1317"/>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an affidavit to that effect.</w:t>
      </w:r>
    </w:p>
    <w:p>
      <w:pPr>
        <w:pStyle w:val="Footnotesection"/>
      </w:pPr>
      <w:r>
        <w:tab/>
        <w:t xml:space="preserve">[Rule 20 amended: Gazette 30 Nov 1984 p. 3952; 28 Jun 2011 p. 2552; 24 May 2017 p. 2577; 27 Feb 2018 p. 620.] </w:t>
      </w:r>
    </w:p>
    <w:p>
      <w:pPr>
        <w:pStyle w:val="Heading5"/>
        <w:spacing w:before="180"/>
        <w:rPr>
          <w:snapToGrid w:val="0"/>
        </w:rPr>
      </w:pPr>
      <w:bookmarkStart w:id="1318" w:name="_Toc129078378"/>
      <w:r>
        <w:rPr>
          <w:rStyle w:val="CharSectno"/>
        </w:rPr>
        <w:t>21</w:t>
      </w:r>
      <w:r>
        <w:rPr>
          <w:snapToGrid w:val="0"/>
        </w:rPr>
        <w:t>.</w:t>
      </w:r>
      <w:r>
        <w:rPr>
          <w:snapToGrid w:val="0"/>
        </w:rPr>
        <w:tab/>
        <w:t>Applications, making</w:t>
      </w:r>
      <w:bookmarkEnd w:id="1318"/>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lastRenderedPageBreak/>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Gazette 28 Jun 2011 p. 2552.]</w:t>
      </w:r>
    </w:p>
    <w:p>
      <w:pPr>
        <w:pStyle w:val="Heading5"/>
        <w:spacing w:before="300"/>
        <w:rPr>
          <w:snapToGrid w:val="0"/>
        </w:rPr>
      </w:pPr>
      <w:bookmarkStart w:id="1319" w:name="_Toc129078379"/>
      <w:r>
        <w:rPr>
          <w:rStyle w:val="CharSectno"/>
        </w:rPr>
        <w:t>22</w:t>
      </w:r>
      <w:r>
        <w:rPr>
          <w:snapToGrid w:val="0"/>
        </w:rPr>
        <w:t>.</w:t>
      </w:r>
      <w:r>
        <w:rPr>
          <w:snapToGrid w:val="0"/>
        </w:rPr>
        <w:tab/>
        <w:t>Administrator or receiver appointed pending litigation</w:t>
      </w:r>
      <w:bookmarkEnd w:id="1319"/>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Gazette 30 Nov 1984 p. 3952.] </w:t>
      </w:r>
    </w:p>
    <w:p>
      <w:pPr>
        <w:pStyle w:val="Ednotepart"/>
      </w:pPr>
      <w:r>
        <w:t>[Order 74 deleted: Gazette 30 Oct 1992 p. 5310.]</w:t>
      </w:r>
    </w:p>
    <w:p>
      <w:pPr>
        <w:pStyle w:val="Heading2"/>
      </w:pPr>
      <w:bookmarkStart w:id="1320" w:name="_Toc129074308"/>
      <w:bookmarkStart w:id="1321" w:name="_Toc129075591"/>
      <w:bookmarkStart w:id="1322" w:name="_Toc129078380"/>
      <w:r>
        <w:rPr>
          <w:rStyle w:val="CharPartNo"/>
        </w:rPr>
        <w:lastRenderedPageBreak/>
        <w:t>Order 75</w:t>
      </w:r>
      <w:r>
        <w:rPr>
          <w:rStyle w:val="CharDivNo"/>
        </w:rPr>
        <w:t> </w:t>
      </w:r>
      <w:r>
        <w:t>—</w:t>
      </w:r>
      <w:r>
        <w:rPr>
          <w:rStyle w:val="CharDivText"/>
        </w:rPr>
        <w:t> </w:t>
      </w:r>
      <w:r>
        <w:rPr>
          <w:rStyle w:val="CharPartText"/>
          <w:i/>
          <w:iCs/>
        </w:rPr>
        <w:t xml:space="preserve">Family Provision Act 1972 </w:t>
      </w:r>
      <w:r>
        <w:rPr>
          <w:rStyle w:val="CharPartText"/>
        </w:rPr>
        <w:t>rules</w:t>
      </w:r>
      <w:r>
        <w:t> </w:t>
      </w:r>
      <w:r>
        <w:rPr>
          <w:rFonts w:ascii="Times New Roman Bold" w:hAnsi="Times New Roman Bold"/>
          <w:vertAlign w:val="superscript"/>
        </w:rPr>
        <w:t>4</w:t>
      </w:r>
      <w:bookmarkEnd w:id="1320"/>
      <w:bookmarkEnd w:id="1321"/>
      <w:bookmarkEnd w:id="1322"/>
    </w:p>
    <w:p>
      <w:pPr>
        <w:pStyle w:val="Footnoteheading"/>
      </w:pPr>
      <w:r>
        <w:tab/>
        <w:t xml:space="preserve">[Heading inserted: Gazette 22 Feb 2008 p. 642.] </w:t>
      </w:r>
    </w:p>
    <w:p>
      <w:pPr>
        <w:pStyle w:val="Heading5"/>
        <w:rPr>
          <w:snapToGrid w:val="0"/>
        </w:rPr>
      </w:pPr>
      <w:bookmarkStart w:id="1323" w:name="_Toc129078381"/>
      <w:r>
        <w:rPr>
          <w:rStyle w:val="CharSectno"/>
        </w:rPr>
        <w:t>1</w:t>
      </w:r>
      <w:r>
        <w:rPr>
          <w:snapToGrid w:val="0"/>
        </w:rPr>
        <w:t>.</w:t>
      </w:r>
      <w:r>
        <w:rPr>
          <w:snapToGrid w:val="0"/>
        </w:rPr>
        <w:tab/>
        <w:t>Terms used</w:t>
      </w:r>
      <w:bookmarkEnd w:id="132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Family Provision Act 1972</w:t>
      </w:r>
      <w:r>
        <w:rPr>
          <w:vertAlign w:val="superscript"/>
        </w:rPr>
        <w:t> 4</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Gazette 15 Jun 1973 p. 2250.] </w:t>
      </w:r>
    </w:p>
    <w:p>
      <w:pPr>
        <w:pStyle w:val="Heading5"/>
        <w:rPr>
          <w:snapToGrid w:val="0"/>
        </w:rPr>
      </w:pPr>
      <w:bookmarkStart w:id="1324" w:name="_Toc129078382"/>
      <w:r>
        <w:rPr>
          <w:rStyle w:val="CharSectno"/>
        </w:rPr>
        <w:t>2</w:t>
      </w:r>
      <w:r>
        <w:rPr>
          <w:snapToGrid w:val="0"/>
        </w:rPr>
        <w:t>.</w:t>
      </w:r>
      <w:r>
        <w:rPr>
          <w:snapToGrid w:val="0"/>
        </w:rPr>
        <w:tab/>
        <w:t>Applications under Act, making of</w:t>
      </w:r>
      <w:bookmarkEnd w:id="1324"/>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Family Provision Act 1972</w:t>
      </w:r>
      <w:r>
        <w:rPr>
          <w:snapToGrid w:val="0"/>
          <w:vertAlign w:val="superscript"/>
        </w:rPr>
        <w:t> 4</w:t>
      </w:r>
      <w:r>
        <w:rPr>
          <w:snapToGrid w:val="0"/>
        </w:rPr>
        <w:t>, and in the matter of the will or estate of the deceased person to which the proceedings relate.</w:t>
      </w:r>
    </w:p>
    <w:p>
      <w:pPr>
        <w:pStyle w:val="Footnotesection"/>
      </w:pPr>
      <w:r>
        <w:tab/>
        <w:t xml:space="preserve">[Rule 2 inserted: Gazette 15 Jun 1973 p. 2250.] </w:t>
      </w:r>
    </w:p>
    <w:p>
      <w:pPr>
        <w:pStyle w:val="Heading5"/>
      </w:pPr>
      <w:bookmarkStart w:id="1325" w:name="_Toc129078383"/>
      <w:r>
        <w:rPr>
          <w:rStyle w:val="CharSectno"/>
        </w:rPr>
        <w:t>3</w:t>
      </w:r>
      <w:r>
        <w:t>.</w:t>
      </w:r>
      <w:r>
        <w:tab/>
        <w:t>Copy of summons to be placed on probate file or linked to electronic file</w:t>
      </w:r>
      <w:bookmarkEnd w:id="1325"/>
    </w:p>
    <w:p>
      <w:pPr>
        <w:pStyle w:val="Subsection"/>
        <w:rPr>
          <w:snapToGrid w:val="0"/>
        </w:rPr>
      </w:pPr>
      <w:r>
        <w:rPr>
          <w:snapToGrid w:val="0"/>
        </w:rPr>
        <w:tab/>
        <w:t>(1)</w:t>
      </w:r>
      <w:r>
        <w:rPr>
          <w:snapToGrid w:val="0"/>
        </w:rPr>
        <w:tab/>
        <w:t xml:space="preserve">Upon the issue of an originating summons under this Order, the person presenting the summons for sealing must deliver to the Principal Registrar or file electronically a copy of the will of the </w:t>
      </w:r>
      <w:r>
        <w:rPr>
          <w:snapToGrid w:val="0"/>
        </w:rPr>
        <w:lastRenderedPageBreak/>
        <w:t>testator as admitted to probate or annexed to letters of administration of the testator’s estate.</w:t>
      </w:r>
    </w:p>
    <w:p>
      <w:pPr>
        <w:pStyle w:val="Subsection"/>
        <w:keepNext/>
      </w:pPr>
      <w:r>
        <w:tab/>
        <w:t>(2)</w:t>
      </w:r>
      <w:r>
        <w:tab/>
        <w:t xml:space="preserve">The Principal Registrar must — </w:t>
      </w:r>
    </w:p>
    <w:p>
      <w:pPr>
        <w:pStyle w:val="Indenta"/>
        <w:rPr>
          <w:snapToGrid w:val="0"/>
        </w:rPr>
      </w:pPr>
      <w:r>
        <w:rPr>
          <w:snapToGrid w:val="0"/>
        </w:rPr>
        <w:tab/>
        <w:t>(a)</w:t>
      </w:r>
      <w:r>
        <w:rPr>
          <w:snapToGrid w:val="0"/>
        </w:rPr>
        <w:tab/>
        <w:t>cause a copy of the summons to be placed on the probate file in the Registry; or</w:t>
      </w:r>
    </w:p>
    <w:p>
      <w:pPr>
        <w:pStyle w:val="Indenta"/>
        <w:rPr>
          <w:snapToGrid w:val="0"/>
        </w:rPr>
      </w:pPr>
      <w:r>
        <w:rPr>
          <w:snapToGrid w:val="0"/>
        </w:rPr>
        <w:tab/>
        <w:t>(b)</w:t>
      </w:r>
      <w:r>
        <w:rPr>
          <w:snapToGrid w:val="0"/>
        </w:rPr>
        <w:tab/>
        <w:t>link an electronic copy of the summons to the Court’s electronic file for the probate matter.</w:t>
      </w:r>
    </w:p>
    <w:p>
      <w:pPr>
        <w:pStyle w:val="Subsection"/>
      </w:pPr>
      <w:r>
        <w:tab/>
        <w:t>(3)</w:t>
      </w:r>
      <w:r>
        <w:tab/>
        <w:t>The Principal Registrar, in writing, may delegate the Principal Registrar’s functions under subrule (2) to 1 or more officers of the Court.</w:t>
      </w:r>
    </w:p>
    <w:p>
      <w:pPr>
        <w:pStyle w:val="Footnotesection"/>
      </w:pPr>
      <w:r>
        <w:tab/>
        <w:t>[Rule 3 inserted: SL 2020/242 r. 10(1).]</w:t>
      </w:r>
    </w:p>
    <w:p>
      <w:pPr>
        <w:pStyle w:val="Ednotesection"/>
      </w:pPr>
      <w:r>
        <w:t>[</w:t>
      </w:r>
      <w:r>
        <w:rPr>
          <w:b/>
        </w:rPr>
        <w:t>4.</w:t>
      </w:r>
      <w:r>
        <w:tab/>
        <w:t>Deleted: Gazette 21 Feb 2007 p. 582.]</w:t>
      </w:r>
    </w:p>
    <w:p>
      <w:pPr>
        <w:pStyle w:val="Heading5"/>
        <w:rPr>
          <w:snapToGrid w:val="0"/>
        </w:rPr>
      </w:pPr>
      <w:bookmarkStart w:id="1326" w:name="_Toc129078384"/>
      <w:r>
        <w:rPr>
          <w:rStyle w:val="CharSectno"/>
        </w:rPr>
        <w:t>5</w:t>
      </w:r>
      <w:r>
        <w:rPr>
          <w:snapToGrid w:val="0"/>
        </w:rPr>
        <w:t>.</w:t>
      </w:r>
      <w:r>
        <w:rPr>
          <w:snapToGrid w:val="0"/>
        </w:rPr>
        <w:tab/>
        <w:t>Court may make inquiries etc.</w:t>
      </w:r>
      <w:bookmarkEnd w:id="1326"/>
      <w:r>
        <w:rPr>
          <w:snapToGrid w:val="0"/>
        </w:rPr>
        <w:t xml:space="preserve"> </w:t>
      </w:r>
    </w:p>
    <w:p>
      <w:pPr>
        <w:pStyle w:val="Subsection"/>
        <w:rPr>
          <w:snapToGrid w:val="0"/>
        </w:rPr>
      </w:pPr>
      <w:r>
        <w:rPr>
          <w:snapToGrid w:val="0"/>
        </w:rPr>
        <w:tab/>
      </w:r>
      <w:r>
        <w:rPr>
          <w:snapToGrid w:val="0"/>
        </w:rPr>
        <w:tab/>
      </w:r>
      <w:r>
        <w:t xml:space="preserve">At a case management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lastRenderedPageBreak/>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Gazette 15 Jun 1973 p. 2250</w:t>
      </w:r>
      <w:r>
        <w:noBreakHyphen/>
        <w:t xml:space="preserve">1; amended: Gazette 21 Feb 2007 p. 582; 28 Jul 2010 p. 3468; 16 Aug 2017 p. 4420.] </w:t>
      </w:r>
    </w:p>
    <w:p>
      <w:pPr>
        <w:pStyle w:val="Heading5"/>
        <w:rPr>
          <w:snapToGrid w:val="0"/>
        </w:rPr>
      </w:pPr>
      <w:bookmarkStart w:id="1327" w:name="_Toc129078385"/>
      <w:r>
        <w:rPr>
          <w:rStyle w:val="CharSectno"/>
        </w:rPr>
        <w:t>6</w:t>
      </w:r>
      <w:r>
        <w:rPr>
          <w:snapToGrid w:val="0"/>
        </w:rPr>
        <w:t>.</w:t>
      </w:r>
      <w:r>
        <w:rPr>
          <w:snapToGrid w:val="0"/>
        </w:rPr>
        <w:tab/>
        <w:t>Parties may be added</w:t>
      </w:r>
      <w:bookmarkEnd w:id="1327"/>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Gazette 15 Jun 1973 p. 2251.] </w:t>
      </w:r>
    </w:p>
    <w:p>
      <w:pPr>
        <w:pStyle w:val="Heading5"/>
        <w:spacing w:before="200"/>
        <w:rPr>
          <w:snapToGrid w:val="0"/>
        </w:rPr>
      </w:pPr>
      <w:bookmarkStart w:id="1328" w:name="_Toc129078386"/>
      <w:r>
        <w:rPr>
          <w:rStyle w:val="CharSectno"/>
        </w:rPr>
        <w:t>7</w:t>
      </w:r>
      <w:r>
        <w:rPr>
          <w:snapToGrid w:val="0"/>
        </w:rPr>
        <w:t>.</w:t>
      </w:r>
      <w:r>
        <w:rPr>
          <w:snapToGrid w:val="0"/>
        </w:rPr>
        <w:tab/>
        <w:t>Representative defendant</w:t>
      </w:r>
      <w:bookmarkEnd w:id="1328"/>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Gazette 15 Jun 1973 p. 2251.] </w:t>
      </w:r>
    </w:p>
    <w:p>
      <w:pPr>
        <w:pStyle w:val="Heading5"/>
        <w:spacing w:before="200"/>
        <w:rPr>
          <w:snapToGrid w:val="0"/>
        </w:rPr>
      </w:pPr>
      <w:bookmarkStart w:id="1329" w:name="_Toc129078387"/>
      <w:r>
        <w:rPr>
          <w:rStyle w:val="CharSectno"/>
        </w:rPr>
        <w:t>8</w:t>
      </w:r>
      <w:r>
        <w:rPr>
          <w:snapToGrid w:val="0"/>
        </w:rPr>
        <w:t>.</w:t>
      </w:r>
      <w:r>
        <w:rPr>
          <w:snapToGrid w:val="0"/>
        </w:rPr>
        <w:tab/>
        <w:t>Probate etc. to be lodged at Registry if judgment for plaintiff</w:t>
      </w:r>
      <w:bookmarkEnd w:id="1329"/>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Gazette 15 Jun 1973 p. 2251.] </w:t>
      </w:r>
    </w:p>
    <w:p>
      <w:pPr>
        <w:pStyle w:val="Heading5"/>
        <w:spacing w:before="200"/>
        <w:rPr>
          <w:snapToGrid w:val="0"/>
        </w:rPr>
      </w:pPr>
      <w:bookmarkStart w:id="1330" w:name="_Toc129078388"/>
      <w:r>
        <w:rPr>
          <w:rStyle w:val="CharSectno"/>
        </w:rPr>
        <w:lastRenderedPageBreak/>
        <w:t>9</w:t>
      </w:r>
      <w:r>
        <w:rPr>
          <w:snapToGrid w:val="0"/>
        </w:rPr>
        <w:t>.</w:t>
      </w:r>
      <w:r>
        <w:rPr>
          <w:snapToGrid w:val="0"/>
        </w:rPr>
        <w:tab/>
        <w:t>Appearance to originating summons for extension of time not required</w:t>
      </w:r>
      <w:bookmarkEnd w:id="1330"/>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Gazette 15 Jun 1973 p. 2251.] </w:t>
      </w:r>
    </w:p>
    <w:p>
      <w:pPr>
        <w:pStyle w:val="Ednotesection"/>
      </w:pPr>
      <w:r>
        <w:t>[</w:t>
      </w:r>
      <w:r>
        <w:rPr>
          <w:b/>
        </w:rPr>
        <w:t>10.</w:t>
      </w:r>
      <w:r>
        <w:tab/>
        <w:t>Deleted: SL 2020/242 r. 10(2).]</w:t>
      </w:r>
    </w:p>
    <w:p>
      <w:pPr>
        <w:pStyle w:val="Heading2"/>
      </w:pPr>
      <w:bookmarkStart w:id="1331" w:name="_Toc129074317"/>
      <w:bookmarkStart w:id="1332" w:name="_Toc129075600"/>
      <w:bookmarkStart w:id="1333" w:name="_Toc129078389"/>
      <w:r>
        <w:rPr>
          <w:rStyle w:val="CharPartNo"/>
        </w:rPr>
        <w:lastRenderedPageBreak/>
        <w:t>Order 75A</w:t>
      </w:r>
      <w:r>
        <w:t> — </w:t>
      </w:r>
      <w:r>
        <w:rPr>
          <w:rStyle w:val="CharPartText"/>
        </w:rPr>
        <w:t>Admission rules</w:t>
      </w:r>
      <w:bookmarkEnd w:id="1331"/>
      <w:bookmarkEnd w:id="1332"/>
      <w:bookmarkEnd w:id="1333"/>
    </w:p>
    <w:p>
      <w:pPr>
        <w:pStyle w:val="Footnoteheading"/>
      </w:pPr>
      <w:r>
        <w:tab/>
        <w:t>[Heading inserted: SL 2022/74 r. 12.]</w:t>
      </w:r>
    </w:p>
    <w:p>
      <w:pPr>
        <w:pStyle w:val="Heading5"/>
      </w:pPr>
      <w:bookmarkStart w:id="1334" w:name="_Toc129078390"/>
      <w:r>
        <w:rPr>
          <w:rStyle w:val="CharSectno"/>
        </w:rPr>
        <w:t>1</w:t>
      </w:r>
      <w:r>
        <w:t>.</w:t>
      </w:r>
      <w:r>
        <w:tab/>
        <w:t>Terms used</w:t>
      </w:r>
      <w:bookmarkEnd w:id="1334"/>
    </w:p>
    <w:p>
      <w:pPr>
        <w:pStyle w:val="Subsection"/>
      </w:pPr>
      <w:r>
        <w:tab/>
      </w:r>
      <w:r>
        <w:tab/>
        <w:t>In this Order —</w:t>
      </w:r>
    </w:p>
    <w:p>
      <w:pPr>
        <w:pStyle w:val="Defstart"/>
      </w:pPr>
      <w:r>
        <w:tab/>
      </w:r>
      <w:r>
        <w:rPr>
          <w:rStyle w:val="CharDefText"/>
        </w:rPr>
        <w:t>applicant</w:t>
      </w:r>
      <w:r>
        <w:t xml:space="preserve"> means a person who makes an application under rule 2(1); </w:t>
      </w:r>
    </w:p>
    <w:p>
      <w:pPr>
        <w:pStyle w:val="Defstart"/>
      </w:pPr>
      <w:r>
        <w:tab/>
      </w:r>
      <w:r>
        <w:rPr>
          <w:rStyle w:val="CharDefText"/>
        </w:rPr>
        <w:t>Board</w:t>
      </w:r>
      <w:r>
        <w:t xml:space="preserve"> means the Legal Practice Board established under the </w:t>
      </w:r>
      <w:r>
        <w:rPr>
          <w:i/>
        </w:rPr>
        <w:t>Legal Profession Uniform Law Application Act 2022</w:t>
      </w:r>
      <w:r>
        <w:t xml:space="preserve"> section 30(1);</w:t>
      </w:r>
    </w:p>
    <w:p>
      <w:pPr>
        <w:pStyle w:val="Defstart"/>
      </w:pPr>
      <w:r>
        <w:tab/>
      </w:r>
      <w:r>
        <w:rPr>
          <w:rStyle w:val="CharDefText"/>
        </w:rPr>
        <w:t>Supreme Court (full bench)</w:t>
      </w:r>
      <w:r>
        <w:t xml:space="preserve"> means the Court constituted by at least 3 judges.</w:t>
      </w:r>
    </w:p>
    <w:p>
      <w:pPr>
        <w:pStyle w:val="Footnotesection"/>
      </w:pPr>
      <w:r>
        <w:tab/>
        <w:t>[Rule 1 inserted: SL 2022/74 r. 13(1).]</w:t>
      </w:r>
    </w:p>
    <w:p>
      <w:pPr>
        <w:pStyle w:val="Heading5"/>
      </w:pPr>
      <w:bookmarkStart w:id="1335" w:name="_Toc129078391"/>
      <w:r>
        <w:rPr>
          <w:rStyle w:val="CharSectno"/>
        </w:rPr>
        <w:t>2</w:t>
      </w:r>
      <w:r>
        <w:t>.</w:t>
      </w:r>
      <w:r>
        <w:tab/>
        <w:t>Application for admission</w:t>
      </w:r>
      <w:bookmarkEnd w:id="1335"/>
    </w:p>
    <w:p>
      <w:pPr>
        <w:pStyle w:val="Subsection"/>
      </w:pPr>
      <w:r>
        <w:tab/>
        <w:t>(1)</w:t>
      </w:r>
      <w:r>
        <w:tab/>
        <w:t xml:space="preserve">An application for admission to the Australian legal profession under the </w:t>
      </w:r>
      <w:r>
        <w:rPr>
          <w:i/>
        </w:rPr>
        <w:t>Legal Profession Uniform Law (WA)</w:t>
      </w:r>
      <w:r>
        <w:t xml:space="preserve"> section 16 must be made to the Supreme Court (full bench) by motion.</w:t>
      </w:r>
    </w:p>
    <w:p>
      <w:pPr>
        <w:pStyle w:val="Subsection"/>
        <w:rPr>
          <w:snapToGrid w:val="0"/>
        </w:rPr>
      </w:pPr>
      <w:r>
        <w:rPr>
          <w:snapToGrid w:val="0"/>
        </w:rPr>
        <w:tab/>
        <w:t>(2)</w:t>
      </w:r>
      <w:r>
        <w:rPr>
          <w:snapToGrid w:val="0"/>
        </w:rPr>
        <w:tab/>
        <w:t>The application must be filed at least 2 months before the proposed date of admission.</w:t>
      </w:r>
    </w:p>
    <w:p>
      <w:pPr>
        <w:pStyle w:val="Subsection"/>
      </w:pPr>
      <w:r>
        <w:tab/>
        <w:t>(2A)</w:t>
      </w:r>
      <w:r>
        <w:tab/>
        <w:t>The application cannot be filed electronically.</w:t>
      </w:r>
    </w:p>
    <w:p>
      <w:pPr>
        <w:pStyle w:val="Subsection"/>
        <w:keepNext/>
      </w:pPr>
      <w:r>
        <w:tab/>
        <w:t>(3)</w:t>
      </w:r>
      <w:r>
        <w:tab/>
        <w:t xml:space="preserve">The applicant must serve a notice of motion on the Board when they apply to the Board for a compliance certificate under the </w:t>
      </w:r>
      <w:r>
        <w:rPr>
          <w:i/>
        </w:rPr>
        <w:t>Legal Profession Uniform Law (WA)</w:t>
      </w:r>
      <w:r>
        <w:t xml:space="preserve"> section 19(1). </w:t>
      </w:r>
    </w:p>
    <w:p>
      <w:pPr>
        <w:pStyle w:val="Footnotesection"/>
      </w:pPr>
      <w:r>
        <w:tab/>
        <w:t>[Rule 2 inserted: Gazette 6 Feb 2009 p. 244; amended: Gazette 16 Aug 2017 p. 4420; 27 Feb 2018 p. 620</w:t>
      </w:r>
      <w:r>
        <w:noBreakHyphen/>
        <w:t>1; SL 2022/74 r. 13(2) and (3).]</w:t>
      </w:r>
    </w:p>
    <w:p>
      <w:pPr>
        <w:pStyle w:val="Heading5"/>
      </w:pPr>
      <w:bookmarkStart w:id="1336" w:name="_Toc129078392"/>
      <w:r>
        <w:rPr>
          <w:rStyle w:val="CharSectno"/>
        </w:rPr>
        <w:t>2A</w:t>
      </w:r>
      <w:r>
        <w:t>.</w:t>
      </w:r>
      <w:r>
        <w:tab/>
        <w:t>Compliance certificates</w:t>
      </w:r>
      <w:bookmarkEnd w:id="1336"/>
    </w:p>
    <w:p>
      <w:pPr>
        <w:pStyle w:val="Subsection"/>
      </w:pPr>
      <w:r>
        <w:tab/>
        <w:t>(1)</w:t>
      </w:r>
      <w:r>
        <w:tab/>
        <w:t xml:space="preserve">If the Board issues a compliance certificate in respect of an applicant under the </w:t>
      </w:r>
      <w:r>
        <w:rPr>
          <w:i/>
        </w:rPr>
        <w:t>Legal Profession Uniform Law (WA)</w:t>
      </w:r>
      <w:r>
        <w:t xml:space="preserve"> section 19(3), the Board must file the compliance certificate in </w:t>
      </w:r>
      <w:r>
        <w:lastRenderedPageBreak/>
        <w:t>the Court at least 7 days before the applicant’s proposed date of admission.</w:t>
      </w:r>
    </w:p>
    <w:p>
      <w:pPr>
        <w:pStyle w:val="Subsection"/>
        <w:keepNext/>
      </w:pPr>
      <w:r>
        <w:tab/>
        <w:t>(2)</w:t>
      </w:r>
      <w:r>
        <w:tab/>
        <w:t>The Board must serve on the applicant a copy of the compliance certificate filed under subrule (1).</w:t>
      </w:r>
    </w:p>
    <w:p>
      <w:pPr>
        <w:pStyle w:val="Footnotesection"/>
      </w:pPr>
      <w:r>
        <w:tab/>
        <w:t>[Rule 2A inserted: SL 2022/74 r. 13(4).]</w:t>
      </w:r>
    </w:p>
    <w:p>
      <w:pPr>
        <w:pStyle w:val="Heading5"/>
      </w:pPr>
      <w:bookmarkStart w:id="1337" w:name="_Toc129078393"/>
      <w:r>
        <w:rPr>
          <w:rStyle w:val="CharSectno"/>
        </w:rPr>
        <w:t>2B</w:t>
      </w:r>
      <w:r>
        <w:t>.</w:t>
      </w:r>
      <w:r>
        <w:tab/>
        <w:t xml:space="preserve">Appeals under </w:t>
      </w:r>
      <w:r>
        <w:rPr>
          <w:i/>
        </w:rPr>
        <w:t>Legal Profession Uniform Law (WA)</w:t>
      </w:r>
      <w:r>
        <w:t xml:space="preserve"> section 26 or 27</w:t>
      </w:r>
      <w:bookmarkEnd w:id="1337"/>
    </w:p>
    <w:p>
      <w:pPr>
        <w:pStyle w:val="Subsection"/>
        <w:keepNext/>
      </w:pPr>
      <w:r>
        <w:tab/>
      </w:r>
      <w:r>
        <w:tab/>
        <w:t xml:space="preserve">Order 65 (other than rule 10(6)) applies to an appeal under the </w:t>
      </w:r>
      <w:r>
        <w:rPr>
          <w:i/>
        </w:rPr>
        <w:t>Legal Profession Uniform Law (WA)</w:t>
      </w:r>
      <w:r>
        <w:t xml:space="preserve"> section 26 or 27.</w:t>
      </w:r>
    </w:p>
    <w:p>
      <w:pPr>
        <w:pStyle w:val="Footnotesection"/>
      </w:pPr>
      <w:r>
        <w:tab/>
        <w:t>[Rule 2B inserted: SL 2022/74 r. 13(4).]</w:t>
      </w:r>
    </w:p>
    <w:p>
      <w:pPr>
        <w:pStyle w:val="Heading5"/>
      </w:pPr>
      <w:bookmarkStart w:id="1338" w:name="_Toc129078394"/>
      <w:r>
        <w:rPr>
          <w:rStyle w:val="CharSectno"/>
        </w:rPr>
        <w:t>2C</w:t>
      </w:r>
      <w:r>
        <w:t>.</w:t>
      </w:r>
      <w:r>
        <w:tab/>
        <w:t>Objection to admission</w:t>
      </w:r>
      <w:bookmarkEnd w:id="1338"/>
    </w:p>
    <w:p>
      <w:pPr>
        <w:pStyle w:val="Subsection"/>
      </w:pPr>
      <w:r>
        <w:tab/>
        <w:t>(1)</w:t>
      </w:r>
      <w:r>
        <w:tab/>
        <w:t xml:space="preserve">A person (the </w:t>
      </w:r>
      <w:r>
        <w:rPr>
          <w:rStyle w:val="CharDefText"/>
        </w:rPr>
        <w:t>objector</w:t>
      </w:r>
      <w:r>
        <w:t xml:space="preserve">) may object to the admission of an applicant to the Australian legal profession under the </w:t>
      </w:r>
      <w:r>
        <w:rPr>
          <w:i/>
        </w:rPr>
        <w:t>Legal Profession Uniform Law (WA)</w:t>
      </w:r>
      <w:r>
        <w:t xml:space="preserve"> section 16(3) by filing a notice in the Court.</w:t>
      </w:r>
    </w:p>
    <w:p>
      <w:pPr>
        <w:pStyle w:val="Subsection"/>
        <w:keepNext/>
      </w:pPr>
      <w:r>
        <w:tab/>
        <w:t>(2)</w:t>
      </w:r>
      <w:r>
        <w:tab/>
        <w:t>A notice filed under subrule (1) must —</w:t>
      </w:r>
    </w:p>
    <w:p>
      <w:pPr>
        <w:pStyle w:val="Indenta"/>
      </w:pPr>
      <w:r>
        <w:tab/>
        <w:t>(a)</w:t>
      </w:r>
      <w:r>
        <w:tab/>
        <w:t xml:space="preserve">state the grounds of the objection; and </w:t>
      </w:r>
    </w:p>
    <w:p>
      <w:pPr>
        <w:pStyle w:val="Indenta"/>
      </w:pPr>
      <w:r>
        <w:tab/>
        <w:t>(b)</w:t>
      </w:r>
      <w:r>
        <w:tab/>
        <w:t>be filed at least 7 days before the applicant’s proposed date of admission; and</w:t>
      </w:r>
    </w:p>
    <w:p>
      <w:pPr>
        <w:pStyle w:val="Indenta"/>
      </w:pPr>
      <w:r>
        <w:tab/>
        <w:t>(c)</w:t>
      </w:r>
      <w:r>
        <w:tab/>
        <w:t>be served on the applicant, unless the Court orders otherwise.</w:t>
      </w:r>
    </w:p>
    <w:p>
      <w:pPr>
        <w:pStyle w:val="Subsection"/>
        <w:keepNext/>
      </w:pPr>
      <w:r>
        <w:tab/>
        <w:t>(3)</w:t>
      </w:r>
      <w:r>
        <w:tab/>
        <w:t>The Court may, at any time after a notice under subrule (1) is filed, do one or more of the following —</w:t>
      </w:r>
    </w:p>
    <w:p>
      <w:pPr>
        <w:pStyle w:val="Indenta"/>
      </w:pPr>
      <w:r>
        <w:tab/>
        <w:t>(a)</w:t>
      </w:r>
      <w:r>
        <w:tab/>
        <w:t xml:space="preserve">dismiss or strike out the objection if the Court believes that it is frivolous, vexatious, misconceived or lacking in substance, is being used for an improper purpose or is otherwise an abuse of process; </w:t>
      </w:r>
    </w:p>
    <w:p>
      <w:pPr>
        <w:pStyle w:val="Indenta"/>
      </w:pPr>
      <w:r>
        <w:tab/>
        <w:t>(b)</w:t>
      </w:r>
      <w:r>
        <w:tab/>
        <w:t xml:space="preserve">order the objector or the applicant, or both, to file written submissions; </w:t>
      </w:r>
    </w:p>
    <w:p>
      <w:pPr>
        <w:pStyle w:val="Indenta"/>
      </w:pPr>
      <w:r>
        <w:tab/>
        <w:t>(c)</w:t>
      </w:r>
      <w:r>
        <w:tab/>
        <w:t xml:space="preserve">determine the objection in chambers on the documents; </w:t>
      </w:r>
    </w:p>
    <w:p>
      <w:pPr>
        <w:pStyle w:val="Indenta"/>
      </w:pPr>
      <w:r>
        <w:lastRenderedPageBreak/>
        <w:tab/>
        <w:t>(d)</w:t>
      </w:r>
      <w:r>
        <w:tab/>
        <w:t>list the objection for hearing.</w:t>
      </w:r>
    </w:p>
    <w:p>
      <w:pPr>
        <w:pStyle w:val="Subsection"/>
        <w:keepNext/>
      </w:pPr>
      <w:r>
        <w:tab/>
        <w:t>(4)</w:t>
      </w:r>
      <w:r>
        <w:tab/>
        <w:t>If a hearing is held to determine the objection, both the objector and the applicant are entitled to appear and be heard.</w:t>
      </w:r>
    </w:p>
    <w:p>
      <w:pPr>
        <w:pStyle w:val="Footnotesection"/>
      </w:pPr>
      <w:r>
        <w:tab/>
        <w:t>[Rule 2C inserted: SL 2022/74 r. 13(4).]</w:t>
      </w:r>
    </w:p>
    <w:p>
      <w:pPr>
        <w:pStyle w:val="Heading5"/>
      </w:pPr>
      <w:bookmarkStart w:id="1339" w:name="_Toc129078395"/>
      <w:r>
        <w:rPr>
          <w:rStyle w:val="CharSectno"/>
        </w:rPr>
        <w:t>3</w:t>
      </w:r>
      <w:r>
        <w:t>.</w:t>
      </w:r>
      <w:r>
        <w:tab/>
        <w:t>Attendance at hearing of application for admission</w:t>
      </w:r>
      <w:bookmarkEnd w:id="1339"/>
    </w:p>
    <w:p>
      <w:pPr>
        <w:pStyle w:val="Subsection"/>
      </w:pPr>
      <w:r>
        <w:tab/>
        <w:t>(1)</w:t>
      </w:r>
      <w:r>
        <w:tab/>
        <w:t>Subject to subrule (2) a person who applies for admission must attend in person before the Supreme Court (full bench) when the application is heard.</w:t>
      </w:r>
    </w:p>
    <w:p>
      <w:pPr>
        <w:pStyle w:val="Subsection"/>
      </w:pPr>
      <w:r>
        <w:tab/>
        <w:t>(2)</w:t>
      </w:r>
      <w:r>
        <w:tab/>
        <w:t xml:space="preserve">A person who applies for admission under the </w:t>
      </w:r>
      <w:r>
        <w:rPr>
          <w:i/>
        </w:rPr>
        <w:t xml:space="preserve">Mutual Recognition Act 1992 </w:t>
      </w:r>
      <w:r>
        <w:t xml:space="preserve">(Commonwealth) or the </w:t>
      </w:r>
      <w:r>
        <w:rPr>
          <w:i/>
        </w:rPr>
        <w:t>Trans</w:t>
      </w:r>
      <w:r>
        <w:rPr>
          <w:i/>
        </w:rPr>
        <w:noBreakHyphen/>
        <w:t>Tasman Mutual Recognition Act 1997</w:t>
      </w:r>
      <w:r>
        <w:t xml:space="preserve"> (Commonwealth) may be represented at the hearing of the application by counsel and, if represented, is not required to attend in person.</w:t>
      </w:r>
    </w:p>
    <w:p>
      <w:pPr>
        <w:pStyle w:val="Subsection"/>
        <w:keepNext/>
      </w:pPr>
      <w:r>
        <w:tab/>
        <w:t>(3)</w:t>
      </w:r>
      <w:r>
        <w:tab/>
        <w:t xml:space="preserve">A person who is admitted without appearing in person must, within 21 days of being admitted — </w:t>
      </w:r>
    </w:p>
    <w:p>
      <w:pPr>
        <w:pStyle w:val="Indenta"/>
        <w:keepNext/>
      </w:pPr>
      <w:r>
        <w:tab/>
        <w:t>(a)</w:t>
      </w:r>
      <w:r>
        <w:tab/>
        <w:t xml:space="preserve">attend at — </w:t>
      </w:r>
    </w:p>
    <w:p>
      <w:pPr>
        <w:pStyle w:val="Indenti"/>
      </w:pPr>
      <w:r>
        <w:tab/>
        <w:t>(i)</w:t>
      </w:r>
      <w:r>
        <w:tab/>
        <w:t xml:space="preserve">if the application for admission was made under the </w:t>
      </w:r>
      <w:r>
        <w:rPr>
          <w:i/>
          <w:iCs/>
        </w:rPr>
        <w:t>Mutual Recognition Act 1992</w:t>
      </w:r>
      <w:r>
        <w:t xml:space="preserve"> (Commonwealth) — the office of a superior court of a State or Territory or of the High Court; or</w:t>
      </w:r>
    </w:p>
    <w:p>
      <w:pPr>
        <w:pStyle w:val="Indenti"/>
        <w:keepNext/>
      </w:pPr>
      <w:r>
        <w:tab/>
        <w:t>(ii)</w:t>
      </w:r>
      <w:r>
        <w:tab/>
        <w:t xml:space="preserve">if the application for admission was made under the </w:t>
      </w:r>
      <w:r>
        <w:rPr>
          <w:i/>
          <w:iCs/>
        </w:rPr>
        <w:t>Trans</w:t>
      </w:r>
      <w:r>
        <w:rPr>
          <w:i/>
          <w:iCs/>
        </w:rPr>
        <w:noBreakHyphen/>
        <w:t>Tasman Mutual Recognition Act 1997</w:t>
      </w:r>
      <w:r>
        <w:t xml:space="preserve"> (Commonwealth) — the office of a superior court of a State or Territory or the High Court of Australia or of the Supreme Court or High Court of New Zealand; </w:t>
      </w:r>
    </w:p>
    <w:p>
      <w:pPr>
        <w:pStyle w:val="Indenta"/>
      </w:pPr>
      <w:r>
        <w:tab/>
      </w:r>
      <w:r>
        <w:tab/>
        <w:t>and</w:t>
      </w:r>
    </w:p>
    <w:p>
      <w:pPr>
        <w:pStyle w:val="Indenta"/>
      </w:pPr>
      <w:r>
        <w:tab/>
        <w:t>(b)</w:t>
      </w:r>
      <w:r>
        <w:tab/>
        <w:t>before the Principal Registrar, a registrar, a deputy registrar or the prothonotary of that court, take an oath or affirmation in the form set out in rule 4.</w:t>
      </w:r>
    </w:p>
    <w:p>
      <w:pPr>
        <w:pStyle w:val="Subsection"/>
        <w:keepNext/>
      </w:pPr>
      <w:r>
        <w:lastRenderedPageBreak/>
        <w:tab/>
        <w:t>(4)</w:t>
      </w:r>
      <w:r>
        <w:tab/>
        <w:t xml:space="preserve">When a person takes an oath or affirmation in accordance with subrule (3), the person’s name is to be entered in the Supreme Court roll maintained under the </w:t>
      </w:r>
      <w:r>
        <w:rPr>
          <w:i/>
        </w:rPr>
        <w:t>Legal Profession Uniform Law (WA)</w:t>
      </w:r>
      <w:r>
        <w:t xml:space="preserve"> section 22(1) in the usual manner.</w:t>
      </w:r>
    </w:p>
    <w:p>
      <w:pPr>
        <w:pStyle w:val="Footnotesection"/>
      </w:pPr>
      <w:r>
        <w:tab/>
        <w:t>[Rule 3 inserted: Gazette 6 Feb 2009 p. 244-5; amended: SL 2022/74 r. 13(5)</w:t>
      </w:r>
      <w:r>
        <w:noBreakHyphen/>
        <w:t>(7).]</w:t>
      </w:r>
    </w:p>
    <w:p>
      <w:pPr>
        <w:pStyle w:val="Heading5"/>
      </w:pPr>
      <w:bookmarkStart w:id="1340" w:name="_Toc129078396"/>
      <w:r>
        <w:rPr>
          <w:rStyle w:val="CharSectno"/>
        </w:rPr>
        <w:t>4</w:t>
      </w:r>
      <w:r>
        <w:t>.</w:t>
      </w:r>
      <w:r>
        <w:tab/>
        <w:t>Oath or affirmation</w:t>
      </w:r>
      <w:bookmarkEnd w:id="1340"/>
    </w:p>
    <w:p>
      <w:pPr>
        <w:pStyle w:val="Subsection"/>
      </w:pPr>
      <w:r>
        <w:tab/>
      </w:r>
      <w:r>
        <w:tab/>
        <w:t xml:space="preserve">The form of the oath or affirmation required under the </w:t>
      </w:r>
      <w:r>
        <w:rPr>
          <w:i/>
        </w:rPr>
        <w:t>Legal Profession Uniform Law (WA)</w:t>
      </w:r>
      <w:r>
        <w:t xml:space="preserve"> section 16(1)(c) is —</w:t>
      </w:r>
    </w:p>
    <w:p>
      <w:pPr>
        <w:pStyle w:val="Subsection"/>
        <w:keepNext/>
      </w:pPr>
      <w:r>
        <w:tab/>
      </w:r>
      <w:r>
        <w:tab/>
        <w:t xml:space="preserve">I, </w:t>
      </w:r>
      <w:r>
        <w:rPr>
          <w:i/>
        </w:rPr>
        <w:t>[name]</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Gazette 6 Feb 2009 p. 245; amended: Gazette 3 May 2013 p. 1719; SL 2022/74 r. 13(8).]</w:t>
      </w:r>
    </w:p>
    <w:p>
      <w:pPr>
        <w:pStyle w:val="Heading2"/>
      </w:pPr>
      <w:bookmarkStart w:id="1341" w:name="_Toc129074325"/>
      <w:bookmarkStart w:id="1342" w:name="_Toc129075608"/>
      <w:bookmarkStart w:id="1343" w:name="_Toc129078397"/>
      <w:r>
        <w:rPr>
          <w:rStyle w:val="CharPartNo"/>
        </w:rPr>
        <w:lastRenderedPageBreak/>
        <w:t>Order 76</w:t>
      </w:r>
      <w:r>
        <w:rPr>
          <w:b w:val="0"/>
        </w:rPr>
        <w:t> </w:t>
      </w:r>
      <w:r>
        <w:t>—</w:t>
      </w:r>
      <w:r>
        <w:rPr>
          <w:b w:val="0"/>
        </w:rPr>
        <w:t> </w:t>
      </w:r>
      <w:r>
        <w:rPr>
          <w:rStyle w:val="CharPartText"/>
          <w:i/>
        </w:rPr>
        <w:t>Public Notaries Act 1979</w:t>
      </w:r>
      <w:r>
        <w:rPr>
          <w:rStyle w:val="CharPartText"/>
        </w:rPr>
        <w:t xml:space="preserve"> rules</w:t>
      </w:r>
      <w:bookmarkEnd w:id="1341"/>
      <w:bookmarkEnd w:id="1342"/>
      <w:bookmarkEnd w:id="1343"/>
    </w:p>
    <w:p>
      <w:pPr>
        <w:pStyle w:val="Footnoteheading"/>
      </w:pPr>
      <w:r>
        <w:tab/>
        <w:t>[Heading inserted: Gazette 21 Feb 2007 p. 582.]</w:t>
      </w:r>
    </w:p>
    <w:p>
      <w:pPr>
        <w:pStyle w:val="Heading5"/>
        <w:rPr>
          <w:snapToGrid w:val="0"/>
        </w:rPr>
      </w:pPr>
      <w:bookmarkStart w:id="1344" w:name="_Toc129078398"/>
      <w:r>
        <w:rPr>
          <w:rStyle w:val="CharSectno"/>
        </w:rPr>
        <w:t>1</w:t>
      </w:r>
      <w:r>
        <w:rPr>
          <w:snapToGrid w:val="0"/>
        </w:rPr>
        <w:t>.</w:t>
      </w:r>
      <w:r>
        <w:rPr>
          <w:snapToGrid w:val="0"/>
        </w:rPr>
        <w:tab/>
        <w:t>Terms used</w:t>
      </w:r>
      <w:bookmarkEnd w:id="1344"/>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Gazette 18 Jul 1980 p. 2384.] </w:t>
      </w:r>
    </w:p>
    <w:p>
      <w:pPr>
        <w:pStyle w:val="Heading5"/>
      </w:pPr>
      <w:bookmarkStart w:id="1345" w:name="_Toc129078399"/>
      <w:r>
        <w:rPr>
          <w:rStyle w:val="CharSectno"/>
        </w:rPr>
        <w:t>1A</w:t>
      </w:r>
      <w:r>
        <w:t>.</w:t>
      </w:r>
      <w:r>
        <w:tab/>
        <w:t>Districts prescribed for Act</w:t>
      </w:r>
      <w:bookmarkEnd w:id="1345"/>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t>Shark Bay</w:t>
            </w:r>
          </w:p>
          <w:p>
            <w:pPr>
              <w:pStyle w:val="TableNAm"/>
              <w:tabs>
                <w:tab w:val="left" w:pos="2223"/>
              </w:tabs>
              <w:spacing w:before="0"/>
            </w:pPr>
            <w:r>
              <w:t>Exmouth</w:t>
            </w:r>
            <w:r>
              <w:tab/>
              <w:t>Upper Gascoyne</w:t>
            </w:r>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r>
              <w:t>Dundas</w:t>
            </w:r>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t>Wiluna</w:t>
            </w:r>
          </w:p>
        </w:tc>
      </w:tr>
      <w:tr>
        <w:tc>
          <w:tcPr>
            <w:tcW w:w="1500" w:type="dxa"/>
          </w:tcPr>
          <w:p>
            <w:pPr>
              <w:pStyle w:val="TableNAm"/>
            </w:pPr>
            <w:r>
              <w:t>Great Southern District</w:t>
            </w:r>
          </w:p>
        </w:tc>
        <w:tc>
          <w:tcPr>
            <w:tcW w:w="4560" w:type="dxa"/>
          </w:tcPr>
          <w:p>
            <w:pPr>
              <w:pStyle w:val="TableNAm"/>
              <w:tabs>
                <w:tab w:val="left" w:pos="2223"/>
              </w:tabs>
            </w:pPr>
            <w:r>
              <w:t>Albany (Town)</w:t>
            </w:r>
            <w:r>
              <w:tab/>
              <w:t>Katanning</w:t>
            </w:r>
          </w:p>
          <w:p>
            <w:pPr>
              <w:pStyle w:val="TableNAm"/>
              <w:tabs>
                <w:tab w:val="left" w:pos="2223"/>
              </w:tabs>
              <w:spacing w:before="0"/>
            </w:pPr>
            <w:r>
              <w:t>Albany (Shire)</w:t>
            </w:r>
            <w:r>
              <w:tab/>
              <w:t>Kent</w:t>
            </w:r>
          </w:p>
          <w:p>
            <w:pPr>
              <w:pStyle w:val="TableNAm"/>
              <w:tabs>
                <w:tab w:val="left" w:pos="2223"/>
              </w:tabs>
              <w:spacing w:before="0"/>
            </w:pPr>
            <w:r>
              <w:t>Broomehill</w:t>
            </w:r>
            <w:r>
              <w:tab/>
              <w:t>Kojonup</w:t>
            </w:r>
          </w:p>
          <w:p>
            <w:pPr>
              <w:pStyle w:val="TableNAm"/>
              <w:tabs>
                <w:tab w:val="left" w:pos="2223"/>
              </w:tabs>
              <w:spacing w:before="0"/>
            </w:pPr>
            <w:r>
              <w:t>Cranbrook</w:t>
            </w:r>
            <w:r>
              <w:tab/>
              <w:t>Plantagenet</w:t>
            </w:r>
          </w:p>
          <w:p>
            <w:pPr>
              <w:pStyle w:val="TableNAm"/>
              <w:tabs>
                <w:tab w:val="left" w:pos="2223"/>
              </w:tabs>
              <w:spacing w:before="0"/>
            </w:pPr>
            <w:r>
              <w:t>Denmark</w:t>
            </w:r>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lastRenderedPageBreak/>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West Kimberley</w:t>
            </w:r>
          </w:p>
          <w:p>
            <w:pPr>
              <w:pStyle w:val="TableNAm"/>
              <w:tabs>
                <w:tab w:val="left" w:pos="2223"/>
              </w:tabs>
              <w:spacing w:before="0"/>
            </w:pPr>
            <w:r>
              <w:t>Halls Creek</w:t>
            </w:r>
          </w:p>
          <w:p>
            <w:pPr>
              <w:pStyle w:val="TableNAm"/>
              <w:tabs>
                <w:tab w:val="left" w:pos="2223"/>
              </w:tabs>
              <w:spacing w:before="0"/>
            </w:pPr>
            <w:r>
              <w:t>Wyndham</w:t>
            </w:r>
            <w:r>
              <w:noBreakHyphen/>
              <w:t>East Kimberley</w:t>
            </w:r>
          </w:p>
        </w:tc>
      </w:tr>
      <w:tr>
        <w:tc>
          <w:tcPr>
            <w:tcW w:w="1500" w:type="dxa"/>
          </w:tcPr>
          <w:p>
            <w:pPr>
              <w:pStyle w:val="TableNAm"/>
            </w:pPr>
            <w:r>
              <w:t>Mid West District</w:t>
            </w:r>
          </w:p>
        </w:tc>
        <w:tc>
          <w:tcPr>
            <w:tcW w:w="4560" w:type="dxa"/>
          </w:tcPr>
          <w:p>
            <w:pPr>
              <w:pStyle w:val="TableNAm"/>
              <w:tabs>
                <w:tab w:val="clear" w:pos="567"/>
                <w:tab w:val="left" w:pos="2223"/>
              </w:tabs>
            </w:pPr>
            <w:r>
              <w:t>Carnamah</w:t>
            </w:r>
            <w:r>
              <w:tab/>
              <w:t>Morawa</w:t>
            </w:r>
          </w:p>
          <w:p>
            <w:pPr>
              <w:pStyle w:val="TableNAm"/>
              <w:tabs>
                <w:tab w:val="clear" w:pos="567"/>
                <w:tab w:val="left" w:pos="2223"/>
              </w:tabs>
              <w:spacing w:before="0"/>
            </w:pPr>
            <w:r>
              <w:t>Chapman Valley</w:t>
            </w:r>
            <w:r>
              <w:tab/>
              <w:t>Mt. Magnet</w:t>
            </w:r>
          </w:p>
          <w:p>
            <w:pPr>
              <w:pStyle w:val="TableNAm"/>
              <w:tabs>
                <w:tab w:val="clear" w:pos="567"/>
                <w:tab w:val="left" w:pos="2223"/>
              </w:tabs>
              <w:spacing w:before="0"/>
            </w:pPr>
            <w:r>
              <w:t>Coorow</w:t>
            </w:r>
            <w:r>
              <w:tab/>
              <w:t>Mullewa</w:t>
            </w:r>
          </w:p>
          <w:p>
            <w:pPr>
              <w:pStyle w:val="TableNAm"/>
              <w:tabs>
                <w:tab w:val="clear" w:pos="567"/>
                <w:tab w:val="left" w:pos="2223"/>
              </w:tabs>
              <w:spacing w:before="0"/>
            </w:pPr>
            <w:r>
              <w:t>Cue</w:t>
            </w:r>
            <w:r>
              <w:tab/>
              <w:t>Murchison</w:t>
            </w:r>
          </w:p>
          <w:p>
            <w:pPr>
              <w:pStyle w:val="TableNAm"/>
              <w:tabs>
                <w:tab w:val="clear" w:pos="567"/>
                <w:tab w:val="left" w:pos="2223"/>
              </w:tabs>
              <w:spacing w:before="0"/>
            </w:pPr>
            <w:r>
              <w:t>Geraldton</w:t>
            </w:r>
            <w:r>
              <w:tab/>
              <w:t>Northampton</w:t>
            </w:r>
          </w:p>
          <w:p>
            <w:pPr>
              <w:pStyle w:val="TableNAm"/>
              <w:tabs>
                <w:tab w:val="clear" w:pos="567"/>
                <w:tab w:val="left" w:pos="2223"/>
              </w:tabs>
              <w:spacing w:before="0"/>
            </w:pPr>
            <w:r>
              <w:t>Greenough</w:t>
            </w:r>
            <w:r>
              <w:tab/>
              <w:t>Perenjori</w:t>
            </w:r>
          </w:p>
          <w:p>
            <w:pPr>
              <w:pStyle w:val="TableNAm"/>
              <w:tabs>
                <w:tab w:val="clear" w:pos="567"/>
                <w:tab w:val="left" w:pos="2223"/>
              </w:tabs>
              <w:spacing w:before="0"/>
            </w:pPr>
            <w:r>
              <w:t>Irwin</w:t>
            </w:r>
            <w:r>
              <w:tab/>
              <w:t>Sandstone</w:t>
            </w:r>
          </w:p>
          <w:p>
            <w:pPr>
              <w:pStyle w:val="TableNAm"/>
              <w:tabs>
                <w:tab w:val="clear" w:pos="567"/>
                <w:tab w:val="left" w:pos="2223"/>
              </w:tabs>
              <w:spacing w:before="0"/>
            </w:pPr>
            <w:r>
              <w:t>Meekatharra</w:t>
            </w:r>
            <w:r>
              <w:tab/>
              <w:t>Three Springs</w:t>
            </w:r>
          </w:p>
          <w:p>
            <w:pPr>
              <w:pStyle w:val="TableNAm"/>
              <w:tabs>
                <w:tab w:val="clear" w:pos="567"/>
                <w:tab w:val="left" w:pos="2223"/>
              </w:tabs>
              <w:spacing w:before="0"/>
            </w:pPr>
            <w:r>
              <w:t>Mingenew</w:t>
            </w:r>
            <w:r>
              <w:tab/>
              <w:t>Yalgoo</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r>
              <w:t>Murray</w:t>
            </w:r>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r>
              <w:t>East Pilbara</w:t>
            </w:r>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t>Harvey</w:t>
            </w:r>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lastRenderedPageBreak/>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t>Victoria Plains</w:t>
            </w:r>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r>
              <w:t>Lake Grace</w:t>
            </w:r>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r>
              <w:t>Mt. Marshall</w:t>
            </w:r>
            <w:r>
              <w:tab/>
              <w:t>Yilgarn</w:t>
            </w:r>
          </w:p>
          <w:p>
            <w:pPr>
              <w:pStyle w:val="TableNAm"/>
              <w:tabs>
                <w:tab w:val="clear" w:pos="567"/>
                <w:tab w:val="left" w:pos="2223"/>
              </w:tabs>
              <w:spacing w:before="0"/>
            </w:pPr>
            <w:r>
              <w:t>Mukinbudin</w:t>
            </w:r>
            <w:r>
              <w:tab/>
              <w:t>York</w:t>
            </w:r>
          </w:p>
        </w:tc>
      </w:tr>
    </w:tbl>
    <w:p>
      <w:pPr>
        <w:pStyle w:val="Footnotesection"/>
      </w:pPr>
      <w:r>
        <w:tab/>
        <w:t>[Rule 1A inserted: Gazette 21 Feb 2007 p. 583</w:t>
      </w:r>
      <w:r>
        <w:noBreakHyphen/>
        <w:t>4; amended: SL 2020/228 r. 4.]</w:t>
      </w:r>
    </w:p>
    <w:p>
      <w:pPr>
        <w:pStyle w:val="Heading5"/>
        <w:rPr>
          <w:snapToGrid w:val="0"/>
        </w:rPr>
      </w:pPr>
      <w:bookmarkStart w:id="1346" w:name="_Toc129078400"/>
      <w:r>
        <w:rPr>
          <w:rStyle w:val="CharSectno"/>
        </w:rPr>
        <w:t>2</w:t>
      </w:r>
      <w:r>
        <w:rPr>
          <w:snapToGrid w:val="0"/>
        </w:rPr>
        <w:t>.</w:t>
      </w:r>
      <w:r>
        <w:rPr>
          <w:snapToGrid w:val="0"/>
        </w:rPr>
        <w:tab/>
        <w:t>Application for certificate of fitness (Act s. 8)</w:t>
      </w:r>
      <w:bookmarkEnd w:id="1346"/>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Supreme Court roll maintained under the </w:t>
      </w:r>
      <w:r>
        <w:rPr>
          <w:i/>
        </w:rPr>
        <w:t>Legal Profession Uniform Law (WA)</w:t>
      </w:r>
      <w:r>
        <w:t xml:space="preserve"> section 22(1) and is not a disqualified person as defined in section 6(1) of that Law; and</w:t>
      </w:r>
    </w:p>
    <w:p>
      <w:pPr>
        <w:pStyle w:val="Indenta"/>
        <w:rPr>
          <w:snapToGrid w:val="0"/>
        </w:rPr>
      </w:pPr>
      <w:r>
        <w:rPr>
          <w:snapToGrid w:val="0"/>
        </w:rPr>
        <w:lastRenderedPageBreak/>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 xml:space="preserve">exhibiting certificates from 2 </w:t>
      </w:r>
      <w:r>
        <w:t>legal practitioners</w:t>
      </w:r>
      <w:r>
        <w:rPr>
          <w:snapToGrid w:val="0"/>
        </w:rPr>
        <w:t xml:space="preserve">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 xml:space="preserve">setting out details of any professional experience as a </w:t>
      </w:r>
      <w:r>
        <w:t>legal practitioner</w:t>
      </w:r>
      <w:r>
        <w:rPr>
          <w:snapToGrid w:val="0"/>
        </w:rPr>
        <w:t xml:space="preserve">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Gazette 18 Jul 1980 p. 2384; amended: Gazette 19 Apr 2005 p. 1300; 29 Apr 2005 p. 1794; 3 Jul 2009 p. 2699; SL 2022/74 r. 14 and 15.] </w:t>
      </w:r>
    </w:p>
    <w:p>
      <w:pPr>
        <w:pStyle w:val="Heading5"/>
        <w:rPr>
          <w:snapToGrid w:val="0"/>
        </w:rPr>
      </w:pPr>
      <w:bookmarkStart w:id="1347" w:name="_Toc129078401"/>
      <w:r>
        <w:rPr>
          <w:rStyle w:val="CharSectno"/>
        </w:rPr>
        <w:t>3</w:t>
      </w:r>
      <w:r>
        <w:rPr>
          <w:snapToGrid w:val="0"/>
        </w:rPr>
        <w:t>.</w:t>
      </w:r>
      <w:r>
        <w:rPr>
          <w:snapToGrid w:val="0"/>
        </w:rPr>
        <w:tab/>
        <w:t>Notice of intention to apply to be appointed Public Notary (Act s. 9)</w:t>
      </w:r>
      <w:bookmarkEnd w:id="1347"/>
    </w:p>
    <w:p>
      <w:pPr>
        <w:pStyle w:val="Subsection"/>
        <w:rPr>
          <w:snapToGrid w:val="0"/>
        </w:rPr>
      </w:pPr>
      <w:r>
        <w:rPr>
          <w:snapToGrid w:val="0"/>
        </w:rPr>
        <w:tab/>
        <w:t>(1)</w:t>
      </w:r>
      <w:r>
        <w:rPr>
          <w:snapToGrid w:val="0"/>
        </w:rPr>
        <w:tab/>
        <w:t xml:space="preserve">An applicant shall on 2 occasions advertise in a morning daily newspaper published in Perth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lastRenderedPageBreak/>
        <w:tab/>
        <w:t>(3)</w:t>
      </w:r>
      <w:r>
        <w:rPr>
          <w:snapToGrid w:val="0"/>
        </w:rPr>
        <w:tab/>
        <w:t xml:space="preserve">The notice referred to in </w:t>
      </w:r>
      <w:r>
        <w:t>subrules</w:t>
      </w:r>
      <w:r>
        <w:rPr>
          <w:snapToGrid w:val="0"/>
        </w:rPr>
        <w:t> (1) and (2) shall be in accordance with Form No. 93B.</w:t>
      </w:r>
    </w:p>
    <w:p>
      <w:pPr>
        <w:pStyle w:val="Footnotesection"/>
      </w:pPr>
      <w:r>
        <w:tab/>
        <w:t>[Rule 3 inserted: Gazette 18 Jul 1980 p. 2384</w:t>
      </w:r>
      <w:r>
        <w:noBreakHyphen/>
        <w:t>5; amended: Gazette 30 Nov 1984 p. 3954; 29 Apr 2005 p. 1794; 28 Jun 2011 p. 2552</w:t>
      </w:r>
      <w:r>
        <w:noBreakHyphen/>
        <w:t xml:space="preserve">3.] </w:t>
      </w:r>
    </w:p>
    <w:p>
      <w:pPr>
        <w:pStyle w:val="Heading5"/>
        <w:rPr>
          <w:snapToGrid w:val="0"/>
        </w:rPr>
      </w:pPr>
      <w:bookmarkStart w:id="1348" w:name="_Toc129078402"/>
      <w:r>
        <w:rPr>
          <w:rStyle w:val="CharSectno"/>
        </w:rPr>
        <w:t>4</w:t>
      </w:r>
      <w:r>
        <w:rPr>
          <w:snapToGrid w:val="0"/>
        </w:rPr>
        <w:t>.</w:t>
      </w:r>
      <w:r>
        <w:rPr>
          <w:snapToGrid w:val="0"/>
        </w:rPr>
        <w:tab/>
        <w:t>Application to be appointed Public Notary</w:t>
      </w:r>
      <w:bookmarkEnd w:id="1348"/>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Gazette 18 Jul 1980 p. 2385; amended: Gazette 29 Apr 2005 p. 1794; 28 Jun 2011 p. 2552.] </w:t>
      </w:r>
    </w:p>
    <w:p>
      <w:pPr>
        <w:pStyle w:val="Heading5"/>
        <w:rPr>
          <w:snapToGrid w:val="0"/>
        </w:rPr>
      </w:pPr>
      <w:bookmarkStart w:id="1349" w:name="_Toc129078403"/>
      <w:r>
        <w:rPr>
          <w:rStyle w:val="CharSectno"/>
        </w:rPr>
        <w:t>5</w:t>
      </w:r>
      <w:r>
        <w:rPr>
          <w:snapToGrid w:val="0"/>
        </w:rPr>
        <w:t>.</w:t>
      </w:r>
      <w:r>
        <w:rPr>
          <w:snapToGrid w:val="0"/>
        </w:rPr>
        <w:tab/>
        <w:t>Certificates of appointment, form of</w:t>
      </w:r>
      <w:bookmarkEnd w:id="1349"/>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lastRenderedPageBreak/>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Gazette 18 Jul 1980 p. 2385.] </w:t>
      </w:r>
    </w:p>
    <w:p>
      <w:pPr>
        <w:pStyle w:val="Heading5"/>
        <w:rPr>
          <w:snapToGrid w:val="0"/>
        </w:rPr>
      </w:pPr>
      <w:bookmarkStart w:id="1350" w:name="_Toc129078404"/>
      <w:r>
        <w:rPr>
          <w:rStyle w:val="CharSectno"/>
        </w:rPr>
        <w:t>6</w:t>
      </w:r>
      <w:r>
        <w:rPr>
          <w:snapToGrid w:val="0"/>
        </w:rPr>
        <w:t>.</w:t>
      </w:r>
      <w:r>
        <w:rPr>
          <w:snapToGrid w:val="0"/>
        </w:rPr>
        <w:tab/>
        <w:t>Applications to suspend or strike off Public Notaries</w:t>
      </w:r>
      <w:bookmarkEnd w:id="1350"/>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Gazette 18 Jul 1980 p. 2385; amended: Gazette 29 Apr 2005 p. 1794.] </w:t>
      </w:r>
    </w:p>
    <w:p>
      <w:pPr>
        <w:pStyle w:val="Heading5"/>
        <w:rPr>
          <w:snapToGrid w:val="0"/>
        </w:rPr>
      </w:pPr>
      <w:bookmarkStart w:id="1351" w:name="_Toc129078405"/>
      <w:r>
        <w:rPr>
          <w:rStyle w:val="CharSectno"/>
        </w:rPr>
        <w:t>7</w:t>
      </w:r>
      <w:r>
        <w:rPr>
          <w:snapToGrid w:val="0"/>
        </w:rPr>
        <w:t>.</w:t>
      </w:r>
      <w:r>
        <w:rPr>
          <w:snapToGrid w:val="0"/>
        </w:rPr>
        <w:tab/>
        <w:t>Fees payable on application for appointment</w:t>
      </w:r>
      <w:bookmarkEnd w:id="1351"/>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Gazette 18 Apr 1980 p. 2385; amended: Gazette 30 Nov 1984 p. 3954.] </w:t>
      </w:r>
    </w:p>
    <w:p>
      <w:pPr>
        <w:pStyle w:val="Ednotesection"/>
      </w:pPr>
      <w:r>
        <w:t>[</w:t>
      </w:r>
      <w:r>
        <w:rPr>
          <w:b/>
        </w:rPr>
        <w:t>8.</w:t>
      </w:r>
      <w:r>
        <w:rPr>
          <w:b/>
        </w:rPr>
        <w:tab/>
      </w:r>
      <w:r>
        <w:t>Deleted: Gazette 16 Jul 1999 p. 3201.]</w:t>
      </w:r>
    </w:p>
    <w:p>
      <w:pPr>
        <w:pStyle w:val="Ednotepart"/>
      </w:pPr>
      <w:r>
        <w:t>[Order 77 deleted: Gazette 29 Apr 2005 p. 1794.]</w:t>
      </w:r>
    </w:p>
    <w:p>
      <w:pPr>
        <w:pStyle w:val="Ednotepart"/>
      </w:pPr>
      <w:r>
        <w:t>[Order 78 deleted: Gazette 21 Feb 2007 p. 584.]</w:t>
      </w:r>
    </w:p>
    <w:p>
      <w:pPr>
        <w:pStyle w:val="Ednotepart"/>
      </w:pPr>
      <w:r>
        <w:t>[Order 79 deleted: Gazette 29 Apr 2005 p. 1801.]</w:t>
      </w:r>
    </w:p>
    <w:p>
      <w:pPr>
        <w:pStyle w:val="Heading2"/>
      </w:pPr>
      <w:bookmarkStart w:id="1352" w:name="_Toc129074334"/>
      <w:bookmarkStart w:id="1353" w:name="_Toc129075617"/>
      <w:bookmarkStart w:id="1354" w:name="_Toc129078406"/>
      <w:r>
        <w:rPr>
          <w:rStyle w:val="CharPartNo"/>
        </w:rPr>
        <w:lastRenderedPageBreak/>
        <w:t>Order 80</w:t>
      </w:r>
      <w:r>
        <w:rPr>
          <w:b w:val="0"/>
        </w:rPr>
        <w:t> </w:t>
      </w:r>
      <w:r>
        <w:t>—</w:t>
      </w:r>
      <w:r>
        <w:rPr>
          <w:b w:val="0"/>
        </w:rPr>
        <w:t> </w:t>
      </w:r>
      <w:r>
        <w:rPr>
          <w:rStyle w:val="CharPartText"/>
          <w:i/>
          <w:iCs/>
        </w:rPr>
        <w:t>Escheat (Procedure) Act 1940</w:t>
      </w:r>
      <w:r>
        <w:rPr>
          <w:rStyle w:val="CharPartText"/>
        </w:rPr>
        <w:t xml:space="preserve"> rules</w:t>
      </w:r>
      <w:bookmarkEnd w:id="1352"/>
      <w:bookmarkEnd w:id="1353"/>
      <w:bookmarkEnd w:id="1354"/>
    </w:p>
    <w:p>
      <w:pPr>
        <w:pStyle w:val="Footnoteheading"/>
      </w:pPr>
      <w:r>
        <w:tab/>
        <w:t xml:space="preserve">[Heading inserted: Gazette 22 Feb 2008 p. 643.] </w:t>
      </w:r>
    </w:p>
    <w:p>
      <w:pPr>
        <w:pStyle w:val="Heading5"/>
        <w:rPr>
          <w:snapToGrid w:val="0"/>
        </w:rPr>
      </w:pPr>
      <w:bookmarkStart w:id="1355" w:name="_Toc129078407"/>
      <w:r>
        <w:rPr>
          <w:rStyle w:val="CharSectno"/>
        </w:rPr>
        <w:t>1</w:t>
      </w:r>
      <w:r>
        <w:rPr>
          <w:snapToGrid w:val="0"/>
        </w:rPr>
        <w:t>.</w:t>
      </w:r>
      <w:r>
        <w:rPr>
          <w:snapToGrid w:val="0"/>
        </w:rPr>
        <w:tab/>
        <w:t>Term used: said Act</w:t>
      </w:r>
      <w:bookmarkEnd w:id="1355"/>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356" w:name="_Toc129078408"/>
      <w:r>
        <w:rPr>
          <w:rStyle w:val="CharSectno"/>
        </w:rPr>
        <w:t>2</w:t>
      </w:r>
      <w:r>
        <w:rPr>
          <w:snapToGrid w:val="0"/>
        </w:rPr>
        <w:t>.</w:t>
      </w:r>
      <w:r>
        <w:rPr>
          <w:snapToGrid w:val="0"/>
        </w:rPr>
        <w:tab/>
        <w:t>Applications for Order of Escheat, making</w:t>
      </w:r>
      <w:bookmarkEnd w:id="1356"/>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Gazette 15 Jun 1973 p. 2252; amended: Gazette 19 Apr 2005 p. 1300; 28 Jun 2011 p. 2552.] </w:t>
      </w:r>
    </w:p>
    <w:p>
      <w:pPr>
        <w:pStyle w:val="Heading5"/>
        <w:rPr>
          <w:snapToGrid w:val="0"/>
        </w:rPr>
      </w:pPr>
      <w:bookmarkStart w:id="1357" w:name="_Toc129078409"/>
      <w:r>
        <w:rPr>
          <w:rStyle w:val="CharSectno"/>
        </w:rPr>
        <w:t>3</w:t>
      </w:r>
      <w:r>
        <w:rPr>
          <w:snapToGrid w:val="0"/>
        </w:rPr>
        <w:t>.</w:t>
      </w:r>
      <w:r>
        <w:rPr>
          <w:snapToGrid w:val="0"/>
        </w:rPr>
        <w:tab/>
        <w:t>Notice of applications, form of</w:t>
      </w:r>
      <w:bookmarkEnd w:id="1357"/>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358" w:name="_Toc129078410"/>
      <w:r>
        <w:rPr>
          <w:rStyle w:val="CharSectno"/>
        </w:rPr>
        <w:t>4</w:t>
      </w:r>
      <w:r>
        <w:rPr>
          <w:snapToGrid w:val="0"/>
        </w:rPr>
        <w:t>.</w:t>
      </w:r>
      <w:r>
        <w:rPr>
          <w:snapToGrid w:val="0"/>
        </w:rPr>
        <w:tab/>
        <w:t>Evidence; judge may direct inquiry</w:t>
      </w:r>
      <w:bookmarkEnd w:id="1358"/>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359" w:name="_Toc129078411"/>
      <w:r>
        <w:rPr>
          <w:rStyle w:val="CharSectno"/>
        </w:rPr>
        <w:lastRenderedPageBreak/>
        <w:t>5</w:t>
      </w:r>
      <w:r>
        <w:rPr>
          <w:snapToGrid w:val="0"/>
        </w:rPr>
        <w:t>.</w:t>
      </w:r>
      <w:r>
        <w:rPr>
          <w:snapToGrid w:val="0"/>
        </w:rPr>
        <w:tab/>
        <w:t>Claimants to file affidavit verifying claim and may be heard</w:t>
      </w:r>
      <w:bookmarkEnd w:id="1359"/>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360" w:name="_Toc129078412"/>
      <w:r>
        <w:rPr>
          <w:rStyle w:val="CharSectno"/>
        </w:rPr>
        <w:t>6</w:t>
      </w:r>
      <w:r>
        <w:rPr>
          <w:snapToGrid w:val="0"/>
        </w:rPr>
        <w:t>.</w:t>
      </w:r>
      <w:r>
        <w:rPr>
          <w:snapToGrid w:val="0"/>
        </w:rPr>
        <w:tab/>
        <w:t>Judge may order issue to be tried</w:t>
      </w:r>
      <w:bookmarkEnd w:id="136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361" w:name="_Toc129078413"/>
      <w:r>
        <w:rPr>
          <w:rStyle w:val="CharSectno"/>
        </w:rPr>
        <w:t>7</w:t>
      </w:r>
      <w:r>
        <w:rPr>
          <w:snapToGrid w:val="0"/>
        </w:rPr>
        <w:t>.</w:t>
      </w:r>
      <w:r>
        <w:rPr>
          <w:snapToGrid w:val="0"/>
        </w:rPr>
        <w:tab/>
        <w:t>Order of Escheat, form of</w:t>
      </w:r>
      <w:bookmarkEnd w:id="1361"/>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362" w:name="_Toc129078414"/>
      <w:r>
        <w:rPr>
          <w:rStyle w:val="CharSectno"/>
        </w:rPr>
        <w:t>8</w:t>
      </w:r>
      <w:r>
        <w:rPr>
          <w:snapToGrid w:val="0"/>
        </w:rPr>
        <w:t>.</w:t>
      </w:r>
      <w:r>
        <w:rPr>
          <w:snapToGrid w:val="0"/>
        </w:rPr>
        <w:tab/>
        <w:t>Costs</w:t>
      </w:r>
      <w:bookmarkEnd w:id="1362"/>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363" w:name="_Toc129074343"/>
      <w:bookmarkStart w:id="1364" w:name="_Toc129075626"/>
      <w:bookmarkStart w:id="1365" w:name="_Toc129078415"/>
      <w:r>
        <w:rPr>
          <w:rStyle w:val="CharPartNo"/>
        </w:rPr>
        <w:lastRenderedPageBreak/>
        <w:t>Order 80A</w:t>
      </w:r>
      <w:r>
        <w:rPr>
          <w:b w:val="0"/>
        </w:rPr>
        <w:t> </w:t>
      </w:r>
      <w:r>
        <w:t>—</w:t>
      </w:r>
      <w:r>
        <w:rPr>
          <w:b w:val="0"/>
        </w:rPr>
        <w:t> </w:t>
      </w:r>
      <w:r>
        <w:rPr>
          <w:rStyle w:val="CharPartText"/>
          <w:i/>
          <w:iCs/>
        </w:rPr>
        <w:t>Royal Commission (Custody of Records) Act 1992</w:t>
      </w:r>
      <w:r>
        <w:rPr>
          <w:rStyle w:val="CharPartText"/>
        </w:rPr>
        <w:t xml:space="preserve"> rules</w:t>
      </w:r>
      <w:bookmarkEnd w:id="1363"/>
      <w:bookmarkEnd w:id="1364"/>
      <w:bookmarkEnd w:id="1365"/>
    </w:p>
    <w:p>
      <w:pPr>
        <w:pStyle w:val="Footnoteheading"/>
      </w:pPr>
      <w:r>
        <w:tab/>
        <w:t xml:space="preserve">[Heading inserted: Gazette 22 Feb 2008 p. 643.] </w:t>
      </w:r>
    </w:p>
    <w:p>
      <w:pPr>
        <w:pStyle w:val="Heading5"/>
        <w:rPr>
          <w:snapToGrid w:val="0"/>
        </w:rPr>
      </w:pPr>
      <w:bookmarkStart w:id="1366" w:name="_Toc129078416"/>
      <w:r>
        <w:rPr>
          <w:rStyle w:val="CharSectno"/>
        </w:rPr>
        <w:t>1</w:t>
      </w:r>
      <w:r>
        <w:rPr>
          <w:snapToGrid w:val="0"/>
        </w:rPr>
        <w:t>.</w:t>
      </w:r>
      <w:r>
        <w:rPr>
          <w:snapToGrid w:val="0"/>
        </w:rPr>
        <w:tab/>
        <w:t>Terms used</w:t>
      </w:r>
      <w:bookmarkEnd w:id="1366"/>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Gazette 26 Jan 1993 p. 828.] </w:t>
      </w:r>
    </w:p>
    <w:p>
      <w:pPr>
        <w:pStyle w:val="Heading5"/>
        <w:rPr>
          <w:snapToGrid w:val="0"/>
        </w:rPr>
      </w:pPr>
      <w:bookmarkStart w:id="1367" w:name="_Toc129078417"/>
      <w:r>
        <w:rPr>
          <w:rStyle w:val="CharSectno"/>
        </w:rPr>
        <w:t>2</w:t>
      </w:r>
      <w:r>
        <w:rPr>
          <w:snapToGrid w:val="0"/>
        </w:rPr>
        <w:t>.</w:t>
      </w:r>
      <w:r>
        <w:rPr>
          <w:snapToGrid w:val="0"/>
        </w:rPr>
        <w:tab/>
        <w:t>Applications for leave to have access (Act s. 14)</w:t>
      </w:r>
      <w:bookmarkEnd w:id="1367"/>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Ednotesubsection"/>
      </w:pPr>
      <w:r>
        <w:tab/>
        <w:t>[(3)</w:t>
      </w:r>
      <w:r>
        <w:tab/>
        <w:t>deleted]</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lastRenderedPageBreak/>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Gazette 26 Jan 1993 p. 829; amended: Gazette 28 Jun 2011 p. 2552; 27 Feb 2018 p. 621.] </w:t>
      </w:r>
    </w:p>
    <w:p>
      <w:pPr>
        <w:pStyle w:val="Heading5"/>
        <w:rPr>
          <w:snapToGrid w:val="0"/>
        </w:rPr>
      </w:pPr>
      <w:bookmarkStart w:id="1368" w:name="_Toc129078418"/>
      <w:r>
        <w:rPr>
          <w:rStyle w:val="CharSectno"/>
        </w:rPr>
        <w:t>3</w:t>
      </w:r>
      <w:r>
        <w:rPr>
          <w:snapToGrid w:val="0"/>
        </w:rPr>
        <w:t>.</w:t>
      </w:r>
      <w:r>
        <w:rPr>
          <w:snapToGrid w:val="0"/>
        </w:rPr>
        <w:tab/>
        <w:t>Order granting leave, form of</w:t>
      </w:r>
      <w:bookmarkEnd w:id="1368"/>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Gazette 26 Jan 1993 p. 829.] </w:t>
      </w:r>
    </w:p>
    <w:p>
      <w:pPr>
        <w:pStyle w:val="Ednotepart"/>
      </w:pPr>
      <w:r>
        <w:t>[Order 81 deleted: Gazette 29 Apr 2005 p. 1801.]</w:t>
      </w:r>
    </w:p>
    <w:p>
      <w:pPr>
        <w:pStyle w:val="Ednotepart"/>
      </w:pPr>
      <w:r>
        <w:t>[Order 81A deleted: Gazette 21 Feb 2007 p. 584.]</w:t>
      </w:r>
    </w:p>
    <w:p>
      <w:pPr>
        <w:pStyle w:val="Heading2"/>
      </w:pPr>
      <w:bookmarkStart w:id="1369" w:name="_Toc129074347"/>
      <w:bookmarkStart w:id="1370" w:name="_Toc129075630"/>
      <w:bookmarkStart w:id="1371" w:name="_Toc129078419"/>
      <w:r>
        <w:rPr>
          <w:rStyle w:val="CharPartNo"/>
        </w:rPr>
        <w:lastRenderedPageBreak/>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369"/>
      <w:bookmarkEnd w:id="1370"/>
      <w:bookmarkEnd w:id="1371"/>
    </w:p>
    <w:p>
      <w:pPr>
        <w:pStyle w:val="Footnoteheading"/>
      </w:pPr>
      <w:r>
        <w:tab/>
        <w:t xml:space="preserve">[Heading inserted: Gazette 22 Feb 2008 p. 644.] </w:t>
      </w:r>
    </w:p>
    <w:p>
      <w:pPr>
        <w:pStyle w:val="Heading5"/>
        <w:spacing w:before="260"/>
        <w:rPr>
          <w:snapToGrid w:val="0"/>
        </w:rPr>
      </w:pPr>
      <w:bookmarkStart w:id="1372" w:name="_Toc129078420"/>
      <w:r>
        <w:rPr>
          <w:rStyle w:val="CharSectno"/>
        </w:rPr>
        <w:t>1</w:t>
      </w:r>
      <w:r>
        <w:rPr>
          <w:snapToGrid w:val="0"/>
        </w:rPr>
        <w:t>.</w:t>
      </w:r>
      <w:r>
        <w:rPr>
          <w:snapToGrid w:val="0"/>
        </w:rPr>
        <w:tab/>
        <w:t>Terms used; how applications to be made</w:t>
      </w:r>
      <w:bookmarkEnd w:id="1372"/>
    </w:p>
    <w:p>
      <w:pPr>
        <w:pStyle w:val="Subsection"/>
        <w:spacing w:before="200"/>
        <w:rPr>
          <w:snapToGrid w:val="0"/>
        </w:rPr>
      </w:pPr>
      <w:r>
        <w:rPr>
          <w:snapToGrid w:val="0"/>
        </w:rPr>
        <w:tab/>
        <w:t>(1)</w:t>
      </w:r>
      <w:r>
        <w:rPr>
          <w:snapToGrid w:val="0"/>
        </w:rPr>
        <w:tab/>
        <w:t>In this Order — </w:t>
      </w:r>
    </w:p>
    <w:p>
      <w:pPr>
        <w:pStyle w:val="Defstart"/>
      </w:pPr>
      <w:r>
        <w:tab/>
      </w:r>
      <w:r>
        <w:rPr>
          <w:rStyle w:val="CharDefText"/>
        </w:rPr>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Gazette 1 Mar 1994 p. 788.] </w:t>
      </w:r>
    </w:p>
    <w:p>
      <w:pPr>
        <w:pStyle w:val="Heading5"/>
        <w:spacing w:before="260"/>
        <w:rPr>
          <w:snapToGrid w:val="0"/>
        </w:rPr>
      </w:pPr>
      <w:bookmarkStart w:id="1373" w:name="_Toc129078421"/>
      <w:r>
        <w:rPr>
          <w:rStyle w:val="CharSectno"/>
        </w:rPr>
        <w:t>2</w:t>
      </w:r>
      <w:r>
        <w:rPr>
          <w:snapToGrid w:val="0"/>
        </w:rPr>
        <w:t>.</w:t>
      </w:r>
      <w:r>
        <w:rPr>
          <w:snapToGrid w:val="0"/>
        </w:rPr>
        <w:tab/>
        <w:t>Enforcing judgments under Act s. 105, procedure for</w:t>
      </w:r>
      <w:bookmarkEnd w:id="1373"/>
      <w:r>
        <w:rPr>
          <w:snapToGrid w:val="0"/>
        </w:rPr>
        <w:t xml:space="preserve"> </w:t>
      </w:r>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Gazette 1 Mar 1994 p. 788.] </w:t>
      </w:r>
    </w:p>
    <w:p>
      <w:pPr>
        <w:pStyle w:val="Heading5"/>
        <w:rPr>
          <w:snapToGrid w:val="0"/>
        </w:rPr>
      </w:pPr>
      <w:bookmarkStart w:id="1374" w:name="_Toc129078422"/>
      <w:r>
        <w:rPr>
          <w:rStyle w:val="CharSectno"/>
        </w:rPr>
        <w:lastRenderedPageBreak/>
        <w:t>3</w:t>
      </w:r>
      <w:r>
        <w:rPr>
          <w:snapToGrid w:val="0"/>
        </w:rPr>
        <w:t>.</w:t>
      </w:r>
      <w:r>
        <w:rPr>
          <w:snapToGrid w:val="0"/>
        </w:rPr>
        <w:tab/>
        <w:t>Claiming interest under Act s. 108, procedure for</w:t>
      </w:r>
      <w:bookmarkEnd w:id="1374"/>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Gazette 1 Mar 1994 p. 789.] </w:t>
      </w:r>
    </w:p>
    <w:p>
      <w:pPr>
        <w:pStyle w:val="Heading5"/>
      </w:pPr>
      <w:bookmarkStart w:id="1375" w:name="_Toc129078423"/>
      <w:r>
        <w:rPr>
          <w:rStyle w:val="CharSectno"/>
        </w:rPr>
        <w:t>4</w:t>
      </w:r>
      <w:r>
        <w:t>.</w:t>
      </w:r>
      <w:r>
        <w:tab/>
        <w:t>Appeals under Act</w:t>
      </w:r>
      <w:bookmarkEnd w:id="1375"/>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Gazette 21 Feb 2007 p. 585.]</w:t>
      </w:r>
    </w:p>
    <w:p>
      <w:pPr>
        <w:pStyle w:val="Heading2"/>
      </w:pPr>
      <w:bookmarkStart w:id="1376" w:name="_Toc129074352"/>
      <w:bookmarkStart w:id="1377" w:name="_Toc129075635"/>
      <w:bookmarkStart w:id="1378" w:name="_Toc129078424"/>
      <w:r>
        <w:rPr>
          <w:rStyle w:val="CharPartNo"/>
        </w:rPr>
        <w:lastRenderedPageBreak/>
        <w:t>Order 81C</w:t>
      </w:r>
      <w:r>
        <w:rPr>
          <w:b w:val="0"/>
        </w:rPr>
        <w:t> </w:t>
      </w:r>
      <w:r>
        <w:t>—</w:t>
      </w:r>
      <w:r>
        <w:rPr>
          <w:b w:val="0"/>
        </w:rPr>
        <w:t> </w:t>
      </w:r>
      <w:r>
        <w:rPr>
          <w:rStyle w:val="CharPartText"/>
        </w:rPr>
        <w:t>Road traffic legislation</w:t>
      </w:r>
      <w:r>
        <w:rPr>
          <w:rStyle w:val="CharPartText"/>
          <w:i/>
        </w:rPr>
        <w:t xml:space="preserve"> </w:t>
      </w:r>
      <w:r>
        <w:rPr>
          <w:rStyle w:val="CharPartText"/>
        </w:rPr>
        <w:t>rules</w:t>
      </w:r>
      <w:bookmarkEnd w:id="1376"/>
      <w:bookmarkEnd w:id="1377"/>
      <w:bookmarkEnd w:id="1378"/>
    </w:p>
    <w:p>
      <w:pPr>
        <w:pStyle w:val="Footnoteheading"/>
      </w:pPr>
      <w:r>
        <w:tab/>
        <w:t>[Heading inserted: Gazette 21 Feb 2007 p. 585; amended: Gazette 19 Dec 2014 p. 4845.]</w:t>
      </w:r>
    </w:p>
    <w:p>
      <w:pPr>
        <w:pStyle w:val="Heading5"/>
      </w:pPr>
      <w:bookmarkStart w:id="1379" w:name="_Toc129078425"/>
      <w:r>
        <w:rPr>
          <w:rStyle w:val="CharSectno"/>
        </w:rPr>
        <w:t>1</w:t>
      </w:r>
      <w:r>
        <w:t>.</w:t>
      </w:r>
      <w:r>
        <w:tab/>
        <w:t>Terms used</w:t>
      </w:r>
      <w:bookmarkEnd w:id="1379"/>
    </w:p>
    <w:p>
      <w:pPr>
        <w:pStyle w:val="Subsection"/>
      </w:pPr>
      <w:r>
        <w:tab/>
      </w:r>
      <w:r>
        <w:tab/>
        <w:t xml:space="preserve">In this Order —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Footnotesection"/>
      </w:pPr>
      <w:r>
        <w:tab/>
        <w:t>[Rule 1 inserted: Gazette 19 Dec 2014 p. 4846.]</w:t>
      </w:r>
    </w:p>
    <w:p>
      <w:pPr>
        <w:pStyle w:val="Heading5"/>
      </w:pPr>
      <w:bookmarkStart w:id="1380" w:name="_Toc129078426"/>
      <w:r>
        <w:rPr>
          <w:rStyle w:val="CharSectno"/>
        </w:rPr>
        <w:t>2</w:t>
      </w:r>
      <w:r>
        <w:t>.</w:t>
      </w:r>
      <w:r>
        <w:tab/>
        <w:t>Applications under RT (AD) Act s. 24, 27 or 35, how to be made</w:t>
      </w:r>
      <w:bookmarkEnd w:id="1380"/>
    </w:p>
    <w:p>
      <w:pPr>
        <w:pStyle w:val="Subsection"/>
      </w:pPr>
      <w:r>
        <w:tab/>
        <w:t>(1)</w:t>
      </w:r>
      <w:r>
        <w:tab/>
        <w:t>An application under the RT (AD) Act section 27 must be made by filing a Form No. 101 and any affidavit that the applicant proposes to tender at the hearing of the application.</w:t>
      </w:r>
    </w:p>
    <w:p>
      <w:pPr>
        <w:pStyle w:val="Subsection"/>
      </w:pPr>
      <w:r>
        <w:tab/>
        <w:t>(2)</w:t>
      </w:r>
      <w:r>
        <w:tab/>
        <w:t>An application under the RT (AD) Act section 35(1) must be made by filing a Form No. 102 and any affidavit that the applicant proposes to tender at the hearing of the application.</w:t>
      </w:r>
    </w:p>
    <w:p>
      <w:pPr>
        <w:pStyle w:val="Subsection"/>
      </w:pPr>
      <w:r>
        <w:tab/>
        <w:t>(3)</w:t>
      </w:r>
      <w:r>
        <w:tab/>
        <w:t xml:space="preserve">An application under the RT (AD) Act section 35(2)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 (AD) Act section 24(1) must be made by filing a Form No. 104 and any affidavit that the applicant proposes to tender at the hearing of the application.</w:t>
      </w:r>
    </w:p>
    <w:p>
      <w:pPr>
        <w:pStyle w:val="Subsection"/>
        <w:keepNext/>
      </w:pPr>
      <w:r>
        <w:lastRenderedPageBreak/>
        <w:tab/>
        <w:t>(5)</w:t>
      </w:r>
      <w:r>
        <w:tab/>
        <w:t>When a form and any affidavit is filed under this rule, 3 copies must also be filed.</w:t>
      </w:r>
    </w:p>
    <w:p>
      <w:pPr>
        <w:pStyle w:val="Footnotesection"/>
      </w:pPr>
      <w:r>
        <w:tab/>
        <w:t>[Rule 2 inserted: Gazette 21 Feb 2007 p. 585</w:t>
      </w:r>
      <w:r>
        <w:noBreakHyphen/>
        <w:t>6; amended: Gazette 19 Dec 2014 p. 4846.]</w:t>
      </w:r>
    </w:p>
    <w:p>
      <w:pPr>
        <w:pStyle w:val="Heading5"/>
      </w:pPr>
      <w:bookmarkStart w:id="1381" w:name="_Toc129078427"/>
      <w:r>
        <w:rPr>
          <w:rStyle w:val="CharSectno"/>
        </w:rPr>
        <w:t>3</w:t>
      </w:r>
      <w:r>
        <w:t>.</w:t>
      </w:r>
      <w:r>
        <w:tab/>
        <w:t>Registrar’s functions when application is made</w:t>
      </w:r>
      <w:bookmarkEnd w:id="1381"/>
    </w:p>
    <w:p>
      <w:pPr>
        <w:pStyle w:val="Subsection"/>
      </w:pPr>
      <w:r>
        <w:tab/>
        <w:t>(1)</w:t>
      </w:r>
      <w:r>
        <w:tab/>
        <w:t>A registrar may reject an application made under rule 2 if the registrar has reason to believe that the application cannot be made to or heard by the Court under the RT (AD) Act section 29 or 35(3).</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r>
        <w:tab/>
        <w:t>[Rule 3 inserted: Gazette 21 Feb 2007 p. 586; amended: Gazette 19 Dec 2014 p. 4846.]</w:t>
      </w:r>
    </w:p>
    <w:p>
      <w:pPr>
        <w:pStyle w:val="Heading5"/>
      </w:pPr>
      <w:bookmarkStart w:id="1382" w:name="_Toc129078428"/>
      <w:r>
        <w:rPr>
          <w:rStyle w:val="CharSectno"/>
        </w:rPr>
        <w:t>4</w:t>
      </w:r>
      <w:r>
        <w:t>.</w:t>
      </w:r>
      <w:r>
        <w:tab/>
        <w:t>Applicant to serve application etc.</w:t>
      </w:r>
      <w:bookmarkEnd w:id="1382"/>
    </w:p>
    <w:p>
      <w:pPr>
        <w:pStyle w:val="Subsection"/>
      </w:pPr>
      <w:r>
        <w:tab/>
        <w:t>(1)</w:t>
      </w:r>
      <w:r>
        <w:tab/>
        <w:t>On receiving the copies of a Form No. 101, 102 or 104 and any accompanying affidavit from a registrar, the applicant must serve one copy of the form and any accompanying affidavit on the CEO.</w:t>
      </w:r>
    </w:p>
    <w:p>
      <w:pPr>
        <w:pStyle w:val="Subsection"/>
      </w:pPr>
      <w:r>
        <w:lastRenderedPageBreak/>
        <w:tab/>
        <w:t>(2)</w:t>
      </w:r>
      <w:r>
        <w:tab/>
        <w:t>On receiving the copies of a Form No. 103 and any accompanying affidavit from a registrar, the CEO must serve one copy on the holder of the extraordinary licence to which the application relates.</w:t>
      </w:r>
    </w:p>
    <w:p>
      <w:pPr>
        <w:pStyle w:val="Footnotesection"/>
      </w:pPr>
      <w:r>
        <w:tab/>
        <w:t>[Rule 4 inserted: Gazette 28 Jul 2010 p. 3484-5; amended: Gazette 19 Dec 2014 p. 4846</w:t>
      </w:r>
      <w:r>
        <w:noBreakHyphen/>
        <w:t>7.]</w:t>
      </w:r>
    </w:p>
    <w:p>
      <w:pPr>
        <w:pStyle w:val="Heading5"/>
      </w:pPr>
      <w:bookmarkStart w:id="1383" w:name="_Toc129078429"/>
      <w:r>
        <w:rPr>
          <w:rStyle w:val="CharSectno"/>
        </w:rPr>
        <w:t>5</w:t>
      </w:r>
      <w:r>
        <w:t>.</w:t>
      </w:r>
      <w:r>
        <w:tab/>
        <w:t>Hearing of application, appearance at</w:t>
      </w:r>
      <w:bookmarkEnd w:id="1383"/>
    </w:p>
    <w:p>
      <w:pPr>
        <w:pStyle w:val="Subsection"/>
      </w:pPr>
      <w:r>
        <w:tab/>
        <w:t>(1)</w:t>
      </w:r>
      <w:r>
        <w:tab/>
        <w:t>The CEO is entitled to be heard on an application made under the RT (AD) Act section 24(1), 27 or 35(1).</w:t>
      </w:r>
    </w:p>
    <w:p>
      <w:pPr>
        <w:pStyle w:val="Subsection"/>
      </w:pPr>
      <w:r>
        <w:tab/>
        <w:t>(2)</w:t>
      </w:r>
      <w:r>
        <w:tab/>
        <w:t>If the Court is satisfied that the CEO has been served with an application made under the RT (AD) Act section 24(1), 27 or 35(1), the Court may deal with it in the absence of the CEO.</w:t>
      </w:r>
    </w:p>
    <w:p>
      <w:pPr>
        <w:pStyle w:val="Ednotesubsection"/>
      </w:pPr>
      <w:r>
        <w:tab/>
        <w:t>[(3), (4)</w:t>
      </w:r>
      <w:r>
        <w:tab/>
        <w:t>deleted]</w:t>
      </w:r>
    </w:p>
    <w:p>
      <w:pPr>
        <w:pStyle w:val="Subsection"/>
      </w:pPr>
      <w:r>
        <w:tab/>
        <w:t>(5)</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 inserted: Gazette 21 Feb 2007 p. 587; amended: Gazette 28 Jul 2010 p. 3485; 19 Dec 2014 p. 4847; 4 Sep 2015 p. 3698.]</w:t>
      </w:r>
    </w:p>
    <w:p>
      <w:pPr>
        <w:pStyle w:val="Heading5"/>
      </w:pPr>
      <w:bookmarkStart w:id="1384" w:name="_Toc129078430"/>
      <w:r>
        <w:rPr>
          <w:rStyle w:val="CharSectno"/>
        </w:rPr>
        <w:t>6</w:t>
      </w:r>
      <w:r>
        <w:t>.</w:t>
      </w:r>
      <w:r>
        <w:tab/>
        <w:t>Hearing of application, procedure on</w:t>
      </w:r>
      <w:bookmarkEnd w:id="1384"/>
    </w:p>
    <w:p>
      <w:pPr>
        <w:pStyle w:val="Subsection"/>
      </w:pPr>
      <w:r>
        <w:tab/>
        <w:t>(1)</w:t>
      </w:r>
      <w:r>
        <w:tab/>
        <w:t>At the hearing of an application made under the RT (AD) Act section 27 or 35(1) or (2)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 (AD) Act section 24(1), 27 or 35(1) or (2), affidavit evidence may be adduced by a party if the maker of the affidavit is present.</w:t>
      </w:r>
    </w:p>
    <w:p>
      <w:pPr>
        <w:pStyle w:val="Footnotesection"/>
      </w:pPr>
      <w:r>
        <w:tab/>
        <w:t>[Rule 6 inserted: Gazette 21 Feb 2007 p. 587; amended: Gazette 19 Dec 2014 p. 4847.]</w:t>
      </w:r>
    </w:p>
    <w:p>
      <w:pPr>
        <w:pStyle w:val="Heading5"/>
      </w:pPr>
      <w:bookmarkStart w:id="1385" w:name="_Toc129078431"/>
      <w:r>
        <w:rPr>
          <w:rStyle w:val="CharSectno"/>
        </w:rPr>
        <w:lastRenderedPageBreak/>
        <w:t>7</w:t>
      </w:r>
      <w:r>
        <w:t>.</w:t>
      </w:r>
      <w:r>
        <w:tab/>
        <w:t>CEO to be notified of decision</w:t>
      </w:r>
      <w:bookmarkEnd w:id="1385"/>
    </w:p>
    <w:p>
      <w:pPr>
        <w:pStyle w:val="Subsection"/>
      </w:pPr>
      <w:r>
        <w:tab/>
      </w:r>
      <w:r>
        <w:tab/>
        <w:t>As soon as practicable after the Court decides an application made under the RT (AD) Act section 24(1), 27 or 35(1) or (2), a registrar must give the CEO notice of the decision including the details of any order made.</w:t>
      </w:r>
    </w:p>
    <w:p>
      <w:pPr>
        <w:pStyle w:val="Footnotesection"/>
      </w:pPr>
      <w:r>
        <w:tab/>
        <w:t>[Rule 7 inserted: Gazette 21 Feb 2007 p. 587; amended: Gazette 19 Dec 2014 p. 4848.]</w:t>
      </w:r>
    </w:p>
    <w:p>
      <w:pPr>
        <w:pStyle w:val="Ednotepart"/>
      </w:pPr>
      <w:r>
        <w:t>[Order 81D deleted: Gazette 20 Dec 2016 p. 5842.]</w:t>
      </w:r>
    </w:p>
    <w:p>
      <w:pPr>
        <w:pStyle w:val="Heading2"/>
        <w:rPr>
          <w:b w:val="0"/>
        </w:rPr>
      </w:pPr>
      <w:bookmarkStart w:id="1386" w:name="_Toc129074360"/>
      <w:bookmarkStart w:id="1387" w:name="_Toc129075643"/>
      <w:bookmarkStart w:id="1388" w:name="_Toc129078432"/>
      <w:r>
        <w:rPr>
          <w:rStyle w:val="CharPartNo"/>
        </w:rPr>
        <w:lastRenderedPageBreak/>
        <w:t>Order 81E</w:t>
      </w:r>
      <w:r>
        <w:rPr>
          <w:rStyle w:val="CharDivNo"/>
        </w:rPr>
        <w:t> </w:t>
      </w:r>
      <w:r>
        <w:t>—</w:t>
      </w:r>
      <w:r>
        <w:rPr>
          <w:rStyle w:val="CharDivText"/>
        </w:rPr>
        <w:t> </w:t>
      </w:r>
      <w:r>
        <w:rPr>
          <w:rStyle w:val="CharPartText"/>
        </w:rPr>
        <w:t>Cross</w:t>
      </w:r>
      <w:r>
        <w:rPr>
          <w:rStyle w:val="CharPartText"/>
        </w:rPr>
        <w:noBreakHyphen/>
        <w:t>vesting</w:t>
      </w:r>
      <w:bookmarkEnd w:id="1386"/>
      <w:bookmarkEnd w:id="1387"/>
      <w:bookmarkEnd w:id="1388"/>
    </w:p>
    <w:p>
      <w:pPr>
        <w:pStyle w:val="Footnoteheading"/>
        <w:ind w:left="890"/>
        <w:rPr>
          <w:snapToGrid w:val="0"/>
        </w:rPr>
      </w:pPr>
      <w:r>
        <w:rPr>
          <w:snapToGrid w:val="0"/>
        </w:rPr>
        <w:tab/>
        <w:t>[Heading inserted: Gazette 1 Jul 1988 p. 2140.]</w:t>
      </w:r>
    </w:p>
    <w:p>
      <w:pPr>
        <w:pStyle w:val="Heading5"/>
        <w:rPr>
          <w:snapToGrid w:val="0"/>
        </w:rPr>
      </w:pPr>
      <w:bookmarkStart w:id="1389" w:name="_Toc129078433"/>
      <w:r>
        <w:rPr>
          <w:rStyle w:val="CharSectno"/>
        </w:rPr>
        <w:t>1</w:t>
      </w:r>
      <w:r>
        <w:rPr>
          <w:snapToGrid w:val="0"/>
        </w:rPr>
        <w:t>.</w:t>
      </w:r>
      <w:r>
        <w:rPr>
          <w:snapToGrid w:val="0"/>
        </w:rPr>
        <w:tab/>
        <w:t>Terms used</w:t>
      </w:r>
      <w:bookmarkEnd w:id="1389"/>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Western Australia;</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Gazette 1 Jul 1988 p. 2140.] </w:t>
      </w:r>
    </w:p>
    <w:p>
      <w:pPr>
        <w:pStyle w:val="Heading5"/>
        <w:rPr>
          <w:snapToGrid w:val="0"/>
        </w:rPr>
      </w:pPr>
      <w:bookmarkStart w:id="1390" w:name="_Toc129078434"/>
      <w:r>
        <w:rPr>
          <w:rStyle w:val="CharSectno"/>
        </w:rPr>
        <w:t>2</w:t>
      </w:r>
      <w:r>
        <w:rPr>
          <w:snapToGrid w:val="0"/>
        </w:rPr>
        <w:t>.</w:t>
      </w:r>
      <w:r>
        <w:rPr>
          <w:snapToGrid w:val="0"/>
        </w:rPr>
        <w:tab/>
        <w:t>Application of this Order</w:t>
      </w:r>
      <w:bookmarkEnd w:id="1390"/>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Gazette 1 Jul 1988 p. 2140.] </w:t>
      </w:r>
    </w:p>
    <w:p>
      <w:pPr>
        <w:pStyle w:val="Heading5"/>
        <w:rPr>
          <w:snapToGrid w:val="0"/>
        </w:rPr>
      </w:pPr>
      <w:bookmarkStart w:id="1391" w:name="_Toc129078435"/>
      <w:r>
        <w:rPr>
          <w:rStyle w:val="CharSectno"/>
        </w:rPr>
        <w:t>3</w:t>
      </w:r>
      <w:r>
        <w:rPr>
          <w:snapToGrid w:val="0"/>
        </w:rPr>
        <w:t>.</w:t>
      </w:r>
      <w:r>
        <w:rPr>
          <w:snapToGrid w:val="0"/>
        </w:rPr>
        <w:tab/>
        <w:t>Commencing proceedings that rely on cross-vesting laws</w:t>
      </w:r>
      <w:bookmarkEnd w:id="1391"/>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 xml:space="preserve">vesting laws shall indorse the process by which those laws are invoked with a statement </w:t>
      </w:r>
      <w:r>
        <w:rPr>
          <w:snapToGrid w:val="0"/>
        </w:rPr>
        <w:lastRenderedPageBreak/>
        <w:t>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Gazette 1 Jul 1988 p. 2141; amended: Gazette 28 Jun 2011 p. 2552.] </w:t>
      </w:r>
    </w:p>
    <w:p>
      <w:pPr>
        <w:pStyle w:val="Heading5"/>
        <w:rPr>
          <w:snapToGrid w:val="0"/>
        </w:rPr>
      </w:pPr>
      <w:bookmarkStart w:id="1392" w:name="_Toc129078436"/>
      <w:r>
        <w:rPr>
          <w:rStyle w:val="CharSectno"/>
        </w:rPr>
        <w:t>4</w:t>
      </w:r>
      <w:r>
        <w:rPr>
          <w:snapToGrid w:val="0"/>
        </w:rPr>
        <w:t>.</w:t>
      </w:r>
      <w:r>
        <w:rPr>
          <w:snapToGrid w:val="0"/>
        </w:rPr>
        <w:tab/>
        <w:t>Special federal matters</w:t>
      </w:r>
      <w:bookmarkEnd w:id="1392"/>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Gazette 1 Jul 1988 p. 2141.] </w:t>
      </w:r>
    </w:p>
    <w:p>
      <w:pPr>
        <w:pStyle w:val="Ednotesection"/>
      </w:pPr>
      <w:r>
        <w:t>[</w:t>
      </w:r>
      <w:r>
        <w:rPr>
          <w:b/>
        </w:rPr>
        <w:t>5.</w:t>
      </w:r>
      <w:r>
        <w:rPr>
          <w:b/>
        </w:rPr>
        <w:tab/>
      </w:r>
      <w:r>
        <w:t xml:space="preserve">Deleted: Gazette 26 Aug 1994 p. 4413.] </w:t>
      </w:r>
    </w:p>
    <w:p>
      <w:pPr>
        <w:pStyle w:val="Heading5"/>
        <w:rPr>
          <w:snapToGrid w:val="0"/>
        </w:rPr>
      </w:pPr>
      <w:bookmarkStart w:id="1393" w:name="_Toc129078437"/>
      <w:r>
        <w:rPr>
          <w:rStyle w:val="CharSectno"/>
        </w:rPr>
        <w:t>6</w:t>
      </w:r>
      <w:r>
        <w:rPr>
          <w:snapToGrid w:val="0"/>
        </w:rPr>
        <w:t>.</w:t>
      </w:r>
      <w:r>
        <w:rPr>
          <w:snapToGrid w:val="0"/>
        </w:rPr>
        <w:tab/>
        <w:t>Directions for conduct of proceedings</w:t>
      </w:r>
      <w:bookmarkEnd w:id="1393"/>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lastRenderedPageBreak/>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Gazette 1 Jul 1988 p. 2141.] </w:t>
      </w:r>
    </w:p>
    <w:p>
      <w:pPr>
        <w:pStyle w:val="Heading5"/>
        <w:rPr>
          <w:snapToGrid w:val="0"/>
        </w:rPr>
      </w:pPr>
      <w:bookmarkStart w:id="1394" w:name="_Toc129078438"/>
      <w:r>
        <w:rPr>
          <w:rStyle w:val="CharSectno"/>
        </w:rPr>
        <w:t>7</w:t>
      </w:r>
      <w:r>
        <w:rPr>
          <w:snapToGrid w:val="0"/>
        </w:rPr>
        <w:t>.</w:t>
      </w:r>
      <w:r>
        <w:rPr>
          <w:snapToGrid w:val="0"/>
        </w:rPr>
        <w:tab/>
        <w:t>Transfer of proceedings</w:t>
      </w:r>
      <w:bookmarkEnd w:id="1394"/>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Gazette 1 Jul 1988 p. 2141.] </w:t>
      </w:r>
    </w:p>
    <w:p>
      <w:pPr>
        <w:pStyle w:val="Heading5"/>
        <w:rPr>
          <w:snapToGrid w:val="0"/>
        </w:rPr>
      </w:pPr>
      <w:bookmarkStart w:id="1395" w:name="_Toc129078439"/>
      <w:r>
        <w:rPr>
          <w:rStyle w:val="CharSectno"/>
        </w:rPr>
        <w:t>8</w:t>
      </w:r>
      <w:r>
        <w:rPr>
          <w:snapToGrid w:val="0"/>
        </w:rPr>
        <w:t>.</w:t>
      </w:r>
      <w:r>
        <w:rPr>
          <w:snapToGrid w:val="0"/>
        </w:rPr>
        <w:tab/>
        <w:t>Applications to be dealt with by judge</w:t>
      </w:r>
      <w:bookmarkEnd w:id="1395"/>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Gazette 1 Jul 1988 p. 2142.] </w:t>
      </w:r>
    </w:p>
    <w:p>
      <w:pPr>
        <w:pStyle w:val="Heading5"/>
        <w:rPr>
          <w:snapToGrid w:val="0"/>
        </w:rPr>
      </w:pPr>
      <w:bookmarkStart w:id="1396" w:name="_Toc129078440"/>
      <w:r>
        <w:rPr>
          <w:rStyle w:val="CharSectno"/>
        </w:rPr>
        <w:lastRenderedPageBreak/>
        <w:t>9</w:t>
      </w:r>
      <w:r>
        <w:rPr>
          <w:snapToGrid w:val="0"/>
        </w:rPr>
        <w:t>.</w:t>
      </w:r>
      <w:r>
        <w:rPr>
          <w:snapToGrid w:val="0"/>
        </w:rPr>
        <w:tab/>
        <w:t>Transfer on Attorney General’s application (Act s. 5 or 6)</w:t>
      </w:r>
      <w:bookmarkEnd w:id="1396"/>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Gazette 1 Jul 1988 p. 2142.] </w:t>
      </w:r>
    </w:p>
    <w:p>
      <w:pPr>
        <w:pStyle w:val="Heading5"/>
        <w:rPr>
          <w:snapToGrid w:val="0"/>
        </w:rPr>
      </w:pPr>
      <w:bookmarkStart w:id="1397" w:name="_Toc129078441"/>
      <w:r>
        <w:rPr>
          <w:rStyle w:val="CharSectno"/>
        </w:rPr>
        <w:t>10</w:t>
      </w:r>
      <w:r>
        <w:rPr>
          <w:snapToGrid w:val="0"/>
        </w:rPr>
        <w:t>.</w:t>
      </w:r>
      <w:r>
        <w:rPr>
          <w:snapToGrid w:val="0"/>
        </w:rPr>
        <w:tab/>
        <w:t>Transfer under Act s. 8, Court’s powers on</w:t>
      </w:r>
      <w:bookmarkEnd w:id="1397"/>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Gazette 1 Jul 1988 p. 2142; amended: Gazette 28 Jun 2011 p. 2552.] </w:t>
      </w:r>
    </w:p>
    <w:p>
      <w:pPr>
        <w:pStyle w:val="Heading5"/>
        <w:rPr>
          <w:snapToGrid w:val="0"/>
        </w:rPr>
      </w:pPr>
      <w:bookmarkStart w:id="1398" w:name="_Toc129078442"/>
      <w:r>
        <w:rPr>
          <w:rStyle w:val="CharSectno"/>
        </w:rPr>
        <w:t>11</w:t>
      </w:r>
      <w:r>
        <w:rPr>
          <w:snapToGrid w:val="0"/>
        </w:rPr>
        <w:t>.</w:t>
      </w:r>
      <w:r>
        <w:rPr>
          <w:snapToGrid w:val="0"/>
        </w:rPr>
        <w:tab/>
        <w:t>Procedure if laws etc. of other place to apply under Act s. 11(1)</w:t>
      </w:r>
      <w:bookmarkEnd w:id="1398"/>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lastRenderedPageBreak/>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Gazette 1 Jul 1988 p. 2142; amended: Gazette 28 Jun 2011 p. 2555.] </w:t>
      </w:r>
    </w:p>
    <w:p>
      <w:pPr>
        <w:pStyle w:val="Heading2"/>
      </w:pPr>
      <w:bookmarkStart w:id="1399" w:name="_Toc129074371"/>
      <w:bookmarkStart w:id="1400" w:name="_Toc129075654"/>
      <w:bookmarkStart w:id="1401" w:name="_Toc129078443"/>
      <w:r>
        <w:rPr>
          <w:rStyle w:val="CharPartNo"/>
        </w:rPr>
        <w:lastRenderedPageBreak/>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399"/>
      <w:bookmarkEnd w:id="1400"/>
      <w:bookmarkEnd w:id="1401"/>
    </w:p>
    <w:p>
      <w:pPr>
        <w:pStyle w:val="Footnoteheading"/>
      </w:pPr>
      <w:r>
        <w:tab/>
        <w:t>[Heading inserted: Gazette 21 Feb 2007 p. 592.]</w:t>
      </w:r>
    </w:p>
    <w:p>
      <w:pPr>
        <w:pStyle w:val="Heading5"/>
      </w:pPr>
      <w:bookmarkStart w:id="1402" w:name="_Toc129078444"/>
      <w:r>
        <w:rPr>
          <w:rStyle w:val="CharSectno"/>
        </w:rPr>
        <w:t>1</w:t>
      </w:r>
      <w:r>
        <w:t>.</w:t>
      </w:r>
      <w:r>
        <w:tab/>
        <w:t>Terms used</w:t>
      </w:r>
      <w:bookmarkEnd w:id="1402"/>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Gazette 21 Feb 2007 p. 592.]</w:t>
      </w:r>
    </w:p>
    <w:p>
      <w:pPr>
        <w:pStyle w:val="Heading5"/>
      </w:pPr>
      <w:bookmarkStart w:id="1403" w:name="_Toc129078445"/>
      <w:r>
        <w:rPr>
          <w:rStyle w:val="CharSectno"/>
        </w:rPr>
        <w:t>2</w:t>
      </w:r>
      <w:r>
        <w:t>.</w:t>
      </w:r>
      <w:r>
        <w:tab/>
        <w:t>Applications under Act, how to be made</w:t>
      </w:r>
      <w:bookmarkEnd w:id="1403"/>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lastRenderedPageBreak/>
        <w:tab/>
        <w:t>(c)</w:t>
      </w:r>
      <w:r>
        <w:tab/>
        <w:t>must call the person making the application the ‘applicant’; and</w:t>
      </w:r>
    </w:p>
    <w:p>
      <w:pPr>
        <w:pStyle w:val="Indenta"/>
      </w:pPr>
      <w:r>
        <w:tab/>
        <w:t>(d)</w:t>
      </w:r>
      <w:r>
        <w:tab/>
        <w:t>must call the person against whom the proceedings are initiated the ‘respondent’.</w:t>
      </w:r>
    </w:p>
    <w:p>
      <w:pPr>
        <w:pStyle w:val="Ednotesubsection"/>
      </w:pPr>
      <w:r>
        <w:tab/>
        <w:t>[(3A)</w:t>
      </w:r>
      <w:r>
        <w:tab/>
        <w:t>deleted]</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 xml:space="preserve">Subrule (5) does not apply to an application for an order under the Act that is filed together with the written consent to the </w:t>
      </w:r>
      <w:r>
        <w:lastRenderedPageBreak/>
        <w:t>making of the order of every person whose consent the Court needs in order to make the order by consent.</w:t>
      </w:r>
    </w:p>
    <w:p>
      <w:pPr>
        <w:pStyle w:val="Subsection"/>
        <w:keepNext/>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r>
        <w:tab/>
        <w:t>[Rule 2 inserted: Gazette 21 Feb 2007 p. 592</w:t>
      </w:r>
      <w:r>
        <w:noBreakHyphen/>
        <w:t>3; amended: Gazette 27 Feb 2018 p. 621; SL 2022/53 r. 4.]</w:t>
      </w:r>
    </w:p>
    <w:p>
      <w:pPr>
        <w:pStyle w:val="Heading5"/>
        <w:spacing w:before="240"/>
      </w:pPr>
      <w:bookmarkStart w:id="1404" w:name="_Toc129078446"/>
      <w:r>
        <w:rPr>
          <w:rStyle w:val="CharSectno"/>
        </w:rPr>
        <w:t>3</w:t>
      </w:r>
      <w:r>
        <w:t>.</w:t>
      </w:r>
      <w:r>
        <w:tab/>
        <w:t>Service on DPP (Cwlth) in Perth</w:t>
      </w:r>
      <w:bookmarkEnd w:id="1404"/>
    </w:p>
    <w:p>
      <w:pPr>
        <w:pStyle w:val="Subsection"/>
        <w:spacing w:before="180"/>
      </w:pPr>
      <w:r>
        <w:tab/>
      </w:r>
      <w:r>
        <w:tab/>
        <w:t>Service of an application under the Act and any document required to accompany the application on the DPP is effected if the application and document are served on the DPP’s office in Perth.</w:t>
      </w:r>
    </w:p>
    <w:p>
      <w:pPr>
        <w:pStyle w:val="Footnotesection"/>
      </w:pPr>
      <w:r>
        <w:tab/>
        <w:t>[Rule 3 inserted: Gazette 21 Feb 2007 p. 593.]</w:t>
      </w:r>
    </w:p>
    <w:p>
      <w:pPr>
        <w:pStyle w:val="Heading5"/>
      </w:pPr>
      <w:bookmarkStart w:id="1405" w:name="_Toc129078447"/>
      <w:r>
        <w:rPr>
          <w:rStyle w:val="CharSectno"/>
        </w:rPr>
        <w:t>4</w:t>
      </w:r>
      <w:r>
        <w:t>.</w:t>
      </w:r>
      <w:r>
        <w:tab/>
        <w:t>DPP to file grounds for contesting application</w:t>
      </w:r>
      <w:bookmarkEnd w:id="1405"/>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r>
        <w:tab/>
        <w:t>[Rule 4 inserted: Gazette 21 Feb 2007 p. 594.]</w:t>
      </w:r>
    </w:p>
    <w:p>
      <w:pPr>
        <w:pStyle w:val="Heading5"/>
        <w:spacing w:before="240"/>
      </w:pPr>
      <w:bookmarkStart w:id="1406" w:name="_Toc129078448"/>
      <w:r>
        <w:rPr>
          <w:rStyle w:val="CharSectno"/>
        </w:rPr>
        <w:t>5</w:t>
      </w:r>
      <w:r>
        <w:t>.</w:t>
      </w:r>
      <w:r>
        <w:tab/>
        <w:t>Summons for directions</w:t>
      </w:r>
      <w:bookmarkEnd w:id="1406"/>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r>
        <w:tab/>
        <w:t>[Rule 5 inserted: Gazette 21 Feb 2007 p. 594.]</w:t>
      </w:r>
    </w:p>
    <w:p>
      <w:pPr>
        <w:pStyle w:val="Heading5"/>
        <w:spacing w:before="240"/>
      </w:pPr>
      <w:bookmarkStart w:id="1407" w:name="_Toc129078449"/>
      <w:r>
        <w:rPr>
          <w:rStyle w:val="CharSectno"/>
        </w:rPr>
        <w:lastRenderedPageBreak/>
        <w:t>6</w:t>
      </w:r>
      <w:r>
        <w:t>.</w:t>
      </w:r>
      <w:r>
        <w:tab/>
        <w:t>Court may give directions at any time</w:t>
      </w:r>
      <w:bookmarkEnd w:id="1407"/>
    </w:p>
    <w:p>
      <w:pPr>
        <w:pStyle w:val="Subsection"/>
        <w:keepNext/>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r>
        <w:tab/>
        <w:t>[Rule 6 inserted: Gazette 21 Feb 2007 p. 594.]</w:t>
      </w:r>
    </w:p>
    <w:p>
      <w:pPr>
        <w:pStyle w:val="Heading5"/>
        <w:spacing w:before="240"/>
      </w:pPr>
      <w:bookmarkStart w:id="1408" w:name="_Toc129078450"/>
      <w:r>
        <w:rPr>
          <w:rStyle w:val="CharSectno"/>
        </w:rPr>
        <w:t>7</w:t>
      </w:r>
      <w:r>
        <w:t>.</w:t>
      </w:r>
      <w:r>
        <w:tab/>
        <w:t>Representative respondent</w:t>
      </w:r>
      <w:bookmarkEnd w:id="1408"/>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pPr>
      <w:r>
        <w:rPr>
          <w:i w:val="0"/>
        </w:rPr>
        <w:tab/>
      </w:r>
      <w:r>
        <w:t>[Rule 7 inserted as rule 6: Gazette 21 Feb 2007 p. 594; renumbered as rule 7: Gazette 22 Feb 2008 p. 644.]</w:t>
      </w:r>
    </w:p>
    <w:p>
      <w:pPr>
        <w:pStyle w:val="Heading5"/>
      </w:pPr>
      <w:bookmarkStart w:id="1409" w:name="_Toc129078451"/>
      <w:r>
        <w:rPr>
          <w:rStyle w:val="CharSectno"/>
        </w:rPr>
        <w:lastRenderedPageBreak/>
        <w:t>8</w:t>
      </w:r>
      <w:r>
        <w:t>.</w:t>
      </w:r>
      <w:r>
        <w:tab/>
        <w:t>Evidence on applications</w:t>
      </w:r>
      <w:bookmarkEnd w:id="1409"/>
    </w:p>
    <w:p>
      <w:pPr>
        <w:pStyle w:val="Subsection"/>
        <w:keepNext/>
        <w:keepLines/>
      </w:pPr>
      <w:r>
        <w:tab/>
      </w:r>
      <w:r>
        <w:tab/>
        <w:t>Evidence in support of or opposing an application for an order under the Act is to be by affidavit unless the Court orders otherwise.</w:t>
      </w:r>
    </w:p>
    <w:p>
      <w:pPr>
        <w:pStyle w:val="Footnotesection"/>
      </w:pPr>
      <w:r>
        <w:rPr>
          <w:rStyle w:val="Emphasis"/>
        </w:rPr>
        <w:tab/>
      </w:r>
      <w:r>
        <w:t>[Rule 8 inserted as rule 7: Gazette 21 Feb 2007 p. 594; renumbered as rule 8: Gazette 22 Feb 2008 p. 644.]</w:t>
      </w:r>
    </w:p>
    <w:p>
      <w:pPr>
        <w:pStyle w:val="Heading5"/>
      </w:pPr>
      <w:bookmarkStart w:id="1410" w:name="_Toc129078452"/>
      <w:r>
        <w:rPr>
          <w:rStyle w:val="CharSectno"/>
        </w:rPr>
        <w:t>9</w:t>
      </w:r>
      <w:r>
        <w:t>.</w:t>
      </w:r>
      <w:r>
        <w:tab/>
        <w:t>Court may order separate hearing</w:t>
      </w:r>
      <w:bookmarkEnd w:id="1410"/>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pPr>
      <w:r>
        <w:rPr>
          <w:rStyle w:val="Emphasis"/>
        </w:rPr>
        <w:tab/>
      </w:r>
      <w:r>
        <w:t>[Rule 9 inserted as rule 8: Gazette 21 Feb 2007 p. 595; renumbered as rule 9: Gazette 22 Feb 2008 p. 644.]</w:t>
      </w:r>
    </w:p>
    <w:p>
      <w:pPr>
        <w:pStyle w:val="Heading2"/>
      </w:pPr>
      <w:bookmarkStart w:id="1411" w:name="_Toc129074381"/>
      <w:bookmarkStart w:id="1412" w:name="_Toc129075664"/>
      <w:bookmarkStart w:id="1413" w:name="_Toc129078453"/>
      <w:r>
        <w:rPr>
          <w:rStyle w:val="CharPartNo"/>
        </w:rPr>
        <w:lastRenderedPageBreak/>
        <w:t>Order 81FA</w:t>
      </w:r>
      <w:r>
        <w:rPr>
          <w:b w:val="0"/>
        </w:rPr>
        <w:t> </w:t>
      </w:r>
      <w:r>
        <w:t>—</w:t>
      </w:r>
      <w:r>
        <w:rPr>
          <w:b w:val="0"/>
        </w:rPr>
        <w:t> </w:t>
      </w:r>
      <w:r>
        <w:rPr>
          <w:rStyle w:val="CharPartText"/>
          <w:i/>
          <w:iCs/>
        </w:rPr>
        <w:t>Criminal Property Confiscation Act 2000</w:t>
      </w:r>
      <w:r>
        <w:rPr>
          <w:rStyle w:val="CharPartText"/>
        </w:rPr>
        <w:t xml:space="preserve"> rules</w:t>
      </w:r>
      <w:bookmarkEnd w:id="1411"/>
      <w:bookmarkEnd w:id="1412"/>
      <w:bookmarkEnd w:id="1413"/>
    </w:p>
    <w:p>
      <w:pPr>
        <w:pStyle w:val="Footnoteheading"/>
        <w:ind w:left="890"/>
        <w:rPr>
          <w:snapToGrid w:val="0"/>
        </w:rPr>
      </w:pPr>
      <w:r>
        <w:rPr>
          <w:snapToGrid w:val="0"/>
        </w:rPr>
        <w:tab/>
        <w:t>[Heading inserted: Gazette 22 Feb 2008 p. 644.]</w:t>
      </w:r>
    </w:p>
    <w:p>
      <w:pPr>
        <w:pStyle w:val="Heading3"/>
        <w:rPr>
          <w:b w:val="0"/>
        </w:rPr>
      </w:pPr>
      <w:bookmarkStart w:id="1414" w:name="_Toc129074382"/>
      <w:bookmarkStart w:id="1415" w:name="_Toc129075665"/>
      <w:bookmarkStart w:id="1416" w:name="_Toc129078454"/>
      <w:r>
        <w:rPr>
          <w:rStyle w:val="CharDivNo"/>
        </w:rPr>
        <w:t>Part 1</w:t>
      </w:r>
      <w:r>
        <w:t> —</w:t>
      </w:r>
      <w:r>
        <w:rPr>
          <w:b w:val="0"/>
        </w:rPr>
        <w:t> </w:t>
      </w:r>
      <w:r>
        <w:rPr>
          <w:rStyle w:val="CharDivText"/>
        </w:rPr>
        <w:t>Preliminary</w:t>
      </w:r>
      <w:bookmarkEnd w:id="1414"/>
      <w:bookmarkEnd w:id="1415"/>
      <w:bookmarkEnd w:id="1416"/>
    </w:p>
    <w:p>
      <w:pPr>
        <w:pStyle w:val="Footnoteheading"/>
        <w:ind w:left="890"/>
        <w:rPr>
          <w:snapToGrid w:val="0"/>
        </w:rPr>
      </w:pPr>
      <w:r>
        <w:rPr>
          <w:snapToGrid w:val="0"/>
        </w:rPr>
        <w:tab/>
        <w:t>[Heading inserted: Gazette 27 Sep 2002 p. 4830.]</w:t>
      </w:r>
    </w:p>
    <w:p>
      <w:pPr>
        <w:pStyle w:val="Heading5"/>
      </w:pPr>
      <w:bookmarkStart w:id="1417" w:name="_Toc129078455"/>
      <w:r>
        <w:rPr>
          <w:rStyle w:val="CharSectno"/>
        </w:rPr>
        <w:t>1</w:t>
      </w:r>
      <w:r>
        <w:t>.</w:t>
      </w:r>
      <w:r>
        <w:tab/>
        <w:t>Terms used</w:t>
      </w:r>
      <w:bookmarkEnd w:id="1417"/>
    </w:p>
    <w:p>
      <w:pPr>
        <w:pStyle w:val="Subsection"/>
      </w:pPr>
      <w:r>
        <w:tab/>
      </w:r>
      <w:r>
        <w:tab/>
        <w:t>In this Order, unless the contrary intention appears —</w:t>
      </w:r>
    </w:p>
    <w:p>
      <w:pPr>
        <w:pStyle w:val="Defstart"/>
      </w:pPr>
      <w:r>
        <w:tab/>
      </w:r>
      <w:r>
        <w:rPr>
          <w:rStyle w:val="CharDefText"/>
        </w:rPr>
        <w:t>CCC</w:t>
      </w:r>
      <w:r>
        <w:t xml:space="preserve"> means the Corruption and Crime Commission established under the </w:t>
      </w:r>
      <w:r>
        <w:rPr>
          <w:i/>
        </w:rPr>
        <w:t>Corruption, Crime and Misconduct Act 2003</w:t>
      </w:r>
      <w:r>
        <w:t xml:space="preserve"> section 8(1);</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made by the court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keepNext/>
      </w:pPr>
      <w:r>
        <w:rPr>
          <w:b/>
        </w:rPr>
        <w:lastRenderedPageBreak/>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Gazette 27 Sep 2002 p. 4830</w:t>
      </w:r>
      <w:r>
        <w:noBreakHyphen/>
        <w:t>1; amended: Gazette 28 Aug 2018 p. 2992.]</w:t>
      </w:r>
    </w:p>
    <w:p>
      <w:pPr>
        <w:pStyle w:val="Heading3"/>
      </w:pPr>
      <w:bookmarkStart w:id="1418" w:name="_Toc129074384"/>
      <w:bookmarkStart w:id="1419" w:name="_Toc129075667"/>
      <w:bookmarkStart w:id="1420" w:name="_Toc129078456"/>
      <w:r>
        <w:rPr>
          <w:rStyle w:val="CharDivNo"/>
        </w:rPr>
        <w:t>Part 2</w:t>
      </w:r>
      <w:r>
        <w:t> — </w:t>
      </w:r>
      <w:r>
        <w:rPr>
          <w:rStyle w:val="CharDivText"/>
        </w:rPr>
        <w:t>Proceedings under the Confiscation Act 2000</w:t>
      </w:r>
      <w:bookmarkEnd w:id="1418"/>
      <w:bookmarkEnd w:id="1419"/>
      <w:bookmarkEnd w:id="1420"/>
    </w:p>
    <w:p>
      <w:pPr>
        <w:pStyle w:val="Footnoteheading"/>
        <w:ind w:left="890"/>
        <w:rPr>
          <w:snapToGrid w:val="0"/>
        </w:rPr>
      </w:pPr>
      <w:r>
        <w:rPr>
          <w:snapToGrid w:val="0"/>
        </w:rPr>
        <w:tab/>
        <w:t>[Heading inserted: Gazette 27 Sep 2002 p. 4831.]</w:t>
      </w:r>
    </w:p>
    <w:p>
      <w:pPr>
        <w:pStyle w:val="Heading5"/>
      </w:pPr>
      <w:bookmarkStart w:id="1421" w:name="_Toc129078457"/>
      <w:r>
        <w:rPr>
          <w:rStyle w:val="CharSectno"/>
        </w:rPr>
        <w:t>2</w:t>
      </w:r>
      <w:r>
        <w:t>.</w:t>
      </w:r>
      <w:r>
        <w:tab/>
        <w:t>Declarations under Act s. 30, applications for</w:t>
      </w:r>
      <w:bookmarkEnd w:id="1421"/>
    </w:p>
    <w:p>
      <w:pPr>
        <w:pStyle w:val="Subsection"/>
      </w:pPr>
      <w:r>
        <w:tab/>
        <w:t>(1)</w:t>
      </w:r>
      <w:r>
        <w:tab/>
        <w:t xml:space="preserve">An application by the DPP or the CCC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keepNext/>
      </w:pPr>
      <w:r>
        <w:lastRenderedPageBreak/>
        <w:tab/>
        <w:t>(4)</w:t>
      </w:r>
      <w:r>
        <w:tab/>
        <w:t>On hearing an application, the court may give any directions it thinks fit, whether or not it finds that the property has been confiscated.</w:t>
      </w:r>
    </w:p>
    <w:p>
      <w:pPr>
        <w:pStyle w:val="Footnotesection"/>
      </w:pPr>
      <w:r>
        <w:tab/>
        <w:t>[Rule 2 inserted: Gazette 27 Sep 2002 p. 4831; amended: Gazette 28 Aug 2018 p. 2992.]</w:t>
      </w:r>
    </w:p>
    <w:p>
      <w:pPr>
        <w:pStyle w:val="Heading5"/>
      </w:pPr>
      <w:bookmarkStart w:id="1422" w:name="_Toc129078458"/>
      <w:r>
        <w:rPr>
          <w:rStyle w:val="CharSectno"/>
        </w:rPr>
        <w:t>3</w:t>
      </w:r>
      <w:r>
        <w:t>.</w:t>
      </w:r>
      <w:r>
        <w:tab/>
        <w:t>Other declarations or orders, applications for</w:t>
      </w:r>
      <w:bookmarkEnd w:id="1422"/>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keepNext/>
      </w:pPr>
      <w:r>
        <w:lastRenderedPageBreak/>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Gazette 27 Sep 2002 p. 4831</w:t>
      </w:r>
      <w:r>
        <w:noBreakHyphen/>
        <w:t>2; amended: Gazette 10 Aug 2004 p. 3185.]</w:t>
      </w:r>
    </w:p>
    <w:p>
      <w:pPr>
        <w:pStyle w:val="Heading5"/>
      </w:pPr>
      <w:bookmarkStart w:id="1423" w:name="_Toc129078459"/>
      <w:r>
        <w:rPr>
          <w:rStyle w:val="CharSectno"/>
        </w:rPr>
        <w:t>4</w:t>
      </w:r>
      <w:r>
        <w:t>.</w:t>
      </w:r>
      <w:r>
        <w:tab/>
        <w:t>Affidavit in support required for some applications</w:t>
      </w:r>
      <w:bookmarkEnd w:id="1423"/>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Gazette 27 Sep 2002 p. 4832.]</w:t>
      </w:r>
    </w:p>
    <w:p>
      <w:pPr>
        <w:pStyle w:val="Heading5"/>
      </w:pPr>
      <w:bookmarkStart w:id="1424" w:name="_Toc129078460"/>
      <w:r>
        <w:rPr>
          <w:rStyle w:val="CharSectno"/>
        </w:rPr>
        <w:t>5</w:t>
      </w:r>
      <w:r>
        <w:t>.</w:t>
      </w:r>
      <w:r>
        <w:tab/>
        <w:t>Objections to confiscation of property, making of</w:t>
      </w:r>
      <w:bookmarkEnd w:id="1424"/>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Gazette 27 Sep 2002 p. 4832.]</w:t>
      </w:r>
    </w:p>
    <w:p>
      <w:pPr>
        <w:pStyle w:val="Heading5"/>
      </w:pPr>
      <w:bookmarkStart w:id="1425" w:name="_Toc129078461"/>
      <w:r>
        <w:rPr>
          <w:rStyle w:val="CharSectno"/>
        </w:rPr>
        <w:lastRenderedPageBreak/>
        <w:t>6</w:t>
      </w:r>
      <w:r>
        <w:t>.</w:t>
      </w:r>
      <w:r>
        <w:tab/>
        <w:t>DPP or CCC to be served</w:t>
      </w:r>
      <w:bookmarkEnd w:id="1425"/>
    </w:p>
    <w:p>
      <w:pPr>
        <w:pStyle w:val="Subsection"/>
        <w:keepNext/>
        <w:keepLines/>
      </w:pPr>
      <w:r>
        <w:tab/>
      </w:r>
      <w:r>
        <w:tab/>
        <w:t>When a party (other than the DPP or the CCC) files an objection or makes an application under this Order, the party is to serve a copy of the objection or application on the DPP or the CCC, as the case requires.</w:t>
      </w:r>
    </w:p>
    <w:p>
      <w:pPr>
        <w:pStyle w:val="Footnotesection"/>
      </w:pPr>
      <w:r>
        <w:tab/>
        <w:t>[Rule 6 inserted: Gazette 27 Sep 2002 p. 4832; amended: Gazette 28 Aug 2018 p. 2992.]</w:t>
      </w:r>
    </w:p>
    <w:p>
      <w:pPr>
        <w:pStyle w:val="Heading5"/>
      </w:pPr>
      <w:bookmarkStart w:id="1426" w:name="_Toc129078462"/>
      <w:r>
        <w:rPr>
          <w:rStyle w:val="CharSectno"/>
        </w:rPr>
        <w:t>7</w:t>
      </w:r>
      <w:r>
        <w:t>.</w:t>
      </w:r>
      <w:r>
        <w:tab/>
        <w:t>Directions</w:t>
      </w:r>
      <w:bookmarkEnd w:id="1426"/>
    </w:p>
    <w:p>
      <w:pPr>
        <w:pStyle w:val="Ednotesubsection"/>
      </w:pPr>
      <w:r>
        <w:tab/>
        <w:t>[(1)</w:t>
      </w:r>
      <w:r>
        <w:tab/>
        <w:t>deleted]</w:t>
      </w:r>
    </w:p>
    <w:p>
      <w:pPr>
        <w:pStyle w:val="Subsection"/>
      </w:pPr>
      <w:r>
        <w:tab/>
        <w:t>(2)</w:t>
      </w:r>
      <w:r>
        <w:tab/>
        <w:t xml:space="preserve">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Gazette 27 Sep 2002 p. 4832</w:t>
      </w:r>
      <w:r>
        <w:noBreakHyphen/>
        <w:t>3; amended: SL 2022/53 r. 5.]</w:t>
      </w:r>
    </w:p>
    <w:p>
      <w:pPr>
        <w:pStyle w:val="Heading5"/>
      </w:pPr>
      <w:bookmarkStart w:id="1427" w:name="_Toc129078463"/>
      <w:r>
        <w:rPr>
          <w:rStyle w:val="CharSectno"/>
        </w:rPr>
        <w:t>8</w:t>
      </w:r>
      <w:r>
        <w:t>.</w:t>
      </w:r>
      <w:r>
        <w:tab/>
        <w:t>Conference not required</w:t>
      </w:r>
      <w:bookmarkEnd w:id="1427"/>
    </w:p>
    <w:p>
      <w:pPr>
        <w:pStyle w:val="Subsection"/>
      </w:pPr>
      <w:r>
        <w:tab/>
      </w:r>
      <w:r>
        <w:tab/>
        <w:t>Order 59 rule 9 does not apply to a summons in proceedings under the Confiscation Act 2000.</w:t>
      </w:r>
    </w:p>
    <w:p>
      <w:pPr>
        <w:pStyle w:val="Footnotesection"/>
      </w:pPr>
      <w:r>
        <w:tab/>
        <w:t>[Rule 8 inserted: Gazette 27 Sep 2002 p. 4833.]</w:t>
      </w:r>
    </w:p>
    <w:p>
      <w:pPr>
        <w:pStyle w:val="Heading5"/>
      </w:pPr>
      <w:bookmarkStart w:id="1428" w:name="_Toc129078464"/>
      <w:r>
        <w:rPr>
          <w:rStyle w:val="CharSectno"/>
        </w:rPr>
        <w:t>9</w:t>
      </w:r>
      <w:r>
        <w:t>.</w:t>
      </w:r>
      <w:r>
        <w:tab/>
        <w:t>Representative defendant</w:t>
      </w:r>
      <w:bookmarkEnd w:id="1428"/>
    </w:p>
    <w:p>
      <w:pPr>
        <w:pStyle w:val="Subsection"/>
        <w:keepNext/>
      </w:pPr>
      <w:r>
        <w:tab/>
      </w:r>
      <w:r>
        <w:tab/>
        <w:t xml:space="preserve">If a person has been added as a defendant in proceedings under the Confiscation Act 2000, and other persons (including unborn </w:t>
      </w:r>
      <w:r>
        <w:lastRenderedPageBreak/>
        <w:t xml:space="preserve">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Gazette 27 Sep 2002 p. 4833.]</w:t>
      </w:r>
    </w:p>
    <w:p>
      <w:pPr>
        <w:pStyle w:val="Heading3"/>
        <w:keepLines/>
      </w:pPr>
      <w:bookmarkStart w:id="1429" w:name="_Toc129074393"/>
      <w:bookmarkStart w:id="1430" w:name="_Toc129075676"/>
      <w:bookmarkStart w:id="1431" w:name="_Toc129078465"/>
      <w:r>
        <w:rPr>
          <w:rStyle w:val="CharDivNo"/>
        </w:rPr>
        <w:t>Part 3</w:t>
      </w:r>
      <w:r>
        <w:t> — </w:t>
      </w:r>
      <w:r>
        <w:rPr>
          <w:rStyle w:val="CharDivText"/>
        </w:rPr>
        <w:t>Registration of freezing notices and interstate orders</w:t>
      </w:r>
      <w:bookmarkEnd w:id="1429"/>
      <w:bookmarkEnd w:id="1430"/>
      <w:bookmarkEnd w:id="1431"/>
    </w:p>
    <w:p>
      <w:pPr>
        <w:pStyle w:val="Footnoteheading"/>
        <w:keepNext/>
        <w:keepLines/>
        <w:ind w:left="890"/>
        <w:rPr>
          <w:snapToGrid w:val="0"/>
        </w:rPr>
      </w:pPr>
      <w:r>
        <w:rPr>
          <w:snapToGrid w:val="0"/>
        </w:rPr>
        <w:tab/>
        <w:t>[Heading inserted: Gazette 27 Sep 2002 p. 4833.]</w:t>
      </w:r>
    </w:p>
    <w:p>
      <w:pPr>
        <w:pStyle w:val="Heading5"/>
      </w:pPr>
      <w:bookmarkStart w:id="1432" w:name="_Toc129078466"/>
      <w:r>
        <w:rPr>
          <w:rStyle w:val="CharSectno"/>
        </w:rPr>
        <w:t>10</w:t>
      </w:r>
      <w:r>
        <w:t>.</w:t>
      </w:r>
      <w:r>
        <w:tab/>
        <w:t>Freezing notices, registration of etc.</w:t>
      </w:r>
      <w:bookmarkEnd w:id="1432"/>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Gazette 27 Sep 2002 p. 4833</w:t>
      </w:r>
      <w:r>
        <w:noBreakHyphen/>
        <w:t>4.]</w:t>
      </w:r>
    </w:p>
    <w:p>
      <w:pPr>
        <w:pStyle w:val="Heading5"/>
      </w:pPr>
      <w:bookmarkStart w:id="1433" w:name="_Toc129078467"/>
      <w:r>
        <w:rPr>
          <w:rStyle w:val="CharSectno"/>
        </w:rPr>
        <w:t>11</w:t>
      </w:r>
      <w:r>
        <w:t>.</w:t>
      </w:r>
      <w:r>
        <w:tab/>
        <w:t>Interstate orders, registration of etc.</w:t>
      </w:r>
      <w:bookmarkEnd w:id="1433"/>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keepNext/>
      </w:pPr>
      <w:r>
        <w:lastRenderedPageBreak/>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Gazette 27 Sep 2002 p. 4834; amended: Gazette 22 Feb 2008 p. 645.]</w:t>
      </w:r>
    </w:p>
    <w:p>
      <w:pPr>
        <w:pStyle w:val="Heading2"/>
      </w:pPr>
      <w:bookmarkStart w:id="1434" w:name="_Toc129074396"/>
      <w:bookmarkStart w:id="1435" w:name="_Toc129075679"/>
      <w:bookmarkStart w:id="1436" w:name="_Toc129078468"/>
      <w:r>
        <w:rPr>
          <w:rStyle w:val="CharPartNo"/>
        </w:rPr>
        <w:lastRenderedPageBreak/>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434"/>
      <w:bookmarkEnd w:id="1435"/>
      <w:bookmarkEnd w:id="1436"/>
    </w:p>
    <w:p>
      <w:pPr>
        <w:pStyle w:val="Footnoteheading"/>
        <w:ind w:left="890"/>
        <w:rPr>
          <w:snapToGrid w:val="0"/>
        </w:rPr>
      </w:pPr>
      <w:r>
        <w:rPr>
          <w:snapToGrid w:val="0"/>
        </w:rPr>
        <w:tab/>
        <w:t>[Heading inserted: Gazette 22 Feb 2008 p. 645.]</w:t>
      </w:r>
    </w:p>
    <w:p>
      <w:pPr>
        <w:pStyle w:val="Heading5"/>
      </w:pPr>
      <w:bookmarkStart w:id="1437" w:name="_Toc129078469"/>
      <w:r>
        <w:rPr>
          <w:rStyle w:val="CharSectno"/>
        </w:rPr>
        <w:t>1</w:t>
      </w:r>
      <w:r>
        <w:t>.</w:t>
      </w:r>
      <w:r>
        <w:tab/>
        <w:t>Terms used</w:t>
      </w:r>
      <w:bookmarkEnd w:id="143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pPr>
      <w:r>
        <w:tab/>
        <w:t>[Rule 1 inserted: Gazette 22 Feb 2008 p. 645.]</w:t>
      </w:r>
    </w:p>
    <w:p>
      <w:pPr>
        <w:pStyle w:val="Heading5"/>
      </w:pPr>
      <w:bookmarkStart w:id="1438" w:name="_Toc129078470"/>
      <w:r>
        <w:rPr>
          <w:rStyle w:val="CharSectno"/>
        </w:rPr>
        <w:t>2</w:t>
      </w:r>
      <w:r>
        <w:t>.</w:t>
      </w:r>
      <w:r>
        <w:tab/>
        <w:t>General matters</w:t>
      </w:r>
      <w:bookmarkEnd w:id="1438"/>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lastRenderedPageBreak/>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i/>
        </w:rPr>
      </w:pPr>
      <w:r>
        <w:tab/>
        <w:t>[Rule 2 inserted: Gazette 22 Feb 2008 p. 645</w:t>
      </w:r>
      <w:r>
        <w:noBreakHyphen/>
        <w:t>6.]</w:t>
      </w:r>
    </w:p>
    <w:p>
      <w:pPr>
        <w:pStyle w:val="Heading5"/>
      </w:pPr>
      <w:bookmarkStart w:id="1439" w:name="_Toc129078471"/>
      <w:r>
        <w:rPr>
          <w:rStyle w:val="CharSectno"/>
        </w:rPr>
        <w:t>3</w:t>
      </w:r>
      <w:r>
        <w:t>.</w:t>
      </w:r>
      <w:r>
        <w:tab/>
        <w:t>Claims, how to be made</w:t>
      </w:r>
      <w:bookmarkEnd w:id="1439"/>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pPr>
      <w:r>
        <w:tab/>
        <w:t>[Rule 3 inserted: Gazette 22 Feb 2008 p. 646.]</w:t>
      </w:r>
    </w:p>
    <w:p>
      <w:pPr>
        <w:pStyle w:val="Heading5"/>
      </w:pPr>
      <w:bookmarkStart w:id="1440" w:name="_Toc129078472"/>
      <w:r>
        <w:rPr>
          <w:rStyle w:val="CharSectno"/>
        </w:rPr>
        <w:t>4</w:t>
      </w:r>
      <w:r>
        <w:t>.</w:t>
      </w:r>
      <w:r>
        <w:tab/>
        <w:t>Defendant may file memorandum of appearance</w:t>
      </w:r>
      <w:bookmarkEnd w:id="1440"/>
    </w:p>
    <w:p>
      <w:pPr>
        <w:pStyle w:val="Subsection"/>
      </w:pPr>
      <w:r>
        <w:tab/>
      </w:r>
      <w:r>
        <w:tab/>
        <w:t>A defendant who is served with a claim and who wants to respond to it or be heard at its hearing must enter an appearance under Order 12.</w:t>
      </w:r>
    </w:p>
    <w:p>
      <w:pPr>
        <w:pStyle w:val="Footnotesection"/>
      </w:pPr>
      <w:r>
        <w:tab/>
        <w:t>[Rule 4 inserted: Gazette 22 Feb 2008 p. 647.]</w:t>
      </w:r>
    </w:p>
    <w:p>
      <w:pPr>
        <w:pStyle w:val="Heading5"/>
      </w:pPr>
      <w:bookmarkStart w:id="1441" w:name="_Toc129078473"/>
      <w:r>
        <w:rPr>
          <w:rStyle w:val="CharSectno"/>
        </w:rPr>
        <w:lastRenderedPageBreak/>
        <w:t>5</w:t>
      </w:r>
      <w:r>
        <w:t>.</w:t>
      </w:r>
      <w:r>
        <w:tab/>
        <w:t>Defendant may file affidavit in response</w:t>
      </w:r>
      <w:bookmarkEnd w:id="1441"/>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pPr>
      <w:r>
        <w:tab/>
        <w:t>[Rule 5 inserted: Gazette 22 Feb 2008 p. 647.]</w:t>
      </w:r>
    </w:p>
    <w:p>
      <w:pPr>
        <w:pStyle w:val="Heading5"/>
      </w:pPr>
      <w:bookmarkStart w:id="1442" w:name="_Toc129078474"/>
      <w:r>
        <w:rPr>
          <w:rStyle w:val="CharSectno"/>
        </w:rPr>
        <w:t>6</w:t>
      </w:r>
      <w:r>
        <w:t>.</w:t>
      </w:r>
      <w:r>
        <w:tab/>
        <w:t>Applications in course of proceedings on claim</w:t>
      </w:r>
      <w:bookmarkEnd w:id="1442"/>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pPr>
      <w:r>
        <w:tab/>
        <w:t>[Rule 6 inserted: Gazette 22 Feb 2008 p. 647.]</w:t>
      </w:r>
    </w:p>
    <w:p>
      <w:pPr>
        <w:pStyle w:val="Heading5"/>
      </w:pPr>
      <w:bookmarkStart w:id="1443" w:name="_Toc129078475"/>
      <w:r>
        <w:rPr>
          <w:rStyle w:val="CharSectno"/>
        </w:rPr>
        <w:t>7</w:t>
      </w:r>
      <w:r>
        <w:t>.</w:t>
      </w:r>
      <w:r>
        <w:tab/>
        <w:t>Hearing claims</w:t>
      </w:r>
      <w:bookmarkEnd w:id="1443"/>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pPr>
      <w:r>
        <w:tab/>
        <w:t>[Rule 7 inserted: Gazette 22 Feb 2008 p. 647.]</w:t>
      </w:r>
    </w:p>
    <w:p>
      <w:pPr>
        <w:pStyle w:val="Heading5"/>
      </w:pPr>
      <w:bookmarkStart w:id="1444" w:name="_Toc129078476"/>
      <w:r>
        <w:rPr>
          <w:rStyle w:val="CharSectno"/>
        </w:rPr>
        <w:lastRenderedPageBreak/>
        <w:t>8</w:t>
      </w:r>
      <w:r>
        <w:t>.</w:t>
      </w:r>
      <w:r>
        <w:tab/>
        <w:t>Costs</w:t>
      </w:r>
      <w:bookmarkEnd w:id="144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pPr>
      <w:r>
        <w:tab/>
        <w:t>[Rule 8 inserted: Gazette 22 Feb 2008 p. 648.]</w:t>
      </w:r>
    </w:p>
    <w:p>
      <w:pPr>
        <w:pStyle w:val="Heading5"/>
      </w:pPr>
      <w:bookmarkStart w:id="1445" w:name="_Toc129078477"/>
      <w:r>
        <w:rPr>
          <w:rStyle w:val="CharSectno"/>
        </w:rPr>
        <w:t>9</w:t>
      </w:r>
      <w:r>
        <w:t>.</w:t>
      </w:r>
      <w:r>
        <w:tab/>
        <w:t>Documents cannot be filed electronically</w:t>
      </w:r>
      <w:bookmarkEnd w:id="1445"/>
    </w:p>
    <w:p>
      <w:pPr>
        <w:pStyle w:val="Subsection"/>
      </w:pPr>
      <w:r>
        <w:tab/>
      </w:r>
      <w:r>
        <w:tab/>
        <w:t>A claim, affidavit or other document to be filed under this Order cannot be filed electronically.</w:t>
      </w:r>
    </w:p>
    <w:p>
      <w:pPr>
        <w:pStyle w:val="Footnotesection"/>
      </w:pPr>
      <w:r>
        <w:tab/>
        <w:t xml:space="preserve">[Rule 9 inserted: Gazette 27 Feb 2018 p. 621.] </w:t>
      </w:r>
    </w:p>
    <w:p>
      <w:pPr>
        <w:pStyle w:val="Heading2"/>
      </w:pPr>
      <w:bookmarkStart w:id="1446" w:name="_Toc129074406"/>
      <w:bookmarkStart w:id="1447" w:name="_Toc129075689"/>
      <w:bookmarkStart w:id="1448" w:name="_Toc129078478"/>
      <w:r>
        <w:rPr>
          <w:rStyle w:val="CharPartNo"/>
        </w:rPr>
        <w:lastRenderedPageBreak/>
        <w:t>Order 81H</w:t>
      </w:r>
      <w:r>
        <w:rPr>
          <w:b w:val="0"/>
        </w:rPr>
        <w:t> </w:t>
      </w:r>
      <w:r>
        <w:t>—</w:t>
      </w:r>
      <w:r>
        <w:rPr>
          <w:b w:val="0"/>
        </w:rPr>
        <w:t> </w:t>
      </w:r>
      <w:r>
        <w:rPr>
          <w:rStyle w:val="CharPartText"/>
          <w:i/>
          <w:iCs/>
        </w:rPr>
        <w:t xml:space="preserve">Surveillance Devices Act 1998 </w:t>
      </w:r>
      <w:r>
        <w:rPr>
          <w:rStyle w:val="CharPartText"/>
        </w:rPr>
        <w:t>rules</w:t>
      </w:r>
      <w:bookmarkEnd w:id="1446"/>
      <w:bookmarkEnd w:id="1447"/>
      <w:bookmarkEnd w:id="1448"/>
    </w:p>
    <w:p>
      <w:pPr>
        <w:pStyle w:val="Footnoteheading"/>
        <w:ind w:left="890"/>
        <w:rPr>
          <w:snapToGrid w:val="0"/>
        </w:rPr>
      </w:pPr>
      <w:r>
        <w:rPr>
          <w:snapToGrid w:val="0"/>
        </w:rPr>
        <w:tab/>
        <w:t>[Heading inserted: Gazette 22 Feb 2008 p. 649.]</w:t>
      </w:r>
    </w:p>
    <w:p>
      <w:pPr>
        <w:pStyle w:val="Heading5"/>
      </w:pPr>
      <w:bookmarkStart w:id="1449" w:name="_Toc129078479"/>
      <w:r>
        <w:rPr>
          <w:rStyle w:val="CharSectno"/>
        </w:rPr>
        <w:t>1</w:t>
      </w:r>
      <w:r>
        <w:t>.</w:t>
      </w:r>
      <w:r>
        <w:tab/>
        <w:t>Term used: Act</w:t>
      </w:r>
      <w:bookmarkEnd w:id="1449"/>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Gazette 26 Nov 1999 p. 5903.]</w:t>
      </w:r>
    </w:p>
    <w:p>
      <w:pPr>
        <w:pStyle w:val="Heading5"/>
      </w:pPr>
      <w:bookmarkStart w:id="1450" w:name="_Toc129078480"/>
      <w:r>
        <w:rPr>
          <w:rStyle w:val="CharSectno"/>
        </w:rPr>
        <w:t>2</w:t>
      </w:r>
      <w:r>
        <w:t>.</w:t>
      </w:r>
      <w:r>
        <w:tab/>
        <w:t>Warrants, applications for</w:t>
      </w:r>
      <w:bookmarkEnd w:id="1450"/>
      <w:r>
        <w:t xml:space="preserve"> </w:t>
      </w:r>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Gazette 26 Nov 1999 p. 5904.]</w:t>
      </w:r>
    </w:p>
    <w:p>
      <w:pPr>
        <w:pStyle w:val="Heading5"/>
      </w:pPr>
      <w:bookmarkStart w:id="1451" w:name="_Toc129078481"/>
      <w:r>
        <w:rPr>
          <w:rStyle w:val="CharSectno"/>
        </w:rPr>
        <w:t>3</w:t>
      </w:r>
      <w:r>
        <w:t>.</w:t>
      </w:r>
      <w:r>
        <w:tab/>
        <w:t>Report to judge (Act s. 21 or 30)</w:t>
      </w:r>
      <w:bookmarkEnd w:id="1451"/>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Gazette 26 Nov 1999 p. 5904.]</w:t>
      </w:r>
    </w:p>
    <w:p>
      <w:pPr>
        <w:pStyle w:val="Heading5"/>
      </w:pPr>
      <w:bookmarkStart w:id="1452" w:name="_Toc129078482"/>
      <w:r>
        <w:rPr>
          <w:rStyle w:val="CharSectno"/>
        </w:rPr>
        <w:t>4</w:t>
      </w:r>
      <w:r>
        <w:t>.</w:t>
      </w:r>
      <w:r>
        <w:tab/>
        <w:t>Order allowing publication etc. (Act s. 31), application for</w:t>
      </w:r>
      <w:bookmarkEnd w:id="1452"/>
    </w:p>
    <w:p>
      <w:pPr>
        <w:pStyle w:val="Subsection"/>
      </w:pPr>
      <w:r>
        <w:tab/>
      </w:r>
      <w:r>
        <w:tab/>
        <w:t>An application for an order under section 31 of the Act is to be made by originating motion and accompanied by an affidavit in support.</w:t>
      </w:r>
    </w:p>
    <w:p>
      <w:pPr>
        <w:pStyle w:val="Footnotesection"/>
      </w:pPr>
      <w:r>
        <w:tab/>
        <w:t>[Rule 4 inserted: Gazette 26 Nov 1999 p. 5904.]</w:t>
      </w:r>
    </w:p>
    <w:p>
      <w:pPr>
        <w:pStyle w:val="Heading5"/>
      </w:pPr>
      <w:bookmarkStart w:id="1453" w:name="_Toc129078483"/>
      <w:r>
        <w:rPr>
          <w:rStyle w:val="CharSectno"/>
        </w:rPr>
        <w:lastRenderedPageBreak/>
        <w:t>5</w:t>
      </w:r>
      <w:r>
        <w:t>.</w:t>
      </w:r>
      <w:r>
        <w:tab/>
        <w:t>Identification of persons in documents</w:t>
      </w:r>
      <w:bookmarkEnd w:id="1453"/>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Gazette 26 Nov 1999 p. 5904.]</w:t>
      </w:r>
    </w:p>
    <w:p>
      <w:pPr>
        <w:pStyle w:val="Heading5"/>
      </w:pPr>
      <w:bookmarkStart w:id="1454" w:name="_Toc129078484"/>
      <w:r>
        <w:rPr>
          <w:rStyle w:val="CharSectno"/>
        </w:rPr>
        <w:t>6</w:t>
      </w:r>
      <w:r>
        <w:t>.</w:t>
      </w:r>
      <w:r>
        <w:tab/>
        <w:t>Practice Directions</w:t>
      </w:r>
      <w:bookmarkEnd w:id="1454"/>
      <w:r>
        <w:t xml:space="preserve"> </w:t>
      </w:r>
    </w:p>
    <w:p>
      <w:pPr>
        <w:pStyle w:val="Subsection"/>
      </w:pPr>
      <w:r>
        <w:tab/>
        <w:t>(1)</w:t>
      </w:r>
      <w:r>
        <w:tab/>
        <w:t>The Court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Gazette 26 Nov 1999 p. 5904; amended: Gazette 27 Feb 2018 p. 621.]</w:t>
      </w:r>
    </w:p>
    <w:p>
      <w:pPr>
        <w:pStyle w:val="Heading5"/>
      </w:pPr>
      <w:bookmarkStart w:id="1455" w:name="_Toc129078485"/>
      <w:r>
        <w:rPr>
          <w:rStyle w:val="CharSectno"/>
        </w:rPr>
        <w:t>7</w:t>
      </w:r>
      <w:r>
        <w:t>.</w:t>
      </w:r>
      <w:r>
        <w:tab/>
        <w:t>Documents cannot be filed electronically</w:t>
      </w:r>
      <w:bookmarkEnd w:id="1455"/>
    </w:p>
    <w:p>
      <w:pPr>
        <w:pStyle w:val="Subsection"/>
      </w:pPr>
      <w:r>
        <w:tab/>
      </w:r>
      <w:r>
        <w:tab/>
        <w:t>An originating summons, affidavit or other document to be filed under this Order cannot be filed electronically.</w:t>
      </w:r>
    </w:p>
    <w:p>
      <w:pPr>
        <w:pStyle w:val="Footnotesection"/>
      </w:pPr>
      <w:r>
        <w:tab/>
        <w:t>[Rule 7 inserted: Gazette 27 Feb 2018 p. 622.]</w:t>
      </w:r>
    </w:p>
    <w:p>
      <w:pPr>
        <w:pStyle w:val="Heading2"/>
        <w:rPr>
          <w:b w:val="0"/>
        </w:rPr>
      </w:pPr>
      <w:bookmarkStart w:id="1456" w:name="_Toc129074414"/>
      <w:bookmarkStart w:id="1457" w:name="_Toc129075697"/>
      <w:bookmarkStart w:id="1458" w:name="_Toc129078486"/>
      <w:r>
        <w:rPr>
          <w:rStyle w:val="CharPartNo"/>
        </w:rPr>
        <w:lastRenderedPageBreak/>
        <w:t>Order 82</w:t>
      </w:r>
      <w:r>
        <w:rPr>
          <w:rStyle w:val="CharDivNo"/>
        </w:rPr>
        <w:t> </w:t>
      </w:r>
      <w:r>
        <w:t>—</w:t>
      </w:r>
      <w:r>
        <w:rPr>
          <w:rStyle w:val="CharDivText"/>
        </w:rPr>
        <w:t> </w:t>
      </w:r>
      <w:r>
        <w:rPr>
          <w:rStyle w:val="CharPartText"/>
        </w:rPr>
        <w:t>Sheriff’s rules</w:t>
      </w:r>
      <w:bookmarkEnd w:id="1456"/>
      <w:bookmarkEnd w:id="1457"/>
      <w:bookmarkEnd w:id="1458"/>
    </w:p>
    <w:p>
      <w:pPr>
        <w:pStyle w:val="Ednotesection"/>
      </w:pPr>
      <w:r>
        <w:t>[</w:t>
      </w:r>
      <w:r>
        <w:rPr>
          <w:b/>
        </w:rPr>
        <w:t>1</w:t>
      </w:r>
      <w:r>
        <w:rPr>
          <w:b/>
        </w:rPr>
        <w:noBreakHyphen/>
        <w:t>6.</w:t>
      </w:r>
      <w:r>
        <w:tab/>
        <w:t>Deleted: Gazette 21 Feb 2007 p. 595.]</w:t>
      </w:r>
    </w:p>
    <w:p>
      <w:pPr>
        <w:pStyle w:val="Heading5"/>
        <w:rPr>
          <w:snapToGrid w:val="0"/>
        </w:rPr>
      </w:pPr>
      <w:bookmarkStart w:id="1459" w:name="_Toc129078487"/>
      <w:r>
        <w:rPr>
          <w:rStyle w:val="CharSectno"/>
        </w:rPr>
        <w:t>7</w:t>
      </w:r>
      <w:r>
        <w:rPr>
          <w:snapToGrid w:val="0"/>
        </w:rPr>
        <w:t>.</w:t>
      </w:r>
      <w:r>
        <w:rPr>
          <w:snapToGrid w:val="0"/>
        </w:rPr>
        <w:tab/>
        <w:t>Service of process by sheriff</w:t>
      </w:r>
      <w:bookmarkEnd w:id="1459"/>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Gazette 30 Nov 1984 p. 3952.] </w:t>
      </w:r>
    </w:p>
    <w:p>
      <w:pPr>
        <w:pStyle w:val="Ednotesection"/>
      </w:pPr>
      <w:r>
        <w:t>[</w:t>
      </w:r>
      <w:r>
        <w:rPr>
          <w:b/>
        </w:rPr>
        <w:t>8.</w:t>
      </w:r>
      <w:r>
        <w:tab/>
        <w:t>Deleted: Gazette 21 Feb 2007 p. 595.]</w:t>
      </w:r>
    </w:p>
    <w:p>
      <w:pPr>
        <w:pStyle w:val="Heading5"/>
        <w:rPr>
          <w:snapToGrid w:val="0"/>
        </w:rPr>
      </w:pPr>
      <w:bookmarkStart w:id="1460" w:name="_Toc129078488"/>
      <w:r>
        <w:rPr>
          <w:rStyle w:val="CharSectno"/>
        </w:rPr>
        <w:t>9</w:t>
      </w:r>
      <w:r>
        <w:rPr>
          <w:snapToGrid w:val="0"/>
        </w:rPr>
        <w:t>.</w:t>
      </w:r>
      <w:r>
        <w:rPr>
          <w:snapToGrid w:val="0"/>
        </w:rPr>
        <w:tab/>
        <w:t>Fees etc. payable to sheriff, disputes as to</w:t>
      </w:r>
      <w:bookmarkEnd w:id="1460"/>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Gazette 30 Jul 1982 p. 2947.] </w:t>
      </w:r>
    </w:p>
    <w:p>
      <w:pPr>
        <w:pStyle w:val="Ednotesection"/>
      </w:pPr>
      <w:r>
        <w:t>[</w:t>
      </w:r>
      <w:r>
        <w:rPr>
          <w:b/>
        </w:rPr>
        <w:t>10.</w:t>
      </w:r>
      <w:r>
        <w:tab/>
        <w:t>Deleted: Gazette 21 Feb 2007 p. 595.]</w:t>
      </w:r>
    </w:p>
    <w:p>
      <w:pPr>
        <w:pStyle w:val="Heading5"/>
        <w:rPr>
          <w:snapToGrid w:val="0"/>
        </w:rPr>
      </w:pPr>
      <w:bookmarkStart w:id="1461" w:name="_Toc129078489"/>
      <w:r>
        <w:rPr>
          <w:rStyle w:val="CharSectno"/>
        </w:rPr>
        <w:lastRenderedPageBreak/>
        <w:t>11</w:t>
      </w:r>
      <w:r>
        <w:rPr>
          <w:snapToGrid w:val="0"/>
        </w:rPr>
        <w:t>.</w:t>
      </w:r>
      <w:r>
        <w:rPr>
          <w:snapToGrid w:val="0"/>
        </w:rPr>
        <w:tab/>
        <w:t>Deposit on account of sheriff’s fees</w:t>
      </w:r>
      <w:bookmarkEnd w:id="1461"/>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Gazette 21 Feb 2007 p. 595.]</w:t>
      </w:r>
    </w:p>
    <w:p>
      <w:pPr>
        <w:pStyle w:val="Ednotesection"/>
      </w:pPr>
      <w:r>
        <w:t>[</w:t>
      </w:r>
      <w:r>
        <w:rPr>
          <w:b/>
        </w:rPr>
        <w:t>12, 13.</w:t>
      </w:r>
      <w:r>
        <w:tab/>
        <w:t>Deleted: Gazette 21 Feb 2007 p. 595.]</w:t>
      </w:r>
    </w:p>
    <w:p>
      <w:pPr>
        <w:pStyle w:val="Heading5"/>
        <w:rPr>
          <w:snapToGrid w:val="0"/>
        </w:rPr>
      </w:pPr>
      <w:bookmarkStart w:id="1462" w:name="_Toc129078490"/>
      <w:r>
        <w:rPr>
          <w:rStyle w:val="CharSectno"/>
        </w:rPr>
        <w:t>14</w:t>
      </w:r>
      <w:r>
        <w:rPr>
          <w:snapToGrid w:val="0"/>
        </w:rPr>
        <w:t>.</w:t>
      </w:r>
      <w:r>
        <w:rPr>
          <w:snapToGrid w:val="0"/>
        </w:rPr>
        <w:tab/>
        <w:t>Travel distance by sheriff for service</w:t>
      </w:r>
      <w:bookmarkEnd w:id="1462"/>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Gazette 7 Dec 1973 p. 4489; 30 Nov 1984 p. 3952; 26 Aug 1994 p. 4415; 27 Jul 2001 p. 3895; 21 Feb 2007 p. 595.] </w:t>
      </w:r>
    </w:p>
    <w:p>
      <w:pPr>
        <w:pStyle w:val="Ednotesection"/>
      </w:pPr>
      <w:r>
        <w:t>[</w:t>
      </w:r>
      <w:r>
        <w:rPr>
          <w:b/>
        </w:rPr>
        <w:t>15.</w:t>
      </w:r>
      <w:r>
        <w:tab/>
        <w:t>Deleted: Gazette 21 Feb 2007 p. 595.]</w:t>
      </w:r>
    </w:p>
    <w:p>
      <w:pPr>
        <w:pStyle w:val="Heading5"/>
        <w:rPr>
          <w:snapToGrid w:val="0"/>
        </w:rPr>
      </w:pPr>
      <w:bookmarkStart w:id="1463" w:name="_Toc129078491"/>
      <w:r>
        <w:rPr>
          <w:rStyle w:val="CharSectno"/>
        </w:rPr>
        <w:t>16</w:t>
      </w:r>
      <w:r>
        <w:rPr>
          <w:snapToGrid w:val="0"/>
        </w:rPr>
        <w:t>.</w:t>
      </w:r>
      <w:r>
        <w:rPr>
          <w:snapToGrid w:val="0"/>
        </w:rPr>
        <w:tab/>
        <w:t>Non</w:t>
      </w:r>
      <w:r>
        <w:rPr>
          <w:snapToGrid w:val="0"/>
        </w:rPr>
        <w:noBreakHyphen/>
        <w:t>payment of sheriff’s fees, consequences of</w:t>
      </w:r>
      <w:bookmarkEnd w:id="1463"/>
    </w:p>
    <w:p>
      <w:pPr>
        <w:pStyle w:val="Subsection"/>
        <w:rPr>
          <w:snapToGrid w:val="0"/>
        </w:rPr>
      </w:pPr>
      <w:r>
        <w:rPr>
          <w:snapToGrid w:val="0"/>
        </w:rPr>
        <w:tab/>
      </w:r>
      <w:r>
        <w:rPr>
          <w:snapToGrid w:val="0"/>
        </w:rPr>
        <w:tab/>
        <w:t xml:space="preserve">If any solicitor, who has made a request for the service of any process or document, or for any work for which fees are properly chargeable in the sheriff’s office, makes default in </w:t>
      </w:r>
      <w:r>
        <w:rPr>
          <w:snapToGrid w:val="0"/>
        </w:rPr>
        <w:lastRenderedPageBreak/>
        <w:t>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Gazette 21 Feb 2007 p. 595.]</w:t>
      </w:r>
    </w:p>
    <w:p>
      <w:pPr>
        <w:pStyle w:val="Heading2"/>
        <w:rPr>
          <w:b w:val="0"/>
        </w:rPr>
      </w:pPr>
      <w:bookmarkStart w:id="1464" w:name="_Toc129074420"/>
      <w:bookmarkStart w:id="1465" w:name="_Toc129075703"/>
      <w:bookmarkStart w:id="1466" w:name="_Toc129078492"/>
      <w:r>
        <w:rPr>
          <w:rStyle w:val="CharPartNo"/>
        </w:rPr>
        <w:lastRenderedPageBreak/>
        <w:t>Order 83</w:t>
      </w:r>
      <w:r>
        <w:rPr>
          <w:rStyle w:val="CharDivNo"/>
        </w:rPr>
        <w:t> </w:t>
      </w:r>
      <w:r>
        <w:t>—</w:t>
      </w:r>
      <w:r>
        <w:rPr>
          <w:rStyle w:val="CharDivText"/>
        </w:rPr>
        <w:t> </w:t>
      </w:r>
      <w:r>
        <w:rPr>
          <w:rStyle w:val="CharPartText"/>
        </w:rPr>
        <w:t>Consolidation of pending causes and matters</w:t>
      </w:r>
      <w:bookmarkEnd w:id="1464"/>
      <w:bookmarkEnd w:id="1465"/>
      <w:bookmarkEnd w:id="1466"/>
    </w:p>
    <w:p>
      <w:pPr>
        <w:pStyle w:val="Heading5"/>
        <w:rPr>
          <w:snapToGrid w:val="0"/>
        </w:rPr>
      </w:pPr>
      <w:bookmarkStart w:id="1467" w:name="_Toc129078493"/>
      <w:r>
        <w:rPr>
          <w:rStyle w:val="CharSectno"/>
        </w:rPr>
        <w:t>1</w:t>
      </w:r>
      <w:r>
        <w:rPr>
          <w:snapToGrid w:val="0"/>
        </w:rPr>
        <w:t>.</w:t>
      </w:r>
      <w:r>
        <w:rPr>
          <w:snapToGrid w:val="0"/>
        </w:rPr>
        <w:tab/>
        <w:t>Causes may be consolidated</w:t>
      </w:r>
      <w:bookmarkEnd w:id="1467"/>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468" w:name="_Toc129078494"/>
      <w:r>
        <w:rPr>
          <w:rStyle w:val="CharSectno"/>
        </w:rPr>
        <w:t>2</w:t>
      </w:r>
      <w:r>
        <w:rPr>
          <w:snapToGrid w:val="0"/>
        </w:rPr>
        <w:t>.</w:t>
      </w:r>
      <w:r>
        <w:rPr>
          <w:snapToGrid w:val="0"/>
        </w:rPr>
        <w:tab/>
        <w:t>Consolidation with action removed from another court</w:t>
      </w:r>
      <w:bookmarkEnd w:id="1468"/>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469" w:name="_Toc129078495"/>
      <w:r>
        <w:rPr>
          <w:rStyle w:val="CharSectno"/>
        </w:rPr>
        <w:t>3</w:t>
      </w:r>
      <w:r>
        <w:rPr>
          <w:snapToGrid w:val="0"/>
        </w:rPr>
        <w:t>.</w:t>
      </w:r>
      <w:r>
        <w:rPr>
          <w:snapToGrid w:val="0"/>
        </w:rPr>
        <w:tab/>
        <w:t>Directions</w:t>
      </w:r>
      <w:bookmarkEnd w:id="1469"/>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Gazette 27 Jul 2001 p. 3895.]</w:t>
      </w:r>
    </w:p>
    <w:p>
      <w:pPr>
        <w:pStyle w:val="Heading2"/>
        <w:rPr>
          <w:b w:val="0"/>
        </w:rPr>
      </w:pPr>
      <w:bookmarkStart w:id="1470" w:name="_Toc129074424"/>
      <w:bookmarkStart w:id="1471" w:name="_Toc129075707"/>
      <w:bookmarkStart w:id="1472" w:name="_Toc129078496"/>
      <w:r>
        <w:rPr>
          <w:rStyle w:val="CharPartNo"/>
        </w:rPr>
        <w:lastRenderedPageBreak/>
        <w:t>Order 84</w:t>
      </w:r>
      <w:r>
        <w:rPr>
          <w:rStyle w:val="CharDivNo"/>
        </w:rPr>
        <w:t> </w:t>
      </w:r>
      <w:r>
        <w:t>—</w:t>
      </w:r>
      <w:r>
        <w:rPr>
          <w:rStyle w:val="CharDivText"/>
        </w:rPr>
        <w:t> </w:t>
      </w:r>
      <w:r>
        <w:rPr>
          <w:rStyle w:val="CharPartText"/>
        </w:rPr>
        <w:t>General rules</w:t>
      </w:r>
      <w:bookmarkEnd w:id="1470"/>
      <w:bookmarkEnd w:id="1471"/>
      <w:bookmarkEnd w:id="1472"/>
    </w:p>
    <w:p>
      <w:pPr>
        <w:pStyle w:val="Heading5"/>
        <w:rPr>
          <w:snapToGrid w:val="0"/>
        </w:rPr>
      </w:pPr>
      <w:bookmarkStart w:id="1473" w:name="_Toc129078497"/>
      <w:r>
        <w:rPr>
          <w:rStyle w:val="CharSectno"/>
        </w:rPr>
        <w:t>1</w:t>
      </w:r>
      <w:r>
        <w:rPr>
          <w:snapToGrid w:val="0"/>
        </w:rPr>
        <w:t>.</w:t>
      </w:r>
      <w:r>
        <w:rPr>
          <w:snapToGrid w:val="0"/>
        </w:rPr>
        <w:tab/>
        <w:t>Repealed Orders not revived</w:t>
      </w:r>
      <w:bookmarkEnd w:id="1473"/>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474" w:name="_Toc129078498"/>
      <w:r>
        <w:rPr>
          <w:rStyle w:val="CharSectno"/>
        </w:rPr>
        <w:t>2</w:t>
      </w:r>
      <w:r>
        <w:rPr>
          <w:snapToGrid w:val="0"/>
        </w:rPr>
        <w:t>.</w:t>
      </w:r>
      <w:r>
        <w:rPr>
          <w:snapToGrid w:val="0"/>
        </w:rPr>
        <w:tab/>
        <w:t>Cases not provided for</w:t>
      </w:r>
      <w:bookmarkEnd w:id="1474"/>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Gazette 28 Jun 2011 p. 2552.]</w:t>
      </w:r>
    </w:p>
    <w:p>
      <w:pPr>
        <w:pStyle w:val="Heading5"/>
        <w:rPr>
          <w:snapToGrid w:val="0"/>
        </w:rPr>
      </w:pPr>
      <w:bookmarkStart w:id="1475" w:name="_Toc129078499"/>
      <w:r>
        <w:rPr>
          <w:rStyle w:val="CharSectno"/>
        </w:rPr>
        <w:t>3</w:t>
      </w:r>
      <w:r>
        <w:rPr>
          <w:snapToGrid w:val="0"/>
        </w:rPr>
        <w:t>.</w:t>
      </w:r>
      <w:r>
        <w:rPr>
          <w:snapToGrid w:val="0"/>
        </w:rPr>
        <w:tab/>
        <w:t>Publication of written reasons for judgment</w:t>
      </w:r>
      <w:bookmarkEnd w:id="1475"/>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Gazette 29 Apr 2005 p. 1795.]</w:t>
      </w:r>
    </w:p>
    <w:p>
      <w:pPr>
        <w:pStyle w:val="Heading5"/>
        <w:rPr>
          <w:snapToGrid w:val="0"/>
        </w:rPr>
      </w:pPr>
      <w:bookmarkStart w:id="1476" w:name="_Toc129078500"/>
      <w:r>
        <w:rPr>
          <w:rStyle w:val="CharSectno"/>
        </w:rPr>
        <w:lastRenderedPageBreak/>
        <w:t>4</w:t>
      </w:r>
      <w:r>
        <w:rPr>
          <w:snapToGrid w:val="0"/>
        </w:rPr>
        <w:t>.</w:t>
      </w:r>
      <w:r>
        <w:rPr>
          <w:snapToGrid w:val="0"/>
        </w:rPr>
        <w:tab/>
        <w:t>Bankruptcy jurisdiction, duty of Registrar in Bankruptcy as to seals, records etc.</w:t>
      </w:r>
      <w:bookmarkEnd w:id="1476"/>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Gazette 26 Aug 1994 p. 4415; 19 Apr 2005 p. 1300.] </w:t>
      </w:r>
    </w:p>
    <w:p>
      <w:pPr>
        <w:pStyle w:val="Heading5"/>
        <w:spacing w:before="240"/>
        <w:rPr>
          <w:snapToGrid w:val="0"/>
        </w:rPr>
      </w:pPr>
      <w:bookmarkStart w:id="1477" w:name="_Toc129078501"/>
      <w:r>
        <w:rPr>
          <w:rStyle w:val="CharSectno"/>
        </w:rPr>
        <w:t>5</w:t>
      </w:r>
      <w:r>
        <w:rPr>
          <w:snapToGrid w:val="0"/>
        </w:rPr>
        <w:t>.</w:t>
      </w:r>
      <w:r>
        <w:rPr>
          <w:snapToGrid w:val="0"/>
        </w:rPr>
        <w:tab/>
      </w:r>
      <w:r>
        <w:rPr>
          <w:i/>
          <w:iCs/>
          <w:snapToGrid w:val="0"/>
        </w:rPr>
        <w:t xml:space="preserve">Public Trustee Act 1941 </w:t>
      </w:r>
      <w:r>
        <w:rPr>
          <w:snapToGrid w:val="0"/>
        </w:rPr>
        <w:t>s. 27, proceedings under</w:t>
      </w:r>
      <w:bookmarkEnd w:id="1477"/>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Gazette 12 Nov 1976 p. 4277.] </w:t>
      </w:r>
    </w:p>
    <w:p>
      <w:pPr>
        <w:pStyle w:val="Heading5"/>
        <w:spacing w:before="240"/>
        <w:rPr>
          <w:snapToGrid w:val="0"/>
        </w:rPr>
      </w:pPr>
      <w:bookmarkStart w:id="1478" w:name="_Toc129078502"/>
      <w:r>
        <w:rPr>
          <w:rStyle w:val="CharSectno"/>
        </w:rPr>
        <w:lastRenderedPageBreak/>
        <w:t>6</w:t>
      </w:r>
      <w:r>
        <w:rPr>
          <w:snapToGrid w:val="0"/>
        </w:rPr>
        <w:t>.</w:t>
      </w:r>
      <w:r>
        <w:rPr>
          <w:snapToGrid w:val="0"/>
        </w:rPr>
        <w:tab/>
        <w:t>Sale proceeds paid into court, claimants to must file affidavit</w:t>
      </w:r>
      <w:bookmarkEnd w:id="1478"/>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Gazette 26 Aug 1994 p. 4415.] </w:t>
      </w:r>
    </w:p>
    <w:p>
      <w:pPr>
        <w:pStyle w:val="Heading5"/>
        <w:rPr>
          <w:snapToGrid w:val="0"/>
        </w:rPr>
      </w:pPr>
      <w:bookmarkStart w:id="1479" w:name="_Toc129078503"/>
      <w:r>
        <w:rPr>
          <w:rStyle w:val="CharSectno"/>
        </w:rPr>
        <w:t>7</w:t>
      </w:r>
      <w:r>
        <w:rPr>
          <w:snapToGrid w:val="0"/>
        </w:rPr>
        <w:t>.</w:t>
      </w:r>
      <w:r>
        <w:rPr>
          <w:snapToGrid w:val="0"/>
        </w:rPr>
        <w:tab/>
        <w:t>Account by solicitor to client, applying for and order as to</w:t>
      </w:r>
      <w:bookmarkEnd w:id="1479"/>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480" w:name="_Toc129078504"/>
      <w:r>
        <w:rPr>
          <w:rStyle w:val="CharSectno"/>
        </w:rPr>
        <w:t>8</w:t>
      </w:r>
      <w:r>
        <w:t>.</w:t>
      </w:r>
      <w:r>
        <w:tab/>
        <w:t>Interest and apportionment, certification of</w:t>
      </w:r>
      <w:bookmarkEnd w:id="1480"/>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Gazette 21 Feb 2007 p. 595.]</w:t>
      </w:r>
    </w:p>
    <w:p>
      <w:pPr>
        <w:pStyle w:val="Heading5"/>
        <w:rPr>
          <w:snapToGrid w:val="0"/>
        </w:rPr>
      </w:pPr>
      <w:bookmarkStart w:id="1481" w:name="_Toc129078505"/>
      <w:r>
        <w:rPr>
          <w:rStyle w:val="CharSectno"/>
        </w:rPr>
        <w:lastRenderedPageBreak/>
        <w:t>9</w:t>
      </w:r>
      <w:r>
        <w:rPr>
          <w:snapToGrid w:val="0"/>
        </w:rPr>
        <w:t>.</w:t>
      </w:r>
      <w:r>
        <w:rPr>
          <w:snapToGrid w:val="0"/>
        </w:rPr>
        <w:tab/>
      </w:r>
      <w:r>
        <w:rPr>
          <w:i/>
          <w:snapToGrid w:val="0"/>
        </w:rPr>
        <w:t>Admiralty Act 1988</w:t>
      </w:r>
      <w:r>
        <w:rPr>
          <w:snapToGrid w:val="0"/>
        </w:rPr>
        <w:t xml:space="preserve"> (Cwlth) rules, registrar etc. may exercise powers etc. under</w:t>
      </w:r>
      <w:bookmarkEnd w:id="1481"/>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Gazette 30 Mar 1990 p. 1574; amended: Gazette 30 Oct 1992 p. 5310; 21 Feb 2007 p. 595.]</w:t>
      </w:r>
    </w:p>
    <w:p>
      <w:pPr>
        <w:pStyle w:val="Heading2"/>
      </w:pPr>
      <w:bookmarkStart w:id="1482" w:name="_Toc129074434"/>
      <w:bookmarkStart w:id="1483" w:name="_Toc129075717"/>
      <w:bookmarkStart w:id="1484" w:name="_Toc129078506"/>
      <w:r>
        <w:rPr>
          <w:rStyle w:val="CharPartNo"/>
        </w:rPr>
        <w:lastRenderedPageBreak/>
        <w:t>Order 85</w:t>
      </w:r>
      <w:r>
        <w:rPr>
          <w:b w:val="0"/>
        </w:rPr>
        <w:t> </w:t>
      </w:r>
      <w:r>
        <w:t>—</w:t>
      </w:r>
      <w:r>
        <w:rPr>
          <w:b w:val="0"/>
        </w:rPr>
        <w:t> </w:t>
      </w:r>
      <w:r>
        <w:rPr>
          <w:rStyle w:val="CharPartText"/>
          <w:i/>
          <w:iCs/>
        </w:rPr>
        <w:t>Federal Courts (State Jurisdiction) Act 1999</w:t>
      </w:r>
      <w:r>
        <w:rPr>
          <w:rStyle w:val="CharPartText"/>
        </w:rPr>
        <w:t xml:space="preserve"> rules</w:t>
      </w:r>
      <w:bookmarkEnd w:id="1482"/>
      <w:bookmarkEnd w:id="1483"/>
      <w:bookmarkEnd w:id="1484"/>
    </w:p>
    <w:p>
      <w:pPr>
        <w:pStyle w:val="Footnoteheading"/>
        <w:ind w:left="890"/>
        <w:rPr>
          <w:snapToGrid w:val="0"/>
        </w:rPr>
      </w:pPr>
      <w:r>
        <w:rPr>
          <w:snapToGrid w:val="0"/>
        </w:rPr>
        <w:tab/>
        <w:t>[Heading inserted: Gazette 22 Feb 2008 p. 649.]</w:t>
      </w:r>
    </w:p>
    <w:p>
      <w:pPr>
        <w:pStyle w:val="Heading5"/>
      </w:pPr>
      <w:bookmarkStart w:id="1485" w:name="_Toc129078507"/>
      <w:r>
        <w:rPr>
          <w:rStyle w:val="CharSectno"/>
        </w:rPr>
        <w:t>1</w:t>
      </w:r>
      <w:r>
        <w:t>.</w:t>
      </w:r>
      <w:r>
        <w:tab/>
        <w:t>Terms used</w:t>
      </w:r>
      <w:bookmarkEnd w:id="1485"/>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Gazette 5 Nov 1999 p. 5629.]</w:t>
      </w:r>
    </w:p>
    <w:p>
      <w:pPr>
        <w:pStyle w:val="Heading5"/>
      </w:pPr>
      <w:bookmarkStart w:id="1486" w:name="_Toc129078508"/>
      <w:r>
        <w:rPr>
          <w:rStyle w:val="CharSectno"/>
        </w:rPr>
        <w:t>2</w:t>
      </w:r>
      <w:r>
        <w:t>.</w:t>
      </w:r>
      <w:r>
        <w:tab/>
        <w:t>Title of proceedings</w:t>
      </w:r>
      <w:bookmarkEnd w:id="1486"/>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Gazette 5 Nov 1999 p. 5629.]</w:t>
      </w:r>
    </w:p>
    <w:p>
      <w:pPr>
        <w:pStyle w:val="Heading5"/>
      </w:pPr>
      <w:bookmarkStart w:id="1487" w:name="_Toc129078509"/>
      <w:r>
        <w:rPr>
          <w:rStyle w:val="CharSectno"/>
        </w:rPr>
        <w:t>3</w:t>
      </w:r>
      <w:r>
        <w:t>.</w:t>
      </w:r>
      <w:r>
        <w:tab/>
        <w:t>No proceedings on ineffective judgment before application to have it registered</w:t>
      </w:r>
      <w:bookmarkEnd w:id="1487"/>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lastRenderedPageBreak/>
        <w:tab/>
        <w:t>(3)</w:t>
      </w:r>
      <w:r>
        <w:tab/>
        <w:t>An application to have an ineffective judgment registered may be made at the same time as an application referred to in rule 6(1)(a).</w:t>
      </w:r>
    </w:p>
    <w:p>
      <w:pPr>
        <w:pStyle w:val="Footnotesection"/>
      </w:pPr>
      <w:r>
        <w:tab/>
        <w:t>[Rule 3 inserted: Gazette 5 Nov 1999 p. 5629</w:t>
      </w:r>
      <w:r>
        <w:noBreakHyphen/>
        <w:t>30; amended: Gazette 28 Jun 2011 p. 2552.]</w:t>
      </w:r>
    </w:p>
    <w:p>
      <w:pPr>
        <w:pStyle w:val="Heading5"/>
      </w:pPr>
      <w:bookmarkStart w:id="1488" w:name="_Toc129078510"/>
      <w:r>
        <w:rPr>
          <w:rStyle w:val="CharSectno"/>
        </w:rPr>
        <w:t>4</w:t>
      </w:r>
      <w:r>
        <w:t>.</w:t>
      </w:r>
      <w:r>
        <w:tab/>
        <w:t>Ineffective judgment, application for registration of</w:t>
      </w:r>
      <w:bookmarkEnd w:id="1488"/>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If an ineffective judgment relates to 2 or more matters some of which are not State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lastRenderedPageBreak/>
        <w:tab/>
        <w:t>(d)</w:t>
      </w:r>
      <w:r>
        <w:tab/>
        <w:t>state to the best of the deponent’s knowledge and belief that the applicant is entitled to enforce the judgment.</w:t>
      </w:r>
    </w:p>
    <w:p>
      <w:pPr>
        <w:pStyle w:val="Footnotesection"/>
      </w:pPr>
      <w:r>
        <w:tab/>
        <w:t>[Rule 4 inserted: Gazette 5 Nov 1999 p. 5630.]</w:t>
      </w:r>
    </w:p>
    <w:p>
      <w:pPr>
        <w:pStyle w:val="Heading5"/>
      </w:pPr>
      <w:bookmarkStart w:id="1489" w:name="_Toc129078511"/>
      <w:r>
        <w:rPr>
          <w:rStyle w:val="CharSectno"/>
        </w:rPr>
        <w:t>5</w:t>
      </w:r>
      <w:r>
        <w:t>.</w:t>
      </w:r>
      <w:r>
        <w:tab/>
        <w:t>Ineffective judgments, registration of</w:t>
      </w:r>
      <w:bookmarkEnd w:id="1489"/>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Gazette 5 Nov 1999 p. 5630</w:t>
      </w:r>
      <w:r>
        <w:noBreakHyphen/>
        <w:t>1.]</w:t>
      </w:r>
    </w:p>
    <w:p>
      <w:pPr>
        <w:pStyle w:val="Heading5"/>
      </w:pPr>
      <w:bookmarkStart w:id="1490" w:name="_Toc129078512"/>
      <w:r>
        <w:rPr>
          <w:rStyle w:val="CharSectno"/>
        </w:rPr>
        <w:t>6</w:t>
      </w:r>
      <w:r>
        <w:t>.</w:t>
      </w:r>
      <w:r>
        <w:tab/>
        <w:t>Act s. 10, application for order under</w:t>
      </w:r>
      <w:bookmarkEnd w:id="1490"/>
      <w:r>
        <w:t xml:space="preserve"> </w:t>
      </w:r>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 xml:space="preserve">the supporting affidavit must, in addition to complying with rule 4, exhibit a copy of each document on the </w:t>
      </w:r>
      <w:r>
        <w:lastRenderedPageBreak/>
        <w:t>Commonwealth court’s file, unless that file has been transferred to the Supreme Court or the Supreme Court orders otherwise.</w:t>
      </w:r>
    </w:p>
    <w:p>
      <w:pPr>
        <w:pStyle w:val="Footnotesection"/>
      </w:pPr>
      <w:r>
        <w:tab/>
        <w:t>[Rule 6 inserted: Gazette 5 Nov 1999 p. 5631; amended: Gazette 29 Apr 2005 p. 1795; 28 Jun 2011 p. 2552.]</w:t>
      </w:r>
    </w:p>
    <w:p>
      <w:pPr>
        <w:pStyle w:val="Heading5"/>
      </w:pPr>
      <w:bookmarkStart w:id="1491" w:name="_Toc129078513"/>
      <w:r>
        <w:rPr>
          <w:rStyle w:val="CharSectno"/>
        </w:rPr>
        <w:t>7</w:t>
      </w:r>
      <w:r>
        <w:t>.</w:t>
      </w:r>
      <w:r>
        <w:tab/>
        <w:t>Act s. 11, application for order under</w:t>
      </w:r>
      <w:bookmarkEnd w:id="1491"/>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Gazette 5 Nov 1999 p. 5631</w:t>
      </w:r>
      <w:r>
        <w:noBreakHyphen/>
        <w:t>2.]</w:t>
      </w:r>
    </w:p>
    <w:p>
      <w:pPr>
        <w:pStyle w:val="Heading5"/>
      </w:pPr>
      <w:bookmarkStart w:id="1492" w:name="_Toc129078514"/>
      <w:r>
        <w:rPr>
          <w:rStyle w:val="CharSectno"/>
        </w:rPr>
        <w:t>8</w:t>
      </w:r>
      <w:r>
        <w:t>.</w:t>
      </w:r>
      <w:r>
        <w:tab/>
        <w:t>Act s. 11, effect of order under</w:t>
      </w:r>
      <w:bookmarkEnd w:id="1492"/>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lastRenderedPageBreak/>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Gazette 5 Nov 1999 p. 5632.]</w:t>
      </w:r>
    </w:p>
    <w:p>
      <w:pPr>
        <w:pStyle w:val="yEdnoteschedule"/>
      </w:pPr>
      <w:r>
        <w:t>[First Schedule deleted: Gazette 21 Feb 2007 p. 595.]</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93" w:name="_Toc129074443"/>
      <w:bookmarkStart w:id="1494" w:name="_Toc129075726"/>
      <w:bookmarkStart w:id="1495" w:name="_Toc129078515"/>
      <w:r>
        <w:rPr>
          <w:rStyle w:val="CharSchNo"/>
        </w:rPr>
        <w:lastRenderedPageBreak/>
        <w:t>Schedule 2</w:t>
      </w:r>
      <w:r>
        <w:rPr>
          <w:rStyle w:val="CharSDivNo"/>
        </w:rPr>
        <w:t> </w:t>
      </w:r>
      <w:r>
        <w:t>—</w:t>
      </w:r>
      <w:r>
        <w:rPr>
          <w:rStyle w:val="CharSDivText"/>
        </w:rPr>
        <w:t> </w:t>
      </w:r>
      <w:r>
        <w:rPr>
          <w:rStyle w:val="CharSchText"/>
        </w:rPr>
        <w:t>Forms</w:t>
      </w:r>
      <w:bookmarkEnd w:id="1493"/>
      <w:bookmarkEnd w:id="1494"/>
      <w:bookmarkEnd w:id="1495"/>
    </w:p>
    <w:p>
      <w:pPr>
        <w:pStyle w:val="yFootnoteheading"/>
      </w:pPr>
      <w:r>
        <w:tab/>
        <w:t>[Heading inserted: Gazette 28 Jun 2011 p. 2555.]</w:t>
      </w:r>
    </w:p>
    <w:p>
      <w:pPr>
        <w:pStyle w:val="yHeading5"/>
      </w:pPr>
      <w:bookmarkStart w:id="1496" w:name="_Toc129078516"/>
      <w:r>
        <w:rPr>
          <w:rStyle w:val="CharSClsNo"/>
        </w:rPr>
        <w:t>1</w:t>
      </w:r>
      <w:r>
        <w:t>.</w:t>
      </w:r>
      <w:r>
        <w:tab/>
        <w:t>Writ of summons (general form) (O. 5 r. 1)</w:t>
      </w:r>
      <w:bookmarkEnd w:id="1496"/>
    </w:p>
    <w:p>
      <w:pPr>
        <w:pStyle w:val="yMiscellaneousBody"/>
        <w:tabs>
          <w:tab w:val="left" w:pos="4920"/>
        </w:tabs>
        <w:spacing w:before="120"/>
        <w:rPr>
          <w:sz w:val="20"/>
        </w:rPr>
      </w:pPr>
      <w:r>
        <w:rPr>
          <w:sz w:val="20"/>
        </w:rPr>
        <w:t xml:space="preserve">In the Supreme Court </w:t>
      </w:r>
      <w:r>
        <w:rPr>
          <w:sz w:val="20"/>
        </w:rPr>
        <w:tab/>
        <w:t>No.                 of 20     .</w:t>
      </w:r>
      <w:r>
        <w:rPr>
          <w:sz w:val="20"/>
        </w:rPr>
        <w:br/>
        <w:t>of Western Australia.</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To C.D. of                                                               in the State of Western Australia.</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pBdr>
          <w:bottom w:val="single" w:sz="12" w:space="1" w:color="auto"/>
        </w:pBdr>
        <w:spacing w:before="120"/>
        <w:rPr>
          <w:sz w:val="20"/>
        </w:rPr>
      </w:pPr>
      <w:r>
        <w:rPr>
          <w:sz w:val="20"/>
        </w:rPr>
        <w:t xml:space="preserve">Witness                                                                      Chief Justice of Western Australia </w:t>
      </w:r>
      <w:r>
        <w:rPr>
          <w:sz w:val="20"/>
        </w:rPr>
        <w:br/>
        <w:t>the                    day of                                     20       .</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A defendant may appear to this writ by entering an appearance either personally or by solicitor at the Central Office of the Supreme Court at Perth.</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 xml:space="preserve">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w:t>
      </w:r>
      <w:r>
        <w:rPr>
          <w:sz w:val="20"/>
        </w:rPr>
        <w:lastRenderedPageBreak/>
        <w:t>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w:t>
      </w:r>
      <w:r>
        <w:rPr>
          <w:sz w:val="20"/>
          <w:vertAlign w:val="superscript"/>
        </w:rPr>
        <w:t xml:space="preserve">1 </w:t>
      </w:r>
      <w:r>
        <w:rPr>
          <w:sz w:val="20"/>
        </w:rPr>
        <w:t>is:</w:t>
      </w:r>
    </w:p>
    <w:p>
      <w:pPr>
        <w:pStyle w:val="yMiscellaneousBody"/>
        <w:spacing w:before="120"/>
        <w:rPr>
          <w:sz w:val="20"/>
        </w:rPr>
      </w:pPr>
      <w:r>
        <w:rPr>
          <w:sz w:val="20"/>
        </w:rPr>
        <w:t>The plaintiff’s service details</w:t>
      </w:r>
      <w:r>
        <w:rPr>
          <w:sz w:val="20"/>
          <w:vertAlign w:val="superscript"/>
        </w:rPr>
        <w:t xml:space="preserve">2 </w:t>
      </w:r>
      <w:r>
        <w:rPr>
          <w:sz w:val="20"/>
        </w:rPr>
        <w:t>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MiscellaneousBody"/>
      </w:pPr>
      <w:r>
        <w:rPr>
          <w:sz w:val="20"/>
        </w:rPr>
        <w:t>Notes to Form No. 1 —</w:t>
      </w:r>
    </w:p>
    <w:p>
      <w:pPr>
        <w:pStyle w:val="yMiscellaneousBody"/>
        <w:tabs>
          <w:tab w:val="left" w:pos="426"/>
        </w:tabs>
        <w:ind w:left="426" w:hanging="426"/>
      </w:pPr>
      <w:r>
        <w:t>1.</w:t>
      </w:r>
      <w:r>
        <w:tab/>
        <w:t>Must be provided unless otherwise ordered by the Court.  See Order 71A r. 2 and 3A.</w:t>
      </w:r>
    </w:p>
    <w:p>
      <w:pPr>
        <w:pStyle w:val="yMiscellaneousBody"/>
        <w:tabs>
          <w:tab w:val="left" w:pos="426"/>
        </w:tabs>
        <w:ind w:left="426" w:hanging="426"/>
      </w:pPr>
      <w:r>
        <w:t>2.</w:t>
      </w:r>
      <w:r>
        <w:tab/>
        <w:t>Must be in accordance with Order 71A.</w:t>
      </w:r>
    </w:p>
    <w:p>
      <w:pPr>
        <w:pStyle w:val="yFootnotesection"/>
      </w:pPr>
      <w:r>
        <w:tab/>
        <w:t>[Form 1 amended: Gazette 9 Nov 1973 p. 4165; 29 Mar 1974 p. 1042; 27 Aug 1976 p. 3226; 19 Apr 2005 p. 1300; 21 Feb 2007 p. 596; 28 Jul 2010 p. 3485; 28 Jun 2011 p. 2556; 13 Nov 2015 p. 4650-1.]</w:t>
      </w:r>
    </w:p>
    <w:p>
      <w:pPr>
        <w:pStyle w:val="yHeading5"/>
        <w:keepNext w:val="0"/>
        <w:keepLines w:val="0"/>
        <w:pageBreakBefore/>
        <w:widowControl w:val="0"/>
        <w:spacing w:before="0" w:after="120"/>
      </w:pPr>
      <w:bookmarkStart w:id="1497" w:name="_Toc129078517"/>
      <w:r>
        <w:rPr>
          <w:rStyle w:val="CharSClsNo"/>
        </w:rPr>
        <w:lastRenderedPageBreak/>
        <w:t>2</w:t>
      </w:r>
      <w:r>
        <w:t>.</w:t>
      </w:r>
      <w:r>
        <w:tab/>
        <w:t>Writ of summons indorsed with statement of claim (O. 5 r. 1)</w:t>
      </w:r>
      <w:bookmarkEnd w:id="1497"/>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keepNext/>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Gazette 9 Nov 1973 p. 4165; 28 Jun 2011 p. 2556.]</w:t>
      </w:r>
    </w:p>
    <w:p>
      <w:pPr>
        <w:pStyle w:val="yHeading5"/>
        <w:keepNext w:val="0"/>
        <w:keepLines w:val="0"/>
        <w:pageBreakBefore/>
        <w:widowControl w:val="0"/>
        <w:spacing w:before="0" w:after="120"/>
      </w:pPr>
      <w:bookmarkStart w:id="1498" w:name="_Toc129078518"/>
      <w:r>
        <w:rPr>
          <w:rStyle w:val="CharSClsNo"/>
        </w:rPr>
        <w:lastRenderedPageBreak/>
        <w:t>3</w:t>
      </w:r>
      <w:r>
        <w:t>.</w:t>
      </w:r>
      <w:r>
        <w:rPr>
          <w:b w:val="0"/>
        </w:rPr>
        <w:tab/>
      </w:r>
      <w:r>
        <w:t>Writ of summons to be served outside WA</w:t>
      </w:r>
      <w:bookmarkEnd w:id="1498"/>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framePr w:w="7920" w:h="1980" w:hRule="exact" w:hSpace="180" w:wrap="auto" w:hAnchor="page" w:xAlign="center" w:yAlign="bottom"/>
              <w:ind w:left="2880"/>
              <w:rPr>
                <w:sz w:val="20"/>
              </w:rPr>
            </w:pPr>
            <w:r>
              <w:rPr>
                <w:i/>
                <w:sz w:val="20"/>
              </w:rPr>
              <w:t>This writ is to be used where the defendant or all the defendants or one or more defendant or defendants is or are out of the jurisdiction.</w:t>
            </w:r>
          </w:p>
        </w:tc>
      </w:tr>
    </w:tbl>
    <w:p>
      <w:pPr>
        <w:pStyle w:val="yFootnotesection"/>
        <w:spacing w:before="160"/>
      </w:pPr>
      <w:r>
        <w:tab/>
        <w:t>[Form 3 amended: Gazette 9 Nov 1973 p. 4165; 28 Jul 2010 p. 3485-6; 28 Jun 2011 p. 2556; 12 Jun 2012 p. 2452.]</w:t>
      </w:r>
    </w:p>
    <w:p>
      <w:pPr>
        <w:pStyle w:val="yHeading5"/>
        <w:keepNext w:val="0"/>
        <w:keepLines w:val="0"/>
        <w:pageBreakBefore/>
        <w:widowControl w:val="0"/>
        <w:spacing w:before="0" w:after="120"/>
      </w:pPr>
      <w:bookmarkStart w:id="1499" w:name="_Toc129078519"/>
      <w:r>
        <w:rPr>
          <w:rStyle w:val="CharSClsNo"/>
        </w:rPr>
        <w:lastRenderedPageBreak/>
        <w:t>4</w:t>
      </w:r>
      <w:r>
        <w:t>.</w:t>
      </w:r>
      <w:r>
        <w:tab/>
        <w:t>Notice to defendant in action for possession, foreclosure or sale of mortgaged property (O. 4AA r. 3)</w:t>
      </w:r>
      <w:bookmarkEnd w:id="1499"/>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01"/>
        <w:gridCol w:w="2268"/>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in action for possession, foreclosure or sale of mortgaged property</w:t>
            </w:r>
          </w:p>
        </w:tc>
      </w:tr>
      <w:tr>
        <w:tc>
          <w:tcPr>
            <w:tcW w:w="1701" w:type="dxa"/>
          </w:tcPr>
          <w:p>
            <w:pPr>
              <w:pStyle w:val="yMiscellaneousBody"/>
              <w:rPr>
                <w:sz w:val="20"/>
              </w:rPr>
            </w:pPr>
            <w:r>
              <w:rPr>
                <w:sz w:val="20"/>
              </w:rPr>
              <w:t>Parties</w:t>
            </w:r>
          </w:p>
        </w:tc>
        <w:tc>
          <w:tcPr>
            <w:tcW w:w="5379" w:type="dxa"/>
            <w:gridSpan w:val="2"/>
          </w:tcPr>
          <w:p>
            <w:pPr>
              <w:pStyle w:val="yMiscellaneousBody"/>
              <w:jc w:val="right"/>
              <w:rPr>
                <w:sz w:val="20"/>
              </w:rPr>
            </w:pPr>
            <w:r>
              <w:rPr>
                <w:sz w:val="20"/>
              </w:rPr>
              <w:t>Plaintiff</w:t>
            </w:r>
          </w:p>
          <w:p>
            <w:pPr>
              <w:pStyle w:val="yMiscellaneousBody"/>
              <w:jc w:val="right"/>
              <w:rPr>
                <w:sz w:val="20"/>
              </w:rPr>
            </w:pPr>
            <w:r>
              <w:rPr>
                <w:sz w:val="20"/>
              </w:rPr>
              <w:t>Defendant</w:t>
            </w:r>
          </w:p>
        </w:tc>
      </w:tr>
      <w:tr>
        <w:tc>
          <w:tcPr>
            <w:tcW w:w="7080" w:type="dxa"/>
            <w:gridSpan w:val="3"/>
            <w:tcBorders>
              <w:bottom w:val="single" w:sz="4" w:space="0" w:color="auto"/>
            </w:tcBorders>
          </w:tcPr>
          <w:p>
            <w:pPr>
              <w:pStyle w:val="yMiscellaneousBody"/>
              <w:jc w:val="center"/>
              <w:rPr>
                <w:b/>
                <w:sz w:val="20"/>
              </w:rPr>
            </w:pPr>
            <w:r>
              <w:rPr>
                <w:b/>
                <w:sz w:val="20"/>
              </w:rPr>
              <w:t>Notice to [</w:t>
            </w:r>
            <w:r>
              <w:rPr>
                <w:b/>
                <w:i/>
                <w:sz w:val="20"/>
              </w:rPr>
              <w:t>insert name of defendant</w:t>
            </w:r>
            <w:r>
              <w:rPr>
                <w:b/>
                <w:sz w:val="20"/>
              </w:rPr>
              <w:t>]</w:t>
            </w:r>
          </w:p>
          <w:p>
            <w:pPr>
              <w:pStyle w:val="yMiscellaneousBody"/>
              <w:jc w:val="center"/>
              <w:rPr>
                <w:b/>
                <w:sz w:val="20"/>
              </w:rPr>
            </w:pPr>
            <w:r>
              <w:rPr>
                <w:b/>
                <w:sz w:val="20"/>
              </w:rPr>
              <w:t>IMPORTANT NOTICE AND HOW TO RESPOND</w:t>
            </w:r>
          </w:p>
        </w:tc>
      </w:tr>
      <w:tr>
        <w:tc>
          <w:tcPr>
            <w:tcW w:w="7080" w:type="dxa"/>
            <w:gridSpan w:val="3"/>
            <w:tcBorders>
              <w:bottom w:val="nil"/>
            </w:tcBorders>
          </w:tcPr>
          <w:p>
            <w:pPr>
              <w:pStyle w:val="yMiscellaneousBody"/>
              <w:rPr>
                <w:sz w:val="20"/>
              </w:rPr>
            </w:pPr>
            <w:r>
              <w:rPr>
                <w:sz w:val="20"/>
              </w:rPr>
              <w:t>This is an IMPORTANT NOTICE issued to you because a claim has been made against you in the Supreme Court of Western Australia. If you do not respond you may lose ownership of the property described below and action may be taken to sell that property.</w:t>
            </w:r>
          </w:p>
        </w:tc>
      </w:tr>
      <w:tr>
        <w:tc>
          <w:tcPr>
            <w:tcW w:w="7080" w:type="dxa"/>
            <w:gridSpan w:val="3"/>
            <w:tcBorders>
              <w:top w:val="nil"/>
              <w:bottom w:val="nil"/>
            </w:tcBorders>
          </w:tcPr>
          <w:p>
            <w:pPr>
              <w:pStyle w:val="yMiscellaneousBody"/>
              <w:rPr>
                <w:sz w:val="20"/>
              </w:rPr>
            </w:pPr>
            <w:r>
              <w:rPr>
                <w:sz w:val="20"/>
              </w:rPr>
              <w:t>Attached to this notice is a writ of summons issued by the Supreme Court of Western Australia. The plaintiff, [</w:t>
            </w:r>
            <w:r>
              <w:rPr>
                <w:i/>
                <w:sz w:val="20"/>
              </w:rPr>
              <w:t>name of plaintiff</w:t>
            </w:r>
            <w:r>
              <w:rPr>
                <w:sz w:val="20"/>
              </w:rPr>
              <w:t>], seeks orders against you including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under a mortgage. </w:t>
            </w:r>
            <w:r>
              <w:rPr>
                <w:b/>
                <w:sz w:val="20"/>
              </w:rPr>
              <w:t>This notice contains important information about your rights. Please read it carefully.</w:t>
            </w:r>
          </w:p>
        </w:tc>
      </w:tr>
      <w:tr>
        <w:tc>
          <w:tcPr>
            <w:tcW w:w="7080" w:type="dxa"/>
            <w:gridSpan w:val="3"/>
            <w:tcBorders>
              <w:top w:val="nil"/>
              <w:bottom w:val="nil"/>
            </w:tcBorders>
          </w:tcPr>
          <w:p>
            <w:pPr>
              <w:pStyle w:val="yMiscellaneousBody"/>
              <w:rPr>
                <w:sz w:val="20"/>
              </w:rPr>
            </w:pPr>
            <w:r>
              <w:rPr>
                <w:b/>
                <w:sz w:val="20"/>
              </w:rPr>
              <w:t>If you are unsure of what you should do:</w:t>
            </w:r>
            <w:r>
              <w:rPr>
                <w:sz w:val="20"/>
              </w:rPr>
              <w:t xml:space="preserve"> 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bottom w:val="nil"/>
            </w:tcBorders>
          </w:tcPr>
          <w:p>
            <w:pPr>
              <w:pStyle w:val="yMiscellaneousBody"/>
              <w:rPr>
                <w:sz w:val="20"/>
              </w:rPr>
            </w:pPr>
            <w:r>
              <w:rPr>
                <w:b/>
                <w:sz w:val="20"/>
              </w:rPr>
              <w:t>If you do not agree with the claim and believe that you have a legal defence:</w:t>
            </w:r>
            <w:r>
              <w:rPr>
                <w:sz w:val="20"/>
              </w:rPr>
              <w:t xml:space="preserve"> you should, within [</w:t>
            </w:r>
            <w:r>
              <w:rPr>
                <w:i/>
                <w:sz w:val="20"/>
              </w:rPr>
              <w:t>number of days as required in Order 5 rule 11</w:t>
            </w:r>
            <w:r>
              <w:rPr>
                <w:sz w:val="20"/>
              </w:rPr>
              <w:t>] days after the writ of summons was served on you, inform the Court and [</w:t>
            </w:r>
            <w:r>
              <w:rPr>
                <w:i/>
                <w:sz w:val="20"/>
              </w:rPr>
              <w:t>name of plaintiff</w:t>
            </w:r>
            <w:r>
              <w:rPr>
                <w:sz w:val="20"/>
              </w:rPr>
              <w:t>]’s lawyers, [</w:t>
            </w:r>
            <w:r>
              <w:rPr>
                <w:i/>
                <w:sz w:val="20"/>
              </w:rPr>
              <w:t>name of law firm representing plaintiff</w:t>
            </w:r>
            <w:r>
              <w:rPr>
                <w:sz w:val="20"/>
              </w:rPr>
              <w:t>] (whose contact details appear below), that you wish to defend the action.</w:t>
            </w:r>
          </w:p>
        </w:tc>
      </w:tr>
      <w:tr>
        <w:tc>
          <w:tcPr>
            <w:tcW w:w="7080" w:type="dxa"/>
            <w:gridSpan w:val="3"/>
            <w:tcBorders>
              <w:top w:val="nil"/>
              <w:bottom w:val="nil"/>
            </w:tcBorders>
          </w:tcPr>
          <w:p>
            <w:pPr>
              <w:pStyle w:val="yMiscellaneousBody"/>
              <w:rPr>
                <w:sz w:val="20"/>
              </w:rPr>
            </w:pPr>
            <w:r>
              <w:rPr>
                <w:sz w:val="20"/>
              </w:rPr>
              <w:t>You do not have a legal defence just because you disagree with what the plaintiff is proposing to do or because events have been outside your control. For example, it is not a legal defence that you cannot pay your mortgage repayments because you are unemployed. Because any defence can only succeed if it is recognised at law it might assist you to get some legal advice.</w:t>
            </w:r>
          </w:p>
        </w:tc>
      </w:tr>
      <w:tr>
        <w:tc>
          <w:tcPr>
            <w:tcW w:w="7080" w:type="dxa"/>
            <w:gridSpan w:val="3"/>
            <w:tcBorders>
              <w:top w:val="nil"/>
              <w:bottom w:val="nil"/>
            </w:tcBorders>
          </w:tcPr>
          <w:p>
            <w:pPr>
              <w:pStyle w:val="yMiscellaneousBody"/>
              <w:rPr>
                <w:sz w:val="20"/>
              </w:rPr>
            </w:pPr>
            <w:r>
              <w:rPr>
                <w:sz w:val="20"/>
              </w:rPr>
              <w:lastRenderedPageBreak/>
              <w:t>To inform the Court and [</w:t>
            </w:r>
            <w:r>
              <w:rPr>
                <w:i/>
                <w:sz w:val="20"/>
              </w:rPr>
              <w:t>name of law firm representing plaintiff</w:t>
            </w:r>
            <w:r>
              <w:rPr>
                <w:sz w:val="20"/>
              </w:rPr>
              <w:t>] that you wish to defend the action you should:</w:t>
            </w:r>
          </w:p>
          <w:p>
            <w:pPr>
              <w:pStyle w:val="yMiscellaneousBody"/>
              <w:tabs>
                <w:tab w:val="left" w:pos="293"/>
                <w:tab w:val="left" w:pos="853"/>
              </w:tabs>
              <w:ind w:left="867" w:hanging="867"/>
              <w:rPr>
                <w:sz w:val="20"/>
              </w:rPr>
            </w:pPr>
            <w:r>
              <w:rPr>
                <w:sz w:val="20"/>
              </w:rPr>
              <w:tab/>
              <w:t>1.</w:t>
            </w:r>
            <w:r>
              <w:rPr>
                <w:sz w:val="20"/>
              </w:rPr>
              <w:tab/>
              <w:t>File an original and one copy of a completed Memorandum of Appearance (</w:t>
            </w:r>
            <w:r>
              <w:rPr>
                <w:i/>
                <w:sz w:val="20"/>
              </w:rPr>
              <w:t>Rules of the Supreme Court 1971</w:t>
            </w:r>
            <w:r>
              <w:rPr>
                <w:sz w:val="20"/>
              </w:rPr>
              <w:t xml:space="preserve"> Schedule 2 Form 6) at the Supreme Court registry, Level 11, David Malcolm Justice Centre, 28 Barrack Street, Perth. A Memorandum of Appearance form can be obtained from the Supreme Court website at: www.supremecourt.wa.gov.au.</w:t>
            </w:r>
          </w:p>
          <w:p>
            <w:pPr>
              <w:pStyle w:val="yMiscellaneousBody"/>
              <w:tabs>
                <w:tab w:val="left" w:pos="293"/>
                <w:tab w:val="left" w:pos="853"/>
              </w:tabs>
              <w:ind w:left="867" w:hanging="867"/>
              <w:rPr>
                <w:sz w:val="20"/>
              </w:rPr>
            </w:pPr>
            <w:r>
              <w:rPr>
                <w:sz w:val="20"/>
              </w:rPr>
              <w:tab/>
              <w:t>2.</w:t>
            </w:r>
            <w:r>
              <w:rPr>
                <w:sz w:val="20"/>
              </w:rPr>
              <w:tab/>
              <w:t>Serve on [</w:t>
            </w:r>
            <w:r>
              <w:rPr>
                <w:i/>
                <w:sz w:val="20"/>
              </w:rPr>
              <w:t>name of law firm representing plaintiff</w:t>
            </w:r>
            <w:r>
              <w:rPr>
                <w:sz w:val="20"/>
              </w:rPr>
              <w:t>] without delay a copy of the stamped Memorandum of Appearance that is returned to you by the Court (1. above).</w:t>
            </w:r>
          </w:p>
        </w:tc>
      </w:tr>
      <w:tr>
        <w:tc>
          <w:tcPr>
            <w:tcW w:w="7080" w:type="dxa"/>
            <w:gridSpan w:val="3"/>
            <w:tcBorders>
              <w:top w:val="nil"/>
              <w:bottom w:val="nil"/>
            </w:tcBorders>
          </w:tcPr>
          <w:p>
            <w:pPr>
              <w:pStyle w:val="yMiscellaneousBody"/>
              <w:rPr>
                <w:sz w:val="20"/>
              </w:rPr>
            </w:pPr>
            <w:r>
              <w:rPr>
                <w:b/>
                <w:sz w:val="20"/>
              </w:rPr>
              <w:t>If you do nothing:</w:t>
            </w:r>
            <w:r>
              <w:rPr>
                <w:sz w:val="20"/>
              </w:rPr>
              <w:t xml:space="preserve"> if you do not file a Memorandum of Appearance at the Court within [</w:t>
            </w:r>
            <w:r>
              <w:rPr>
                <w:i/>
                <w:sz w:val="20"/>
              </w:rPr>
              <w:t>number of days as required in Order 5 rule 11</w:t>
            </w:r>
            <w:r>
              <w:rPr>
                <w:sz w:val="20"/>
              </w:rPr>
              <w:t>] days after the writ of summons was served on you, then [</w:t>
            </w:r>
            <w:r>
              <w:rPr>
                <w:i/>
                <w:sz w:val="20"/>
              </w:rPr>
              <w:t>name of plaintiff</w:t>
            </w:r>
            <w:r>
              <w:rPr>
                <w:sz w:val="20"/>
              </w:rPr>
              <w:t>] may ask the Court to make orders that would allow the plaintiff to [</w:t>
            </w:r>
            <w:r>
              <w:rPr>
                <w:i/>
                <w:sz w:val="20"/>
              </w:rPr>
              <w:t>take possession of/foreclose on/sell</w:t>
            </w:r>
            <w:r>
              <w:rPr>
                <w:sz w:val="20"/>
              </w:rPr>
              <w:t>]</w:t>
            </w:r>
            <w:r>
              <w:rPr>
                <w:sz w:val="20"/>
                <w:vertAlign w:val="superscript"/>
              </w:rPr>
              <w:t>1</w:t>
            </w:r>
            <w:r>
              <w:rPr>
                <w:sz w:val="20"/>
              </w:rPr>
              <w:t xml:space="preserve"> your [</w:t>
            </w:r>
            <w:r>
              <w:rPr>
                <w:i/>
                <w:sz w:val="20"/>
              </w:rPr>
              <w:t>description of property</w:t>
            </w:r>
            <w:r>
              <w:rPr>
                <w:sz w:val="20"/>
              </w:rPr>
              <w:t>] [</w:t>
            </w:r>
            <w:r>
              <w:rPr>
                <w:i/>
                <w:sz w:val="20"/>
              </w:rPr>
              <w:t>at location of property if relevant</w:t>
            </w:r>
            <w:r>
              <w:rPr>
                <w:sz w:val="20"/>
              </w:rPr>
              <w:t xml:space="preserve">]. </w:t>
            </w:r>
          </w:p>
        </w:tc>
      </w:tr>
      <w:tr>
        <w:tc>
          <w:tcPr>
            <w:tcW w:w="7080" w:type="dxa"/>
            <w:gridSpan w:val="3"/>
            <w:tcBorders>
              <w:top w:val="nil"/>
            </w:tcBorders>
          </w:tcPr>
          <w:p>
            <w:pPr>
              <w:pStyle w:val="yMiscellaneousBody"/>
              <w:rPr>
                <w:sz w:val="20"/>
              </w:rPr>
            </w:pPr>
            <w:r>
              <w:rPr>
                <w:b/>
                <w:sz w:val="20"/>
              </w:rPr>
              <w:t>The plaintiff’s lawyers:</w:t>
            </w:r>
            <w:r>
              <w:rPr>
                <w:sz w:val="20"/>
              </w:rPr>
              <w:t xml:space="preserve"> The plaintiff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tc>
      </w:tr>
    </w:tbl>
    <w:p>
      <w:pPr>
        <w:pStyle w:val="yMiscellaneousBody"/>
        <w:rPr>
          <w:sz w:val="20"/>
        </w:rPr>
      </w:pPr>
      <w:r>
        <w:rPr>
          <w:sz w:val="20"/>
        </w:rPr>
        <w:t>Note to Form 4:</w:t>
      </w:r>
    </w:p>
    <w:p>
      <w:pPr>
        <w:pStyle w:val="yMiscellaneousBody"/>
        <w:rPr>
          <w:sz w:val="20"/>
        </w:rPr>
      </w:pPr>
      <w:r>
        <w:rPr>
          <w:sz w:val="20"/>
        </w:rPr>
        <w:t>1.</w:t>
      </w:r>
      <w:r>
        <w:rPr>
          <w:sz w:val="20"/>
        </w:rPr>
        <w:tab/>
        <w:t>Delete inapplicable.</w:t>
      </w:r>
    </w:p>
    <w:p>
      <w:pPr>
        <w:pStyle w:val="yFootnotesection"/>
        <w:keepLines w:val="0"/>
        <w:widowControl w:val="0"/>
        <w:spacing w:before="160"/>
      </w:pPr>
      <w:r>
        <w:tab/>
        <w:t>[Form 4 inserted: Gazette 16 Nov 2016 p. 5200</w:t>
      </w:r>
      <w:r>
        <w:noBreakHyphen/>
        <w:t>2.]</w:t>
      </w:r>
    </w:p>
    <w:p>
      <w:pPr>
        <w:pStyle w:val="yHeading5"/>
        <w:keepNext w:val="0"/>
        <w:keepLines w:val="0"/>
        <w:pageBreakBefore/>
        <w:widowControl w:val="0"/>
        <w:spacing w:before="0" w:after="120"/>
      </w:pPr>
      <w:bookmarkStart w:id="1500" w:name="_Toc129078520"/>
      <w:r>
        <w:rPr>
          <w:rStyle w:val="CharSClsNo"/>
        </w:rPr>
        <w:lastRenderedPageBreak/>
        <w:t>5</w:t>
      </w:r>
      <w:r>
        <w:t>.</w:t>
      </w:r>
      <w:r>
        <w:rPr>
          <w:b w:val="0"/>
        </w:rPr>
        <w:tab/>
      </w:r>
      <w:r>
        <w:t>Indorsements of representative capacity of parties (O. 6 r. 5)</w:t>
      </w:r>
      <w:bookmarkEnd w:id="1500"/>
    </w:p>
    <w:p>
      <w:pPr>
        <w:pStyle w:val="yMiscellaneousBody"/>
        <w:rPr>
          <w:sz w:val="20"/>
        </w:rPr>
      </w:pPr>
      <w:r>
        <w:rPr>
          <w:sz w:val="20"/>
        </w:rPr>
        <w:t>The plaintiff’s claim is as executor (</w:t>
      </w:r>
      <w:r>
        <w:rPr>
          <w:i/>
          <w:sz w:val="20"/>
        </w:rPr>
        <w:t>or</w:t>
      </w:r>
      <w:r>
        <w:rPr>
          <w:sz w:val="20"/>
        </w:rPr>
        <w:t xml:space="preserve"> administrator) of C.D., deceased, for, etc.</w:t>
      </w:r>
    </w:p>
    <w:p>
      <w:pPr>
        <w:pStyle w:val="yMiscellaneousBody"/>
        <w:rPr>
          <w:sz w:val="20"/>
        </w:rPr>
      </w:pPr>
      <w:r>
        <w:rPr>
          <w:sz w:val="20"/>
        </w:rPr>
        <w:t>The plaintiff’s claim is against the defendant A.B. as executor (</w:t>
      </w:r>
      <w:r>
        <w:rPr>
          <w:i/>
          <w:sz w:val="20"/>
        </w:rPr>
        <w:t>or</w:t>
      </w:r>
      <w:r>
        <w:rPr>
          <w:sz w:val="20"/>
        </w:rPr>
        <w:t xml:space="preserve"> etc.) of C.D., deceased, for etc.</w:t>
      </w:r>
    </w:p>
    <w:p>
      <w:pPr>
        <w:pStyle w:val="yMiscellaneousBody"/>
        <w:rPr>
          <w:sz w:val="20"/>
        </w:rPr>
      </w:pPr>
      <w:r>
        <w:rPr>
          <w:sz w:val="20"/>
        </w:rPr>
        <w:t>The plaintiff’s claim is against the defendant A.B. as executor of X.Y., deceased, for, etc. and against the defendant C.D., in his personal capacity, for, etc.</w:t>
      </w:r>
    </w:p>
    <w:p>
      <w:pPr>
        <w:pStyle w:val="yMiscellaneousBody"/>
        <w:rPr>
          <w:sz w:val="20"/>
        </w:rPr>
      </w:pPr>
      <w:r>
        <w:rPr>
          <w:sz w:val="20"/>
        </w:rPr>
        <w:t>The plaintiff’s claim is as trustee under the bankruptcy of A.B. for</w:t>
      </w:r>
    </w:p>
    <w:p>
      <w:pPr>
        <w:pStyle w:val="yMiscellaneousBody"/>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rPr>
          <w:sz w:val="20"/>
        </w:rPr>
      </w:pPr>
      <w:r>
        <w:rPr>
          <w:sz w:val="20"/>
        </w:rPr>
        <w:t>The plaintiff’s claim is against the defendant A.B. as principal, and against the defendant C.D. as surety, for</w:t>
      </w:r>
    </w:p>
    <w:p>
      <w:pPr>
        <w:pStyle w:val="yFootnotesection"/>
        <w:keepLines w:val="0"/>
        <w:widowControl w:val="0"/>
        <w:spacing w:before="160"/>
      </w:pPr>
      <w:r>
        <w:tab/>
        <w:t>[Form 5 amended: Gazette 30 Jun 2003 p. 2631; 28 Jun 2011 p. 2556.]</w:t>
      </w:r>
    </w:p>
    <w:p>
      <w:pPr>
        <w:pStyle w:val="yHeading5"/>
        <w:keepNext w:val="0"/>
        <w:keepLines w:val="0"/>
        <w:pageBreakBefore/>
        <w:widowControl w:val="0"/>
        <w:spacing w:before="0" w:after="120"/>
      </w:pPr>
      <w:bookmarkStart w:id="1501" w:name="_Toc129078521"/>
      <w:r>
        <w:lastRenderedPageBreak/>
        <w:t>5AA.</w:t>
      </w:r>
      <w:r>
        <w:tab/>
        <w:t>Notice of change of representation, service details or address (O. 8 r. 5A; O. 71A r. 5(2)(aa))</w:t>
      </w:r>
      <w:bookmarkEnd w:id="1501"/>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1843"/>
        <w:gridCol w:w="1417"/>
        <w:gridCol w:w="690"/>
        <w:gridCol w:w="1153"/>
      </w:tblGrid>
      <w:tr>
        <w:trPr>
          <w:cantSplit/>
          <w:trHeight w:val="329"/>
        </w:trPr>
        <w:tc>
          <w:tcPr>
            <w:tcW w:w="3544" w:type="dxa"/>
            <w:gridSpan w:val="2"/>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Height w:val="328"/>
        </w:trPr>
        <w:tc>
          <w:tcPr>
            <w:tcW w:w="3544" w:type="dxa"/>
            <w:gridSpan w:val="2"/>
            <w:vMerge/>
            <w:tcBorders>
              <w:bottom w:val="nil"/>
            </w:tcBorders>
          </w:tcPr>
          <w:p>
            <w:pPr>
              <w:pStyle w:val="yTableNAm"/>
              <w:spacing w:before="60"/>
              <w:rPr>
                <w:sz w:val="20"/>
              </w:rPr>
            </w:pPr>
          </w:p>
        </w:tc>
        <w:tc>
          <w:tcPr>
            <w:tcW w:w="3260" w:type="dxa"/>
            <w:gridSpan w:val="3"/>
            <w:tcBorders>
              <w:bottom w:val="nil"/>
            </w:tcBorders>
          </w:tcPr>
          <w:p>
            <w:pPr>
              <w:pStyle w:val="yTableNAm"/>
              <w:spacing w:before="60"/>
              <w:rPr>
                <w:sz w:val="20"/>
              </w:rPr>
            </w:pPr>
            <w:r>
              <w:rPr>
                <w:b/>
                <w:sz w:val="20"/>
              </w:rPr>
              <w:t>Notice of change of representation, service details or address</w:t>
            </w:r>
          </w:p>
        </w:tc>
      </w:tr>
      <w:tr>
        <w:trPr>
          <w:cantSplit/>
        </w:trPr>
        <w:tc>
          <w:tcPr>
            <w:tcW w:w="1701" w:type="dxa"/>
            <w:tcBorders>
              <w:bottom w:val="nil"/>
            </w:tcBorders>
          </w:tcPr>
          <w:p>
            <w:pPr>
              <w:pStyle w:val="yTableNAm"/>
              <w:rPr>
                <w:sz w:val="20"/>
              </w:rPr>
            </w:pPr>
            <w:r>
              <w:rPr>
                <w:sz w:val="20"/>
              </w:rPr>
              <w:t>Parties</w:t>
            </w:r>
          </w:p>
        </w:tc>
        <w:tc>
          <w:tcPr>
            <w:tcW w:w="5103" w:type="dxa"/>
            <w:gridSpan w:val="4"/>
            <w:tcBorders>
              <w:bottom w:val="nil"/>
            </w:tcBorders>
          </w:tcPr>
          <w:p>
            <w:pPr>
              <w:pStyle w:val="yTableNAm"/>
              <w:tabs>
                <w:tab w:val="clear" w:pos="567"/>
                <w:tab w:val="left" w:pos="228"/>
              </w:tabs>
              <w:jc w:val="right"/>
              <w:rPr>
                <w:sz w:val="20"/>
              </w:rPr>
            </w:pPr>
            <w:r>
              <w:rPr>
                <w:sz w:val="20"/>
              </w:rPr>
              <w:t>Plaintiff/Applicant/Appellant</w:t>
            </w:r>
            <w:r>
              <w:rPr>
                <w:sz w:val="20"/>
                <w:vertAlign w:val="superscript"/>
              </w:rPr>
              <w:t>1</w:t>
            </w:r>
          </w:p>
          <w:p>
            <w:pPr>
              <w:pStyle w:val="yTableNAm"/>
              <w:tabs>
                <w:tab w:val="clear" w:pos="567"/>
                <w:tab w:val="left" w:pos="228"/>
              </w:tabs>
              <w:jc w:val="right"/>
              <w:rPr>
                <w:sz w:val="20"/>
              </w:rPr>
            </w:pPr>
            <w:r>
              <w:rPr>
                <w:sz w:val="20"/>
              </w:rPr>
              <w:t>Defendant/Respondent</w:t>
            </w:r>
            <w:r>
              <w:rPr>
                <w:sz w:val="20"/>
                <w:vertAlign w:val="superscript"/>
              </w:rPr>
              <w:t>1</w:t>
            </w:r>
          </w:p>
        </w:tc>
      </w:tr>
      <w:tr>
        <w:trPr>
          <w:cantSplit/>
        </w:trPr>
        <w:tc>
          <w:tcPr>
            <w:tcW w:w="1701" w:type="dxa"/>
            <w:tcBorders>
              <w:bottom w:val="nil"/>
            </w:tcBorders>
          </w:tcPr>
          <w:p>
            <w:pPr>
              <w:pStyle w:val="yTableNAm"/>
              <w:rPr>
                <w:sz w:val="20"/>
              </w:rPr>
            </w:pPr>
            <w:r>
              <w:rPr>
                <w:sz w:val="20"/>
              </w:rPr>
              <w:t>Party filing notice</w:t>
            </w:r>
          </w:p>
        </w:tc>
        <w:tc>
          <w:tcPr>
            <w:tcW w:w="5103" w:type="dxa"/>
            <w:gridSpan w:val="4"/>
            <w:tcBorders>
              <w:bottom w:val="nil"/>
            </w:tcBorders>
          </w:tcPr>
          <w:p>
            <w:pPr>
              <w:pStyle w:val="yTableNAm"/>
              <w:rPr>
                <w:sz w:val="20"/>
              </w:rPr>
            </w:pPr>
            <w:r>
              <w:rPr>
                <w:sz w:val="20"/>
              </w:rPr>
              <w:t>Plaintiff/Applicant/Appellant</w:t>
            </w:r>
            <w:r>
              <w:rPr>
                <w:sz w:val="20"/>
                <w:vertAlign w:val="superscript"/>
              </w:rPr>
              <w:t>2</w:t>
            </w:r>
          </w:p>
          <w:p>
            <w:pPr>
              <w:pStyle w:val="yTableNAm"/>
              <w:rPr>
                <w:sz w:val="20"/>
              </w:rPr>
            </w:pPr>
            <w:r>
              <w:rPr>
                <w:sz w:val="20"/>
              </w:rPr>
              <w:t>Defendant/Respondent</w:t>
            </w:r>
            <w:r>
              <w:rPr>
                <w:sz w:val="20"/>
                <w:vertAlign w:val="superscript"/>
              </w:rPr>
              <w:t>2</w:t>
            </w:r>
            <w:r>
              <w:rPr>
                <w:sz w:val="20"/>
              </w:rPr>
              <w:t xml:space="preserve">  Third Party</w:t>
            </w:r>
            <w:r>
              <w:rPr>
                <w:sz w:val="20"/>
                <w:vertAlign w:val="superscript"/>
              </w:rPr>
              <w:t>2</w:t>
            </w:r>
          </w:p>
        </w:tc>
      </w:tr>
      <w:tr>
        <w:trPr>
          <w:cantSplit/>
        </w:trPr>
        <w:tc>
          <w:tcPr>
            <w:tcW w:w="1701" w:type="dxa"/>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CURRENT ADDRESS AND SERVICE DETAILS</w:t>
            </w:r>
          </w:p>
        </w:tc>
      </w:tr>
      <w:tr>
        <w:trPr>
          <w:cantSplit/>
        </w:trPr>
        <w:tc>
          <w:tcPr>
            <w:tcW w:w="1701"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Postal address for service of documents</w:t>
            </w:r>
            <w:r>
              <w:rPr>
                <w:sz w:val="20"/>
                <w:vertAlign w:val="superscript"/>
              </w:rPr>
              <w:t>4</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Telephone number</w:t>
            </w:r>
            <w:r>
              <w:rPr>
                <w:sz w:val="20"/>
                <w:vertAlign w:val="superscript"/>
              </w:rPr>
              <w:t>5</w:t>
            </w:r>
          </w:p>
        </w:tc>
        <w:tc>
          <w:tcPr>
            <w:tcW w:w="1843" w:type="dxa"/>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Email address</w:t>
            </w:r>
            <w:r>
              <w:rPr>
                <w:sz w:val="20"/>
                <w:vertAlign w:val="superscript"/>
              </w:rPr>
              <w:t>6</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Reference</w:t>
            </w:r>
            <w:r>
              <w:rPr>
                <w:sz w:val="20"/>
                <w:vertAlign w:val="superscript"/>
              </w:rPr>
              <w:t>7</w:t>
            </w:r>
          </w:p>
        </w:tc>
        <w:tc>
          <w:tcPr>
            <w:tcW w:w="5103" w:type="dxa"/>
            <w:gridSpan w:val="4"/>
            <w:tcBorders>
              <w:bottom w:val="single" w:sz="4" w:space="0" w:color="auto"/>
            </w:tcBorders>
          </w:tcPr>
          <w:p>
            <w:pPr>
              <w:pStyle w:val="yTableNAm"/>
              <w:rPr>
                <w:sz w:val="20"/>
              </w:rPr>
            </w:pPr>
          </w:p>
        </w:tc>
      </w:tr>
      <w:tr>
        <w:trPr>
          <w:cantSplit/>
        </w:trPr>
        <w:tc>
          <w:tcPr>
            <w:tcW w:w="6804" w:type="dxa"/>
            <w:gridSpan w:val="5"/>
            <w:tcBorders>
              <w:bottom w:val="single" w:sz="4" w:space="0" w:color="auto"/>
            </w:tcBorders>
          </w:tcPr>
          <w:p>
            <w:pPr>
              <w:pStyle w:val="yTableNAm"/>
              <w:rPr>
                <w:sz w:val="20"/>
              </w:rPr>
            </w:pPr>
            <w:r>
              <w:rPr>
                <w:b/>
                <w:sz w:val="20"/>
              </w:rPr>
              <w:t>CHANGE OF REPRESENTATION - IF APPLICABLE</w:t>
            </w:r>
          </w:p>
        </w:tc>
      </w:tr>
      <w:tr>
        <w:trPr>
          <w:cantSplit/>
        </w:trPr>
        <w:tc>
          <w:tcPr>
            <w:tcW w:w="1701" w:type="dxa"/>
            <w:tcBorders>
              <w:bottom w:val="single" w:sz="4" w:space="0" w:color="auto"/>
            </w:tcBorders>
          </w:tcPr>
          <w:p>
            <w:pPr>
              <w:pStyle w:val="yTableNAm"/>
              <w:rPr>
                <w:sz w:val="20"/>
              </w:rPr>
            </w:pPr>
            <w:r>
              <w:rPr>
                <w:sz w:val="20"/>
              </w:rPr>
              <w:t>Change in representation</w:t>
            </w:r>
            <w:r>
              <w:rPr>
                <w:sz w:val="20"/>
                <w:vertAlign w:val="superscript"/>
              </w:rPr>
              <w:t>8</w:t>
            </w:r>
          </w:p>
        </w:tc>
        <w:tc>
          <w:tcPr>
            <w:tcW w:w="5103" w:type="dxa"/>
            <w:gridSpan w:val="4"/>
            <w:tcBorders>
              <w:bottom w:val="single" w:sz="4" w:space="0" w:color="auto"/>
            </w:tcBorders>
          </w:tcPr>
          <w:p>
            <w:pPr>
              <w:pStyle w:val="yTableNAm"/>
              <w:rPr>
                <w:sz w:val="20"/>
              </w:rPr>
            </w:pPr>
            <w:r>
              <w:rPr>
                <w:sz w:val="20"/>
              </w:rPr>
              <w:sym w:font="Monotype Sorts" w:char="F070"/>
            </w:r>
            <w:r>
              <w:rPr>
                <w:sz w:val="20"/>
              </w:rPr>
              <w:tab/>
              <w:t xml:space="preserve">I intend to act in person </w:t>
            </w:r>
          </w:p>
          <w:p>
            <w:pPr>
              <w:pStyle w:val="yTableNAm"/>
              <w:rPr>
                <w:sz w:val="20"/>
              </w:rPr>
            </w:pPr>
            <w:r>
              <w:rPr>
                <w:sz w:val="20"/>
              </w:rPr>
              <w:sym w:font="Monotype Sorts" w:char="F070"/>
            </w:r>
            <w:r>
              <w:rPr>
                <w:sz w:val="20"/>
              </w:rPr>
              <w:tab/>
              <w:t xml:space="preserve">I have changed lawyers </w:t>
            </w:r>
          </w:p>
        </w:tc>
      </w:tr>
      <w:tr>
        <w:trPr>
          <w:cantSplit/>
        </w:trPr>
        <w:tc>
          <w:tcPr>
            <w:tcW w:w="1701" w:type="dxa"/>
            <w:tcBorders>
              <w:bottom w:val="single" w:sz="4" w:space="0" w:color="auto"/>
            </w:tcBorders>
          </w:tcPr>
          <w:p>
            <w:pPr>
              <w:pStyle w:val="yTableNAm"/>
              <w:rPr>
                <w:sz w:val="20"/>
              </w:rPr>
            </w:pPr>
            <w:r>
              <w:rPr>
                <w:sz w:val="20"/>
              </w:rPr>
              <w:t>Name of new lawyer</w:t>
            </w:r>
            <w:r>
              <w:rPr>
                <w:sz w:val="20"/>
                <w:vertAlign w:val="superscript"/>
              </w:rPr>
              <w:t>9</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4" w:space="0" w:color="auto"/>
            </w:tcBorders>
          </w:tcPr>
          <w:p>
            <w:pPr>
              <w:pStyle w:val="yTableNAm"/>
              <w:rPr>
                <w:sz w:val="20"/>
              </w:rPr>
            </w:pPr>
            <w:r>
              <w:rPr>
                <w:sz w:val="20"/>
              </w:rPr>
              <w:t>Address where new lawyer conducts business</w:t>
            </w:r>
            <w:r>
              <w:rPr>
                <w:sz w:val="20"/>
                <w:vertAlign w:val="superscript"/>
              </w:rPr>
              <w:t>10</w:t>
            </w:r>
          </w:p>
        </w:tc>
        <w:tc>
          <w:tcPr>
            <w:tcW w:w="5103" w:type="dxa"/>
            <w:gridSpan w:val="4"/>
            <w:tcBorders>
              <w:bottom w:val="single" w:sz="4" w:space="0" w:color="auto"/>
            </w:tcBorders>
          </w:tcPr>
          <w:p>
            <w:pPr>
              <w:pStyle w:val="yTableNAm"/>
              <w:rPr>
                <w:sz w:val="20"/>
              </w:rPr>
            </w:pPr>
          </w:p>
        </w:tc>
      </w:tr>
      <w:tr>
        <w:trPr>
          <w:cantSplit/>
        </w:trPr>
        <w:tc>
          <w:tcPr>
            <w:tcW w:w="1701" w:type="dxa"/>
            <w:tcBorders>
              <w:bottom w:val="single" w:sz="12" w:space="0" w:color="auto"/>
            </w:tcBorders>
          </w:tcPr>
          <w:p>
            <w:pPr>
              <w:pStyle w:val="yTableNAm"/>
              <w:rPr>
                <w:sz w:val="20"/>
              </w:rPr>
            </w:pPr>
            <w:r>
              <w:rPr>
                <w:sz w:val="20"/>
              </w:rPr>
              <w:t>New lawyer’s postal address</w:t>
            </w:r>
            <w:r>
              <w:rPr>
                <w:sz w:val="20"/>
                <w:vertAlign w:val="superscript"/>
              </w:rPr>
              <w:t>10</w:t>
            </w:r>
          </w:p>
        </w:tc>
        <w:tc>
          <w:tcPr>
            <w:tcW w:w="5103" w:type="dxa"/>
            <w:gridSpan w:val="4"/>
            <w:tcBorders>
              <w:bottom w:val="single" w:sz="12" w:space="0" w:color="auto"/>
            </w:tcBorders>
          </w:tcPr>
          <w:p>
            <w:pPr>
              <w:pStyle w:val="yTableNAm"/>
              <w:rPr>
                <w:sz w:val="20"/>
              </w:rPr>
            </w:pPr>
          </w:p>
        </w:tc>
      </w:tr>
      <w:tr>
        <w:trPr>
          <w:cantSplit/>
        </w:trPr>
        <w:tc>
          <w:tcPr>
            <w:tcW w:w="1701" w:type="dxa"/>
            <w:tcBorders>
              <w:top w:val="single" w:sz="12" w:space="0" w:color="auto"/>
              <w:bottom w:val="single" w:sz="4" w:space="0" w:color="auto"/>
            </w:tcBorders>
          </w:tcPr>
          <w:p>
            <w:pPr>
              <w:pStyle w:val="yTableNAm"/>
              <w:rPr>
                <w:sz w:val="20"/>
              </w:rPr>
            </w:pPr>
            <w:r>
              <w:rPr>
                <w:sz w:val="20"/>
              </w:rPr>
              <w:t>Signature of party or lawyer</w:t>
            </w:r>
          </w:p>
        </w:tc>
        <w:tc>
          <w:tcPr>
            <w:tcW w:w="3950" w:type="dxa"/>
            <w:gridSpan w:val="3"/>
            <w:tcBorders>
              <w:top w:val="single" w:sz="12" w:space="0" w:color="auto"/>
              <w:bottom w:val="single" w:sz="4" w:space="0" w:color="auto"/>
            </w:tcBorders>
          </w:tcPr>
          <w:p>
            <w:pPr>
              <w:pStyle w:val="BodyText3"/>
              <w:spacing w:before="60"/>
              <w:rPr>
                <w:sz w:val="20"/>
              </w:rPr>
            </w:pPr>
            <w:r>
              <w:rPr>
                <w:sz w:val="20"/>
              </w:rPr>
              <w:br/>
              <w:t>Party/Party’s Lawyer</w:t>
            </w:r>
          </w:p>
        </w:tc>
        <w:tc>
          <w:tcPr>
            <w:tcW w:w="1153" w:type="dxa"/>
            <w:tcBorders>
              <w:top w:val="single" w:sz="12"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5AA —</w:t>
      </w:r>
    </w:p>
    <w:p>
      <w:pPr>
        <w:pStyle w:val="yMiscellaneousBody"/>
        <w:spacing w:before="0"/>
        <w:ind w:left="540" w:hanging="540"/>
        <w:rPr>
          <w:sz w:val="20"/>
        </w:rPr>
      </w:pPr>
      <w:r>
        <w:rPr>
          <w:sz w:val="20"/>
        </w:rPr>
        <w:lastRenderedPageBreak/>
        <w:t>1.</w:t>
      </w:r>
      <w:r>
        <w:rPr>
          <w:sz w:val="20"/>
        </w:rPr>
        <w:tab/>
        <w:t>Add full party details.</w:t>
      </w:r>
    </w:p>
    <w:p>
      <w:pPr>
        <w:pStyle w:val="yMiscellaneousBody"/>
        <w:spacing w:before="0"/>
        <w:ind w:left="540" w:hanging="540"/>
        <w:rPr>
          <w:sz w:val="20"/>
        </w:rPr>
      </w:pPr>
      <w:r>
        <w:rPr>
          <w:sz w:val="20"/>
        </w:rPr>
        <w:t>2.</w:t>
      </w:r>
      <w:r>
        <w:rPr>
          <w:sz w:val="20"/>
        </w:rPr>
        <w:tab/>
        <w:t>Delete inapplicable.  Add other party designation if required.</w:t>
      </w:r>
    </w:p>
    <w:p>
      <w:pPr>
        <w:pStyle w:val="yMiscellaneousBody"/>
        <w:spacing w:before="0"/>
        <w:ind w:left="540" w:hanging="540"/>
        <w:rPr>
          <w:sz w:val="20"/>
        </w:rPr>
      </w:pPr>
      <w:r>
        <w:rPr>
          <w:sz w:val="20"/>
        </w:rPr>
        <w:t>3.</w:t>
      </w:r>
      <w:r>
        <w:rPr>
          <w:sz w:val="20"/>
        </w:rPr>
        <w:tab/>
        <w:t>Must be provided unless otherwise ordered by the Court.  See Order 71A r. 2 and 3A.</w:t>
      </w:r>
    </w:p>
    <w:p>
      <w:pPr>
        <w:pStyle w:val="yMiscellaneousBody"/>
        <w:spacing w:before="0"/>
        <w:ind w:left="540" w:hanging="540"/>
        <w:rPr>
          <w:sz w:val="20"/>
        </w:rPr>
      </w:pPr>
      <w:r>
        <w:rPr>
          <w:sz w:val="20"/>
        </w:rPr>
        <w:t>4.</w:t>
      </w:r>
      <w:r>
        <w:rPr>
          <w:sz w:val="20"/>
        </w:rPr>
        <w:tab/>
        <w:t>Must be provided - to be lawyer’s postal address if party is legally represented.</w:t>
      </w:r>
    </w:p>
    <w:p>
      <w:pPr>
        <w:pStyle w:val="yMiscellaneousBody"/>
        <w:spacing w:before="0"/>
        <w:ind w:left="540" w:hanging="540"/>
        <w:rPr>
          <w:sz w:val="20"/>
        </w:rPr>
      </w:pPr>
      <w:r>
        <w:rPr>
          <w:sz w:val="20"/>
        </w:rPr>
        <w:t>5.</w:t>
      </w:r>
      <w:r>
        <w:rPr>
          <w:sz w:val="20"/>
        </w:rPr>
        <w:tab/>
        <w:t>Must be provided - to be lawyer’s telephone number if party is legally represented.</w:t>
      </w:r>
    </w:p>
    <w:p>
      <w:pPr>
        <w:pStyle w:val="yMiscellaneousBody"/>
        <w:spacing w:before="0"/>
        <w:ind w:left="540" w:hanging="540"/>
        <w:rPr>
          <w:sz w:val="20"/>
        </w:rPr>
      </w:pPr>
      <w:r>
        <w:rPr>
          <w:sz w:val="20"/>
        </w:rPr>
        <w:t>6.</w:t>
      </w:r>
      <w:r>
        <w:rPr>
          <w:sz w:val="20"/>
        </w:rPr>
        <w:tab/>
        <w:t>Optional - if provided, may be used for service of documents.</w:t>
      </w:r>
    </w:p>
    <w:p>
      <w:pPr>
        <w:pStyle w:val="yMiscellaneousBody"/>
        <w:spacing w:before="0"/>
        <w:ind w:left="540" w:hanging="540"/>
        <w:rPr>
          <w:sz w:val="20"/>
        </w:rPr>
      </w:pPr>
      <w:r>
        <w:rPr>
          <w:sz w:val="20"/>
        </w:rPr>
        <w:t>7.</w:t>
      </w:r>
      <w:r>
        <w:rPr>
          <w:sz w:val="20"/>
        </w:rPr>
        <w:tab/>
        <w:t>Optional.</w:t>
      </w:r>
    </w:p>
    <w:p>
      <w:pPr>
        <w:pStyle w:val="yMiscellaneousBody"/>
        <w:spacing w:before="0"/>
        <w:ind w:left="540" w:hanging="540"/>
        <w:rPr>
          <w:sz w:val="20"/>
        </w:rPr>
      </w:pPr>
      <w:r>
        <w:rPr>
          <w:sz w:val="20"/>
        </w:rPr>
        <w:t>8.</w:t>
      </w:r>
      <w:r>
        <w:rPr>
          <w:sz w:val="20"/>
        </w:rPr>
        <w:tab/>
        <w:t>Tick relevant box.  If changing lawyers complete new lawyer’s contact details below.</w:t>
      </w:r>
    </w:p>
    <w:p>
      <w:pPr>
        <w:pStyle w:val="yMiscellaneousBody"/>
        <w:spacing w:before="0"/>
        <w:ind w:left="540" w:hanging="540"/>
        <w:rPr>
          <w:sz w:val="20"/>
        </w:rPr>
      </w:pPr>
      <w:r>
        <w:rPr>
          <w:sz w:val="20"/>
        </w:rPr>
        <w:t>9.</w:t>
      </w:r>
      <w:r>
        <w:rPr>
          <w:sz w:val="20"/>
        </w:rPr>
        <w:tab/>
        <w:t>Must be provided if a new lawyer has been appointed.</w:t>
      </w:r>
    </w:p>
    <w:p>
      <w:pPr>
        <w:pStyle w:val="yMiscellaneousBody"/>
        <w:spacing w:before="0"/>
        <w:ind w:left="540" w:hanging="540"/>
        <w:rPr>
          <w:sz w:val="20"/>
        </w:rPr>
      </w:pPr>
      <w:r>
        <w:rPr>
          <w:sz w:val="20"/>
        </w:rPr>
        <w:t>10.</w:t>
      </w:r>
      <w:r>
        <w:rPr>
          <w:sz w:val="20"/>
        </w:rPr>
        <w:tab/>
        <w:t>Must be provided if a new lawyer has been appointed.  Write “as above” if the same as the party’s postal address for service of documents.</w:t>
      </w:r>
    </w:p>
    <w:p>
      <w:pPr>
        <w:pStyle w:val="yFootnotesection"/>
        <w:keepLines w:val="0"/>
        <w:widowControl w:val="0"/>
        <w:spacing w:before="160"/>
      </w:pPr>
      <w:r>
        <w:tab/>
        <w:t>[Form 5AA inserted: Gazette 13 Nov 2015 p. 4651-2.]</w:t>
      </w:r>
    </w:p>
    <w:p>
      <w:pPr>
        <w:pStyle w:val="yHeading5"/>
        <w:keepNext w:val="0"/>
        <w:keepLines w:val="0"/>
        <w:pageBreakBefore/>
        <w:widowControl w:val="0"/>
        <w:spacing w:before="0" w:after="120"/>
      </w:pPr>
      <w:bookmarkStart w:id="1502" w:name="_Toc129078522"/>
      <w:r>
        <w:rPr>
          <w:rStyle w:val="CharSClsNo"/>
        </w:rPr>
        <w:lastRenderedPageBreak/>
        <w:t>5A</w:t>
      </w:r>
      <w:r>
        <w:t>.</w:t>
      </w:r>
      <w:r>
        <w:tab/>
        <w:t>Request for service abroad of judicial documents and certificate (O. 11A r. 4, 6 &amp; 16)</w:t>
      </w:r>
      <w:bookmarkEnd w:id="1502"/>
    </w:p>
    <w:p>
      <w:pPr>
        <w:pStyle w:val="yMiscellaneousBody"/>
        <w:tabs>
          <w:tab w:val="left" w:pos="840"/>
        </w:tabs>
        <w:ind w:left="839" w:hanging="839"/>
        <w:jc w:val="center"/>
        <w:rPr>
          <w:b/>
          <w:bCs/>
        </w:rPr>
      </w:pPr>
      <w:r>
        <w:rPr>
          <w:b/>
          <w:bCs/>
        </w:rPr>
        <w:t>Part 1 — Request for service abroad of judicial documents</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12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12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120"/>
        <w:ind w:left="601" w:hanging="601"/>
        <w:rPr>
          <w:sz w:val="20"/>
        </w:rPr>
      </w:pPr>
      <w:r>
        <w:rPr>
          <w:sz w:val="20"/>
        </w:rPr>
        <w:t>(c)</w:t>
      </w:r>
      <w:r>
        <w:rPr>
          <w:sz w:val="20"/>
        </w:rPr>
        <w:tab/>
        <w:t>by delivery to the addressee, if the addressee accepts it voluntarily (second paragraph of Article 5)*.</w:t>
      </w:r>
    </w:p>
    <w:p>
      <w:pPr>
        <w:pStyle w:val="yMiscellaneousBody"/>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lastRenderedPageBreak/>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lastRenderedPageBreak/>
        <w:t>*Delete if inappropriate.</w:t>
      </w:r>
    </w:p>
    <w:p>
      <w:pPr>
        <w:pStyle w:val="yFootnotesection"/>
      </w:pPr>
      <w:r>
        <w:tab/>
        <w:t>[Form 5A inserted: Gazette 3 Jul 2009 p. 2696</w:t>
      </w:r>
      <w:r>
        <w:noBreakHyphen/>
        <w:t>8; (printers correction: Gazette 7 Jul 2009 p. 2719).]</w:t>
      </w:r>
    </w:p>
    <w:p>
      <w:pPr>
        <w:pStyle w:val="yHeading5"/>
        <w:keepNext w:val="0"/>
        <w:keepLines w:val="0"/>
        <w:pageBreakBefore/>
        <w:spacing w:before="0"/>
      </w:pPr>
      <w:bookmarkStart w:id="1503" w:name="_Toc129078523"/>
      <w:r>
        <w:rPr>
          <w:rStyle w:val="CharSClsNo"/>
        </w:rPr>
        <w:lastRenderedPageBreak/>
        <w:t>5B</w:t>
      </w:r>
      <w:r>
        <w:t>.</w:t>
      </w:r>
      <w:r>
        <w:tab/>
        <w:t>Summary of the document to be served (O. 11A r. 4)</w:t>
      </w:r>
      <w:bookmarkEnd w:id="1503"/>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i/>
          <w:sz w:val="20"/>
        </w:rPr>
        <w:t>[person to be served]</w:t>
      </w:r>
      <w:r>
        <w:rPr>
          <w:b/>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Gazette 3 Jul 2009 p. 2698</w:t>
      </w:r>
      <w:r>
        <w:noBreakHyphen/>
        <w:t>9; amended: SL 2020/242 r. 11.]</w:t>
      </w:r>
    </w:p>
    <w:p>
      <w:pPr>
        <w:pStyle w:val="yEdnotedivision"/>
        <w:spacing w:before="240"/>
        <w:outlineLvl w:val="9"/>
      </w:pPr>
      <w:r>
        <w:t>[Forms 5C</w:t>
      </w:r>
      <w:r>
        <w:noBreakHyphen/>
        <w:t>5F deleted: Gazette 3 Jul 2009 p. 2696.]</w:t>
      </w:r>
    </w:p>
    <w:p>
      <w:pPr>
        <w:pStyle w:val="yHeading5"/>
        <w:keepNext w:val="0"/>
        <w:keepLines w:val="0"/>
        <w:pageBreakBefore/>
        <w:spacing w:before="0"/>
      </w:pPr>
      <w:bookmarkStart w:id="1504" w:name="_Toc129078524"/>
      <w:r>
        <w:lastRenderedPageBreak/>
        <w:t>6.</w:t>
      </w:r>
      <w:r>
        <w:tab/>
        <w:t>Memorandum of appearance (O. 12 r. 2(2))</w:t>
      </w:r>
      <w:bookmarkEnd w:id="1504"/>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58"/>
        <w:gridCol w:w="43"/>
        <w:gridCol w:w="1843"/>
        <w:gridCol w:w="1417"/>
        <w:gridCol w:w="690"/>
        <w:gridCol w:w="1153"/>
      </w:tblGrid>
      <w:tr>
        <w:trPr>
          <w:cantSplit/>
          <w:trHeight w:val="329"/>
        </w:trPr>
        <w:tc>
          <w:tcPr>
            <w:tcW w:w="3544" w:type="dxa"/>
            <w:gridSpan w:val="3"/>
            <w:vMerge w:val="restart"/>
            <w:tcBorders>
              <w:bottom w:val="single" w:sz="4" w:space="0" w:color="auto"/>
            </w:tcBorders>
          </w:tcPr>
          <w:p>
            <w:pPr>
              <w:pStyle w:val="yTableNAm"/>
              <w:rPr>
                <w:sz w:val="20"/>
              </w:rPr>
            </w:pPr>
            <w:r>
              <w:rPr>
                <w:sz w:val="20"/>
              </w:rPr>
              <w:t>Supreme Court of Western Australia</w:t>
            </w:r>
          </w:p>
        </w:tc>
        <w:tc>
          <w:tcPr>
            <w:tcW w:w="3260" w:type="dxa"/>
            <w:gridSpan w:val="3"/>
            <w:tcBorders>
              <w:bottom w:val="single" w:sz="4" w:space="0" w:color="auto"/>
            </w:tcBorders>
            <w:vAlign w:val="center"/>
          </w:tcPr>
          <w:p>
            <w:pPr>
              <w:pStyle w:val="yTableNAm"/>
              <w:rPr>
                <w:sz w:val="20"/>
              </w:rPr>
            </w:pPr>
            <w:r>
              <w:rPr>
                <w:sz w:val="20"/>
              </w:rPr>
              <w:t>No:</w:t>
            </w:r>
          </w:p>
        </w:tc>
      </w:tr>
      <w:tr>
        <w:trPr>
          <w:cantSplit/>
          <w:trHeight w:val="328"/>
        </w:trPr>
        <w:tc>
          <w:tcPr>
            <w:tcW w:w="3544" w:type="dxa"/>
            <w:gridSpan w:val="3"/>
            <w:vMerge/>
            <w:tcBorders>
              <w:bottom w:val="single" w:sz="4" w:space="0" w:color="auto"/>
            </w:tcBorders>
          </w:tcPr>
          <w:p>
            <w:pPr>
              <w:pStyle w:val="yTableNAm"/>
              <w:spacing w:before="60"/>
              <w:rPr>
                <w:sz w:val="20"/>
              </w:rPr>
            </w:pPr>
          </w:p>
        </w:tc>
        <w:tc>
          <w:tcPr>
            <w:tcW w:w="3260" w:type="dxa"/>
            <w:gridSpan w:val="3"/>
            <w:tcBorders>
              <w:bottom w:val="single" w:sz="4" w:space="0" w:color="auto"/>
            </w:tcBorders>
          </w:tcPr>
          <w:p>
            <w:pPr>
              <w:pStyle w:val="yTableNAm"/>
              <w:spacing w:before="60"/>
              <w:rPr>
                <w:sz w:val="20"/>
              </w:rPr>
            </w:pPr>
            <w:r>
              <w:rPr>
                <w:b/>
                <w:sz w:val="20"/>
              </w:rPr>
              <w:t>Memorandum of appearance</w:t>
            </w:r>
          </w:p>
        </w:tc>
      </w:tr>
      <w:tr>
        <w:trPr>
          <w:cantSplit/>
        </w:trPr>
        <w:tc>
          <w:tcPr>
            <w:tcW w:w="1658" w:type="dxa"/>
            <w:tcBorders>
              <w:top w:val="single" w:sz="4" w:space="0" w:color="auto"/>
              <w:bottom w:val="nil"/>
            </w:tcBorders>
          </w:tcPr>
          <w:p>
            <w:pPr>
              <w:pStyle w:val="yTableNAm"/>
              <w:rPr>
                <w:sz w:val="20"/>
              </w:rPr>
            </w:pPr>
            <w:r>
              <w:rPr>
                <w:sz w:val="20"/>
              </w:rPr>
              <w:t>Parties</w:t>
            </w:r>
          </w:p>
        </w:tc>
        <w:tc>
          <w:tcPr>
            <w:tcW w:w="5146" w:type="dxa"/>
            <w:gridSpan w:val="5"/>
            <w:tcBorders>
              <w:top w:val="single" w:sz="4" w:space="0" w:color="auto"/>
              <w:bottom w:val="nil"/>
            </w:tcBorders>
          </w:tcPr>
          <w:p>
            <w:pPr>
              <w:pStyle w:val="yTableNAm"/>
              <w:jc w:val="right"/>
              <w:rPr>
                <w:sz w:val="20"/>
              </w:rPr>
            </w:pPr>
            <w:r>
              <w:rPr>
                <w:sz w:val="20"/>
              </w:rPr>
              <w:t>Plaintiff/Applicant</w:t>
            </w:r>
            <w:r>
              <w:rPr>
                <w:sz w:val="20"/>
                <w:vertAlign w:val="superscript"/>
              </w:rPr>
              <w:t>1</w:t>
            </w:r>
          </w:p>
          <w:p>
            <w:pPr>
              <w:pStyle w:val="yTableNAm"/>
              <w:jc w:val="right"/>
              <w:rPr>
                <w:sz w:val="20"/>
              </w:rPr>
            </w:pPr>
            <w:r>
              <w:rPr>
                <w:sz w:val="20"/>
              </w:rPr>
              <w:t>Defendant/Respondent</w:t>
            </w:r>
            <w:r>
              <w:rPr>
                <w:sz w:val="20"/>
                <w:vertAlign w:val="superscript"/>
              </w:rPr>
              <w:t>1</w:t>
            </w:r>
          </w:p>
        </w:tc>
      </w:tr>
      <w:tr>
        <w:trPr>
          <w:cantSplit/>
        </w:trPr>
        <w:tc>
          <w:tcPr>
            <w:tcW w:w="6804" w:type="dxa"/>
            <w:gridSpan w:val="6"/>
            <w:tcBorders>
              <w:bottom w:val="single" w:sz="4" w:space="0" w:color="auto"/>
            </w:tcBorders>
          </w:tcPr>
          <w:p>
            <w:pPr>
              <w:pStyle w:val="yTableNAm"/>
              <w:rPr>
                <w:sz w:val="20"/>
              </w:rPr>
            </w:pPr>
            <w:r>
              <w:rPr>
                <w:sz w:val="20"/>
              </w:rPr>
              <w:t>Enter an appearance for the Defendant/Respondent/Third Party</w:t>
            </w:r>
            <w:r>
              <w:rPr>
                <w:sz w:val="20"/>
                <w:vertAlign w:val="superscript"/>
              </w:rPr>
              <w:t>2</w:t>
            </w:r>
            <w:r>
              <w:rPr>
                <w:sz w:val="20"/>
              </w:rPr>
              <w:t>:</w:t>
            </w:r>
          </w:p>
          <w:p>
            <w:pPr>
              <w:pStyle w:val="yTableNAm"/>
              <w:rPr>
                <w:sz w:val="20"/>
              </w:rPr>
            </w:pPr>
          </w:p>
        </w:tc>
      </w:tr>
      <w:tr>
        <w:trPr>
          <w:cantSplit/>
        </w:trPr>
        <w:tc>
          <w:tcPr>
            <w:tcW w:w="1701" w:type="dxa"/>
            <w:gridSpan w:val="2"/>
            <w:tcBorders>
              <w:bottom w:val="single" w:sz="4" w:space="0" w:color="auto"/>
            </w:tcBorders>
          </w:tcPr>
          <w:p>
            <w:pPr>
              <w:pStyle w:val="yTableNAm"/>
              <w:rPr>
                <w:sz w:val="20"/>
              </w:rPr>
            </w:pPr>
            <w:r>
              <w:rPr>
                <w:sz w:val="20"/>
              </w:rPr>
              <w:t>Date of filing</w:t>
            </w:r>
          </w:p>
        </w:tc>
        <w:tc>
          <w:tcPr>
            <w:tcW w:w="5103" w:type="dxa"/>
            <w:gridSpan w:val="4"/>
            <w:tcBorders>
              <w:bottom w:val="single" w:sz="4" w:space="0" w:color="auto"/>
            </w:tcBorders>
          </w:tcPr>
          <w:p>
            <w:pPr>
              <w:pStyle w:val="yTableNAm"/>
              <w:rPr>
                <w:sz w:val="20"/>
              </w:rPr>
            </w:pPr>
          </w:p>
        </w:tc>
      </w:tr>
      <w:tr>
        <w:trPr>
          <w:cantSplit/>
        </w:trPr>
        <w:tc>
          <w:tcPr>
            <w:tcW w:w="6804" w:type="dxa"/>
            <w:gridSpan w:val="6"/>
            <w:tcBorders>
              <w:bottom w:val="single" w:sz="4" w:space="0" w:color="auto"/>
            </w:tcBorders>
          </w:tcPr>
          <w:p>
            <w:pPr>
              <w:pStyle w:val="yTableNAm"/>
              <w:rPr>
                <w:sz w:val="20"/>
              </w:rPr>
            </w:pPr>
            <w:r>
              <w:rPr>
                <w:b/>
                <w:sz w:val="20"/>
              </w:rPr>
              <w:t>ADDRESS AND SERVICE DETAILS</w:t>
            </w:r>
          </w:p>
        </w:tc>
      </w:tr>
      <w:tr>
        <w:trPr>
          <w:cantSplit/>
        </w:trPr>
        <w:tc>
          <w:tcPr>
            <w:tcW w:w="1658" w:type="dxa"/>
            <w:tcBorders>
              <w:bottom w:val="single" w:sz="4" w:space="0" w:color="auto"/>
            </w:tcBorders>
          </w:tcPr>
          <w:p>
            <w:pPr>
              <w:pStyle w:val="yTableNAm"/>
              <w:rPr>
                <w:sz w:val="20"/>
              </w:rPr>
            </w:pPr>
            <w:r>
              <w:rPr>
                <w:sz w:val="20"/>
              </w:rPr>
              <w:t>Geographical address of party</w:t>
            </w:r>
            <w:r>
              <w:rPr>
                <w:sz w:val="20"/>
                <w:vertAlign w:val="superscript"/>
              </w:rPr>
              <w:t>3</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Name of lawyer</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Address where lawyer conducts business</w:t>
            </w:r>
            <w:r>
              <w:rPr>
                <w:sz w:val="20"/>
                <w:vertAlign w:val="superscript"/>
              </w:rPr>
              <w:t>4</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Postal address for service of documents</w:t>
            </w:r>
            <w:r>
              <w:rPr>
                <w:sz w:val="20"/>
                <w:vertAlign w:val="superscript"/>
              </w:rPr>
              <w:t>5</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Email address</w:t>
            </w:r>
            <w:r>
              <w:rPr>
                <w:sz w:val="20"/>
                <w:vertAlign w:val="superscript"/>
              </w:rPr>
              <w:t>6</w:t>
            </w:r>
          </w:p>
        </w:tc>
        <w:tc>
          <w:tcPr>
            <w:tcW w:w="5146" w:type="dxa"/>
            <w:gridSpan w:val="5"/>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Telephone number</w:t>
            </w:r>
            <w:r>
              <w:rPr>
                <w:sz w:val="20"/>
                <w:vertAlign w:val="superscript"/>
              </w:rPr>
              <w:t>7</w:t>
            </w:r>
          </w:p>
        </w:tc>
        <w:tc>
          <w:tcPr>
            <w:tcW w:w="1886" w:type="dxa"/>
            <w:gridSpan w:val="2"/>
            <w:tcBorders>
              <w:bottom w:val="single" w:sz="4" w:space="0" w:color="auto"/>
            </w:tcBorders>
          </w:tcPr>
          <w:p>
            <w:pPr>
              <w:pStyle w:val="zyTableNAm"/>
              <w:spacing w:before="60"/>
              <w:rPr>
                <w:sz w:val="20"/>
              </w:rPr>
            </w:pPr>
          </w:p>
        </w:tc>
        <w:tc>
          <w:tcPr>
            <w:tcW w:w="1417" w:type="dxa"/>
            <w:tcBorders>
              <w:bottom w:val="single" w:sz="4" w:space="0" w:color="auto"/>
            </w:tcBorders>
          </w:tcPr>
          <w:p>
            <w:pPr>
              <w:pStyle w:val="yTableNAm"/>
              <w:rPr>
                <w:sz w:val="20"/>
              </w:rPr>
            </w:pPr>
            <w:r>
              <w:rPr>
                <w:sz w:val="20"/>
              </w:rPr>
              <w:t>Fax number</w:t>
            </w:r>
            <w:r>
              <w:rPr>
                <w:sz w:val="20"/>
                <w:vertAlign w:val="superscript"/>
              </w:rPr>
              <w:t>6</w:t>
            </w:r>
          </w:p>
        </w:tc>
        <w:tc>
          <w:tcPr>
            <w:tcW w:w="1843" w:type="dxa"/>
            <w:gridSpan w:val="2"/>
            <w:tcBorders>
              <w:bottom w:val="single" w:sz="4" w:space="0" w:color="auto"/>
            </w:tcBorders>
          </w:tcPr>
          <w:p>
            <w:pPr>
              <w:pStyle w:val="yTableNAm"/>
              <w:rPr>
                <w:sz w:val="20"/>
              </w:rPr>
            </w:pPr>
          </w:p>
        </w:tc>
      </w:tr>
      <w:tr>
        <w:trPr>
          <w:cantSplit/>
        </w:trPr>
        <w:tc>
          <w:tcPr>
            <w:tcW w:w="1658" w:type="dxa"/>
            <w:tcBorders>
              <w:bottom w:val="single" w:sz="4" w:space="0" w:color="auto"/>
            </w:tcBorders>
          </w:tcPr>
          <w:p>
            <w:pPr>
              <w:pStyle w:val="yTableNAm"/>
              <w:rPr>
                <w:sz w:val="20"/>
              </w:rPr>
            </w:pPr>
            <w:r>
              <w:rPr>
                <w:sz w:val="20"/>
              </w:rPr>
              <w:t>Reference</w:t>
            </w:r>
            <w:r>
              <w:rPr>
                <w:sz w:val="20"/>
                <w:vertAlign w:val="superscript"/>
              </w:rPr>
              <w:t>8</w:t>
            </w:r>
          </w:p>
        </w:tc>
        <w:tc>
          <w:tcPr>
            <w:tcW w:w="5146" w:type="dxa"/>
            <w:gridSpan w:val="5"/>
            <w:tcBorders>
              <w:bottom w:val="single" w:sz="4" w:space="0" w:color="auto"/>
            </w:tcBorders>
          </w:tcPr>
          <w:p>
            <w:pPr>
              <w:pStyle w:val="yTableNAm"/>
              <w:rPr>
                <w:sz w:val="20"/>
              </w:rPr>
            </w:pPr>
          </w:p>
        </w:tc>
      </w:tr>
      <w:tr>
        <w:trPr>
          <w:cantSplit/>
        </w:trPr>
        <w:tc>
          <w:tcPr>
            <w:tcW w:w="1658" w:type="dxa"/>
            <w:tcBorders>
              <w:top w:val="single" w:sz="4" w:space="0" w:color="auto"/>
              <w:bottom w:val="single" w:sz="4" w:space="0" w:color="auto"/>
            </w:tcBorders>
          </w:tcPr>
          <w:p>
            <w:pPr>
              <w:pStyle w:val="yTableNAm"/>
              <w:rPr>
                <w:sz w:val="20"/>
              </w:rPr>
            </w:pPr>
            <w:r>
              <w:rPr>
                <w:sz w:val="20"/>
              </w:rPr>
              <w:t>Signature of party or lawyer</w:t>
            </w:r>
          </w:p>
        </w:tc>
        <w:tc>
          <w:tcPr>
            <w:tcW w:w="3993" w:type="dxa"/>
            <w:gridSpan w:val="4"/>
            <w:tcBorders>
              <w:top w:val="single" w:sz="4" w:space="0" w:color="auto"/>
              <w:bottom w:val="single" w:sz="4" w:space="0" w:color="auto"/>
            </w:tcBorders>
          </w:tcPr>
          <w:p>
            <w:pPr>
              <w:pStyle w:val="BodyText3"/>
              <w:spacing w:before="60"/>
              <w:rPr>
                <w:sz w:val="20"/>
              </w:rPr>
            </w:pPr>
            <w:r>
              <w:rPr>
                <w:sz w:val="20"/>
              </w:rPr>
              <w:br/>
              <w:t>Party/Party’s Lawyer</w:t>
            </w:r>
          </w:p>
        </w:tc>
        <w:tc>
          <w:tcPr>
            <w:tcW w:w="1153" w:type="dxa"/>
            <w:tcBorders>
              <w:top w:val="single" w:sz="4" w:space="0" w:color="auto"/>
              <w:bottom w:val="single" w:sz="4" w:space="0" w:color="auto"/>
            </w:tcBorders>
          </w:tcPr>
          <w:p>
            <w:pPr>
              <w:pStyle w:val="yTableNAm"/>
              <w:rPr>
                <w:sz w:val="20"/>
              </w:rPr>
            </w:pPr>
            <w:r>
              <w:rPr>
                <w:sz w:val="20"/>
              </w:rPr>
              <w:t>Date:</w:t>
            </w:r>
          </w:p>
        </w:tc>
      </w:tr>
    </w:tbl>
    <w:p>
      <w:pPr>
        <w:pStyle w:val="yMiscellaneousBody"/>
        <w:tabs>
          <w:tab w:val="left" w:pos="5670"/>
        </w:tabs>
        <w:ind w:left="540" w:hanging="540"/>
        <w:rPr>
          <w:sz w:val="20"/>
        </w:rPr>
      </w:pPr>
      <w:r>
        <w:rPr>
          <w:sz w:val="20"/>
        </w:rPr>
        <w:t>Notes to Form No. 6 —</w:t>
      </w:r>
    </w:p>
    <w:p>
      <w:pPr>
        <w:pStyle w:val="yMiscellaneousBody"/>
        <w:tabs>
          <w:tab w:val="left" w:pos="5670"/>
        </w:tabs>
        <w:spacing w:before="0"/>
        <w:ind w:left="540" w:hanging="540"/>
        <w:rPr>
          <w:sz w:val="20"/>
        </w:rPr>
      </w:pPr>
      <w:r>
        <w:rPr>
          <w:sz w:val="20"/>
        </w:rPr>
        <w:t>1.</w:t>
      </w:r>
      <w:r>
        <w:rPr>
          <w:sz w:val="20"/>
        </w:rPr>
        <w:tab/>
        <w:t>Add full party details.</w:t>
      </w:r>
    </w:p>
    <w:p>
      <w:pPr>
        <w:pStyle w:val="yMiscellaneousBody"/>
        <w:tabs>
          <w:tab w:val="left" w:pos="5670"/>
        </w:tabs>
        <w:spacing w:before="0"/>
        <w:ind w:left="540" w:hanging="540"/>
        <w:rPr>
          <w:sz w:val="20"/>
        </w:rPr>
      </w:pPr>
      <w:r>
        <w:rPr>
          <w:sz w:val="20"/>
        </w:rPr>
        <w:t>2.</w:t>
      </w:r>
      <w:r>
        <w:rPr>
          <w:sz w:val="20"/>
        </w:rPr>
        <w:tab/>
        <w:t>Delete inapplicable.  Add other party designation if required.</w:t>
      </w:r>
    </w:p>
    <w:p>
      <w:pPr>
        <w:pStyle w:val="yMiscellaneousBody"/>
        <w:tabs>
          <w:tab w:val="left" w:pos="5670"/>
        </w:tabs>
        <w:spacing w:before="0"/>
        <w:ind w:left="540" w:hanging="540"/>
        <w:rPr>
          <w:sz w:val="20"/>
        </w:rPr>
      </w:pPr>
      <w:r>
        <w:rPr>
          <w:sz w:val="20"/>
        </w:rPr>
        <w:t>3.</w:t>
      </w:r>
      <w:r>
        <w:rPr>
          <w:sz w:val="20"/>
        </w:rPr>
        <w:tab/>
        <w:t>Must be provided unless otherwise ordered by the Court.  See Order 71A r. 2 and 3A.</w:t>
      </w:r>
    </w:p>
    <w:p>
      <w:pPr>
        <w:pStyle w:val="yMiscellaneousBody"/>
        <w:tabs>
          <w:tab w:val="left" w:pos="5670"/>
        </w:tabs>
        <w:spacing w:before="0"/>
        <w:ind w:left="540" w:hanging="540"/>
        <w:rPr>
          <w:sz w:val="20"/>
        </w:rPr>
      </w:pPr>
      <w:r>
        <w:rPr>
          <w:sz w:val="20"/>
        </w:rPr>
        <w:t>4.</w:t>
      </w:r>
      <w:r>
        <w:rPr>
          <w:sz w:val="20"/>
        </w:rPr>
        <w:tab/>
        <w:t>Must be provided if a lawyer has been appointed.</w:t>
      </w:r>
    </w:p>
    <w:p>
      <w:pPr>
        <w:pStyle w:val="yMiscellaneousBody"/>
        <w:tabs>
          <w:tab w:val="left" w:pos="5670"/>
        </w:tabs>
        <w:spacing w:before="0"/>
        <w:ind w:left="540" w:hanging="540"/>
        <w:rPr>
          <w:sz w:val="20"/>
        </w:rPr>
      </w:pPr>
      <w:r>
        <w:rPr>
          <w:sz w:val="20"/>
        </w:rPr>
        <w:t>5.</w:t>
      </w:r>
      <w:r>
        <w:rPr>
          <w:sz w:val="20"/>
        </w:rPr>
        <w:tab/>
        <w:t>Must be provided - to be lawyer’s postal address if party is legally represented.</w:t>
      </w:r>
    </w:p>
    <w:p>
      <w:pPr>
        <w:pStyle w:val="yMiscellaneousBody"/>
        <w:tabs>
          <w:tab w:val="left" w:pos="5670"/>
        </w:tabs>
        <w:spacing w:before="0"/>
        <w:ind w:left="540" w:hanging="540"/>
        <w:rPr>
          <w:sz w:val="20"/>
        </w:rPr>
      </w:pPr>
      <w:r>
        <w:rPr>
          <w:sz w:val="20"/>
        </w:rPr>
        <w:t>6.</w:t>
      </w:r>
      <w:r>
        <w:rPr>
          <w:sz w:val="20"/>
        </w:rPr>
        <w:tab/>
        <w:t>Optional - if provided, may be used for service of documents.</w:t>
      </w:r>
    </w:p>
    <w:p>
      <w:pPr>
        <w:pStyle w:val="yMiscellaneousBody"/>
        <w:keepNext/>
        <w:tabs>
          <w:tab w:val="left" w:pos="5670"/>
        </w:tabs>
        <w:spacing w:before="0"/>
        <w:ind w:left="540" w:hanging="540"/>
        <w:rPr>
          <w:sz w:val="20"/>
        </w:rPr>
      </w:pPr>
      <w:r>
        <w:rPr>
          <w:sz w:val="20"/>
        </w:rPr>
        <w:lastRenderedPageBreak/>
        <w:t>7.</w:t>
      </w:r>
      <w:r>
        <w:rPr>
          <w:sz w:val="20"/>
        </w:rPr>
        <w:tab/>
        <w:t>Must be provided - to be lawyer’s telephone number if party is legally represented.</w:t>
      </w:r>
    </w:p>
    <w:p>
      <w:pPr>
        <w:pStyle w:val="yMiscellaneousBody"/>
        <w:keepNext/>
        <w:tabs>
          <w:tab w:val="left" w:pos="5670"/>
        </w:tabs>
        <w:spacing w:before="0"/>
        <w:ind w:left="540" w:hanging="540"/>
        <w:rPr>
          <w:sz w:val="20"/>
        </w:rPr>
      </w:pPr>
      <w:r>
        <w:rPr>
          <w:sz w:val="20"/>
        </w:rPr>
        <w:t>8.</w:t>
      </w:r>
      <w:r>
        <w:rPr>
          <w:sz w:val="20"/>
        </w:rPr>
        <w:tab/>
        <w:t>Optional.</w:t>
      </w:r>
    </w:p>
    <w:p>
      <w:pPr>
        <w:pStyle w:val="yFootnotesection"/>
        <w:tabs>
          <w:tab w:val="left" w:pos="5670"/>
        </w:tabs>
      </w:pPr>
      <w:r>
        <w:tab/>
        <w:t>[Form 6 inserted: Gazette 13 Nov 2015 p. 4652.]</w:t>
      </w:r>
    </w:p>
    <w:p>
      <w:pPr>
        <w:pStyle w:val="yHeading5"/>
        <w:keepNext w:val="0"/>
        <w:keepLines w:val="0"/>
        <w:pageBreakBefore/>
        <w:widowControl w:val="0"/>
        <w:spacing w:before="0" w:after="160"/>
      </w:pPr>
      <w:bookmarkStart w:id="1505" w:name="_Toc129078525"/>
      <w:r>
        <w:rPr>
          <w:rStyle w:val="CharSClsNo"/>
        </w:rPr>
        <w:lastRenderedPageBreak/>
        <w:t>7</w:t>
      </w:r>
      <w:r>
        <w:t>.</w:t>
      </w:r>
      <w:r>
        <w:rPr>
          <w:b w:val="0"/>
        </w:rPr>
        <w:tab/>
      </w:r>
      <w:r>
        <w:t>Notice limiting defence (O. 12 r. 10)</w:t>
      </w:r>
      <w:bookmarkEnd w:id="1505"/>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Gazette 28 Jun 2011 p. 2556.]</w:t>
      </w:r>
    </w:p>
    <w:p>
      <w:pPr>
        <w:pStyle w:val="yEdnotedivision"/>
        <w:outlineLvl w:val="9"/>
      </w:pPr>
      <w:r>
        <w:t>[Forms 8 and 9 deleted: Gazette 21 Feb 2007 p. 536.]</w:t>
      </w:r>
    </w:p>
    <w:p>
      <w:pPr>
        <w:pStyle w:val="yHeading5"/>
        <w:keepNext w:val="0"/>
        <w:keepLines w:val="0"/>
        <w:pageBreakBefore/>
        <w:widowControl w:val="0"/>
        <w:spacing w:before="0"/>
      </w:pPr>
      <w:bookmarkStart w:id="1506" w:name="_Toc129078526"/>
      <w:r>
        <w:rPr>
          <w:rStyle w:val="CharSClsNo"/>
        </w:rPr>
        <w:lastRenderedPageBreak/>
        <w:t>10</w:t>
      </w:r>
      <w:r>
        <w:t>.</w:t>
      </w:r>
      <w:r>
        <w:rPr>
          <w:b w:val="0"/>
        </w:rPr>
        <w:tab/>
      </w:r>
      <w:r>
        <w:t>Forms for Order 18</w:t>
      </w:r>
      <w:bookmarkEnd w:id="1506"/>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The person served with this Counterclaim may enter an appearance either personally or by a solicitor at the Central Office of the Supreme Court at Perth.</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lastRenderedPageBreak/>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Gazette 28 Jun 2011 p. 2556</w:t>
      </w:r>
      <w:r>
        <w:noBreakHyphen/>
        <w:t>7.]</w:t>
      </w:r>
    </w:p>
    <w:p>
      <w:pPr>
        <w:pStyle w:val="yHeading5"/>
        <w:pageBreakBefore/>
        <w:spacing w:before="0" w:after="120"/>
      </w:pPr>
      <w:bookmarkStart w:id="1507" w:name="_Toc129078527"/>
      <w:r>
        <w:rPr>
          <w:rStyle w:val="CharSClsNo"/>
        </w:rPr>
        <w:lastRenderedPageBreak/>
        <w:t>11</w:t>
      </w:r>
      <w:r>
        <w:t>.</w:t>
      </w:r>
      <w:r>
        <w:rPr>
          <w:b w:val="0"/>
        </w:rPr>
        <w:tab/>
      </w:r>
      <w:r>
        <w:t>Third party notice (general form) (O. 19 r. 1)</w:t>
      </w:r>
      <w:bookmarkEnd w:id="1507"/>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of Western Australia.</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Appearance is to be entered at the Central Office, Supreme Court, Perth.</w:t>
            </w:r>
          </w:p>
        </w:tc>
      </w:tr>
    </w:tbl>
    <w:p>
      <w:pPr>
        <w:pStyle w:val="yFootnotesection"/>
        <w:spacing w:after="120"/>
      </w:pPr>
      <w:r>
        <w:tab/>
        <w:t>[Form 11 amended: Gazette 28 Jun 2011 p. 2557.]</w:t>
      </w:r>
    </w:p>
    <w:p>
      <w:pPr>
        <w:pStyle w:val="yHeading5"/>
        <w:keepNext w:val="0"/>
        <w:keepLines w:val="0"/>
        <w:pageBreakBefore/>
        <w:spacing w:before="0" w:after="120"/>
      </w:pPr>
      <w:bookmarkStart w:id="1508" w:name="_Toc129078528"/>
      <w:r>
        <w:rPr>
          <w:rStyle w:val="CharSClsNo"/>
        </w:rPr>
        <w:lastRenderedPageBreak/>
        <w:t>12</w:t>
      </w:r>
      <w:r>
        <w:t>.</w:t>
      </w:r>
      <w:r>
        <w:rPr>
          <w:b w:val="0"/>
        </w:rPr>
        <w:tab/>
      </w:r>
      <w:r>
        <w:t>Third party notice where question or issue to be determined (O. 19 r. 1)</w:t>
      </w:r>
      <w:bookmarkEnd w:id="1508"/>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Gazette 9 Nov 1973 p. 4165; 28 Jun 2011 p. 2557.]</w:t>
      </w:r>
    </w:p>
    <w:p>
      <w:pPr>
        <w:pStyle w:val="yEdnotedivision"/>
        <w:spacing w:before="240"/>
        <w:outlineLvl w:val="9"/>
      </w:pPr>
      <w:r>
        <w:t>[Forms 13 and 14 deleted: Gazette 21 Feb 2007 p. 596.]</w:t>
      </w:r>
    </w:p>
    <w:p>
      <w:pPr>
        <w:pStyle w:val="yEdnotedivision"/>
        <w:spacing w:before="240"/>
        <w:outlineLvl w:val="9"/>
      </w:pPr>
      <w:r>
        <w:t>[Form 15 deleted: Gazette 5 Jun 1992 p. 2282.]</w:t>
      </w:r>
    </w:p>
    <w:p>
      <w:pPr>
        <w:pStyle w:val="yEdnotedivision"/>
        <w:spacing w:before="240"/>
        <w:outlineLvl w:val="9"/>
      </w:pPr>
      <w:r>
        <w:t>[Form 16 deleted: Gazette 21 Feb 2007 p. 596.]</w:t>
      </w:r>
    </w:p>
    <w:p>
      <w:pPr>
        <w:pStyle w:val="yHeading5"/>
        <w:keepNext w:val="0"/>
        <w:keepLines w:val="0"/>
        <w:pageBreakBefore/>
        <w:widowControl w:val="0"/>
        <w:spacing w:before="0" w:after="120"/>
      </w:pPr>
      <w:bookmarkStart w:id="1509" w:name="_Toc129078529"/>
      <w:r>
        <w:rPr>
          <w:rStyle w:val="CharSClsNo"/>
        </w:rPr>
        <w:lastRenderedPageBreak/>
        <w:t>17</w:t>
      </w:r>
      <w:r>
        <w:t>.</w:t>
      </w:r>
      <w:r>
        <w:tab/>
        <w:t>List of documents (O. 26 r. 4(1) &amp; 8)</w:t>
      </w:r>
      <w:bookmarkEnd w:id="15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Supreme Court of Western Australia</w:t>
            </w:r>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legal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legal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lastRenderedPageBreak/>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 xml:space="preserve">Certificate by party giving discovery or its legal practitioner </w:t>
            </w:r>
            <w:r>
              <w:rPr>
                <w:sz w:val="20"/>
                <w:vertAlign w:val="superscript"/>
              </w:rPr>
              <w:t> 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 xml:space="preserve">Party’s </w:t>
            </w:r>
            <w:r>
              <w:rPr>
                <w:i/>
                <w:sz w:val="20"/>
              </w:rPr>
              <w:t>legal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pPr>
        <w:pStyle w:val="yMiscellaneousBody"/>
        <w:spacing w:before="0"/>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lastRenderedPageBreak/>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legal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Gazette 28 Jul 2010 p. 3472-5; amended: SL 2022/74 r. 15.]</w:t>
      </w:r>
    </w:p>
    <w:p>
      <w:pPr>
        <w:pStyle w:val="yHeading5"/>
        <w:keepNext w:val="0"/>
        <w:keepLines w:val="0"/>
        <w:pageBreakBefore/>
        <w:spacing w:after="120"/>
      </w:pPr>
      <w:bookmarkStart w:id="1510" w:name="_Toc129078530"/>
      <w:r>
        <w:rPr>
          <w:rStyle w:val="CharSClsNo"/>
        </w:rPr>
        <w:lastRenderedPageBreak/>
        <w:t>18</w:t>
      </w:r>
      <w:r>
        <w:t>.</w:t>
      </w:r>
      <w:r>
        <w:rPr>
          <w:b w:val="0"/>
        </w:rPr>
        <w:tab/>
      </w:r>
      <w:r>
        <w:t>Affidavit verifying list of documents (O. 26 r. 4(3))</w:t>
      </w:r>
      <w:bookmarkEnd w:id="151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legal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Gazette 28 Jul 2010 p. 3475-6; 28 Jun 2011 p. 2557; SL 2022/74 r. 15.]</w:t>
      </w:r>
    </w:p>
    <w:p>
      <w:pPr>
        <w:pStyle w:val="yEdnotedivision"/>
        <w:spacing w:after="240"/>
        <w:outlineLvl w:val="9"/>
      </w:pPr>
      <w:r>
        <w:t>[Form 18A deleted: Gazette 28 Jul 2010 p. 3468.]</w:t>
      </w:r>
    </w:p>
    <w:p>
      <w:pPr>
        <w:pStyle w:val="yEdnotedivision"/>
        <w:spacing w:after="240"/>
        <w:outlineLvl w:val="9"/>
      </w:pPr>
      <w:r>
        <w:t>[Forms 19 and 20 deleted: Gazette 16 Aug 2017 p. 4421.]</w:t>
      </w:r>
    </w:p>
    <w:p>
      <w:pPr>
        <w:pStyle w:val="yHeading5"/>
      </w:pPr>
      <w:bookmarkStart w:id="1511" w:name="_Toc129078531"/>
      <w:r>
        <w:rPr>
          <w:rStyle w:val="CharSClsNo"/>
        </w:rPr>
        <w:lastRenderedPageBreak/>
        <w:t>21</w:t>
      </w:r>
      <w:r>
        <w:t>.</w:t>
      </w:r>
      <w:r>
        <w:tab/>
        <w:t>Subpoena to give oral evidence (O. 36B r. 3(1))</w:t>
      </w:r>
      <w:bookmarkEnd w:id="1511"/>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w:t>
            </w:r>
          </w:p>
        </w:tc>
      </w:tr>
      <w:tr>
        <w:trPr>
          <w:cantSplit/>
        </w:trPr>
        <w:tc>
          <w:tcPr>
            <w:tcW w:w="1418" w:type="dxa"/>
          </w:tcPr>
          <w:p>
            <w:pPr>
              <w:pStyle w:val="yTableNAm"/>
              <w:keepNext/>
              <w:spacing w:before="0"/>
              <w:rPr>
                <w:sz w:val="20"/>
                <w:vertAlign w:val="superscript"/>
              </w:rPr>
            </w:pPr>
            <w:r>
              <w:rPr>
                <w:sz w:val="20"/>
              </w:rPr>
              <w:t>Parties</w:t>
            </w:r>
            <w:r>
              <w:rPr>
                <w:sz w:val="20"/>
                <w:vertAlign w:val="superscript"/>
              </w:rPr>
              <w:t>1</w:t>
            </w:r>
          </w:p>
        </w:tc>
        <w:tc>
          <w:tcPr>
            <w:tcW w:w="5670" w:type="dxa"/>
            <w:gridSpan w:val="3"/>
          </w:tcPr>
          <w:p>
            <w:pPr>
              <w:pStyle w:val="yTableNAm"/>
              <w:keepNext/>
              <w:tabs>
                <w:tab w:val="clear" w:pos="567"/>
                <w:tab w:val="left" w:pos="2897"/>
              </w:tabs>
              <w:spacing w:before="0"/>
              <w:rPr>
                <w:sz w:val="20"/>
              </w:rPr>
            </w:pPr>
            <w:r>
              <w:rPr>
                <w:sz w:val="20"/>
              </w:rPr>
              <w:tab/>
              <w:t>Plaintiff</w:t>
            </w:r>
          </w:p>
          <w:p>
            <w:pPr>
              <w:pStyle w:val="yTableNAm"/>
              <w:keepNext/>
              <w:tabs>
                <w:tab w:val="clear" w:pos="567"/>
                <w:tab w:val="left" w:pos="2897"/>
              </w:tabs>
              <w:spacing w:before="0"/>
              <w:rPr>
                <w:sz w:val="20"/>
              </w:rPr>
            </w:pPr>
            <w:r>
              <w:rPr>
                <w:sz w:val="20"/>
              </w:rPr>
              <w:tab/>
              <w:t>Defendant</w:t>
            </w:r>
          </w:p>
        </w:tc>
      </w:tr>
      <w:tr>
        <w:trPr>
          <w:cantSplit/>
        </w:trPr>
        <w:tc>
          <w:tcPr>
            <w:tcW w:w="1418" w:type="dxa"/>
          </w:tcPr>
          <w:p>
            <w:pPr>
              <w:pStyle w:val="yTableNAm"/>
              <w:keepNext/>
              <w:spacing w:before="0"/>
              <w:rPr>
                <w:sz w:val="20"/>
              </w:rPr>
            </w:pPr>
            <w:r>
              <w:rPr>
                <w:sz w:val="20"/>
              </w:rPr>
              <w:t>To</w:t>
            </w:r>
          </w:p>
        </w:tc>
        <w:tc>
          <w:tcPr>
            <w:tcW w:w="5670" w:type="dxa"/>
            <w:gridSpan w:val="3"/>
          </w:tcPr>
          <w:p>
            <w:pPr>
              <w:pStyle w:val="yTableNAm"/>
              <w:keepNext/>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to give oral evidence.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8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spacing w:before="0"/>
              <w:rPr>
                <w:b/>
                <w:sz w:val="20"/>
              </w:rPr>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to give oral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 to day unless excused by the Court or the person authorised to take evidence in this proceeding or until the hearing of the matter is completed.</w:t>
            </w:r>
          </w:p>
        </w:tc>
      </w:tr>
      <w:tr>
        <w:tc>
          <w:tcPr>
            <w:tcW w:w="7088"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p>
            <w:pPr>
              <w:pStyle w:val="yTableNAm"/>
              <w:spacing w:before="0"/>
              <w:rPr>
                <w:sz w:val="20"/>
              </w:rPr>
            </w:pPr>
          </w:p>
        </w:tc>
        <w:tc>
          <w:tcPr>
            <w:tcW w:w="5670" w:type="dxa"/>
            <w:gridSpan w:val="3"/>
          </w:tcPr>
          <w:p>
            <w:pPr>
              <w:pStyle w:val="yTableNAm"/>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spacing w:before="0"/>
              <w:rPr>
                <w:b/>
                <w:sz w:val="20"/>
              </w:rPr>
            </w:pPr>
            <w:r>
              <w:rPr>
                <w:b/>
                <w:sz w:val="20"/>
              </w:rPr>
              <w:t>Addressee a corporation</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c>
          <w:tcPr>
            <w:tcW w:w="1418" w:type="dxa"/>
          </w:tcPr>
          <w:p>
            <w:pPr>
              <w:pStyle w:val="yTableNAm"/>
              <w:spacing w:before="0"/>
              <w:rPr>
                <w:b/>
                <w:sz w:val="20"/>
              </w:rPr>
            </w:pPr>
            <w:r>
              <w:rPr>
                <w:b/>
                <w:sz w:val="20"/>
              </w:rPr>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rPr>
          <w:cantSplit/>
        </w:trPr>
        <w:tc>
          <w:tcPr>
            <w:tcW w:w="1418" w:type="dxa"/>
            <w:shd w:val="clear" w:color="auto" w:fill="auto"/>
          </w:tcPr>
          <w:p>
            <w:pPr>
              <w:pStyle w:val="yTableNAm"/>
              <w:spacing w:before="0"/>
              <w:rPr>
                <w:b/>
                <w:sz w:val="20"/>
              </w:rPr>
            </w:pPr>
            <w:r>
              <w:rPr>
                <w:b/>
                <w:sz w:val="20"/>
              </w:rPr>
              <w:lastRenderedPageBreak/>
              <w:t>Applications in relation to subpoena</w:t>
            </w:r>
          </w:p>
        </w:tc>
        <w:tc>
          <w:tcPr>
            <w:tcW w:w="5670" w:type="dxa"/>
            <w:gridSpan w:val="3"/>
            <w:shd w:val="clear" w:color="auto" w:fill="auto"/>
          </w:tcPr>
          <w:p>
            <w:pPr>
              <w:pStyle w:val="yTableNAm"/>
              <w:spacing w:before="0"/>
              <w:ind w:left="369" w:hanging="369"/>
              <w:rPr>
                <w:sz w:val="20"/>
              </w:rPr>
            </w:pPr>
            <w:r>
              <w:rPr>
                <w:sz w:val="20"/>
              </w:rPr>
              <w:t>5.</w:t>
            </w:r>
            <w:r>
              <w:rPr>
                <w:sz w:val="20"/>
              </w:rPr>
              <w:tab/>
              <w:t>You have the right to apply to the Court for an order setting aside this subpoena or for other relief in respect of it.</w:t>
            </w:r>
          </w:p>
        </w:tc>
      </w:tr>
      <w:tr>
        <w:trPr>
          <w:cantSplit/>
        </w:trPr>
        <w:tc>
          <w:tcPr>
            <w:tcW w:w="1418" w:type="dxa"/>
          </w:tcPr>
          <w:p>
            <w:pPr>
              <w:pStyle w:val="yTableNAm"/>
              <w:spacing w:before="0"/>
              <w:rPr>
                <w:b/>
                <w:sz w:val="20"/>
              </w:rPr>
            </w:pPr>
            <w:r>
              <w:rPr>
                <w:b/>
                <w:sz w:val="20"/>
              </w:rPr>
              <w:t>Loss or expense of compliance</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6.</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7.</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8.</w:t>
            </w:r>
            <w:r>
              <w:rPr>
                <w:sz w:val="20"/>
              </w:rPr>
              <w:tab/>
              <w:t>Note 7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pPr>
      <w:r>
        <w:t>Footnotes to Form 21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 inserted: Gazette 24 May 2017 p. 2577</w:t>
      </w:r>
      <w:r>
        <w:noBreakHyphen/>
        <w:t>8.]</w:t>
      </w:r>
    </w:p>
    <w:p>
      <w:pPr>
        <w:pStyle w:val="yHeading5"/>
      </w:pPr>
      <w:bookmarkStart w:id="1512" w:name="_Toc129078532"/>
      <w:r>
        <w:rPr>
          <w:rStyle w:val="CharSClsNo"/>
        </w:rPr>
        <w:t>21A</w:t>
      </w:r>
      <w:r>
        <w:t>.</w:t>
      </w:r>
      <w:r>
        <w:tab/>
        <w:t>Subpoena to produce documents (O. 36B r. 3(1))</w:t>
      </w:r>
      <w:bookmarkEnd w:id="1512"/>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and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Pr>
          <w:p>
            <w:pPr>
              <w:pStyle w:val="yTableNAm"/>
              <w:keepNext/>
              <w:spacing w:before="0"/>
              <w:rPr>
                <w:b/>
                <w:sz w:val="20"/>
              </w:rPr>
            </w:pPr>
            <w:r>
              <w:rPr>
                <w:b/>
                <w:sz w:val="20"/>
              </w:rPr>
              <w:lastRenderedPageBreak/>
              <w:t>Details of subpoena</w:t>
            </w:r>
          </w:p>
        </w:tc>
        <w:tc>
          <w:tcPr>
            <w:tcW w:w="5670" w:type="dxa"/>
            <w:gridSpan w:val="3"/>
          </w:tcPr>
          <w:p>
            <w:pPr>
              <w:pStyle w:val="yTableNAm"/>
              <w:keepNext/>
              <w:spacing w:before="0"/>
              <w:rPr>
                <w:sz w:val="20"/>
              </w:rPr>
            </w:pPr>
            <w:r>
              <w:rPr>
                <w:sz w:val="20"/>
              </w:rPr>
              <w:t xml:space="preserve">You must comply with this subpoena — </w:t>
            </w:r>
          </w:p>
          <w:p>
            <w:pPr>
              <w:pStyle w:val="yTableNAm"/>
              <w:keepNext/>
              <w:spacing w:before="0"/>
              <w:ind w:left="368" w:hanging="368"/>
              <w:rPr>
                <w:sz w:val="20"/>
              </w:rPr>
            </w:pPr>
            <w:r>
              <w:rPr>
                <w:sz w:val="20"/>
              </w:rPr>
              <w:t>(a)</w:t>
            </w:r>
            <w:r>
              <w:rPr>
                <w:sz w:val="20"/>
              </w:rPr>
              <w:tab/>
              <w:t>by attending the Court and producing this subpoena or a copy of it and the documents or things specified in the Schedule of documents below at the date, time and place specified below; or</w:t>
            </w:r>
          </w:p>
          <w:p>
            <w:pPr>
              <w:pStyle w:val="yTableNAm"/>
              <w:keepNext/>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below. (</w:t>
            </w:r>
            <w:r>
              <w:rPr>
                <w:i/>
                <w:sz w:val="20"/>
              </w:rPr>
              <w:t>See Notes 5-8</w:t>
            </w:r>
            <w:r>
              <w:rPr>
                <w:sz w:val="20"/>
              </w:rPr>
              <w:t>)</w:t>
            </w:r>
          </w:p>
          <w:p>
            <w:pPr>
              <w:pStyle w:val="yTableNAm"/>
              <w:keepNext/>
              <w:spacing w:before="0"/>
              <w:rPr>
                <w:sz w:val="20"/>
              </w:rPr>
            </w:pPr>
            <w:r>
              <w:rPr>
                <w:sz w:val="20"/>
              </w:rPr>
              <w:t xml:space="preserve">Date, time and place at which you must attend and produce this subpoena or a copy of it and the documents or things, unless you receive a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Address to which this subpoena (or copy) and documents or things may be delivered or posted:</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David Malcolm Justice Centre</w:t>
            </w:r>
          </w:p>
          <w:p>
            <w:pPr>
              <w:pStyle w:val="yTableNAm"/>
              <w:keepNext/>
              <w:spacing w:before="0"/>
              <w:ind w:left="368"/>
              <w:rPr>
                <w:sz w:val="20"/>
              </w:rPr>
            </w:pPr>
            <w:r>
              <w:rPr>
                <w:sz w:val="20"/>
              </w:rPr>
              <w:t>Level 11, 28 Barrack Street</w:t>
            </w:r>
          </w:p>
          <w:p>
            <w:pPr>
              <w:pStyle w:val="yTableNAm"/>
              <w:keepNext/>
              <w:spacing w:before="0"/>
              <w:ind w:left="368"/>
              <w:rPr>
                <w:sz w:val="20"/>
              </w:rPr>
            </w:pPr>
            <w:r>
              <w:rPr>
                <w:sz w:val="20"/>
              </w:rPr>
              <w:t>Perth WA 6000</w:t>
            </w:r>
          </w:p>
          <w:p>
            <w:pPr>
              <w:pStyle w:val="yTableNAm"/>
              <w:keepNext/>
              <w:spacing w:before="0"/>
              <w:ind w:left="368" w:hanging="368"/>
              <w:rPr>
                <w:sz w:val="20"/>
              </w:rPr>
            </w:pPr>
            <w:r>
              <w:rPr>
                <w:sz w:val="20"/>
              </w:rPr>
              <w:t>*</w:t>
            </w:r>
            <w:r>
              <w:rPr>
                <w:sz w:val="20"/>
              </w:rPr>
              <w:tab/>
              <w:t>Supreme Court of Western Australia</w:t>
            </w:r>
          </w:p>
          <w:p>
            <w:pPr>
              <w:pStyle w:val="yTableNAm"/>
              <w:keepNext/>
              <w:spacing w:before="0"/>
              <w:ind w:left="368"/>
              <w:rPr>
                <w:sz w:val="20"/>
              </w:rPr>
            </w:pPr>
            <w:r>
              <w:rPr>
                <w:sz w:val="20"/>
              </w:rPr>
              <w:t>Court of Appeal Office</w:t>
            </w:r>
          </w:p>
          <w:p>
            <w:pPr>
              <w:pStyle w:val="yTableNAm"/>
              <w:keepNext/>
              <w:spacing w:before="0"/>
              <w:ind w:left="368"/>
              <w:rPr>
                <w:sz w:val="20"/>
              </w:rPr>
            </w:pPr>
            <w:r>
              <w:rPr>
                <w:sz w:val="20"/>
              </w:rPr>
              <w:t>Stirling Gardens, Barrack Street</w:t>
            </w:r>
          </w:p>
          <w:p>
            <w:pPr>
              <w:pStyle w:val="yTableNAm"/>
              <w:keepNext/>
              <w:spacing w:before="0"/>
              <w:ind w:left="368"/>
              <w:rPr>
                <w:sz w:val="20"/>
              </w:rPr>
            </w:pPr>
            <w:r>
              <w:rPr>
                <w:sz w:val="20"/>
              </w:rPr>
              <w:t>Perth WA 6000</w:t>
            </w:r>
          </w:p>
        </w:tc>
      </w:tr>
      <w:tr>
        <w:trPr>
          <w:cantSplit/>
        </w:trPr>
        <w:tc>
          <w:tcPr>
            <w:tcW w:w="7088" w:type="dxa"/>
            <w:gridSpan w:val="4"/>
          </w:tcPr>
          <w:p>
            <w:pPr>
              <w:pStyle w:val="yTableNAm"/>
              <w:keepNext/>
              <w:spacing w:before="0"/>
              <w:jc w:val="center"/>
              <w:rPr>
                <w:b/>
                <w:sz w:val="20"/>
              </w:rPr>
            </w:pPr>
            <w:r>
              <w:rPr>
                <w:b/>
                <w:sz w:val="20"/>
              </w:rPr>
              <w:t>Schedule of documents</w:t>
            </w:r>
          </w:p>
        </w:tc>
      </w:tr>
      <w:tr>
        <w:trPr>
          <w:cantSplit/>
        </w:trPr>
        <w:tc>
          <w:tcPr>
            <w:tcW w:w="7088" w:type="dxa"/>
            <w:gridSpan w:val="4"/>
          </w:tcPr>
          <w:p>
            <w:pPr>
              <w:pStyle w:val="yTableNAm"/>
              <w:keepNext/>
              <w:spacing w:before="0"/>
              <w:rPr>
                <w:sz w:val="20"/>
              </w:rPr>
            </w:pPr>
            <w:r>
              <w:rPr>
                <w:sz w:val="20"/>
              </w:rPr>
              <w:t>The documents and things you must produce are as follows:</w:t>
            </w:r>
          </w:p>
          <w:p>
            <w:pPr>
              <w:pStyle w:val="yTableNAm"/>
              <w:keepNext/>
              <w:spacing w:before="0"/>
              <w:rPr>
                <w:i/>
                <w:sz w:val="20"/>
              </w:rPr>
            </w:pPr>
            <w:r>
              <w:rPr>
                <w:sz w:val="20"/>
              </w:rPr>
              <w:t>[</w:t>
            </w:r>
            <w:r>
              <w:rPr>
                <w:i/>
                <w:sz w:val="20"/>
              </w:rPr>
              <w:t>List the documents or things and state whether the original of any document is required. If insufficient space, attach list.</w:t>
            </w:r>
            <w:r>
              <w:rPr>
                <w:sz w:val="20"/>
              </w:rPr>
              <w:t>]</w:t>
            </w:r>
          </w:p>
        </w:tc>
      </w:tr>
      <w:tr>
        <w:trPr>
          <w:cantSplit/>
        </w:trPr>
        <w:tc>
          <w:tcPr>
            <w:tcW w:w="7088" w:type="dxa"/>
            <w:gridSpan w:val="4"/>
          </w:tcPr>
          <w:p>
            <w:pPr>
              <w:pStyle w:val="yTableNAm"/>
              <w:keepNext/>
              <w:spacing w:before="0"/>
              <w:jc w:val="center"/>
              <w:rPr>
                <w:b/>
                <w:sz w:val="20"/>
              </w:rPr>
            </w:pPr>
            <w:r>
              <w:rPr>
                <w:b/>
                <w:sz w:val="20"/>
              </w:rPr>
              <w:t>Notes</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3.</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lastRenderedPageBreak/>
              <w:t>Conduct money</w:t>
            </w:r>
          </w:p>
          <w:p>
            <w:pPr>
              <w:pStyle w:val="yTableNAm"/>
              <w:keepNext/>
              <w:spacing w:before="0"/>
              <w:rPr>
                <w:b/>
                <w:sz w:val="20"/>
              </w:rPr>
            </w:pPr>
          </w:p>
        </w:tc>
        <w:tc>
          <w:tcPr>
            <w:tcW w:w="5670" w:type="dxa"/>
            <w:gridSpan w:val="3"/>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gridSpan w:val="3"/>
          </w:tcPr>
          <w:p>
            <w:pPr>
              <w:pStyle w:val="yTableNAm"/>
              <w:spacing w:before="0"/>
              <w:ind w:left="369" w:hanging="369"/>
              <w:rPr>
                <w:sz w:val="20"/>
              </w:rPr>
            </w:pPr>
            <w:r>
              <w:rPr>
                <w:sz w:val="20"/>
              </w:rPr>
              <w:t>5.</w:t>
            </w:r>
            <w:r>
              <w:rPr>
                <w:sz w:val="20"/>
              </w:rPr>
              <w:tab/>
              <w:t>Instead of attending the Court and producing this subpoena (or a copy of it) and the documents or things, you may comply with this subpoena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gridSpan w:val="3"/>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rPr>
          <w:cantSplit/>
        </w:trPr>
        <w:tc>
          <w:tcPr>
            <w:tcW w:w="1418" w:type="dxa"/>
            <w:tcBorders>
              <w:bottom w:val="nil"/>
            </w:tcBorders>
          </w:tcPr>
          <w:p>
            <w:pPr>
              <w:pStyle w:val="yTableNAm"/>
              <w:spacing w:before="0"/>
              <w:rPr>
                <w:b/>
                <w:sz w:val="20"/>
                <w:vertAlign w:val="superscript"/>
              </w:rPr>
            </w:pPr>
            <w:r>
              <w:rPr>
                <w:b/>
                <w:sz w:val="20"/>
              </w:rPr>
              <w:t>Production of copy instead of original</w:t>
            </w:r>
          </w:p>
        </w:tc>
        <w:tc>
          <w:tcPr>
            <w:tcW w:w="5670" w:type="dxa"/>
            <w:gridSpan w:val="3"/>
            <w:tcBorders>
              <w:bottom w:val="nil"/>
            </w:tcBorders>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tc>
      </w:tr>
      <w:tr>
        <w:trPr>
          <w:cantSplit/>
        </w:trP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shd w:val="clear" w:color="auto" w:fill="auto"/>
          </w:tcPr>
          <w:p>
            <w:pPr>
              <w:pStyle w:val="yTableNAm"/>
              <w:spacing w:before="0"/>
              <w:rPr>
                <w:b/>
                <w:sz w:val="20"/>
              </w:rPr>
            </w:pPr>
            <w:r>
              <w:rPr>
                <w:b/>
                <w:sz w:val="20"/>
              </w:rPr>
              <w:t>Applications in relation to subpoena</w:t>
            </w:r>
          </w:p>
        </w:tc>
        <w:tc>
          <w:tcPr>
            <w:tcW w:w="5670" w:type="dxa"/>
            <w:gridSpan w:val="3"/>
            <w:shd w:val="clear" w:color="auto" w:fill="auto"/>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lastRenderedPageBreak/>
              <w:t>Loss or expense of compliance</w:t>
            </w:r>
          </w:p>
        </w:tc>
        <w:tc>
          <w:tcPr>
            <w:tcW w:w="5670" w:type="dxa"/>
            <w:gridSpan w:val="3"/>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gridSpan w:val="3"/>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21A inserted: Gazette 24 May 2017 p. 2578</w:t>
      </w:r>
      <w:r>
        <w:noBreakHyphen/>
        <w:t>81.]</w:t>
      </w:r>
    </w:p>
    <w:p>
      <w:pPr>
        <w:pStyle w:val="yHeading5"/>
      </w:pPr>
      <w:bookmarkStart w:id="1513" w:name="_Toc129078533"/>
      <w:r>
        <w:rPr>
          <w:rStyle w:val="CharSClsNo"/>
        </w:rPr>
        <w:t>21B</w:t>
      </w:r>
      <w:r>
        <w:t>.</w:t>
      </w:r>
      <w:r>
        <w:tab/>
        <w:t>Subpoena to give oral evidence and produce documents (O. 36B r. 3(1))</w:t>
      </w:r>
      <w:bookmarkEnd w:id="151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544"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544" w:type="dxa"/>
            <w:gridSpan w:val="2"/>
          </w:tcPr>
          <w:p>
            <w:pPr>
              <w:pStyle w:val="yTableNAm"/>
              <w:keepNext/>
              <w:spacing w:before="0"/>
              <w:rPr>
                <w:b/>
                <w:sz w:val="20"/>
              </w:rPr>
            </w:pPr>
            <w:r>
              <w:rPr>
                <w:b/>
                <w:sz w:val="20"/>
              </w:rPr>
              <w:t>Subpoena to give oral evidence and produce documents</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b/>
                <w:sz w:val="20"/>
              </w:rPr>
            </w:pPr>
            <w:r>
              <w:rPr>
                <w:b/>
                <w:sz w:val="20"/>
              </w:rPr>
              <w:t xml:space="preserve">You are ordered to attend the Supreme Court to give oral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Failure to comply with this subpoena without lawful excuse is a contempt of court and may result in your arrest.</w:t>
            </w:r>
          </w:p>
          <w:p>
            <w:pPr>
              <w:pStyle w:val="yTableNAm"/>
              <w:spacing w:before="0"/>
              <w:rPr>
                <w:sz w:val="20"/>
              </w:rPr>
            </w:pPr>
            <w:r>
              <w:rPr>
                <w:sz w:val="20"/>
              </w:rPr>
              <w:t>Please read Notes 1 to 12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1]</w:t>
            </w:r>
            <w:r>
              <w:rPr>
                <w:sz w:val="20"/>
              </w:rPr>
              <w:t xml:space="preserve"> </w:t>
            </w:r>
          </w:p>
        </w:tc>
        <w:tc>
          <w:tcPr>
            <w:tcW w:w="5670" w:type="dxa"/>
            <w:gridSpan w:val="3"/>
          </w:tcPr>
          <w:p>
            <w:pPr>
              <w:pStyle w:val="yTableNAm"/>
              <w:keepNext/>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c>
          <w:tcPr>
            <w:tcW w:w="1418" w:type="dxa"/>
            <w:tcBorders>
              <w:bottom w:val="nil"/>
            </w:tcBorders>
          </w:tcPr>
          <w:p>
            <w:pPr>
              <w:pStyle w:val="yTableNAm"/>
              <w:keepNext/>
              <w:spacing w:before="0"/>
              <w:rPr>
                <w:b/>
                <w:sz w:val="20"/>
              </w:rPr>
            </w:pPr>
            <w:r>
              <w:rPr>
                <w:b/>
                <w:sz w:val="20"/>
              </w:rPr>
              <w:lastRenderedPageBreak/>
              <w:t>Details of subpoena</w:t>
            </w:r>
          </w:p>
        </w:tc>
        <w:tc>
          <w:tcPr>
            <w:tcW w:w="5670" w:type="dxa"/>
            <w:gridSpan w:val="3"/>
            <w:tcBorders>
              <w:bottom w:val="nil"/>
            </w:tcBorders>
          </w:tcPr>
          <w:p>
            <w:pPr>
              <w:pStyle w:val="yTableNAm"/>
              <w:keepNext/>
              <w:spacing w:before="0"/>
              <w:rPr>
                <w:sz w:val="20"/>
              </w:rPr>
            </w:pPr>
            <w:r>
              <w:rPr>
                <w:sz w:val="20"/>
              </w:rPr>
              <w:t xml:space="preserve">In so far as this subpoena requires you to attend to give oral evidence, you must attend as follows, unless you receive notice of a later date or time from the issuing party, in which case the later date or time is substituted — </w:t>
            </w:r>
          </w:p>
          <w:p>
            <w:pPr>
              <w:pStyle w:val="yTableNAm"/>
              <w:keepNext/>
              <w:spacing w:before="0"/>
              <w:rPr>
                <w:sz w:val="20"/>
              </w:rPr>
            </w:pPr>
            <w:r>
              <w:rPr>
                <w:sz w:val="20"/>
              </w:rPr>
              <w:t>Date:</w:t>
            </w:r>
          </w:p>
          <w:p>
            <w:pPr>
              <w:pStyle w:val="yTableNAm"/>
              <w:keepNext/>
              <w:spacing w:before="0"/>
              <w:rPr>
                <w:sz w:val="20"/>
              </w:rPr>
            </w:pPr>
            <w:r>
              <w:rPr>
                <w:sz w:val="20"/>
              </w:rPr>
              <w:t>Time:</w:t>
            </w:r>
          </w:p>
          <w:p>
            <w:pPr>
              <w:pStyle w:val="yTableNAm"/>
              <w:keepNext/>
              <w:spacing w:before="0"/>
              <w:rPr>
                <w:sz w:val="20"/>
              </w:rPr>
            </w:pPr>
            <w:r>
              <w:rPr>
                <w:sz w:val="20"/>
              </w:rPr>
              <w:t>Place:</w:t>
            </w:r>
          </w:p>
          <w:p>
            <w:pPr>
              <w:pStyle w:val="yTableNAm"/>
              <w:keepNext/>
              <w:spacing w:before="0"/>
              <w:rPr>
                <w:sz w:val="20"/>
              </w:rPr>
            </w:pPr>
            <w:r>
              <w:rPr>
                <w:sz w:val="20"/>
              </w:rPr>
              <w:t>You must continue to attend from day-to-day unless excused by the Court or the person authorised to take evidence in this proceeding or until the hearing of the matter is completed.</w:t>
            </w:r>
          </w:p>
          <w:p>
            <w:pPr>
              <w:pStyle w:val="yTableNAm"/>
              <w:keepNext/>
              <w:spacing w:before="0"/>
              <w:ind w:left="368" w:hanging="368"/>
              <w:rPr>
                <w:sz w:val="20"/>
              </w:rPr>
            </w:pPr>
          </w:p>
        </w:tc>
      </w:tr>
      <w:tr>
        <w:tc>
          <w:tcPr>
            <w:tcW w:w="1418" w:type="dxa"/>
            <w:tcBorders>
              <w:top w:val="nil"/>
              <w:bottom w:val="nil"/>
            </w:tcBorders>
          </w:tcPr>
          <w:p>
            <w:pPr>
              <w:pStyle w:val="yTableNAm"/>
              <w:spacing w:before="0"/>
              <w:rPr>
                <w:b/>
                <w:sz w:val="20"/>
              </w:rPr>
            </w:pPr>
          </w:p>
        </w:tc>
        <w:tc>
          <w:tcPr>
            <w:tcW w:w="5670" w:type="dxa"/>
            <w:gridSpan w:val="3"/>
            <w:tcBorders>
              <w:top w:val="nil"/>
              <w:bottom w:val="nil"/>
            </w:tcBorders>
          </w:tcPr>
          <w:p>
            <w:pPr>
              <w:pStyle w:val="yTableNAm"/>
              <w:rPr>
                <w:sz w:val="20"/>
              </w:rPr>
            </w:pPr>
            <w:r>
              <w:rPr>
                <w:sz w:val="20"/>
              </w:rPr>
              <w:t xml:space="preserve">Insofar as this subpoena requires you to attend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to produce this subpoena or a copy of it and the documents or things specified in the Schedule of documents below at the date, time and place specified for attendance and production; or</w:t>
            </w:r>
          </w:p>
          <w:p>
            <w:pPr>
              <w:pStyle w:val="yTableNAm"/>
              <w:spacing w:before="0"/>
              <w:ind w:left="368" w:hanging="368"/>
              <w:rPr>
                <w:sz w:val="20"/>
              </w:rPr>
            </w:pPr>
            <w:r>
              <w:rPr>
                <w:sz w:val="20"/>
              </w:rPr>
              <w:t>(b)</w:t>
            </w:r>
            <w:r>
              <w:rPr>
                <w:sz w:val="20"/>
              </w:rPr>
              <w:tab/>
              <w:t>by delivering or posting this subpoena or a copy of it and the documents or things specified in the Schedule of documents below to the Court at the address below so that they are received not less than 2 clear days before the date specified for attendance and production. (</w:t>
            </w:r>
            <w:r>
              <w:rPr>
                <w:i/>
                <w:sz w:val="20"/>
              </w:rPr>
              <w:t>See Notes 5–8</w:t>
            </w:r>
            <w:r>
              <w:rPr>
                <w:sz w:val="20"/>
              </w:rPr>
              <w:t>)</w:t>
            </w:r>
          </w:p>
        </w:tc>
      </w:tr>
      <w:tr>
        <w:tc>
          <w:tcPr>
            <w:tcW w:w="1418" w:type="dxa"/>
            <w:tcBorders>
              <w:top w:val="nil"/>
            </w:tcBorders>
          </w:tcPr>
          <w:p>
            <w:pPr>
              <w:pStyle w:val="yTableNAm"/>
              <w:spacing w:before="0"/>
              <w:rPr>
                <w:b/>
                <w:sz w:val="20"/>
              </w:rPr>
            </w:pPr>
          </w:p>
        </w:tc>
        <w:tc>
          <w:tcPr>
            <w:tcW w:w="5670" w:type="dxa"/>
            <w:gridSpan w:val="3"/>
            <w:tcBorders>
              <w:top w:val="nil"/>
            </w:tcBorders>
          </w:tcPr>
          <w:p>
            <w:pPr>
              <w:pStyle w:val="yTableNAm"/>
              <w:spacing w:before="0"/>
              <w:rPr>
                <w:sz w:val="20"/>
              </w:rPr>
            </w:pPr>
            <w:r>
              <w:rPr>
                <w:sz w:val="20"/>
              </w:rPr>
              <w:t xml:space="preserve">Date, time and place at which you must attend to produce the subpoena or a copy of it and the documents or things,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Address to which this subpoena (or copy) and documents or things may be delivered: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 Office</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tc>
      </w:tr>
    </w:tbl>
    <w:p>
      <w:pPr>
        <w:pStyle w:val="yMiscellaneousBody"/>
        <w:spacing w:before="0"/>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5670"/>
      </w:tblGrid>
      <w:tr>
        <w:trPr>
          <w:cantSplit/>
        </w:trPr>
        <w:tc>
          <w:tcPr>
            <w:tcW w:w="7088" w:type="dxa"/>
            <w:gridSpan w:val="2"/>
          </w:tcPr>
          <w:p>
            <w:pPr>
              <w:pStyle w:val="yTableNAm"/>
              <w:keepNext/>
              <w:keepLines/>
              <w:spacing w:before="0"/>
              <w:jc w:val="center"/>
              <w:rPr>
                <w:b/>
                <w:sz w:val="20"/>
              </w:rPr>
            </w:pPr>
            <w:r>
              <w:rPr>
                <w:b/>
                <w:sz w:val="20"/>
              </w:rPr>
              <w:lastRenderedPageBreak/>
              <w:t>Schedule of documents</w:t>
            </w:r>
          </w:p>
        </w:tc>
      </w:tr>
      <w:tr>
        <w:trPr>
          <w:cantSplit/>
        </w:trPr>
        <w:tc>
          <w:tcPr>
            <w:tcW w:w="7088" w:type="dxa"/>
            <w:gridSpan w:val="2"/>
          </w:tcPr>
          <w:p>
            <w:pPr>
              <w:pStyle w:val="yTableNAm"/>
              <w:spacing w:before="0"/>
              <w:rPr>
                <w:sz w:val="20"/>
              </w:rPr>
            </w:pPr>
            <w:r>
              <w:rPr>
                <w:sz w:val="20"/>
              </w:rPr>
              <w:t>The documents and things you must produce are as follows:</w:t>
            </w:r>
          </w:p>
          <w:p>
            <w:pPr>
              <w:pStyle w:val="yTableNAm"/>
              <w:spacing w:before="0"/>
              <w:rPr>
                <w:i/>
                <w:sz w:val="20"/>
              </w:rPr>
            </w:pPr>
            <w:r>
              <w:rPr>
                <w:i/>
                <w:sz w:val="20"/>
              </w:rPr>
              <w:t>[List the documents or things and whether the original of any document is required. If insufficient space, attach list.]</w:t>
            </w:r>
          </w:p>
        </w:tc>
      </w:tr>
      <w:tr>
        <w:trPr>
          <w:cantSplit/>
        </w:trPr>
        <w:tc>
          <w:tcPr>
            <w:tcW w:w="7088" w:type="dxa"/>
            <w:gridSpan w:val="2"/>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Last day for service</w:t>
            </w:r>
          </w:p>
        </w:tc>
        <w:tc>
          <w:tcPr>
            <w:tcW w:w="5670" w:type="dxa"/>
          </w:tcPr>
          <w:p>
            <w:pPr>
              <w:pStyle w:val="yTableNAm"/>
              <w:keepLines/>
              <w:widowControl w:val="0"/>
              <w:spacing w:before="0"/>
              <w:ind w:left="369" w:hanging="369"/>
              <w:rPr>
                <w:sz w:val="20"/>
              </w:rPr>
            </w:pPr>
            <w:r>
              <w:rPr>
                <w:sz w:val="20"/>
              </w:rPr>
              <w:t>1.</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tcPr>
          <w:p>
            <w:pPr>
              <w:pStyle w:val="yTableNAm"/>
              <w:spacing w:before="0"/>
              <w:ind w:left="369" w:hanging="369"/>
              <w:rPr>
                <w:sz w:val="20"/>
              </w:rPr>
            </w:pPr>
            <w:r>
              <w:rPr>
                <w:sz w:val="20"/>
              </w:rPr>
              <w:t>2.</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tcPr>
          <w:p>
            <w:pPr>
              <w:pStyle w:val="yTableNAm"/>
              <w:spacing w:before="0"/>
              <w:ind w:left="369" w:hanging="369"/>
              <w:rPr>
                <w:sz w:val="20"/>
              </w:rPr>
            </w:pPr>
            <w:r>
              <w:rPr>
                <w:sz w:val="20"/>
              </w:rPr>
              <w:t>3.</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Conduct money</w:t>
            </w:r>
          </w:p>
        </w:tc>
        <w:tc>
          <w:tcPr>
            <w:tcW w:w="5670" w:type="dxa"/>
          </w:tcPr>
          <w:p>
            <w:pPr>
              <w:pStyle w:val="yTableNAm"/>
              <w:spacing w:before="0"/>
              <w:ind w:left="369" w:hanging="369"/>
              <w:rPr>
                <w:sz w:val="20"/>
              </w:rPr>
            </w:pPr>
            <w:r>
              <w:rPr>
                <w:sz w:val="20"/>
              </w:rPr>
              <w:t>4.</w:t>
            </w:r>
            <w:r>
              <w:rPr>
                <w:sz w:val="20"/>
              </w:rPr>
              <w:tab/>
              <w:t>You need not comply with this subpoena unless conduct money sufficient to meet your reasonable expenses of attending as required by the subpoena is handed or tendered to you a reasonable time before the date your attendance is required.</w:t>
            </w:r>
          </w:p>
        </w:tc>
      </w:tr>
      <w:tr>
        <w:tc>
          <w:tcPr>
            <w:tcW w:w="1418" w:type="dxa"/>
          </w:tcPr>
          <w:p>
            <w:pPr>
              <w:pStyle w:val="yTableNAm"/>
              <w:spacing w:before="0"/>
              <w:rPr>
                <w:b/>
                <w:sz w:val="20"/>
              </w:rPr>
            </w:pPr>
            <w:r>
              <w:rPr>
                <w:b/>
                <w:sz w:val="20"/>
              </w:rPr>
              <w:t>Production of subpoena or copy of it and documents or things by delivery or post</w:t>
            </w:r>
          </w:p>
        </w:tc>
        <w:tc>
          <w:tcPr>
            <w:tcW w:w="5670" w:type="dxa"/>
          </w:tcPr>
          <w:p>
            <w:pPr>
              <w:pStyle w:val="yTableNAm"/>
              <w:spacing w:before="0"/>
              <w:ind w:left="369" w:hanging="369"/>
              <w:rPr>
                <w:sz w:val="20"/>
              </w:rPr>
            </w:pPr>
            <w:r>
              <w:rPr>
                <w:sz w:val="20"/>
              </w:rPr>
              <w:t>5.</w:t>
            </w:r>
            <w:r>
              <w:rPr>
                <w:sz w:val="20"/>
              </w:rPr>
              <w:tab/>
              <w:t>Insofar as this subpoena requires you to attend and produce the subpoena (or a copy of it) and documents or things, you may, instead of attending, comply with that requirement by delivering or posting the subpoena (or a copy of it) and the documents or things to the Court at the address specified in the subpoena so that they are received not less than 2 clear days before the date specified in the subpoena for attendance and production, or if you receive notice of a later date or time from the issuing party, before the later date or time.</w:t>
            </w:r>
          </w:p>
        </w:tc>
      </w:tr>
      <w:tr>
        <w:trPr>
          <w:cantSplit/>
        </w:trPr>
        <w:tc>
          <w:tcPr>
            <w:tcW w:w="1418" w:type="dxa"/>
          </w:tcPr>
          <w:p>
            <w:pPr>
              <w:pStyle w:val="yTableNAm"/>
              <w:spacing w:before="0"/>
              <w:rPr>
                <w:b/>
                <w:sz w:val="20"/>
              </w:rPr>
            </w:pPr>
            <w:r>
              <w:rPr>
                <w:b/>
                <w:sz w:val="20"/>
              </w:rPr>
              <w:t>Production of a number of documents or things</w:t>
            </w:r>
          </w:p>
        </w:tc>
        <w:tc>
          <w:tcPr>
            <w:tcW w:w="5670" w:type="dxa"/>
          </w:tcPr>
          <w:p>
            <w:pPr>
              <w:pStyle w:val="yTableNAm"/>
              <w:spacing w:before="0"/>
              <w:ind w:left="369" w:hanging="369"/>
              <w:rPr>
                <w:sz w:val="20"/>
              </w:rPr>
            </w:pPr>
            <w:r>
              <w:rPr>
                <w:sz w:val="20"/>
              </w:rPr>
              <w:t>6.</w:t>
            </w:r>
            <w:r>
              <w:rPr>
                <w:sz w:val="20"/>
              </w:rPr>
              <w:tab/>
              <w:t>If you produce more than one document or thing, you must include with them a list of them.</w:t>
            </w:r>
          </w:p>
        </w:tc>
      </w:tr>
      <w:tr>
        <w:tc>
          <w:tcPr>
            <w:tcW w:w="1418" w:type="dxa"/>
          </w:tcPr>
          <w:p>
            <w:pPr>
              <w:pStyle w:val="yTableNAm"/>
              <w:spacing w:before="0"/>
              <w:rPr>
                <w:b/>
                <w:sz w:val="20"/>
                <w:vertAlign w:val="superscript"/>
              </w:rPr>
            </w:pPr>
            <w:r>
              <w:rPr>
                <w:b/>
                <w:sz w:val="20"/>
              </w:rPr>
              <w:t>Production of copy instead of original</w:t>
            </w:r>
          </w:p>
        </w:tc>
        <w:tc>
          <w:tcPr>
            <w:tcW w:w="5670" w:type="dxa"/>
          </w:tcPr>
          <w:p>
            <w:pPr>
              <w:pStyle w:val="yTableNAm"/>
              <w:spacing w:before="0"/>
              <w:ind w:left="369" w:hanging="369"/>
              <w:rPr>
                <w:sz w:val="20"/>
              </w:rPr>
            </w:pPr>
            <w:r>
              <w:rPr>
                <w:sz w:val="20"/>
              </w:rPr>
              <w:t>7.</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8.</w:t>
            </w:r>
            <w:r>
              <w:rPr>
                <w:sz w:val="20"/>
              </w:rPr>
              <w:tab/>
              <w:t xml:space="preserve">The copy of a document may be — </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lastRenderedPageBreak/>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Applications in relation to subpoena</w:t>
            </w:r>
          </w:p>
        </w:tc>
        <w:tc>
          <w:tcPr>
            <w:tcW w:w="5670" w:type="dxa"/>
          </w:tcPr>
          <w:p>
            <w:pPr>
              <w:pStyle w:val="yTableNAm"/>
              <w:spacing w:before="0"/>
              <w:ind w:left="369" w:hanging="369"/>
              <w:rPr>
                <w:sz w:val="20"/>
              </w:rPr>
            </w:pPr>
            <w:r>
              <w:rPr>
                <w:sz w:val="20"/>
              </w:rPr>
              <w:t>9.</w:t>
            </w:r>
            <w:r>
              <w:rPr>
                <w:sz w:val="20"/>
              </w:rPr>
              <w:tab/>
              <w:t xml:space="preserve">You have the right to apply (before or after complying with this subpoena) to the Court for an order — </w:t>
            </w:r>
          </w:p>
          <w:p>
            <w:pPr>
              <w:pStyle w:val="yTableNAm"/>
              <w:spacing w:before="0"/>
              <w:ind w:left="794" w:hanging="425"/>
              <w:rPr>
                <w:sz w:val="20"/>
              </w:rPr>
            </w:pPr>
            <w:r>
              <w:rPr>
                <w:sz w:val="20"/>
              </w:rPr>
              <w:t>(a)</w:t>
            </w:r>
            <w:r>
              <w:rPr>
                <w:sz w:val="20"/>
              </w:rPr>
              <w:tab/>
              <w:t>setting aside this subpoena (or a part of it);</w:t>
            </w:r>
          </w:p>
          <w:p>
            <w:pPr>
              <w:pStyle w:val="yTableNAm"/>
              <w:spacing w:before="0"/>
              <w:ind w:left="794" w:hanging="425"/>
              <w:rPr>
                <w:sz w:val="20"/>
              </w:rPr>
            </w:pPr>
            <w:r>
              <w:rPr>
                <w:sz w:val="20"/>
              </w:rPr>
              <w:t>(b)</w:t>
            </w:r>
            <w:r>
              <w:rPr>
                <w:sz w:val="20"/>
              </w:rPr>
              <w:tab/>
              <w:t>giving directions in relation to removing from and returning to the Court, and the inspection, copying and disposal, of any document or thing that you produce or are required to produce by this subpoena;</w:t>
            </w:r>
          </w:p>
          <w:p>
            <w:pPr>
              <w:pStyle w:val="yTableNAm"/>
              <w:spacing w:before="0"/>
              <w:ind w:left="794" w:hanging="425"/>
              <w:rPr>
                <w:sz w:val="20"/>
              </w:rPr>
            </w:pPr>
            <w:r>
              <w:rPr>
                <w:sz w:val="20"/>
              </w:rPr>
              <w:t>(c)</w:t>
            </w:r>
            <w:r>
              <w:rPr>
                <w:sz w:val="20"/>
              </w:rPr>
              <w:tab/>
              <w:t>giving other relief in respect of it.</w:t>
            </w:r>
          </w:p>
          <w:p>
            <w:pPr>
              <w:pStyle w:val="yTableNAm"/>
              <w:spacing w:before="0"/>
              <w:ind w:left="369" w:hanging="369"/>
              <w:rPr>
                <w:sz w:val="20"/>
              </w:rPr>
            </w:pPr>
            <w:r>
              <w:rPr>
                <w:sz w:val="20"/>
              </w:rPr>
              <w:tab/>
              <w:t>Unless the Court has made such an order, a registrar may permit the parties to the proceeding to inspect, copy, or remove and return any document or thing you produce under this subpoena.</w:t>
            </w:r>
          </w:p>
        </w:tc>
      </w:tr>
      <w:tr>
        <w:trPr>
          <w:cantSplit/>
        </w:trPr>
        <w:tc>
          <w:tcPr>
            <w:tcW w:w="1418" w:type="dxa"/>
          </w:tcPr>
          <w:p>
            <w:pPr>
              <w:pStyle w:val="yTableNAm"/>
              <w:spacing w:before="0"/>
              <w:rPr>
                <w:b/>
                <w:sz w:val="20"/>
              </w:rPr>
            </w:pPr>
            <w:r>
              <w:rPr>
                <w:b/>
                <w:sz w:val="20"/>
              </w:rPr>
              <w:t>Loss or expense of compliance</w:t>
            </w:r>
          </w:p>
        </w:tc>
        <w:tc>
          <w:tcPr>
            <w:tcW w:w="5670" w:type="dxa"/>
          </w:tcPr>
          <w:p>
            <w:pPr>
              <w:pStyle w:val="yTableNAm"/>
              <w:spacing w:before="0"/>
              <w:ind w:left="369" w:hanging="369"/>
              <w:rPr>
                <w:sz w:val="20"/>
              </w:rPr>
            </w:pPr>
            <w:r>
              <w:rPr>
                <w:sz w:val="20"/>
              </w:rPr>
              <w:t>10.</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this subpoena.</w:t>
            </w:r>
          </w:p>
        </w:tc>
      </w:tr>
      <w:tr>
        <w:tc>
          <w:tcPr>
            <w:tcW w:w="1418" w:type="dxa"/>
          </w:tcPr>
          <w:p>
            <w:pPr>
              <w:pStyle w:val="yTableNAm"/>
              <w:spacing w:before="0"/>
              <w:rPr>
                <w:b/>
                <w:sz w:val="20"/>
              </w:rPr>
            </w:pPr>
            <w:r>
              <w:rPr>
                <w:b/>
                <w:sz w:val="20"/>
              </w:rPr>
              <w:t>Contempt of court—arrest</w:t>
            </w:r>
          </w:p>
        </w:tc>
        <w:tc>
          <w:tcPr>
            <w:tcW w:w="5670" w:type="dxa"/>
          </w:tcPr>
          <w:p>
            <w:pPr>
              <w:pStyle w:val="yTableNAm"/>
              <w:spacing w:before="0"/>
              <w:ind w:left="369" w:hanging="369"/>
              <w:rPr>
                <w:sz w:val="20"/>
              </w:rPr>
            </w:pPr>
            <w:r>
              <w:rPr>
                <w:sz w:val="20"/>
              </w:rPr>
              <w:t>11.</w:t>
            </w:r>
            <w:r>
              <w:rPr>
                <w:sz w:val="20"/>
              </w:rPr>
              <w:tab/>
              <w:t>Failure to comply with a subpoena without lawful excuse is a contempt of court and may be dealt with accordingly.</w:t>
            </w:r>
          </w:p>
          <w:p>
            <w:pPr>
              <w:pStyle w:val="yTableNAm"/>
              <w:spacing w:before="0"/>
              <w:ind w:left="369" w:hanging="369"/>
              <w:rPr>
                <w:sz w:val="20"/>
              </w:rPr>
            </w:pPr>
            <w:r>
              <w:rPr>
                <w:sz w:val="20"/>
              </w:rPr>
              <w:t>12.</w:t>
            </w:r>
            <w:r>
              <w:rPr>
                <w:sz w:val="20"/>
              </w:rPr>
              <w:tab/>
              <w:t>Note 11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PermNoteHeading"/>
        <w:tabs>
          <w:tab w:val="left" w:pos="567"/>
          <w:tab w:val="left" w:pos="1276"/>
        </w:tabs>
        <w:rPr>
          <w:szCs w:val="18"/>
        </w:rPr>
      </w:pPr>
      <w:r>
        <w:rPr>
          <w:szCs w:val="18"/>
        </w:rPr>
        <w:t>Footnotes to Form 21B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1 of any party, include the additional parties’ names and types of party in a schedule to the subpoena.</w:t>
      </w:r>
    </w:p>
    <w:p>
      <w:pPr>
        <w:pStyle w:val="yFootnotesection"/>
      </w:pPr>
      <w:r>
        <w:tab/>
        <w:t>[Form 21B inserted: Gazette 24 May 2017 p. 2582</w:t>
      </w:r>
      <w:r>
        <w:noBreakHyphen/>
        <w:t>5.]</w:t>
      </w:r>
    </w:p>
    <w:p>
      <w:pPr>
        <w:pStyle w:val="yEdnotesection"/>
      </w:pPr>
      <w:r>
        <w:t>[Form 22 deleted: Gazette 24 May 2017 p. 2585.]</w:t>
      </w:r>
    </w:p>
    <w:p>
      <w:pPr>
        <w:pStyle w:val="yHeading5"/>
        <w:keepNext w:val="0"/>
        <w:keepLines w:val="0"/>
        <w:pageBreakBefore/>
        <w:widowControl w:val="0"/>
        <w:spacing w:before="0" w:after="120"/>
      </w:pPr>
      <w:bookmarkStart w:id="1514" w:name="_Toc129078534"/>
      <w:r>
        <w:rPr>
          <w:rStyle w:val="CharSClsNo"/>
        </w:rPr>
        <w:lastRenderedPageBreak/>
        <w:t>22A</w:t>
      </w:r>
      <w:r>
        <w:t>.</w:t>
      </w:r>
      <w:r>
        <w:tab/>
        <w:t>Subpoena notice and declaration (O. 36B r. 10(3))</w:t>
      </w:r>
      <w:bookmarkEnd w:id="1514"/>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Supreme Court of Western Australia</w:t>
            </w:r>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 w:val="left" w:pos="874"/>
                <w:tab w:val="left" w:pos="1136"/>
              </w:tabs>
              <w:rPr>
                <w:sz w:val="20"/>
              </w:rPr>
            </w:pPr>
            <w:r>
              <w:rPr>
                <w:sz w:val="20"/>
              </w:rPr>
              <w:t>(a)</w:t>
            </w:r>
            <w:r>
              <w:rPr>
                <w:sz w:val="20"/>
              </w:rPr>
              <w:tab/>
              <w:t>a photocopy; or</w:t>
            </w:r>
          </w:p>
          <w:p>
            <w:pPr>
              <w:pStyle w:val="yTableNAm"/>
              <w:tabs>
                <w:tab w:val="clear" w:pos="567"/>
                <w:tab w:val="left" w:pos="383"/>
                <w:tab w:val="left" w:pos="874"/>
                <w:tab w:val="left" w:pos="1136"/>
              </w:tabs>
              <w:ind w:left="386" w:hanging="386"/>
              <w:rPr>
                <w:sz w:val="20"/>
              </w:rPr>
            </w:pPr>
            <w:r>
              <w:rPr>
                <w:sz w:val="20"/>
              </w:rPr>
              <w:t>(b)</w:t>
            </w:r>
            <w:r>
              <w:rPr>
                <w:sz w:val="20"/>
              </w:rPr>
              <w:tab/>
              <w:t xml:space="preserve">in an electronic form on a CD-ROM, DVD or USB device in any of the following electronic formats — </w:t>
            </w:r>
          </w:p>
          <w:p>
            <w:pPr>
              <w:pStyle w:val="yTableNAm"/>
              <w:keepNext/>
              <w:spacing w:before="0"/>
              <w:ind w:left="935" w:hanging="1"/>
              <w:rPr>
                <w:sz w:val="20"/>
              </w:rPr>
            </w:pPr>
            <w:r>
              <w:rPr>
                <w:sz w:val="20"/>
              </w:rPr>
              <w:t>.doc and .docx – Microsoft Word documents</w:t>
            </w:r>
          </w:p>
          <w:p>
            <w:pPr>
              <w:pStyle w:val="yTableNAm"/>
              <w:keepNext/>
              <w:spacing w:before="0"/>
              <w:ind w:left="935" w:hanging="1"/>
              <w:rPr>
                <w:sz w:val="20"/>
              </w:rPr>
            </w:pPr>
            <w:r>
              <w:rPr>
                <w:sz w:val="20"/>
              </w:rPr>
              <w:t>.pdf – Adobe Acrobat documents</w:t>
            </w:r>
          </w:p>
          <w:p>
            <w:pPr>
              <w:pStyle w:val="yTableNAm"/>
              <w:keepNext/>
              <w:spacing w:before="0"/>
              <w:ind w:left="935" w:hanging="1"/>
              <w:rPr>
                <w:sz w:val="20"/>
              </w:rPr>
            </w:pPr>
            <w:r>
              <w:rPr>
                <w:sz w:val="20"/>
              </w:rPr>
              <w:t>.xls and .xlsx – Microsoft Excel spreadsheets</w:t>
            </w:r>
          </w:p>
          <w:p>
            <w:pPr>
              <w:pStyle w:val="yTableNAm"/>
              <w:keepNext/>
              <w:spacing w:before="0"/>
              <w:ind w:left="935" w:hanging="1"/>
              <w:rPr>
                <w:sz w:val="20"/>
              </w:rPr>
            </w:pPr>
            <w:r>
              <w:rPr>
                <w:sz w:val="20"/>
              </w:rPr>
              <w:t>.jpg – image files</w:t>
            </w:r>
          </w:p>
          <w:p>
            <w:pPr>
              <w:pStyle w:val="yTableNAm"/>
              <w:keepNext/>
              <w:spacing w:before="0"/>
              <w:ind w:left="935" w:hanging="1"/>
              <w:rPr>
                <w:sz w:val="20"/>
              </w:rPr>
            </w:pPr>
            <w:r>
              <w:rPr>
                <w:sz w:val="20"/>
              </w:rPr>
              <w:t>.rtf – rich text format</w:t>
            </w:r>
          </w:p>
          <w:p>
            <w:pPr>
              <w:pStyle w:val="yTableNAm"/>
              <w:keepNext/>
              <w:spacing w:before="0"/>
              <w:ind w:left="935" w:hanging="1"/>
              <w:rPr>
                <w:sz w:val="20"/>
              </w:rPr>
            </w:pPr>
            <w:r>
              <w:rPr>
                <w:sz w:val="20"/>
              </w:rPr>
              <w:t>.gif – graphics interchange format</w:t>
            </w:r>
          </w:p>
          <w:p>
            <w:pPr>
              <w:pStyle w:val="yTableNAm"/>
              <w:keepNext/>
              <w:spacing w:before="0"/>
              <w:ind w:left="935" w:hanging="1"/>
              <w:rPr>
                <w:sz w:val="20"/>
              </w:rPr>
            </w:pPr>
            <w:r>
              <w:rPr>
                <w:sz w:val="20"/>
              </w:rPr>
              <w:t>.tif – tagged image format</w:t>
            </w:r>
          </w:p>
          <w:p>
            <w:pPr>
              <w:pStyle w:val="yTableNAm"/>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rPr>
                <w:sz w:val="20"/>
              </w:rPr>
            </w:pPr>
            <w:r>
              <w:rPr>
                <w:sz w:val="20"/>
              </w:rPr>
              <w:t>If you declare that all of the materials you produce are copies the registrar may destroy the copies when they are no longer required by the Court.</w:t>
            </w:r>
          </w:p>
          <w:p>
            <w:pPr>
              <w:pStyle w:val="yTableNAm"/>
              <w:rPr>
                <w:b/>
                <w:bCs/>
                <w:sz w:val="20"/>
              </w:rPr>
            </w:pPr>
            <w:r>
              <w:rPr>
                <w:sz w:val="20"/>
              </w:rPr>
              <w:t>If you declare that the material you produce includes any original document the registrar may, when the material is no longer required by the Court, return all of the material to you at the address specified by you in the Declaration below.</w:t>
            </w:r>
          </w:p>
        </w:tc>
      </w:tr>
      <w:tr>
        <w:trPr>
          <w:cantSplit/>
        </w:trPr>
        <w:tc>
          <w:tcPr>
            <w:tcW w:w="7080" w:type="dxa"/>
            <w:gridSpan w:val="3"/>
          </w:tcPr>
          <w:p>
            <w:pPr>
              <w:pStyle w:val="yTableNAm"/>
              <w:keepNext/>
              <w:widowControl w:val="0"/>
              <w:jc w:val="center"/>
              <w:rPr>
                <w:rFonts w:ascii="Arial" w:hAnsi="Arial"/>
                <w:b/>
                <w:bCs/>
                <w:sz w:val="20"/>
              </w:rPr>
            </w:pPr>
            <w:r>
              <w:rPr>
                <w:sz w:val="24"/>
              </w:rPr>
              <w:br w:type="page"/>
            </w:r>
            <w:r>
              <w:rPr>
                <w:b/>
                <w:bCs/>
                <w:sz w:val="20"/>
              </w:rPr>
              <w:t>Declaration by addressee (subpoena recipient)</w:t>
            </w:r>
          </w:p>
        </w:tc>
      </w:tr>
      <w:tr>
        <w:trPr>
          <w:trHeight w:val="1183"/>
        </w:trPr>
        <w:tc>
          <w:tcPr>
            <w:tcW w:w="7080" w:type="dxa"/>
            <w:gridSpan w:val="3"/>
          </w:tcPr>
          <w:p>
            <w:pPr>
              <w:pStyle w:val="yTableNAm"/>
              <w:widowControl w:val="0"/>
              <w:rPr>
                <w:rFonts w:ascii="Arial" w:hAnsi="Arial"/>
                <w:sz w:val="20"/>
              </w:rPr>
            </w:pPr>
            <w:r>
              <w:rPr>
                <w:sz w:val="20"/>
              </w:rPr>
              <w:t>[</w:t>
            </w:r>
            <w:r>
              <w:rPr>
                <w:i/>
                <w:iCs/>
                <w:sz w:val="20"/>
              </w:rPr>
              <w:t>Tick the relevant option below, (provide your address as appropriate), sign and date</w:t>
            </w:r>
            <w:r>
              <w:rPr>
                <w:sz w:val="20"/>
              </w:rPr>
              <w:t>]</w:t>
            </w:r>
          </w:p>
          <w:p>
            <w:pPr>
              <w:pStyle w:val="yTableNAm"/>
              <w:widowControl w:val="0"/>
              <w:tabs>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may destroy the copies once they are no longer required, without further notice to me.</w:t>
            </w:r>
          </w:p>
        </w:tc>
      </w:tr>
      <w:tr>
        <w:trPr>
          <w:cantSplit/>
          <w:trHeight w:val="2074"/>
        </w:trPr>
        <w:tc>
          <w:tcPr>
            <w:tcW w:w="7080" w:type="dxa"/>
            <w:gridSpan w:val="3"/>
          </w:tcPr>
          <w:p>
            <w:pPr>
              <w:pStyle w:val="yTableNAm"/>
              <w:widowControl w:val="0"/>
              <w:tabs>
                <w:tab w:val="clear" w:pos="567"/>
                <w:tab w:val="left" w:pos="623"/>
              </w:tabs>
              <w:ind w:left="623" w:hanging="623"/>
              <w:rPr>
                <w:sz w:val="20"/>
              </w:rPr>
            </w:pPr>
            <w:r>
              <w:rPr>
                <w:sz w:val="20"/>
              </w:rPr>
              <w:lastRenderedPageBreak/>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may be returned to me at the following address —</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ab/>
              <w:t>.............................................................................................................</w:t>
            </w:r>
          </w:p>
          <w:p>
            <w:pPr>
              <w:pStyle w:val="yTableNAm"/>
              <w:widowControl w:val="0"/>
              <w:tabs>
                <w:tab w:val="clear" w:pos="567"/>
                <w:tab w:val="left" w:pos="623"/>
              </w:tabs>
              <w:ind w:left="623" w:hanging="623"/>
              <w:rPr>
                <w:sz w:val="20"/>
              </w:rPr>
            </w:pPr>
            <w:r>
              <w:rPr>
                <w:sz w:val="20"/>
              </w:rPr>
              <w:t>........................................................</w:t>
            </w:r>
          </w:p>
          <w:p>
            <w:pPr>
              <w:pStyle w:val="yTableNAm"/>
              <w:widowControl w:val="0"/>
              <w:rPr>
                <w:sz w:val="20"/>
              </w:rPr>
            </w:pPr>
            <w:r>
              <w:rPr>
                <w:sz w:val="20"/>
              </w:rPr>
              <w:t>[</w:t>
            </w:r>
            <w:r>
              <w:rPr>
                <w:i/>
                <w:iCs/>
                <w:sz w:val="20"/>
              </w:rPr>
              <w:t>Signature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Name of addressee</w:t>
            </w:r>
            <w:r>
              <w:rPr>
                <w:sz w:val="20"/>
              </w:rPr>
              <w:t>]</w:t>
            </w:r>
          </w:p>
          <w:p>
            <w:pPr>
              <w:pStyle w:val="yTableNAm"/>
              <w:widowControl w:val="0"/>
              <w:rPr>
                <w:sz w:val="20"/>
              </w:rPr>
            </w:pPr>
            <w:r>
              <w:rPr>
                <w:sz w:val="20"/>
              </w:rPr>
              <w:t>........................................................</w:t>
            </w:r>
          </w:p>
          <w:p>
            <w:pPr>
              <w:pStyle w:val="yTableNAm"/>
              <w:widowControl w:val="0"/>
              <w:rPr>
                <w:sz w:val="20"/>
              </w:rPr>
            </w:pPr>
            <w:r>
              <w:rPr>
                <w:sz w:val="20"/>
              </w:rPr>
              <w:t>[</w:t>
            </w:r>
            <w:r>
              <w:rPr>
                <w:i/>
                <w:iCs/>
                <w:sz w:val="20"/>
              </w:rPr>
              <w:t>Date</w:t>
            </w:r>
            <w:r>
              <w:rPr>
                <w:sz w:val="20"/>
              </w:rPr>
              <w:t>]</w:t>
            </w:r>
          </w:p>
        </w:tc>
      </w:tr>
    </w:tbl>
    <w:p>
      <w:pPr>
        <w:pStyle w:val="yFootnotesection"/>
        <w:keepLines w:val="0"/>
      </w:pPr>
      <w:r>
        <w:tab/>
        <w:t>[Form 22A inserted: Gazette 28 Jul 2010 p. 3480-1; amended: Gazette 24 May 2017 p. 2586; 16 Aug 2017 p. 4421.]</w:t>
      </w:r>
    </w:p>
    <w:p>
      <w:pPr>
        <w:pStyle w:val="yEdnotedivision"/>
        <w:outlineLvl w:val="9"/>
      </w:pPr>
      <w:r>
        <w:t>[Form 22B deleted: Gazette 21 Feb 2007 p. 546.]</w:t>
      </w:r>
    </w:p>
    <w:p>
      <w:pPr>
        <w:pStyle w:val="yHeading5"/>
      </w:pPr>
      <w:bookmarkStart w:id="1515" w:name="_Toc129078535"/>
      <w:r>
        <w:rPr>
          <w:rStyle w:val="CharSClsNo"/>
        </w:rPr>
        <w:t>23</w:t>
      </w:r>
      <w:r>
        <w:t>.</w:t>
      </w:r>
      <w:r>
        <w:tab/>
        <w:t>Subpoena to give evidence to WA Supreme Court (to be served in NZ) (O. 39A r. 2A)</w:t>
      </w:r>
      <w:bookmarkEnd w:id="1515"/>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686"/>
      </w:tblGrid>
      <w:tr>
        <w:trPr>
          <w:cantSplit/>
          <w:trHeight w:val="194"/>
        </w:trPr>
        <w:tc>
          <w:tcPr>
            <w:tcW w:w="3402" w:type="dxa"/>
            <w:gridSpan w:val="2"/>
            <w:vMerge w:val="restart"/>
          </w:tcPr>
          <w:p>
            <w:pPr>
              <w:pStyle w:val="yTableNAm"/>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402" w:type="dxa"/>
            <w:gridSpan w:val="2"/>
            <w:vMerge/>
          </w:tcPr>
          <w:p>
            <w:pPr>
              <w:pStyle w:val="yTableNAm"/>
              <w:spacing w:before="0"/>
              <w:rPr>
                <w:sz w:val="20"/>
              </w:rPr>
            </w:pPr>
          </w:p>
        </w:tc>
        <w:tc>
          <w:tcPr>
            <w:tcW w:w="3686" w:type="dxa"/>
          </w:tcPr>
          <w:p>
            <w:pPr>
              <w:pStyle w:val="yTableNAm"/>
              <w:spacing w:before="0"/>
              <w:rPr>
                <w:b/>
                <w:sz w:val="20"/>
              </w:rPr>
            </w:pPr>
            <w:r>
              <w:rPr>
                <w:b/>
                <w:sz w:val="20"/>
              </w:rPr>
              <w:t>Notice attached to 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attend to give evidence to the Supreme Court of Western Australia. The subpoena has been issued by that court.</w:t>
            </w:r>
          </w:p>
          <w:p>
            <w:pPr>
              <w:pStyle w:val="yTableNAm"/>
              <w:spacing w:before="0"/>
              <w:rPr>
                <w:sz w:val="20"/>
              </w:rPr>
            </w:pP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lastRenderedPageBreak/>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keepNext/>
              <w:spacing w:before="0"/>
              <w:rPr>
                <w:b/>
                <w:sz w:val="20"/>
              </w:rPr>
            </w:pPr>
            <w:r>
              <w:rPr>
                <w:b/>
                <w:sz w:val="20"/>
              </w:rPr>
              <w:lastRenderedPageBreak/>
              <w:t>Your rights</w:t>
            </w:r>
          </w:p>
        </w:tc>
        <w:tc>
          <w:tcPr>
            <w:tcW w:w="5670" w:type="dxa"/>
            <w:gridSpan w:val="2"/>
          </w:tcPr>
          <w:p>
            <w:pPr>
              <w:pStyle w:val="yTableNAm"/>
              <w:keepNext/>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keepNext/>
              <w:keepLines/>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keepNext/>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keepNext/>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keepNext/>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keepNext/>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3" w:hanging="368"/>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3" w:hanging="368"/>
              <w:rPr>
                <w:sz w:val="20"/>
              </w:rPr>
            </w:pPr>
            <w:r>
              <w:rPr>
                <w:sz w:val="20"/>
              </w:rPr>
              <w:tab/>
            </w:r>
            <w:r>
              <w:rPr>
                <w:sz w:val="20"/>
              </w:rPr>
              <w:tab/>
              <w:t>and</w:t>
            </w:r>
          </w:p>
          <w:p>
            <w:pPr>
              <w:pStyle w:val="yTableNAm"/>
              <w:spacing w:before="0"/>
              <w:ind w:left="793" w:hanging="368"/>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3" w:hanging="368"/>
              <w:rPr>
                <w:sz w:val="20"/>
              </w:rPr>
            </w:pPr>
            <w:r>
              <w:rPr>
                <w:sz w:val="20"/>
              </w:rPr>
              <w:t>(c)</w:t>
            </w:r>
            <w:r>
              <w:rPr>
                <w:sz w:val="20"/>
              </w:rPr>
              <w:tab/>
              <w:t>the subpoena was served on you before or on the date specified in the order as the last day on which the subpoena may be served; and</w:t>
            </w:r>
          </w:p>
          <w:p>
            <w:pPr>
              <w:pStyle w:val="yTableNAm"/>
              <w:keepNext/>
              <w:spacing w:before="0"/>
              <w:ind w:left="793" w:hanging="368"/>
              <w:rPr>
                <w:sz w:val="20"/>
              </w:rPr>
            </w:pPr>
            <w:r>
              <w:rPr>
                <w:sz w:val="20"/>
              </w:rPr>
              <w:t>(d)</w:t>
            </w:r>
            <w:r>
              <w:rPr>
                <w:sz w:val="20"/>
              </w:rPr>
              <w:tab/>
              <w:t>service of the subpoena complied with any other conditions specified in the order; and</w:t>
            </w:r>
          </w:p>
          <w:p>
            <w:pPr>
              <w:pStyle w:val="yTableNAm"/>
              <w:spacing w:before="0"/>
              <w:ind w:left="793" w:hanging="368"/>
              <w:rPr>
                <w:sz w:val="20"/>
              </w:rPr>
            </w:pPr>
            <w:r>
              <w:rPr>
                <w:sz w:val="20"/>
              </w:rPr>
              <w:t>(e)</w:t>
            </w:r>
            <w:r>
              <w:rPr>
                <w:sz w:val="20"/>
              </w:rPr>
              <w:tab/>
              <w:t>you are over the age of 18 years.</w:t>
            </w:r>
          </w:p>
        </w:tc>
      </w:tr>
      <w:tr>
        <w:trPr>
          <w:cantSplit/>
        </w:trPr>
        <w:tc>
          <w:tcPr>
            <w:tcW w:w="1418" w:type="dxa"/>
          </w:tcPr>
          <w:p>
            <w:pPr>
              <w:pStyle w:val="yTableNAm"/>
              <w:spacing w:before="0"/>
              <w:rPr>
                <w:b/>
                <w:sz w:val="20"/>
              </w:rPr>
            </w:pPr>
            <w:r>
              <w:rPr>
                <w:b/>
                <w:sz w:val="20"/>
              </w:rPr>
              <w:lastRenderedPageBreak/>
              <w:t>Failure to comply with subpoena</w:t>
            </w:r>
          </w:p>
        </w:tc>
        <w:tc>
          <w:tcPr>
            <w:tcW w:w="5670" w:type="dxa"/>
            <w:gridSpan w:val="2"/>
          </w:tcPr>
          <w:p>
            <w:pPr>
              <w:pStyle w:val="yTableNAm"/>
              <w:spacing w:before="0"/>
              <w:ind w:left="369" w:hanging="369"/>
              <w:rPr>
                <w:sz w:val="20"/>
              </w:rPr>
            </w:pPr>
            <w:r>
              <w:rPr>
                <w:sz w:val="20"/>
              </w:rPr>
              <w:t>7.</w:t>
            </w:r>
            <w:r>
              <w:rPr>
                <w:sz w:val="20"/>
              </w:rPr>
              <w:tab/>
              <w:t>If you do not comply with the subpoena you may be arrested and taken before the High Court of New Zealand. Unless the High Court is satisfied that failure to comply should be excused, a fine not exceeding NZ$10 000 may be imposed.</w:t>
            </w:r>
          </w:p>
        </w:tc>
      </w:tr>
      <w:tr>
        <w:tc>
          <w:tcPr>
            <w:tcW w:w="1418" w:type="dxa"/>
          </w:tcPr>
          <w:p>
            <w:pPr>
              <w:pStyle w:val="yTableNAm"/>
              <w:spacing w:before="0"/>
              <w:rPr>
                <w:b/>
                <w:sz w:val="20"/>
              </w:rPr>
            </w:pPr>
            <w:r>
              <w:rPr>
                <w:b/>
                <w:sz w:val="20"/>
              </w:rPr>
              <w:t>Grounds for setting aside a subpoena</w:t>
            </w:r>
          </w:p>
        </w:tc>
        <w:tc>
          <w:tcPr>
            <w:tcW w:w="5670" w:type="dxa"/>
            <w:gridSpan w:val="2"/>
          </w:tcPr>
          <w:p>
            <w:pPr>
              <w:pStyle w:val="yTableNAm"/>
              <w:spacing w:before="0"/>
              <w:ind w:left="369" w:hanging="369"/>
              <w:rPr>
                <w:sz w:val="20"/>
              </w:rPr>
            </w:pPr>
            <w:r>
              <w:rPr>
                <w:sz w:val="20"/>
              </w:rPr>
              <w:t>8.</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 xml:space="preserve">you are liable to imposition of a penalty in civil proceedings in Australia (other than proceedings under the </w:t>
            </w:r>
            <w:r>
              <w:rPr>
                <w:i/>
                <w:sz w:val="20"/>
              </w:rPr>
              <w:t xml:space="preserve">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TableNAm"/>
              <w:spacing w:before="0"/>
              <w:ind w:left="369" w:hanging="369"/>
              <w:rPr>
                <w:sz w:val="20"/>
              </w:rPr>
            </w:pPr>
            <w:r>
              <w:rPr>
                <w:sz w:val="20"/>
              </w:rPr>
              <w:t>9.</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rPr>
                <w:b/>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 xml:space="preserve">Procedure for applying to set aside a subpoena </w:t>
            </w:r>
          </w:p>
        </w:tc>
        <w:tc>
          <w:tcPr>
            <w:tcW w:w="5670" w:type="dxa"/>
            <w:gridSpan w:val="2"/>
          </w:tcPr>
          <w:p>
            <w:pPr>
              <w:pStyle w:val="yTableNAm"/>
              <w:spacing w:before="0"/>
              <w:ind w:left="369" w:hanging="369"/>
              <w:rPr>
                <w:sz w:val="20"/>
              </w:rPr>
            </w:pPr>
            <w:r>
              <w:rPr>
                <w:sz w:val="20"/>
              </w:rPr>
              <w:t>10.</w:t>
            </w:r>
            <w:r>
              <w:rPr>
                <w:sz w:val="20"/>
              </w:rPr>
              <w:tab/>
              <w:t>Application must be made to the Supreme Court of Western Australia.</w:t>
            </w:r>
          </w:p>
          <w:p>
            <w:pPr>
              <w:pStyle w:val="yTableNAm"/>
              <w:spacing w:before="0"/>
              <w:ind w:left="369" w:hanging="369"/>
              <w:rPr>
                <w:sz w:val="20"/>
              </w:rPr>
            </w:pPr>
            <w:r>
              <w:rPr>
                <w:sz w:val="20"/>
              </w:rPr>
              <w:t>11.</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12.</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13.</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14.</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lastRenderedPageBreak/>
              <w:t>15.</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16.</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gridSpan w:val="2"/>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spacing w:before="0"/>
              <w:rPr>
                <w:b/>
                <w:sz w:val="20"/>
              </w:rPr>
            </w:pPr>
            <w:r>
              <w:rPr>
                <w:b/>
                <w:sz w:val="20"/>
              </w:rPr>
              <w:t>Subpoena to give evidence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670" w:type="dxa"/>
            <w:gridSpan w:val="3"/>
          </w:tcPr>
          <w:p>
            <w:pPr>
              <w:pStyle w:val="yTableNAm"/>
              <w:spacing w:before="0"/>
              <w:rPr>
                <w:sz w:val="20"/>
              </w:rPr>
            </w:pPr>
            <w:r>
              <w:rPr>
                <w:sz w:val="20"/>
              </w:rPr>
              <w:t>[</w:t>
            </w:r>
            <w:r>
              <w:rPr>
                <w:i/>
                <w:sz w:val="20"/>
              </w:rPr>
              <w:t>Name and address</w:t>
            </w:r>
            <w:r>
              <w:rPr>
                <w:sz w:val="20"/>
              </w:rPr>
              <w:t>]</w:t>
            </w:r>
          </w:p>
        </w:tc>
      </w:tr>
      <w:tr>
        <w:trPr>
          <w:cantSplit/>
        </w:trPr>
        <w:tc>
          <w:tcPr>
            <w:tcW w:w="1418" w:type="dxa"/>
          </w:tcPr>
          <w:p>
            <w:pPr>
              <w:pStyle w:val="yTableNAm"/>
              <w:spacing w:before="0"/>
              <w:rPr>
                <w:b/>
                <w:sz w:val="20"/>
              </w:rPr>
            </w:pPr>
            <w:r>
              <w:rPr>
                <w:b/>
                <w:sz w:val="20"/>
              </w:rPr>
              <w:t>Order</w:t>
            </w:r>
          </w:p>
        </w:tc>
        <w:tc>
          <w:tcPr>
            <w:tcW w:w="5670" w:type="dxa"/>
            <w:gridSpan w:val="3"/>
          </w:tcPr>
          <w:p>
            <w:pPr>
              <w:pStyle w:val="yTableNAm"/>
              <w:spacing w:before="0"/>
              <w:rPr>
                <w:sz w:val="20"/>
              </w:rPr>
            </w:pPr>
            <w:r>
              <w:rPr>
                <w:b/>
                <w:sz w:val="20"/>
              </w:rPr>
              <w:t xml:space="preserve">You are ordered to attend the Supreme Court of Western Australia to give evidence.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7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670"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keepNext/>
              <w:spacing w:before="0"/>
              <w:rPr>
                <w:sz w:val="20"/>
              </w:rPr>
            </w:pPr>
            <w:r>
              <w:rPr>
                <w:sz w:val="20"/>
              </w:rPr>
              <w:t>Issuing details</w:t>
            </w:r>
          </w:p>
        </w:tc>
        <w:tc>
          <w:tcPr>
            <w:tcW w:w="5670" w:type="dxa"/>
            <w:gridSpan w:val="3"/>
          </w:tcPr>
          <w:p>
            <w:pPr>
              <w:pStyle w:val="yTableNAm"/>
              <w:keepNext/>
              <w:spacing w:before="0"/>
              <w:rPr>
                <w:sz w:val="20"/>
              </w:rPr>
            </w:pPr>
            <w:r>
              <w:rPr>
                <w:sz w:val="20"/>
              </w:rPr>
              <w:t>Issued at the request of: [</w:t>
            </w:r>
            <w:r>
              <w:rPr>
                <w:i/>
                <w:sz w:val="20"/>
              </w:rPr>
              <w:t>Name of party</w:t>
            </w:r>
            <w:r>
              <w:rPr>
                <w:sz w:val="20"/>
              </w:rPr>
              <w:t>]</w:t>
            </w:r>
          </w:p>
          <w:p>
            <w:pPr>
              <w:pStyle w:val="yTableNAm"/>
              <w:keepNext/>
              <w:spacing w:before="0"/>
              <w:rPr>
                <w:sz w:val="20"/>
              </w:rPr>
            </w:pPr>
            <w:r>
              <w:rPr>
                <w:sz w:val="20"/>
              </w:rPr>
              <w:t>Address for service: [</w:t>
            </w:r>
            <w:r>
              <w:rPr>
                <w:i/>
                <w:sz w:val="20"/>
              </w:rPr>
              <w:t>see Order 71A rule 3</w:t>
            </w:r>
            <w:r>
              <w:rPr>
                <w:sz w:val="20"/>
              </w:rPr>
              <w:t>]</w:t>
            </w:r>
          </w:p>
          <w:p>
            <w:pPr>
              <w:pStyle w:val="yTableNAm"/>
              <w:keepNext/>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023"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pPr>
            <w:r>
              <w:rPr>
                <w:b/>
                <w:sz w:val="20"/>
              </w:rPr>
              <w:t>Details of subpoena</w:t>
            </w:r>
          </w:p>
        </w:tc>
        <w:tc>
          <w:tcPr>
            <w:tcW w:w="5670" w:type="dxa"/>
            <w:gridSpan w:val="3"/>
          </w:tcPr>
          <w:p>
            <w:pPr>
              <w:pStyle w:val="yTableNAm"/>
              <w:spacing w:before="0"/>
              <w:rPr>
                <w:sz w:val="20"/>
              </w:rPr>
            </w:pPr>
            <w:r>
              <w:rPr>
                <w:sz w:val="20"/>
              </w:rPr>
              <w:t xml:space="preserve">Date, time and place at which you must attend the Supreme Court of Western Australia to give evidence, unless you receive a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rPr>
          <w:cantSplit/>
        </w:trPr>
        <w:tc>
          <w:tcPr>
            <w:tcW w:w="7088" w:type="dxa"/>
            <w:gridSpan w:val="4"/>
          </w:tcPr>
          <w:p>
            <w:pPr>
              <w:pStyle w:val="yTableNAm"/>
              <w:keepNext/>
              <w:spacing w:before="0"/>
              <w:jc w:val="center"/>
              <w:rPr>
                <w:b/>
                <w:sz w:val="20"/>
              </w:rPr>
            </w:pPr>
            <w:r>
              <w:rPr>
                <w:b/>
                <w:sz w:val="20"/>
              </w:rPr>
              <w:lastRenderedPageBreak/>
              <w:t>Notes</w:t>
            </w:r>
          </w:p>
        </w:tc>
      </w:tr>
      <w:tr>
        <w:tc>
          <w:tcPr>
            <w:tcW w:w="1418" w:type="dxa"/>
          </w:tcPr>
          <w:p>
            <w:pPr>
              <w:pStyle w:val="yTableNAm"/>
              <w:keepNext/>
              <w:spacing w:before="0"/>
              <w:rPr>
                <w:b/>
                <w:sz w:val="20"/>
              </w:rPr>
            </w:pPr>
            <w:r>
              <w:rPr>
                <w:b/>
                <w:sz w:val="20"/>
              </w:rPr>
              <w:t>Leave to serve subpoena</w:t>
            </w:r>
          </w:p>
        </w:tc>
        <w:tc>
          <w:tcPr>
            <w:tcW w:w="5670"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t>Last day for service</w:t>
            </w:r>
          </w:p>
        </w:tc>
        <w:tc>
          <w:tcPr>
            <w:tcW w:w="5670" w:type="dxa"/>
            <w:gridSpan w:val="3"/>
          </w:tcPr>
          <w:p>
            <w:pPr>
              <w:pStyle w:val="yTableNAm"/>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rPr>
          <w:cantSplit/>
        </w:trPr>
        <w:tc>
          <w:tcPr>
            <w:tcW w:w="1418" w:type="dxa"/>
          </w:tcPr>
          <w:p>
            <w:pPr>
              <w:pStyle w:val="yTableNAm"/>
              <w:spacing w:before="0"/>
              <w:rPr>
                <w:b/>
                <w:sz w:val="20"/>
              </w:rPr>
            </w:pPr>
            <w:r>
              <w:rPr>
                <w:b/>
                <w:sz w:val="20"/>
              </w:rPr>
              <w:t>Informal service</w:t>
            </w:r>
          </w:p>
        </w:tc>
        <w:tc>
          <w:tcPr>
            <w:tcW w:w="5670" w:type="dxa"/>
            <w:gridSpan w:val="3"/>
          </w:tcPr>
          <w:p>
            <w:pPr>
              <w:pStyle w:val="yTableNAm"/>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670" w:type="dxa"/>
            <w:gridSpan w:val="3"/>
          </w:tcPr>
          <w:p>
            <w:pPr>
              <w:pStyle w:val="yTableNAm"/>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Loss or expense of compliance</w:t>
            </w:r>
          </w:p>
        </w:tc>
        <w:tc>
          <w:tcPr>
            <w:tcW w:w="5670" w:type="dxa"/>
            <w:gridSpan w:val="3"/>
          </w:tcPr>
          <w:p>
            <w:pPr>
              <w:pStyle w:val="yTableNAm"/>
              <w:spacing w:before="0"/>
              <w:ind w:left="369" w:hanging="369"/>
              <w:rPr>
                <w:sz w:val="20"/>
              </w:rPr>
            </w:pPr>
            <w:r>
              <w:rPr>
                <w:sz w:val="20"/>
              </w:rPr>
              <w:t>5.</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rPr>
          <w:cantSplit/>
        </w:trPr>
        <w:tc>
          <w:tcPr>
            <w:tcW w:w="1418" w:type="dxa"/>
          </w:tcPr>
          <w:p>
            <w:pPr>
              <w:pStyle w:val="yTableNAm"/>
              <w:spacing w:before="0"/>
              <w:rPr>
                <w:b/>
                <w:sz w:val="20"/>
              </w:rPr>
            </w:pPr>
            <w:r>
              <w:rPr>
                <w:b/>
                <w:sz w:val="20"/>
              </w:rPr>
              <w:t xml:space="preserve">Contempt of court—arrest </w:t>
            </w:r>
          </w:p>
        </w:tc>
        <w:tc>
          <w:tcPr>
            <w:tcW w:w="5670" w:type="dxa"/>
            <w:gridSpan w:val="3"/>
          </w:tcPr>
          <w:p>
            <w:pPr>
              <w:pStyle w:val="yTableNAm"/>
              <w:spacing w:before="0"/>
              <w:ind w:left="369" w:hanging="369"/>
              <w:rPr>
                <w:sz w:val="20"/>
              </w:rPr>
            </w:pPr>
            <w:r>
              <w:rPr>
                <w:sz w:val="20"/>
              </w:rPr>
              <w:t>6.</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7.</w:t>
            </w:r>
            <w:r>
              <w:rPr>
                <w:sz w:val="20"/>
              </w:rPr>
              <w:tab/>
              <w:t>Note 6 is without prejudice to any other power to enforce compliance with a subpoena.</w:t>
            </w:r>
          </w:p>
        </w:tc>
      </w:tr>
    </w:tbl>
    <w:p>
      <w:pPr>
        <w:pStyle w:val="PermNoteHeading"/>
        <w:tabs>
          <w:tab w:val="left" w:pos="567"/>
          <w:tab w:val="left" w:pos="1276"/>
        </w:tabs>
        <w:rPr>
          <w:szCs w:val="18"/>
        </w:rPr>
      </w:pPr>
      <w:r>
        <w:rPr>
          <w:szCs w:val="18"/>
        </w:rPr>
        <w:t>Footnotes to Form 23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pPr>
      <w:r>
        <w:tab/>
        <w:t>[Form 23 inserted: Gazette 24 May 2017 p. 2586</w:t>
      </w:r>
      <w:r>
        <w:noBreakHyphen/>
        <w:t>91; amended: Gazette 27 Feb 2018 p. 622.]</w:t>
      </w:r>
    </w:p>
    <w:p>
      <w:pPr>
        <w:pStyle w:val="yHeading5"/>
      </w:pPr>
      <w:bookmarkStart w:id="1516" w:name="_Toc129078536"/>
      <w:r>
        <w:rPr>
          <w:rStyle w:val="CharSClsNo"/>
        </w:rPr>
        <w:lastRenderedPageBreak/>
        <w:t>23A</w:t>
      </w:r>
      <w:r>
        <w:t>.</w:t>
      </w:r>
      <w:r>
        <w:tab/>
        <w:t>Subpoena to produce documents to WA Supreme Court (to be served in NZ) (O. 39A r. 2A)</w:t>
      </w:r>
      <w:bookmarkEnd w:id="1516"/>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544"/>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spacing w:before="0"/>
              <w:rPr>
                <w:sz w:val="20"/>
              </w:rPr>
            </w:pPr>
            <w:r>
              <w:rPr>
                <w:sz w:val="20"/>
              </w:rPr>
              <w:t>*General Division/Court of Appeal</w:t>
            </w:r>
          </w:p>
        </w:tc>
        <w:tc>
          <w:tcPr>
            <w:tcW w:w="3544" w:type="dxa"/>
          </w:tcPr>
          <w:p>
            <w:pPr>
              <w:pStyle w:val="yTableNAm"/>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tcPr>
          <w:p>
            <w:pPr>
              <w:pStyle w:val="yTableNAm"/>
              <w:spacing w:before="0"/>
              <w:rPr>
                <w:b/>
                <w:sz w:val="20"/>
              </w:rPr>
            </w:pPr>
            <w:r>
              <w:rPr>
                <w:b/>
                <w:sz w:val="20"/>
              </w:rPr>
              <w:t>Notice attached to subpoena to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670"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670"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t>Attached to this notice is a subpoena requiring you to produce documents to the Supreme Court of Western Australia.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t>Your rights</w:t>
            </w:r>
          </w:p>
        </w:tc>
        <w:tc>
          <w:tcPr>
            <w:tcW w:w="5670"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of Western Australia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without you having to go to Australia, or to retain Australian lawyers. All the necessary arrangements can be made in New Zealand.</w:t>
            </w:r>
          </w:p>
          <w:p>
            <w:pPr>
              <w:pStyle w:val="yTableNAm"/>
              <w:spacing w:before="0"/>
              <w:rPr>
                <w:b/>
                <w:sz w:val="20"/>
              </w:rPr>
            </w:pPr>
            <w:r>
              <w:rPr>
                <w:b/>
                <w:sz w:val="20"/>
              </w:rPr>
              <w:lastRenderedPageBreak/>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lastRenderedPageBreak/>
              <w:t>Your obligations</w:t>
            </w:r>
          </w:p>
        </w:tc>
        <w:tc>
          <w:tcPr>
            <w:tcW w:w="5670" w:type="dxa"/>
            <w:gridSpan w:val="2"/>
          </w:tcPr>
          <w:p>
            <w:pPr>
              <w:pStyle w:val="yTableNAm"/>
              <w:spacing w:before="0"/>
              <w:ind w:left="369" w:hanging="369"/>
              <w:rPr>
                <w:sz w:val="20"/>
              </w:rPr>
            </w:pPr>
            <w:r>
              <w:rPr>
                <w:sz w:val="20"/>
              </w:rPr>
              <w:t>6.</w:t>
            </w:r>
            <w:r>
              <w:rPr>
                <w:sz w:val="20"/>
              </w:rPr>
              <w:tab/>
              <w:t xml:space="preserve">Unless the subpoena is set aside, you must comply with it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The subpoena must specify the date on which you must attend the Supreme Court and produce the documents or things. But instead of attending you may comply with the subpoena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8" w:firstLine="1"/>
              <w:rPr>
                <w:sz w:val="20"/>
              </w:rPr>
            </w:pPr>
            <w:r>
              <w:rPr>
                <w:sz w:val="20"/>
              </w:rPr>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t>Failure to comply with subpoena</w:t>
            </w:r>
          </w:p>
        </w:tc>
        <w:tc>
          <w:tcPr>
            <w:tcW w:w="5670"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c>
          <w:tcPr>
            <w:tcW w:w="1418" w:type="dxa"/>
            <w:tcBorders>
              <w:bottom w:val="nil"/>
            </w:tcBorders>
          </w:tcPr>
          <w:p>
            <w:pPr>
              <w:pStyle w:val="yTableNAm"/>
              <w:spacing w:before="0"/>
              <w:rPr>
                <w:b/>
                <w:sz w:val="20"/>
              </w:rPr>
            </w:pPr>
            <w:r>
              <w:rPr>
                <w:b/>
                <w:sz w:val="20"/>
              </w:rPr>
              <w:t>Grounds for setting aside a subpoena</w:t>
            </w:r>
          </w:p>
        </w:tc>
        <w:tc>
          <w:tcPr>
            <w:tcW w:w="5670" w:type="dxa"/>
            <w:gridSpan w:val="2"/>
            <w:tcBorders>
              <w:bottom w:val="nil"/>
            </w:tcBorders>
          </w:tcPr>
          <w:p>
            <w:pPr>
              <w:pStyle w:val="yTableNAm"/>
              <w:spacing w:before="0"/>
              <w:ind w:left="369" w:hanging="369"/>
              <w:rPr>
                <w:sz w:val="20"/>
              </w:rPr>
            </w:pPr>
            <w:r>
              <w:rPr>
                <w:sz w:val="20"/>
              </w:rPr>
              <w:t>9.</w:t>
            </w:r>
            <w:r>
              <w:rPr>
                <w:sz w:val="20"/>
              </w:rPr>
              <w:tab/>
              <w:t>The Supreme Court must set aside the subpoena if the subpoena requires you to attend at a place in Australia and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lastRenderedPageBreak/>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c>
          <w:tcPr>
            <w:tcW w:w="1418" w:type="dxa"/>
            <w:tcBorders>
              <w:top w:val="nil"/>
            </w:tcBorders>
          </w:tcPr>
          <w:p>
            <w:pPr>
              <w:pStyle w:val="yTableNAm"/>
              <w:spacing w:before="0"/>
              <w:rPr>
                <w:b/>
                <w:sz w:val="20"/>
              </w:rPr>
            </w:pPr>
          </w:p>
        </w:tc>
        <w:tc>
          <w:tcPr>
            <w:tcW w:w="5670" w:type="dxa"/>
            <w:gridSpan w:val="2"/>
            <w:tcBorders>
              <w:top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compliance with the subpoena would cause you hardship or serious inconvenience;</w:t>
            </w:r>
          </w:p>
          <w:p>
            <w:pPr>
              <w:pStyle w:val="yTableNAm"/>
              <w:spacing w:before="0"/>
              <w:ind w:left="794" w:hanging="425"/>
              <w:rPr>
                <w:sz w:val="20"/>
              </w:rPr>
            </w:pPr>
            <w:r>
              <w:rPr>
                <w:sz w:val="20"/>
              </w:rPr>
              <w:t>(b)</w:t>
            </w:r>
            <w:r>
              <w:rPr>
                <w:sz w:val="20"/>
              </w:rPr>
              <w:tab/>
              <w:t xml:space="preserve">that, in respect of a document or thing that the subpoena requires you to produce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670"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lastRenderedPageBreak/>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pP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023"/>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tabs>
                <w:tab w:val="clear" w:pos="567"/>
              </w:tabs>
              <w:spacing w:before="0"/>
              <w:rPr>
                <w:sz w:val="20"/>
              </w:rPr>
            </w:pPr>
            <w:r>
              <w:rPr>
                <w:sz w:val="20"/>
              </w:rPr>
              <w:t>*General Division/Court of Appeal</w:t>
            </w:r>
          </w:p>
        </w:tc>
        <w:tc>
          <w:tcPr>
            <w:tcW w:w="3544" w:type="dxa"/>
            <w:gridSpan w:val="2"/>
          </w:tcPr>
          <w:p>
            <w:pPr>
              <w:pStyle w:val="yTableNAm"/>
              <w:keepNext/>
              <w:tabs>
                <w:tab w:val="clear" w:pos="567"/>
              </w:tabs>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544" w:type="dxa"/>
            <w:gridSpan w:val="2"/>
          </w:tcPr>
          <w:p>
            <w:pPr>
              <w:pStyle w:val="yTableNAm"/>
              <w:tabs>
                <w:tab w:val="clear" w:pos="567"/>
              </w:tabs>
              <w:spacing w:before="0"/>
              <w:rPr>
                <w:b/>
                <w:sz w:val="20"/>
              </w:rPr>
            </w:pPr>
            <w:r>
              <w:rPr>
                <w:b/>
                <w:sz w:val="20"/>
              </w:rPr>
              <w:t>Subpoena to produce documents to the Supreme Court of Western Australia (to be served in New Zealand)</w:t>
            </w:r>
          </w:p>
        </w:tc>
      </w:tr>
      <w:tr>
        <w:trPr>
          <w:cantSplit/>
        </w:trPr>
        <w:tc>
          <w:tcPr>
            <w:tcW w:w="1418" w:type="dxa"/>
          </w:tcPr>
          <w:p>
            <w:pPr>
              <w:pStyle w:val="yTableNAm"/>
              <w:tabs>
                <w:tab w:val="clear" w:pos="567"/>
              </w:tabs>
              <w:spacing w:before="0"/>
              <w:rPr>
                <w:sz w:val="20"/>
                <w:vertAlign w:val="superscript"/>
              </w:rPr>
            </w:pPr>
            <w:r>
              <w:rPr>
                <w:sz w:val="20"/>
              </w:rPr>
              <w:t>Parties</w:t>
            </w:r>
            <w:r>
              <w:rPr>
                <w:sz w:val="20"/>
                <w:vertAlign w:val="superscript"/>
              </w:rPr>
              <w:t>1</w:t>
            </w:r>
          </w:p>
        </w:tc>
        <w:tc>
          <w:tcPr>
            <w:tcW w:w="5670"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tabs>
                <w:tab w:val="clear" w:pos="567"/>
              </w:tabs>
              <w:spacing w:before="0"/>
              <w:rPr>
                <w:sz w:val="20"/>
              </w:rPr>
            </w:pPr>
            <w:r>
              <w:rPr>
                <w:sz w:val="20"/>
              </w:rPr>
              <w:t>To</w:t>
            </w:r>
          </w:p>
        </w:tc>
        <w:tc>
          <w:tcPr>
            <w:tcW w:w="5670" w:type="dxa"/>
            <w:gridSpan w:val="3"/>
          </w:tcPr>
          <w:p>
            <w:pPr>
              <w:pStyle w:val="yTableNAm"/>
              <w:tabs>
                <w:tab w:val="clear" w:pos="567"/>
              </w:tabs>
              <w:spacing w:before="0"/>
              <w:rPr>
                <w:sz w:val="20"/>
              </w:rPr>
            </w:pPr>
            <w:r>
              <w:rPr>
                <w:sz w:val="20"/>
              </w:rPr>
              <w:t>[</w:t>
            </w:r>
            <w:r>
              <w:rPr>
                <w:i/>
                <w:sz w:val="20"/>
              </w:rPr>
              <w:t>Name and address</w:t>
            </w:r>
            <w:r>
              <w:rPr>
                <w:sz w:val="20"/>
              </w:rPr>
              <w:t>]</w:t>
            </w:r>
          </w:p>
        </w:tc>
      </w:tr>
      <w:tr>
        <w:trPr>
          <w:cantSplit/>
        </w:trPr>
        <w:tc>
          <w:tcPr>
            <w:tcW w:w="1418" w:type="dxa"/>
          </w:tcPr>
          <w:p>
            <w:pPr>
              <w:pStyle w:val="yTableNAm"/>
              <w:tabs>
                <w:tab w:val="clear" w:pos="567"/>
              </w:tabs>
              <w:spacing w:before="0"/>
              <w:rPr>
                <w:b/>
                <w:sz w:val="20"/>
              </w:rPr>
            </w:pPr>
            <w:r>
              <w:rPr>
                <w:b/>
                <w:sz w:val="20"/>
              </w:rPr>
              <w:t>Order</w:t>
            </w:r>
          </w:p>
        </w:tc>
        <w:tc>
          <w:tcPr>
            <w:tcW w:w="5670" w:type="dxa"/>
            <w:gridSpan w:val="3"/>
          </w:tcPr>
          <w:p>
            <w:pPr>
              <w:pStyle w:val="yTableNAm"/>
              <w:tabs>
                <w:tab w:val="clear" w:pos="567"/>
              </w:tabs>
              <w:spacing w:before="0"/>
              <w:rPr>
                <w:b/>
                <w:sz w:val="20"/>
              </w:rPr>
            </w:pPr>
            <w:r>
              <w:rPr>
                <w:b/>
                <w:sz w:val="20"/>
              </w:rPr>
              <w:t xml:space="preserve">You are ordered to attend the Supreme Court of Western Australia and produce this subpoena or a copy of it and the documents or things specified in the Schedule of documents. </w:t>
            </w:r>
            <w:r>
              <w:rPr>
                <w:sz w:val="20"/>
              </w:rPr>
              <w:t>See details below.</w:t>
            </w:r>
          </w:p>
          <w:p>
            <w:pPr>
              <w:pStyle w:val="yTableNAm"/>
              <w:tabs>
                <w:tab w:val="clear" w:pos="567"/>
              </w:tabs>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tabs>
                <w:tab w:val="clear" w:pos="567"/>
              </w:tabs>
              <w:spacing w:before="0"/>
              <w:rPr>
                <w:sz w:val="20"/>
              </w:rPr>
            </w:pPr>
            <w:r>
              <w:rPr>
                <w:sz w:val="20"/>
              </w:rPr>
              <w:t>Please read Notes 1 to 16 at the end of this subpoena.</w:t>
            </w:r>
          </w:p>
        </w:tc>
      </w:tr>
      <w:tr>
        <w:trPr>
          <w:cantSplit/>
        </w:trPr>
        <w:tc>
          <w:tcPr>
            <w:tcW w:w="1418" w:type="dxa"/>
          </w:tcPr>
          <w:p>
            <w:pPr>
              <w:pStyle w:val="yTableNAm"/>
              <w:tabs>
                <w:tab w:val="clear" w:pos="567"/>
              </w:tabs>
              <w:spacing w:before="0"/>
              <w:rPr>
                <w:sz w:val="20"/>
              </w:rPr>
            </w:pPr>
            <w:r>
              <w:rPr>
                <w:sz w:val="20"/>
              </w:rPr>
              <w:t>Last date for service</w:t>
            </w:r>
            <w:r>
              <w:rPr>
                <w:sz w:val="20"/>
              </w:rPr>
              <w:br/>
            </w:r>
            <w:r>
              <w:rPr>
                <w:sz w:val="18"/>
              </w:rPr>
              <w:t>[see Note 2]</w:t>
            </w:r>
            <w:r>
              <w:rPr>
                <w:sz w:val="20"/>
              </w:rPr>
              <w:t xml:space="preserve"> </w:t>
            </w:r>
          </w:p>
        </w:tc>
        <w:tc>
          <w:tcPr>
            <w:tcW w:w="5670" w:type="dxa"/>
            <w:gridSpan w:val="3"/>
          </w:tcPr>
          <w:p>
            <w:pPr>
              <w:pStyle w:val="yTableNAm"/>
              <w:tabs>
                <w:tab w:val="clear" w:pos="567"/>
              </w:tabs>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tabs>
                <w:tab w:val="clear" w:pos="567"/>
              </w:tabs>
              <w:spacing w:before="0"/>
              <w:rPr>
                <w:sz w:val="20"/>
              </w:rPr>
            </w:pPr>
            <w:r>
              <w:rPr>
                <w:sz w:val="20"/>
              </w:rPr>
              <w:t>Issuing details</w:t>
            </w:r>
          </w:p>
        </w:tc>
        <w:tc>
          <w:tcPr>
            <w:tcW w:w="5670" w:type="dxa"/>
            <w:gridSpan w:val="3"/>
          </w:tcPr>
          <w:p>
            <w:pPr>
              <w:pStyle w:val="yTableNAm"/>
              <w:tabs>
                <w:tab w:val="clear" w:pos="567"/>
              </w:tabs>
              <w:spacing w:before="0"/>
              <w:rPr>
                <w:sz w:val="20"/>
              </w:rPr>
            </w:pPr>
            <w:r>
              <w:rPr>
                <w:sz w:val="20"/>
              </w:rPr>
              <w:t>Issued at the request of: [</w:t>
            </w:r>
            <w:r>
              <w:rPr>
                <w:i/>
                <w:sz w:val="20"/>
              </w:rPr>
              <w:t>Name of party</w:t>
            </w:r>
            <w:r>
              <w:rPr>
                <w:sz w:val="20"/>
              </w:rPr>
              <w:t>]</w:t>
            </w:r>
          </w:p>
          <w:p>
            <w:pPr>
              <w:pStyle w:val="yTableNAm"/>
              <w:tabs>
                <w:tab w:val="clear" w:pos="567"/>
              </w:tabs>
              <w:spacing w:before="0"/>
              <w:rPr>
                <w:sz w:val="20"/>
              </w:rPr>
            </w:pPr>
            <w:r>
              <w:rPr>
                <w:sz w:val="20"/>
              </w:rPr>
              <w:t>Address for service: [</w:t>
            </w:r>
            <w:r>
              <w:rPr>
                <w:i/>
                <w:sz w:val="20"/>
              </w:rPr>
              <w:t>see Order 71A rule 3</w:t>
            </w:r>
            <w:r>
              <w:rPr>
                <w:sz w:val="20"/>
              </w:rPr>
              <w:t>]</w:t>
            </w:r>
          </w:p>
          <w:p>
            <w:pPr>
              <w:pStyle w:val="yTableNAm"/>
              <w:tabs>
                <w:tab w:val="clear" w:pos="567"/>
              </w:tabs>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tabs>
                <w:tab w:val="clear" w:pos="567"/>
              </w:tabs>
              <w:spacing w:before="0"/>
              <w:rPr>
                <w:sz w:val="20"/>
              </w:rPr>
            </w:pPr>
            <w:r>
              <w:rPr>
                <w:sz w:val="20"/>
              </w:rPr>
              <w:t>Date of issue:</w:t>
            </w:r>
          </w:p>
        </w:tc>
        <w:tc>
          <w:tcPr>
            <w:tcW w:w="3023" w:type="dxa"/>
          </w:tcPr>
          <w:p>
            <w:pPr>
              <w:pStyle w:val="yTableNAm"/>
              <w:tabs>
                <w:tab w:val="clear" w:pos="567"/>
              </w:tabs>
              <w:spacing w:before="0"/>
              <w:rPr>
                <w:sz w:val="20"/>
              </w:rPr>
            </w:pPr>
            <w:r>
              <w:rPr>
                <w:sz w:val="20"/>
              </w:rPr>
              <w:t>[</w:t>
            </w:r>
            <w:r>
              <w:rPr>
                <w:i/>
                <w:sz w:val="20"/>
              </w:rPr>
              <w:t>Seal or stamp of the Court</w:t>
            </w:r>
            <w:r>
              <w:rPr>
                <w:sz w:val="20"/>
              </w:rPr>
              <w:t>]</w:t>
            </w:r>
          </w:p>
        </w:tc>
      </w:tr>
      <w:tr>
        <w:tc>
          <w:tcPr>
            <w:tcW w:w="1418" w:type="dxa"/>
          </w:tcPr>
          <w:p>
            <w:pPr>
              <w:pStyle w:val="yTableNAm"/>
              <w:tabs>
                <w:tab w:val="clear" w:pos="567"/>
              </w:tabs>
              <w:spacing w:before="0"/>
              <w:rPr>
                <w:b/>
                <w:sz w:val="20"/>
              </w:rPr>
            </w:pPr>
            <w:r>
              <w:rPr>
                <w:b/>
                <w:sz w:val="20"/>
              </w:rPr>
              <w:t>Details of subpoena</w:t>
            </w:r>
          </w:p>
          <w:p>
            <w:pPr>
              <w:pStyle w:val="yTableNAm"/>
              <w:tabs>
                <w:tab w:val="clear" w:pos="567"/>
              </w:tabs>
              <w:spacing w:before="0"/>
            </w:pPr>
            <w:r>
              <w:rPr>
                <w:sz w:val="18"/>
                <w:szCs w:val="18"/>
              </w:rPr>
              <w:t>[See Notes 5–13]</w:t>
            </w:r>
            <w:r>
              <w:rPr>
                <w:b/>
                <w:sz w:val="20"/>
              </w:rPr>
              <w:t xml:space="preserve"> </w:t>
            </w:r>
          </w:p>
        </w:tc>
        <w:tc>
          <w:tcPr>
            <w:tcW w:w="5670" w:type="dxa"/>
            <w:gridSpan w:val="3"/>
          </w:tcPr>
          <w:p>
            <w:pPr>
              <w:pStyle w:val="yTableNAm"/>
              <w:spacing w:before="0"/>
              <w:rPr>
                <w:sz w:val="20"/>
              </w:rPr>
            </w:pPr>
            <w:r>
              <w:rPr>
                <w:sz w:val="20"/>
              </w:rPr>
              <w:t xml:space="preserve">You must comply with this subpoena — </w:t>
            </w:r>
          </w:p>
          <w:p>
            <w:pPr>
              <w:pStyle w:val="yTableNAm"/>
              <w:tabs>
                <w:tab w:val="clear" w:pos="567"/>
              </w:tabs>
              <w:spacing w:before="0"/>
              <w:ind w:left="368" w:hanging="368"/>
              <w:rPr>
                <w:sz w:val="20"/>
              </w:rPr>
            </w:pPr>
            <w:r>
              <w:rPr>
                <w:sz w:val="20"/>
              </w:rPr>
              <w:t>(a)</w:t>
            </w:r>
            <w:r>
              <w:rPr>
                <w:sz w:val="20"/>
              </w:rPr>
              <w:tab/>
              <w:t>by attending the Supreme Court and producing this subpoena or a copy of it and the documents or things specified in the Schedule of documents below at the date, time and place specified for attendance and production; or</w:t>
            </w:r>
          </w:p>
          <w:p>
            <w:pPr>
              <w:pStyle w:val="yTableNAm"/>
              <w:tabs>
                <w:tab w:val="clear" w:pos="567"/>
              </w:tabs>
              <w:spacing w:before="0"/>
              <w:ind w:left="368" w:hanging="368"/>
              <w:rPr>
                <w:sz w:val="20"/>
              </w:rPr>
            </w:pPr>
            <w:r>
              <w:rPr>
                <w:sz w:val="20"/>
              </w:rPr>
              <w:t>(b)</w:t>
            </w:r>
            <w:r>
              <w:rPr>
                <w:sz w:val="20"/>
              </w:rPr>
              <w:tab/>
              <w:t xml:space="preserve">by delivering or posting this subpoena or a copy of it and the documents or things specified in the Schedule of documents below to — </w:t>
            </w:r>
          </w:p>
          <w:p>
            <w:pPr>
              <w:pStyle w:val="yTableNAm"/>
              <w:tabs>
                <w:tab w:val="clear" w:pos="567"/>
              </w:tabs>
              <w:spacing w:before="0"/>
              <w:ind w:left="794" w:hanging="368"/>
              <w:rPr>
                <w:sz w:val="20"/>
              </w:rPr>
            </w:pPr>
            <w:r>
              <w:rPr>
                <w:sz w:val="20"/>
              </w:rPr>
              <w:t>(i)</w:t>
            </w:r>
            <w:r>
              <w:rPr>
                <w:sz w:val="20"/>
              </w:rPr>
              <w:tab/>
              <w:t>the Supreme Court at the address specified below so that they are received not less than 2 clear days before the date specified in the subpoena for attendance and production; or</w:t>
            </w:r>
          </w:p>
          <w:p>
            <w:pPr>
              <w:pStyle w:val="yTableNAm"/>
              <w:tabs>
                <w:tab w:val="clear" w:pos="567"/>
              </w:tabs>
              <w:spacing w:before="0"/>
              <w:ind w:left="794" w:hanging="368"/>
              <w:rPr>
                <w:sz w:val="20"/>
              </w:rPr>
            </w:pPr>
            <w:r>
              <w:rPr>
                <w:sz w:val="20"/>
              </w:rPr>
              <w:t>(ii)</w:t>
            </w:r>
            <w:r>
              <w:rPr>
                <w:sz w:val="20"/>
              </w:rPr>
              <w:tab/>
              <w:t xml:space="preserve">the Registrar of the High Court of New Zealand at the address specified below, or if more than one address is so specified, at any one of those addresses, so that they are </w:t>
            </w:r>
            <w:r>
              <w:rPr>
                <w:sz w:val="20"/>
              </w:rPr>
              <w:lastRenderedPageBreak/>
              <w:t>received not less than 10 clear days before the date specified in the subpoena for attendance and production.</w:t>
            </w:r>
          </w:p>
          <w:p>
            <w:pPr>
              <w:pStyle w:val="yTableNAm"/>
              <w:tabs>
                <w:tab w:val="clear" w:pos="567"/>
              </w:tabs>
              <w:spacing w:before="0"/>
              <w:rPr>
                <w:sz w:val="20"/>
              </w:rPr>
            </w:pPr>
            <w:r>
              <w:rPr>
                <w:sz w:val="20"/>
              </w:rPr>
              <w:t xml:space="preserve">Date, time and place at which you must attend to produce the subpoena or a copy of it and documents or things — </w:t>
            </w:r>
          </w:p>
          <w:p>
            <w:pPr>
              <w:pStyle w:val="yTableNAm"/>
              <w:tabs>
                <w:tab w:val="clear" w:pos="567"/>
              </w:tabs>
              <w:spacing w:before="0"/>
              <w:rPr>
                <w:sz w:val="20"/>
              </w:rPr>
            </w:pPr>
            <w:r>
              <w:rPr>
                <w:sz w:val="20"/>
              </w:rPr>
              <w:t>Date:</w:t>
            </w:r>
          </w:p>
          <w:p>
            <w:pPr>
              <w:pStyle w:val="yTableNAm"/>
              <w:tabs>
                <w:tab w:val="clear" w:pos="567"/>
              </w:tabs>
              <w:spacing w:before="0"/>
              <w:rPr>
                <w:sz w:val="20"/>
              </w:rPr>
            </w:pPr>
            <w:r>
              <w:rPr>
                <w:sz w:val="20"/>
              </w:rPr>
              <w:t>Time:</w:t>
            </w:r>
          </w:p>
          <w:p>
            <w:pPr>
              <w:pStyle w:val="yTableNAm"/>
              <w:tabs>
                <w:tab w:val="clear" w:pos="567"/>
              </w:tabs>
              <w:spacing w:before="0"/>
              <w:rPr>
                <w:sz w:val="20"/>
              </w:rPr>
            </w:pPr>
            <w:r>
              <w:rPr>
                <w:sz w:val="20"/>
              </w:rPr>
              <w:t>Place:</w:t>
            </w:r>
          </w:p>
          <w:p>
            <w:pPr>
              <w:pStyle w:val="yTableNAm"/>
              <w:tabs>
                <w:tab w:val="clear" w:pos="567"/>
              </w:tabs>
              <w:spacing w:before="0"/>
              <w:rPr>
                <w:sz w:val="20"/>
              </w:rPr>
            </w:pPr>
            <w:r>
              <w:rPr>
                <w:sz w:val="20"/>
              </w:rPr>
              <w:t>Address to which the subpoena (or copy) and documents or things may be delivered:</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David Malcolm Justice Centre</w:t>
            </w:r>
          </w:p>
          <w:p>
            <w:pPr>
              <w:pStyle w:val="yTableNAm"/>
              <w:tabs>
                <w:tab w:val="clear" w:pos="567"/>
              </w:tabs>
              <w:spacing w:before="0"/>
              <w:ind w:left="368"/>
              <w:rPr>
                <w:sz w:val="20"/>
              </w:rPr>
            </w:pPr>
            <w:r>
              <w:rPr>
                <w:sz w:val="20"/>
              </w:rPr>
              <w:t>Level 11, 28 Barrack Street</w:t>
            </w:r>
          </w:p>
          <w:p>
            <w:pPr>
              <w:pStyle w:val="yTableNAm"/>
              <w:tabs>
                <w:tab w:val="clear" w:pos="567"/>
              </w:tabs>
              <w:spacing w:before="0"/>
              <w:ind w:left="368"/>
              <w:rPr>
                <w:sz w:val="20"/>
              </w:rPr>
            </w:pPr>
            <w:r>
              <w:rPr>
                <w:sz w:val="20"/>
              </w:rPr>
              <w:t>Perth WA 6000</w:t>
            </w:r>
          </w:p>
          <w:p>
            <w:pPr>
              <w:pStyle w:val="yTableNAm"/>
              <w:tabs>
                <w:tab w:val="clear" w:pos="567"/>
              </w:tabs>
              <w:spacing w:before="0"/>
              <w:ind w:left="368" w:hanging="368"/>
              <w:rPr>
                <w:sz w:val="20"/>
              </w:rPr>
            </w:pPr>
            <w:r>
              <w:rPr>
                <w:sz w:val="20"/>
              </w:rPr>
              <w:t>*</w:t>
            </w:r>
            <w:r>
              <w:rPr>
                <w:sz w:val="20"/>
              </w:rPr>
              <w:tab/>
              <w:t>Supreme Court of Western Australia</w:t>
            </w:r>
          </w:p>
          <w:p>
            <w:pPr>
              <w:pStyle w:val="yTableNAm"/>
              <w:tabs>
                <w:tab w:val="clear" w:pos="567"/>
              </w:tabs>
              <w:spacing w:before="0"/>
              <w:ind w:left="368"/>
              <w:rPr>
                <w:sz w:val="20"/>
              </w:rPr>
            </w:pPr>
            <w:r>
              <w:rPr>
                <w:sz w:val="20"/>
              </w:rPr>
              <w:t>Court of Appeal</w:t>
            </w:r>
          </w:p>
          <w:p>
            <w:pPr>
              <w:pStyle w:val="yTableNAm"/>
              <w:tabs>
                <w:tab w:val="clear" w:pos="567"/>
              </w:tabs>
              <w:spacing w:before="0"/>
              <w:ind w:left="368"/>
              <w:rPr>
                <w:sz w:val="20"/>
              </w:rPr>
            </w:pPr>
            <w:r>
              <w:rPr>
                <w:sz w:val="20"/>
              </w:rPr>
              <w:t>Stirling Gardens, Barrack Street</w:t>
            </w:r>
          </w:p>
          <w:p>
            <w:pPr>
              <w:pStyle w:val="yTableNAm"/>
              <w:tabs>
                <w:tab w:val="clear" w:pos="567"/>
              </w:tabs>
              <w:spacing w:before="0"/>
              <w:ind w:left="368"/>
              <w:rPr>
                <w:sz w:val="20"/>
              </w:rPr>
            </w:pPr>
            <w:r>
              <w:rPr>
                <w:sz w:val="20"/>
              </w:rPr>
              <w:t>Perth WA 6000</w:t>
            </w:r>
          </w:p>
          <w:p>
            <w:pPr>
              <w:pStyle w:val="yTableNAm"/>
              <w:tabs>
                <w:tab w:val="clear" w:pos="567"/>
              </w:tabs>
              <w:spacing w:before="0"/>
              <w:rPr>
                <w:sz w:val="20"/>
              </w:rPr>
            </w:pPr>
            <w:r>
              <w:rPr>
                <w:sz w:val="20"/>
              </w:rPr>
              <w:t>Address(es) of the High Court of New Zealand to which the subpoena (or copy) and documents or things may be delivered or posted:</w:t>
            </w:r>
          </w:p>
          <w:p>
            <w:pPr>
              <w:pStyle w:val="yTableNAm"/>
              <w:tabs>
                <w:tab w:val="clear" w:pos="567"/>
              </w:tabs>
              <w:spacing w:before="0"/>
              <w:ind w:left="369"/>
              <w:rPr>
                <w:sz w:val="20"/>
              </w:rPr>
            </w:pPr>
            <w:r>
              <w:rPr>
                <w:sz w:val="20"/>
              </w:rPr>
              <w:t>[</w:t>
            </w:r>
            <w:r>
              <w:rPr>
                <w:i/>
                <w:sz w:val="20"/>
              </w:rPr>
              <w:t>Address(es)</w:t>
            </w:r>
            <w:r>
              <w:rPr>
                <w:sz w:val="20"/>
              </w:rPr>
              <w:t>]</w:t>
            </w:r>
          </w:p>
        </w:tc>
      </w:tr>
      <w:tr>
        <w:tc>
          <w:tcPr>
            <w:tcW w:w="7088" w:type="dxa"/>
            <w:gridSpan w:val="4"/>
          </w:tcPr>
          <w:p>
            <w:pPr>
              <w:pStyle w:val="yTableNAm"/>
              <w:keepNext/>
              <w:tabs>
                <w:tab w:val="clear" w:pos="567"/>
              </w:tabs>
              <w:spacing w:before="0"/>
              <w:jc w:val="center"/>
              <w:rPr>
                <w:b/>
                <w:sz w:val="20"/>
              </w:rPr>
            </w:pPr>
            <w:r>
              <w:rPr>
                <w:b/>
                <w:sz w:val="20"/>
              </w:rPr>
              <w:lastRenderedPageBreak/>
              <w:t>Schedule of documents</w:t>
            </w:r>
          </w:p>
        </w:tc>
      </w:tr>
      <w:tr>
        <w:tc>
          <w:tcPr>
            <w:tcW w:w="7088" w:type="dxa"/>
            <w:gridSpan w:val="4"/>
          </w:tcPr>
          <w:p>
            <w:pPr>
              <w:pStyle w:val="yTableNAm"/>
              <w:keepNext/>
              <w:tabs>
                <w:tab w:val="clear" w:pos="567"/>
              </w:tabs>
              <w:spacing w:before="0"/>
              <w:rPr>
                <w:sz w:val="20"/>
              </w:rPr>
            </w:pPr>
            <w:r>
              <w:rPr>
                <w:sz w:val="20"/>
              </w:rPr>
              <w:t>The documents and things you must produce are as follows:</w:t>
            </w:r>
          </w:p>
          <w:p>
            <w:pPr>
              <w:pStyle w:val="yTableNAm"/>
              <w:tabs>
                <w:tab w:val="clear" w:pos="567"/>
              </w:tabs>
              <w:spacing w:before="0"/>
              <w:rPr>
                <w:i/>
                <w:sz w:val="20"/>
              </w:rPr>
            </w:pPr>
            <w:r>
              <w:rPr>
                <w:sz w:val="20"/>
              </w:rPr>
              <w:t>[</w:t>
            </w:r>
            <w:r>
              <w:rPr>
                <w:i/>
                <w:sz w:val="20"/>
              </w:rPr>
              <w:t>List the documents or things and whether the original of any document is required. If insufficient space, attach list.</w:t>
            </w:r>
            <w:r>
              <w:rPr>
                <w:sz w:val="20"/>
              </w:rPr>
              <w:t>]</w:t>
            </w:r>
          </w:p>
        </w:tc>
      </w:tr>
      <w:tr>
        <w:trPr>
          <w:cantSplit/>
        </w:trPr>
        <w:tc>
          <w:tcPr>
            <w:tcW w:w="7088" w:type="dxa"/>
            <w:gridSpan w:val="4"/>
          </w:tcPr>
          <w:p>
            <w:pPr>
              <w:pStyle w:val="yTableNAm"/>
              <w:keepNext/>
              <w:tabs>
                <w:tab w:val="clear" w:pos="567"/>
              </w:tabs>
              <w:spacing w:before="0"/>
              <w:jc w:val="center"/>
              <w:rPr>
                <w:b/>
                <w:sz w:val="20"/>
              </w:rPr>
            </w:pPr>
            <w:r>
              <w:rPr>
                <w:b/>
                <w:sz w:val="20"/>
              </w:rPr>
              <w:t>Notes</w:t>
            </w:r>
          </w:p>
        </w:tc>
      </w:tr>
      <w:tr>
        <w:tc>
          <w:tcPr>
            <w:tcW w:w="1418" w:type="dxa"/>
          </w:tcPr>
          <w:p>
            <w:pPr>
              <w:pStyle w:val="yTableNAm"/>
              <w:keepNext/>
              <w:tabs>
                <w:tab w:val="clear" w:pos="567"/>
              </w:tabs>
              <w:spacing w:before="0"/>
              <w:rPr>
                <w:b/>
                <w:sz w:val="20"/>
              </w:rPr>
            </w:pPr>
            <w:r>
              <w:rPr>
                <w:b/>
                <w:sz w:val="20"/>
              </w:rPr>
              <w:t>Leave to serve subpoena</w:t>
            </w:r>
          </w:p>
        </w:tc>
        <w:tc>
          <w:tcPr>
            <w:tcW w:w="5670" w:type="dxa"/>
            <w:gridSpan w:val="3"/>
          </w:tcPr>
          <w:p>
            <w:pPr>
              <w:pStyle w:val="yTableNAm"/>
              <w:tabs>
                <w:tab w:val="clear" w:pos="567"/>
              </w:tabs>
              <w:spacing w:before="0"/>
              <w:ind w:left="369" w:hanging="369"/>
              <w:rPr>
                <w:sz w:val="20"/>
              </w:rPr>
            </w:pPr>
            <w:r>
              <w:rPr>
                <w:sz w:val="20"/>
              </w:rPr>
              <w:t>1.</w:t>
            </w:r>
            <w:r>
              <w:rPr>
                <w:sz w:val="20"/>
              </w:rPr>
              <w:tab/>
              <w:t xml:space="preserve">You need not comply with this subpoena unless it is accompanied by — </w:t>
            </w:r>
          </w:p>
          <w:p>
            <w:pPr>
              <w:pStyle w:val="yTableNAm"/>
              <w:tabs>
                <w:tab w:val="clear" w:pos="567"/>
              </w:tabs>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tabs>
                <w:tab w:val="clear" w:pos="567"/>
              </w:tabs>
              <w:spacing w:before="0"/>
              <w:ind w:left="794" w:hanging="425"/>
              <w:rPr>
                <w:sz w:val="20"/>
              </w:rPr>
            </w:pPr>
            <w:r>
              <w:rPr>
                <w:sz w:val="20"/>
              </w:rPr>
              <w:t>(b)</w:t>
            </w:r>
            <w:r>
              <w:rPr>
                <w:sz w:val="20"/>
              </w:rPr>
              <w:tab/>
              <w:t xml:space="preserve">a notice in the prescribed form that — </w:t>
            </w:r>
          </w:p>
          <w:p>
            <w:pPr>
              <w:pStyle w:val="yTableNAm"/>
              <w:tabs>
                <w:tab w:val="clear" w:pos="567"/>
              </w:tabs>
              <w:spacing w:before="0"/>
              <w:ind w:left="1218" w:hanging="425"/>
              <w:rPr>
                <w:sz w:val="20"/>
              </w:rPr>
            </w:pPr>
            <w:r>
              <w:rPr>
                <w:sz w:val="20"/>
              </w:rPr>
              <w:t>(i)</w:t>
            </w:r>
            <w:r>
              <w:rPr>
                <w:sz w:val="20"/>
              </w:rPr>
              <w:tab/>
              <w:t>sets out your rights and obligations in relation to the subpoena; and</w:t>
            </w:r>
          </w:p>
          <w:p>
            <w:pPr>
              <w:pStyle w:val="yTableNAm"/>
              <w:tabs>
                <w:tab w:val="clear" w:pos="567"/>
              </w:tabs>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tabs>
                <w:tab w:val="clear" w:pos="567"/>
              </w:tabs>
              <w:spacing w:before="0"/>
              <w:rPr>
                <w:b/>
                <w:sz w:val="20"/>
              </w:rPr>
            </w:pPr>
            <w:r>
              <w:rPr>
                <w:b/>
                <w:sz w:val="20"/>
              </w:rPr>
              <w:t>Last day for service</w:t>
            </w:r>
          </w:p>
        </w:tc>
        <w:tc>
          <w:tcPr>
            <w:tcW w:w="5670" w:type="dxa"/>
            <w:gridSpan w:val="3"/>
          </w:tcPr>
          <w:p>
            <w:pPr>
              <w:pStyle w:val="yTableNAm"/>
              <w:keepLines/>
              <w:widowControl w:val="0"/>
              <w:tabs>
                <w:tab w:val="clear" w:pos="567"/>
              </w:tabs>
              <w:spacing w:before="0"/>
              <w:ind w:left="369" w:hanging="369"/>
              <w:rPr>
                <w:sz w:val="20"/>
              </w:rPr>
            </w:pPr>
            <w:r>
              <w:rPr>
                <w:sz w:val="20"/>
              </w:rPr>
              <w:t>2.</w:t>
            </w:r>
            <w:r>
              <w:rPr>
                <w:sz w:val="20"/>
              </w:rPr>
              <w:tab/>
              <w:t>You need not comply with this subpoena unless it is served on you on or before the date specified in it as the last date for service of the subpoena.</w:t>
            </w:r>
          </w:p>
        </w:tc>
      </w:tr>
      <w:tr>
        <w:tc>
          <w:tcPr>
            <w:tcW w:w="1418" w:type="dxa"/>
          </w:tcPr>
          <w:p>
            <w:pPr>
              <w:pStyle w:val="yTableNAm"/>
              <w:tabs>
                <w:tab w:val="clear" w:pos="567"/>
              </w:tabs>
              <w:spacing w:before="0"/>
              <w:rPr>
                <w:b/>
                <w:sz w:val="20"/>
              </w:rPr>
            </w:pPr>
            <w:r>
              <w:rPr>
                <w:b/>
                <w:sz w:val="20"/>
              </w:rPr>
              <w:t>Informal service</w:t>
            </w:r>
          </w:p>
        </w:tc>
        <w:tc>
          <w:tcPr>
            <w:tcW w:w="5670" w:type="dxa"/>
            <w:gridSpan w:val="3"/>
          </w:tcPr>
          <w:p>
            <w:pPr>
              <w:pStyle w:val="yTableNAm"/>
              <w:tabs>
                <w:tab w:val="clear" w:pos="567"/>
              </w:tabs>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rPr>
          <w:cantSplit/>
        </w:trPr>
        <w:tc>
          <w:tcPr>
            <w:tcW w:w="1418" w:type="dxa"/>
          </w:tcPr>
          <w:p>
            <w:pPr>
              <w:pStyle w:val="yTableNAm"/>
              <w:tabs>
                <w:tab w:val="clear" w:pos="567"/>
              </w:tabs>
              <w:spacing w:before="0"/>
              <w:rPr>
                <w:b/>
                <w:sz w:val="20"/>
              </w:rPr>
            </w:pPr>
            <w:r>
              <w:rPr>
                <w:b/>
                <w:sz w:val="20"/>
              </w:rPr>
              <w:lastRenderedPageBreak/>
              <w:t>Addressee a corporation</w:t>
            </w:r>
          </w:p>
        </w:tc>
        <w:tc>
          <w:tcPr>
            <w:tcW w:w="5670" w:type="dxa"/>
            <w:gridSpan w:val="3"/>
          </w:tcPr>
          <w:p>
            <w:pPr>
              <w:pStyle w:val="yTableNAm"/>
              <w:tabs>
                <w:tab w:val="clear" w:pos="567"/>
              </w:tabs>
              <w:spacing w:before="0"/>
              <w:ind w:left="369" w:hanging="369"/>
              <w:rPr>
                <w:sz w:val="20"/>
              </w:rPr>
            </w:pPr>
            <w:r>
              <w:rPr>
                <w:sz w:val="20"/>
              </w:rPr>
              <w:t>4.</w:t>
            </w:r>
            <w:r>
              <w:rPr>
                <w:sz w:val="20"/>
              </w:rPr>
              <w:tab/>
              <w:t>If the subpoena is addressed to a corporation, the corporation must comply with the subpoena by its appropriate or proper officer.</w:t>
            </w:r>
          </w:p>
        </w:tc>
      </w:tr>
      <w:tr>
        <w:tc>
          <w:tcPr>
            <w:tcW w:w="1418" w:type="dxa"/>
          </w:tcPr>
          <w:p>
            <w:pPr>
              <w:pStyle w:val="yTableNAm"/>
              <w:tabs>
                <w:tab w:val="clear" w:pos="567"/>
              </w:tabs>
              <w:spacing w:before="0"/>
              <w:rPr>
                <w:b/>
                <w:sz w:val="20"/>
              </w:rPr>
            </w:pPr>
            <w:r>
              <w:rPr>
                <w:b/>
                <w:sz w:val="20"/>
              </w:rPr>
              <w:t>Production of subpoena or copy of it and documents or things by delivery or post</w:t>
            </w:r>
          </w:p>
        </w:tc>
        <w:tc>
          <w:tcPr>
            <w:tcW w:w="5670" w:type="dxa"/>
            <w:gridSpan w:val="3"/>
          </w:tcPr>
          <w:p>
            <w:pPr>
              <w:pStyle w:val="yTableNAm"/>
              <w:tabs>
                <w:tab w:val="clear" w:pos="567"/>
              </w:tabs>
              <w:spacing w:before="0"/>
              <w:ind w:left="369" w:hanging="369"/>
              <w:rPr>
                <w:sz w:val="20"/>
              </w:rPr>
            </w:pPr>
            <w:r>
              <w:rPr>
                <w:sz w:val="20"/>
              </w:rPr>
              <w:t>5.</w:t>
            </w:r>
            <w:r>
              <w:rPr>
                <w:sz w:val="20"/>
              </w:rPr>
              <w:tab/>
              <w:t xml:space="preserve">Instead of attending the Supreme Court and producing this subpoena or a copy of it and the document or thing, you may comply with this subpoena by delivering or posting the subpoena or a copy of it and the document or thing to — </w:t>
            </w:r>
          </w:p>
          <w:p>
            <w:pPr>
              <w:pStyle w:val="yTableNAm"/>
              <w:tabs>
                <w:tab w:val="clear" w:pos="567"/>
              </w:tabs>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tabs>
                <w:tab w:val="clear" w:pos="567"/>
              </w:tabs>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tabs>
                <w:tab w:val="clear" w:pos="567"/>
              </w:tabs>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tabs>
                <w:tab w:val="clear" w:pos="567"/>
              </w:tabs>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tabs>
                <w:tab w:val="clear" w:pos="567"/>
              </w:tabs>
              <w:spacing w:before="0"/>
              <w:rPr>
                <w:b/>
                <w:sz w:val="20"/>
              </w:rPr>
            </w:pPr>
            <w:r>
              <w:rPr>
                <w:b/>
                <w:sz w:val="20"/>
              </w:rPr>
              <w:t>Production of a number of documents or things</w:t>
            </w:r>
          </w:p>
        </w:tc>
        <w:tc>
          <w:tcPr>
            <w:tcW w:w="5670" w:type="dxa"/>
            <w:gridSpan w:val="3"/>
            <w:shd w:val="clear" w:color="auto" w:fill="auto"/>
          </w:tcPr>
          <w:p>
            <w:pPr>
              <w:pStyle w:val="yTableNAm"/>
              <w:tabs>
                <w:tab w:val="clear" w:pos="567"/>
              </w:tabs>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tabs>
                <w:tab w:val="clear" w:pos="567"/>
              </w:tabs>
              <w:spacing w:before="0"/>
              <w:rPr>
                <w:b/>
                <w:sz w:val="20"/>
              </w:rPr>
            </w:pPr>
            <w:r>
              <w:rPr>
                <w:b/>
                <w:sz w:val="20"/>
              </w:rPr>
              <w:t>Production of copy instead of original</w:t>
            </w:r>
          </w:p>
        </w:tc>
        <w:tc>
          <w:tcPr>
            <w:tcW w:w="5670" w:type="dxa"/>
            <w:gridSpan w:val="3"/>
          </w:tcPr>
          <w:p>
            <w:pPr>
              <w:pStyle w:val="yTableNAm"/>
              <w:tabs>
                <w:tab w:val="clear" w:pos="567"/>
              </w:tabs>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tabs>
                <w:tab w:val="clear" w:pos="567"/>
              </w:tabs>
              <w:spacing w:before="0"/>
              <w:ind w:left="369" w:hanging="369"/>
              <w:rPr>
                <w:sz w:val="20"/>
              </w:rPr>
            </w:pPr>
            <w:r>
              <w:rPr>
                <w:sz w:val="20"/>
              </w:rPr>
              <w:t>10.</w:t>
            </w:r>
            <w:r>
              <w:rPr>
                <w:sz w:val="20"/>
              </w:rPr>
              <w:tab/>
              <w:t xml:space="preserve">The copy of a document may be — </w:t>
            </w:r>
          </w:p>
          <w:p>
            <w:pPr>
              <w:pStyle w:val="yTableNAm"/>
              <w:tabs>
                <w:tab w:val="clear" w:pos="567"/>
              </w:tabs>
              <w:spacing w:before="0"/>
              <w:ind w:left="794" w:hanging="425"/>
              <w:rPr>
                <w:sz w:val="20"/>
              </w:rPr>
            </w:pPr>
            <w:r>
              <w:rPr>
                <w:sz w:val="20"/>
              </w:rPr>
              <w:t>(a)</w:t>
            </w:r>
            <w:r>
              <w:rPr>
                <w:sz w:val="20"/>
              </w:rPr>
              <w:tab/>
              <w:t>a photocopy; or</w:t>
            </w:r>
          </w:p>
          <w:p>
            <w:pPr>
              <w:pStyle w:val="yTableNAm"/>
              <w:tabs>
                <w:tab w:val="clear" w:pos="567"/>
              </w:tabs>
              <w:spacing w:before="0"/>
              <w:ind w:left="794" w:hanging="425"/>
              <w:rPr>
                <w:sz w:val="20"/>
              </w:rPr>
            </w:pPr>
            <w:r>
              <w:rPr>
                <w:sz w:val="20"/>
              </w:rPr>
              <w:t>(b)</w:t>
            </w:r>
            <w:r>
              <w:rPr>
                <w:sz w:val="20"/>
              </w:rPr>
              <w:tab/>
              <w:t xml:space="preserve">in an electronic form on a CD-ROM, DVD or USB device in any of the following electronic formats — </w:t>
            </w:r>
          </w:p>
          <w:p>
            <w:pPr>
              <w:pStyle w:val="yTableNAm"/>
              <w:tabs>
                <w:tab w:val="clear" w:pos="567"/>
              </w:tabs>
              <w:spacing w:before="0"/>
              <w:ind w:left="935" w:hanging="1"/>
              <w:rPr>
                <w:sz w:val="20"/>
              </w:rPr>
            </w:pPr>
            <w:r>
              <w:rPr>
                <w:sz w:val="20"/>
              </w:rPr>
              <w:t>.doc and .docx – Microsoft Word documents</w:t>
            </w:r>
          </w:p>
          <w:p>
            <w:pPr>
              <w:pStyle w:val="yTableNAm"/>
              <w:tabs>
                <w:tab w:val="clear" w:pos="567"/>
              </w:tabs>
              <w:spacing w:before="0"/>
              <w:ind w:left="935" w:hanging="1"/>
              <w:rPr>
                <w:sz w:val="20"/>
              </w:rPr>
            </w:pPr>
            <w:r>
              <w:rPr>
                <w:sz w:val="20"/>
              </w:rPr>
              <w:t>.pdf – Adobe Acrobat documents</w:t>
            </w:r>
          </w:p>
          <w:p>
            <w:pPr>
              <w:pStyle w:val="yTableNAm"/>
              <w:tabs>
                <w:tab w:val="clear" w:pos="567"/>
              </w:tabs>
              <w:spacing w:before="0"/>
              <w:ind w:left="935" w:hanging="1"/>
              <w:rPr>
                <w:sz w:val="20"/>
              </w:rPr>
            </w:pPr>
            <w:r>
              <w:rPr>
                <w:sz w:val="20"/>
              </w:rPr>
              <w:t>.xls and .xlsx – Microsoft Excel spreadsheets</w:t>
            </w:r>
          </w:p>
          <w:p>
            <w:pPr>
              <w:pStyle w:val="yTableNAm"/>
              <w:tabs>
                <w:tab w:val="clear" w:pos="567"/>
              </w:tabs>
              <w:spacing w:before="0"/>
              <w:ind w:left="935" w:hanging="1"/>
              <w:rPr>
                <w:sz w:val="20"/>
              </w:rPr>
            </w:pPr>
            <w:r>
              <w:rPr>
                <w:sz w:val="20"/>
              </w:rPr>
              <w:t>.jpg – image files</w:t>
            </w:r>
          </w:p>
          <w:p>
            <w:pPr>
              <w:pStyle w:val="yTableNAm"/>
              <w:tabs>
                <w:tab w:val="clear" w:pos="567"/>
              </w:tabs>
              <w:spacing w:before="0"/>
              <w:ind w:left="935" w:hanging="1"/>
              <w:rPr>
                <w:sz w:val="20"/>
              </w:rPr>
            </w:pPr>
            <w:r>
              <w:rPr>
                <w:sz w:val="20"/>
              </w:rPr>
              <w:t>.rtf – rich text format</w:t>
            </w:r>
          </w:p>
          <w:p>
            <w:pPr>
              <w:pStyle w:val="yTableNAm"/>
              <w:tabs>
                <w:tab w:val="clear" w:pos="567"/>
              </w:tabs>
              <w:spacing w:before="0"/>
              <w:ind w:left="935" w:hanging="1"/>
              <w:rPr>
                <w:sz w:val="20"/>
              </w:rPr>
            </w:pPr>
            <w:r>
              <w:rPr>
                <w:sz w:val="20"/>
              </w:rPr>
              <w:t>.gif – graphics interchange format</w:t>
            </w:r>
          </w:p>
          <w:p>
            <w:pPr>
              <w:pStyle w:val="yTableNAm"/>
              <w:tabs>
                <w:tab w:val="clear" w:pos="567"/>
              </w:tabs>
              <w:spacing w:before="0"/>
              <w:ind w:left="935" w:hanging="1"/>
              <w:rPr>
                <w:sz w:val="20"/>
              </w:rPr>
            </w:pPr>
            <w:r>
              <w:rPr>
                <w:sz w:val="20"/>
              </w:rPr>
              <w:t>.tif – tagged image format</w:t>
            </w:r>
          </w:p>
        </w:tc>
      </w:tr>
      <w:tr>
        <w:trPr>
          <w:cantSplit/>
        </w:trPr>
        <w:tc>
          <w:tcPr>
            <w:tcW w:w="1418" w:type="dxa"/>
          </w:tcPr>
          <w:p>
            <w:pPr>
              <w:pStyle w:val="yTableNAm"/>
              <w:tabs>
                <w:tab w:val="clear" w:pos="567"/>
              </w:tabs>
              <w:spacing w:before="0"/>
              <w:rPr>
                <w:b/>
                <w:sz w:val="20"/>
              </w:rPr>
            </w:pPr>
            <w:r>
              <w:rPr>
                <w:b/>
                <w:sz w:val="20"/>
              </w:rPr>
              <w:lastRenderedPageBreak/>
              <w:t>Return or destruction of documents or copies</w:t>
            </w:r>
          </w:p>
        </w:tc>
        <w:tc>
          <w:tcPr>
            <w:tcW w:w="5670" w:type="dxa"/>
            <w:gridSpan w:val="3"/>
          </w:tcPr>
          <w:p>
            <w:pPr>
              <w:pStyle w:val="yTableNAm"/>
              <w:tabs>
                <w:tab w:val="clear" w:pos="567"/>
              </w:tabs>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tabs>
                <w:tab w:val="clear" w:pos="567"/>
              </w:tabs>
              <w:spacing w:before="0"/>
              <w:ind w:left="369" w:hanging="369"/>
              <w:rPr>
                <w:sz w:val="20"/>
              </w:rPr>
            </w:pPr>
            <w:r>
              <w:rPr>
                <w:sz w:val="20"/>
              </w:rPr>
              <w:t>12.</w:t>
            </w:r>
            <w:r>
              <w:rPr>
                <w:sz w:val="20"/>
              </w:rPr>
              <w:tab/>
              <w:t>If you have so informed the Court, a registrar of the Supreme Court may destroy the document or copy instead of returning it to you.</w:t>
            </w:r>
          </w:p>
        </w:tc>
      </w:tr>
      <w:tr>
        <w:tc>
          <w:tcPr>
            <w:tcW w:w="1418" w:type="dxa"/>
          </w:tcPr>
          <w:p>
            <w:pPr>
              <w:pStyle w:val="yTableNAm"/>
              <w:tabs>
                <w:tab w:val="clear" w:pos="567"/>
              </w:tabs>
              <w:spacing w:before="0"/>
              <w:rPr>
                <w:b/>
                <w:sz w:val="20"/>
              </w:rPr>
            </w:pPr>
            <w:r>
              <w:rPr>
                <w:b/>
                <w:sz w:val="20"/>
              </w:rPr>
              <w:t>Applications in relation to subpoena</w:t>
            </w:r>
          </w:p>
        </w:tc>
        <w:tc>
          <w:tcPr>
            <w:tcW w:w="5670" w:type="dxa"/>
            <w:gridSpan w:val="3"/>
          </w:tcPr>
          <w:p>
            <w:pPr>
              <w:pStyle w:val="yTableNAm"/>
              <w:tabs>
                <w:tab w:val="clear" w:pos="567"/>
              </w:tabs>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tabs>
                <w:tab w:val="clear" w:pos="567"/>
              </w:tabs>
              <w:spacing w:before="0"/>
              <w:rPr>
                <w:b/>
                <w:sz w:val="20"/>
              </w:rPr>
            </w:pPr>
            <w:r>
              <w:rPr>
                <w:b/>
                <w:sz w:val="20"/>
              </w:rPr>
              <w:t>Loss or expense of compliance</w:t>
            </w:r>
          </w:p>
        </w:tc>
        <w:tc>
          <w:tcPr>
            <w:tcW w:w="5670" w:type="dxa"/>
            <w:gridSpan w:val="3"/>
          </w:tcPr>
          <w:p>
            <w:pPr>
              <w:pStyle w:val="yTableNAm"/>
              <w:tabs>
                <w:tab w:val="clear" w:pos="567"/>
              </w:tabs>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the subpoena.</w:t>
            </w:r>
          </w:p>
        </w:tc>
      </w:tr>
      <w:tr>
        <w:tc>
          <w:tcPr>
            <w:tcW w:w="1418" w:type="dxa"/>
          </w:tcPr>
          <w:p>
            <w:pPr>
              <w:pStyle w:val="yTableNAm"/>
              <w:tabs>
                <w:tab w:val="clear" w:pos="567"/>
              </w:tabs>
              <w:spacing w:before="0"/>
              <w:rPr>
                <w:b/>
                <w:sz w:val="20"/>
              </w:rPr>
            </w:pPr>
            <w:r>
              <w:rPr>
                <w:b/>
                <w:sz w:val="20"/>
              </w:rPr>
              <w:t xml:space="preserve">Contempt of court—arrest </w:t>
            </w:r>
          </w:p>
        </w:tc>
        <w:tc>
          <w:tcPr>
            <w:tcW w:w="5670" w:type="dxa"/>
            <w:gridSpan w:val="3"/>
          </w:tcPr>
          <w:p>
            <w:pPr>
              <w:pStyle w:val="yTableNAm"/>
              <w:tabs>
                <w:tab w:val="clear" w:pos="567"/>
              </w:tabs>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tabs>
                <w:tab w:val="clear" w:pos="567"/>
              </w:tabs>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pPr>
      <w:r>
        <w:t>Footnotes to Form 23A —</w:t>
      </w:r>
    </w:p>
    <w:p>
      <w:pPr>
        <w:pStyle w:val="PermNotePara"/>
        <w:tabs>
          <w:tab w:val="clear" w:pos="1843"/>
          <w:tab w:val="left" w:pos="567"/>
        </w:tabs>
      </w:pPr>
      <w:r>
        <w:t>*</w:t>
      </w:r>
      <w:r>
        <w:tab/>
        <w:t>Delete the inapplicable.</w:t>
      </w:r>
    </w:p>
    <w:p>
      <w:pPr>
        <w:pStyle w:val="PermNotePara"/>
        <w:tabs>
          <w:tab w:val="clear" w:pos="1843"/>
          <w:tab w:val="left" w:pos="567"/>
        </w:tabs>
        <w:ind w:left="567" w:hanging="567"/>
      </w:pPr>
      <w:r>
        <w:t>1.</w:t>
      </w:r>
      <w:r>
        <w:tab/>
        <w:t>If there is more than one of any party, include the additional parties’ names and types of party in a schedule to the subpoena.</w:t>
      </w:r>
    </w:p>
    <w:p>
      <w:pPr>
        <w:pStyle w:val="yFootnotesection"/>
        <w:keepLines w:val="0"/>
      </w:pPr>
      <w:r>
        <w:tab/>
        <w:t>[Form 23A inserted: Gazette 24 May 2017 p. 2591</w:t>
      </w:r>
      <w:r>
        <w:noBreakHyphen/>
        <w:t>8; amended: Gazette 27 Feb 2018 p. 622.]</w:t>
      </w:r>
    </w:p>
    <w:p>
      <w:pPr>
        <w:pStyle w:val="yHeading5"/>
      </w:pPr>
      <w:bookmarkStart w:id="1517" w:name="_Toc129078537"/>
      <w:r>
        <w:rPr>
          <w:rStyle w:val="CharSClsNo"/>
        </w:rPr>
        <w:t>23B</w:t>
      </w:r>
      <w:r>
        <w:t>.</w:t>
      </w:r>
      <w:r>
        <w:tab/>
        <w:t>Subpoena to give evidence and produce documents to WA Supreme Court (to be served in NZ) (O. 39A r. 2A)</w:t>
      </w:r>
      <w:bookmarkEnd w:id="1517"/>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3686"/>
      </w:tblGrid>
      <w:tr>
        <w:trPr>
          <w:cantSplit/>
          <w:trHeight w:val="194"/>
        </w:trPr>
        <w:tc>
          <w:tcPr>
            <w:tcW w:w="3544" w:type="dxa"/>
            <w:gridSpan w:val="2"/>
            <w:vMerge w:val="restart"/>
          </w:tcPr>
          <w:p>
            <w:pPr>
              <w:pStyle w:val="yTableNAm"/>
              <w:keepNext/>
              <w:spacing w:before="0"/>
              <w:rPr>
                <w:sz w:val="20"/>
              </w:rPr>
            </w:pPr>
            <w:r>
              <w:rPr>
                <w:sz w:val="20"/>
              </w:rPr>
              <w:t>Supreme Court of Western Australia</w:t>
            </w:r>
          </w:p>
          <w:p>
            <w:pPr>
              <w:pStyle w:val="yTableNAm"/>
              <w:keepNext/>
              <w:spacing w:before="0"/>
              <w:rPr>
                <w:sz w:val="20"/>
              </w:rPr>
            </w:pPr>
            <w:r>
              <w:rPr>
                <w:sz w:val="20"/>
              </w:rPr>
              <w:t>*General Division/Court of Appeal</w:t>
            </w:r>
          </w:p>
        </w:tc>
        <w:tc>
          <w:tcPr>
            <w:tcW w:w="3686" w:type="dxa"/>
          </w:tcPr>
          <w:p>
            <w:pPr>
              <w:pStyle w:val="yTableNAm"/>
              <w:keepNext/>
              <w:spacing w:before="0"/>
              <w:rPr>
                <w:sz w:val="20"/>
              </w:rPr>
            </w:pPr>
            <w:r>
              <w:rPr>
                <w:sz w:val="20"/>
              </w:rPr>
              <w:t>No.:</w:t>
            </w:r>
          </w:p>
        </w:tc>
      </w:tr>
      <w:tr>
        <w:trPr>
          <w:cantSplit/>
          <w:trHeight w:val="194"/>
        </w:trPr>
        <w:tc>
          <w:tcPr>
            <w:tcW w:w="3544" w:type="dxa"/>
            <w:gridSpan w:val="2"/>
            <w:vMerge/>
          </w:tcPr>
          <w:p>
            <w:pPr>
              <w:pStyle w:val="yTableNAm"/>
              <w:keepNext/>
              <w:spacing w:before="0"/>
              <w:rPr>
                <w:sz w:val="20"/>
              </w:rPr>
            </w:pPr>
          </w:p>
        </w:tc>
        <w:tc>
          <w:tcPr>
            <w:tcW w:w="3686" w:type="dxa"/>
          </w:tcPr>
          <w:p>
            <w:pPr>
              <w:pStyle w:val="yTableNAm"/>
              <w:keepNext/>
              <w:spacing w:before="0"/>
              <w:rPr>
                <w:b/>
                <w:sz w:val="20"/>
              </w:rPr>
            </w:pPr>
            <w:r>
              <w:rPr>
                <w:b/>
                <w:sz w:val="20"/>
              </w:rPr>
              <w:t>Notice attached to 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2"/>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c>
          <w:tcPr>
            <w:tcW w:w="1418" w:type="dxa"/>
          </w:tcPr>
          <w:p>
            <w:pPr>
              <w:pStyle w:val="yTableNAm"/>
              <w:spacing w:before="0"/>
              <w:rPr>
                <w:sz w:val="20"/>
              </w:rPr>
            </w:pPr>
            <w:r>
              <w:rPr>
                <w:b/>
                <w:sz w:val="20"/>
              </w:rPr>
              <w:t xml:space="preserve">Notice to witness  </w:t>
            </w:r>
          </w:p>
        </w:tc>
        <w:tc>
          <w:tcPr>
            <w:tcW w:w="5812" w:type="dxa"/>
            <w:gridSpan w:val="2"/>
          </w:tcPr>
          <w:p>
            <w:pPr>
              <w:pStyle w:val="yTableNAm"/>
              <w:spacing w:before="0"/>
              <w:jc w:val="center"/>
              <w:rPr>
                <w:i/>
                <w:sz w:val="20"/>
              </w:rPr>
            </w:pPr>
            <w:r>
              <w:rPr>
                <w:i/>
                <w:sz w:val="20"/>
              </w:rPr>
              <w:t xml:space="preserve">Trans-Tasman Proceedings Act 2010 </w:t>
            </w:r>
            <w:r>
              <w:rPr>
                <w:sz w:val="20"/>
              </w:rPr>
              <w:t>(Commonwealth)</w:t>
            </w:r>
          </w:p>
          <w:p>
            <w:pPr>
              <w:pStyle w:val="yTableNAm"/>
              <w:spacing w:before="0"/>
              <w:jc w:val="center"/>
              <w:rPr>
                <w:b/>
                <w:sz w:val="20"/>
              </w:rPr>
            </w:pPr>
            <w:r>
              <w:rPr>
                <w:b/>
                <w:sz w:val="20"/>
              </w:rPr>
              <w:t>This notice is very important.</w:t>
            </w:r>
          </w:p>
          <w:p>
            <w:pPr>
              <w:pStyle w:val="yTableNAm"/>
              <w:spacing w:before="0"/>
              <w:jc w:val="center"/>
              <w:rPr>
                <w:b/>
                <w:sz w:val="20"/>
              </w:rPr>
            </w:pPr>
            <w:r>
              <w:rPr>
                <w:b/>
                <w:sz w:val="20"/>
              </w:rPr>
              <w:t>Please read it and the attached document or documents very carefully.</w:t>
            </w:r>
          </w:p>
          <w:p>
            <w:pPr>
              <w:pStyle w:val="yTableNAm"/>
              <w:spacing w:before="0"/>
              <w:jc w:val="center"/>
              <w:rPr>
                <w:b/>
                <w:sz w:val="20"/>
              </w:rPr>
            </w:pPr>
            <w:r>
              <w:rPr>
                <w:b/>
                <w:sz w:val="20"/>
              </w:rPr>
              <w:t>If you have any trouble understanding these documents you should get legal advice as soon as possible.</w:t>
            </w:r>
          </w:p>
          <w:p>
            <w:pPr>
              <w:pStyle w:val="yTableNAm"/>
              <w:spacing w:before="0"/>
              <w:rPr>
                <w:sz w:val="20"/>
              </w:rPr>
            </w:pPr>
            <w:r>
              <w:rPr>
                <w:sz w:val="20"/>
              </w:rPr>
              <w:lastRenderedPageBreak/>
              <w:t>Attached to this notice is a subpoena requiring you to attend the Supreme Court of Western Australia to give evidence and produce documents. The subpoena has been issued by that court.</w:t>
            </w:r>
          </w:p>
          <w:p>
            <w:pPr>
              <w:pStyle w:val="yTableNAm"/>
              <w:spacing w:before="0"/>
              <w:rPr>
                <w:sz w:val="20"/>
              </w:rPr>
            </w:pPr>
            <w:r>
              <w:rPr>
                <w:sz w:val="20"/>
              </w:rPr>
              <w:t xml:space="preserve">The subpoena may be served in New Zealand under New Zealand law (see </w:t>
            </w:r>
            <w:r>
              <w:rPr>
                <w:i/>
                <w:sz w:val="20"/>
              </w:rPr>
              <w:t>Evidence Act 2006</w:t>
            </w:r>
            <w:r>
              <w:rPr>
                <w:sz w:val="20"/>
              </w:rPr>
              <w:t xml:space="preserve"> (New Zealand) section 163).</w:t>
            </w:r>
          </w:p>
          <w:p>
            <w:pPr>
              <w:pStyle w:val="yTableNAm"/>
              <w:spacing w:before="0"/>
              <w:rPr>
                <w:sz w:val="20"/>
              </w:rPr>
            </w:pPr>
            <w:r>
              <w:rPr>
                <w:sz w:val="20"/>
              </w:rPr>
              <w:t xml:space="preserve">This notice — </w:t>
            </w:r>
          </w:p>
          <w:p>
            <w:pPr>
              <w:pStyle w:val="yTableNAm"/>
              <w:spacing w:before="0"/>
              <w:ind w:left="368" w:hanging="368"/>
              <w:rPr>
                <w:sz w:val="20"/>
              </w:rPr>
            </w:pPr>
            <w:r>
              <w:rPr>
                <w:sz w:val="20"/>
              </w:rPr>
              <w:t>•</w:t>
            </w:r>
            <w:r>
              <w:rPr>
                <w:sz w:val="20"/>
              </w:rPr>
              <w:tab/>
              <w:t>sets out your rights relating to the subpoena; and</w:t>
            </w:r>
          </w:p>
          <w:p>
            <w:pPr>
              <w:pStyle w:val="yTableNAm"/>
              <w:spacing w:before="0"/>
              <w:ind w:left="368" w:hanging="368"/>
              <w:rPr>
                <w:sz w:val="20"/>
              </w:rPr>
            </w:pPr>
            <w:r>
              <w:rPr>
                <w:sz w:val="20"/>
              </w:rPr>
              <w:t>•</w:t>
            </w:r>
            <w:r>
              <w:rPr>
                <w:sz w:val="20"/>
              </w:rPr>
              <w:tab/>
              <w:t>sets out your obligations relating to the subpoena; and</w:t>
            </w:r>
          </w:p>
          <w:p>
            <w:pPr>
              <w:pStyle w:val="yTableNAm"/>
              <w:spacing w:before="0"/>
              <w:ind w:left="368" w:hanging="368"/>
              <w:rPr>
                <w:sz w:val="20"/>
              </w:rPr>
            </w:pPr>
            <w:r>
              <w:rPr>
                <w:sz w:val="20"/>
              </w:rPr>
              <w:t>•</w:t>
            </w:r>
            <w:r>
              <w:rPr>
                <w:sz w:val="20"/>
              </w:rPr>
              <w:tab/>
              <w:t>includes information about the way in which you may make an application to have the subpoena set aside.</w:t>
            </w:r>
          </w:p>
        </w:tc>
      </w:tr>
      <w:tr>
        <w:tc>
          <w:tcPr>
            <w:tcW w:w="1418" w:type="dxa"/>
          </w:tcPr>
          <w:p>
            <w:pPr>
              <w:pStyle w:val="yTableNAm"/>
              <w:spacing w:before="0"/>
              <w:rPr>
                <w:b/>
                <w:sz w:val="20"/>
              </w:rPr>
            </w:pPr>
            <w:r>
              <w:rPr>
                <w:b/>
                <w:sz w:val="20"/>
              </w:rPr>
              <w:lastRenderedPageBreak/>
              <w:t>Your rights</w:t>
            </w:r>
          </w:p>
        </w:tc>
        <w:tc>
          <w:tcPr>
            <w:tcW w:w="5812" w:type="dxa"/>
            <w:gridSpan w:val="2"/>
          </w:tcPr>
          <w:p>
            <w:pPr>
              <w:pStyle w:val="yTableNAm"/>
              <w:spacing w:before="0"/>
              <w:ind w:left="369" w:hanging="369"/>
              <w:rPr>
                <w:sz w:val="20"/>
              </w:rPr>
            </w:pPr>
            <w:r>
              <w:rPr>
                <w:sz w:val="20"/>
              </w:rPr>
              <w:t>1.</w:t>
            </w:r>
            <w:r>
              <w:rPr>
                <w:sz w:val="20"/>
              </w:rPr>
              <w:tab/>
              <w:t>You are entitled to receive payment of an amount equal to the reasonable expenses you incur in complying with the subpoena.</w:t>
            </w:r>
          </w:p>
          <w:p>
            <w:pPr>
              <w:pStyle w:val="yTableNAm"/>
              <w:spacing w:before="0"/>
              <w:ind w:left="369" w:hanging="369"/>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TableNAm"/>
              <w:spacing w:before="0"/>
              <w:ind w:left="369" w:hanging="369"/>
              <w:rPr>
                <w:sz w:val="20"/>
              </w:rPr>
            </w:pPr>
            <w:r>
              <w:rPr>
                <w:sz w:val="20"/>
              </w:rPr>
              <w:t>3.</w:t>
            </w:r>
            <w:r>
              <w:rPr>
                <w:sz w:val="20"/>
              </w:rPr>
              <w:tab/>
              <w:t>If, in complying with the subpoena, you incur expenses that are more than the amount that was given to you before you complied, you may obtain an order from the Supreme Court that you be paid the additional amount you incurred.</w:t>
            </w:r>
          </w:p>
          <w:p>
            <w:pPr>
              <w:pStyle w:val="yTableNAm"/>
              <w:spacing w:before="0"/>
              <w:ind w:left="369" w:hanging="369"/>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TableNAm"/>
              <w:spacing w:before="0"/>
              <w:ind w:left="369" w:hanging="369"/>
              <w:rPr>
                <w:sz w:val="20"/>
              </w:rPr>
            </w:pPr>
            <w:r>
              <w:rPr>
                <w:sz w:val="20"/>
              </w:rPr>
              <w:t>5.</w:t>
            </w:r>
            <w:r>
              <w:rPr>
                <w:sz w:val="20"/>
              </w:rPr>
              <w:tab/>
              <w:t>An application can be made and determined by the Supreme Court without you having to go to Australia, or to retain Australian lawyers. All the necessary arrangements can be made in New Zealand.</w:t>
            </w:r>
          </w:p>
          <w:p>
            <w:pPr>
              <w:pStyle w:val="yTableNAm"/>
              <w:spacing w:before="0"/>
              <w:rPr>
                <w:b/>
                <w:sz w:val="20"/>
              </w:rPr>
            </w:pPr>
            <w:r>
              <w:rPr>
                <w:b/>
                <w:sz w:val="20"/>
              </w:rPr>
              <w:t xml:space="preserve">Note: </w:t>
            </w:r>
            <w:r>
              <w:rPr>
                <w:sz w:val="20"/>
              </w:rPr>
              <w:t>Details of some of the grounds on which a subpoena can be set aside and the procedures for setting aside a subpoena are set out at the end of this notice.</w:t>
            </w:r>
          </w:p>
        </w:tc>
      </w:tr>
      <w:tr>
        <w:tc>
          <w:tcPr>
            <w:tcW w:w="1418" w:type="dxa"/>
          </w:tcPr>
          <w:p>
            <w:pPr>
              <w:pStyle w:val="yTableNAm"/>
              <w:spacing w:before="0"/>
              <w:rPr>
                <w:b/>
                <w:sz w:val="20"/>
              </w:rPr>
            </w:pPr>
            <w:r>
              <w:rPr>
                <w:b/>
                <w:sz w:val="20"/>
              </w:rPr>
              <w:t xml:space="preserve">Your obligations  </w:t>
            </w:r>
          </w:p>
        </w:tc>
        <w:tc>
          <w:tcPr>
            <w:tcW w:w="5812" w:type="dxa"/>
            <w:gridSpan w:val="2"/>
          </w:tcPr>
          <w:p>
            <w:pPr>
              <w:pStyle w:val="yTableNAm"/>
              <w:spacing w:before="0"/>
              <w:ind w:left="369" w:hanging="369"/>
              <w:rPr>
                <w:sz w:val="20"/>
              </w:rPr>
            </w:pPr>
            <w:r>
              <w:rPr>
                <w:sz w:val="20"/>
              </w:rPr>
              <w:t>6.</w:t>
            </w:r>
            <w:r>
              <w:rPr>
                <w:sz w:val="20"/>
              </w:rPr>
              <w:tab/>
              <w:t xml:space="preserve">Unless the subpoena is set aside, you must comply with the attached subpoena if — </w:t>
            </w:r>
          </w:p>
          <w:p>
            <w:pPr>
              <w:pStyle w:val="yTableNAm"/>
              <w:spacing w:before="0"/>
              <w:ind w:left="794" w:hanging="425"/>
              <w:rPr>
                <w:sz w:val="20"/>
              </w:rPr>
            </w:pPr>
            <w:r>
              <w:rPr>
                <w:sz w:val="20"/>
              </w:rPr>
              <w:t>(a)</w:t>
            </w:r>
            <w:r>
              <w:rPr>
                <w:sz w:val="20"/>
              </w:rPr>
              <w:tab/>
              <w:t xml:space="preserve">when the subpoena was served on you, or at some reasonable time before the date specified in the subpoena for compliance with it, you were offered or given either — </w:t>
            </w:r>
          </w:p>
          <w:p>
            <w:pPr>
              <w:pStyle w:val="yTableNAm"/>
              <w:spacing w:before="0"/>
              <w:ind w:left="1218" w:hanging="425"/>
              <w:rPr>
                <w:sz w:val="20"/>
              </w:rPr>
            </w:pPr>
            <w:r>
              <w:rPr>
                <w:sz w:val="20"/>
              </w:rPr>
              <w:t>(i)</w:t>
            </w:r>
            <w:r>
              <w:rPr>
                <w:sz w:val="20"/>
              </w:rPr>
              <w:tab/>
              <w:t>enough money to meet your reasonable expenses in complying with it, including any travel and accommodation expenses; or</w:t>
            </w:r>
          </w:p>
          <w:p>
            <w:pPr>
              <w:pStyle w:val="yTableNAm"/>
              <w:spacing w:before="0"/>
              <w:ind w:left="1218" w:hanging="425"/>
              <w:rPr>
                <w:sz w:val="20"/>
              </w:rPr>
            </w:pPr>
            <w:r>
              <w:rPr>
                <w:sz w:val="20"/>
              </w:rPr>
              <w:t>(ii)</w:t>
            </w:r>
            <w:r>
              <w:rPr>
                <w:sz w:val="20"/>
              </w:rPr>
              <w:tab/>
              <w:t>a combination of money and vouchers (for example, travel tickets) to meet those expenses;</w:t>
            </w:r>
          </w:p>
          <w:p>
            <w:pPr>
              <w:pStyle w:val="yTableNAm"/>
              <w:spacing w:before="0"/>
              <w:ind w:left="794" w:hanging="425"/>
              <w:rPr>
                <w:sz w:val="20"/>
              </w:rPr>
            </w:pPr>
            <w:r>
              <w:rPr>
                <w:sz w:val="20"/>
              </w:rPr>
              <w:tab/>
            </w:r>
            <w:r>
              <w:rPr>
                <w:sz w:val="20"/>
              </w:rPr>
              <w:tab/>
              <w:t>and</w:t>
            </w:r>
          </w:p>
          <w:p>
            <w:pPr>
              <w:pStyle w:val="yTableNAm"/>
              <w:spacing w:before="0"/>
              <w:ind w:left="794" w:hanging="425"/>
              <w:rPr>
                <w:sz w:val="20"/>
              </w:rPr>
            </w:pPr>
            <w:r>
              <w:rPr>
                <w:sz w:val="20"/>
              </w:rPr>
              <w:t>(b)</w:t>
            </w:r>
            <w:r>
              <w:rPr>
                <w:sz w:val="20"/>
              </w:rPr>
              <w:tab/>
              <w:t>you were given with the subpoena a copy of an order by a judge of the Supreme Court giving leave to serve the subpoena in New Zealand; and</w:t>
            </w:r>
          </w:p>
          <w:p>
            <w:pPr>
              <w:pStyle w:val="yTableNAm"/>
              <w:spacing w:before="0"/>
              <w:ind w:left="794" w:hanging="425"/>
              <w:rPr>
                <w:sz w:val="20"/>
              </w:rPr>
            </w:pPr>
            <w:r>
              <w:rPr>
                <w:sz w:val="20"/>
              </w:rPr>
              <w:lastRenderedPageBreak/>
              <w:t>(c)</w:t>
            </w:r>
            <w:r>
              <w:rPr>
                <w:sz w:val="20"/>
              </w:rPr>
              <w:tab/>
              <w:t>the subpoena was served on you before or on the date specified in the order as the last day on which the subpoena may be served; and</w:t>
            </w:r>
          </w:p>
          <w:p>
            <w:pPr>
              <w:pStyle w:val="yTableNAm"/>
              <w:spacing w:before="0"/>
              <w:ind w:left="794" w:hanging="425"/>
              <w:rPr>
                <w:sz w:val="20"/>
              </w:rPr>
            </w:pPr>
            <w:r>
              <w:rPr>
                <w:sz w:val="20"/>
              </w:rPr>
              <w:t>(d)</w:t>
            </w:r>
            <w:r>
              <w:rPr>
                <w:sz w:val="20"/>
              </w:rPr>
              <w:tab/>
              <w:t>service of the subpoena complied with any other conditions specified in the order; and</w:t>
            </w:r>
          </w:p>
          <w:p>
            <w:pPr>
              <w:pStyle w:val="yTableNAm"/>
              <w:spacing w:before="0"/>
              <w:ind w:left="794" w:hanging="425"/>
              <w:rPr>
                <w:sz w:val="20"/>
              </w:rPr>
            </w:pPr>
            <w:r>
              <w:rPr>
                <w:sz w:val="20"/>
              </w:rPr>
              <w:t>(e)</w:t>
            </w:r>
            <w:r>
              <w:rPr>
                <w:sz w:val="20"/>
              </w:rPr>
              <w:tab/>
              <w:t>you are over the age of 18 years.</w:t>
            </w:r>
          </w:p>
          <w:p>
            <w:pPr>
              <w:pStyle w:val="yTableNAm"/>
              <w:spacing w:before="0"/>
              <w:ind w:left="369" w:hanging="369"/>
              <w:rPr>
                <w:sz w:val="20"/>
              </w:rPr>
            </w:pPr>
            <w:r>
              <w:rPr>
                <w:sz w:val="20"/>
              </w:rPr>
              <w:t>7.</w:t>
            </w:r>
            <w:r>
              <w:rPr>
                <w:sz w:val="20"/>
              </w:rPr>
              <w:tab/>
              <w:t xml:space="preserve">In so far as the subpoena requires you to produce documents or things to the Supreme Court, it must specify the date on which you must attend the Court and produce the documents or things. But instead of attending you may comply with that requirement by delivering or posting the subpoena (or a copy of it) and the documents or things to either — </w:t>
            </w:r>
          </w:p>
          <w:p>
            <w:pPr>
              <w:pStyle w:val="yTableNAm"/>
              <w:spacing w:before="0"/>
              <w:ind w:left="794" w:hanging="425"/>
              <w:rPr>
                <w:sz w:val="20"/>
              </w:rPr>
            </w:pPr>
            <w:r>
              <w:rPr>
                <w:sz w:val="20"/>
              </w:rPr>
              <w:t>(a)</w:t>
            </w:r>
            <w:r>
              <w:rPr>
                <w:sz w:val="20"/>
              </w:rPr>
              <w:tab/>
              <w:t>the Supreme Court so that they are received not less than 2 clear days before that date; or</w:t>
            </w:r>
          </w:p>
          <w:p>
            <w:pPr>
              <w:pStyle w:val="yTableNAm"/>
              <w:spacing w:before="0"/>
              <w:ind w:left="794" w:hanging="425"/>
              <w:rPr>
                <w:sz w:val="20"/>
              </w:rPr>
            </w:pPr>
            <w:r>
              <w:rPr>
                <w:sz w:val="20"/>
              </w:rPr>
              <w:t>(b)</w:t>
            </w:r>
            <w:r>
              <w:rPr>
                <w:sz w:val="20"/>
              </w:rPr>
              <w:tab/>
              <w:t>the High Court of New Zealand so that they are received at least 10 days before that date.</w:t>
            </w:r>
          </w:p>
          <w:p>
            <w:pPr>
              <w:pStyle w:val="yTableNAm"/>
              <w:spacing w:before="0"/>
              <w:ind w:left="369" w:hanging="369"/>
              <w:rPr>
                <w:sz w:val="20"/>
              </w:rPr>
            </w:pPr>
            <w:r>
              <w:rPr>
                <w:sz w:val="20"/>
              </w:rPr>
              <w:tab/>
              <w:t>If you deliver or post them to the High Court of New Zealand you will be required to pay the cost of sending them to the Supreme Court. You will be able to pay that cost out of the money given to you to meet your reasonable expenses of complying with the subpoena.</w:t>
            </w:r>
          </w:p>
        </w:tc>
      </w:tr>
      <w:tr>
        <w:trPr>
          <w:cantSplit/>
        </w:trPr>
        <w:tc>
          <w:tcPr>
            <w:tcW w:w="1418" w:type="dxa"/>
            <w:tcBorders>
              <w:bottom w:val="single" w:sz="4" w:space="0" w:color="auto"/>
            </w:tcBorders>
          </w:tcPr>
          <w:p>
            <w:pPr>
              <w:pStyle w:val="yTableNAm"/>
              <w:spacing w:before="0"/>
              <w:rPr>
                <w:b/>
                <w:sz w:val="20"/>
              </w:rPr>
            </w:pPr>
            <w:r>
              <w:rPr>
                <w:b/>
                <w:sz w:val="20"/>
              </w:rPr>
              <w:lastRenderedPageBreak/>
              <w:t>Failure to comply with subpoena</w:t>
            </w:r>
          </w:p>
        </w:tc>
        <w:tc>
          <w:tcPr>
            <w:tcW w:w="5812" w:type="dxa"/>
            <w:gridSpan w:val="2"/>
            <w:tcBorders>
              <w:bottom w:val="single" w:sz="4" w:space="0" w:color="auto"/>
            </w:tcBorders>
          </w:tcPr>
          <w:p>
            <w:pPr>
              <w:pStyle w:val="yTableNAm"/>
              <w:spacing w:before="0"/>
              <w:ind w:left="369" w:hanging="369"/>
              <w:rPr>
                <w:sz w:val="20"/>
              </w:rPr>
            </w:pPr>
            <w:r>
              <w:rPr>
                <w:sz w:val="20"/>
              </w:rPr>
              <w:t>8.</w:t>
            </w:r>
            <w:r>
              <w:rPr>
                <w:sz w:val="20"/>
              </w:rPr>
              <w:tab/>
              <w:t>If you do not comply with this subpoena you may be arrested and taken before the High Court of New Zealand. Unless the High Court is satisfied that failure to comply should be excused, a fine not exceeding NZ$10 000 may be imposed.</w:t>
            </w:r>
          </w:p>
        </w:tc>
      </w:tr>
      <w:tr>
        <w:trPr>
          <w:cantSplit/>
        </w:trPr>
        <w:tc>
          <w:tcPr>
            <w:tcW w:w="1418" w:type="dxa"/>
            <w:tcBorders>
              <w:bottom w:val="nil"/>
            </w:tcBorders>
          </w:tcPr>
          <w:p>
            <w:pPr>
              <w:pStyle w:val="yTableNAm"/>
              <w:spacing w:before="0"/>
              <w:rPr>
                <w:b/>
                <w:sz w:val="20"/>
              </w:rPr>
            </w:pPr>
            <w:r>
              <w:rPr>
                <w:b/>
                <w:sz w:val="20"/>
              </w:rPr>
              <w:t>Grounds for setting aside a subpoena</w:t>
            </w:r>
          </w:p>
        </w:tc>
        <w:tc>
          <w:tcPr>
            <w:tcW w:w="5812" w:type="dxa"/>
            <w:gridSpan w:val="2"/>
            <w:tcBorders>
              <w:bottom w:val="nil"/>
            </w:tcBorders>
          </w:tcPr>
          <w:p>
            <w:pPr>
              <w:pStyle w:val="yTableNAm"/>
              <w:spacing w:before="0"/>
              <w:ind w:left="369" w:hanging="369"/>
              <w:rPr>
                <w:sz w:val="20"/>
              </w:rPr>
            </w:pPr>
            <w:r>
              <w:rPr>
                <w:sz w:val="20"/>
              </w:rPr>
              <w:t>9.</w:t>
            </w:r>
            <w:r>
              <w:rPr>
                <w:sz w:val="20"/>
              </w:rPr>
              <w:tab/>
              <w:t xml:space="preserve">The Supreme Court must set aside the subpoena if the subpoena requires you to attend at a place in Australia and — </w:t>
            </w:r>
          </w:p>
          <w:p>
            <w:pPr>
              <w:pStyle w:val="yTableNAm"/>
              <w:spacing w:before="0"/>
              <w:ind w:left="794" w:hanging="425"/>
              <w:rPr>
                <w:sz w:val="20"/>
              </w:rPr>
            </w:pPr>
            <w:r>
              <w:rPr>
                <w:sz w:val="20"/>
              </w:rPr>
              <w:t>(a)</w:t>
            </w:r>
            <w:r>
              <w:rPr>
                <w:sz w:val="20"/>
              </w:rPr>
              <w:tab/>
              <w:t>you do not have necessary travel documents and cannot reasonably get them within the time allowed for compliance with the subpoena; or</w:t>
            </w:r>
          </w:p>
          <w:p>
            <w:pPr>
              <w:pStyle w:val="yTableNAm"/>
              <w:spacing w:before="0"/>
              <w:ind w:left="794" w:hanging="425"/>
              <w:rPr>
                <w:sz w:val="20"/>
              </w:rPr>
            </w:pPr>
            <w:r>
              <w:rPr>
                <w:sz w:val="20"/>
              </w:rPr>
              <w:t>(b)</w:t>
            </w:r>
            <w:r>
              <w:rPr>
                <w:sz w:val="20"/>
              </w:rPr>
              <w:tab/>
              <w:t>if you complied with the subpoena — you would be liable to be detained for the purpose of serving a sentence; or</w:t>
            </w:r>
          </w:p>
          <w:p>
            <w:pPr>
              <w:pStyle w:val="yTableNAm"/>
              <w:spacing w:before="0"/>
              <w:ind w:left="794" w:hanging="425"/>
              <w:rPr>
                <w:sz w:val="20"/>
              </w:rPr>
            </w:pPr>
            <w:r>
              <w:rPr>
                <w:sz w:val="20"/>
              </w:rPr>
              <w:t>(c)</w:t>
            </w:r>
            <w:r>
              <w:rPr>
                <w:sz w:val="20"/>
              </w:rPr>
              <w:tab/>
              <w:t>you are being prosecuted or you are liable to prosecution for an offence in Australia; or</w:t>
            </w:r>
          </w:p>
          <w:p>
            <w:pPr>
              <w:pStyle w:val="yTableNAm"/>
              <w:spacing w:before="0"/>
              <w:ind w:left="794" w:hanging="425"/>
              <w:rPr>
                <w:sz w:val="20"/>
              </w:rPr>
            </w:pPr>
            <w:r>
              <w:rPr>
                <w:sz w:val="20"/>
              </w:rPr>
              <w:t>(d)</w:t>
            </w:r>
            <w:r>
              <w:rPr>
                <w:sz w:val="20"/>
              </w:rPr>
              <w:tab/>
              <w:t>you are liable to imposition of a penalty in civil proceedings in Australia (other than proceedings under the</w:t>
            </w:r>
            <w:r>
              <w:rPr>
                <w:i/>
                <w:sz w:val="20"/>
              </w:rPr>
              <w:t xml:space="preserve"> Competition and Consumer Act 2010 </w:t>
            </w:r>
            <w:r>
              <w:rPr>
                <w:sz w:val="20"/>
              </w:rPr>
              <w:t>(Commonwealth)); or</w:t>
            </w:r>
          </w:p>
          <w:p>
            <w:pPr>
              <w:pStyle w:val="yTableNAm"/>
              <w:spacing w:before="0"/>
              <w:ind w:left="794" w:hanging="425"/>
              <w:rPr>
                <w:b/>
                <w:sz w:val="20"/>
              </w:rPr>
            </w:pPr>
            <w:r>
              <w:rPr>
                <w:sz w:val="20"/>
              </w:rPr>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tc>
      </w:tr>
      <w:tr>
        <w:trPr>
          <w:cantSplit/>
        </w:trPr>
        <w:tc>
          <w:tcPr>
            <w:tcW w:w="1418" w:type="dxa"/>
            <w:tcBorders>
              <w:top w:val="nil"/>
              <w:bottom w:val="nil"/>
            </w:tcBorders>
          </w:tcPr>
          <w:p>
            <w:pPr>
              <w:pStyle w:val="yTableNAm"/>
              <w:spacing w:before="0"/>
              <w:rPr>
                <w:b/>
                <w:sz w:val="20"/>
              </w:rPr>
            </w:pPr>
          </w:p>
        </w:tc>
        <w:tc>
          <w:tcPr>
            <w:tcW w:w="5812" w:type="dxa"/>
            <w:gridSpan w:val="2"/>
            <w:tcBorders>
              <w:top w:val="nil"/>
              <w:bottom w:val="nil"/>
            </w:tcBorders>
          </w:tcPr>
          <w:p>
            <w:pPr>
              <w:pStyle w:val="yTableNAm"/>
              <w:spacing w:before="0"/>
              <w:ind w:left="369" w:hanging="369"/>
              <w:rPr>
                <w:sz w:val="20"/>
              </w:rPr>
            </w:pPr>
            <w:r>
              <w:rPr>
                <w:sz w:val="20"/>
              </w:rPr>
              <w:t>10.</w:t>
            </w:r>
            <w:r>
              <w:rPr>
                <w:sz w:val="20"/>
              </w:rPr>
              <w:tab/>
              <w:t xml:space="preserve">The grounds on which the Supreme Court may set aside the subpoena include — </w:t>
            </w:r>
          </w:p>
          <w:p>
            <w:pPr>
              <w:pStyle w:val="yTableNAm"/>
              <w:spacing w:before="0"/>
              <w:ind w:left="794" w:hanging="425"/>
              <w:rPr>
                <w:sz w:val="20"/>
              </w:rPr>
            </w:pPr>
            <w:r>
              <w:rPr>
                <w:sz w:val="20"/>
              </w:rPr>
              <w:t>(a)</w:t>
            </w:r>
            <w:r>
              <w:rPr>
                <w:sz w:val="20"/>
              </w:rPr>
              <w:tab/>
              <w:t>the evidence you would give in the proceedings can be obtained satisfactorily by other means without significantly greater expense;</w:t>
            </w:r>
          </w:p>
          <w:p>
            <w:pPr>
              <w:pStyle w:val="yTableNAm"/>
              <w:spacing w:before="0"/>
              <w:ind w:left="794" w:hanging="425"/>
              <w:rPr>
                <w:sz w:val="20"/>
              </w:rPr>
            </w:pPr>
            <w:r>
              <w:rPr>
                <w:sz w:val="20"/>
              </w:rPr>
              <w:t>(b)</w:t>
            </w:r>
            <w:r>
              <w:rPr>
                <w:sz w:val="20"/>
              </w:rPr>
              <w:tab/>
              <w:t>compliance with the subpoena would cause you hardship or serious inconvenience;</w:t>
            </w:r>
          </w:p>
          <w:p>
            <w:pPr>
              <w:pStyle w:val="yTableNAm"/>
              <w:spacing w:before="0"/>
              <w:ind w:left="794" w:hanging="425"/>
              <w:rPr>
                <w:sz w:val="20"/>
              </w:rPr>
            </w:pPr>
            <w:r>
              <w:rPr>
                <w:sz w:val="20"/>
              </w:rPr>
              <w:t>(c)</w:t>
            </w:r>
            <w:r>
              <w:rPr>
                <w:sz w:val="20"/>
              </w:rPr>
              <w:tab/>
              <w:t xml:space="preserve">insofar as the subpoena requires you to produce a document or thing, that — </w:t>
            </w:r>
          </w:p>
          <w:p>
            <w:pPr>
              <w:pStyle w:val="yTableNAm"/>
              <w:spacing w:before="0"/>
              <w:ind w:left="1218" w:hanging="425"/>
              <w:rPr>
                <w:sz w:val="20"/>
              </w:rPr>
            </w:pPr>
            <w:r>
              <w:rPr>
                <w:sz w:val="20"/>
              </w:rPr>
              <w:t>(i)</w:t>
            </w:r>
            <w:r>
              <w:rPr>
                <w:sz w:val="20"/>
              </w:rPr>
              <w:tab/>
              <w:t>the document or thing should not be taken out of New Zealand; and</w:t>
            </w:r>
          </w:p>
          <w:p>
            <w:pPr>
              <w:pStyle w:val="yTableNAm"/>
              <w:spacing w:before="0"/>
              <w:ind w:left="1218" w:hanging="425"/>
              <w:rPr>
                <w:sz w:val="20"/>
              </w:rPr>
            </w:pPr>
            <w:r>
              <w:rPr>
                <w:sz w:val="20"/>
              </w:rPr>
              <w:t>(ii)</w:t>
            </w:r>
            <w:r>
              <w:rPr>
                <w:sz w:val="20"/>
              </w:rPr>
              <w:tab/>
              <w:t>satisfactory evidence of the contents of the document or satisfactory evidence of the thing can be given by other means.</w:t>
            </w:r>
          </w:p>
        </w:tc>
      </w:tr>
      <w:tr>
        <w:trPr>
          <w:cantSplit/>
        </w:trPr>
        <w:tc>
          <w:tcPr>
            <w:tcW w:w="1418" w:type="dxa"/>
            <w:tcBorders>
              <w:top w:val="nil"/>
            </w:tcBorders>
          </w:tcPr>
          <w:p>
            <w:pPr>
              <w:pStyle w:val="yTableNAm"/>
              <w:spacing w:before="0"/>
              <w:rPr>
                <w:b/>
                <w:sz w:val="20"/>
              </w:rPr>
            </w:pPr>
          </w:p>
        </w:tc>
        <w:tc>
          <w:tcPr>
            <w:tcW w:w="5812" w:type="dxa"/>
            <w:gridSpan w:val="2"/>
            <w:tcBorders>
              <w:top w:val="nil"/>
            </w:tcBorders>
          </w:tcPr>
          <w:p>
            <w:pPr>
              <w:pStyle w:val="yTableNAm"/>
              <w:spacing w:before="0"/>
              <w:ind w:left="1218" w:hanging="425"/>
              <w:rPr>
                <w:sz w:val="20"/>
              </w:rPr>
            </w:pPr>
          </w:p>
          <w:p>
            <w:pPr>
              <w:pStyle w:val="yTableNAm"/>
              <w:spacing w:before="0"/>
              <w:ind w:left="369" w:hanging="369"/>
              <w:rPr>
                <w:sz w:val="20"/>
              </w:rPr>
            </w:pPr>
            <w:r>
              <w:rPr>
                <w:b/>
                <w:sz w:val="20"/>
              </w:rPr>
              <w:t>Note:</w:t>
            </w:r>
            <w:r>
              <w:t xml:space="preserve"> </w:t>
            </w:r>
            <w:r>
              <w:rPr>
                <w:sz w:val="20"/>
              </w:rPr>
              <w:t>The above list does not include all the matters the Court will consider in an application to set aside a subpoena, but if any of the matters in the list apply to you they should be included in your application.</w:t>
            </w:r>
          </w:p>
        </w:tc>
      </w:tr>
      <w:tr>
        <w:tc>
          <w:tcPr>
            <w:tcW w:w="1418" w:type="dxa"/>
          </w:tcPr>
          <w:p>
            <w:pPr>
              <w:pStyle w:val="yTableNAm"/>
              <w:spacing w:before="0"/>
              <w:rPr>
                <w:b/>
                <w:sz w:val="20"/>
              </w:rPr>
            </w:pPr>
            <w:r>
              <w:rPr>
                <w:b/>
                <w:sz w:val="20"/>
              </w:rPr>
              <w:t>Procedure for applying to set aside a subpoena</w:t>
            </w:r>
          </w:p>
        </w:tc>
        <w:tc>
          <w:tcPr>
            <w:tcW w:w="5812" w:type="dxa"/>
            <w:gridSpan w:val="2"/>
          </w:tcPr>
          <w:p>
            <w:pPr>
              <w:pStyle w:val="yTableNAm"/>
              <w:spacing w:before="0"/>
              <w:ind w:left="369" w:hanging="369"/>
              <w:rPr>
                <w:sz w:val="20"/>
              </w:rPr>
            </w:pPr>
            <w:r>
              <w:rPr>
                <w:sz w:val="20"/>
              </w:rPr>
              <w:t>11.</w:t>
            </w:r>
            <w:r>
              <w:rPr>
                <w:sz w:val="20"/>
              </w:rPr>
              <w:tab/>
              <w:t>Application must be made to the Supreme Court of Western Australia.</w:t>
            </w:r>
          </w:p>
          <w:p>
            <w:pPr>
              <w:pStyle w:val="yTableNAm"/>
              <w:spacing w:before="0"/>
              <w:ind w:left="369" w:hanging="369"/>
              <w:rPr>
                <w:sz w:val="20"/>
              </w:rPr>
            </w:pPr>
            <w:r>
              <w:rPr>
                <w:sz w:val="20"/>
              </w:rPr>
              <w:t>12.</w:t>
            </w:r>
            <w:r>
              <w:rPr>
                <w:sz w:val="20"/>
              </w:rPr>
              <w:tab/>
              <w:t>You may fax your application to that court on fax number [</w:t>
            </w:r>
            <w:r>
              <w:rPr>
                <w:i/>
                <w:sz w:val="20"/>
              </w:rPr>
              <w:t>fax number of the court</w:t>
            </w:r>
            <w:r>
              <w:rPr>
                <w:sz w:val="20"/>
              </w:rPr>
              <w:t>].</w:t>
            </w:r>
          </w:p>
          <w:p>
            <w:pPr>
              <w:pStyle w:val="yTableNAm"/>
              <w:spacing w:before="0"/>
              <w:ind w:left="369" w:hanging="369"/>
              <w:rPr>
                <w:sz w:val="20"/>
              </w:rPr>
            </w:pPr>
            <w:r>
              <w:rPr>
                <w:sz w:val="20"/>
              </w:rPr>
              <w:t>13.</w:t>
            </w:r>
            <w:r>
              <w:rPr>
                <w:sz w:val="20"/>
              </w:rPr>
              <w:tab/>
              <w:t>Your application must contain an address for service in New Zealand or Australia. Any documents to be served on you will be delivered, faxed or posted to you at that address.</w:t>
            </w:r>
          </w:p>
          <w:p>
            <w:pPr>
              <w:pStyle w:val="yTableNAm"/>
              <w:spacing w:before="0"/>
              <w:ind w:left="369" w:hanging="369"/>
              <w:rPr>
                <w:sz w:val="20"/>
              </w:rPr>
            </w:pPr>
            <w:r>
              <w:rPr>
                <w:sz w:val="20"/>
              </w:rPr>
              <w:t>14.</w:t>
            </w:r>
            <w:r>
              <w:rPr>
                <w:sz w:val="20"/>
              </w:rPr>
              <w:tab/>
              <w:t>A registrar of the Supreme Court will arrange for service of your application and of any affidavit you file with your application.</w:t>
            </w:r>
          </w:p>
          <w:p>
            <w:pPr>
              <w:pStyle w:val="yTableNAm"/>
              <w:spacing w:before="0"/>
              <w:ind w:left="369" w:hanging="369"/>
              <w:rPr>
                <w:sz w:val="20"/>
              </w:rPr>
            </w:pPr>
            <w:r>
              <w:rPr>
                <w:sz w:val="20"/>
              </w:rPr>
              <w:t>15.</w:t>
            </w:r>
            <w:r>
              <w:rPr>
                <w:sz w:val="20"/>
              </w:rPr>
              <w:tab/>
              <w:t>The Supreme Court may determine your application without a hearing unless you, or the person who requested that the subpoena be issued, asks for a hearing.</w:t>
            </w:r>
          </w:p>
          <w:p>
            <w:pPr>
              <w:pStyle w:val="yTableNAm"/>
              <w:spacing w:before="0"/>
              <w:ind w:left="369" w:hanging="369"/>
              <w:rPr>
                <w:sz w:val="20"/>
              </w:rPr>
            </w:pPr>
            <w:r>
              <w:rPr>
                <w:sz w:val="20"/>
              </w:rPr>
              <w:t>16.</w:t>
            </w:r>
            <w:r>
              <w:rPr>
                <w:sz w:val="20"/>
              </w:rPr>
              <w:tab/>
              <w:t>If there is a hearing, the Supreme Court can direct that it be held by video link (that is, a conference television link) or telephone. In that case you or your lawyer can take part in the hearing by video link or by telephone from a place in New Zealand.</w:t>
            </w:r>
          </w:p>
          <w:p>
            <w:pPr>
              <w:pStyle w:val="yTableNAm"/>
              <w:spacing w:before="0"/>
              <w:ind w:left="369" w:hanging="369"/>
              <w:rPr>
                <w:sz w:val="20"/>
              </w:rPr>
            </w:pPr>
            <w:r>
              <w:rPr>
                <w:sz w:val="20"/>
              </w:rPr>
              <w:t>17.</w:t>
            </w:r>
            <w:r>
              <w:rPr>
                <w:sz w:val="20"/>
              </w:rPr>
              <w:tab/>
              <w:t>If, in your application or within a reasonable time after filing your application, you request that the hearing be held by video link or telephone, the Supreme Court must hold a hearing by video link or telephone. However, in such a case, the Court will determine which of video link or telephone will be used.</w:t>
            </w:r>
          </w:p>
        </w:tc>
      </w:tr>
    </w:tbl>
    <w:p>
      <w:pPr>
        <w:pStyle w:val="yMiscellaneousBody"/>
        <w:spacing w:before="0"/>
        <w:ind w:left="1134" w:hanging="567"/>
        <w:rPr>
          <w:sz w:val="20"/>
        </w:rPr>
      </w:pPr>
    </w:p>
    <w:tbl>
      <w:tblPr>
        <w:tblW w:w="723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2126"/>
        <w:gridCol w:w="521"/>
        <w:gridCol w:w="3165"/>
      </w:tblGrid>
      <w:tr>
        <w:trPr>
          <w:cantSplit/>
          <w:trHeight w:val="194"/>
        </w:trPr>
        <w:tc>
          <w:tcPr>
            <w:tcW w:w="3544" w:type="dxa"/>
            <w:gridSpan w:val="2"/>
            <w:vMerge w:val="restart"/>
          </w:tcPr>
          <w:p>
            <w:pPr>
              <w:pStyle w:val="yTableNAm"/>
              <w:keepNext/>
              <w:spacing w:before="0"/>
              <w:rPr>
                <w:sz w:val="20"/>
              </w:rPr>
            </w:pPr>
            <w:r>
              <w:rPr>
                <w:sz w:val="20"/>
              </w:rPr>
              <w:lastRenderedPageBreak/>
              <w:t>Supreme Court of Western Australia</w:t>
            </w:r>
          </w:p>
          <w:p>
            <w:pPr>
              <w:pStyle w:val="yTableNAm"/>
              <w:keepNext/>
              <w:spacing w:before="0"/>
              <w:rPr>
                <w:sz w:val="20"/>
              </w:rPr>
            </w:pPr>
            <w:r>
              <w:rPr>
                <w:sz w:val="20"/>
              </w:rPr>
              <w:t>*General Division/Court of Appeal</w:t>
            </w:r>
          </w:p>
        </w:tc>
        <w:tc>
          <w:tcPr>
            <w:tcW w:w="3686" w:type="dxa"/>
            <w:gridSpan w:val="2"/>
          </w:tcPr>
          <w:p>
            <w:pPr>
              <w:pStyle w:val="yTableNAm"/>
              <w:keepNext/>
              <w:spacing w:before="0"/>
              <w:rPr>
                <w:sz w:val="20"/>
              </w:rPr>
            </w:pPr>
            <w:r>
              <w:rPr>
                <w:sz w:val="20"/>
              </w:rPr>
              <w:t>No.:</w:t>
            </w:r>
          </w:p>
        </w:tc>
      </w:tr>
      <w:tr>
        <w:trPr>
          <w:cantSplit/>
          <w:trHeight w:val="194"/>
        </w:trPr>
        <w:tc>
          <w:tcPr>
            <w:tcW w:w="3544" w:type="dxa"/>
            <w:gridSpan w:val="2"/>
            <w:vMerge/>
          </w:tcPr>
          <w:p>
            <w:pPr>
              <w:pStyle w:val="yTableNAm"/>
              <w:spacing w:before="0"/>
              <w:rPr>
                <w:sz w:val="20"/>
              </w:rPr>
            </w:pPr>
          </w:p>
        </w:tc>
        <w:tc>
          <w:tcPr>
            <w:tcW w:w="3686" w:type="dxa"/>
            <w:gridSpan w:val="2"/>
          </w:tcPr>
          <w:p>
            <w:pPr>
              <w:pStyle w:val="yTableNAm"/>
              <w:spacing w:before="0"/>
              <w:rPr>
                <w:b/>
                <w:sz w:val="20"/>
              </w:rPr>
            </w:pPr>
            <w:r>
              <w:rPr>
                <w:b/>
                <w:sz w:val="20"/>
              </w:rPr>
              <w:t>Subpoena to give evidence and produce documents to the Supreme Court of Western Australia (to be served in New Zealand)</w:t>
            </w:r>
          </w:p>
        </w:tc>
      </w:tr>
      <w:tr>
        <w:trPr>
          <w:cantSplit/>
        </w:trPr>
        <w:tc>
          <w:tcPr>
            <w:tcW w:w="1418" w:type="dxa"/>
          </w:tcPr>
          <w:p>
            <w:pPr>
              <w:pStyle w:val="yTableNAm"/>
              <w:spacing w:before="0"/>
              <w:rPr>
                <w:sz w:val="20"/>
                <w:vertAlign w:val="superscript"/>
              </w:rPr>
            </w:pPr>
            <w:r>
              <w:rPr>
                <w:sz w:val="20"/>
              </w:rPr>
              <w:t>Parties</w:t>
            </w:r>
            <w:r>
              <w:rPr>
                <w:sz w:val="20"/>
                <w:vertAlign w:val="superscript"/>
              </w:rPr>
              <w:t>1</w:t>
            </w:r>
          </w:p>
        </w:tc>
        <w:tc>
          <w:tcPr>
            <w:tcW w:w="5812" w:type="dxa"/>
            <w:gridSpan w:val="3"/>
          </w:tcPr>
          <w:p>
            <w:pPr>
              <w:pStyle w:val="yTableNAm"/>
              <w:tabs>
                <w:tab w:val="clear" w:pos="567"/>
                <w:tab w:val="left" w:pos="2897"/>
              </w:tabs>
              <w:spacing w:before="0"/>
              <w:rPr>
                <w:sz w:val="20"/>
              </w:rPr>
            </w:pPr>
            <w:r>
              <w:rPr>
                <w:sz w:val="20"/>
              </w:rPr>
              <w:tab/>
              <w:t>Plaintiff</w:t>
            </w:r>
          </w:p>
          <w:p>
            <w:pPr>
              <w:pStyle w:val="yTableNAm"/>
              <w:tabs>
                <w:tab w:val="clear" w:pos="567"/>
                <w:tab w:val="left" w:pos="2897"/>
              </w:tabs>
              <w:spacing w:before="0"/>
              <w:rPr>
                <w:sz w:val="20"/>
              </w:rPr>
            </w:pPr>
            <w:r>
              <w:rPr>
                <w:sz w:val="20"/>
              </w:rPr>
              <w:tab/>
              <w:t>Defendant</w:t>
            </w:r>
          </w:p>
        </w:tc>
      </w:tr>
      <w:tr>
        <w:trPr>
          <w:cantSplit/>
        </w:trPr>
        <w:tc>
          <w:tcPr>
            <w:tcW w:w="1418" w:type="dxa"/>
          </w:tcPr>
          <w:p>
            <w:pPr>
              <w:pStyle w:val="yTableNAm"/>
              <w:spacing w:before="0"/>
              <w:rPr>
                <w:sz w:val="20"/>
              </w:rPr>
            </w:pPr>
            <w:r>
              <w:rPr>
                <w:sz w:val="20"/>
              </w:rPr>
              <w:t>To</w:t>
            </w:r>
          </w:p>
        </w:tc>
        <w:tc>
          <w:tcPr>
            <w:tcW w:w="5812" w:type="dxa"/>
            <w:gridSpan w:val="3"/>
          </w:tcPr>
          <w:p>
            <w:pPr>
              <w:pStyle w:val="yTableNAm"/>
              <w:spacing w:before="0"/>
              <w:rPr>
                <w:sz w:val="20"/>
              </w:rPr>
            </w:pPr>
            <w:r>
              <w:rPr>
                <w:sz w:val="20"/>
              </w:rPr>
              <w:t>[</w:t>
            </w:r>
            <w:r>
              <w:rPr>
                <w:i/>
                <w:sz w:val="20"/>
              </w:rPr>
              <w:t>Name and address</w:t>
            </w:r>
            <w:r>
              <w:rPr>
                <w:sz w:val="20"/>
              </w:rPr>
              <w:t>]</w:t>
            </w:r>
          </w:p>
        </w:tc>
      </w:tr>
      <w:tr>
        <w:tc>
          <w:tcPr>
            <w:tcW w:w="1418" w:type="dxa"/>
          </w:tcPr>
          <w:p>
            <w:pPr>
              <w:pStyle w:val="yTableNAm"/>
              <w:spacing w:before="0"/>
              <w:rPr>
                <w:b/>
                <w:sz w:val="20"/>
              </w:rPr>
            </w:pPr>
            <w:r>
              <w:rPr>
                <w:b/>
                <w:sz w:val="20"/>
              </w:rPr>
              <w:t>Order</w:t>
            </w:r>
          </w:p>
        </w:tc>
        <w:tc>
          <w:tcPr>
            <w:tcW w:w="5812" w:type="dxa"/>
            <w:gridSpan w:val="3"/>
          </w:tcPr>
          <w:p>
            <w:pPr>
              <w:pStyle w:val="yTableNAm"/>
              <w:spacing w:before="0"/>
              <w:rPr>
                <w:b/>
                <w:sz w:val="20"/>
              </w:rPr>
            </w:pPr>
            <w:r>
              <w:rPr>
                <w:b/>
                <w:sz w:val="20"/>
              </w:rPr>
              <w:t xml:space="preserve">You are ordered to attend the Supreme Court of Western Australia to give evidence and to produce this subpoena or a copy of it and the documents or things specified in the Schedule of documents. </w:t>
            </w:r>
            <w:r>
              <w:rPr>
                <w:sz w:val="20"/>
              </w:rPr>
              <w:t>See details below.</w:t>
            </w:r>
          </w:p>
          <w:p>
            <w:pPr>
              <w:pStyle w:val="yTableNAm"/>
              <w:spacing w:before="0"/>
              <w:rPr>
                <w:b/>
                <w:sz w:val="20"/>
              </w:rPr>
            </w:pPr>
            <w:r>
              <w:rPr>
                <w:b/>
                <w:sz w:val="20"/>
              </w:rPr>
              <w:t xml:space="preserve">Failure to comply with this subpoena without lawful excuse is a contempt of court and may result in your arrest and the imposition of a fine under the </w:t>
            </w:r>
            <w:r>
              <w:rPr>
                <w:b/>
                <w:i/>
                <w:sz w:val="20"/>
              </w:rPr>
              <w:t>Evidence Act 2006</w:t>
            </w:r>
            <w:r>
              <w:rPr>
                <w:b/>
                <w:sz w:val="20"/>
              </w:rPr>
              <w:t xml:space="preserve"> (New Zealand) section 165.</w:t>
            </w:r>
          </w:p>
          <w:p>
            <w:pPr>
              <w:pStyle w:val="yTableNAm"/>
              <w:spacing w:before="0"/>
              <w:rPr>
                <w:sz w:val="20"/>
              </w:rPr>
            </w:pPr>
            <w:r>
              <w:rPr>
                <w:sz w:val="20"/>
              </w:rPr>
              <w:t>Please read Notes 1 to 16 at the end of this subpoena.</w:t>
            </w:r>
          </w:p>
        </w:tc>
      </w:tr>
      <w:tr>
        <w:trPr>
          <w:cantSplit/>
        </w:trPr>
        <w:tc>
          <w:tcPr>
            <w:tcW w:w="1418" w:type="dxa"/>
          </w:tcPr>
          <w:p>
            <w:pPr>
              <w:pStyle w:val="yTableNAm"/>
              <w:spacing w:before="0"/>
              <w:rPr>
                <w:sz w:val="20"/>
              </w:rPr>
            </w:pPr>
            <w:r>
              <w:rPr>
                <w:sz w:val="20"/>
              </w:rPr>
              <w:t>Last date for service</w:t>
            </w:r>
          </w:p>
          <w:p>
            <w:pPr>
              <w:pStyle w:val="yTableNAm"/>
              <w:spacing w:before="0"/>
              <w:rPr>
                <w:sz w:val="20"/>
              </w:rPr>
            </w:pPr>
            <w:r>
              <w:rPr>
                <w:sz w:val="18"/>
              </w:rPr>
              <w:t>[see Note 2]</w:t>
            </w:r>
            <w:r>
              <w:rPr>
                <w:sz w:val="20"/>
              </w:rPr>
              <w:t xml:space="preserve"> </w:t>
            </w:r>
          </w:p>
        </w:tc>
        <w:tc>
          <w:tcPr>
            <w:tcW w:w="5812" w:type="dxa"/>
            <w:gridSpan w:val="3"/>
          </w:tcPr>
          <w:p>
            <w:pPr>
              <w:pStyle w:val="yTableNAm"/>
              <w:spacing w:before="0"/>
              <w:rPr>
                <w:b/>
                <w:sz w:val="20"/>
              </w:rPr>
            </w:pPr>
            <w:r>
              <w:rPr>
                <w:sz w:val="20"/>
              </w:rPr>
              <w:t>The last date for service of this subpoena is [</w:t>
            </w:r>
            <w:r>
              <w:rPr>
                <w:i/>
                <w:sz w:val="20"/>
              </w:rPr>
              <w:t>date</w:t>
            </w:r>
            <w:r>
              <w:rPr>
                <w:sz w:val="20"/>
              </w:rPr>
              <w:t>].</w:t>
            </w:r>
          </w:p>
        </w:tc>
      </w:tr>
      <w:tr>
        <w:trPr>
          <w:cantSplit/>
          <w:trHeight w:val="448"/>
        </w:trPr>
        <w:tc>
          <w:tcPr>
            <w:tcW w:w="1418" w:type="dxa"/>
            <w:vMerge w:val="restart"/>
          </w:tcPr>
          <w:p>
            <w:pPr>
              <w:pStyle w:val="yTableNAm"/>
              <w:spacing w:before="0"/>
              <w:rPr>
                <w:sz w:val="20"/>
              </w:rPr>
            </w:pPr>
            <w:r>
              <w:rPr>
                <w:sz w:val="20"/>
              </w:rPr>
              <w:t>Issuing details</w:t>
            </w:r>
          </w:p>
        </w:tc>
        <w:tc>
          <w:tcPr>
            <w:tcW w:w="5812" w:type="dxa"/>
            <w:gridSpan w:val="3"/>
          </w:tcPr>
          <w:p>
            <w:pPr>
              <w:pStyle w:val="yTableNAm"/>
              <w:spacing w:before="0"/>
              <w:rPr>
                <w:sz w:val="20"/>
              </w:rPr>
            </w:pPr>
            <w:r>
              <w:rPr>
                <w:sz w:val="20"/>
              </w:rPr>
              <w:t>Issued at the request of: [</w:t>
            </w:r>
            <w:r>
              <w:rPr>
                <w:i/>
                <w:sz w:val="20"/>
              </w:rPr>
              <w:t>Name of party</w:t>
            </w:r>
            <w:r>
              <w:rPr>
                <w:sz w:val="20"/>
              </w:rPr>
              <w:t>]</w:t>
            </w:r>
          </w:p>
          <w:p>
            <w:pPr>
              <w:pStyle w:val="yTableNAm"/>
              <w:spacing w:before="0"/>
              <w:rPr>
                <w:sz w:val="20"/>
              </w:rPr>
            </w:pPr>
            <w:r>
              <w:rPr>
                <w:sz w:val="20"/>
              </w:rPr>
              <w:t>Address for service: [</w:t>
            </w:r>
            <w:r>
              <w:rPr>
                <w:i/>
                <w:sz w:val="20"/>
              </w:rPr>
              <w:t>see Order 71A rule 3</w:t>
            </w:r>
            <w:r>
              <w:rPr>
                <w:sz w:val="20"/>
              </w:rPr>
              <w:t>]</w:t>
            </w:r>
          </w:p>
          <w:p>
            <w:pPr>
              <w:pStyle w:val="yTableNAm"/>
              <w:spacing w:before="0"/>
              <w:rPr>
                <w:sz w:val="20"/>
              </w:rPr>
            </w:pPr>
            <w:r>
              <w:rPr>
                <w:sz w:val="20"/>
              </w:rPr>
              <w:t>Email:</w:t>
            </w:r>
          </w:p>
        </w:tc>
      </w:tr>
      <w:tr>
        <w:trPr>
          <w:cantSplit/>
          <w:trHeight w:val="448"/>
        </w:trPr>
        <w:tc>
          <w:tcPr>
            <w:tcW w:w="1418" w:type="dxa"/>
            <w:vMerge/>
          </w:tcPr>
          <w:p>
            <w:pPr>
              <w:pStyle w:val="yTableNAm"/>
              <w:spacing w:before="0"/>
              <w:rPr>
                <w:sz w:val="20"/>
              </w:rPr>
            </w:pPr>
          </w:p>
        </w:tc>
        <w:tc>
          <w:tcPr>
            <w:tcW w:w="2647" w:type="dxa"/>
            <w:gridSpan w:val="2"/>
          </w:tcPr>
          <w:p>
            <w:pPr>
              <w:pStyle w:val="yTableNAm"/>
              <w:spacing w:before="0"/>
              <w:rPr>
                <w:sz w:val="20"/>
              </w:rPr>
            </w:pPr>
            <w:r>
              <w:rPr>
                <w:sz w:val="20"/>
              </w:rPr>
              <w:t>Date of issue:</w:t>
            </w:r>
          </w:p>
        </w:tc>
        <w:tc>
          <w:tcPr>
            <w:tcW w:w="3165" w:type="dxa"/>
          </w:tcPr>
          <w:p>
            <w:pPr>
              <w:pStyle w:val="yTableNAm"/>
              <w:spacing w:before="0"/>
              <w:rPr>
                <w:sz w:val="20"/>
              </w:rPr>
            </w:pPr>
            <w:r>
              <w:rPr>
                <w:sz w:val="20"/>
              </w:rPr>
              <w:t>[</w:t>
            </w:r>
            <w:r>
              <w:rPr>
                <w:i/>
                <w:sz w:val="20"/>
              </w:rPr>
              <w:t>Seal or stamp of the Court</w:t>
            </w:r>
            <w:r>
              <w:rPr>
                <w:sz w:val="20"/>
              </w:rPr>
              <w:t>]</w:t>
            </w:r>
          </w:p>
        </w:tc>
      </w:tr>
      <w:tr>
        <w:trPr>
          <w:cantSplit/>
        </w:trPr>
        <w:tc>
          <w:tcPr>
            <w:tcW w:w="1418" w:type="dxa"/>
          </w:tcPr>
          <w:p>
            <w:pPr>
              <w:pStyle w:val="yTableNAm"/>
              <w:spacing w:before="0"/>
              <w:rPr>
                <w:b/>
                <w:sz w:val="20"/>
              </w:rPr>
            </w:pPr>
            <w:r>
              <w:rPr>
                <w:b/>
                <w:sz w:val="20"/>
              </w:rPr>
              <w:t>Details of subpoena to give evidence</w:t>
            </w:r>
          </w:p>
        </w:tc>
        <w:tc>
          <w:tcPr>
            <w:tcW w:w="5812" w:type="dxa"/>
            <w:gridSpan w:val="3"/>
          </w:tcPr>
          <w:p>
            <w:pPr>
              <w:pStyle w:val="yTableNAm"/>
              <w:spacing w:before="0"/>
              <w:rPr>
                <w:sz w:val="20"/>
              </w:rPr>
            </w:pPr>
            <w:r>
              <w:rPr>
                <w:sz w:val="20"/>
              </w:rPr>
              <w:t xml:space="preserve">Insofar as this subpoena requires you to attend the Supreme Court of Western Australia to give evidence, you must attend as follows, unless you receive notice of a later date or time from the issuing party, in which case the later date or time is substituted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r>
              <w:rPr>
                <w:sz w:val="20"/>
              </w:rPr>
              <w:t>You must continue to attend from day-to-day unless excused by the Court or the person authorised to take evidence in this proceeding or until the hearing of the matter is completed.</w:t>
            </w:r>
          </w:p>
        </w:tc>
      </w:tr>
      <w:tr>
        <w:tc>
          <w:tcPr>
            <w:tcW w:w="1418" w:type="dxa"/>
          </w:tcPr>
          <w:p>
            <w:pPr>
              <w:pStyle w:val="yTableNAm"/>
              <w:spacing w:before="0"/>
              <w:rPr>
                <w:b/>
                <w:sz w:val="20"/>
              </w:rPr>
            </w:pPr>
            <w:r>
              <w:rPr>
                <w:b/>
                <w:sz w:val="20"/>
              </w:rPr>
              <w:t>Details of subpoena to produce documents</w:t>
            </w:r>
          </w:p>
          <w:p>
            <w:pPr>
              <w:pStyle w:val="yTableNAm"/>
              <w:spacing w:before="0"/>
            </w:pPr>
            <w:r>
              <w:rPr>
                <w:sz w:val="18"/>
                <w:szCs w:val="18"/>
              </w:rPr>
              <w:t>[See Notes 5–13]</w:t>
            </w:r>
          </w:p>
        </w:tc>
        <w:tc>
          <w:tcPr>
            <w:tcW w:w="5812" w:type="dxa"/>
            <w:gridSpan w:val="3"/>
          </w:tcPr>
          <w:p>
            <w:pPr>
              <w:pStyle w:val="yTableNAm"/>
              <w:spacing w:before="0"/>
              <w:rPr>
                <w:sz w:val="20"/>
              </w:rPr>
            </w:pPr>
            <w:r>
              <w:rPr>
                <w:sz w:val="20"/>
              </w:rPr>
              <w:t xml:space="preserve">Insofar as this subpoena requires you to attend the Supreme Court of Western Australia to produce the subpoena or a copy of it and documents or things, you must comply with that requirement — </w:t>
            </w:r>
          </w:p>
          <w:p>
            <w:pPr>
              <w:pStyle w:val="yTableNAm"/>
              <w:spacing w:before="0"/>
              <w:ind w:left="368" w:hanging="368"/>
              <w:rPr>
                <w:sz w:val="20"/>
              </w:rPr>
            </w:pPr>
            <w:r>
              <w:rPr>
                <w:sz w:val="20"/>
              </w:rPr>
              <w:t>(a)</w:t>
            </w:r>
            <w:r>
              <w:rPr>
                <w:sz w:val="20"/>
              </w:rPr>
              <w:tab/>
              <w:t>by attending at the Supreme Court to produce this subpoena or a copy of it and the documents or things specified in the Schedule of documents below at the date, time and place specified below for attendance and production; or</w:t>
            </w:r>
          </w:p>
          <w:p>
            <w:pPr>
              <w:pStyle w:val="yTableNAm"/>
              <w:spacing w:before="0"/>
              <w:ind w:left="368" w:hanging="368"/>
              <w:rPr>
                <w:sz w:val="20"/>
              </w:rPr>
            </w:pPr>
            <w:r>
              <w:rPr>
                <w:sz w:val="20"/>
              </w:rPr>
              <w:lastRenderedPageBreak/>
              <w:t>(b)</w:t>
            </w:r>
            <w:r>
              <w:rPr>
                <w:sz w:val="20"/>
              </w:rPr>
              <w:tab/>
              <w:t xml:space="preserve">by delivering or posting this subpoena or a copy of it and the documents or things specified in the Schedule of documents below to — </w:t>
            </w:r>
          </w:p>
          <w:p>
            <w:pPr>
              <w:pStyle w:val="yTableNAm"/>
              <w:spacing w:before="0"/>
              <w:ind w:left="794" w:hanging="368"/>
              <w:rPr>
                <w:sz w:val="20"/>
              </w:rPr>
            </w:pPr>
            <w:r>
              <w:rPr>
                <w:sz w:val="20"/>
              </w:rPr>
              <w:t>(i)</w:t>
            </w:r>
            <w:r>
              <w:rPr>
                <w:sz w:val="20"/>
              </w:rPr>
              <w:tab/>
              <w:t>the Supreme Court at the address specified below so that they are received not less than 2 clear days before the date specified below for attendance and production; or</w:t>
            </w:r>
          </w:p>
          <w:p>
            <w:pPr>
              <w:pStyle w:val="yTableNAm"/>
              <w:spacing w:before="0"/>
              <w:ind w:left="794" w:hanging="368"/>
              <w:rPr>
                <w:sz w:val="20"/>
              </w:rPr>
            </w:pPr>
            <w:r>
              <w:rPr>
                <w:sz w:val="20"/>
              </w:rPr>
              <w:t>(ii)</w:t>
            </w:r>
            <w:r>
              <w:rPr>
                <w:sz w:val="20"/>
              </w:rPr>
              <w:tab/>
              <w:t>the Registrar of the High Court of New Zealand at the address specified below, or if more than one address is so specified, at any one of those addresses, so that they are received not less than 10 clear days before the date specified below for attendance and production.</w:t>
            </w:r>
          </w:p>
          <w:p>
            <w:pPr>
              <w:pStyle w:val="yTableNAm"/>
              <w:spacing w:before="0"/>
              <w:rPr>
                <w:sz w:val="20"/>
              </w:rPr>
            </w:pPr>
            <w:r>
              <w:rPr>
                <w:sz w:val="20"/>
              </w:rPr>
              <w:t xml:space="preserve">Date, time and place at which you must attend and produce the subpoena or a copy of it and documents or things — </w:t>
            </w:r>
          </w:p>
          <w:p>
            <w:pPr>
              <w:pStyle w:val="yTableNAm"/>
              <w:spacing w:before="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spacing w:before="0"/>
              <w:rPr>
                <w:sz w:val="20"/>
              </w:rPr>
            </w:pPr>
          </w:p>
          <w:p>
            <w:pPr>
              <w:pStyle w:val="yTableNAm"/>
              <w:spacing w:before="0"/>
              <w:rPr>
                <w:sz w:val="20"/>
              </w:rPr>
            </w:pPr>
            <w:r>
              <w:rPr>
                <w:sz w:val="20"/>
              </w:rPr>
              <w:t>Address of the Supreme Court to which the subpoena (or copy) and documents or things may be delivered or posted:</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David Malcolm Justice Centre</w:t>
            </w:r>
          </w:p>
          <w:p>
            <w:pPr>
              <w:pStyle w:val="yTableNAm"/>
              <w:spacing w:before="0"/>
              <w:ind w:left="368"/>
              <w:rPr>
                <w:sz w:val="20"/>
              </w:rPr>
            </w:pPr>
            <w:r>
              <w:rPr>
                <w:sz w:val="20"/>
              </w:rPr>
              <w:t>Level 11, 28 Barrack Street</w:t>
            </w:r>
          </w:p>
          <w:p>
            <w:pPr>
              <w:pStyle w:val="yTableNAm"/>
              <w:spacing w:before="0"/>
              <w:ind w:left="368"/>
              <w:rPr>
                <w:sz w:val="20"/>
              </w:rPr>
            </w:pPr>
            <w:r>
              <w:rPr>
                <w:sz w:val="20"/>
              </w:rPr>
              <w:t>Perth WA 6000</w:t>
            </w:r>
          </w:p>
          <w:p>
            <w:pPr>
              <w:pStyle w:val="yTableNAm"/>
              <w:spacing w:before="0"/>
              <w:ind w:left="368" w:hanging="368"/>
              <w:rPr>
                <w:sz w:val="20"/>
              </w:rPr>
            </w:pPr>
            <w:r>
              <w:rPr>
                <w:sz w:val="20"/>
              </w:rPr>
              <w:t>*</w:t>
            </w:r>
            <w:r>
              <w:rPr>
                <w:sz w:val="20"/>
              </w:rPr>
              <w:tab/>
              <w:t>Supreme Court of Western Australia</w:t>
            </w:r>
          </w:p>
          <w:p>
            <w:pPr>
              <w:pStyle w:val="yTableNAm"/>
              <w:spacing w:before="0"/>
              <w:ind w:left="368"/>
              <w:rPr>
                <w:sz w:val="20"/>
              </w:rPr>
            </w:pPr>
            <w:r>
              <w:rPr>
                <w:sz w:val="20"/>
              </w:rPr>
              <w:t>Court of Appeal</w:t>
            </w:r>
          </w:p>
          <w:p>
            <w:pPr>
              <w:pStyle w:val="yTableNAm"/>
              <w:spacing w:before="0"/>
              <w:ind w:left="368"/>
              <w:rPr>
                <w:sz w:val="20"/>
              </w:rPr>
            </w:pPr>
            <w:r>
              <w:rPr>
                <w:sz w:val="20"/>
              </w:rPr>
              <w:t>Stirling Gardens, Barrack Street</w:t>
            </w:r>
          </w:p>
          <w:p>
            <w:pPr>
              <w:pStyle w:val="yTableNAm"/>
              <w:spacing w:before="0"/>
              <w:ind w:left="368"/>
              <w:rPr>
                <w:sz w:val="20"/>
              </w:rPr>
            </w:pPr>
            <w:r>
              <w:rPr>
                <w:sz w:val="20"/>
              </w:rPr>
              <w:t>Perth WA 6000</w:t>
            </w:r>
          </w:p>
          <w:p>
            <w:pPr>
              <w:pStyle w:val="yTableNAm"/>
              <w:keepLines/>
              <w:spacing w:before="0"/>
              <w:rPr>
                <w:sz w:val="20"/>
              </w:rPr>
            </w:pPr>
            <w:r>
              <w:rPr>
                <w:sz w:val="20"/>
              </w:rPr>
              <w:t>Address(es) of the High Court of New Zealand to which the subpoena (or copy) and documents or things may be delivered or posted:</w:t>
            </w:r>
          </w:p>
          <w:p>
            <w:pPr>
              <w:pStyle w:val="yTableNAm"/>
              <w:keepLines/>
              <w:spacing w:before="0"/>
              <w:ind w:left="368"/>
              <w:rPr>
                <w:sz w:val="20"/>
              </w:rPr>
            </w:pPr>
            <w:r>
              <w:rPr>
                <w:sz w:val="20"/>
              </w:rPr>
              <w:t>[</w:t>
            </w:r>
            <w:r>
              <w:rPr>
                <w:i/>
                <w:sz w:val="20"/>
              </w:rPr>
              <w:t>Address(es)</w:t>
            </w:r>
            <w:r>
              <w:rPr>
                <w:sz w:val="20"/>
              </w:rPr>
              <w:t>]</w:t>
            </w:r>
          </w:p>
        </w:tc>
      </w:tr>
      <w:tr>
        <w:tc>
          <w:tcPr>
            <w:tcW w:w="7230" w:type="dxa"/>
            <w:gridSpan w:val="4"/>
          </w:tcPr>
          <w:p>
            <w:pPr>
              <w:pStyle w:val="yTableNAm"/>
              <w:keepNext/>
              <w:spacing w:before="0"/>
              <w:jc w:val="center"/>
              <w:rPr>
                <w:b/>
                <w:sz w:val="20"/>
              </w:rPr>
            </w:pPr>
            <w:r>
              <w:rPr>
                <w:b/>
                <w:sz w:val="20"/>
              </w:rPr>
              <w:lastRenderedPageBreak/>
              <w:t>Schedule of documents</w:t>
            </w:r>
          </w:p>
        </w:tc>
      </w:tr>
      <w:tr>
        <w:tc>
          <w:tcPr>
            <w:tcW w:w="7230" w:type="dxa"/>
            <w:gridSpan w:val="4"/>
          </w:tcPr>
          <w:p>
            <w:pPr>
              <w:pStyle w:val="yTableNAm"/>
              <w:keepNext/>
              <w:spacing w:before="0"/>
              <w:rPr>
                <w:sz w:val="20"/>
              </w:rPr>
            </w:pPr>
            <w:r>
              <w:rPr>
                <w:sz w:val="20"/>
              </w:rPr>
              <w:t xml:space="preserve">The documents and things you must produce are as follows — </w:t>
            </w:r>
          </w:p>
          <w:p>
            <w:pPr>
              <w:pStyle w:val="yTableNAm"/>
              <w:spacing w:before="0"/>
              <w:rPr>
                <w:sz w:val="20"/>
              </w:rPr>
            </w:pPr>
            <w:r>
              <w:rPr>
                <w:sz w:val="20"/>
              </w:rPr>
              <w:t>[</w:t>
            </w:r>
            <w:r>
              <w:rPr>
                <w:i/>
                <w:sz w:val="20"/>
              </w:rPr>
              <w:t>List the documents or things and whether the original of any document is required. If insufficient space, attach list.</w:t>
            </w:r>
            <w:r>
              <w:rPr>
                <w:sz w:val="20"/>
              </w:rPr>
              <w:t>]</w:t>
            </w:r>
          </w:p>
        </w:tc>
      </w:tr>
      <w:tr>
        <w:tc>
          <w:tcPr>
            <w:tcW w:w="7230" w:type="dxa"/>
            <w:gridSpan w:val="4"/>
          </w:tcPr>
          <w:p>
            <w:pPr>
              <w:pStyle w:val="yTableNAm"/>
              <w:spacing w:before="0"/>
              <w:jc w:val="center"/>
              <w:rPr>
                <w:b/>
                <w:sz w:val="20"/>
              </w:rPr>
            </w:pPr>
            <w:r>
              <w:rPr>
                <w:b/>
                <w:sz w:val="20"/>
              </w:rPr>
              <w:t>Notes</w:t>
            </w:r>
          </w:p>
        </w:tc>
      </w:tr>
      <w:tr>
        <w:tc>
          <w:tcPr>
            <w:tcW w:w="1418" w:type="dxa"/>
          </w:tcPr>
          <w:p>
            <w:pPr>
              <w:pStyle w:val="yTableNAm"/>
              <w:spacing w:before="0"/>
              <w:rPr>
                <w:b/>
                <w:sz w:val="20"/>
              </w:rPr>
            </w:pPr>
            <w:r>
              <w:rPr>
                <w:b/>
                <w:sz w:val="20"/>
              </w:rPr>
              <w:t>Leave to serve subpoena</w:t>
            </w:r>
          </w:p>
        </w:tc>
        <w:tc>
          <w:tcPr>
            <w:tcW w:w="5812" w:type="dxa"/>
            <w:gridSpan w:val="3"/>
          </w:tcPr>
          <w:p>
            <w:pPr>
              <w:pStyle w:val="yTableNAm"/>
              <w:spacing w:before="0"/>
              <w:ind w:left="369" w:hanging="369"/>
              <w:rPr>
                <w:sz w:val="20"/>
              </w:rPr>
            </w:pPr>
            <w:r>
              <w:rPr>
                <w:sz w:val="20"/>
              </w:rPr>
              <w:t>1.</w:t>
            </w:r>
            <w:r>
              <w:rPr>
                <w:sz w:val="20"/>
              </w:rPr>
              <w:tab/>
              <w:t xml:space="preserve">You need not comply with this subpoena unless it is accompanied by — </w:t>
            </w:r>
          </w:p>
          <w:p>
            <w:pPr>
              <w:pStyle w:val="yTableNAm"/>
              <w:spacing w:before="0"/>
              <w:ind w:left="794" w:hanging="425"/>
              <w:rPr>
                <w:sz w:val="20"/>
              </w:rPr>
            </w:pPr>
            <w:r>
              <w:rPr>
                <w:sz w:val="20"/>
              </w:rPr>
              <w:t>(a)</w:t>
            </w:r>
            <w:r>
              <w:rPr>
                <w:sz w:val="20"/>
              </w:rPr>
              <w:tab/>
              <w:t>a copy of the order of a judge of the Supreme Court giving leave to serve the subpoena in New Zealand; and</w:t>
            </w:r>
          </w:p>
          <w:p>
            <w:pPr>
              <w:pStyle w:val="yTableNAm"/>
              <w:spacing w:before="0"/>
              <w:ind w:left="794" w:hanging="425"/>
              <w:rPr>
                <w:sz w:val="20"/>
              </w:rPr>
            </w:pPr>
            <w:r>
              <w:rPr>
                <w:sz w:val="20"/>
              </w:rPr>
              <w:t>(b)</w:t>
            </w:r>
            <w:r>
              <w:rPr>
                <w:sz w:val="20"/>
              </w:rPr>
              <w:tab/>
              <w:t xml:space="preserve">a notice in the prescribed form that — </w:t>
            </w:r>
          </w:p>
          <w:p>
            <w:pPr>
              <w:pStyle w:val="yTableNAm"/>
              <w:spacing w:before="0"/>
              <w:ind w:left="1218" w:hanging="425"/>
              <w:rPr>
                <w:sz w:val="20"/>
              </w:rPr>
            </w:pPr>
            <w:r>
              <w:rPr>
                <w:sz w:val="20"/>
              </w:rPr>
              <w:t>(i)</w:t>
            </w:r>
            <w:r>
              <w:rPr>
                <w:sz w:val="20"/>
              </w:rPr>
              <w:tab/>
              <w:t>sets out your rights and obligations in relation to the subpoena; and</w:t>
            </w:r>
          </w:p>
          <w:p>
            <w:pPr>
              <w:pStyle w:val="yTableNAm"/>
              <w:spacing w:before="0"/>
              <w:ind w:left="1218" w:hanging="425"/>
              <w:rPr>
                <w:sz w:val="20"/>
              </w:rPr>
            </w:pPr>
            <w:r>
              <w:rPr>
                <w:sz w:val="20"/>
              </w:rPr>
              <w:t>(ii)</w:t>
            </w:r>
            <w:r>
              <w:rPr>
                <w:sz w:val="20"/>
              </w:rPr>
              <w:tab/>
              <w:t>includes information about the way in which an application to have the subpoena set aside may be made.</w:t>
            </w:r>
          </w:p>
        </w:tc>
      </w:tr>
      <w:tr>
        <w:tc>
          <w:tcPr>
            <w:tcW w:w="1418" w:type="dxa"/>
          </w:tcPr>
          <w:p>
            <w:pPr>
              <w:pStyle w:val="yTableNAm"/>
              <w:keepNext/>
              <w:spacing w:before="0"/>
              <w:rPr>
                <w:b/>
                <w:sz w:val="20"/>
              </w:rPr>
            </w:pPr>
            <w:r>
              <w:rPr>
                <w:b/>
                <w:sz w:val="20"/>
              </w:rPr>
              <w:lastRenderedPageBreak/>
              <w:t>Last day for service</w:t>
            </w:r>
          </w:p>
        </w:tc>
        <w:tc>
          <w:tcPr>
            <w:tcW w:w="5812" w:type="dxa"/>
            <w:gridSpan w:val="3"/>
          </w:tcPr>
          <w:p>
            <w:pPr>
              <w:pStyle w:val="yTableNAm"/>
              <w:keepNext/>
              <w:keepLines/>
              <w:widowControl w:val="0"/>
              <w:spacing w:before="0"/>
              <w:ind w:left="369" w:hanging="369"/>
              <w:rPr>
                <w:sz w:val="20"/>
              </w:rPr>
            </w:pPr>
            <w:r>
              <w:rPr>
                <w:sz w:val="20"/>
              </w:rPr>
              <w:t>2.</w:t>
            </w:r>
            <w:r>
              <w:rPr>
                <w:sz w:val="20"/>
              </w:rPr>
              <w:tab/>
              <w:t>You need not comply with this subpoena unless it is served on you on or before the date specified in it as the last date for service of this subpoena.</w:t>
            </w:r>
          </w:p>
        </w:tc>
      </w:tr>
      <w:tr>
        <w:tc>
          <w:tcPr>
            <w:tcW w:w="1418" w:type="dxa"/>
          </w:tcPr>
          <w:p>
            <w:pPr>
              <w:pStyle w:val="yTableNAm"/>
              <w:keepNext/>
              <w:spacing w:before="0"/>
              <w:rPr>
                <w:b/>
                <w:sz w:val="20"/>
              </w:rPr>
            </w:pPr>
            <w:r>
              <w:rPr>
                <w:b/>
                <w:sz w:val="20"/>
              </w:rPr>
              <w:t>Informal service</w:t>
            </w:r>
          </w:p>
        </w:tc>
        <w:tc>
          <w:tcPr>
            <w:tcW w:w="5812" w:type="dxa"/>
            <w:gridSpan w:val="3"/>
          </w:tcPr>
          <w:p>
            <w:pPr>
              <w:pStyle w:val="yTableNAm"/>
              <w:keepNext/>
              <w:spacing w:before="0"/>
              <w:ind w:left="369" w:hanging="369"/>
              <w:rPr>
                <w:sz w:val="20"/>
              </w:rPr>
            </w:pPr>
            <w:r>
              <w:rPr>
                <w:sz w:val="20"/>
              </w:rPr>
              <w:t>3.</w:t>
            </w:r>
            <w:r>
              <w:rPr>
                <w:sz w:val="20"/>
              </w:rPr>
              <w:tab/>
              <w:t>Even if this subpoena has not been served personally on you, you must, nevertheless, comply with it if you have, by the last date for service of the subpoena, actual knowledge of it and of its requirements.</w:t>
            </w:r>
          </w:p>
        </w:tc>
      </w:tr>
      <w:tr>
        <w:tc>
          <w:tcPr>
            <w:tcW w:w="1418" w:type="dxa"/>
          </w:tcPr>
          <w:p>
            <w:pPr>
              <w:pStyle w:val="yTableNAm"/>
              <w:spacing w:before="0"/>
              <w:rPr>
                <w:b/>
                <w:sz w:val="20"/>
              </w:rPr>
            </w:pPr>
            <w:r>
              <w:rPr>
                <w:b/>
                <w:sz w:val="20"/>
              </w:rPr>
              <w:t>Addressee a corporation</w:t>
            </w:r>
          </w:p>
        </w:tc>
        <w:tc>
          <w:tcPr>
            <w:tcW w:w="5812" w:type="dxa"/>
            <w:gridSpan w:val="3"/>
          </w:tcPr>
          <w:p>
            <w:pPr>
              <w:pStyle w:val="yTableNAm"/>
              <w:spacing w:before="0"/>
              <w:ind w:left="369" w:hanging="369"/>
              <w:rPr>
                <w:sz w:val="20"/>
              </w:rPr>
            </w:pPr>
            <w:r>
              <w:rPr>
                <w:sz w:val="20"/>
              </w:rPr>
              <w:t>4.</w:t>
            </w:r>
            <w:r>
              <w:rPr>
                <w:sz w:val="20"/>
              </w:rPr>
              <w:tab/>
              <w:t>If this subpoena is addressed to a corporation, the corporation must comply with the subpoena by its appropriate or proper officer.</w:t>
            </w:r>
          </w:p>
        </w:tc>
      </w:tr>
      <w:tr>
        <w:trPr>
          <w:cantSplit/>
        </w:trPr>
        <w:tc>
          <w:tcPr>
            <w:tcW w:w="1418" w:type="dxa"/>
          </w:tcPr>
          <w:p>
            <w:pPr>
              <w:pStyle w:val="yTableNAm"/>
              <w:spacing w:before="0"/>
              <w:rPr>
                <w:b/>
                <w:sz w:val="20"/>
              </w:rPr>
            </w:pPr>
            <w:r>
              <w:rPr>
                <w:b/>
                <w:sz w:val="20"/>
              </w:rPr>
              <w:t>Production of subpoena or copy of it and documents or things by delivery or post</w:t>
            </w:r>
          </w:p>
        </w:tc>
        <w:tc>
          <w:tcPr>
            <w:tcW w:w="5812" w:type="dxa"/>
            <w:gridSpan w:val="3"/>
          </w:tcPr>
          <w:p>
            <w:pPr>
              <w:pStyle w:val="yTableNAm"/>
              <w:spacing w:before="0"/>
              <w:ind w:left="369" w:hanging="369"/>
              <w:rPr>
                <w:sz w:val="20"/>
              </w:rPr>
            </w:pPr>
            <w:r>
              <w:rPr>
                <w:sz w:val="20"/>
              </w:rPr>
              <w:t>5.</w:t>
            </w:r>
            <w:r>
              <w:rPr>
                <w:sz w:val="20"/>
              </w:rPr>
              <w:tab/>
              <w:t xml:space="preserve">Insofar as this subpoena requires you to attend and produce this subpoena or a copy of it and a document or thing, you may, instead of attending to produce the subpoena or a copy of it and the document or thing, comply with that requirement by delivering or posting the subpoena or a copy of it and the document or thing to — </w:t>
            </w:r>
          </w:p>
          <w:p>
            <w:pPr>
              <w:pStyle w:val="yTableNAm"/>
              <w:spacing w:before="0"/>
              <w:ind w:left="794" w:hanging="425"/>
              <w:rPr>
                <w:sz w:val="20"/>
              </w:rPr>
            </w:pPr>
            <w:r>
              <w:rPr>
                <w:sz w:val="20"/>
              </w:rPr>
              <w:t>(a)</w:t>
            </w:r>
            <w:r>
              <w:rPr>
                <w:sz w:val="20"/>
              </w:rPr>
              <w:tab/>
              <w:t>the Supreme Court at the address specified in the subpoena so that they are received not less than 2 clear days before the date specified in the subpoena for attendance and production; or</w:t>
            </w:r>
          </w:p>
          <w:p>
            <w:pPr>
              <w:pStyle w:val="yTableNAm"/>
              <w:spacing w:before="0"/>
              <w:ind w:left="794" w:hanging="425"/>
              <w:rPr>
                <w:sz w:val="20"/>
              </w:rPr>
            </w:pPr>
            <w:r>
              <w:rPr>
                <w:sz w:val="20"/>
              </w:rPr>
              <w:t>(b)</w:t>
            </w:r>
            <w:r>
              <w:rPr>
                <w:sz w:val="20"/>
              </w:rPr>
              <w:tab/>
              <w:t>the Registrar of the High Court of New Zealand at the address specified in the subpoena for the purpose, or if more than one address is specified, at any of those addresses, so that they are received not less than 10 clear days before the date specified in the subpoena for attendance and production.</w:t>
            </w:r>
          </w:p>
          <w:p>
            <w:pPr>
              <w:pStyle w:val="yTableNAm"/>
              <w:spacing w:before="0"/>
              <w:ind w:left="369" w:hanging="369"/>
              <w:rPr>
                <w:sz w:val="20"/>
              </w:rPr>
            </w:pPr>
            <w:r>
              <w:rPr>
                <w:sz w:val="20"/>
              </w:rPr>
              <w:t>6.</w:t>
            </w:r>
            <w:r>
              <w:rPr>
                <w:sz w:val="20"/>
              </w:rPr>
              <w:tab/>
              <w:t>If you object to a document or thing produced in response to this subpoena being inspected by a party to the proceeding or any other person, you must, at the time of production, include a written notice to the Supreme Court of your objection and of the grounds of your objection.</w:t>
            </w:r>
          </w:p>
          <w:p>
            <w:pPr>
              <w:pStyle w:val="yTableNAm"/>
              <w:spacing w:before="0"/>
              <w:ind w:left="369" w:hanging="369"/>
              <w:rPr>
                <w:sz w:val="20"/>
              </w:rPr>
            </w:pPr>
            <w:r>
              <w:rPr>
                <w:sz w:val="20"/>
              </w:rPr>
              <w:t>7.</w:t>
            </w:r>
            <w:r>
              <w:rPr>
                <w:sz w:val="20"/>
              </w:rPr>
              <w:tab/>
              <w:t>Unless the Supreme Court otherwise orders, if you do not object to a document or thing produced by you in response to the subpoena being inspected by any party to the proceeding, a registrar of the Supreme Court may permit the parties to the proceeding to inspect the document or thing.</w:t>
            </w:r>
          </w:p>
        </w:tc>
      </w:tr>
      <w:tr>
        <w:tc>
          <w:tcPr>
            <w:tcW w:w="1418" w:type="dxa"/>
            <w:shd w:val="clear" w:color="auto" w:fill="auto"/>
          </w:tcPr>
          <w:p>
            <w:pPr>
              <w:pStyle w:val="yTableNAm"/>
              <w:spacing w:before="0"/>
              <w:rPr>
                <w:b/>
                <w:sz w:val="20"/>
              </w:rPr>
            </w:pPr>
            <w:r>
              <w:rPr>
                <w:b/>
                <w:sz w:val="20"/>
              </w:rPr>
              <w:t>Production of a number of documents or things</w:t>
            </w:r>
          </w:p>
        </w:tc>
        <w:tc>
          <w:tcPr>
            <w:tcW w:w="5812" w:type="dxa"/>
            <w:gridSpan w:val="3"/>
            <w:shd w:val="clear" w:color="auto" w:fill="auto"/>
          </w:tcPr>
          <w:p>
            <w:pPr>
              <w:pStyle w:val="yTableNAm"/>
              <w:spacing w:before="0"/>
              <w:ind w:left="369" w:hanging="369"/>
              <w:rPr>
                <w:sz w:val="20"/>
              </w:rPr>
            </w:pPr>
            <w:r>
              <w:rPr>
                <w:sz w:val="20"/>
              </w:rPr>
              <w:t>8.</w:t>
            </w:r>
            <w:r>
              <w:rPr>
                <w:sz w:val="20"/>
              </w:rPr>
              <w:tab/>
              <w:t>If you produce more than one document or thing, you must include with them a list of them.</w:t>
            </w:r>
          </w:p>
        </w:tc>
      </w:tr>
      <w:tr>
        <w:tc>
          <w:tcPr>
            <w:tcW w:w="1418" w:type="dxa"/>
          </w:tcPr>
          <w:p>
            <w:pPr>
              <w:pStyle w:val="yTableNAm"/>
              <w:spacing w:before="0"/>
              <w:rPr>
                <w:b/>
                <w:sz w:val="20"/>
              </w:rPr>
            </w:pPr>
            <w:r>
              <w:rPr>
                <w:b/>
                <w:sz w:val="20"/>
              </w:rPr>
              <w:t>Production of copy instead of original</w:t>
            </w:r>
          </w:p>
        </w:tc>
        <w:tc>
          <w:tcPr>
            <w:tcW w:w="5812" w:type="dxa"/>
            <w:gridSpan w:val="3"/>
          </w:tcPr>
          <w:p>
            <w:pPr>
              <w:pStyle w:val="yTableNAm"/>
              <w:spacing w:before="0"/>
              <w:ind w:left="369" w:hanging="369"/>
              <w:rPr>
                <w:sz w:val="20"/>
              </w:rPr>
            </w:pPr>
            <w:r>
              <w:rPr>
                <w:sz w:val="20"/>
              </w:rPr>
              <w:t>9.</w:t>
            </w:r>
            <w:r>
              <w:rPr>
                <w:sz w:val="20"/>
              </w:rPr>
              <w:tab/>
              <w:t>Unless the Schedule of documents says the original of a document listed in the Schedule is required, you may produce a copy of it instead.</w:t>
            </w:r>
          </w:p>
          <w:p>
            <w:pPr>
              <w:pStyle w:val="yTableNAm"/>
              <w:spacing w:before="0"/>
              <w:ind w:left="369" w:hanging="369"/>
              <w:rPr>
                <w:sz w:val="20"/>
              </w:rPr>
            </w:pPr>
            <w:r>
              <w:rPr>
                <w:sz w:val="20"/>
              </w:rPr>
              <w:t>10.</w:t>
            </w:r>
            <w:r>
              <w:rPr>
                <w:sz w:val="20"/>
              </w:rPr>
              <w:tab/>
              <w:t>The copy of a document may be:</w:t>
            </w:r>
          </w:p>
          <w:p>
            <w:pPr>
              <w:pStyle w:val="yTableNAm"/>
              <w:spacing w:before="0"/>
              <w:ind w:left="794" w:hanging="425"/>
              <w:rPr>
                <w:sz w:val="20"/>
              </w:rPr>
            </w:pPr>
            <w:r>
              <w:rPr>
                <w:sz w:val="20"/>
              </w:rPr>
              <w:t>(a)</w:t>
            </w:r>
            <w:r>
              <w:rPr>
                <w:sz w:val="20"/>
              </w:rPr>
              <w:tab/>
              <w:t>a photocopy; or</w:t>
            </w:r>
          </w:p>
          <w:p>
            <w:pPr>
              <w:pStyle w:val="yTableNAm"/>
              <w:spacing w:before="0"/>
              <w:ind w:left="794" w:hanging="425"/>
              <w:rPr>
                <w:sz w:val="20"/>
              </w:rPr>
            </w:pPr>
            <w:r>
              <w:rPr>
                <w:sz w:val="20"/>
              </w:rPr>
              <w:lastRenderedPageBreak/>
              <w:t>(b)</w:t>
            </w:r>
            <w:r>
              <w:rPr>
                <w:sz w:val="20"/>
              </w:rPr>
              <w:tab/>
              <w:t xml:space="preserve">in an electronic form on a CD-ROM, DVD or USB device in any of the following electronic formats — </w:t>
            </w:r>
          </w:p>
          <w:p>
            <w:pPr>
              <w:pStyle w:val="yTableNAm"/>
              <w:spacing w:before="0"/>
              <w:ind w:left="935" w:hanging="1"/>
              <w:rPr>
                <w:sz w:val="20"/>
              </w:rPr>
            </w:pPr>
            <w:r>
              <w:rPr>
                <w:sz w:val="20"/>
              </w:rPr>
              <w:t>.doc and .docx – Microsoft Word documents</w:t>
            </w:r>
          </w:p>
          <w:p>
            <w:pPr>
              <w:pStyle w:val="yTableNAm"/>
              <w:spacing w:before="0"/>
              <w:ind w:left="935" w:hanging="1"/>
              <w:rPr>
                <w:sz w:val="20"/>
              </w:rPr>
            </w:pPr>
            <w:r>
              <w:rPr>
                <w:sz w:val="20"/>
              </w:rPr>
              <w:t>.pdf – Adobe Acrobat documents</w:t>
            </w:r>
          </w:p>
          <w:p>
            <w:pPr>
              <w:pStyle w:val="yTableNAm"/>
              <w:spacing w:before="0"/>
              <w:ind w:left="935" w:hanging="1"/>
              <w:rPr>
                <w:sz w:val="20"/>
              </w:rPr>
            </w:pPr>
            <w:r>
              <w:rPr>
                <w:sz w:val="20"/>
              </w:rPr>
              <w:t>.xls and .xlsx – Microsoft Excel spreadsheets</w:t>
            </w:r>
          </w:p>
          <w:p>
            <w:pPr>
              <w:pStyle w:val="yTableNAm"/>
              <w:spacing w:before="0"/>
              <w:ind w:left="935" w:hanging="1"/>
              <w:rPr>
                <w:sz w:val="20"/>
              </w:rPr>
            </w:pPr>
            <w:r>
              <w:rPr>
                <w:sz w:val="20"/>
              </w:rPr>
              <w:t>.jpg – image files</w:t>
            </w:r>
          </w:p>
          <w:p>
            <w:pPr>
              <w:pStyle w:val="yTableNAm"/>
              <w:spacing w:before="0"/>
              <w:ind w:left="935" w:hanging="1"/>
              <w:rPr>
                <w:sz w:val="20"/>
              </w:rPr>
            </w:pPr>
            <w:r>
              <w:rPr>
                <w:sz w:val="20"/>
              </w:rPr>
              <w:t>.rtf – rich text format</w:t>
            </w:r>
          </w:p>
          <w:p>
            <w:pPr>
              <w:pStyle w:val="yTableNAm"/>
              <w:spacing w:before="0"/>
              <w:ind w:left="935" w:hanging="1"/>
              <w:rPr>
                <w:sz w:val="20"/>
              </w:rPr>
            </w:pPr>
            <w:r>
              <w:rPr>
                <w:sz w:val="20"/>
              </w:rPr>
              <w:t>.gif – graphics interchange format</w:t>
            </w:r>
          </w:p>
          <w:p>
            <w:pPr>
              <w:pStyle w:val="yTableNAm"/>
              <w:spacing w:before="0"/>
              <w:ind w:left="935" w:hanging="1"/>
              <w:rPr>
                <w:sz w:val="20"/>
              </w:rPr>
            </w:pPr>
            <w:r>
              <w:rPr>
                <w:sz w:val="20"/>
              </w:rPr>
              <w:t>.tif – tagged image format</w:t>
            </w:r>
          </w:p>
        </w:tc>
      </w:tr>
      <w:tr>
        <w:trPr>
          <w:cantSplit/>
        </w:trPr>
        <w:tc>
          <w:tcPr>
            <w:tcW w:w="1418" w:type="dxa"/>
          </w:tcPr>
          <w:p>
            <w:pPr>
              <w:pStyle w:val="yTableNAm"/>
              <w:spacing w:before="0"/>
              <w:rPr>
                <w:b/>
                <w:sz w:val="20"/>
              </w:rPr>
            </w:pPr>
            <w:r>
              <w:rPr>
                <w:b/>
                <w:sz w:val="20"/>
              </w:rPr>
              <w:lastRenderedPageBreak/>
              <w:t>Return or destruction of documents or copies</w:t>
            </w:r>
          </w:p>
        </w:tc>
        <w:tc>
          <w:tcPr>
            <w:tcW w:w="5812" w:type="dxa"/>
            <w:gridSpan w:val="3"/>
          </w:tcPr>
          <w:p>
            <w:pPr>
              <w:pStyle w:val="yTableNAm"/>
              <w:spacing w:before="0"/>
              <w:ind w:left="369" w:hanging="369"/>
              <w:rPr>
                <w:sz w:val="20"/>
              </w:rPr>
            </w:pPr>
            <w:r>
              <w:rPr>
                <w:sz w:val="20"/>
              </w:rPr>
              <w:t>11.</w:t>
            </w:r>
            <w:r>
              <w:rPr>
                <w:sz w:val="20"/>
              </w:rPr>
              <w:tab/>
              <w:t>You may, at the time of production, include a written notice to the Supreme Court that any document or copy of a document produced need not be returned and may be destroyed.</w:t>
            </w:r>
          </w:p>
          <w:p>
            <w:pPr>
              <w:pStyle w:val="yTableNAm"/>
              <w:spacing w:before="0"/>
              <w:ind w:left="369" w:hanging="369"/>
              <w:rPr>
                <w:sz w:val="20"/>
              </w:rPr>
            </w:pPr>
            <w:r>
              <w:rPr>
                <w:sz w:val="20"/>
              </w:rPr>
              <w:t>12.</w:t>
            </w:r>
            <w:r>
              <w:rPr>
                <w:sz w:val="20"/>
              </w:rPr>
              <w:tab/>
              <w:t>If you have so notified the Court, a registrar of the Supreme Court may destroy the document or copy instead of returning it to you.</w:t>
            </w:r>
          </w:p>
        </w:tc>
      </w:tr>
      <w:tr>
        <w:tc>
          <w:tcPr>
            <w:tcW w:w="1418" w:type="dxa"/>
          </w:tcPr>
          <w:p>
            <w:pPr>
              <w:pStyle w:val="yTableNAm"/>
              <w:spacing w:before="0"/>
              <w:rPr>
                <w:b/>
                <w:sz w:val="20"/>
              </w:rPr>
            </w:pPr>
            <w:r>
              <w:rPr>
                <w:b/>
                <w:sz w:val="20"/>
              </w:rPr>
              <w:t>Applications in relation to subpoena</w:t>
            </w:r>
          </w:p>
        </w:tc>
        <w:tc>
          <w:tcPr>
            <w:tcW w:w="5812" w:type="dxa"/>
            <w:gridSpan w:val="3"/>
          </w:tcPr>
          <w:p>
            <w:pPr>
              <w:pStyle w:val="yTableNAm"/>
              <w:spacing w:before="0"/>
              <w:ind w:left="369" w:hanging="369"/>
              <w:rPr>
                <w:sz w:val="20"/>
              </w:rPr>
            </w:pPr>
            <w:r>
              <w:rPr>
                <w:sz w:val="20"/>
              </w:rPr>
              <w:t>13.</w:t>
            </w:r>
            <w:r>
              <w:rPr>
                <w:sz w:val="20"/>
              </w:rPr>
              <w:tab/>
              <w:t>You have the right to apply to the Supreme Court for an order with respect to any claim for privilege, public interest immunity or confidentiality in relation to any document or thing the subject of this subpoena.</w:t>
            </w:r>
          </w:p>
        </w:tc>
      </w:tr>
      <w:tr>
        <w:trPr>
          <w:cantSplit/>
        </w:trPr>
        <w:tc>
          <w:tcPr>
            <w:tcW w:w="1418" w:type="dxa"/>
          </w:tcPr>
          <w:p>
            <w:pPr>
              <w:pStyle w:val="yTableNAm"/>
              <w:spacing w:before="0"/>
              <w:rPr>
                <w:b/>
                <w:sz w:val="20"/>
              </w:rPr>
            </w:pPr>
            <w:r>
              <w:rPr>
                <w:b/>
                <w:sz w:val="20"/>
              </w:rPr>
              <w:t>Loss or expense of compliance</w:t>
            </w:r>
          </w:p>
        </w:tc>
        <w:tc>
          <w:tcPr>
            <w:tcW w:w="5812" w:type="dxa"/>
            <w:gridSpan w:val="3"/>
          </w:tcPr>
          <w:p>
            <w:pPr>
              <w:pStyle w:val="yTableNAm"/>
              <w:spacing w:before="0"/>
              <w:ind w:left="369" w:hanging="369"/>
              <w:rPr>
                <w:sz w:val="20"/>
              </w:rPr>
            </w:pPr>
            <w:r>
              <w:rPr>
                <w:sz w:val="20"/>
              </w:rPr>
              <w:t>14.</w:t>
            </w:r>
            <w:r>
              <w:rPr>
                <w:sz w:val="20"/>
              </w:rPr>
              <w:tab/>
              <w:t>If you are not a party to the proceeding, you may apply to the Supreme Court for an order that the issuing party pay an amount (in addition to conduct money and any witness’s expenses) in respect of the loss or expense, including legal costs, reasonably incurred in complying with this subpoena.</w:t>
            </w:r>
          </w:p>
        </w:tc>
      </w:tr>
      <w:tr>
        <w:trPr>
          <w:cantSplit/>
        </w:trPr>
        <w:tc>
          <w:tcPr>
            <w:tcW w:w="1418" w:type="dxa"/>
          </w:tcPr>
          <w:p>
            <w:pPr>
              <w:pStyle w:val="yTableNAm"/>
              <w:spacing w:before="0"/>
              <w:rPr>
                <w:b/>
                <w:sz w:val="20"/>
              </w:rPr>
            </w:pPr>
            <w:r>
              <w:rPr>
                <w:b/>
                <w:sz w:val="20"/>
              </w:rPr>
              <w:t xml:space="preserve">Contempt of court—arrest  </w:t>
            </w:r>
          </w:p>
        </w:tc>
        <w:tc>
          <w:tcPr>
            <w:tcW w:w="5812" w:type="dxa"/>
            <w:gridSpan w:val="3"/>
          </w:tcPr>
          <w:p>
            <w:pPr>
              <w:pStyle w:val="yTableNAm"/>
              <w:spacing w:before="0"/>
              <w:ind w:left="369" w:hanging="369"/>
              <w:rPr>
                <w:sz w:val="20"/>
              </w:rPr>
            </w:pPr>
            <w:r>
              <w:rPr>
                <w:sz w:val="20"/>
              </w:rPr>
              <w:t>15.</w:t>
            </w:r>
            <w:r>
              <w:rPr>
                <w:sz w:val="20"/>
              </w:rPr>
              <w:tab/>
              <w:t xml:space="preserve">Failure to comply with this subpoena without lawful excuse may result in your arrest and the imposition of a fine under the </w:t>
            </w:r>
            <w:r>
              <w:rPr>
                <w:i/>
                <w:sz w:val="20"/>
              </w:rPr>
              <w:t>Evidence Act 2006</w:t>
            </w:r>
            <w:r>
              <w:rPr>
                <w:sz w:val="20"/>
              </w:rPr>
              <w:t xml:space="preserve"> (New Zealand) section 165.</w:t>
            </w:r>
          </w:p>
          <w:p>
            <w:pPr>
              <w:pStyle w:val="yTableNAm"/>
              <w:spacing w:before="0"/>
              <w:ind w:left="369" w:hanging="369"/>
              <w:rPr>
                <w:sz w:val="20"/>
              </w:rPr>
            </w:pPr>
            <w:r>
              <w:rPr>
                <w:sz w:val="20"/>
              </w:rPr>
              <w:t>16.</w:t>
            </w:r>
            <w:r>
              <w:rPr>
                <w:sz w:val="20"/>
              </w:rPr>
              <w:tab/>
              <w:t>Note 15 is without prejudice to any other power to enforce compliance with a subpoena.</w:t>
            </w:r>
          </w:p>
        </w:tc>
      </w:tr>
    </w:tbl>
    <w:p>
      <w:pPr>
        <w:pStyle w:val="PermNoteHeading"/>
        <w:tabs>
          <w:tab w:val="left" w:pos="567"/>
          <w:tab w:val="left" w:pos="1276"/>
        </w:tabs>
        <w:rPr>
          <w:szCs w:val="18"/>
        </w:rPr>
      </w:pPr>
      <w:r>
        <w:rPr>
          <w:szCs w:val="18"/>
        </w:rPr>
        <w:t>Footnotes to Form 23B —</w:t>
      </w:r>
    </w:p>
    <w:p>
      <w:pPr>
        <w:pStyle w:val="PermNotePara"/>
        <w:tabs>
          <w:tab w:val="clear" w:pos="1843"/>
          <w:tab w:val="left" w:pos="567"/>
        </w:tabs>
        <w:rPr>
          <w:szCs w:val="18"/>
        </w:rPr>
      </w:pPr>
      <w:r>
        <w:rPr>
          <w:szCs w:val="18"/>
        </w:rPr>
        <w:t>*</w:t>
      </w:r>
      <w:r>
        <w:rPr>
          <w:szCs w:val="18"/>
        </w:rPr>
        <w:tab/>
        <w:t>Delete the inapplicable.</w:t>
      </w:r>
    </w:p>
    <w:p>
      <w:pPr>
        <w:pStyle w:val="PermNotePara"/>
        <w:tabs>
          <w:tab w:val="clear" w:pos="1843"/>
          <w:tab w:val="left" w:pos="567"/>
        </w:tabs>
        <w:ind w:left="567" w:hanging="567"/>
        <w:rPr>
          <w:szCs w:val="18"/>
        </w:rPr>
      </w:pPr>
      <w:r>
        <w:rPr>
          <w:szCs w:val="18"/>
        </w:rPr>
        <w:t>1.</w:t>
      </w:r>
      <w:r>
        <w:rPr>
          <w:szCs w:val="18"/>
        </w:rPr>
        <w:tab/>
        <w:t>If there is more than one of any party, include the additional parties’ names and types of party in a schedule to the subpoena.</w:t>
      </w:r>
    </w:p>
    <w:p>
      <w:pPr>
        <w:pStyle w:val="yFootnotesection"/>
      </w:pPr>
      <w:r>
        <w:tab/>
        <w:t>[Form 23B inserted: Gazette 24 May 2017 p. 2599</w:t>
      </w:r>
      <w:r>
        <w:noBreakHyphen/>
        <w:t>606; amended: Gazette 27 Feb 2018 p. 622</w:t>
      </w:r>
      <w:r>
        <w:noBreakHyphen/>
        <w:t>3.]</w:t>
      </w:r>
    </w:p>
    <w:p>
      <w:pPr>
        <w:pStyle w:val="yEdnotedivision"/>
        <w:outlineLvl w:val="9"/>
      </w:pPr>
      <w:r>
        <w:t>[Form 24 deleted: Gazette 21 Feb 2007 p. 546.]</w:t>
      </w:r>
    </w:p>
    <w:p>
      <w:pPr>
        <w:pStyle w:val="yHeading5"/>
        <w:keepNext w:val="0"/>
        <w:keepLines w:val="0"/>
        <w:pageBreakBefore/>
        <w:widowControl w:val="0"/>
        <w:spacing w:before="0" w:after="120"/>
      </w:pPr>
      <w:bookmarkStart w:id="1518" w:name="_Toc129078538"/>
      <w:r>
        <w:rPr>
          <w:rStyle w:val="CharSClsNo"/>
        </w:rPr>
        <w:lastRenderedPageBreak/>
        <w:t>25</w:t>
      </w:r>
      <w:r>
        <w:t>.</w:t>
      </w:r>
      <w:r>
        <w:rPr>
          <w:b w:val="0"/>
        </w:rPr>
        <w:tab/>
      </w:r>
      <w:r>
        <w:t>Order for examination of witness before trial (O. 38 r. 1)</w:t>
      </w:r>
      <w:bookmarkEnd w:id="1518"/>
    </w:p>
    <w:p>
      <w:pPr>
        <w:pStyle w:val="yMiscellaneousBody"/>
        <w:spacing w:before="120" w:after="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and that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Gazette 9 Nov 1973 p. 4165; 30 Nov 1984 p. 3954; 28 Jun 2011 p. 2558; 27 Feb 2018 p. 623.]</w:t>
      </w:r>
    </w:p>
    <w:p>
      <w:pPr>
        <w:pStyle w:val="yHeading5"/>
        <w:keepNext w:val="0"/>
        <w:keepLines w:val="0"/>
        <w:pageBreakBefore/>
        <w:widowControl w:val="0"/>
        <w:spacing w:before="0" w:after="120"/>
      </w:pPr>
      <w:bookmarkStart w:id="1519" w:name="_Toc129078539"/>
      <w:r>
        <w:rPr>
          <w:rStyle w:val="CharSClsNo"/>
        </w:rPr>
        <w:lastRenderedPageBreak/>
        <w:t>26</w:t>
      </w:r>
      <w:r>
        <w:t>.</w:t>
      </w:r>
      <w:r>
        <w:rPr>
          <w:b w:val="0"/>
        </w:rPr>
        <w:tab/>
      </w:r>
      <w:r>
        <w:rPr>
          <w:i/>
        </w:rPr>
        <w:t xml:space="preserve">Evidence Act 1906 </w:t>
      </w:r>
      <w:r>
        <w:t>s. 110 or 111, order under (O. 38A r. 5)</w:t>
      </w:r>
      <w:bookmarkEnd w:id="1519"/>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lastRenderedPageBreak/>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Gazette 8 Feb 1991 p. 584</w:t>
      </w:r>
      <w:r>
        <w:noBreakHyphen/>
        <w:t>5; amended: Gazette 28 Jun 2011 p. 2558.]</w:t>
      </w:r>
    </w:p>
    <w:p>
      <w:pPr>
        <w:pStyle w:val="yEdnotedivision"/>
        <w:outlineLvl w:val="9"/>
      </w:pPr>
      <w:r>
        <w:t>[Form 27 deleted: Gazette 8 Feb 1991 p. 585.]</w:t>
      </w:r>
    </w:p>
    <w:p>
      <w:pPr>
        <w:pStyle w:val="yHeading5"/>
        <w:keepNext w:val="0"/>
        <w:keepLines w:val="0"/>
        <w:pageBreakBefore/>
        <w:widowControl w:val="0"/>
        <w:spacing w:before="0" w:after="120"/>
      </w:pPr>
      <w:bookmarkStart w:id="1520" w:name="_Toc129078540"/>
      <w:r>
        <w:rPr>
          <w:rStyle w:val="CharSClsNo"/>
        </w:rPr>
        <w:lastRenderedPageBreak/>
        <w:t>28</w:t>
      </w:r>
      <w:r>
        <w:t>.</w:t>
      </w:r>
      <w:r>
        <w:rPr>
          <w:b w:val="0"/>
        </w:rPr>
        <w:tab/>
      </w:r>
      <w:r>
        <w:t>Letter of request (O. 38A r. 3(4))</w:t>
      </w:r>
      <w:bookmarkEnd w:id="1520"/>
    </w:p>
    <w:p>
      <w:pPr>
        <w:pStyle w:val="yMiscellaneousBody"/>
        <w:spacing w:before="24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There are before the Supreme Court of Western Australia/before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lastRenderedPageBreak/>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Supreme Court of Western Australia</w:t>
      </w:r>
    </w:p>
    <w:p>
      <w:pPr>
        <w:pStyle w:val="yMiscellaneousBody"/>
        <w:spacing w:before="0"/>
        <w:ind w:left="1440"/>
        <w:rPr>
          <w:sz w:val="20"/>
        </w:rPr>
      </w:pPr>
      <w:r>
        <w:rPr>
          <w:sz w:val="20"/>
        </w:rPr>
        <w:t>PERTH</w:t>
      </w:r>
    </w:p>
    <w:p>
      <w:pPr>
        <w:pStyle w:val="yMiscellaneousBody"/>
        <w:spacing w:before="0"/>
        <w:ind w:left="1440"/>
        <w:rPr>
          <w:sz w:val="20"/>
        </w:rPr>
      </w:pPr>
      <w:r>
        <w:rPr>
          <w:sz w:val="20"/>
        </w:rPr>
        <w:t>Western Australia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Gazette 8 Feb 1991 p. 585; amended: Gazette 28 Jun 2011 p. 2558.]</w:t>
      </w:r>
    </w:p>
    <w:p>
      <w:pPr>
        <w:pStyle w:val="yHeading5"/>
        <w:spacing w:before="480" w:after="120"/>
      </w:pPr>
      <w:bookmarkStart w:id="1521" w:name="_Toc129078541"/>
      <w:r>
        <w:rPr>
          <w:rStyle w:val="CharSClsNo"/>
        </w:rPr>
        <w:t>29</w:t>
      </w:r>
      <w:r>
        <w:t>.</w:t>
      </w:r>
      <w:r>
        <w:rPr>
          <w:b w:val="0"/>
        </w:rPr>
        <w:tab/>
      </w:r>
      <w:r>
        <w:t>Undertaking as to costs of letter of request (O. 38A r. 5)</w:t>
      </w:r>
      <w:bookmarkEnd w:id="152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Gazette 19 Apr 2005 p. 1300; 28 Jun 2011 p. 2558.]</w:t>
      </w:r>
    </w:p>
    <w:p>
      <w:pPr>
        <w:pStyle w:val="yHeading5"/>
        <w:keepLines w:val="0"/>
        <w:pageBreakBefore/>
        <w:spacing w:before="0" w:after="120"/>
      </w:pPr>
      <w:bookmarkStart w:id="1522" w:name="_Toc129078542"/>
      <w:r>
        <w:rPr>
          <w:rStyle w:val="CharSClsNo"/>
        </w:rPr>
        <w:lastRenderedPageBreak/>
        <w:t>30</w:t>
      </w:r>
      <w:r>
        <w:t>.</w:t>
      </w:r>
      <w:r>
        <w:rPr>
          <w:b w:val="0"/>
        </w:rPr>
        <w:tab/>
      </w:r>
      <w:r>
        <w:rPr>
          <w:i/>
        </w:rPr>
        <w:t xml:space="preserve">Evidence Act 1906 </w:t>
      </w:r>
      <w:r>
        <w:t>s. 117, order under (O. 39 r. 3)</w:t>
      </w:r>
      <w:bookmarkEnd w:id="1522"/>
    </w:p>
    <w:p>
      <w:pPr>
        <w:pStyle w:val="yMiscellaneousBody"/>
        <w:spacing w:before="120"/>
        <w:jc w:val="center"/>
        <w:rPr>
          <w:b/>
          <w:bCs/>
          <w:sz w:val="20"/>
        </w:rPr>
      </w:pPr>
      <w:r>
        <w:rPr>
          <w:b/>
          <w:bCs/>
          <w:sz w:val="20"/>
        </w:rPr>
        <w:t>IN THE SUPREME COURT OF WESTERN AUSTRALIA</w:t>
      </w:r>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Gazette 8 Feb 1991 p. 587</w:t>
      </w:r>
      <w:r>
        <w:noBreakHyphen/>
        <w:t>8; amended: Gazette 28 Jun 2011 p. 2558.]</w:t>
      </w:r>
    </w:p>
    <w:p>
      <w:pPr>
        <w:pStyle w:val="yHeading5"/>
      </w:pPr>
      <w:bookmarkStart w:id="1523" w:name="_Toc129078543"/>
      <w:r>
        <w:rPr>
          <w:rStyle w:val="CharSClsNo"/>
        </w:rPr>
        <w:lastRenderedPageBreak/>
        <w:t>31</w:t>
      </w:r>
      <w:r>
        <w:t>.</w:t>
      </w:r>
      <w:r>
        <w:rPr>
          <w:b w:val="0"/>
        </w:rPr>
        <w:tab/>
      </w:r>
      <w:r>
        <w:t>Certificate (O. 39 r. 5(2))</w:t>
      </w:r>
      <w:bookmarkEnd w:id="1523"/>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Gazette 8 Feb 1991 p. 588; amended: Gazette 28 Jun 2011 p. 2558.]</w:t>
      </w:r>
    </w:p>
    <w:p>
      <w:pPr>
        <w:pStyle w:val="yHeading5"/>
        <w:spacing w:before="480" w:after="120"/>
      </w:pPr>
      <w:bookmarkStart w:id="1524" w:name="_Toc129078544"/>
      <w:r>
        <w:rPr>
          <w:rStyle w:val="CharSClsNo"/>
        </w:rPr>
        <w:t>31A</w:t>
      </w:r>
      <w:r>
        <w:t>.</w:t>
      </w:r>
      <w:r>
        <w:rPr>
          <w:b w:val="0"/>
        </w:rPr>
        <w:tab/>
      </w:r>
      <w:r>
        <w:t>Application for subpoena to be set aside (O. 39A r. 4(1))</w:t>
      </w:r>
      <w:bookmarkEnd w:id="1524"/>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35, 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audio link or audiovisual link.</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rPr>
          <w:i/>
          <w:sz w:val="20"/>
        </w:rPr>
      </w:pPr>
      <w:r>
        <w:rPr>
          <w:i/>
          <w:sz w:val="20"/>
        </w:rPr>
        <w:t>[Applicant’s address for service and telephone number.]*[Delete if not required]</w:t>
      </w:r>
    </w:p>
    <w:p>
      <w:pPr>
        <w:pStyle w:val="yFootnotesection"/>
      </w:pPr>
      <w:r>
        <w:tab/>
        <w:t>[Form 31A inserted: Gazette 16 Jul 1999 p. 3198</w:t>
      </w:r>
      <w:r>
        <w:noBreakHyphen/>
        <w:t>9; amended: Gazette 28 Jun 2011 p. 2558; 3 Aug 2012 p. 3754.]</w:t>
      </w:r>
    </w:p>
    <w:p>
      <w:pPr>
        <w:pStyle w:val="yHeading5"/>
      </w:pPr>
      <w:bookmarkStart w:id="1525" w:name="_Toc129078545"/>
      <w:r>
        <w:rPr>
          <w:rStyle w:val="CharSClsNo"/>
        </w:rPr>
        <w:lastRenderedPageBreak/>
        <w:t>31B</w:t>
      </w:r>
      <w:r>
        <w:rPr>
          <w:szCs w:val="22"/>
        </w:rPr>
        <w:t>.</w:t>
      </w:r>
      <w:r>
        <w:rPr>
          <w:szCs w:val="22"/>
        </w:rPr>
        <w:tab/>
        <w:t>Request for application to be determined with hearing (O. 39A r. 4(8))</w:t>
      </w:r>
      <w:bookmarkEnd w:id="1525"/>
    </w:p>
    <w:p>
      <w:pPr>
        <w:pStyle w:val="yMiscellaneousBody"/>
        <w:jc w:val="center"/>
      </w:pPr>
      <w:r>
        <w:rPr>
          <w:iCs/>
          <w:sz w:val="20"/>
        </w:rPr>
        <w:t>(</w:t>
      </w:r>
      <w:r>
        <w:rPr>
          <w:i/>
          <w:iCs/>
          <w:sz w:val="20"/>
        </w:rPr>
        <w:t>Heading as in order for leave to issue subpoena</w:t>
      </w:r>
      <w:r>
        <w:rPr>
          <w:iCs/>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36(5), the [</w:t>
      </w:r>
      <w:r>
        <w:rPr>
          <w:i/>
          <w:sz w:val="20"/>
        </w:rPr>
        <w:t>identify person</w:t>
      </w:r>
      <w:r>
        <w:rPr>
          <w:sz w:val="20"/>
        </w:rPr>
        <w:t>] requests that the application to set aside the subpoena [</w:t>
      </w:r>
      <w:r>
        <w:rPr>
          <w:i/>
          <w:sz w:val="20"/>
        </w:rPr>
        <w:t>identify subpoena</w:t>
      </w:r>
      <w:r>
        <w:rPr>
          <w:sz w:val="20"/>
        </w:rPr>
        <w:t>] be determined with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Gazette 3 Aug 2012 p. 3754.]</w:t>
      </w:r>
    </w:p>
    <w:p>
      <w:pPr>
        <w:pStyle w:val="yHeading5"/>
        <w:spacing w:before="360"/>
      </w:pPr>
      <w:bookmarkStart w:id="1526" w:name="_Toc129078546"/>
      <w:r>
        <w:rPr>
          <w:rStyle w:val="CharSClsNo"/>
        </w:rPr>
        <w:t>31C</w:t>
      </w:r>
      <w:r>
        <w:t>.</w:t>
      </w:r>
      <w:r>
        <w:tab/>
        <w:t>Request to appear remotely in hearing to set aside subpoena (O. 39A r. 4(9))</w:t>
      </w:r>
      <w:bookmarkEnd w:id="1526"/>
    </w:p>
    <w:p>
      <w:pPr>
        <w:pStyle w:val="yMiscellaneousBody"/>
        <w:jc w:val="center"/>
      </w:pPr>
      <w:r>
        <w:rPr>
          <w:sz w:val="20"/>
        </w:rPr>
        <w:t>(</w:t>
      </w:r>
      <w:r>
        <w:rPr>
          <w:i/>
          <w:sz w:val="20"/>
        </w:rPr>
        <w:t>Heading as in order for leave to issue subpoena</w:t>
      </w:r>
      <w:r>
        <w:rPr>
          <w:sz w:val="20"/>
        </w:rPr>
        <w:t>)</w:t>
      </w:r>
    </w:p>
    <w:p>
      <w:pPr>
        <w:pStyle w:val="yMiscellaneousBody"/>
        <w:spacing w:before="120"/>
        <w:ind w:left="720" w:hanging="720"/>
        <w:rPr>
          <w:sz w:val="20"/>
        </w:rPr>
      </w:pPr>
      <w:r>
        <w:rPr>
          <w:sz w:val="20"/>
        </w:rPr>
        <w:t>1.</w:t>
      </w:r>
      <w:r>
        <w:rPr>
          <w:sz w:val="20"/>
        </w:rPr>
        <w:tab/>
        <w:t xml:space="preserve">Under the </w:t>
      </w:r>
      <w:r>
        <w:rPr>
          <w:i/>
          <w:sz w:val="20"/>
        </w:rPr>
        <w:t>Trans</w:t>
      </w:r>
      <w:r>
        <w:rPr>
          <w:i/>
          <w:sz w:val="20"/>
        </w:rPr>
        <w:noBreakHyphen/>
        <w:t>Tasman Proceedings Act 2010</w:t>
      </w:r>
      <w:r>
        <w:rPr>
          <w:sz w:val="20"/>
        </w:rPr>
        <w:t xml:space="preserve"> (Commonwealth) section 36(6)(b), the [</w:t>
      </w:r>
      <w:r>
        <w:rPr>
          <w:i/>
          <w:sz w:val="20"/>
        </w:rPr>
        <w:t>identify person</w:t>
      </w:r>
      <w:r>
        <w:rPr>
          <w:sz w:val="20"/>
        </w:rPr>
        <w:t>] requests to appear remotely in the hearing of the application to set aside the subpoena [</w:t>
      </w:r>
      <w:r>
        <w:rPr>
          <w:i/>
          <w:sz w:val="20"/>
        </w:rPr>
        <w:t>identify subpoena</w:t>
      </w:r>
      <w:r>
        <w:rPr>
          <w:sz w:val="20"/>
        </w:rPr>
        <w:t>].</w:t>
      </w:r>
    </w:p>
    <w:p>
      <w:pPr>
        <w:pStyle w:val="yMiscellaneousBody"/>
        <w:spacing w:before="120"/>
        <w:ind w:left="720" w:hanging="720"/>
        <w:rPr>
          <w:sz w:val="20"/>
        </w:rPr>
      </w:pPr>
      <w:r>
        <w:rPr>
          <w:sz w:val="20"/>
        </w:rPr>
        <w:t>2.</w:t>
      </w:r>
      <w:r>
        <w:rPr>
          <w:sz w:val="20"/>
        </w:rPr>
        <w:tab/>
        <w:t xml:space="preserve">The applicant was [served/purportedly served*] with the subpoena in New Zealand under the </w:t>
      </w:r>
      <w:r>
        <w:rPr>
          <w:i/>
          <w:sz w:val="20"/>
        </w:rPr>
        <w:t>Trans</w:t>
      </w:r>
      <w:r>
        <w:rPr>
          <w:i/>
          <w:sz w:val="20"/>
        </w:rPr>
        <w:noBreakHyphen/>
        <w:t>Tasman Proceedings Act 2010</w:t>
      </w:r>
      <w:r>
        <w:rPr>
          <w:sz w:val="20"/>
        </w:rPr>
        <w:t xml:space="preserve"> (Commonwealth) Part 5 Division 2.</w:t>
      </w:r>
    </w:p>
    <w:p>
      <w:pPr>
        <w:pStyle w:val="yMiscellaneousBody"/>
        <w:spacing w:before="120"/>
        <w:ind w:left="720" w:hanging="720"/>
        <w:rPr>
          <w:sz w:val="20"/>
        </w:rPr>
      </w:pPr>
      <w:r>
        <w:rPr>
          <w:sz w:val="20"/>
        </w:rPr>
        <w:t>3.</w:t>
      </w:r>
      <w:r>
        <w:rPr>
          <w:sz w:val="20"/>
        </w:rPr>
        <w:tab/>
        <w:t>A remote appearance medium is, or can reasonably be made, available for the hearing.</w:t>
      </w:r>
    </w:p>
    <w:p>
      <w:pPr>
        <w:pStyle w:val="yMiscellaneousBody"/>
        <w:spacing w:before="120"/>
        <w:rPr>
          <w:sz w:val="20"/>
        </w:rPr>
      </w:pPr>
      <w:r>
        <w:rPr>
          <w:sz w:val="20"/>
        </w:rPr>
        <w:t>4.</w:t>
      </w:r>
      <w:r>
        <w:rPr>
          <w:sz w:val="20"/>
        </w:rPr>
        <w:tab/>
        <w:t>The remote appearance can be made from [</w:t>
      </w:r>
      <w:r>
        <w:rPr>
          <w:i/>
          <w:sz w:val="20"/>
        </w:rPr>
        <w:t>place in New Zealand</w:t>
      </w:r>
      <w:r>
        <w:rPr>
          <w:sz w:val="20"/>
        </w:rPr>
        <w:t>].</w:t>
      </w:r>
    </w:p>
    <w:p>
      <w:pPr>
        <w:pStyle w:val="yMiscellaneousBody"/>
        <w:spacing w:before="120"/>
        <w:ind w:left="720" w:hanging="720"/>
        <w:rPr>
          <w:sz w:val="20"/>
        </w:rPr>
      </w:pPr>
      <w:r>
        <w:rPr>
          <w:sz w:val="20"/>
        </w:rPr>
        <w:t>5.</w:t>
      </w:r>
      <w:r>
        <w:rPr>
          <w:sz w:val="20"/>
        </w:rPr>
        <w:tab/>
        <w:t>The [audio link/audiovisual link*] facilities are available at [</w:t>
      </w:r>
      <w:r>
        <w:rPr>
          <w:i/>
          <w:sz w:val="20"/>
        </w:rPr>
        <w:t>courtroom or other place in New Zealand where remote appearance is to be made</w:t>
      </w:r>
      <w:r>
        <w:rPr>
          <w:sz w:val="20"/>
        </w:rPr>
        <w:t>].</w:t>
      </w:r>
    </w:p>
    <w:p>
      <w:pPr>
        <w:pStyle w:val="yMiscellaneousBody"/>
        <w:spacing w:before="120"/>
        <w:ind w:left="720" w:hanging="720"/>
        <w:rPr>
          <w:sz w:val="20"/>
        </w:rPr>
      </w:pPr>
      <w:r>
        <w:rPr>
          <w:sz w:val="20"/>
        </w:rPr>
        <w:t>6.</w:t>
      </w:r>
      <w:r>
        <w:rPr>
          <w:sz w:val="20"/>
        </w:rPr>
        <w:tab/>
        <w:t>I estimate the remote appearance will take [</w:t>
      </w:r>
      <w:r>
        <w:rPr>
          <w:i/>
          <w:sz w:val="20"/>
        </w:rPr>
        <w:t>amount of time for remote appearance</w:t>
      </w:r>
      <w:r>
        <w:rPr>
          <w:sz w:val="20"/>
        </w:rPr>
        <w:t>].</w:t>
      </w:r>
    </w:p>
    <w:p>
      <w:pPr>
        <w:pStyle w:val="yMiscellaneousBody"/>
        <w:spacing w:before="120"/>
        <w:rPr>
          <w:sz w:val="20"/>
        </w:rPr>
      </w:pPr>
      <w:r>
        <w:rPr>
          <w:sz w:val="20"/>
        </w:rPr>
        <w:t>*[</w:t>
      </w:r>
      <w:r>
        <w:rPr>
          <w:i/>
          <w:sz w:val="20"/>
        </w:rPr>
        <w:t>Select one</w:t>
      </w:r>
      <w:r>
        <w:rPr>
          <w:sz w:val="20"/>
        </w:rPr>
        <w:t>]</w:t>
      </w:r>
    </w:p>
    <w:p>
      <w:pPr>
        <w:pStyle w:val="yMiscellaneousBody"/>
        <w:spacing w:before="120"/>
        <w:rPr>
          <w:sz w:val="20"/>
        </w:rPr>
      </w:pPr>
      <w:r>
        <w:rPr>
          <w:sz w:val="20"/>
        </w:rPr>
        <w:t>Dated:</w:t>
      </w:r>
    </w:p>
    <w:p>
      <w:pPr>
        <w:pStyle w:val="yMiscellaneousBody"/>
        <w:spacing w:before="80"/>
        <w:jc w:val="right"/>
        <w:rPr>
          <w:sz w:val="20"/>
        </w:rPr>
      </w:pPr>
      <w:r>
        <w:t>[</w:t>
      </w:r>
      <w:r>
        <w:rPr>
          <w:i/>
          <w:sz w:val="20"/>
        </w:rPr>
        <w:t>Signature of applicant</w:t>
      </w:r>
      <w:r>
        <w:rPr>
          <w:i/>
          <w:sz w:val="20"/>
        </w:rPr>
        <w:br/>
        <w:t>or applicant’s solicitor</w:t>
      </w:r>
      <w:r>
        <w:rPr>
          <w:sz w:val="20"/>
        </w:rPr>
        <w:t>]</w:t>
      </w:r>
    </w:p>
    <w:p>
      <w:pPr>
        <w:pStyle w:val="yFootnotesection"/>
      </w:pPr>
      <w:r>
        <w:tab/>
        <w:t>[Form 31C inserted: Gazette 3 Aug 2012 p. 3755.]</w:t>
      </w:r>
    </w:p>
    <w:p>
      <w:pPr>
        <w:pStyle w:val="yHeading5"/>
      </w:pPr>
      <w:bookmarkStart w:id="1527" w:name="_Toc129078547"/>
      <w:r>
        <w:rPr>
          <w:rStyle w:val="CharSClsNo"/>
        </w:rPr>
        <w:lastRenderedPageBreak/>
        <w:t>31D</w:t>
      </w:r>
      <w:r>
        <w:t>.</w:t>
      </w:r>
      <w:r>
        <w:tab/>
        <w:t>Certificate of non</w:t>
      </w:r>
      <w:r>
        <w:noBreakHyphen/>
        <w:t>compliance with subpoena (O. 39A r. 5)</w:t>
      </w:r>
      <w:bookmarkEnd w:id="1527"/>
    </w:p>
    <w:p>
      <w:pPr>
        <w:pStyle w:val="yMiscellaneousBody"/>
      </w:pPr>
      <w:r>
        <w:rPr>
          <w:sz w:val="20"/>
        </w:rPr>
        <w:t>To:</w:t>
      </w:r>
      <w:r>
        <w:rPr>
          <w:sz w:val="20"/>
        </w:rPr>
        <w:tab/>
        <w:t>The High Court of New Zealand</w:t>
      </w:r>
    </w:p>
    <w:p>
      <w:pPr>
        <w:pStyle w:val="yMiscellaneousBody"/>
        <w:rPr>
          <w:sz w:val="20"/>
        </w:rPr>
      </w:pPr>
      <w:r>
        <w:tab/>
      </w:r>
      <w:r>
        <w:rPr>
          <w:sz w:val="20"/>
        </w:rPr>
        <w:t>[</w:t>
      </w:r>
      <w:r>
        <w:rPr>
          <w:i/>
          <w:sz w:val="20"/>
        </w:rPr>
        <w:t>Address</w:t>
      </w:r>
      <w:r>
        <w:rPr>
          <w:sz w:val="20"/>
        </w:rPr>
        <w:t>]</w:t>
      </w:r>
    </w:p>
    <w:p>
      <w:pPr>
        <w:pStyle w:val="yMiscellaneousBody"/>
        <w:rPr>
          <w:sz w:val="20"/>
        </w:rPr>
      </w:pPr>
      <w:r>
        <w:rPr>
          <w:sz w:val="20"/>
        </w:rPr>
        <w:t xml:space="preserve">Under the </w:t>
      </w:r>
      <w:r>
        <w:rPr>
          <w:i/>
          <w:sz w:val="20"/>
        </w:rPr>
        <w:t>Trans</w:t>
      </w:r>
      <w:r>
        <w:rPr>
          <w:i/>
          <w:sz w:val="20"/>
        </w:rPr>
        <w:noBreakHyphen/>
        <w:t>Tasman Proceedings Act 2010</w:t>
      </w:r>
      <w:r>
        <w:rPr>
          <w:sz w:val="20"/>
        </w:rPr>
        <w:t xml:space="preserve"> (Commonwealth) section 38, the [</w:t>
      </w:r>
      <w:r>
        <w:rPr>
          <w:i/>
          <w:sz w:val="20"/>
        </w:rPr>
        <w:t>issuing</w:t>
      </w:r>
      <w:r>
        <w:rPr>
          <w:sz w:val="20"/>
        </w:rPr>
        <w:t xml:space="preserve"> </w:t>
      </w:r>
      <w:r>
        <w:rPr>
          <w:i/>
          <w:sz w:val="20"/>
        </w:rPr>
        <w:t>Australian court</w:t>
      </w:r>
      <w:r>
        <w:rPr>
          <w:sz w:val="20"/>
        </w:rPr>
        <w:t xml:space="preserve">] certifies as follows — </w:t>
      </w:r>
    </w:p>
    <w:p>
      <w:pPr>
        <w:pStyle w:val="yMiscellaneousBody"/>
        <w:ind w:left="720" w:hanging="720"/>
        <w:rPr>
          <w:sz w:val="20"/>
        </w:rPr>
      </w:pPr>
      <w:r>
        <w:rPr>
          <w:sz w:val="20"/>
        </w:rPr>
        <w:t>1.</w:t>
      </w:r>
      <w:r>
        <w:rPr>
          <w:sz w:val="20"/>
        </w:rPr>
        <w:tab/>
        <w:t>On [</w:t>
      </w:r>
      <w:r>
        <w:rPr>
          <w:i/>
          <w:sz w:val="20"/>
        </w:rPr>
        <w:t>date</w:t>
      </w:r>
      <w:r>
        <w:rPr>
          <w:sz w:val="20"/>
        </w:rPr>
        <w:t xml:space="preserve">] under the </w:t>
      </w:r>
      <w:r>
        <w:rPr>
          <w:i/>
          <w:sz w:val="20"/>
        </w:rPr>
        <w:t>Trans</w:t>
      </w:r>
      <w:r>
        <w:rPr>
          <w:i/>
          <w:sz w:val="20"/>
        </w:rPr>
        <w:noBreakHyphen/>
        <w:t>Tasman Proceedings Act 2010</w:t>
      </w:r>
      <w:r>
        <w:rPr>
          <w:sz w:val="20"/>
        </w:rPr>
        <w:t xml:space="preserve"> (Commonwealth) section 31, the [</w:t>
      </w:r>
      <w:r>
        <w:rPr>
          <w:i/>
          <w:sz w:val="20"/>
        </w:rPr>
        <w:t>issuing</w:t>
      </w:r>
      <w:r>
        <w:rPr>
          <w:sz w:val="20"/>
        </w:rPr>
        <w:t xml:space="preserve"> </w:t>
      </w:r>
      <w:r>
        <w:rPr>
          <w:i/>
          <w:sz w:val="20"/>
        </w:rPr>
        <w:t>Australian court</w:t>
      </w:r>
      <w:r>
        <w:rPr>
          <w:sz w:val="20"/>
        </w:rPr>
        <w:t>] gave [</w:t>
      </w:r>
      <w:r>
        <w:rPr>
          <w:i/>
          <w:sz w:val="20"/>
        </w:rPr>
        <w:t>identify person</w:t>
      </w:r>
      <w:r>
        <w:rPr>
          <w:sz w:val="20"/>
        </w:rPr>
        <w:t>] leave to serve a subpoena on [</w:t>
      </w:r>
      <w:r>
        <w:rPr>
          <w:i/>
          <w:sz w:val="20"/>
        </w:rPr>
        <w:t>identify person</w:t>
      </w:r>
      <w:r>
        <w:rPr>
          <w:sz w:val="20"/>
        </w:rPr>
        <w:t>] in New Zealand.  Copies of the subpoena and the order giving leave are attached.</w:t>
      </w:r>
    </w:p>
    <w:p>
      <w:pPr>
        <w:pStyle w:val="yMiscellaneousBody"/>
        <w:rPr>
          <w:sz w:val="20"/>
        </w:rPr>
      </w:pPr>
      <w:r>
        <w:rPr>
          <w:sz w:val="20"/>
        </w:rPr>
        <w:t>2.</w:t>
      </w:r>
      <w:r>
        <w:rPr>
          <w:sz w:val="20"/>
        </w:rPr>
        <w:tab/>
        <w:t>On [</w:t>
      </w:r>
      <w:r>
        <w:rPr>
          <w:i/>
          <w:sz w:val="20"/>
        </w:rPr>
        <w:t>date</w:t>
      </w:r>
      <w:r>
        <w:rPr>
          <w:sz w:val="20"/>
        </w:rPr>
        <w:t>] the subpoena was served on [</w:t>
      </w:r>
      <w:r>
        <w:rPr>
          <w:i/>
          <w:sz w:val="20"/>
        </w:rPr>
        <w:t>identify person</w:t>
      </w:r>
      <w:r>
        <w:rPr>
          <w:sz w:val="20"/>
        </w:rPr>
        <w:t>].</w:t>
      </w:r>
    </w:p>
    <w:p>
      <w:pPr>
        <w:pStyle w:val="yMiscellaneousBody"/>
        <w:ind w:left="720" w:hanging="720"/>
        <w:rPr>
          <w:sz w:val="20"/>
        </w:rPr>
      </w:pPr>
      <w:r>
        <w:rPr>
          <w:sz w:val="20"/>
        </w:rPr>
        <w:t>3.</w:t>
      </w:r>
      <w:r>
        <w:rPr>
          <w:sz w:val="20"/>
        </w:rPr>
        <w:tab/>
        <w:t>*No application to set aside the subpoena either wholly or in part has been made.  An application to set aside the subpoena was dismissed by order made on [</w:t>
      </w:r>
      <w:r>
        <w:rPr>
          <w:i/>
          <w:sz w:val="20"/>
        </w:rPr>
        <w:t>insert date</w:t>
      </w:r>
      <w:r>
        <w:rPr>
          <w:sz w:val="20"/>
        </w:rPr>
        <w:t>].  A copy of this order is attached to this certificate.</w:t>
      </w:r>
    </w:p>
    <w:p>
      <w:pPr>
        <w:pStyle w:val="yMiscellaneousBody"/>
        <w:rPr>
          <w:sz w:val="20"/>
        </w:rPr>
      </w:pPr>
      <w:r>
        <w:rPr>
          <w:sz w:val="20"/>
        </w:rPr>
        <w:t>4.</w:t>
      </w:r>
      <w:r>
        <w:rPr>
          <w:sz w:val="20"/>
        </w:rPr>
        <w:tab/>
        <w:t>On [</w:t>
      </w:r>
      <w:r>
        <w:rPr>
          <w:i/>
          <w:sz w:val="20"/>
        </w:rPr>
        <w:t>date</w:t>
      </w:r>
      <w:r>
        <w:rPr>
          <w:sz w:val="20"/>
        </w:rPr>
        <w:t>] [</w:t>
      </w:r>
      <w:r>
        <w:rPr>
          <w:i/>
          <w:sz w:val="20"/>
        </w:rPr>
        <w:t>identify person</w:t>
      </w:r>
      <w:r>
        <w:rPr>
          <w:sz w:val="20"/>
        </w:rPr>
        <w:t>] failed to comply with the subpoena.</w:t>
      </w:r>
    </w:p>
    <w:p>
      <w:pPr>
        <w:pStyle w:val="yMiscellaneousBody"/>
        <w:rPr>
          <w:sz w:val="20"/>
        </w:rPr>
      </w:pPr>
      <w:r>
        <w:rPr>
          <w:sz w:val="20"/>
        </w:rPr>
        <w:t>*[</w:t>
      </w:r>
      <w:r>
        <w:rPr>
          <w:i/>
          <w:sz w:val="20"/>
        </w:rPr>
        <w:t>Delete the inapplicable</w:t>
      </w:r>
      <w:r>
        <w:rPr>
          <w:sz w:val="20"/>
        </w:rPr>
        <w:t>]</w:t>
      </w:r>
    </w:p>
    <w:p>
      <w:pPr>
        <w:pStyle w:val="yMiscellaneousBody"/>
        <w:rPr>
          <w:sz w:val="20"/>
        </w:rPr>
      </w:pPr>
      <w:r>
        <w:rPr>
          <w:sz w:val="20"/>
        </w:rPr>
        <w:t>Dated:</w:t>
      </w:r>
    </w:p>
    <w:p>
      <w:pPr>
        <w:pStyle w:val="yMiscellaneousBody"/>
        <w:spacing w:before="12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ind w:left="567"/>
        <w:rPr>
          <w:i/>
          <w:sz w:val="20"/>
        </w:rPr>
      </w:pPr>
      <w:r>
        <w:rPr>
          <w:i/>
          <w:sz w:val="20"/>
        </w:rPr>
        <w:t>Note: The seal of the court is to be affixed.</w:t>
      </w:r>
    </w:p>
    <w:p>
      <w:pPr>
        <w:pStyle w:val="yFootnotesection"/>
      </w:pPr>
      <w:r>
        <w:tab/>
        <w:t>[Form 31D inserted: Gazette 3 Aug 2012 p. 3755</w:t>
      </w:r>
      <w:r>
        <w:noBreakHyphen/>
        <w:t>6.]</w:t>
      </w:r>
    </w:p>
    <w:p>
      <w:pPr>
        <w:pStyle w:val="yHeading5"/>
      </w:pPr>
      <w:bookmarkStart w:id="1528" w:name="_Toc129078548"/>
      <w:r>
        <w:rPr>
          <w:rStyle w:val="CharSClsNo"/>
        </w:rPr>
        <w:t>32</w:t>
      </w:r>
      <w:r>
        <w:t>.</w:t>
      </w:r>
      <w:r>
        <w:tab/>
        <w:t>Default judgment for liquidated demand (O. 13 r. 2; O. 42 r. 1)</w:t>
      </w:r>
      <w:bookmarkEnd w:id="1528"/>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lastRenderedPageBreak/>
              <w:t>DEFAULT JUDGMENT FOR LIQUIDATED DEMAND</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tabs>
                <w:tab w:val="left" w:pos="396"/>
              </w:tabs>
              <w:rPr>
                <w:sz w:val="20"/>
              </w:rPr>
            </w:pPr>
            <w:r>
              <w:rPr>
                <w:sz w:val="20"/>
              </w:rPr>
              <w:t>(a)</w:t>
            </w:r>
            <w:r>
              <w:rPr>
                <w:sz w:val="20"/>
              </w:rPr>
              <w:tab/>
              <w:t>$[</w:t>
            </w:r>
            <w:r>
              <w:rPr>
                <w:i/>
                <w:sz w:val="20"/>
              </w:rPr>
              <w:t>insert amount</w:t>
            </w:r>
            <w:r>
              <w:rPr>
                <w:sz w:val="20"/>
              </w:rPr>
              <w:t>]; and</w:t>
            </w:r>
          </w:p>
          <w:p>
            <w:pPr>
              <w:pStyle w:val="yMiscellaneousBody"/>
              <w:tabs>
                <w:tab w:val="left" w:pos="396"/>
              </w:tabs>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67"/>
              </w:tabs>
              <w:rPr>
                <w:sz w:val="20"/>
              </w:rPr>
            </w:pPr>
            <w:r>
              <w:rPr>
                <w:sz w:val="20"/>
              </w:rPr>
              <w:tab/>
              <w:t>BY THE COURT</w:t>
            </w:r>
          </w:p>
          <w:p>
            <w:pPr>
              <w:pStyle w:val="yMiscellaneousBody"/>
              <w:tabs>
                <w:tab w:val="left" w:pos="4567"/>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295"/>
                <w:tab w:val="left" w:pos="573"/>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295"/>
                <w:tab w:val="left" w:pos="573"/>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highlight w:val="yellow"/>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lastRenderedPageBreak/>
        <w:tab/>
        <w:t>[Form 32 inserted: Gazette 16 Nov 2016 p. 5202-3.]</w:t>
      </w:r>
    </w:p>
    <w:p>
      <w:pPr>
        <w:pStyle w:val="yHeading5"/>
      </w:pPr>
      <w:bookmarkStart w:id="1529" w:name="_Toc129078549"/>
      <w:r>
        <w:rPr>
          <w:rStyle w:val="CharSClsNo"/>
        </w:rPr>
        <w:t>33</w:t>
      </w:r>
      <w:r>
        <w:t>.</w:t>
      </w:r>
      <w:r>
        <w:tab/>
        <w:t>Default judgment where demand unliquidated (O. 13 r. 3; O. 42 r. 1)</w:t>
      </w:r>
      <w:bookmarkEnd w:id="1529"/>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rPr>
                <w:sz w:val="20"/>
              </w:rPr>
            </w:pPr>
            <w:r>
              <w:rPr>
                <w:b/>
                <w:sz w:val="20"/>
              </w:rPr>
              <w:t>DEFAULT JUDGMENT WHERE DEMAND UNLIQUIDATED</w:t>
            </w:r>
          </w:p>
          <w:p>
            <w:pPr>
              <w:pStyle w:val="yMiscellaneousBody"/>
              <w:rPr>
                <w:sz w:val="20"/>
              </w:rPr>
            </w:pPr>
            <w:r>
              <w:rPr>
                <w:sz w:val="20"/>
              </w:rPr>
              <w:t>Judicial officer:</w:t>
            </w:r>
          </w:p>
          <w:p>
            <w:pPr>
              <w:pStyle w:val="yMiscellaneousBody"/>
              <w:rPr>
                <w:sz w:val="20"/>
              </w:rPr>
            </w:pPr>
            <w:r>
              <w:rPr>
                <w:sz w:val="20"/>
              </w:rPr>
              <w:t>Date of order:</w:t>
            </w:r>
          </w:p>
          <w:p>
            <w:pPr>
              <w:pStyle w:val="yMiscellaneousBody"/>
              <w:rPr>
                <w:b/>
                <w:sz w:val="20"/>
              </w:rPr>
            </w:pPr>
            <w:r>
              <w:rPr>
                <w:b/>
                <w:sz w:val="20"/>
              </w:rPr>
              <w:t>THE COURT ORDERS THAT:</w:t>
            </w:r>
          </w:p>
          <w:p>
            <w:pPr>
              <w:pStyle w:val="yMiscellaneousBody"/>
              <w:rPr>
                <w:sz w:val="20"/>
              </w:rPr>
            </w:pPr>
            <w:r>
              <w:rPr>
                <w:sz w:val="20"/>
              </w:rPr>
              <w:t>The defendant pay the plaintiff the value of the goods [</w:t>
            </w:r>
            <w:r>
              <w:rPr>
                <w:i/>
                <w:sz w:val="20"/>
              </w:rPr>
              <w:t>or damages, or both, as the case requires</w:t>
            </w:r>
            <w:r>
              <w:rPr>
                <w:sz w:val="20"/>
              </w:rPr>
              <w:t>] to be assessed.</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tab/>
              <w:t>REGISTRAR</w:t>
            </w:r>
          </w:p>
          <w:p>
            <w:pPr>
              <w:pStyle w:val="yMiscellaneousBody"/>
              <w:rPr>
                <w:sz w:val="20"/>
              </w:rPr>
            </w:pPr>
            <w:r>
              <w:rPr>
                <w:i/>
                <w:sz w:val="20"/>
              </w:rPr>
              <w:t>Note: Default judgment after assessment of damages is to be in Form 35.</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single" w:sz="4" w:space="0" w:color="auto"/>
            </w:tcBorders>
          </w:tcPr>
          <w:p>
            <w:pPr>
              <w:pStyle w:val="yMiscellaneousBody"/>
              <w:rPr>
                <w:sz w:val="20"/>
              </w:rPr>
            </w:pPr>
            <w:r>
              <w:rPr>
                <w:b/>
                <w:sz w:val="20"/>
              </w:rPr>
              <w:lastRenderedPageBreak/>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33 inserted: Gazette 16 Nov 2016 p. 5204</w:t>
      </w:r>
      <w:r>
        <w:noBreakHyphen/>
        <w:t>5.]</w:t>
      </w:r>
    </w:p>
    <w:p>
      <w:pPr>
        <w:pStyle w:val="yHeading5"/>
      </w:pPr>
      <w:bookmarkStart w:id="1530" w:name="_Toc129078550"/>
      <w:r>
        <w:rPr>
          <w:rStyle w:val="CharSClsNo"/>
        </w:rPr>
        <w:t>34</w:t>
      </w:r>
      <w:r>
        <w:t>.</w:t>
      </w:r>
      <w:r>
        <w:tab/>
        <w:t>Default judgment in action relating to detention of goods other than in a mortgage action (O. 13 r. 4; O. 42 r. 1)</w:t>
      </w:r>
      <w:bookmarkEnd w:id="1530"/>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top w:val="single" w:sz="4" w:space="0" w:color="auto"/>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IN ACTION RELATING TO DETENTION OF GOODS OTHER THAN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The defendant deliver to the plaintiff the goods described in the writ of summons [</w:t>
            </w:r>
            <w:r>
              <w:rPr>
                <w:i/>
                <w:sz w:val="20"/>
              </w:rPr>
              <w:t>or statement of claim</w:t>
            </w:r>
            <w:r>
              <w:rPr>
                <w:sz w:val="20"/>
              </w:rPr>
              <w:t>] as [</w:t>
            </w:r>
            <w:r>
              <w:rPr>
                <w:i/>
                <w:sz w:val="20"/>
              </w:rPr>
              <w:t>insert description of goods</w:t>
            </w:r>
            <w:r>
              <w:rPr>
                <w:sz w:val="20"/>
              </w:rPr>
              <w:t>] or pay to the plaintiff the value of those goods to be assessed [</w:t>
            </w:r>
            <w:r>
              <w:rPr>
                <w:i/>
                <w:sz w:val="20"/>
              </w:rPr>
              <w:t>and also damages for their detention to be assessed</w:t>
            </w:r>
            <w:r>
              <w:rPr>
                <w:sz w:val="20"/>
              </w:rPr>
              <w:t>].</w:t>
            </w:r>
            <w:r>
              <w:rPr>
                <w:sz w:val="20"/>
                <w:vertAlign w:val="superscript"/>
              </w:rPr>
              <w:t>1</w:t>
            </w:r>
          </w:p>
        </w:tc>
      </w:tr>
      <w:tr>
        <w:tc>
          <w:tcPr>
            <w:tcW w:w="7088" w:type="dxa"/>
            <w:tcBorders>
              <w:top w:val="nil"/>
              <w:bottom w:val="nil"/>
            </w:tcBorders>
          </w:tcPr>
          <w:p>
            <w:pPr>
              <w:pStyle w:val="yMiscellaneousBody"/>
              <w:jc w:val="center"/>
              <w:rPr>
                <w:sz w:val="20"/>
              </w:rPr>
            </w:pPr>
            <w:r>
              <w:rPr>
                <w:i/>
                <w:sz w:val="20"/>
              </w:rPr>
              <w:t>or</w:t>
            </w:r>
          </w:p>
          <w:p>
            <w:pPr>
              <w:pStyle w:val="yMiscellaneousBody"/>
              <w:rPr>
                <w:sz w:val="20"/>
              </w:rPr>
            </w:pPr>
            <w:r>
              <w:rPr>
                <w:sz w:val="20"/>
              </w:rPr>
              <w:t>The defendant pay the plaintiff the value of the goods described in the statement of claim to be assessed [</w:t>
            </w:r>
            <w:r>
              <w:rPr>
                <w:i/>
                <w:sz w:val="20"/>
              </w:rPr>
              <w:t>and also damages for their detention to be assessed</w:t>
            </w:r>
            <w:r>
              <w:rPr>
                <w:sz w:val="20"/>
              </w:rPr>
              <w:t>].</w:t>
            </w:r>
            <w:r>
              <w:rPr>
                <w:sz w:val="20"/>
                <w:vertAlign w:val="superscript"/>
              </w:rPr>
              <w:t>2</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lastRenderedPageBreak/>
              <w:tab/>
              <w:t>REGISTRAR</w:t>
            </w:r>
          </w:p>
          <w:p>
            <w:pPr>
              <w:pStyle w:val="yMiscellaneousBody"/>
              <w:rPr>
                <w:i/>
                <w:sz w:val="20"/>
              </w:rPr>
            </w:pPr>
            <w:r>
              <w:rPr>
                <w:i/>
                <w:sz w:val="20"/>
              </w:rPr>
              <w:t>Note: Default judgment after assessment of the value of the goods and damages for their detention (if applicable) is to be in Form 35.</w:t>
            </w:r>
          </w:p>
        </w:tc>
      </w:tr>
      <w:tr>
        <w:tc>
          <w:tcPr>
            <w:tcW w:w="7088" w:type="dxa"/>
            <w:tcBorders>
              <w:top w:val="nil"/>
            </w:tcBorders>
          </w:tcPr>
          <w:p>
            <w:pPr>
              <w:pStyle w:val="yMiscellaneousBody"/>
              <w:rPr>
                <w:sz w:val="20"/>
              </w:rPr>
            </w:pPr>
            <w:r>
              <w:rPr>
                <w:b/>
                <w:sz w:val="20"/>
              </w:rPr>
              <w:lastRenderedPageBreak/>
              <w:t>NOTICE TO DEFENDANT</w:t>
            </w:r>
            <w:r>
              <w:rPr>
                <w:sz w:val="20"/>
                <w:vertAlign w:val="superscript"/>
              </w:rPr>
              <w:t>1</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51"/>
                <w:tab w:val="left" w:pos="564"/>
              </w:tabs>
              <w:ind w:left="578" w:hanging="578"/>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51"/>
                <w:tab w:val="left" w:pos="564"/>
              </w:tabs>
              <w:ind w:left="578" w:hanging="578"/>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p>
            <w:pPr>
              <w:pStyle w:val="yMiscellaneousBody"/>
              <w:jc w:val="center"/>
              <w:rPr>
                <w:sz w:val="20"/>
              </w:rPr>
            </w:pPr>
            <w:r>
              <w:rPr>
                <w:i/>
                <w:sz w:val="20"/>
              </w:rPr>
              <w:t>or</w:t>
            </w:r>
          </w:p>
        </w:tc>
      </w:tr>
      <w:tr>
        <w:tc>
          <w:tcPr>
            <w:tcW w:w="7088" w:type="dxa"/>
            <w:tcBorders>
              <w:top w:val="nil"/>
              <w:bottom w:val="nil"/>
            </w:tcBorders>
          </w:tcPr>
          <w:p>
            <w:pPr>
              <w:pStyle w:val="yMiscellaneousBody"/>
              <w:rPr>
                <w:sz w:val="20"/>
              </w:rPr>
            </w:pPr>
            <w:r>
              <w:rPr>
                <w:b/>
                <w:sz w:val="20"/>
              </w:rPr>
              <w:t>NOTICE TO DEFENDANT</w:t>
            </w:r>
            <w:r>
              <w:rPr>
                <w:sz w:val="20"/>
                <w:vertAlign w:val="superscript"/>
              </w:rPr>
              <w:t>2</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xml:space="preserve">] was not entitled to obtain this judgment against you then you may apply to the Court for an order setting aside or varying the judgment under the </w:t>
            </w:r>
            <w:r>
              <w:rPr>
                <w:i/>
                <w:sz w:val="20"/>
              </w:rPr>
              <w:t>Rules of the Supreme Court 1971</w:t>
            </w:r>
            <w:r>
              <w:rPr>
                <w:sz w:val="20"/>
              </w:rPr>
              <w:t xml:space="preserve"> Order 13 rule 14.</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because these applications may be complex and you may be ordered to pay costs to [</w:t>
            </w:r>
            <w:r>
              <w:rPr>
                <w:i/>
                <w:sz w:val="20"/>
              </w:rPr>
              <w:t>name of plaintiff</w:t>
            </w:r>
            <w:r>
              <w:rPr>
                <w:sz w:val="20"/>
              </w:rPr>
              <w:t>] if your application does not succeed.</w:t>
            </w:r>
          </w:p>
        </w:tc>
      </w:tr>
      <w:tr>
        <w:tc>
          <w:tcPr>
            <w:tcW w:w="7088" w:type="dxa"/>
            <w:tcBorders>
              <w:top w:val="nil"/>
              <w:bottom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tc>
      </w:tr>
      <w:tr>
        <w:tc>
          <w:tcPr>
            <w:tcW w:w="7088" w:type="dxa"/>
            <w:tcBorders>
              <w:top w:val="nil"/>
              <w:bottom w:val="single" w:sz="4" w:space="0" w:color="auto"/>
            </w:tcBorders>
          </w:tcPr>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tabs>
          <w:tab w:val="left" w:pos="142"/>
          <w:tab w:val="left" w:pos="567"/>
        </w:tabs>
        <w:rPr>
          <w:sz w:val="16"/>
          <w:szCs w:val="16"/>
        </w:rPr>
      </w:pPr>
      <w:r>
        <w:rPr>
          <w:sz w:val="16"/>
          <w:szCs w:val="16"/>
        </w:rPr>
        <w:lastRenderedPageBreak/>
        <w:t>Notes to Form 34:</w:t>
      </w:r>
    </w:p>
    <w:p>
      <w:pPr>
        <w:pStyle w:val="yMiscellaneousBody"/>
        <w:tabs>
          <w:tab w:val="left" w:pos="142"/>
          <w:tab w:val="left" w:pos="567"/>
        </w:tabs>
        <w:rPr>
          <w:sz w:val="16"/>
          <w:szCs w:val="16"/>
        </w:rPr>
      </w:pPr>
      <w:r>
        <w:rPr>
          <w:sz w:val="16"/>
          <w:szCs w:val="16"/>
        </w:rPr>
        <w:tab/>
        <w:t>1.</w:t>
      </w:r>
      <w:r>
        <w:rPr>
          <w:sz w:val="16"/>
          <w:szCs w:val="16"/>
        </w:rPr>
        <w:tab/>
        <w:t>To be used for a default judgment referred to in Order 13 rule 4(1)(a)(i).</w:t>
      </w:r>
    </w:p>
    <w:p>
      <w:pPr>
        <w:pStyle w:val="yMiscellaneousBody"/>
        <w:tabs>
          <w:tab w:val="left" w:pos="142"/>
          <w:tab w:val="left" w:pos="567"/>
        </w:tabs>
        <w:rPr>
          <w:sz w:val="16"/>
          <w:szCs w:val="16"/>
        </w:rPr>
      </w:pPr>
      <w:r>
        <w:rPr>
          <w:sz w:val="16"/>
          <w:szCs w:val="16"/>
        </w:rPr>
        <w:tab/>
        <w:t>2.</w:t>
      </w:r>
      <w:r>
        <w:rPr>
          <w:sz w:val="16"/>
          <w:szCs w:val="16"/>
        </w:rPr>
        <w:tab/>
        <w:t>To be used for a default judgment referred to in Order 13 rule 4(1)(a)(ii).</w:t>
      </w:r>
    </w:p>
    <w:p>
      <w:pPr>
        <w:pStyle w:val="yFootnotesection"/>
      </w:pPr>
      <w:r>
        <w:tab/>
        <w:t>[Form 34 inserted: Gazette 16 Nov 2016 p. 5205</w:t>
      </w:r>
      <w:r>
        <w:noBreakHyphen/>
        <w:t>7.]</w:t>
      </w:r>
    </w:p>
    <w:p>
      <w:pPr>
        <w:pStyle w:val="yHeading5"/>
      </w:pPr>
      <w:bookmarkStart w:id="1531" w:name="_Toc129078551"/>
      <w:r>
        <w:rPr>
          <w:rStyle w:val="CharSClsNo"/>
        </w:rPr>
        <w:t>35</w:t>
      </w:r>
      <w:r>
        <w:t>.</w:t>
      </w:r>
      <w:r>
        <w:tab/>
        <w:t>Default judgment after assessment of damages etc. (O. 13 r. 3 &amp; 4; O. 42 r. 1)</w:t>
      </w:r>
      <w:bookmarkEnd w:id="1531"/>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default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38"/>
              </w:tabs>
              <w:rPr>
                <w:sz w:val="20"/>
              </w:rPr>
            </w:pPr>
            <w:r>
              <w:rPr>
                <w:sz w:val="20"/>
              </w:rPr>
              <w:lastRenderedPageBreak/>
              <w:tab/>
              <w:t>REGISTRAR</w:t>
            </w:r>
          </w:p>
        </w:tc>
      </w:tr>
      <w:tr>
        <w:tc>
          <w:tcPr>
            <w:tcW w:w="7088" w:type="dxa"/>
            <w:tcBorders>
              <w:top w:val="nil"/>
              <w:bottom w:val="nil"/>
            </w:tcBorders>
          </w:tcPr>
          <w:p>
            <w:pPr>
              <w:pStyle w:val="yMiscellaneousBody"/>
              <w:rPr>
                <w:sz w:val="20"/>
              </w:rPr>
            </w:pPr>
            <w:r>
              <w:rPr>
                <w:b/>
                <w:sz w:val="20"/>
              </w:rPr>
              <w:lastRenderedPageBreak/>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tc>
      </w:tr>
      <w:tr>
        <w:tc>
          <w:tcPr>
            <w:tcW w:w="7088" w:type="dxa"/>
            <w:tcBorders>
              <w:top w:val="nil"/>
              <w:bottom w:val="nil"/>
            </w:tcBorders>
          </w:tcPr>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bottom w:val="nil"/>
            </w:tcBorders>
          </w:tcPr>
          <w:p>
            <w:pPr>
              <w:pStyle w:val="yMiscellaneousBody"/>
              <w:tabs>
                <w:tab w:val="left" w:pos="176"/>
                <w:tab w:val="left" w:pos="601"/>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76"/>
                <w:tab w:val="left" w:pos="601"/>
              </w:tabs>
              <w:ind w:left="601" w:hanging="601"/>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top w:val="nil"/>
              <w:bottom w:val="nil"/>
            </w:tcBorders>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 to Form 35:</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35 inserted: Gazette 16 Nov 2016 p. 5207</w:t>
      </w:r>
      <w:r>
        <w:noBreakHyphen/>
        <w:t>8.]</w:t>
      </w:r>
    </w:p>
    <w:p>
      <w:pPr>
        <w:pStyle w:val="yHeading5"/>
      </w:pPr>
      <w:bookmarkStart w:id="1532" w:name="_Toc129078552"/>
      <w:r>
        <w:rPr>
          <w:rStyle w:val="CharSClsNo"/>
        </w:rPr>
        <w:lastRenderedPageBreak/>
        <w:t>36</w:t>
      </w:r>
      <w:r>
        <w:t>.</w:t>
      </w:r>
      <w:r>
        <w:tab/>
        <w:t>Default judgment for possession of land other than in a mortgage action (O. 13 r. 5; O. 42 r. 1)</w:t>
      </w:r>
      <w:bookmarkEnd w:id="1532"/>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keepNext/>
              <w:keepLines/>
              <w:jc w:val="center"/>
              <w:rPr>
                <w:sz w:val="20"/>
              </w:rPr>
            </w:pPr>
            <w:r>
              <w:rPr>
                <w:b/>
                <w:sz w:val="20"/>
              </w:rPr>
              <w:t>IN THE SUPREME COURT OF WESTERN AUSTRALIA</w:t>
            </w:r>
          </w:p>
          <w:p>
            <w:pPr>
              <w:pStyle w:val="yMiscellaneousBody"/>
              <w:keepNext/>
              <w:keepLines/>
              <w:jc w:val="right"/>
              <w:rPr>
                <w:sz w:val="20"/>
              </w:rPr>
            </w:pPr>
            <w:r>
              <w:rPr>
                <w:sz w:val="20"/>
              </w:rPr>
              <w:t>No: .............. of 20 .......</w:t>
            </w:r>
          </w:p>
        </w:tc>
      </w:tr>
      <w:tr>
        <w:tc>
          <w:tcPr>
            <w:tcW w:w="7088" w:type="dxa"/>
            <w:tcBorders>
              <w:top w:val="nil"/>
              <w:bottom w:val="nil"/>
            </w:tcBorders>
          </w:tcPr>
          <w:p>
            <w:pPr>
              <w:pStyle w:val="yMiscellaneousBody"/>
              <w:keepNext/>
              <w:keepLines/>
              <w:rPr>
                <w:sz w:val="20"/>
              </w:rPr>
            </w:pPr>
            <w:r>
              <w:rPr>
                <w:sz w:val="20"/>
              </w:rPr>
              <w:t>BETWEEN:</w:t>
            </w:r>
          </w:p>
          <w:p>
            <w:pPr>
              <w:pStyle w:val="yMiscellaneousBody"/>
              <w:keepNext/>
              <w:keepLines/>
              <w:rPr>
                <w:sz w:val="20"/>
              </w:rPr>
            </w:pPr>
            <w:r>
              <w:rPr>
                <w:sz w:val="20"/>
              </w:rPr>
              <w:t>AB</w:t>
            </w:r>
          </w:p>
          <w:p>
            <w:pPr>
              <w:pStyle w:val="yMiscellaneousBody"/>
              <w:keepNext/>
              <w:keepLines/>
              <w:jc w:val="right"/>
              <w:rPr>
                <w:sz w:val="20"/>
              </w:rPr>
            </w:pPr>
            <w:r>
              <w:rPr>
                <w:sz w:val="20"/>
              </w:rPr>
              <w:t>Plaintiff,</w:t>
            </w:r>
          </w:p>
          <w:p>
            <w:pPr>
              <w:pStyle w:val="yMiscellaneousBody"/>
              <w:keepNext/>
              <w:keepLines/>
              <w:rPr>
                <w:sz w:val="20"/>
              </w:rPr>
            </w:pPr>
            <w:r>
              <w:rPr>
                <w:sz w:val="20"/>
              </w:rPr>
              <w:t>and</w:t>
            </w:r>
          </w:p>
          <w:p>
            <w:pPr>
              <w:pStyle w:val="yMiscellaneousBody"/>
              <w:keepNext/>
              <w:keepLines/>
              <w:rPr>
                <w:sz w:val="20"/>
              </w:rPr>
            </w:pPr>
            <w:r>
              <w:rPr>
                <w:sz w:val="20"/>
              </w:rPr>
              <w:t>CD</w:t>
            </w:r>
          </w:p>
          <w:p>
            <w:pPr>
              <w:pStyle w:val="yMiscellaneousBody"/>
              <w:keepNext/>
              <w:keepLines/>
              <w:jc w:val="right"/>
              <w:rPr>
                <w:sz w:val="20"/>
              </w:rPr>
            </w:pPr>
            <w:r>
              <w:rPr>
                <w:sz w:val="20"/>
              </w:rPr>
              <w:t>Defendant.</w:t>
            </w:r>
          </w:p>
        </w:tc>
      </w:tr>
      <w:tr>
        <w:tc>
          <w:tcPr>
            <w:tcW w:w="7088" w:type="dxa"/>
            <w:tcBorders>
              <w:top w:val="nil"/>
            </w:tcBorders>
          </w:tcPr>
          <w:p>
            <w:pPr>
              <w:pStyle w:val="yMiscellaneousBody"/>
              <w:keepNext/>
              <w:keepLines/>
              <w:jc w:val="center"/>
              <w:rPr>
                <w:sz w:val="20"/>
              </w:rPr>
            </w:pPr>
            <w:r>
              <w:rPr>
                <w:b/>
                <w:sz w:val="20"/>
              </w:rPr>
              <w:t>DEFAULT JUDGMENT FOR POSSESSION OF LAND OTHER THAN IN A MORTGAGE ACTION</w:t>
            </w:r>
          </w:p>
          <w:p>
            <w:pPr>
              <w:pStyle w:val="yMiscellaneousBody"/>
              <w:keepNext/>
              <w:keepLines/>
              <w:rPr>
                <w:sz w:val="20"/>
              </w:rPr>
            </w:pPr>
            <w:r>
              <w:rPr>
                <w:sz w:val="20"/>
              </w:rPr>
              <w:t>Judicial officer:</w:t>
            </w:r>
          </w:p>
          <w:p>
            <w:pPr>
              <w:pStyle w:val="yMiscellaneousBody"/>
              <w:keepNext/>
              <w:keepLines/>
              <w:rPr>
                <w:sz w:val="20"/>
              </w:rPr>
            </w:pPr>
            <w:r>
              <w:rPr>
                <w:sz w:val="20"/>
              </w:rPr>
              <w:t>Date of order:</w:t>
            </w:r>
          </w:p>
        </w:tc>
      </w:tr>
      <w:tr>
        <w:tc>
          <w:tcPr>
            <w:tcW w:w="7088" w:type="dxa"/>
          </w:tcPr>
          <w:p>
            <w:pPr>
              <w:pStyle w:val="yMiscellaneousBody"/>
              <w:rPr>
                <w:sz w:val="20"/>
              </w:rPr>
            </w:pPr>
            <w:r>
              <w:rPr>
                <w:b/>
                <w:sz w:val="20"/>
              </w:rPr>
              <w:t>THE COURT ORDERS THAT:</w:t>
            </w:r>
          </w:p>
          <w:p>
            <w:pPr>
              <w:pStyle w:val="yMiscellaneousBody"/>
              <w:tabs>
                <w:tab w:val="left" w:pos="400"/>
              </w:tabs>
              <w:ind w:left="410" w:hanging="410"/>
              <w:rPr>
                <w:sz w:val="20"/>
              </w:rPr>
            </w:pPr>
            <w:r>
              <w:rPr>
                <w:sz w:val="20"/>
              </w:rPr>
              <w:t>1.</w:t>
            </w:r>
            <w:r>
              <w:rPr>
                <w:sz w:val="20"/>
              </w:rPr>
              <w:tab/>
              <w:t>The defendant give the plaintiff vacant possession of the land described in the writ of summons [</w:t>
            </w:r>
            <w:r>
              <w:rPr>
                <w:i/>
                <w:sz w:val="20"/>
              </w:rPr>
              <w:t>or statement of claim</w:t>
            </w:r>
            <w:r>
              <w:rPr>
                <w:sz w:val="20"/>
              </w:rPr>
              <w:t>] as [</w:t>
            </w:r>
            <w:r>
              <w:rPr>
                <w:i/>
                <w:sz w:val="20"/>
              </w:rPr>
              <w:t>insert description of land</w:t>
            </w:r>
            <w:r>
              <w:rPr>
                <w:sz w:val="20"/>
              </w:rPr>
              <w:t>].</w:t>
            </w:r>
          </w:p>
          <w:p>
            <w:pPr>
              <w:pStyle w:val="yMiscellaneousBody"/>
              <w:tabs>
                <w:tab w:val="left" w:pos="400"/>
              </w:tabs>
              <w:ind w:left="410" w:hanging="410"/>
              <w:rPr>
                <w:sz w:val="20"/>
              </w:rPr>
            </w:pPr>
            <w:r>
              <w:rPr>
                <w:sz w:val="20"/>
              </w:rPr>
              <w:t>2.</w:t>
            </w:r>
            <w:r>
              <w:rPr>
                <w:sz w:val="20"/>
              </w:rPr>
              <w:tab/>
              <w:t>The defendant pay the plaintiff $[</w:t>
            </w:r>
            <w:r>
              <w:rPr>
                <w:i/>
                <w:sz w:val="20"/>
              </w:rPr>
              <w:t>insert amount</w:t>
            </w:r>
            <w:r>
              <w:rPr>
                <w:sz w:val="20"/>
              </w:rPr>
              <w:t>] costs [</w:t>
            </w:r>
            <w:r>
              <w:rPr>
                <w:i/>
                <w:sz w:val="20"/>
              </w:rPr>
              <w:t>or costs to be taxed</w:t>
            </w:r>
            <w:r>
              <w:rPr>
                <w:sz w:val="20"/>
              </w:rPr>
              <w:t>].</w:t>
            </w:r>
          </w:p>
        </w:tc>
      </w:tr>
      <w:tr>
        <w:tc>
          <w:tcPr>
            <w:tcW w:w="7088" w:type="dxa"/>
            <w:tcBorders>
              <w:bottom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2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Borders>
              <w:top w:val="nil"/>
              <w:bottom w:val="nil"/>
            </w:tcBorders>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Borders>
              <w:top w:val="nil"/>
            </w:tcBorders>
          </w:tcPr>
          <w:p>
            <w:pPr>
              <w:pStyle w:val="yMiscellaneousBody"/>
              <w:tabs>
                <w:tab w:val="left" w:pos="160"/>
                <w:tab w:val="left" w:pos="573"/>
              </w:tabs>
              <w:ind w:left="601" w:hanging="601"/>
              <w:rPr>
                <w:sz w:val="20"/>
              </w:rPr>
            </w:pPr>
            <w:r>
              <w:rPr>
                <w:sz w:val="20"/>
              </w:rPr>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573"/>
              </w:tabs>
              <w:ind w:left="601" w:hanging="601"/>
              <w:rPr>
                <w:sz w:val="20"/>
              </w:rPr>
            </w:pPr>
            <w:r>
              <w:rPr>
                <w:sz w:val="20"/>
              </w:rPr>
              <w:lastRenderedPageBreak/>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Borders>
              <w:bottom w:val="nil"/>
            </w:tcBorders>
          </w:tcPr>
          <w:p>
            <w:pPr>
              <w:pStyle w:val="yMiscellaneousBody"/>
              <w:rPr>
                <w:sz w:val="20"/>
              </w:rPr>
            </w:pPr>
            <w:r>
              <w:rPr>
                <w:sz w:val="20"/>
              </w:rPr>
              <w:lastRenderedPageBreak/>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top w:val="nil"/>
              <w:bottom w:val="single" w:sz="4" w:space="0" w:color="auto"/>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Footnotesection"/>
      </w:pPr>
      <w:r>
        <w:tab/>
        <w:t>[Form 36 inserted: Gazette 16 Nov 2016 p. 5209-10.]</w:t>
      </w:r>
    </w:p>
    <w:p>
      <w:pPr>
        <w:pStyle w:val="yHeading5"/>
      </w:pPr>
      <w:bookmarkStart w:id="1533" w:name="_Toc129078553"/>
      <w:r>
        <w:rPr>
          <w:rStyle w:val="CharSClsNo"/>
        </w:rPr>
        <w:t>36A</w:t>
      </w:r>
      <w:r>
        <w:t>.</w:t>
      </w:r>
      <w:r>
        <w:tab/>
        <w:t>Notice to defendant of intention to request Court to make orders for possession, foreclosure or sale of mortgaged property (O. 13 r. 6)</w:t>
      </w:r>
      <w:bookmarkEnd w:id="1533"/>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trHeight w:val="244"/>
        </w:trPr>
        <w:tc>
          <w:tcPr>
            <w:tcW w:w="3969" w:type="dxa"/>
            <w:gridSpan w:val="2"/>
            <w:vMerge w:val="restart"/>
          </w:tcPr>
          <w:p>
            <w:pPr>
              <w:pStyle w:val="yMiscellaneousBody"/>
              <w:rPr>
                <w:sz w:val="20"/>
              </w:rPr>
            </w:pPr>
            <w:r>
              <w:rPr>
                <w:b/>
                <w:sz w:val="20"/>
              </w:rPr>
              <w:t>Supreme Court of Western Australia</w:t>
            </w:r>
          </w:p>
        </w:tc>
        <w:tc>
          <w:tcPr>
            <w:tcW w:w="3111" w:type="dxa"/>
          </w:tcPr>
          <w:p>
            <w:pPr>
              <w:pStyle w:val="yMiscellaneousBody"/>
              <w:rPr>
                <w:sz w:val="20"/>
              </w:rPr>
            </w:pPr>
            <w:r>
              <w:rPr>
                <w:sz w:val="20"/>
              </w:rPr>
              <w:t>Action No:</w:t>
            </w:r>
          </w:p>
        </w:tc>
      </w:tr>
      <w:tr>
        <w:trPr>
          <w:trHeight w:val="243"/>
        </w:trPr>
        <w:tc>
          <w:tcPr>
            <w:tcW w:w="3969" w:type="dxa"/>
            <w:gridSpan w:val="2"/>
            <w:vMerge/>
          </w:tcPr>
          <w:p>
            <w:pPr>
              <w:pStyle w:val="zyMiscellaneousBody"/>
              <w:rPr>
                <w:sz w:val="20"/>
              </w:rPr>
            </w:pPr>
          </w:p>
        </w:tc>
        <w:tc>
          <w:tcPr>
            <w:tcW w:w="3111" w:type="dxa"/>
          </w:tcPr>
          <w:p>
            <w:pPr>
              <w:pStyle w:val="yMiscellaneousBody"/>
              <w:rPr>
                <w:sz w:val="20"/>
              </w:rPr>
            </w:pPr>
            <w:r>
              <w:rPr>
                <w:b/>
                <w:bCs/>
                <w:sz w:val="20"/>
              </w:rPr>
              <w:t>Notice to defendant of intention to request court to make orders for possession, foreclosure or sale of mortgaged property</w:t>
            </w:r>
          </w:p>
        </w:tc>
      </w:tr>
      <w:tr>
        <w:tc>
          <w:tcPr>
            <w:tcW w:w="1200" w:type="dxa"/>
          </w:tcPr>
          <w:p>
            <w:pPr>
              <w:pStyle w:val="yMiscellaneousBody"/>
              <w:rPr>
                <w:sz w:val="20"/>
              </w:rPr>
            </w:pPr>
            <w:r>
              <w:rPr>
                <w:sz w:val="20"/>
              </w:rPr>
              <w:t>Parties</w:t>
            </w:r>
          </w:p>
        </w:tc>
        <w:tc>
          <w:tcPr>
            <w:tcW w:w="5880" w:type="dxa"/>
            <w:gridSpan w:val="2"/>
          </w:tcPr>
          <w:p>
            <w:pPr>
              <w:pStyle w:val="yMiscellaneousBody"/>
              <w:tabs>
                <w:tab w:val="left" w:pos="3341"/>
              </w:tabs>
              <w:rPr>
                <w:sz w:val="20"/>
              </w:rPr>
            </w:pPr>
            <w:r>
              <w:rPr>
                <w:sz w:val="20"/>
              </w:rPr>
              <w:tab/>
              <w:t>Plaintiff</w:t>
            </w:r>
          </w:p>
          <w:p>
            <w:pPr>
              <w:pStyle w:val="yMiscellaneousBody"/>
              <w:tabs>
                <w:tab w:val="left" w:pos="3331"/>
              </w:tabs>
              <w:rPr>
                <w:sz w:val="20"/>
              </w:rPr>
            </w:pPr>
            <w:r>
              <w:rPr>
                <w:sz w:val="20"/>
              </w:rPr>
              <w:tab/>
              <w:t>Defendant</w:t>
            </w:r>
          </w:p>
        </w:tc>
      </w:tr>
      <w:tr>
        <w:tc>
          <w:tcPr>
            <w:tcW w:w="7080" w:type="dxa"/>
            <w:gridSpan w:val="3"/>
            <w:tcBorders>
              <w:bottom w:val="single" w:sz="4" w:space="0" w:color="auto"/>
            </w:tcBorders>
          </w:tcPr>
          <w:p>
            <w:pPr>
              <w:pStyle w:val="yMiscellaneousBody"/>
              <w:jc w:val="center"/>
              <w:rPr>
                <w:sz w:val="20"/>
              </w:rPr>
            </w:pPr>
            <w:r>
              <w:rPr>
                <w:b/>
                <w:sz w:val="20"/>
              </w:rPr>
              <w:t>Notice to [</w:t>
            </w:r>
            <w:r>
              <w:rPr>
                <w:b/>
                <w:i/>
                <w:sz w:val="20"/>
              </w:rPr>
              <w:t>insert name of defendant</w:t>
            </w:r>
            <w:r>
              <w:rPr>
                <w:b/>
                <w:sz w:val="20"/>
              </w:rPr>
              <w:t>]</w:t>
            </w:r>
          </w:p>
          <w:p>
            <w:pPr>
              <w:pStyle w:val="yMiscellaneousBody"/>
              <w:jc w:val="center"/>
              <w:rPr>
                <w:b/>
                <w:sz w:val="20"/>
              </w:rPr>
            </w:pPr>
            <w:r>
              <w:rPr>
                <w:b/>
                <w:sz w:val="20"/>
              </w:rPr>
              <w:t>THIS NOTICE CONTAINS IMPORTANT INFORMATION ABOUT YOUR RIGHTS. PLEASE READ IT CAREFULLY</w:t>
            </w:r>
          </w:p>
        </w:tc>
      </w:tr>
      <w:tr>
        <w:tc>
          <w:tcPr>
            <w:tcW w:w="7080" w:type="dxa"/>
            <w:gridSpan w:val="3"/>
            <w:tcBorders>
              <w:bottom w:val="nil"/>
            </w:tcBorders>
          </w:tcPr>
          <w:p>
            <w:pPr>
              <w:pStyle w:val="yMiscellaneousBody"/>
              <w:rPr>
                <w:sz w:val="20"/>
              </w:rPr>
            </w:pPr>
            <w:r>
              <w:rPr>
                <w:sz w:val="20"/>
              </w:rPr>
              <w:t>On [</w:t>
            </w:r>
            <w:r>
              <w:rPr>
                <w:i/>
                <w:sz w:val="20"/>
              </w:rPr>
              <w:t>date</w:t>
            </w:r>
            <w:r>
              <w:rPr>
                <w:sz w:val="20"/>
              </w:rPr>
              <w:t>] the plaintiff [</w:t>
            </w:r>
            <w:r>
              <w:rPr>
                <w:i/>
                <w:sz w:val="20"/>
              </w:rPr>
              <w:t>name</w:t>
            </w:r>
            <w:r>
              <w:rPr>
                <w:sz w:val="20"/>
              </w:rPr>
              <w:t xml:space="preserve"> </w:t>
            </w:r>
            <w:r>
              <w:rPr>
                <w:i/>
                <w:sz w:val="20"/>
              </w:rPr>
              <w:t>of plaintif</w:t>
            </w:r>
            <w:r>
              <w:rPr>
                <w:i/>
                <w:spacing w:val="20"/>
                <w:sz w:val="20"/>
              </w:rPr>
              <w:t>f</w:t>
            </w:r>
            <w:r>
              <w:rPr>
                <w:sz w:val="20"/>
              </w:rPr>
              <w:t>] served you with a notice and a writ of summons, copies of which are attached to this notice. You have not filed a Memorandum of Appearance at the Supreme Court of Western Australia.</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now intends to ask the Court to order that</w:t>
            </w:r>
            <w:r>
              <w:rPr>
                <w:sz w:val="20"/>
                <w:vertAlign w:val="superscript"/>
              </w:rPr>
              <w:t>1</w:t>
            </w:r>
            <w:r>
              <w:rPr>
                <w:sz w:val="20"/>
              </w:rPr>
              <w:t xml:space="preserve"> — </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lastRenderedPageBreak/>
              <w:tab/>
              <w:t>1.</w:t>
            </w:r>
            <w:r>
              <w:rPr>
                <w:sz w:val="20"/>
              </w:rPr>
              <w:tab/>
              <w:t>You pay [</w:t>
            </w:r>
            <w:r>
              <w:rPr>
                <w:i/>
                <w:sz w:val="20"/>
              </w:rPr>
              <w:t>name</w:t>
            </w:r>
            <w:r>
              <w:rPr>
                <w:sz w:val="20"/>
              </w:rPr>
              <w:t xml:space="preserve"> </w:t>
            </w:r>
            <w:r>
              <w:rPr>
                <w:i/>
                <w:sz w:val="20"/>
              </w:rPr>
              <w:t>of plaintif</w:t>
            </w:r>
            <w:r>
              <w:rPr>
                <w:i/>
                <w:spacing w:val="20"/>
                <w:sz w:val="20"/>
              </w:rPr>
              <w:t>f</w:t>
            </w:r>
            <w:r>
              <w:rPr>
                <w:sz w:val="20"/>
              </w:rPr>
              <w:t>] $[</w:t>
            </w:r>
            <w:r>
              <w:rPr>
                <w:i/>
                <w:sz w:val="20"/>
              </w:rPr>
              <w:t>amount claimed</w:t>
            </w:r>
            <w:r>
              <w:rPr>
                <w:sz w:val="20"/>
              </w:rPr>
              <w:t>] plus interest of $[</w:t>
            </w:r>
            <w:r>
              <w:rPr>
                <w:i/>
                <w:sz w:val="20"/>
              </w:rPr>
              <w:t>amount of interest per day</w:t>
            </w:r>
            <w:r>
              <w:rPr>
                <w:sz w:val="20"/>
              </w:rPr>
              <w:t>] per day [</w:t>
            </w:r>
            <w:r>
              <w:rPr>
                <w:i/>
                <w:sz w:val="20"/>
              </w:rPr>
              <w:t>plus other amounts and reason (e.g. penalties)</w:t>
            </w:r>
            <w:r>
              <w:rPr>
                <w:sz w:val="20"/>
              </w:rPr>
              <w:t>] [</w:t>
            </w:r>
            <w:r>
              <w:rPr>
                <w:i/>
                <w:sz w:val="20"/>
              </w:rPr>
              <w:t>etc. as required</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2.</w:t>
            </w:r>
            <w:r>
              <w:rPr>
                <w:sz w:val="20"/>
              </w:rPr>
              <w:tab/>
              <w:t>You give possession of your [</w:t>
            </w:r>
            <w:r>
              <w:rPr>
                <w:i/>
                <w:sz w:val="20"/>
              </w:rPr>
              <w:t>description of property</w:t>
            </w:r>
            <w:r>
              <w:rPr>
                <w:sz w:val="20"/>
              </w:rPr>
              <w:t>] [</w:t>
            </w:r>
            <w:r>
              <w:rPr>
                <w:i/>
                <w:sz w:val="20"/>
              </w:rPr>
              <w:t>at location of property if relevant</w:t>
            </w:r>
            <w:r>
              <w:rPr>
                <w:sz w:val="20"/>
              </w:rPr>
              <w:t>] to [</w:t>
            </w:r>
            <w:r>
              <w:rPr>
                <w:i/>
                <w:sz w:val="20"/>
              </w:rPr>
              <w:t>name</w:t>
            </w:r>
            <w:r>
              <w:rPr>
                <w:sz w:val="20"/>
              </w:rPr>
              <w:t xml:space="preserve"> </w:t>
            </w:r>
            <w:r>
              <w:rPr>
                <w:i/>
                <w:sz w:val="20"/>
              </w:rPr>
              <w:t>of plaintif</w:t>
            </w:r>
            <w:r>
              <w:rPr>
                <w:i/>
                <w:spacing w:val="20"/>
                <w:sz w:val="20"/>
              </w:rPr>
              <w:t>f</w:t>
            </w:r>
            <w:r>
              <w:rPr>
                <w:sz w:val="20"/>
              </w:rPr>
              <w:t>].</w:t>
            </w:r>
          </w:p>
        </w:tc>
      </w:tr>
      <w:tr>
        <w:tc>
          <w:tcPr>
            <w:tcW w:w="7080" w:type="dxa"/>
            <w:gridSpan w:val="3"/>
            <w:tcBorders>
              <w:top w:val="nil"/>
              <w:bottom w:val="nil"/>
            </w:tcBorders>
          </w:tcPr>
          <w:p>
            <w:pPr>
              <w:pStyle w:val="yMiscellaneousBody"/>
              <w:tabs>
                <w:tab w:val="left" w:pos="227"/>
                <w:tab w:val="left" w:pos="652"/>
              </w:tabs>
              <w:ind w:left="652" w:hanging="652"/>
              <w:rPr>
                <w:sz w:val="20"/>
              </w:rPr>
            </w:pPr>
            <w:r>
              <w:rPr>
                <w:sz w:val="20"/>
              </w:rPr>
              <w:tab/>
              <w:t>3.</w:t>
            </w:r>
            <w:r>
              <w:rPr>
                <w:sz w:val="20"/>
              </w:rPr>
              <w:tab/>
              <w:t>You pay [</w:t>
            </w:r>
            <w:r>
              <w:rPr>
                <w:i/>
                <w:sz w:val="20"/>
              </w:rPr>
              <w:t>name</w:t>
            </w:r>
            <w:r>
              <w:rPr>
                <w:sz w:val="20"/>
              </w:rPr>
              <w:t xml:space="preserve"> </w:t>
            </w:r>
            <w:r>
              <w:rPr>
                <w:i/>
                <w:sz w:val="20"/>
              </w:rPr>
              <w:t>of plaintif</w:t>
            </w:r>
            <w:r>
              <w:rPr>
                <w:i/>
                <w:spacing w:val="20"/>
                <w:sz w:val="20"/>
              </w:rPr>
              <w:t>f</w:t>
            </w:r>
            <w:r>
              <w:rPr>
                <w:sz w:val="20"/>
              </w:rPr>
              <w:t>] costs of the action.</w:t>
            </w:r>
          </w:p>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may request the Court to make these orders 11 days after this notice is served on you.</w:t>
            </w:r>
          </w:p>
        </w:tc>
      </w:tr>
      <w:tr>
        <w:tc>
          <w:tcPr>
            <w:tcW w:w="7080" w:type="dxa"/>
            <w:gridSpan w:val="3"/>
            <w:tcBorders>
              <w:top w:val="nil"/>
              <w:bottom w:val="nil"/>
            </w:tcBorders>
          </w:tcPr>
          <w:p>
            <w:pPr>
              <w:pStyle w:val="yMiscellaneousBody"/>
              <w:rPr>
                <w:sz w:val="20"/>
              </w:rPr>
            </w:pPr>
            <w:r>
              <w:rPr>
                <w:sz w:val="20"/>
              </w:rPr>
              <w:t xml:space="preserve">You should try to get legal advice without delay. Legal Aid WA has an online ‘Mortgage stress </w:t>
            </w:r>
            <w:r>
              <w:rPr>
                <w:sz w:val="20"/>
              </w:rPr>
              <w:noBreakHyphen/>
              <w:t xml:space="preserve"> self help guide’ available on its website at www.legalaid.wa.gov.au or 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0" w:type="dxa"/>
            <w:gridSpan w:val="3"/>
            <w:tcBorders>
              <w:top w:val="nil"/>
            </w:tcBorders>
          </w:tcPr>
          <w:p>
            <w:pPr>
              <w:pStyle w:val="yMiscellaneousBody"/>
              <w:rPr>
                <w:sz w:val="20"/>
              </w:rPr>
            </w:pPr>
            <w:r>
              <w:rPr>
                <w:sz w:val="20"/>
              </w:rPr>
              <w:t>[</w:t>
            </w:r>
            <w:r>
              <w:rPr>
                <w:i/>
                <w:sz w:val="20"/>
              </w:rPr>
              <w:t>Name</w:t>
            </w:r>
            <w:r>
              <w:rPr>
                <w:sz w:val="20"/>
              </w:rPr>
              <w:t xml:space="preserve"> </w:t>
            </w:r>
            <w:r>
              <w:rPr>
                <w:i/>
                <w:sz w:val="20"/>
              </w:rPr>
              <w:t>of plaintif</w:t>
            </w:r>
            <w:r>
              <w:rPr>
                <w:i/>
                <w:spacing w:val="20"/>
                <w:sz w:val="20"/>
              </w:rPr>
              <w:t>f</w:t>
            </w:r>
            <w:r>
              <w:rPr>
                <w:sz w:val="20"/>
              </w:rPr>
              <w:t>] is represented by [</w:t>
            </w:r>
            <w:r>
              <w:rPr>
                <w:i/>
                <w:sz w:val="20"/>
              </w:rPr>
              <w:t>name of law firm representing plaintiff</w:t>
            </w:r>
            <w:r>
              <w:rPr>
                <w:sz w:val="20"/>
              </w:rPr>
              <w:t>], whose address is [</w:t>
            </w:r>
            <w:r>
              <w:rPr>
                <w:i/>
                <w:sz w:val="20"/>
              </w:rPr>
              <w:t>street address</w:t>
            </w:r>
            <w:r>
              <w:rPr>
                <w:sz w:val="20"/>
              </w:rPr>
              <w:t>]. If you wish to contact someone at [</w:t>
            </w:r>
            <w:r>
              <w:rPr>
                <w:i/>
                <w:sz w:val="20"/>
              </w:rPr>
              <w:t>name of law firm representing plaintiff</w:t>
            </w:r>
            <w:r>
              <w:rPr>
                <w:sz w:val="20"/>
              </w:rPr>
              <w:t>] in relation to this matter then you should contact [</w:t>
            </w:r>
            <w:r>
              <w:rPr>
                <w:i/>
                <w:sz w:val="20"/>
              </w:rPr>
              <w:t>lawyer’s name</w:t>
            </w:r>
            <w:r>
              <w:rPr>
                <w:sz w:val="20"/>
              </w:rPr>
              <w:t>] on [</w:t>
            </w:r>
            <w:r>
              <w:rPr>
                <w:i/>
                <w:sz w:val="20"/>
              </w:rPr>
              <w:t>lawyer’s telephone number</w:t>
            </w:r>
            <w:r>
              <w:rPr>
                <w:sz w:val="20"/>
              </w:rPr>
              <w:t>] or by email at [</w:t>
            </w:r>
            <w:r>
              <w:rPr>
                <w:i/>
                <w:sz w:val="20"/>
              </w:rPr>
              <w:t>lawyer’s email address</w:t>
            </w:r>
            <w:r>
              <w:rPr>
                <w:sz w:val="20"/>
              </w:rPr>
              <w:t>].</w:t>
            </w:r>
          </w:p>
          <w:p>
            <w:pPr>
              <w:pStyle w:val="yMiscellaneousBody"/>
              <w:rPr>
                <w:sz w:val="20"/>
              </w:rPr>
            </w:pPr>
            <w:r>
              <w:rPr>
                <w:sz w:val="20"/>
              </w:rPr>
              <w:t>Date ________________________________</w:t>
            </w:r>
          </w:p>
          <w:p>
            <w:pPr>
              <w:pStyle w:val="yMiscellaneousBody"/>
              <w:rPr>
                <w:sz w:val="20"/>
              </w:rPr>
            </w:pPr>
            <w:r>
              <w:rPr>
                <w:sz w:val="20"/>
              </w:rPr>
              <w:t xml:space="preserve">        _________________________________</w:t>
            </w:r>
            <w:r>
              <w:rPr>
                <w:sz w:val="20"/>
              </w:rPr>
              <w:br/>
              <w:t xml:space="preserve">        [</w:t>
            </w:r>
            <w:r>
              <w:rPr>
                <w:i/>
                <w:sz w:val="20"/>
              </w:rPr>
              <w:t>Name of law firm representing plaintiff</w:t>
            </w:r>
            <w:r>
              <w:rPr>
                <w:sz w:val="20"/>
              </w:rPr>
              <w:t>]</w:t>
            </w:r>
          </w:p>
        </w:tc>
      </w:tr>
    </w:tbl>
    <w:p>
      <w:pPr>
        <w:pStyle w:val="yMiscellaneousBody"/>
        <w:rPr>
          <w:sz w:val="16"/>
          <w:szCs w:val="16"/>
        </w:rPr>
      </w:pPr>
      <w:r>
        <w:rPr>
          <w:sz w:val="16"/>
          <w:szCs w:val="16"/>
        </w:rPr>
        <w:t>Note to Form 36A:</w:t>
      </w:r>
    </w:p>
    <w:p>
      <w:pPr>
        <w:pStyle w:val="yMiscellaneousBody"/>
        <w:tabs>
          <w:tab w:val="left" w:pos="426"/>
        </w:tabs>
        <w:ind w:left="426" w:hanging="426"/>
        <w:rPr>
          <w:sz w:val="16"/>
          <w:szCs w:val="16"/>
        </w:rPr>
      </w:pPr>
      <w:r>
        <w:rPr>
          <w:sz w:val="16"/>
          <w:szCs w:val="16"/>
        </w:rPr>
        <w:t>1.</w:t>
      </w:r>
      <w:r>
        <w:rPr>
          <w:sz w:val="16"/>
          <w:szCs w:val="16"/>
        </w:rPr>
        <w:tab/>
        <w:t>The text of the order, or orders, should reflect the orders that will be sought. The proposed orders in this form are to be used only if applicable.</w:t>
      </w:r>
    </w:p>
    <w:p>
      <w:pPr>
        <w:pStyle w:val="yFootnotesection"/>
      </w:pPr>
      <w:r>
        <w:tab/>
        <w:t>[Form 36A inserted: Gazette 16 Nov 2016 p. 5210</w:t>
      </w:r>
      <w:r>
        <w:noBreakHyphen/>
        <w:t>11.]</w:t>
      </w:r>
    </w:p>
    <w:p>
      <w:pPr>
        <w:pStyle w:val="yHeading5"/>
      </w:pPr>
      <w:bookmarkStart w:id="1534" w:name="_Toc129078554"/>
      <w:r>
        <w:rPr>
          <w:rStyle w:val="CharSClsNo"/>
        </w:rPr>
        <w:t>36B</w:t>
      </w:r>
      <w:r>
        <w:t>.</w:t>
      </w:r>
      <w:r>
        <w:tab/>
        <w:t>Request to enter default judgment in a mortgage action (O. 13 r. 6)</w:t>
      </w:r>
      <w:bookmarkEnd w:id="153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567"/>
        <w:gridCol w:w="284"/>
        <w:gridCol w:w="709"/>
        <w:gridCol w:w="708"/>
        <w:gridCol w:w="284"/>
        <w:gridCol w:w="1693"/>
        <w:gridCol w:w="8"/>
      </w:tblGrid>
      <w:tr>
        <w:trPr>
          <w:gridAfter w:val="1"/>
          <w:wAfter w:w="8" w:type="dxa"/>
          <w:cantSplit/>
          <w:trHeight w:val="329"/>
        </w:trPr>
        <w:tc>
          <w:tcPr>
            <w:tcW w:w="3686" w:type="dxa"/>
            <w:gridSpan w:val="4"/>
            <w:vMerge w:val="restart"/>
          </w:tcPr>
          <w:p>
            <w:pPr>
              <w:pStyle w:val="yMiscellaneousBody"/>
              <w:rPr>
                <w:sz w:val="20"/>
              </w:rPr>
            </w:pPr>
            <w:r>
              <w:rPr>
                <w:b/>
                <w:sz w:val="20"/>
              </w:rPr>
              <w:t>Supreme Court of Western Australia</w:t>
            </w:r>
          </w:p>
        </w:tc>
        <w:tc>
          <w:tcPr>
            <w:tcW w:w="3394" w:type="dxa"/>
            <w:gridSpan w:val="4"/>
            <w:tcBorders>
              <w:bottom w:val="nil"/>
            </w:tcBorders>
            <w:vAlign w:val="center"/>
          </w:tcPr>
          <w:p>
            <w:pPr>
              <w:pStyle w:val="yMiscellaneousBody"/>
              <w:rPr>
                <w:sz w:val="20"/>
              </w:rPr>
            </w:pPr>
            <w:r>
              <w:rPr>
                <w:sz w:val="20"/>
              </w:rPr>
              <w:t>Action No:</w:t>
            </w:r>
          </w:p>
        </w:tc>
      </w:tr>
      <w:tr>
        <w:trPr>
          <w:gridAfter w:val="1"/>
          <w:wAfter w:w="8" w:type="dxa"/>
          <w:cantSplit/>
          <w:trHeight w:val="328"/>
        </w:trPr>
        <w:tc>
          <w:tcPr>
            <w:tcW w:w="3686" w:type="dxa"/>
            <w:gridSpan w:val="4"/>
            <w:vMerge/>
            <w:tcBorders>
              <w:bottom w:val="nil"/>
            </w:tcBorders>
          </w:tcPr>
          <w:p>
            <w:pPr>
              <w:pStyle w:val="zyMiscellaneousBody"/>
              <w:rPr>
                <w:sz w:val="20"/>
              </w:rPr>
            </w:pPr>
          </w:p>
        </w:tc>
        <w:tc>
          <w:tcPr>
            <w:tcW w:w="3394" w:type="dxa"/>
            <w:gridSpan w:val="4"/>
            <w:tcBorders>
              <w:bottom w:val="nil"/>
            </w:tcBorders>
            <w:vAlign w:val="center"/>
          </w:tcPr>
          <w:p>
            <w:pPr>
              <w:pStyle w:val="yMiscellaneousBody"/>
              <w:rPr>
                <w:sz w:val="20"/>
              </w:rPr>
            </w:pPr>
            <w:r>
              <w:rPr>
                <w:b/>
                <w:sz w:val="20"/>
              </w:rPr>
              <w:t>Request to enter default judgment in a mortgage action</w:t>
            </w:r>
          </w:p>
        </w:tc>
      </w:tr>
      <w:tr>
        <w:trPr>
          <w:gridAfter w:val="1"/>
          <w:wAfter w:w="8" w:type="dxa"/>
          <w:cantSplit/>
        </w:trPr>
        <w:tc>
          <w:tcPr>
            <w:tcW w:w="1560" w:type="dxa"/>
            <w:tcBorders>
              <w:bottom w:val="nil"/>
            </w:tcBorders>
          </w:tcPr>
          <w:p>
            <w:pPr>
              <w:pStyle w:val="yMiscellaneousBody"/>
              <w:rPr>
                <w:sz w:val="20"/>
              </w:rPr>
            </w:pPr>
            <w:r>
              <w:rPr>
                <w:sz w:val="20"/>
              </w:rPr>
              <w:t>Parties</w:t>
            </w:r>
          </w:p>
        </w:tc>
        <w:tc>
          <w:tcPr>
            <w:tcW w:w="5520" w:type="dxa"/>
            <w:gridSpan w:val="7"/>
            <w:tcBorders>
              <w:bottom w:val="nil"/>
            </w:tcBorders>
          </w:tcPr>
          <w:p>
            <w:pPr>
              <w:pStyle w:val="yMiscellaneousBody"/>
              <w:tabs>
                <w:tab w:val="left" w:pos="3251"/>
              </w:tabs>
              <w:rPr>
                <w:sz w:val="20"/>
              </w:rPr>
            </w:pPr>
            <w:r>
              <w:rPr>
                <w:sz w:val="20"/>
              </w:rPr>
              <w:tab/>
              <w:t>Plaintiff</w:t>
            </w:r>
          </w:p>
          <w:p>
            <w:pPr>
              <w:pStyle w:val="yMiscellaneousBody"/>
              <w:tabs>
                <w:tab w:val="left" w:pos="3251"/>
              </w:tabs>
              <w:rPr>
                <w:sz w:val="20"/>
              </w:rPr>
            </w:pPr>
            <w:r>
              <w:rPr>
                <w:sz w:val="20"/>
              </w:rPr>
              <w:tab/>
              <w:t>Defendant</w:t>
            </w:r>
          </w:p>
        </w:tc>
      </w:tr>
      <w:tr>
        <w:trPr>
          <w:gridAfter w:val="1"/>
          <w:wAfter w:w="8" w:type="dxa"/>
          <w:cantSplit/>
        </w:trPr>
        <w:tc>
          <w:tcPr>
            <w:tcW w:w="1560" w:type="dxa"/>
          </w:tcPr>
          <w:p>
            <w:pPr>
              <w:pStyle w:val="yMiscellaneousBody"/>
              <w:rPr>
                <w:sz w:val="20"/>
              </w:rPr>
            </w:pPr>
            <w:r>
              <w:rPr>
                <w:sz w:val="20"/>
              </w:rPr>
              <w:lastRenderedPageBreak/>
              <w:t>Request</w:t>
            </w:r>
          </w:p>
        </w:tc>
        <w:tc>
          <w:tcPr>
            <w:tcW w:w="5520" w:type="dxa"/>
            <w:gridSpan w:val="7"/>
          </w:tcPr>
          <w:p>
            <w:pPr>
              <w:pStyle w:val="yMiscellaneousBody"/>
              <w:rPr>
                <w:sz w:val="20"/>
              </w:rPr>
            </w:pPr>
            <w:r>
              <w:rPr>
                <w:sz w:val="20"/>
              </w:rPr>
              <w:t>The plaintiff requests the Supreme Court to enter default judgment against [</w:t>
            </w:r>
            <w:r>
              <w:rPr>
                <w:i/>
                <w:sz w:val="20"/>
              </w:rPr>
              <w:t>insert defendant</w:t>
            </w:r>
            <w:r>
              <w:rPr>
                <w:sz w:val="20"/>
              </w:rPr>
              <w:t>] on the ground that [</w:t>
            </w:r>
            <w:r>
              <w:rPr>
                <w:i/>
                <w:sz w:val="20"/>
              </w:rPr>
              <w:t>insert defendant</w:t>
            </w:r>
            <w:r>
              <w:rPr>
                <w:sz w:val="20"/>
              </w:rPr>
              <w:t>] has failed to enter an appearance to the writ of summons filed on [</w:t>
            </w:r>
            <w:r>
              <w:rPr>
                <w:i/>
                <w:sz w:val="20"/>
              </w:rPr>
              <w:t>insert</w:t>
            </w:r>
            <w:r>
              <w:rPr>
                <w:sz w:val="20"/>
              </w:rPr>
              <w:t xml:space="preserve"> </w:t>
            </w:r>
            <w:r>
              <w:rPr>
                <w:i/>
                <w:sz w:val="20"/>
              </w:rPr>
              <w:t>date</w:t>
            </w:r>
            <w:r>
              <w:rPr>
                <w:sz w:val="20"/>
              </w:rPr>
              <w:t>] and served on [</w:t>
            </w:r>
            <w:r>
              <w:rPr>
                <w:i/>
                <w:sz w:val="20"/>
              </w:rPr>
              <w:t>insert</w:t>
            </w:r>
            <w:r>
              <w:rPr>
                <w:sz w:val="20"/>
              </w:rPr>
              <w:t xml:space="preserve"> </w:t>
            </w:r>
            <w:r>
              <w:rPr>
                <w:i/>
                <w:sz w:val="20"/>
              </w:rPr>
              <w:t>date</w:t>
            </w:r>
            <w:r>
              <w:rPr>
                <w:sz w:val="20"/>
              </w:rPr>
              <w:t>].</w:t>
            </w:r>
          </w:p>
        </w:tc>
      </w:tr>
      <w:tr>
        <w:trPr>
          <w:gridAfter w:val="1"/>
          <w:wAfter w:w="8" w:type="dxa"/>
          <w:cantSplit/>
        </w:trPr>
        <w:tc>
          <w:tcPr>
            <w:tcW w:w="1560" w:type="dxa"/>
            <w:tcBorders>
              <w:bottom w:val="single" w:sz="4" w:space="0" w:color="auto"/>
            </w:tcBorders>
          </w:tcPr>
          <w:p>
            <w:pPr>
              <w:pStyle w:val="yMiscellaneousBody"/>
              <w:rPr>
                <w:sz w:val="20"/>
              </w:rPr>
            </w:pPr>
            <w:r>
              <w:rPr>
                <w:sz w:val="20"/>
              </w:rPr>
              <w:t>Orders sought</w:t>
            </w:r>
          </w:p>
        </w:tc>
        <w:tc>
          <w:tcPr>
            <w:tcW w:w="5520" w:type="dxa"/>
            <w:gridSpan w:val="7"/>
            <w:tcBorders>
              <w:bottom w:val="single" w:sz="4" w:space="0" w:color="auto"/>
            </w:tcBorders>
          </w:tcPr>
          <w:p>
            <w:pPr>
              <w:pStyle w:val="yMiscellaneousBody"/>
              <w:rPr>
                <w:sz w:val="20"/>
              </w:rPr>
            </w:pPr>
            <w:r>
              <w:rPr>
                <w:sz w:val="20"/>
              </w:rPr>
              <w:t>The plaintiff seeks the following orders:</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Pr>
        <w:tc>
          <w:tcPr>
            <w:tcW w:w="1560" w:type="dxa"/>
            <w:tcBorders>
              <w:bottom w:val="single" w:sz="4" w:space="0" w:color="auto"/>
            </w:tcBorders>
          </w:tcPr>
          <w:p>
            <w:pPr>
              <w:pStyle w:val="yMiscellaneousBody"/>
              <w:rPr>
                <w:sz w:val="20"/>
              </w:rPr>
            </w:pPr>
            <w:r>
              <w:rPr>
                <w:sz w:val="20"/>
              </w:rPr>
              <w:t>Amount owing and daily interest</w:t>
            </w:r>
          </w:p>
        </w:tc>
        <w:tc>
          <w:tcPr>
            <w:tcW w:w="5520" w:type="dxa"/>
            <w:gridSpan w:val="7"/>
            <w:tcBorders>
              <w:bottom w:val="single" w:sz="4" w:space="0" w:color="auto"/>
            </w:tcBorders>
          </w:tcPr>
          <w:p>
            <w:pPr>
              <w:pStyle w:val="yMiscellaneousBody"/>
              <w:rPr>
                <w:sz w:val="20"/>
              </w:rPr>
            </w:pPr>
            <w:r>
              <w:rPr>
                <w:sz w:val="20"/>
              </w:rPr>
              <w:t>The amount owing to the plaintiff under the mortgage as at the date of the filing of this notice is $[</w:t>
            </w:r>
            <w:r>
              <w:rPr>
                <w:i/>
                <w:sz w:val="20"/>
              </w:rPr>
              <w:t>insert amount</w:t>
            </w:r>
            <w:r>
              <w:rPr>
                <w:sz w:val="20"/>
              </w:rPr>
              <w:t>].</w:t>
            </w:r>
          </w:p>
          <w:p>
            <w:pPr>
              <w:pStyle w:val="yMiscellaneousBody"/>
              <w:rPr>
                <w:sz w:val="20"/>
              </w:rPr>
            </w:pPr>
            <w:r>
              <w:rPr>
                <w:sz w:val="20"/>
              </w:rPr>
              <w:t>The amount of a day’s interest is $[</w:t>
            </w:r>
            <w:r>
              <w:rPr>
                <w:i/>
                <w:sz w:val="20"/>
              </w:rPr>
              <w:t>insert amount</w:t>
            </w:r>
            <w:r>
              <w:rPr>
                <w:sz w:val="20"/>
              </w:rPr>
              <w:t>].</w:t>
            </w:r>
            <w:r>
              <w:rPr>
                <w:sz w:val="20"/>
                <w:vertAlign w:val="superscript"/>
              </w:rPr>
              <w:t>1</w:t>
            </w:r>
          </w:p>
        </w:tc>
      </w:tr>
      <w:tr>
        <w:trPr>
          <w:gridAfter w:val="1"/>
          <w:wAfter w:w="8" w:type="dxa"/>
          <w:cantSplit/>
        </w:trPr>
        <w:tc>
          <w:tcPr>
            <w:tcW w:w="1560" w:type="dxa"/>
            <w:tcBorders>
              <w:top w:val="single" w:sz="4" w:space="0" w:color="auto"/>
            </w:tcBorders>
          </w:tcPr>
          <w:p>
            <w:pPr>
              <w:pStyle w:val="yMiscellaneousBody"/>
              <w:rPr>
                <w:sz w:val="20"/>
              </w:rPr>
            </w:pPr>
            <w:r>
              <w:rPr>
                <w:sz w:val="20"/>
              </w:rPr>
              <w:t>Affidavits in support</w:t>
            </w:r>
          </w:p>
        </w:tc>
        <w:tc>
          <w:tcPr>
            <w:tcW w:w="5520" w:type="dxa"/>
            <w:gridSpan w:val="7"/>
            <w:tcBorders>
              <w:top w:val="single" w:sz="4" w:space="0" w:color="auto"/>
            </w:tcBorders>
          </w:tcPr>
          <w:p>
            <w:pPr>
              <w:pStyle w:val="yMiscellaneousBody"/>
              <w:rPr>
                <w:sz w:val="20"/>
              </w:rPr>
            </w:pPr>
            <w:r>
              <w:rPr>
                <w:sz w:val="20"/>
              </w:rPr>
              <w:t>The following affidavits containing all the information required by Order 13 rule 6(2)(b)(ii) are filed with this notice:</w:t>
            </w:r>
          </w:p>
          <w:p>
            <w:pPr>
              <w:pStyle w:val="yMiscellaneousBody"/>
              <w:rPr>
                <w:sz w:val="20"/>
              </w:rPr>
            </w:pPr>
            <w:r>
              <w:rPr>
                <w:sz w:val="20"/>
              </w:rPr>
              <w:t>1.</w:t>
            </w:r>
            <w:r>
              <w:rPr>
                <w:sz w:val="20"/>
              </w:rPr>
              <w:tab/>
            </w:r>
          </w:p>
          <w:p>
            <w:pPr>
              <w:pStyle w:val="yMiscellaneousBody"/>
              <w:rPr>
                <w:sz w:val="20"/>
              </w:rPr>
            </w:pPr>
            <w:r>
              <w:rPr>
                <w:sz w:val="20"/>
              </w:rPr>
              <w:t>2.</w:t>
            </w:r>
            <w:r>
              <w:rPr>
                <w:sz w:val="20"/>
              </w:rPr>
              <w:tab/>
            </w:r>
          </w:p>
        </w:tc>
      </w:tr>
      <w:tr>
        <w:trPr>
          <w:gridAfter w:val="1"/>
          <w:wAfter w:w="8" w:type="dxa"/>
          <w:cantSplit/>
          <w:trHeight w:val="473"/>
        </w:trPr>
        <w:tc>
          <w:tcPr>
            <w:tcW w:w="1560" w:type="dxa"/>
            <w:tcBorders>
              <w:top w:val="single" w:sz="4" w:space="0" w:color="auto"/>
              <w:bottom w:val="single" w:sz="4" w:space="0" w:color="auto"/>
            </w:tcBorders>
          </w:tcPr>
          <w:p>
            <w:pPr>
              <w:pStyle w:val="yMiscellaneousBody"/>
              <w:rPr>
                <w:sz w:val="20"/>
              </w:rPr>
            </w:pPr>
            <w:r>
              <w:rPr>
                <w:sz w:val="20"/>
              </w:rPr>
              <w:t>Date of Notice</w:t>
            </w:r>
          </w:p>
        </w:tc>
        <w:tc>
          <w:tcPr>
            <w:tcW w:w="1842" w:type="dxa"/>
            <w:gridSpan w:val="2"/>
            <w:tcBorders>
              <w:top w:val="single" w:sz="4" w:space="0" w:color="auto"/>
              <w:bottom w:val="single" w:sz="4" w:space="0" w:color="auto"/>
            </w:tcBorders>
          </w:tcPr>
          <w:p>
            <w:pPr>
              <w:pStyle w:val="zyMiscellaneousBody"/>
              <w:rPr>
                <w:sz w:val="20"/>
              </w:rPr>
            </w:pPr>
          </w:p>
        </w:tc>
        <w:tc>
          <w:tcPr>
            <w:tcW w:w="1701" w:type="dxa"/>
            <w:gridSpan w:val="3"/>
            <w:tcBorders>
              <w:top w:val="single" w:sz="4" w:space="0" w:color="auto"/>
              <w:bottom w:val="single" w:sz="4" w:space="0" w:color="auto"/>
            </w:tcBorders>
          </w:tcPr>
          <w:p>
            <w:pPr>
              <w:pStyle w:val="yMiscellaneousBody"/>
              <w:rPr>
                <w:sz w:val="20"/>
              </w:rPr>
            </w:pPr>
            <w:r>
              <w:rPr>
                <w:sz w:val="20"/>
              </w:rPr>
              <w:t>Date of filing</w:t>
            </w:r>
          </w:p>
        </w:tc>
        <w:tc>
          <w:tcPr>
            <w:tcW w:w="1977" w:type="dxa"/>
            <w:gridSpan w:val="2"/>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single" w:sz="4" w:space="0" w:color="auto"/>
            </w:tcBorders>
          </w:tcPr>
          <w:p>
            <w:pPr>
              <w:pStyle w:val="yMiscellaneousBody"/>
              <w:rPr>
                <w:sz w:val="20"/>
              </w:rPr>
            </w:pPr>
            <w:r>
              <w:rPr>
                <w:sz w:val="20"/>
              </w:rPr>
              <w:t>Contact details of party or lawyer</w:t>
            </w:r>
          </w:p>
        </w:tc>
        <w:tc>
          <w:tcPr>
            <w:tcW w:w="1275" w:type="dxa"/>
            <w:tcBorders>
              <w:top w:val="single" w:sz="4" w:space="0" w:color="auto"/>
              <w:bottom w:val="single" w:sz="4" w:space="0" w:color="auto"/>
            </w:tcBorders>
          </w:tcPr>
          <w:p>
            <w:pPr>
              <w:pStyle w:val="yMiscellaneousBody"/>
              <w:rPr>
                <w:sz w:val="20"/>
              </w:rPr>
            </w:pPr>
            <w:r>
              <w:rPr>
                <w:sz w:val="20"/>
              </w:rPr>
              <w:t>Name</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Firm</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nil"/>
            </w:tcBorders>
          </w:tcPr>
          <w:p>
            <w:pPr>
              <w:pStyle w:val="zyMiscellaneousBody"/>
              <w:ind w:left="0"/>
              <w:rPr>
                <w:sz w:val="20"/>
              </w:rPr>
            </w:pPr>
          </w:p>
        </w:tc>
        <w:tc>
          <w:tcPr>
            <w:tcW w:w="1275" w:type="dxa"/>
            <w:tcBorders>
              <w:top w:val="single" w:sz="4" w:space="0" w:color="auto"/>
              <w:bottom w:val="single" w:sz="4" w:space="0" w:color="auto"/>
            </w:tcBorders>
          </w:tcPr>
          <w:p>
            <w:pPr>
              <w:pStyle w:val="yMiscellaneousBody"/>
              <w:rPr>
                <w:sz w:val="20"/>
              </w:rPr>
            </w:pPr>
            <w:r>
              <w:rPr>
                <w:sz w:val="20"/>
              </w:rPr>
              <w:t>Address</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val="restart"/>
            <w:tcBorders>
              <w:top w:val="nil"/>
            </w:tcBorders>
          </w:tcPr>
          <w:p>
            <w:pPr>
              <w:pStyle w:val="yMiscellaneousBody"/>
              <w:rPr>
                <w:sz w:val="20"/>
              </w:rPr>
            </w:pPr>
            <w:r>
              <w:rPr>
                <w:sz w:val="20"/>
              </w:rPr>
              <w:t>(These details will be inserted into the judgment.)</w:t>
            </w:r>
          </w:p>
        </w:tc>
        <w:tc>
          <w:tcPr>
            <w:tcW w:w="1275" w:type="dxa"/>
            <w:tcBorders>
              <w:top w:val="single" w:sz="4" w:space="0" w:color="auto"/>
              <w:bottom w:val="single" w:sz="4" w:space="0" w:color="auto"/>
            </w:tcBorders>
          </w:tcPr>
          <w:p>
            <w:pPr>
              <w:pStyle w:val="yMiscellaneousBody"/>
              <w:rPr>
                <w:sz w:val="20"/>
              </w:rPr>
            </w:pPr>
            <w:r>
              <w:rPr>
                <w:sz w:val="20"/>
              </w:rPr>
              <w:t>Phone</w:t>
            </w:r>
          </w:p>
        </w:tc>
        <w:tc>
          <w:tcPr>
            <w:tcW w:w="1560" w:type="dxa"/>
            <w:gridSpan w:val="3"/>
            <w:tcBorders>
              <w:top w:val="single" w:sz="4" w:space="0" w:color="auto"/>
              <w:bottom w:val="single" w:sz="4" w:space="0" w:color="auto"/>
            </w:tcBorders>
          </w:tcPr>
          <w:p>
            <w:pPr>
              <w:pStyle w:val="zyMiscellaneousBody"/>
              <w:keepNext/>
              <w:keepLines/>
              <w:widowControl w:val="0"/>
              <w:rPr>
                <w:sz w:val="20"/>
              </w:rPr>
            </w:pPr>
          </w:p>
        </w:tc>
        <w:tc>
          <w:tcPr>
            <w:tcW w:w="992" w:type="dxa"/>
            <w:gridSpan w:val="2"/>
            <w:tcBorders>
              <w:top w:val="single" w:sz="4" w:space="0" w:color="auto"/>
              <w:bottom w:val="single" w:sz="4" w:space="0" w:color="auto"/>
            </w:tcBorders>
          </w:tcPr>
          <w:p>
            <w:pPr>
              <w:pStyle w:val="yMiscellaneousBody"/>
              <w:rPr>
                <w:sz w:val="20"/>
              </w:rPr>
            </w:pPr>
            <w:r>
              <w:rPr>
                <w:sz w:val="20"/>
              </w:rPr>
              <w:t>Fax</w:t>
            </w:r>
          </w:p>
        </w:tc>
        <w:tc>
          <w:tcPr>
            <w:tcW w:w="1693" w:type="dxa"/>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Email</w:t>
            </w:r>
          </w:p>
        </w:tc>
        <w:tc>
          <w:tcPr>
            <w:tcW w:w="4245" w:type="dxa"/>
            <w:gridSpan w:val="6"/>
            <w:tcBorders>
              <w:top w:val="single" w:sz="4" w:space="0" w:color="auto"/>
              <w:bottom w:val="single" w:sz="4" w:space="0" w:color="auto"/>
            </w:tcBorders>
          </w:tcPr>
          <w:p>
            <w:pPr>
              <w:pStyle w:val="yMiscellaneousBody"/>
              <w:rPr>
                <w:sz w:val="20"/>
              </w:rPr>
            </w:pPr>
          </w:p>
        </w:tc>
      </w:tr>
      <w:tr>
        <w:trPr>
          <w:gridAfter w:val="1"/>
          <w:wAfter w:w="8" w:type="dxa"/>
          <w:cantSplit/>
          <w:trHeight w:val="473"/>
        </w:trPr>
        <w:tc>
          <w:tcPr>
            <w:tcW w:w="1560" w:type="dxa"/>
            <w:vMerge/>
            <w:tcBorders>
              <w:bottom w:val="single" w:sz="4" w:space="0" w:color="auto"/>
            </w:tcBorders>
          </w:tcPr>
          <w:p>
            <w:pPr>
              <w:pStyle w:val="zyMiscellaneousBody"/>
              <w:keepNext/>
              <w:keepLines/>
              <w:widowControl w:val="0"/>
              <w:ind w:left="0"/>
              <w:rPr>
                <w:sz w:val="20"/>
              </w:rPr>
            </w:pPr>
          </w:p>
        </w:tc>
        <w:tc>
          <w:tcPr>
            <w:tcW w:w="1275" w:type="dxa"/>
            <w:tcBorders>
              <w:top w:val="single" w:sz="4" w:space="0" w:color="auto"/>
              <w:bottom w:val="single" w:sz="4" w:space="0" w:color="auto"/>
            </w:tcBorders>
          </w:tcPr>
          <w:p>
            <w:pPr>
              <w:pStyle w:val="yMiscellaneousBody"/>
              <w:rPr>
                <w:sz w:val="20"/>
              </w:rPr>
            </w:pPr>
            <w:r>
              <w:rPr>
                <w:sz w:val="20"/>
              </w:rPr>
              <w:t>Reference</w:t>
            </w:r>
          </w:p>
        </w:tc>
        <w:tc>
          <w:tcPr>
            <w:tcW w:w="4245" w:type="dxa"/>
            <w:gridSpan w:val="6"/>
            <w:tcBorders>
              <w:top w:val="single" w:sz="4" w:space="0" w:color="auto"/>
              <w:bottom w:val="single" w:sz="4" w:space="0" w:color="auto"/>
            </w:tcBorders>
          </w:tcPr>
          <w:p>
            <w:pPr>
              <w:pStyle w:val="yMiscellaneousBody"/>
              <w:rPr>
                <w:sz w:val="20"/>
              </w:rPr>
            </w:pPr>
          </w:p>
        </w:tc>
      </w:tr>
      <w:tr>
        <w:trPr>
          <w:cantSplit/>
          <w:trHeight w:val="473"/>
        </w:trPr>
        <w:tc>
          <w:tcPr>
            <w:tcW w:w="1560" w:type="dxa"/>
            <w:tcBorders>
              <w:top w:val="single" w:sz="4" w:space="0" w:color="auto"/>
              <w:bottom w:val="single" w:sz="4" w:space="0" w:color="auto"/>
            </w:tcBorders>
          </w:tcPr>
          <w:p>
            <w:pPr>
              <w:pStyle w:val="yMiscellaneousBody"/>
              <w:rPr>
                <w:sz w:val="20"/>
              </w:rPr>
            </w:pPr>
            <w:r>
              <w:rPr>
                <w:sz w:val="20"/>
              </w:rPr>
              <w:t>Signature of party or lawyer</w:t>
            </w:r>
          </w:p>
        </w:tc>
        <w:tc>
          <w:tcPr>
            <w:tcW w:w="3827" w:type="dxa"/>
            <w:gridSpan w:val="6"/>
            <w:tcBorders>
              <w:top w:val="single" w:sz="4" w:space="0" w:color="auto"/>
              <w:bottom w:val="single" w:sz="4" w:space="0" w:color="auto"/>
            </w:tcBorders>
          </w:tcPr>
          <w:p>
            <w:pPr>
              <w:pStyle w:val="yMiscellaneousBody"/>
              <w:rPr>
                <w:sz w:val="20"/>
              </w:rPr>
            </w:pPr>
            <w:r>
              <w:rPr>
                <w:b/>
                <w:sz w:val="20"/>
              </w:rPr>
              <w:br/>
            </w:r>
            <w:r>
              <w:rPr>
                <w:b/>
                <w:sz w:val="20"/>
              </w:rPr>
              <w:br/>
            </w:r>
            <w:r>
              <w:rPr>
                <w:sz w:val="20"/>
              </w:rPr>
              <w:t>Party/Party’s Lawyer</w:t>
            </w:r>
          </w:p>
        </w:tc>
        <w:tc>
          <w:tcPr>
            <w:tcW w:w="1701" w:type="dxa"/>
            <w:gridSpan w:val="2"/>
            <w:tcBorders>
              <w:top w:val="single" w:sz="4" w:space="0" w:color="auto"/>
              <w:bottom w:val="single" w:sz="4" w:space="0" w:color="auto"/>
            </w:tcBorders>
          </w:tcPr>
          <w:p>
            <w:pPr>
              <w:pStyle w:val="yMiscellaneousBody"/>
              <w:rPr>
                <w:sz w:val="20"/>
              </w:rPr>
            </w:pPr>
            <w:r>
              <w:rPr>
                <w:sz w:val="20"/>
              </w:rPr>
              <w:t>Date</w:t>
            </w:r>
          </w:p>
        </w:tc>
      </w:tr>
    </w:tbl>
    <w:p>
      <w:pPr>
        <w:pStyle w:val="yMiscellaneousBody"/>
        <w:rPr>
          <w:sz w:val="16"/>
          <w:szCs w:val="16"/>
        </w:rPr>
      </w:pPr>
      <w:r>
        <w:rPr>
          <w:sz w:val="16"/>
          <w:szCs w:val="16"/>
        </w:rPr>
        <w:t>Note to Form 36B:</w:t>
      </w:r>
    </w:p>
    <w:p>
      <w:pPr>
        <w:pStyle w:val="yMiscellaneousBody"/>
        <w:tabs>
          <w:tab w:val="left" w:pos="426"/>
        </w:tabs>
        <w:ind w:left="426" w:hanging="426"/>
        <w:rPr>
          <w:sz w:val="16"/>
          <w:szCs w:val="16"/>
        </w:rPr>
      </w:pPr>
      <w:r>
        <w:rPr>
          <w:sz w:val="16"/>
          <w:szCs w:val="16"/>
        </w:rPr>
        <w:t>1.</w:t>
      </w:r>
      <w:r>
        <w:rPr>
          <w:sz w:val="16"/>
          <w:szCs w:val="16"/>
        </w:rPr>
        <w:tab/>
        <w:t>This item must be included if the claim includes a claim for interest to judgment. See Order 13 rule 6(3)(b).</w:t>
      </w:r>
    </w:p>
    <w:p>
      <w:pPr>
        <w:pStyle w:val="yFootnotesection"/>
      </w:pPr>
      <w:r>
        <w:tab/>
        <w:t>[Form 36B inserted: Gazette 16 Nov 2016 p. 5212</w:t>
      </w:r>
      <w:r>
        <w:noBreakHyphen/>
        <w:t>13.]</w:t>
      </w:r>
    </w:p>
    <w:p>
      <w:pPr>
        <w:pStyle w:val="yHeading5"/>
      </w:pPr>
      <w:bookmarkStart w:id="1535" w:name="_Toc129078555"/>
      <w:r>
        <w:rPr>
          <w:rStyle w:val="CharSClsNo"/>
        </w:rPr>
        <w:lastRenderedPageBreak/>
        <w:t>36C</w:t>
      </w:r>
      <w:r>
        <w:t>.</w:t>
      </w:r>
      <w:r>
        <w:tab/>
        <w:t>Default judgment in a mortgage action (O. 13 r. 6; O. 42 r. 1)</w:t>
      </w:r>
      <w:bookmarkEnd w:id="1535"/>
    </w:p>
    <w:tbl>
      <w:tblPr>
        <w:tblStyle w:val="TableGrid"/>
        <w:tblW w:w="0" w:type="auto"/>
        <w:tblInd w:w="108" w:type="dxa"/>
        <w:tblBorders>
          <w:insideH w:val="none" w:sz="0" w:space="0" w:color="auto"/>
          <w:insideV w:val="none" w:sz="0" w:space="0" w:color="auto"/>
        </w:tblBorders>
        <w:tblLook w:val="04A0" w:firstRow="1" w:lastRow="0" w:firstColumn="1" w:lastColumn="0" w:noHBand="0" w:noVBand="1"/>
      </w:tblPr>
      <w:tblGrid>
        <w:gridCol w:w="6979"/>
      </w:tblGrid>
      <w:tr>
        <w:tc>
          <w:tcPr>
            <w:tcW w:w="7088" w:type="dxa"/>
            <w:tcBorders>
              <w:bottom w:val="nil"/>
            </w:tcBorders>
          </w:tcPr>
          <w:p>
            <w:pPr>
              <w:pStyle w:val="yMiscellaneousBody"/>
              <w:jc w:val="center"/>
              <w:rPr>
                <w:sz w:val="20"/>
              </w:rPr>
            </w:pPr>
            <w:r>
              <w:rPr>
                <w:b/>
                <w:sz w:val="20"/>
              </w:rPr>
              <w:t>IN THE SUPREME COURT OF WESTERN AUSTRALIA</w:t>
            </w:r>
          </w:p>
          <w:p>
            <w:pPr>
              <w:pStyle w:val="yMiscellaneousBody"/>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right"/>
              <w:rPr>
                <w:sz w:val="20"/>
              </w:rPr>
            </w:pPr>
            <w:r>
              <w:rPr>
                <w:b/>
                <w:sz w:val="20"/>
              </w:rPr>
              <w:t>DEFAULT JUDGMENT IN A MORTGAGE ACTION</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b/>
                <w:sz w:val="20"/>
              </w:rPr>
              <w:t>THE COURT ORDERS THAT</w:t>
            </w:r>
            <w:r>
              <w:rPr>
                <w:sz w:val="20"/>
                <w:vertAlign w:val="superscript"/>
              </w:rPr>
              <w:t>1</w:t>
            </w:r>
            <w:r>
              <w:rPr>
                <w:b/>
                <w:sz w:val="20"/>
              </w:rPr>
              <w:t>:</w:t>
            </w:r>
          </w:p>
          <w:p>
            <w:pPr>
              <w:pStyle w:val="yMiscellaneousBody"/>
              <w:tabs>
                <w:tab w:val="left" w:pos="410"/>
              </w:tabs>
              <w:ind w:left="424" w:hanging="424"/>
              <w:rPr>
                <w:sz w:val="20"/>
              </w:rPr>
            </w:pPr>
            <w:r>
              <w:rPr>
                <w:sz w:val="20"/>
              </w:rPr>
              <w:t>1.</w:t>
            </w:r>
            <w:r>
              <w:rPr>
                <w:sz w:val="20"/>
              </w:rPr>
              <w:tab/>
              <w:t>The defendant, within [</w:t>
            </w:r>
            <w:r>
              <w:rPr>
                <w:i/>
                <w:sz w:val="20"/>
              </w:rPr>
              <w:t>insert number</w:t>
            </w:r>
            <w:r>
              <w:rPr>
                <w:sz w:val="20"/>
              </w:rPr>
              <w:t>]</w:t>
            </w:r>
            <w:r>
              <w:rPr>
                <w:sz w:val="20"/>
                <w:vertAlign w:val="superscript"/>
              </w:rPr>
              <w:t>2 </w:t>
            </w:r>
            <w:r>
              <w:rPr>
                <w:sz w:val="20"/>
              </w:rPr>
              <w:t>days after service of this judgment, give the plaintiff [</w:t>
            </w:r>
            <w:r>
              <w:rPr>
                <w:i/>
                <w:sz w:val="20"/>
              </w:rPr>
              <w:t>insert “vacant” if applicable</w:t>
            </w:r>
            <w:r>
              <w:rPr>
                <w:sz w:val="20"/>
              </w:rPr>
              <w:t>] possession of [</w:t>
            </w:r>
            <w:r>
              <w:rPr>
                <w:i/>
                <w:sz w:val="20"/>
              </w:rPr>
              <w:t>description of property</w:t>
            </w:r>
            <w:r>
              <w:rPr>
                <w:sz w:val="20"/>
              </w:rPr>
              <w:t>] [</w:t>
            </w:r>
            <w:r>
              <w:rPr>
                <w:i/>
                <w:sz w:val="20"/>
              </w:rPr>
              <w:t>at location of property if relevant</w:t>
            </w:r>
            <w:r>
              <w:rPr>
                <w:sz w:val="20"/>
              </w:rPr>
              <w:t>].</w:t>
            </w:r>
          </w:p>
        </w:tc>
      </w:tr>
      <w:tr>
        <w:tc>
          <w:tcPr>
            <w:tcW w:w="7088" w:type="dxa"/>
            <w:tcBorders>
              <w:top w:val="nil"/>
            </w:tcBorders>
          </w:tcPr>
          <w:p>
            <w:pPr>
              <w:pStyle w:val="yMiscellaneousBody"/>
              <w:tabs>
                <w:tab w:val="left" w:pos="410"/>
              </w:tabs>
              <w:ind w:left="424" w:hanging="424"/>
              <w:rPr>
                <w:sz w:val="20"/>
              </w:rPr>
            </w:pPr>
            <w:r>
              <w:rPr>
                <w:sz w:val="20"/>
              </w:rPr>
              <w:t>2.</w:t>
            </w:r>
            <w:r>
              <w:rPr>
                <w:sz w:val="20"/>
              </w:rPr>
              <w:tab/>
              <w:t>The defendant pay the plaintiff —</w:t>
            </w:r>
          </w:p>
          <w:p>
            <w:pPr>
              <w:pStyle w:val="yMiscellaneousBody"/>
              <w:tabs>
                <w:tab w:val="left" w:pos="704"/>
                <w:tab w:val="left" w:pos="1293"/>
              </w:tabs>
              <w:ind w:left="1306" w:hanging="1306"/>
              <w:rPr>
                <w:sz w:val="20"/>
              </w:rPr>
            </w:pPr>
            <w:r>
              <w:rPr>
                <w:sz w:val="20"/>
              </w:rPr>
              <w:tab/>
              <w:t>(a)</w:t>
            </w:r>
            <w:r>
              <w:rPr>
                <w:sz w:val="20"/>
              </w:rPr>
              <w:tab/>
              <w:t>$[</w:t>
            </w:r>
            <w:r>
              <w:rPr>
                <w:i/>
                <w:sz w:val="20"/>
              </w:rPr>
              <w:t>insert amount</w:t>
            </w:r>
            <w:r>
              <w:rPr>
                <w:sz w:val="20"/>
              </w:rPr>
              <w:t>], which is the amount due under the mortgage as at today’s date; and</w:t>
            </w:r>
          </w:p>
          <w:p>
            <w:pPr>
              <w:pStyle w:val="yMiscellaneousBody"/>
              <w:tabs>
                <w:tab w:val="left" w:pos="704"/>
                <w:tab w:val="left" w:pos="1293"/>
              </w:tabs>
              <w:ind w:left="1306" w:hanging="1306"/>
              <w:rPr>
                <w:sz w:val="20"/>
              </w:rPr>
            </w:pPr>
            <w:r>
              <w:rPr>
                <w:sz w:val="20"/>
              </w:rPr>
              <w:tab/>
              <w:t>(b)</w:t>
            </w:r>
            <w:r>
              <w:rPr>
                <w:sz w:val="20"/>
              </w:rPr>
              <w:tab/>
              <w:t>interest of $[</w:t>
            </w:r>
            <w:r>
              <w:rPr>
                <w:i/>
                <w:sz w:val="20"/>
              </w:rPr>
              <w:t>insert amount</w:t>
            </w:r>
            <w:r>
              <w:rPr>
                <w:sz w:val="20"/>
              </w:rPr>
              <w:t>] per day from [</w:t>
            </w:r>
            <w:r>
              <w:rPr>
                <w:i/>
                <w:sz w:val="20"/>
              </w:rPr>
              <w:t>insert date</w:t>
            </w:r>
            <w:r>
              <w:rPr>
                <w:sz w:val="20"/>
              </w:rPr>
              <w:t>] until payment in full in accordance with the terms of the mortgage; and</w:t>
            </w:r>
          </w:p>
          <w:p>
            <w:pPr>
              <w:pStyle w:val="yMiscellaneousBody"/>
              <w:tabs>
                <w:tab w:val="left" w:pos="704"/>
                <w:tab w:val="left" w:pos="1293"/>
              </w:tabs>
              <w:ind w:left="1306" w:hanging="1306"/>
              <w:rPr>
                <w:sz w:val="20"/>
              </w:rPr>
            </w:pPr>
            <w:r>
              <w:rPr>
                <w:sz w:val="20"/>
              </w:rPr>
              <w:tab/>
              <w:t>(c)</w:t>
            </w:r>
            <w:r>
              <w:rPr>
                <w:sz w:val="20"/>
              </w:rPr>
              <w:tab/>
              <w:t>$[</w:t>
            </w:r>
            <w:r>
              <w:rPr>
                <w:i/>
                <w:sz w:val="20"/>
              </w:rPr>
              <w:t>insert amount</w:t>
            </w:r>
            <w:r>
              <w:rPr>
                <w:sz w:val="20"/>
              </w:rPr>
              <w:t>] costs [</w:t>
            </w:r>
            <w:r>
              <w:rPr>
                <w:i/>
                <w:sz w:val="20"/>
              </w:rPr>
              <w:t>or costs to be taxed</w:t>
            </w:r>
            <w:r>
              <w:rPr>
                <w:sz w:val="20"/>
              </w:rPr>
              <w:t>].</w:t>
            </w:r>
          </w:p>
        </w:tc>
      </w:tr>
      <w:tr>
        <w:tc>
          <w:tcPr>
            <w:tcW w:w="7088" w:type="dxa"/>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48"/>
              </w:tabs>
              <w:rPr>
                <w:sz w:val="20"/>
              </w:rPr>
            </w:pPr>
            <w:r>
              <w:rPr>
                <w:sz w:val="20"/>
              </w:rPr>
              <w:tab/>
              <w:t>BY THE COURT</w:t>
            </w:r>
          </w:p>
          <w:p>
            <w:pPr>
              <w:pStyle w:val="yMiscellaneousBody"/>
              <w:tabs>
                <w:tab w:val="left" w:pos="4519"/>
              </w:tabs>
              <w:rPr>
                <w:sz w:val="20"/>
              </w:rPr>
            </w:pPr>
            <w:r>
              <w:rPr>
                <w:sz w:val="20"/>
              </w:rPr>
              <w:tab/>
              <w:t>REGISTRAR</w:t>
            </w:r>
          </w:p>
        </w:tc>
      </w:tr>
      <w:tr>
        <w:tc>
          <w:tcPr>
            <w:tcW w:w="7088" w:type="dxa"/>
          </w:tcPr>
          <w:p>
            <w:pPr>
              <w:pStyle w:val="yMiscellaneousBody"/>
              <w:rPr>
                <w:sz w:val="20"/>
              </w:rPr>
            </w:pPr>
            <w:r>
              <w:rPr>
                <w:b/>
                <w:sz w:val="20"/>
              </w:rPr>
              <w:t>NOTICE TO DEFENDANT</w:t>
            </w:r>
          </w:p>
          <w:p>
            <w:pPr>
              <w:pStyle w:val="yMiscellaneousBody"/>
              <w:rPr>
                <w:sz w:val="20"/>
              </w:rPr>
            </w:pPr>
            <w:r>
              <w:rPr>
                <w:sz w:val="20"/>
              </w:rPr>
              <w:t>[</w:t>
            </w:r>
            <w:r>
              <w:rPr>
                <w:i/>
                <w:sz w:val="20"/>
              </w:rPr>
              <w:t>Name of plaintiff</w:t>
            </w:r>
            <w:r>
              <w:rPr>
                <w:sz w:val="20"/>
              </w:rPr>
              <w:t xml:space="preserve">] has obtained this judgment against you. </w:t>
            </w:r>
            <w:r>
              <w:rPr>
                <w:b/>
                <w:sz w:val="20"/>
              </w:rPr>
              <w:t>This notice contains important information about your rights. Please read it carefully.</w:t>
            </w:r>
          </w:p>
          <w:p>
            <w:pPr>
              <w:pStyle w:val="yMiscellaneousBody"/>
              <w:rPr>
                <w:sz w:val="20"/>
              </w:rPr>
            </w:pPr>
            <w:r>
              <w:rPr>
                <w:sz w:val="20"/>
              </w:rPr>
              <w:lastRenderedPageBreak/>
              <w:t>If you believe that [</w:t>
            </w:r>
            <w:r>
              <w:rPr>
                <w:i/>
                <w:sz w:val="20"/>
              </w:rPr>
              <w:t>name of plaintiff</w:t>
            </w:r>
            <w:r>
              <w:rPr>
                <w:sz w:val="20"/>
              </w:rPr>
              <w:t>] was not entitled to obtain this judgment against you or if you believe that [</w:t>
            </w:r>
            <w:r>
              <w:rPr>
                <w:i/>
                <w:sz w:val="20"/>
              </w:rPr>
              <w:t>name of plaintiff</w:t>
            </w:r>
            <w:r>
              <w:rPr>
                <w:sz w:val="20"/>
              </w:rPr>
              <w:t xml:space="preserve">] should not be allowed to enforce this judgment against you then — </w:t>
            </w:r>
          </w:p>
        </w:tc>
      </w:tr>
      <w:tr>
        <w:tc>
          <w:tcPr>
            <w:tcW w:w="7088" w:type="dxa"/>
          </w:tcPr>
          <w:p>
            <w:pPr>
              <w:pStyle w:val="yMiscellaneousBody"/>
              <w:tabs>
                <w:tab w:val="left" w:pos="160"/>
                <w:tab w:val="left" w:pos="602"/>
              </w:tabs>
              <w:ind w:left="606" w:hanging="606"/>
              <w:rPr>
                <w:sz w:val="20"/>
              </w:rPr>
            </w:pPr>
            <w:r>
              <w:rPr>
                <w:sz w:val="20"/>
              </w:rPr>
              <w:lastRenderedPageBreak/>
              <w:tab/>
              <w:t>•</w:t>
            </w:r>
            <w:r>
              <w:rPr>
                <w:sz w:val="20"/>
              </w:rPr>
              <w:tab/>
              <w:t xml:space="preserve">you may apply to the Court for an order setting aside or varying the judgment under the </w:t>
            </w:r>
            <w:r>
              <w:rPr>
                <w:i/>
                <w:sz w:val="20"/>
              </w:rPr>
              <w:t>Rules of the Supreme Court 1971</w:t>
            </w:r>
            <w:r>
              <w:rPr>
                <w:sz w:val="20"/>
              </w:rPr>
              <w:t xml:space="preserve"> Order 13 rule 14; or</w:t>
            </w:r>
          </w:p>
          <w:p>
            <w:pPr>
              <w:pStyle w:val="yMiscellaneousBody"/>
              <w:tabs>
                <w:tab w:val="left" w:pos="160"/>
                <w:tab w:val="left" w:pos="602"/>
              </w:tabs>
              <w:ind w:left="606" w:hanging="606"/>
              <w:rPr>
                <w:sz w:val="20"/>
              </w:rPr>
            </w:pPr>
            <w:r>
              <w:rPr>
                <w:sz w:val="20"/>
              </w:rPr>
              <w:tab/>
              <w:t>•</w:t>
            </w:r>
            <w:r>
              <w:rPr>
                <w:sz w:val="20"/>
              </w:rPr>
              <w:tab/>
              <w:t xml:space="preserve">you may apply to the Court for an order suspending the enforcement of all or part of the judgment under the </w:t>
            </w:r>
            <w:r>
              <w:rPr>
                <w:i/>
                <w:sz w:val="20"/>
              </w:rPr>
              <w:t>Civil Judgments Enforcement Act 2004</w:t>
            </w:r>
            <w:r>
              <w:rPr>
                <w:sz w:val="20"/>
              </w:rPr>
              <w:t xml:space="preserve"> section 15.</w:t>
            </w:r>
          </w:p>
        </w:tc>
      </w:tr>
      <w:tr>
        <w:tc>
          <w:tcPr>
            <w:tcW w:w="7088" w:type="dxa"/>
          </w:tcPr>
          <w:p>
            <w:pPr>
              <w:pStyle w:val="yMiscellaneousBody"/>
              <w:rPr>
                <w:sz w:val="20"/>
              </w:rPr>
            </w:pPr>
            <w:r>
              <w:rPr>
                <w:sz w:val="20"/>
              </w:rPr>
              <w:t>You should seek legal advice before applying to the Court for orders setting aside or varying the judgment, or suspending the enforcement of all or part of the judgment, because these applications may be complex and you may be ordered to pay costs to [</w:t>
            </w:r>
            <w:r>
              <w:rPr>
                <w:i/>
                <w:sz w:val="20"/>
              </w:rPr>
              <w:t>name of plaintiff</w:t>
            </w:r>
            <w:r>
              <w:rPr>
                <w:sz w:val="20"/>
              </w:rPr>
              <w:t>] if your application does not succeed. The Court cannot suspend the enforcement of all or part of a judgment unless there are special circumstances.</w:t>
            </w:r>
          </w:p>
        </w:tc>
      </w:tr>
      <w:tr>
        <w:tc>
          <w:tcPr>
            <w:tcW w:w="7088" w:type="dxa"/>
            <w:tcBorders>
              <w:bottom w:val="nil"/>
            </w:tcBorders>
          </w:tcPr>
          <w:p>
            <w:pPr>
              <w:pStyle w:val="yMiscellaneousBody"/>
              <w:rPr>
                <w:sz w:val="20"/>
              </w:rPr>
            </w:pPr>
            <w:r>
              <w:rPr>
                <w:sz w:val="20"/>
              </w:rPr>
              <w:t xml:space="preserve">Legal Aid WA has an online ‘Mortgage stress </w:t>
            </w:r>
            <w:r>
              <w:rPr>
                <w:sz w:val="20"/>
              </w:rPr>
              <w:noBreakHyphen/>
              <w:t xml:space="preserve"> self help guide’ available on its website at www.legalaid.wa.gov.au which includes information about what to do if a judgment is made against you.</w:t>
            </w:r>
          </w:p>
        </w:tc>
      </w:tr>
      <w:tr>
        <w:tc>
          <w:tcPr>
            <w:tcW w:w="7088" w:type="dxa"/>
            <w:tcBorders>
              <w:top w:val="nil"/>
              <w:bottom w:val="nil"/>
            </w:tcBorders>
          </w:tcPr>
          <w:p>
            <w:pPr>
              <w:pStyle w:val="yMiscellaneousBody"/>
              <w:rPr>
                <w:sz w:val="20"/>
              </w:rPr>
            </w:pPr>
            <w:r>
              <w:rPr>
                <w:sz w:val="20"/>
              </w:rPr>
              <w:t>You can telephone the Legal Aid WA InfoLine on 1300 650 579 for free information or a referral to other services that might be able to assist you (open Monday to Friday 8.30 am to 4.30 pm except public holidays). If you need Translating and Interpreting Services contact 131 450, or the National Relay Service (for hearing and speech impaired) contact 133 677.</w:t>
            </w:r>
          </w:p>
        </w:tc>
      </w:tr>
      <w:tr>
        <w:tc>
          <w:tcPr>
            <w:tcW w:w="7088" w:type="dxa"/>
            <w:tcBorders>
              <w:top w:val="nil"/>
            </w:tcBorders>
          </w:tcPr>
          <w:p>
            <w:pPr>
              <w:pStyle w:val="yMiscellaneousBody"/>
              <w:rPr>
                <w:sz w:val="20"/>
              </w:rPr>
            </w:pPr>
            <w:r>
              <w:rPr>
                <w:b/>
                <w:sz w:val="20"/>
              </w:rPr>
              <w:t>CONTACT DETAILS</w:t>
            </w:r>
          </w:p>
          <w:p>
            <w:pPr>
              <w:pStyle w:val="yMiscellaneousBody"/>
              <w:rPr>
                <w:sz w:val="20"/>
              </w:rPr>
            </w:pPr>
            <w:r>
              <w:rPr>
                <w:sz w:val="20"/>
              </w:rPr>
              <w:t>The name and address of the law firm representing the plaintiff is: [</w:t>
            </w:r>
            <w:r>
              <w:rPr>
                <w:i/>
                <w:sz w:val="20"/>
              </w:rPr>
              <w:t>insert name and address</w:t>
            </w:r>
            <w:r>
              <w:rPr>
                <w:sz w:val="20"/>
              </w:rPr>
              <w:t>].</w:t>
            </w:r>
          </w:p>
          <w:p>
            <w:pPr>
              <w:pStyle w:val="yMiscellaneousBody"/>
              <w:rPr>
                <w:sz w:val="20"/>
              </w:rPr>
            </w:pPr>
            <w:r>
              <w:rPr>
                <w:sz w:val="20"/>
              </w:rPr>
              <w:t>If you want to contact the lawyer for the plaintiff, you should call [</w:t>
            </w:r>
            <w:r>
              <w:rPr>
                <w:i/>
                <w:sz w:val="20"/>
              </w:rPr>
              <w:t>insert name</w:t>
            </w:r>
            <w:r>
              <w:rPr>
                <w:sz w:val="20"/>
              </w:rPr>
              <w:t>] on [</w:t>
            </w:r>
            <w:r>
              <w:rPr>
                <w:i/>
                <w:sz w:val="20"/>
              </w:rPr>
              <w:t>insert number</w:t>
            </w:r>
            <w:r>
              <w:rPr>
                <w:sz w:val="20"/>
              </w:rPr>
              <w:t>] or email them at [</w:t>
            </w:r>
            <w:r>
              <w:rPr>
                <w:i/>
                <w:sz w:val="20"/>
              </w:rPr>
              <w:t>insert email address</w:t>
            </w:r>
            <w:r>
              <w:rPr>
                <w:sz w:val="20"/>
              </w:rPr>
              <w:t>].</w:t>
            </w:r>
          </w:p>
        </w:tc>
      </w:tr>
    </w:tbl>
    <w:p>
      <w:pPr>
        <w:pStyle w:val="yMiscellaneousBody"/>
        <w:rPr>
          <w:sz w:val="16"/>
          <w:szCs w:val="16"/>
        </w:rPr>
      </w:pPr>
      <w:r>
        <w:rPr>
          <w:sz w:val="16"/>
          <w:szCs w:val="16"/>
        </w:rPr>
        <w:t>Notes to Form 36C:</w:t>
      </w:r>
    </w:p>
    <w:p>
      <w:pPr>
        <w:pStyle w:val="yMiscellaneousBody"/>
        <w:tabs>
          <w:tab w:val="left" w:pos="426"/>
        </w:tabs>
        <w:ind w:left="426" w:hanging="426"/>
        <w:rPr>
          <w:sz w:val="16"/>
          <w:szCs w:val="16"/>
        </w:rPr>
      </w:pPr>
      <w:r>
        <w:rPr>
          <w:sz w:val="16"/>
          <w:szCs w:val="16"/>
        </w:rPr>
        <w:t>1.</w:t>
      </w:r>
      <w:r>
        <w:rPr>
          <w:sz w:val="16"/>
          <w:szCs w:val="16"/>
        </w:rPr>
        <w:tab/>
        <w:t>This form is to be used for default judgment in any mortgage action. The text of the order, or orders, should reflect the effect of the mortgage in question and the orders sought. The proposed orders in this form are to be used only if applicable.</w:t>
      </w:r>
    </w:p>
    <w:p>
      <w:pPr>
        <w:pStyle w:val="yMiscellaneousBody"/>
        <w:tabs>
          <w:tab w:val="left" w:pos="426"/>
        </w:tabs>
        <w:ind w:left="426" w:hanging="426"/>
        <w:rPr>
          <w:sz w:val="16"/>
          <w:szCs w:val="16"/>
        </w:rPr>
      </w:pPr>
      <w:r>
        <w:rPr>
          <w:sz w:val="16"/>
          <w:szCs w:val="16"/>
        </w:rPr>
        <w:t>2.</w:t>
      </w:r>
      <w:r>
        <w:rPr>
          <w:sz w:val="16"/>
          <w:szCs w:val="16"/>
        </w:rPr>
        <w:tab/>
        <w:t>28 days unless the Court orders otherwise. See Order 13 rule 6(6).</w:t>
      </w:r>
    </w:p>
    <w:p>
      <w:pPr>
        <w:pStyle w:val="yFootnotesection"/>
      </w:pPr>
      <w:r>
        <w:tab/>
        <w:t>[Form 36C inserted: Gazette 16 Nov 2016 p. 5213</w:t>
      </w:r>
      <w:r>
        <w:noBreakHyphen/>
        <w:t>15.]</w:t>
      </w:r>
    </w:p>
    <w:p>
      <w:pPr>
        <w:pStyle w:val="yHeading5"/>
      </w:pPr>
      <w:bookmarkStart w:id="1536" w:name="_Toc129078556"/>
      <w:r>
        <w:rPr>
          <w:rStyle w:val="CharSClsNo"/>
        </w:rPr>
        <w:lastRenderedPageBreak/>
        <w:t>37</w:t>
      </w:r>
      <w:r>
        <w:t>.</w:t>
      </w:r>
      <w:r>
        <w:tab/>
        <w:t>Judgment (other than default judgment) after assessment of damages etc. (O. 42 r. 1)</w:t>
      </w:r>
      <w:bookmarkEnd w:id="1536"/>
    </w:p>
    <w:tbl>
      <w:tblPr>
        <w:tblStyle w:val="TableGrid"/>
        <w:tblW w:w="0" w:type="auto"/>
        <w:tblInd w:w="108" w:type="dxa"/>
        <w:tblLook w:val="04A0" w:firstRow="1" w:lastRow="0" w:firstColumn="1" w:lastColumn="0" w:noHBand="0" w:noVBand="1"/>
      </w:tblPr>
      <w:tblGrid>
        <w:gridCol w:w="6979"/>
      </w:tblGrid>
      <w:tr>
        <w:tc>
          <w:tcPr>
            <w:tcW w:w="7088" w:type="dxa"/>
            <w:tcBorders>
              <w:bottom w:val="nil"/>
            </w:tcBorders>
          </w:tcPr>
          <w:p>
            <w:pPr>
              <w:pStyle w:val="yMiscellaneousBody"/>
              <w:keepNext/>
              <w:jc w:val="center"/>
              <w:rPr>
                <w:sz w:val="20"/>
              </w:rPr>
            </w:pPr>
            <w:r>
              <w:rPr>
                <w:b/>
                <w:sz w:val="20"/>
              </w:rPr>
              <w:t>IN THE SUPREME COURT OF WESTERN AUSTRALIA</w:t>
            </w:r>
          </w:p>
          <w:p>
            <w:pPr>
              <w:pStyle w:val="yMiscellaneousBody"/>
              <w:keepNext/>
              <w:jc w:val="right"/>
              <w:rPr>
                <w:sz w:val="20"/>
              </w:rPr>
            </w:pPr>
            <w:r>
              <w:rPr>
                <w:sz w:val="20"/>
              </w:rPr>
              <w:t>No: .............. of 20 .......</w:t>
            </w:r>
          </w:p>
        </w:tc>
      </w:tr>
      <w:tr>
        <w:tc>
          <w:tcPr>
            <w:tcW w:w="7088" w:type="dxa"/>
            <w:tcBorders>
              <w:top w:val="nil"/>
              <w:bottom w:val="nil"/>
            </w:tcBorders>
          </w:tcPr>
          <w:p>
            <w:pPr>
              <w:pStyle w:val="yMiscellaneousBody"/>
              <w:rPr>
                <w:sz w:val="20"/>
              </w:rPr>
            </w:pPr>
            <w:r>
              <w:rPr>
                <w:sz w:val="20"/>
              </w:rPr>
              <w:t>BETWEEN:</w:t>
            </w:r>
          </w:p>
          <w:p>
            <w:pPr>
              <w:pStyle w:val="yMiscellaneousBody"/>
              <w:rPr>
                <w:sz w:val="20"/>
              </w:rPr>
            </w:pPr>
            <w:r>
              <w:rPr>
                <w:sz w:val="20"/>
              </w:rPr>
              <w:t>AB</w:t>
            </w:r>
          </w:p>
          <w:p>
            <w:pPr>
              <w:pStyle w:val="yMiscellaneousBody"/>
              <w:jc w:val="right"/>
              <w:rPr>
                <w:sz w:val="20"/>
              </w:rPr>
            </w:pPr>
            <w:r>
              <w:rPr>
                <w:sz w:val="20"/>
              </w:rPr>
              <w:t>Plaintiff,</w:t>
            </w:r>
          </w:p>
          <w:p>
            <w:pPr>
              <w:pStyle w:val="yMiscellaneousBody"/>
              <w:rPr>
                <w:sz w:val="20"/>
              </w:rPr>
            </w:pPr>
            <w:r>
              <w:rPr>
                <w:sz w:val="20"/>
              </w:rPr>
              <w:t>and</w:t>
            </w:r>
          </w:p>
          <w:p>
            <w:pPr>
              <w:pStyle w:val="yMiscellaneousBody"/>
              <w:rPr>
                <w:sz w:val="20"/>
              </w:rPr>
            </w:pPr>
            <w:r>
              <w:rPr>
                <w:sz w:val="20"/>
              </w:rPr>
              <w:t>CD</w:t>
            </w:r>
          </w:p>
          <w:p>
            <w:pPr>
              <w:pStyle w:val="yMiscellaneousBody"/>
              <w:jc w:val="right"/>
              <w:rPr>
                <w:sz w:val="20"/>
              </w:rPr>
            </w:pPr>
            <w:r>
              <w:rPr>
                <w:sz w:val="20"/>
              </w:rPr>
              <w:t>Defendant.</w:t>
            </w:r>
          </w:p>
        </w:tc>
      </w:tr>
      <w:tr>
        <w:tc>
          <w:tcPr>
            <w:tcW w:w="7088" w:type="dxa"/>
            <w:tcBorders>
              <w:top w:val="nil"/>
              <w:bottom w:val="nil"/>
            </w:tcBorders>
          </w:tcPr>
          <w:p>
            <w:pPr>
              <w:pStyle w:val="yMiscellaneousBody"/>
              <w:jc w:val="center"/>
              <w:rPr>
                <w:sz w:val="20"/>
              </w:rPr>
            </w:pPr>
            <w:r>
              <w:rPr>
                <w:b/>
                <w:sz w:val="20"/>
              </w:rPr>
              <w:t>JUDGMENT (OTHER THAN DEFAULT JUDGMENT) AFTER ASSESSMENT OF DAMAGES ETC.</w:t>
            </w:r>
            <w:r>
              <w:rPr>
                <w:sz w:val="20"/>
                <w:vertAlign w:val="superscript"/>
              </w:rPr>
              <w:t>1</w:t>
            </w:r>
          </w:p>
          <w:p>
            <w:pPr>
              <w:pStyle w:val="yMiscellaneousBody"/>
              <w:rPr>
                <w:sz w:val="20"/>
              </w:rPr>
            </w:pPr>
            <w:r>
              <w:rPr>
                <w:sz w:val="20"/>
              </w:rPr>
              <w:t>Judicial officer:</w:t>
            </w:r>
          </w:p>
          <w:p>
            <w:pPr>
              <w:pStyle w:val="yMiscellaneousBody"/>
              <w:rPr>
                <w:sz w:val="20"/>
              </w:rPr>
            </w:pPr>
            <w:r>
              <w:rPr>
                <w:sz w:val="20"/>
              </w:rPr>
              <w:t>Date of order:</w:t>
            </w:r>
          </w:p>
        </w:tc>
      </w:tr>
      <w:tr>
        <w:tc>
          <w:tcPr>
            <w:tcW w:w="7088" w:type="dxa"/>
            <w:tcBorders>
              <w:top w:val="nil"/>
              <w:bottom w:val="nil"/>
            </w:tcBorders>
          </w:tcPr>
          <w:p>
            <w:pPr>
              <w:pStyle w:val="yMiscellaneousBody"/>
              <w:rPr>
                <w:sz w:val="20"/>
              </w:rPr>
            </w:pPr>
            <w:r>
              <w:rPr>
                <w:sz w:val="20"/>
              </w:rPr>
              <w:t>The plaintiff having on the                 day of                        20     , obtained judgment against the defendant for damages [</w:t>
            </w:r>
            <w:r>
              <w:rPr>
                <w:i/>
                <w:sz w:val="20"/>
              </w:rPr>
              <w:t>or as the case may be</w:t>
            </w:r>
            <w:r>
              <w:rPr>
                <w:sz w:val="20"/>
              </w:rPr>
              <w:t>] to be assessed, and the amount found due to the plaintiff having been certified at $[</w:t>
            </w:r>
            <w:r>
              <w:rPr>
                <w:i/>
                <w:sz w:val="20"/>
              </w:rPr>
              <w:t>insert amount</w:t>
            </w:r>
            <w:r>
              <w:rPr>
                <w:sz w:val="20"/>
              </w:rPr>
              <w:t>] as appears by the [</w:t>
            </w:r>
            <w:r>
              <w:rPr>
                <w:i/>
                <w:sz w:val="20"/>
              </w:rPr>
              <w:t>master’s certificate, or as the case may be</w:t>
            </w:r>
            <w:r>
              <w:rPr>
                <w:sz w:val="20"/>
              </w:rPr>
              <w:t>] filed the                          day of                                  20     ,</w:t>
            </w:r>
          </w:p>
        </w:tc>
      </w:tr>
      <w:tr>
        <w:tc>
          <w:tcPr>
            <w:tcW w:w="7088" w:type="dxa"/>
            <w:tcBorders>
              <w:top w:val="nil"/>
              <w:bottom w:val="nil"/>
            </w:tcBorders>
          </w:tcPr>
          <w:p>
            <w:pPr>
              <w:pStyle w:val="yMiscellaneousBody"/>
              <w:rPr>
                <w:sz w:val="20"/>
              </w:rPr>
            </w:pPr>
            <w:r>
              <w:rPr>
                <w:b/>
                <w:sz w:val="20"/>
              </w:rPr>
              <w:t>THE COURT ORDERS THAT:</w:t>
            </w:r>
          </w:p>
          <w:p>
            <w:pPr>
              <w:pStyle w:val="yMiscellaneousBody"/>
              <w:rPr>
                <w:sz w:val="20"/>
              </w:rPr>
            </w:pPr>
            <w:r>
              <w:rPr>
                <w:sz w:val="20"/>
              </w:rPr>
              <w:t xml:space="preserve">The defendant pay the plaintiff — </w:t>
            </w:r>
          </w:p>
          <w:p>
            <w:pPr>
              <w:pStyle w:val="yMiscellaneousBody"/>
              <w:rPr>
                <w:sz w:val="20"/>
              </w:rPr>
            </w:pPr>
            <w:r>
              <w:rPr>
                <w:sz w:val="20"/>
              </w:rPr>
              <w:t>(a)</w:t>
            </w:r>
            <w:r>
              <w:rPr>
                <w:sz w:val="20"/>
              </w:rPr>
              <w:tab/>
              <w:t>$[</w:t>
            </w:r>
            <w:r>
              <w:rPr>
                <w:i/>
                <w:sz w:val="20"/>
              </w:rPr>
              <w:t>insert amount</w:t>
            </w:r>
            <w:r>
              <w:rPr>
                <w:sz w:val="20"/>
              </w:rPr>
              <w:t>]; and</w:t>
            </w:r>
          </w:p>
          <w:p>
            <w:pPr>
              <w:pStyle w:val="yMiscellaneousBody"/>
              <w:rPr>
                <w:sz w:val="20"/>
              </w:rPr>
            </w:pPr>
            <w:r>
              <w:rPr>
                <w:sz w:val="20"/>
              </w:rPr>
              <w:t>(b)</w:t>
            </w:r>
            <w:r>
              <w:rPr>
                <w:sz w:val="20"/>
              </w:rPr>
              <w:tab/>
              <w:t>$[</w:t>
            </w:r>
            <w:r>
              <w:rPr>
                <w:i/>
                <w:sz w:val="20"/>
              </w:rPr>
              <w:t>insert amount</w:t>
            </w:r>
            <w:r>
              <w:rPr>
                <w:sz w:val="20"/>
              </w:rPr>
              <w:t>] costs [</w:t>
            </w:r>
            <w:r>
              <w:rPr>
                <w:i/>
                <w:sz w:val="20"/>
              </w:rPr>
              <w:t>or costs to be taxed</w:t>
            </w:r>
            <w:r>
              <w:rPr>
                <w:sz w:val="20"/>
              </w:rPr>
              <w:t>].</w:t>
            </w:r>
          </w:p>
        </w:tc>
      </w:tr>
      <w:tr>
        <w:tc>
          <w:tcPr>
            <w:tcW w:w="7088" w:type="dxa"/>
            <w:tcBorders>
              <w:top w:val="nil"/>
            </w:tcBorders>
          </w:tcPr>
          <w:p>
            <w:pPr>
              <w:pStyle w:val="yMiscellaneousBody"/>
              <w:rPr>
                <w:sz w:val="20"/>
              </w:rPr>
            </w:pPr>
            <w:r>
              <w:rPr>
                <w:sz w:val="20"/>
              </w:rPr>
              <w:t>The above costs have been taxed and allowed at $[</w:t>
            </w:r>
            <w:r>
              <w:rPr>
                <w:i/>
                <w:sz w:val="20"/>
              </w:rPr>
              <w:t>insert amount</w:t>
            </w:r>
            <w:r>
              <w:rPr>
                <w:sz w:val="20"/>
              </w:rPr>
              <w:t>] as appears by the Taxing Officer’s certificate dated [</w:t>
            </w:r>
            <w:r>
              <w:rPr>
                <w:i/>
                <w:sz w:val="20"/>
              </w:rPr>
              <w:t>insert date</w:t>
            </w:r>
            <w:r>
              <w:rPr>
                <w:sz w:val="20"/>
              </w:rPr>
              <w:t>].</w:t>
            </w:r>
          </w:p>
          <w:p>
            <w:pPr>
              <w:pStyle w:val="yMiscellaneousBody"/>
              <w:tabs>
                <w:tab w:val="left" w:pos="4538"/>
              </w:tabs>
              <w:rPr>
                <w:sz w:val="20"/>
              </w:rPr>
            </w:pPr>
            <w:r>
              <w:rPr>
                <w:sz w:val="20"/>
              </w:rPr>
              <w:tab/>
              <w:t>BY THE COURT</w:t>
            </w:r>
          </w:p>
          <w:p>
            <w:pPr>
              <w:pStyle w:val="yMiscellaneousBody"/>
              <w:tabs>
                <w:tab w:val="left" w:pos="4528"/>
              </w:tabs>
              <w:rPr>
                <w:sz w:val="20"/>
              </w:rPr>
            </w:pPr>
            <w:r>
              <w:rPr>
                <w:sz w:val="20"/>
              </w:rPr>
              <w:tab/>
              <w:t>REGISTRAR</w:t>
            </w:r>
          </w:p>
        </w:tc>
      </w:tr>
    </w:tbl>
    <w:p>
      <w:pPr>
        <w:pStyle w:val="yMiscellaneousBody"/>
        <w:rPr>
          <w:sz w:val="16"/>
          <w:szCs w:val="16"/>
        </w:rPr>
      </w:pPr>
      <w:r>
        <w:rPr>
          <w:sz w:val="16"/>
          <w:szCs w:val="16"/>
        </w:rPr>
        <w:t>Note to Form 37:</w:t>
      </w:r>
    </w:p>
    <w:p>
      <w:pPr>
        <w:pStyle w:val="yMiscellaneousBody"/>
        <w:tabs>
          <w:tab w:val="left" w:pos="426"/>
        </w:tabs>
        <w:ind w:left="426" w:hanging="426"/>
        <w:rPr>
          <w:sz w:val="16"/>
          <w:szCs w:val="16"/>
        </w:rPr>
      </w:pPr>
      <w:r>
        <w:rPr>
          <w:sz w:val="16"/>
          <w:szCs w:val="16"/>
        </w:rPr>
        <w:t>1.</w:t>
      </w:r>
      <w:r>
        <w:rPr>
          <w:sz w:val="16"/>
          <w:szCs w:val="16"/>
        </w:rPr>
        <w:tab/>
        <w:t>The heading and text of this order is to be amended to reflect the assessment.</w:t>
      </w:r>
    </w:p>
    <w:p>
      <w:pPr>
        <w:pStyle w:val="yFootnotesection"/>
      </w:pPr>
      <w:r>
        <w:tab/>
        <w:t>[Form 37 inserted: Gazette 16 Nov 2016 p. 5215</w:t>
      </w:r>
      <w:r>
        <w:noBreakHyphen/>
        <w:t>16.]</w:t>
      </w:r>
    </w:p>
    <w:p>
      <w:pPr>
        <w:pStyle w:val="yHeading5"/>
        <w:keepNext w:val="0"/>
        <w:keepLines w:val="0"/>
        <w:pageBreakBefore/>
        <w:spacing w:before="0" w:after="120"/>
      </w:pPr>
      <w:bookmarkStart w:id="1537" w:name="_Toc129078557"/>
      <w:r>
        <w:rPr>
          <w:rStyle w:val="CharSClsNo"/>
        </w:rPr>
        <w:lastRenderedPageBreak/>
        <w:t>38</w:t>
      </w:r>
      <w:r>
        <w:t>.</w:t>
      </w:r>
      <w:r>
        <w:rPr>
          <w:b w:val="0"/>
        </w:rPr>
        <w:tab/>
      </w:r>
      <w:r>
        <w:t>Judgment under Order 14 (O. 14 r. 3)</w:t>
      </w:r>
      <w:bookmarkEnd w:id="153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Gazette 28 Jun 2011 p. 2559.]</w:t>
      </w:r>
    </w:p>
    <w:p>
      <w:pPr>
        <w:pStyle w:val="yHeading5"/>
      </w:pPr>
      <w:bookmarkStart w:id="1538" w:name="_Toc129078558"/>
      <w:r>
        <w:rPr>
          <w:rStyle w:val="CharSClsNo"/>
        </w:rPr>
        <w:t>39</w:t>
      </w:r>
      <w:r>
        <w:t>.</w:t>
      </w:r>
      <w:r>
        <w:tab/>
        <w:t>Judgment after trial without jury (O. 42 r. 1)</w:t>
      </w:r>
      <w:bookmarkEnd w:id="1538"/>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without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without a jury on [</w:t>
            </w:r>
            <w:r>
              <w:rPr>
                <w:i/>
                <w:sz w:val="20"/>
              </w:rPr>
              <w:t>date(s)</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rPr>
                <w:sz w:val="20"/>
              </w:rPr>
            </w:pPr>
            <w:r>
              <w:rPr>
                <w:sz w:val="20"/>
              </w:rPr>
              <w:t>Date judgment entered</w:t>
            </w:r>
          </w:p>
        </w:tc>
        <w:tc>
          <w:tcPr>
            <w:tcW w:w="5012" w:type="dxa"/>
            <w:gridSpan w:val="2"/>
          </w:tcPr>
          <w:p>
            <w:pPr>
              <w:pStyle w:val="yTableNAm"/>
              <w:rPr>
                <w:sz w:val="20"/>
              </w:rPr>
            </w:pPr>
            <w:r>
              <w:rPr>
                <w:sz w:val="20"/>
              </w:rPr>
              <w:t>Judgment dated and entered on [</w:t>
            </w:r>
            <w:r>
              <w:rPr>
                <w:i/>
                <w:sz w:val="20"/>
              </w:rPr>
              <w:t>date</w:t>
            </w:r>
            <w:r>
              <w:rPr>
                <w:sz w:val="20"/>
              </w:rPr>
              <w:t>].</w:t>
            </w:r>
          </w:p>
        </w:tc>
      </w:tr>
    </w:tbl>
    <w:p>
      <w:pPr>
        <w:pStyle w:val="yFootnotesection"/>
        <w:spacing w:before="100"/>
      </w:pPr>
      <w:r>
        <w:lastRenderedPageBreak/>
        <w:tab/>
        <w:t>[Form 39 inserted: Gazette 16 Aug 2017 p. 4422.]</w:t>
      </w:r>
    </w:p>
    <w:p>
      <w:pPr>
        <w:pStyle w:val="yHeading5"/>
      </w:pPr>
      <w:bookmarkStart w:id="1539" w:name="_Toc129078559"/>
      <w:r>
        <w:rPr>
          <w:rStyle w:val="CharSClsNo"/>
        </w:rPr>
        <w:t>40</w:t>
      </w:r>
      <w:r>
        <w:t>.</w:t>
      </w:r>
      <w:r>
        <w:tab/>
        <w:t>Judgment after trial with jury (O. 42 r. 1)</w:t>
      </w:r>
      <w:bookmarkEnd w:id="1539"/>
    </w:p>
    <w:tbl>
      <w:tblPr>
        <w:tblW w:w="0" w:type="auto"/>
        <w:tblInd w:w="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18"/>
        <w:gridCol w:w="1984"/>
        <w:gridCol w:w="3028"/>
      </w:tblGrid>
      <w:tr>
        <w:trPr>
          <w:cantSplit/>
          <w:trHeight w:val="194"/>
        </w:trPr>
        <w:tc>
          <w:tcPr>
            <w:tcW w:w="3402" w:type="dxa"/>
            <w:gridSpan w:val="2"/>
            <w:vMerge w:val="restart"/>
          </w:tcPr>
          <w:p>
            <w:pPr>
              <w:pStyle w:val="yTableNAm"/>
              <w:rPr>
                <w:sz w:val="20"/>
              </w:rPr>
            </w:pPr>
            <w:r>
              <w:rPr>
                <w:sz w:val="20"/>
              </w:rPr>
              <w:t>Supreme Court of Western Australia</w:t>
            </w:r>
          </w:p>
          <w:p>
            <w:pPr>
              <w:pStyle w:val="yTableNAm"/>
              <w:rPr>
                <w:sz w:val="20"/>
              </w:rPr>
            </w:pPr>
            <w:r>
              <w:rPr>
                <w:sz w:val="20"/>
              </w:rPr>
              <w:t>General Division</w:t>
            </w:r>
          </w:p>
        </w:tc>
        <w:tc>
          <w:tcPr>
            <w:tcW w:w="3028" w:type="dxa"/>
          </w:tcPr>
          <w:p>
            <w:pPr>
              <w:pStyle w:val="yTableNAm"/>
              <w:rPr>
                <w:sz w:val="20"/>
              </w:rPr>
            </w:pPr>
            <w:r>
              <w:rPr>
                <w:sz w:val="20"/>
              </w:rPr>
              <w:t>No.:</w:t>
            </w:r>
          </w:p>
        </w:tc>
      </w:tr>
      <w:tr>
        <w:trPr>
          <w:cantSplit/>
          <w:trHeight w:val="194"/>
        </w:trPr>
        <w:tc>
          <w:tcPr>
            <w:tcW w:w="3402" w:type="dxa"/>
            <w:gridSpan w:val="2"/>
            <w:vMerge/>
          </w:tcPr>
          <w:p>
            <w:pPr>
              <w:pStyle w:val="zyTableNAm"/>
              <w:spacing w:before="0"/>
              <w:rPr>
                <w:sz w:val="20"/>
              </w:rPr>
            </w:pPr>
          </w:p>
        </w:tc>
        <w:tc>
          <w:tcPr>
            <w:tcW w:w="3028" w:type="dxa"/>
          </w:tcPr>
          <w:p>
            <w:pPr>
              <w:pStyle w:val="yTableNAm"/>
              <w:rPr>
                <w:sz w:val="20"/>
              </w:rPr>
            </w:pPr>
            <w:r>
              <w:rPr>
                <w:b/>
                <w:sz w:val="20"/>
              </w:rPr>
              <w:t>Judgment after trial with jury</w:t>
            </w:r>
          </w:p>
        </w:tc>
      </w:tr>
      <w:tr>
        <w:trPr>
          <w:cantSplit/>
        </w:trPr>
        <w:tc>
          <w:tcPr>
            <w:tcW w:w="1418" w:type="dxa"/>
          </w:tcPr>
          <w:p>
            <w:pPr>
              <w:pStyle w:val="yTableNAm"/>
              <w:rPr>
                <w:sz w:val="20"/>
                <w:vertAlign w:val="superscript"/>
              </w:rPr>
            </w:pPr>
            <w:r>
              <w:rPr>
                <w:sz w:val="20"/>
              </w:rPr>
              <w:t>Parties</w:t>
            </w:r>
          </w:p>
        </w:tc>
        <w:tc>
          <w:tcPr>
            <w:tcW w:w="5012" w:type="dxa"/>
            <w:gridSpan w:val="2"/>
          </w:tcPr>
          <w:p>
            <w:pPr>
              <w:pStyle w:val="yTableNAm"/>
              <w:tabs>
                <w:tab w:val="left" w:pos="3345"/>
              </w:tabs>
              <w:rPr>
                <w:sz w:val="20"/>
              </w:rPr>
            </w:pPr>
            <w:r>
              <w:rPr>
                <w:sz w:val="20"/>
              </w:rPr>
              <w:tab/>
            </w:r>
            <w:r>
              <w:rPr>
                <w:sz w:val="20"/>
              </w:rPr>
              <w:tab/>
              <w:t>Plaintiff</w:t>
            </w:r>
          </w:p>
          <w:p>
            <w:pPr>
              <w:pStyle w:val="yTableNAm"/>
              <w:tabs>
                <w:tab w:val="left" w:pos="3345"/>
              </w:tabs>
              <w:rPr>
                <w:sz w:val="20"/>
              </w:rPr>
            </w:pPr>
            <w:r>
              <w:rPr>
                <w:sz w:val="20"/>
              </w:rPr>
              <w:tab/>
            </w:r>
            <w:r>
              <w:rPr>
                <w:sz w:val="20"/>
              </w:rPr>
              <w:tab/>
              <w:t>Defendant</w:t>
            </w:r>
          </w:p>
        </w:tc>
      </w:tr>
      <w:tr>
        <w:trPr>
          <w:cantSplit/>
        </w:trPr>
        <w:tc>
          <w:tcPr>
            <w:tcW w:w="1418" w:type="dxa"/>
          </w:tcPr>
          <w:p>
            <w:pPr>
              <w:pStyle w:val="yTableNAm"/>
              <w:rPr>
                <w:sz w:val="20"/>
              </w:rPr>
            </w:pPr>
            <w:r>
              <w:rPr>
                <w:sz w:val="20"/>
              </w:rPr>
              <w:t>Trial details</w:t>
            </w:r>
          </w:p>
        </w:tc>
        <w:tc>
          <w:tcPr>
            <w:tcW w:w="5012" w:type="dxa"/>
            <w:gridSpan w:val="2"/>
          </w:tcPr>
          <w:p>
            <w:pPr>
              <w:pStyle w:val="yTableNAm"/>
              <w:rPr>
                <w:sz w:val="20"/>
              </w:rPr>
            </w:pPr>
            <w:r>
              <w:rPr>
                <w:sz w:val="20"/>
              </w:rPr>
              <w:t>This case was tried in the Supreme Court with a jury on [</w:t>
            </w:r>
            <w:r>
              <w:rPr>
                <w:i/>
                <w:sz w:val="20"/>
              </w:rPr>
              <w:t>date(s)</w:t>
            </w:r>
            <w:r>
              <w:rPr>
                <w:sz w:val="20"/>
              </w:rPr>
              <w:t>].</w:t>
            </w:r>
          </w:p>
        </w:tc>
      </w:tr>
      <w:tr>
        <w:trPr>
          <w:cantSplit/>
        </w:trPr>
        <w:tc>
          <w:tcPr>
            <w:tcW w:w="1418" w:type="dxa"/>
          </w:tcPr>
          <w:p>
            <w:pPr>
              <w:pStyle w:val="yTableNAm"/>
              <w:rPr>
                <w:sz w:val="20"/>
              </w:rPr>
            </w:pPr>
            <w:r>
              <w:rPr>
                <w:sz w:val="20"/>
              </w:rPr>
              <w:t>Jury’s findings</w:t>
            </w:r>
          </w:p>
        </w:tc>
        <w:tc>
          <w:tcPr>
            <w:tcW w:w="5012" w:type="dxa"/>
            <w:gridSpan w:val="2"/>
          </w:tcPr>
          <w:p>
            <w:pPr>
              <w:pStyle w:val="yTableNAm"/>
              <w:rPr>
                <w:sz w:val="20"/>
              </w:rPr>
            </w:pPr>
            <w:r>
              <w:rPr>
                <w:sz w:val="20"/>
              </w:rPr>
              <w:t>The jury found [</w:t>
            </w:r>
            <w:r>
              <w:rPr>
                <w:i/>
                <w:sz w:val="20"/>
              </w:rPr>
              <w:t>state finding as in officer’s certificate</w:t>
            </w:r>
            <w:r>
              <w:rPr>
                <w:sz w:val="20"/>
              </w:rPr>
              <w:t>].</w:t>
            </w:r>
          </w:p>
        </w:tc>
      </w:tr>
      <w:tr>
        <w:trPr>
          <w:cantSplit/>
        </w:trPr>
        <w:tc>
          <w:tcPr>
            <w:tcW w:w="1418" w:type="dxa"/>
          </w:tcPr>
          <w:p>
            <w:pPr>
              <w:pStyle w:val="yTableNAm"/>
              <w:rPr>
                <w:sz w:val="20"/>
              </w:rPr>
            </w:pPr>
            <w:r>
              <w:rPr>
                <w:sz w:val="20"/>
              </w:rPr>
              <w:t>Judgment</w:t>
            </w:r>
          </w:p>
        </w:tc>
        <w:tc>
          <w:tcPr>
            <w:tcW w:w="5012" w:type="dxa"/>
            <w:gridSpan w:val="2"/>
          </w:tcPr>
          <w:p>
            <w:pPr>
              <w:pStyle w:val="yTableNAm"/>
              <w:rPr>
                <w:sz w:val="20"/>
              </w:rPr>
            </w:pPr>
            <w:r>
              <w:rPr>
                <w:sz w:val="20"/>
              </w:rPr>
              <w:t>On [</w:t>
            </w:r>
            <w:r>
              <w:rPr>
                <w:i/>
                <w:sz w:val="20"/>
              </w:rPr>
              <w:t>date</w:t>
            </w:r>
            <w:r>
              <w:rPr>
                <w:sz w:val="20"/>
              </w:rPr>
              <w:t>] the Court ordered that judgment as described below be entered for the [</w:t>
            </w:r>
            <w:r>
              <w:rPr>
                <w:i/>
                <w:sz w:val="20"/>
              </w:rPr>
              <w:t>party</w:t>
            </w:r>
            <w:r>
              <w:rPr>
                <w:sz w:val="20"/>
              </w:rPr>
              <w:t>].</w:t>
            </w:r>
          </w:p>
        </w:tc>
      </w:tr>
      <w:tr>
        <w:trPr>
          <w:cantSplit/>
        </w:trPr>
        <w:tc>
          <w:tcPr>
            <w:tcW w:w="1418" w:type="dxa"/>
          </w:tcPr>
          <w:p>
            <w:pPr>
              <w:pStyle w:val="yTableNAm"/>
              <w:rPr>
                <w:sz w:val="20"/>
              </w:rPr>
            </w:pPr>
            <w:r>
              <w:rPr>
                <w:sz w:val="20"/>
              </w:rPr>
              <w:t>Judgment details</w:t>
            </w:r>
          </w:p>
        </w:tc>
        <w:tc>
          <w:tcPr>
            <w:tcW w:w="5012" w:type="dxa"/>
            <w:gridSpan w:val="2"/>
          </w:tcPr>
          <w:p>
            <w:pPr>
              <w:pStyle w:val="yTableNAm"/>
              <w:rPr>
                <w:sz w:val="20"/>
              </w:rPr>
            </w:pPr>
            <w:r>
              <w:rPr>
                <w:sz w:val="20"/>
              </w:rPr>
              <w:t>[</w:t>
            </w:r>
            <w:r>
              <w:rPr>
                <w:i/>
                <w:sz w:val="20"/>
              </w:rPr>
              <w:t>Set out the Court’s orders.</w:t>
            </w:r>
            <w:r>
              <w:rPr>
                <w:sz w:val="20"/>
              </w:rPr>
              <w:t>]</w:t>
            </w:r>
          </w:p>
          <w:p>
            <w:pPr>
              <w:pStyle w:val="yTableNAm"/>
              <w:rPr>
                <w:sz w:val="20"/>
              </w:rPr>
            </w:pPr>
            <w:r>
              <w:rPr>
                <w:sz w:val="20"/>
              </w:rPr>
              <w:t>[</w:t>
            </w:r>
            <w:r>
              <w:rPr>
                <w:i/>
                <w:sz w:val="20"/>
              </w:rPr>
              <w:t>Set out details of any taxation of costs as in Form 32.</w:t>
            </w:r>
            <w:r>
              <w:rPr>
                <w:sz w:val="20"/>
              </w:rPr>
              <w:t>]</w:t>
            </w:r>
          </w:p>
        </w:tc>
      </w:tr>
      <w:tr>
        <w:trPr>
          <w:cantSplit/>
        </w:trPr>
        <w:tc>
          <w:tcPr>
            <w:tcW w:w="1418" w:type="dxa"/>
          </w:tcPr>
          <w:p>
            <w:pPr>
              <w:pStyle w:val="yTableNAm"/>
            </w:pPr>
            <w:r>
              <w:rPr>
                <w:sz w:val="20"/>
              </w:rPr>
              <w:t>Date judgment entered</w:t>
            </w:r>
          </w:p>
        </w:tc>
        <w:tc>
          <w:tcPr>
            <w:tcW w:w="5012" w:type="dxa"/>
            <w:gridSpan w:val="2"/>
          </w:tcPr>
          <w:p>
            <w:pPr>
              <w:pStyle w:val="yTableNAm"/>
            </w:pPr>
            <w:r>
              <w:rPr>
                <w:sz w:val="20"/>
              </w:rPr>
              <w:t>Judgment dated and entered on [</w:t>
            </w:r>
            <w:r>
              <w:rPr>
                <w:i/>
                <w:sz w:val="20"/>
              </w:rPr>
              <w:t>date</w:t>
            </w:r>
            <w:r>
              <w:rPr>
                <w:sz w:val="20"/>
              </w:rPr>
              <w:t>].</w:t>
            </w:r>
          </w:p>
        </w:tc>
      </w:tr>
    </w:tbl>
    <w:p>
      <w:pPr>
        <w:pStyle w:val="yFootnotesection"/>
        <w:spacing w:before="100"/>
      </w:pPr>
      <w:r>
        <w:tab/>
        <w:t>[Form 40 inserted: Gazette 16 Aug 2017 p. 4422.]</w:t>
      </w:r>
    </w:p>
    <w:p>
      <w:pPr>
        <w:pStyle w:val="yHeading5"/>
        <w:keepNext w:val="0"/>
        <w:keepLines w:val="0"/>
        <w:widowControl w:val="0"/>
        <w:spacing w:before="480" w:after="120"/>
      </w:pPr>
      <w:bookmarkStart w:id="1540" w:name="_Toc129078560"/>
      <w:r>
        <w:rPr>
          <w:rStyle w:val="CharSClsNo"/>
        </w:rPr>
        <w:t>41</w:t>
      </w:r>
      <w:r>
        <w:t>.</w:t>
      </w:r>
      <w:r>
        <w:rPr>
          <w:b w:val="0"/>
        </w:rPr>
        <w:tab/>
      </w:r>
      <w:r>
        <w:t>Judgment after trial before master or special referee (O. 42 r. 1)</w:t>
      </w:r>
      <w:bookmarkEnd w:id="154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Gazette 30 Nov 1984 p. 3954; 28 Jun 2011 p. 2560.]</w:t>
      </w:r>
    </w:p>
    <w:p>
      <w:pPr>
        <w:pStyle w:val="yHeading5"/>
        <w:keepNext w:val="0"/>
        <w:keepLines w:val="0"/>
        <w:pageBreakBefore/>
        <w:spacing w:before="120" w:after="120"/>
      </w:pPr>
      <w:bookmarkStart w:id="1541" w:name="_Toc129078561"/>
      <w:r>
        <w:rPr>
          <w:rStyle w:val="CharSClsNo"/>
        </w:rPr>
        <w:lastRenderedPageBreak/>
        <w:t>42</w:t>
      </w:r>
      <w:r>
        <w:t>.</w:t>
      </w:r>
      <w:r>
        <w:rPr>
          <w:b w:val="0"/>
        </w:rPr>
        <w:tab/>
      </w:r>
      <w:r>
        <w:t>Judgment after decision of preliminary issue (O. 32 r. 7; O. 42 r. 1)</w:t>
      </w:r>
      <w:bookmarkEnd w:id="1541"/>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Gazette 28 Jun 2011 p. 2560.]</w:t>
      </w:r>
    </w:p>
    <w:p>
      <w:pPr>
        <w:pStyle w:val="yHeading5"/>
        <w:keepNext w:val="0"/>
        <w:keepLines w:val="0"/>
        <w:widowControl w:val="0"/>
        <w:spacing w:before="480" w:after="120"/>
      </w:pPr>
      <w:bookmarkStart w:id="1542" w:name="_Toc129078562"/>
      <w:r>
        <w:rPr>
          <w:rStyle w:val="CharSClsNo"/>
        </w:rPr>
        <w:t>43</w:t>
      </w:r>
      <w:r>
        <w:t>.</w:t>
      </w:r>
      <w:r>
        <w:rPr>
          <w:b w:val="0"/>
        </w:rPr>
        <w:tab/>
      </w:r>
      <w:r>
        <w:t>Judgment for defendant’s costs on discontinuance (O. 23 r. 2)</w:t>
      </w:r>
      <w:bookmarkEnd w:id="154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Gazette 28 Jun 2011 p. 2560.]</w:t>
      </w:r>
    </w:p>
    <w:p>
      <w:pPr>
        <w:pStyle w:val="yHeading5"/>
        <w:keepNext w:val="0"/>
        <w:keepLines w:val="0"/>
        <w:pageBreakBefore/>
        <w:spacing w:before="120" w:after="120"/>
      </w:pPr>
      <w:bookmarkStart w:id="1543" w:name="_Toc129078563"/>
      <w:r>
        <w:rPr>
          <w:rStyle w:val="CharSClsNo"/>
        </w:rPr>
        <w:lastRenderedPageBreak/>
        <w:t>44</w:t>
      </w:r>
      <w:r>
        <w:t>.</w:t>
      </w:r>
      <w:r>
        <w:rPr>
          <w:b w:val="0"/>
        </w:rPr>
        <w:tab/>
      </w:r>
      <w:r>
        <w:t>Judgment by consent (O. 42 r. 1(2))</w:t>
      </w:r>
      <w:bookmarkEnd w:id="154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701"/>
        <w:gridCol w:w="2552"/>
        <w:gridCol w:w="1540"/>
        <w:gridCol w:w="1295"/>
      </w:tblGrid>
      <w:tr>
        <w:trPr>
          <w:cantSplit/>
        </w:trPr>
        <w:tc>
          <w:tcPr>
            <w:tcW w:w="4253" w:type="dxa"/>
            <w:gridSpan w:val="2"/>
            <w:vMerge w:val="restart"/>
          </w:tcPr>
          <w:p>
            <w:pPr>
              <w:pStyle w:val="yTableNAm"/>
              <w:spacing w:before="0"/>
            </w:pPr>
            <w:r>
              <w:rPr>
                <w:sz w:val="20"/>
              </w:rPr>
              <w:t>In the Supreme Court of Western Australia</w:t>
            </w:r>
          </w:p>
          <w:p>
            <w:pPr>
              <w:pStyle w:val="zyTableNAm"/>
              <w:spacing w:before="0"/>
              <w:rPr>
                <w:sz w:val="20"/>
              </w:rPr>
            </w:pPr>
          </w:p>
        </w:tc>
        <w:tc>
          <w:tcPr>
            <w:tcW w:w="2835" w:type="dxa"/>
            <w:gridSpan w:val="2"/>
            <w:tcBorders>
              <w:bottom w:val="nil"/>
            </w:tcBorders>
            <w:vAlign w:val="center"/>
          </w:tcPr>
          <w:p>
            <w:pPr>
              <w:pStyle w:val="yTableNAm"/>
              <w:spacing w:before="0"/>
            </w:pPr>
            <w:r>
              <w:rPr>
                <w:sz w:val="20"/>
              </w:rPr>
              <w:t>No:</w:t>
            </w:r>
          </w:p>
        </w:tc>
      </w:tr>
      <w:tr>
        <w:trPr>
          <w:cantSplit/>
        </w:trPr>
        <w:tc>
          <w:tcPr>
            <w:tcW w:w="4253" w:type="dxa"/>
            <w:gridSpan w:val="2"/>
            <w:vMerge/>
            <w:tcBorders>
              <w:bottom w:val="single" w:sz="4" w:space="0" w:color="auto"/>
            </w:tcBorders>
          </w:tcPr>
          <w:p>
            <w:pPr>
              <w:pStyle w:val="zyTableNAm"/>
              <w:spacing w:before="0"/>
              <w:rPr>
                <w:sz w:val="20"/>
              </w:rPr>
            </w:pPr>
          </w:p>
        </w:tc>
        <w:tc>
          <w:tcPr>
            <w:tcW w:w="2835" w:type="dxa"/>
            <w:gridSpan w:val="2"/>
            <w:tcBorders>
              <w:bottom w:val="single" w:sz="4" w:space="0" w:color="auto"/>
            </w:tcBorders>
          </w:tcPr>
          <w:p>
            <w:pPr>
              <w:pStyle w:val="yTableNAm"/>
              <w:spacing w:before="0"/>
            </w:pPr>
            <w:r>
              <w:rPr>
                <w:b/>
                <w:sz w:val="20"/>
              </w:rPr>
              <w:t xml:space="preserve">Judgment by consent </w:t>
            </w:r>
          </w:p>
        </w:tc>
      </w:tr>
      <w:tr>
        <w:trPr>
          <w:cantSplit/>
        </w:trPr>
        <w:tc>
          <w:tcPr>
            <w:tcW w:w="1701" w:type="dxa"/>
            <w:tcBorders>
              <w:bottom w:val="single" w:sz="4" w:space="0" w:color="auto"/>
              <w:right w:val="nil"/>
            </w:tcBorders>
          </w:tcPr>
          <w:p>
            <w:pPr>
              <w:pStyle w:val="yTableNAm"/>
              <w:spacing w:before="0"/>
            </w:pPr>
            <w:r>
              <w:rPr>
                <w:sz w:val="20"/>
              </w:rPr>
              <w:t>Parties</w:t>
            </w:r>
          </w:p>
        </w:tc>
        <w:tc>
          <w:tcPr>
            <w:tcW w:w="5387" w:type="dxa"/>
            <w:gridSpan w:val="3"/>
            <w:tcBorders>
              <w:left w:val="nil"/>
              <w:bottom w:val="single" w:sz="4" w:space="0" w:color="auto"/>
            </w:tcBorders>
          </w:tcPr>
          <w:p>
            <w:pPr>
              <w:pStyle w:val="yTableNAm"/>
              <w:tabs>
                <w:tab w:val="clear" w:pos="567"/>
                <w:tab w:val="left" w:pos="3943"/>
              </w:tabs>
              <w:spacing w:before="0"/>
            </w:pPr>
            <w:r>
              <w:rPr>
                <w:sz w:val="20"/>
              </w:rPr>
              <w:tab/>
              <w:t>Plaintiff</w:t>
            </w:r>
          </w:p>
          <w:p>
            <w:pPr>
              <w:pStyle w:val="yTableNAm"/>
              <w:tabs>
                <w:tab w:val="clear" w:pos="567"/>
                <w:tab w:val="left" w:pos="3943"/>
              </w:tabs>
              <w:spacing w:before="0"/>
              <w:rPr>
                <w:sz w:val="20"/>
              </w:rPr>
            </w:pPr>
            <w:r>
              <w:tab/>
            </w:r>
            <w:r>
              <w:rPr>
                <w:sz w:val="20"/>
              </w:rPr>
              <w:t>Defendant</w:t>
            </w:r>
          </w:p>
        </w:tc>
      </w:tr>
      <w:tr>
        <w:trPr>
          <w:cantSplit/>
        </w:trPr>
        <w:tc>
          <w:tcPr>
            <w:tcW w:w="1701" w:type="dxa"/>
            <w:tcBorders>
              <w:top w:val="single" w:sz="4" w:space="0" w:color="auto"/>
              <w:bottom w:val="single" w:sz="4" w:space="0" w:color="auto"/>
            </w:tcBorders>
          </w:tcPr>
          <w:p>
            <w:pPr>
              <w:pStyle w:val="yTableNAm"/>
              <w:spacing w:before="0"/>
            </w:pPr>
            <w:r>
              <w:rPr>
                <w:sz w:val="20"/>
              </w:rPr>
              <w:t>Judgment</w:t>
            </w:r>
          </w:p>
        </w:tc>
        <w:tc>
          <w:tcPr>
            <w:tcW w:w="5387" w:type="dxa"/>
            <w:gridSpan w:val="3"/>
            <w:tcBorders>
              <w:top w:val="single" w:sz="4" w:space="0" w:color="auto"/>
              <w:bottom w:val="single" w:sz="4" w:space="0" w:color="auto"/>
            </w:tcBorders>
          </w:tcPr>
          <w:p>
            <w:pPr>
              <w:pStyle w:val="yTableNAm"/>
              <w:spacing w:before="0"/>
            </w:pPr>
            <w:r>
              <w:rPr>
                <w:sz w:val="20"/>
              </w:rPr>
              <w:t xml:space="preserve">In accordance with the consent of the parties, the Court orders — </w:t>
            </w:r>
          </w:p>
          <w:p>
            <w:pPr>
              <w:pStyle w:val="yTableNAm"/>
              <w:spacing w:before="0"/>
            </w:pPr>
            <w:r>
              <w:t>1.</w:t>
            </w:r>
          </w:p>
          <w:p>
            <w:pPr>
              <w:pStyle w:val="yTableNAm"/>
              <w:spacing w:before="0"/>
            </w:pPr>
            <w:r>
              <w:t>2.</w:t>
            </w:r>
          </w:p>
        </w:tc>
      </w:tr>
      <w:tr>
        <w:trPr>
          <w:cantSplit/>
        </w:trPr>
        <w:tc>
          <w:tcPr>
            <w:tcW w:w="1701" w:type="dxa"/>
            <w:tcBorders>
              <w:top w:val="single" w:sz="4" w:space="0" w:color="auto"/>
              <w:bottom w:val="single" w:sz="4" w:space="0" w:color="auto"/>
            </w:tcBorders>
          </w:tcPr>
          <w:p>
            <w:pPr>
              <w:pStyle w:val="yTableNAm"/>
              <w:spacing w:before="0"/>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pPr>
            <w:r>
              <w:rPr>
                <w:sz w:val="20"/>
              </w:rPr>
              <w:t>Judicial officer</w:t>
            </w:r>
          </w:p>
        </w:tc>
        <w:tc>
          <w:tcPr>
            <w:tcW w:w="1295" w:type="dxa"/>
            <w:tcBorders>
              <w:top w:val="single" w:sz="4" w:space="0" w:color="auto"/>
              <w:bottom w:val="single" w:sz="4" w:space="0" w:color="auto"/>
            </w:tcBorders>
          </w:tcPr>
          <w:p>
            <w:pPr>
              <w:pStyle w:val="yTableNAm"/>
              <w:spacing w:before="0"/>
            </w:pPr>
            <w:r>
              <w:rPr>
                <w:sz w:val="20"/>
              </w:rPr>
              <w:t>Date:</w:t>
            </w:r>
          </w:p>
        </w:tc>
      </w:tr>
    </w:tbl>
    <w:p>
      <w:pPr>
        <w:pStyle w:val="yFootnotesection"/>
      </w:pPr>
      <w:r>
        <w:tab/>
        <w:t>[Form 44 inserted: Gazette 12 Jun 2012 p. 2452.]</w:t>
      </w:r>
    </w:p>
    <w:p>
      <w:pPr>
        <w:pStyle w:val="yEdnotedivision"/>
        <w:spacing w:before="180"/>
        <w:outlineLvl w:val="9"/>
      </w:pPr>
      <w:r>
        <w:t>[Forms 45</w:t>
      </w:r>
      <w:r>
        <w:noBreakHyphen/>
        <w:t>59 deleted: Gazette 21 Feb 2007 p. 553.]</w:t>
      </w:r>
    </w:p>
    <w:p>
      <w:pPr>
        <w:pStyle w:val="yHeading5"/>
        <w:keepNext w:val="0"/>
        <w:keepLines w:val="0"/>
        <w:widowControl w:val="0"/>
        <w:spacing w:before="480" w:after="120"/>
      </w:pPr>
      <w:bookmarkStart w:id="1544" w:name="_Toc129078564"/>
      <w:r>
        <w:rPr>
          <w:rStyle w:val="CharSClsNo"/>
        </w:rPr>
        <w:t>60</w:t>
      </w:r>
      <w:r>
        <w:t>.</w:t>
      </w:r>
      <w:r>
        <w:rPr>
          <w:b w:val="0"/>
        </w:rPr>
        <w:tab/>
      </w:r>
      <w:r>
        <w:t>Summons for appointment of receiver (O. 51 r. 1)</w:t>
      </w:r>
      <w:bookmarkEnd w:id="154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Gazette 21 Feb 2007 p. 553; 28 Jun 2011 p. 2560; 16 Nov 2016 p. 5216; 16 Aug 2017 p. 4422</w:t>
      </w:r>
      <w:r>
        <w:noBreakHyphen/>
        <w:t>3.]</w:t>
      </w:r>
    </w:p>
    <w:p>
      <w:pPr>
        <w:pStyle w:val="yHeading5"/>
        <w:pageBreakBefore/>
      </w:pPr>
      <w:bookmarkStart w:id="1545" w:name="_Toc129078565"/>
      <w:r>
        <w:rPr>
          <w:rStyle w:val="CharSClsNo"/>
        </w:rPr>
        <w:lastRenderedPageBreak/>
        <w:t>61</w:t>
      </w:r>
      <w:r>
        <w:t>.</w:t>
      </w:r>
      <w:r>
        <w:rPr>
          <w:b w:val="0"/>
        </w:rPr>
        <w:tab/>
      </w:r>
      <w:r>
        <w:t>Order directing summons for appointment of receiver and granting injunction meanwhile (O. 51 r. 1)</w:t>
      </w:r>
      <w:bookmarkEnd w:id="154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Supreme Court, David Malcolm Justice Centre, 28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Gazette 21 Feb 2007 p. 553</w:t>
      </w:r>
      <w:r>
        <w:noBreakHyphen/>
        <w:t>4; 28 Jun 2011 p. 2560; 16 Nov 2016 p. 5216; 16 Aug 2017 p. 4423.]</w:t>
      </w:r>
    </w:p>
    <w:p>
      <w:pPr>
        <w:pStyle w:val="yHeading5"/>
        <w:pageBreakBefore/>
        <w:spacing w:before="0" w:after="120"/>
      </w:pPr>
      <w:bookmarkStart w:id="1546" w:name="_Toc129078566"/>
      <w:r>
        <w:rPr>
          <w:rStyle w:val="CharSClsNo"/>
        </w:rPr>
        <w:lastRenderedPageBreak/>
        <w:t>62</w:t>
      </w:r>
      <w:r>
        <w:t>.</w:t>
      </w:r>
      <w:r>
        <w:rPr>
          <w:b w:val="0"/>
        </w:rPr>
        <w:tab/>
      </w:r>
      <w:r>
        <w:t>Receiver order (interim) (O. 51 r. 1)</w:t>
      </w:r>
      <w:bookmarkEnd w:id="154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Gazette 28 Jun 2011 p. 2560.]</w:t>
      </w:r>
    </w:p>
    <w:p>
      <w:pPr>
        <w:pStyle w:val="yEdnotedivision"/>
        <w:spacing w:before="180"/>
        <w:outlineLvl w:val="9"/>
      </w:pPr>
      <w:r>
        <w:t>[Form 63 deleted: Gazette 16 Aug 2017 p. 4423.]</w:t>
      </w:r>
    </w:p>
    <w:p>
      <w:pPr>
        <w:pStyle w:val="yHeading5"/>
      </w:pPr>
      <w:bookmarkStart w:id="1547" w:name="_Toc129078567"/>
      <w:r>
        <w:t>64.</w:t>
      </w:r>
      <w:r>
        <w:tab/>
        <w:t>Notice of originating motion (O. 54 r. 5)</w:t>
      </w:r>
      <w:bookmarkEnd w:id="1547"/>
    </w:p>
    <w:p>
      <w:pPr>
        <w:pStyle w:val="yMiscellaneousBody"/>
      </w:pPr>
      <w:r>
        <w:rPr>
          <w:sz w:val="20"/>
        </w:rPr>
        <w:t>In the Supreme Court of Western Australia</w:t>
      </w:r>
      <w:r>
        <w:rPr>
          <w:sz w:val="20"/>
        </w:rPr>
        <w:br/>
        <w:t xml:space="preserve">*General Division/Court of Appeal </w:t>
      </w:r>
      <w:r>
        <w:rPr>
          <w:sz w:val="20"/>
        </w:rPr>
        <w:tab/>
        <w:t xml:space="preserve">No.                          </w:t>
      </w:r>
    </w:p>
    <w:p>
      <w:pPr>
        <w:pStyle w:val="yMiscellaneousBody"/>
        <w:jc w:val="right"/>
        <w:rPr>
          <w:b/>
        </w:rPr>
      </w:pPr>
      <w:r>
        <w:rPr>
          <w:b/>
        </w:rPr>
        <w:tab/>
        <w:t>Notice of originating motion</w:t>
      </w:r>
    </w:p>
    <w:p>
      <w:pPr>
        <w:pStyle w:val="yMiscellaneousBody"/>
        <w:tabs>
          <w:tab w:val="left" w:pos="4536"/>
        </w:tabs>
      </w:pPr>
      <w:r>
        <w:t>Parties</w:t>
      </w:r>
      <w:r>
        <w:tab/>
        <w:t>Plaintiff</w:t>
      </w:r>
    </w:p>
    <w:p>
      <w:pPr>
        <w:pStyle w:val="yMiscellaneousBody"/>
        <w:tabs>
          <w:tab w:val="left" w:pos="4536"/>
        </w:tabs>
      </w:pPr>
      <w:r>
        <w:tab/>
        <w:t>Defendant</w:t>
      </w:r>
    </w:p>
    <w:p>
      <w:pPr>
        <w:pStyle w:val="yMiscellaneousBody"/>
      </w:pPr>
      <w:r>
        <w:t>Notice</w:t>
      </w:r>
    </w:p>
    <w:p>
      <w:pPr>
        <w:pStyle w:val="yMiscellaneousBody"/>
      </w:pPr>
      <w:r>
        <w:t>At the hearing below in the *Supreme Court/Court of Appeal, the [</w:t>
      </w:r>
      <w:r>
        <w:rPr>
          <w:i/>
        </w:rPr>
        <w:t>name of party</w:t>
      </w:r>
      <w:r>
        <w:t>] will apply for [</w:t>
      </w:r>
      <w:r>
        <w:rPr>
          <w:i/>
        </w:rPr>
        <w:t>state concisely the nature of the claim or the relief or remedy sought</w:t>
      </w:r>
      <w:r>
        <w:t>].</w:t>
      </w:r>
    </w:p>
    <w:p>
      <w:pPr>
        <w:pStyle w:val="yMiscellaneousBody"/>
      </w:pPr>
      <w:r>
        <w:lastRenderedPageBreak/>
        <w:t>Grounds of application</w:t>
      </w:r>
    </w:p>
    <w:p>
      <w:pPr>
        <w:pStyle w:val="yMiscellaneousBody"/>
      </w:pPr>
      <w:r>
        <w:t xml:space="preserve">The grounds of the application are: </w:t>
      </w:r>
      <w:r>
        <w:br/>
        <w:t>[</w:t>
      </w:r>
      <w:r>
        <w:rPr>
          <w:i/>
        </w:rPr>
        <w:t>State grounds in numbered paragraphs</w:t>
      </w:r>
      <w:r>
        <w:t>]</w:t>
      </w:r>
    </w:p>
    <w:p>
      <w:pPr>
        <w:pStyle w:val="yMiscellaneousBody"/>
      </w:pPr>
      <w:r>
        <w:t>Hearing details</w:t>
      </w:r>
    </w:p>
    <w:p>
      <w:pPr>
        <w:pStyle w:val="yMiscellaneousBody"/>
      </w:pPr>
      <w:r>
        <w:t>The court will hear this application —</w:t>
      </w:r>
      <w:r>
        <w:br/>
        <w:t>on [</w:t>
      </w:r>
      <w:r>
        <w:rPr>
          <w:i/>
        </w:rPr>
        <w:t>date</w:t>
      </w:r>
      <w:r>
        <w:t>] at [</w:t>
      </w:r>
      <w:r>
        <w:rPr>
          <w:i/>
        </w:rPr>
        <w:t>time</w:t>
      </w:r>
      <w:r>
        <w:t>],</w:t>
      </w:r>
      <w:r>
        <w:br/>
        <w:t>at the *Supreme Court, David Malcolm Justice Centre, 28 Barrack Street, Perth.</w:t>
      </w:r>
      <w:r>
        <w:br/>
        <w:t>*Supreme Court of Western Australia, Court of Appeal, Stirling Gardens, Barrack Street, Perth.</w:t>
      </w:r>
    </w:p>
    <w:p>
      <w:pPr>
        <w:pStyle w:val="yMiscellaneousBody"/>
      </w:pPr>
      <w:r>
        <w:t>*Short notice</w:t>
      </w:r>
    </w:p>
    <w:p>
      <w:pPr>
        <w:pStyle w:val="yMiscellaneousBody"/>
      </w:pPr>
      <w:r>
        <w:t>On [</w:t>
      </w:r>
      <w:r>
        <w:rPr>
          <w:i/>
        </w:rPr>
        <w:t>date</w:t>
      </w:r>
      <w:r>
        <w:t xml:space="preserve">], under the </w:t>
      </w:r>
      <w:r>
        <w:rPr>
          <w:i/>
        </w:rPr>
        <w:t>Rules of the Supreme Court 1971</w:t>
      </w:r>
      <w:r>
        <w:t xml:space="preserve"> Order 54 rule 4, the Court abridged the time for serving this notice.</w:t>
      </w:r>
    </w:p>
    <w:p>
      <w:pPr>
        <w:pStyle w:val="yMiscellaneousBody"/>
      </w:pPr>
      <w:r>
        <w:t>Applicant’s service details</w:t>
      </w:r>
      <w:r>
        <w:rPr>
          <w:vertAlign w:val="superscript"/>
        </w:rPr>
        <w:t>1</w:t>
      </w:r>
    </w:p>
    <w:p>
      <w:pPr>
        <w:pStyle w:val="yMiscellaneousBody"/>
      </w:pPr>
      <w:r>
        <w:t>*Name of lawyer:</w:t>
      </w:r>
      <w:r>
        <w:br/>
        <w:t>*Address where lawyer conducts business:</w:t>
      </w:r>
      <w:r>
        <w:br/>
        <w:t>Postal address for service of documents:</w:t>
      </w:r>
      <w:r>
        <w:br/>
        <w:t>*Email address:</w:t>
      </w:r>
      <w:r>
        <w:br/>
        <w:t>*Fax no.: ........................................... *Telephone no.: .........................</w:t>
      </w:r>
    </w:p>
    <w:p>
      <w:pPr>
        <w:pStyle w:val="yMiscellaneousBody"/>
      </w:pPr>
      <w:r>
        <w:t>Applicant’s signature</w:t>
      </w:r>
    </w:p>
    <w:p>
      <w:pPr>
        <w:pStyle w:val="yMiscellaneousBody"/>
      </w:pPr>
      <w:r>
        <w:t>..........................................................</w:t>
      </w:r>
      <w:r>
        <w:tab/>
        <w:t>Date: ..............................</w:t>
      </w:r>
      <w:r>
        <w:br/>
        <w:t>Applicant/Applicant’s lawyer</w:t>
      </w:r>
    </w:p>
    <w:p>
      <w:pPr>
        <w:pStyle w:val="PermNoteHeading"/>
        <w:tabs>
          <w:tab w:val="left" w:pos="567"/>
          <w:tab w:val="left" w:pos="1276"/>
        </w:tabs>
        <w:ind w:left="1418" w:hanging="1334"/>
        <w:rPr>
          <w:szCs w:val="18"/>
        </w:rPr>
      </w:pPr>
      <w:r>
        <w:rPr>
          <w:szCs w:val="18"/>
        </w:rPr>
        <w:t>Footnotes to Form 64 —</w:t>
      </w:r>
    </w:p>
    <w:p>
      <w:pPr>
        <w:pStyle w:val="PermNotePara"/>
        <w:tabs>
          <w:tab w:val="clear" w:pos="1843"/>
          <w:tab w:val="left" w:pos="1276"/>
        </w:tabs>
        <w:ind w:left="658" w:hanging="567"/>
        <w:rPr>
          <w:szCs w:val="18"/>
        </w:rPr>
      </w:pPr>
      <w:r>
        <w:rPr>
          <w:szCs w:val="18"/>
        </w:rPr>
        <w:t>*</w:t>
      </w:r>
      <w:r>
        <w:rPr>
          <w:szCs w:val="18"/>
        </w:rPr>
        <w:tab/>
        <w:t>Delete the inapplicable.</w:t>
      </w:r>
    </w:p>
    <w:p>
      <w:pPr>
        <w:pStyle w:val="PermNotePara"/>
        <w:tabs>
          <w:tab w:val="clear" w:pos="1843"/>
          <w:tab w:val="left" w:pos="1276"/>
        </w:tabs>
        <w:ind w:left="658" w:hanging="567"/>
        <w:rPr>
          <w:szCs w:val="18"/>
        </w:rPr>
      </w:pPr>
      <w:r>
        <w:rPr>
          <w:szCs w:val="18"/>
        </w:rPr>
        <w:t>1.</w:t>
      </w:r>
      <w:r>
        <w:rPr>
          <w:szCs w:val="18"/>
        </w:rPr>
        <w:tab/>
        <w:t>Must be provided unless otherwise ordered by the Court.  See Order 71A r. 2 and 3A.</w:t>
      </w:r>
    </w:p>
    <w:p>
      <w:pPr>
        <w:pStyle w:val="yFootnotesection"/>
      </w:pPr>
      <w:r>
        <w:tab/>
        <w:t>[Form 64 inserted: Gazette 16 Aug 2017 p. 4424</w:t>
      </w:r>
      <w:r>
        <w:noBreakHyphen/>
        <w:t>5.]</w:t>
      </w:r>
    </w:p>
    <w:p>
      <w:pPr>
        <w:pStyle w:val="yHeading5"/>
      </w:pPr>
      <w:bookmarkStart w:id="1548" w:name="_Toc129078568"/>
      <w:r>
        <w:rPr>
          <w:rStyle w:val="CharSClsNo"/>
        </w:rPr>
        <w:t>65</w:t>
      </w:r>
      <w:r>
        <w:t>.</w:t>
      </w:r>
      <w:r>
        <w:rPr>
          <w:b w:val="0"/>
        </w:rPr>
        <w:tab/>
      </w:r>
      <w:r>
        <w:t>Notice of motion (O. 54 r. 5)</w:t>
      </w:r>
      <w:bookmarkEnd w:id="1548"/>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will be moved on the          day of                                 20       at</w:t>
      </w:r>
      <w:r>
        <w:rPr>
          <w:sz w:val="20"/>
        </w:rPr>
        <w:br/>
        <w:t xml:space="preserve">                       o’clock in the              noon, or so soon thereafter as counsel can be heard, </w:t>
      </w:r>
      <w:r>
        <w:rPr>
          <w:sz w:val="20"/>
        </w:rPr>
        <w:lastRenderedPageBreak/>
        <w:t>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Gazette 28 Jun 2011 p. 2560; 16 Aug 2017 p. 4423.]</w:t>
      </w:r>
    </w:p>
    <w:p>
      <w:pPr>
        <w:pStyle w:val="yHeading5"/>
        <w:spacing w:before="480" w:after="120"/>
      </w:pPr>
      <w:bookmarkStart w:id="1549" w:name="_Toc129078569"/>
      <w:r>
        <w:rPr>
          <w:rStyle w:val="CharSClsNo"/>
        </w:rPr>
        <w:t>66</w:t>
      </w:r>
      <w:r>
        <w:t>.</w:t>
      </w:r>
      <w:r>
        <w:rPr>
          <w:b w:val="0"/>
        </w:rPr>
        <w:tab/>
      </w:r>
      <w:r>
        <w:t>Order of committal (O. 55 r. 7(4))</w:t>
      </w:r>
      <w:bookmarkEnd w:id="1549"/>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r>
        <w:tab/>
        <w:t>[Form 66 amended: Gazette 28 Jun 2011 p. 2561.]</w:t>
      </w:r>
    </w:p>
    <w:p>
      <w:pPr>
        <w:pStyle w:val="yHeading5"/>
        <w:spacing w:before="480" w:after="120"/>
      </w:pPr>
      <w:bookmarkStart w:id="1550" w:name="_Toc129078570"/>
      <w:r>
        <w:rPr>
          <w:rStyle w:val="CharSClsNo"/>
        </w:rPr>
        <w:t>67A</w:t>
      </w:r>
      <w:r>
        <w:t>.</w:t>
      </w:r>
      <w:r>
        <w:tab/>
        <w:t>Application for judicial review (O. 56 r. 2)</w:t>
      </w:r>
      <w:bookmarkEnd w:id="1550"/>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985"/>
        <w:gridCol w:w="1559"/>
        <w:gridCol w:w="142"/>
        <w:gridCol w:w="1701"/>
        <w:gridCol w:w="1551"/>
        <w:gridCol w:w="8"/>
      </w:tblGrid>
      <w:tr>
        <w:trPr>
          <w:cantSplit/>
        </w:trPr>
        <w:tc>
          <w:tcPr>
            <w:tcW w:w="3686" w:type="dxa"/>
            <w:gridSpan w:val="3"/>
            <w:vMerge w:val="restart"/>
          </w:tcPr>
          <w:p>
            <w:pPr>
              <w:pStyle w:val="yTableNAm"/>
              <w:rPr>
                <w:sz w:val="20"/>
              </w:rPr>
            </w:pPr>
            <w:r>
              <w:rPr>
                <w:sz w:val="20"/>
              </w:rPr>
              <w:t>Supreme Court of Western Australia</w:t>
            </w:r>
          </w:p>
        </w:tc>
        <w:tc>
          <w:tcPr>
            <w:tcW w:w="3260" w:type="dxa"/>
            <w:gridSpan w:val="3"/>
            <w:tcBorders>
              <w:bottom w:val="nil"/>
            </w:tcBorders>
            <w:vAlign w:val="center"/>
          </w:tcPr>
          <w:p>
            <w:pPr>
              <w:pStyle w:val="yTableNAm"/>
              <w:rPr>
                <w:sz w:val="20"/>
              </w:rPr>
            </w:pPr>
            <w:r>
              <w:rPr>
                <w:sz w:val="20"/>
              </w:rPr>
              <w:t>No:</w:t>
            </w:r>
          </w:p>
        </w:tc>
      </w:tr>
      <w:tr>
        <w:trPr>
          <w:cantSplit/>
        </w:trPr>
        <w:tc>
          <w:tcPr>
            <w:tcW w:w="3686" w:type="dxa"/>
            <w:gridSpan w:val="3"/>
            <w:vMerge/>
            <w:tcBorders>
              <w:bottom w:val="single" w:sz="4" w:space="0" w:color="auto"/>
            </w:tcBorders>
          </w:tcPr>
          <w:p>
            <w:pPr>
              <w:pStyle w:val="yTableNAm"/>
              <w:rPr>
                <w:sz w:val="20"/>
              </w:rPr>
            </w:pPr>
          </w:p>
        </w:tc>
        <w:tc>
          <w:tcPr>
            <w:tcW w:w="3260" w:type="dxa"/>
            <w:gridSpan w:val="3"/>
            <w:tcBorders>
              <w:bottom w:val="single" w:sz="4" w:space="0" w:color="auto"/>
            </w:tcBorders>
          </w:tcPr>
          <w:p>
            <w:pPr>
              <w:pStyle w:val="yTableNAm"/>
              <w:spacing w:before="0"/>
              <w:rPr>
                <w:sz w:val="20"/>
              </w:rPr>
            </w:pPr>
            <w:r>
              <w:rPr>
                <w:b/>
                <w:sz w:val="20"/>
              </w:rPr>
              <w:t>Application for judicial review</w:t>
            </w:r>
          </w:p>
        </w:tc>
      </w:tr>
      <w:tr>
        <w:trPr>
          <w:cantSplit/>
        </w:trPr>
        <w:tc>
          <w:tcPr>
            <w:tcW w:w="1985" w:type="dxa"/>
            <w:tcBorders>
              <w:top w:val="single" w:sz="4" w:space="0" w:color="auto"/>
              <w:bottom w:val="single" w:sz="4" w:space="0" w:color="auto"/>
            </w:tcBorders>
          </w:tcPr>
          <w:p>
            <w:pPr>
              <w:pStyle w:val="yTableNAm"/>
              <w:rPr>
                <w:sz w:val="20"/>
              </w:rPr>
            </w:pPr>
            <w:r>
              <w:rPr>
                <w:sz w:val="20"/>
              </w:rPr>
              <w:t>Applicant</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lastRenderedPageBreak/>
              <w:t>Respondent</w:t>
            </w:r>
            <w:r>
              <w:rPr>
                <w:sz w:val="20"/>
                <w:vertAlign w:val="superscript"/>
              </w:rPr>
              <w:t>1</w:t>
            </w:r>
          </w:p>
        </w:tc>
        <w:tc>
          <w:tcPr>
            <w:tcW w:w="4961" w:type="dxa"/>
            <w:gridSpan w:val="5"/>
            <w:tcBorders>
              <w:top w:val="single" w:sz="4" w:space="0" w:color="auto"/>
              <w:bottom w:val="single" w:sz="4" w:space="0" w:color="auto"/>
            </w:tcBorders>
          </w:tcPr>
          <w:p>
            <w:pPr>
              <w:pStyle w:val="yTableNAm"/>
              <w:rPr>
                <w:sz w:val="20"/>
              </w:rPr>
            </w:pPr>
            <w:r>
              <w:rPr>
                <w:sz w:val="20"/>
              </w:rPr>
              <w:t xml:space="preserve">Name: </w:t>
            </w:r>
          </w:p>
          <w:p>
            <w:pPr>
              <w:pStyle w:val="yTableNAm"/>
              <w:rPr>
                <w:sz w:val="20"/>
              </w:rPr>
            </w:pPr>
            <w:r>
              <w:rPr>
                <w:sz w:val="20"/>
              </w:rPr>
              <w:t>Office:</w:t>
            </w:r>
          </w:p>
        </w:tc>
      </w:tr>
      <w:tr>
        <w:trPr>
          <w:cantSplit/>
        </w:trPr>
        <w:tc>
          <w:tcPr>
            <w:tcW w:w="1985" w:type="dxa"/>
            <w:tcBorders>
              <w:top w:val="single" w:sz="4" w:space="0" w:color="auto"/>
              <w:bottom w:val="single" w:sz="4" w:space="0" w:color="auto"/>
            </w:tcBorders>
          </w:tcPr>
          <w:p>
            <w:pPr>
              <w:pStyle w:val="yTableNAm"/>
              <w:rPr>
                <w:sz w:val="20"/>
              </w:rPr>
            </w:pPr>
            <w:r>
              <w:rPr>
                <w:sz w:val="20"/>
              </w:rPr>
              <w:t>Other parties</w:t>
            </w:r>
          </w:p>
        </w:tc>
        <w:tc>
          <w:tcPr>
            <w:tcW w:w="4961" w:type="dxa"/>
            <w:gridSpan w:val="5"/>
            <w:tcBorders>
              <w:top w:val="single" w:sz="4" w:space="0" w:color="auto"/>
              <w:bottom w:val="single" w:sz="4" w:space="0" w:color="auto"/>
            </w:tcBorders>
          </w:tcPr>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Decision or conduct to be reviewed</w:t>
            </w:r>
          </w:p>
        </w:tc>
        <w:tc>
          <w:tcPr>
            <w:tcW w:w="4961" w:type="dxa"/>
            <w:gridSpan w:val="5"/>
            <w:tcBorders>
              <w:top w:val="single" w:sz="4" w:space="0" w:color="auto"/>
              <w:bottom w:val="single" w:sz="4" w:space="0" w:color="auto"/>
            </w:tcBorders>
          </w:tcPr>
          <w:p>
            <w:pPr>
              <w:pStyle w:val="yTableNAm"/>
              <w:rPr>
                <w:sz w:val="20"/>
              </w:rPr>
            </w:pPr>
            <w:r>
              <w:rPr>
                <w:sz w:val="20"/>
              </w:rPr>
              <w:t>Date:</w:t>
            </w:r>
          </w:p>
          <w:p>
            <w:pPr>
              <w:pStyle w:val="yTableNAm"/>
              <w:rPr>
                <w:sz w:val="20"/>
              </w:rPr>
            </w:pPr>
            <w:r>
              <w:rPr>
                <w:sz w:val="20"/>
              </w:rPr>
              <w:t>Where made or occurring:</w:t>
            </w:r>
          </w:p>
          <w:p>
            <w:pPr>
              <w:pStyle w:val="yTableNAm"/>
              <w:rPr>
                <w:sz w:val="20"/>
              </w:rPr>
            </w:pPr>
            <w:r>
              <w:rPr>
                <w:sz w:val="20"/>
              </w:rPr>
              <w:t>Written law governing:</w:t>
            </w:r>
          </w:p>
          <w:p>
            <w:pPr>
              <w:pStyle w:val="yTableNAm"/>
              <w:rPr>
                <w:sz w:val="20"/>
              </w:rPr>
            </w:pPr>
            <w:r>
              <w:rPr>
                <w:sz w:val="20"/>
              </w:rPr>
              <w:t>Description:</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Application</w:t>
            </w:r>
            <w:r>
              <w:rPr>
                <w:sz w:val="20"/>
                <w:vertAlign w:val="superscript"/>
              </w:rPr>
              <w:t>2</w:t>
            </w:r>
          </w:p>
        </w:tc>
        <w:tc>
          <w:tcPr>
            <w:tcW w:w="4961" w:type="dxa"/>
            <w:gridSpan w:val="5"/>
            <w:tcBorders>
              <w:top w:val="single" w:sz="4" w:space="0" w:color="auto"/>
              <w:bottom w:val="single" w:sz="4" w:space="0" w:color="auto"/>
            </w:tcBorders>
          </w:tcPr>
          <w:p>
            <w:pPr>
              <w:pStyle w:val="yTableNAm"/>
              <w:rPr>
                <w:sz w:val="20"/>
              </w:rPr>
            </w:pPr>
            <w:r>
              <w:rPr>
                <w:sz w:val="20"/>
              </w:rPr>
              <w:t>The applicant applies for judicial review of the above decision or conduct and —</w:t>
            </w:r>
          </w:p>
          <w:p>
            <w:pPr>
              <w:pStyle w:val="yTableNAm"/>
              <w:rPr>
                <w:sz w:val="20"/>
              </w:rPr>
            </w:pPr>
            <w:r>
              <w:rPr>
                <w:sz w:val="20"/>
              </w:rPr>
              <w:sym w:font="Monotype Sorts" w:char="F070"/>
            </w:r>
            <w:r>
              <w:rPr>
                <w:sz w:val="20"/>
              </w:rPr>
              <w:tab/>
              <w:t>a writ of certiorari;</w:t>
            </w:r>
          </w:p>
          <w:p>
            <w:pPr>
              <w:pStyle w:val="yTableNAm"/>
              <w:rPr>
                <w:sz w:val="20"/>
              </w:rPr>
            </w:pPr>
            <w:r>
              <w:rPr>
                <w:sz w:val="20"/>
              </w:rPr>
              <w:sym w:font="Monotype Sorts" w:char="F070"/>
            </w:r>
            <w:r>
              <w:rPr>
                <w:sz w:val="20"/>
              </w:rPr>
              <w:tab/>
              <w:t>a writ of mandamus;</w:t>
            </w:r>
          </w:p>
          <w:p>
            <w:pPr>
              <w:pStyle w:val="yTableNAm"/>
              <w:rPr>
                <w:sz w:val="20"/>
              </w:rPr>
            </w:pPr>
            <w:r>
              <w:rPr>
                <w:sz w:val="20"/>
              </w:rPr>
              <w:sym w:font="Monotype Sorts" w:char="F070"/>
            </w:r>
            <w:r>
              <w:rPr>
                <w:sz w:val="20"/>
              </w:rPr>
              <w:tab/>
              <w:t>a writ of prohibition;</w:t>
            </w:r>
          </w:p>
          <w:p>
            <w:pPr>
              <w:pStyle w:val="yTableNAm"/>
              <w:rPr>
                <w:sz w:val="20"/>
              </w:rPr>
            </w:pPr>
            <w:r>
              <w:rPr>
                <w:sz w:val="20"/>
              </w:rPr>
              <w:sym w:font="Monotype Sorts" w:char="F070"/>
            </w:r>
            <w:r>
              <w:rPr>
                <w:sz w:val="20"/>
              </w:rPr>
              <w:tab/>
              <w:t xml:space="preserve">a writ of </w:t>
            </w:r>
            <w:r>
              <w:rPr>
                <w:i/>
                <w:sz w:val="20"/>
              </w:rPr>
              <w:t>procedendo</w:t>
            </w:r>
            <w:r>
              <w:rPr>
                <w:sz w:val="20"/>
              </w:rPr>
              <w:t>;</w:t>
            </w:r>
          </w:p>
          <w:p>
            <w:pPr>
              <w:pStyle w:val="yTableNAm"/>
              <w:rPr>
                <w:sz w:val="20"/>
              </w:rPr>
            </w:pPr>
            <w:r>
              <w:rPr>
                <w:sz w:val="20"/>
              </w:rPr>
              <w:sym w:font="Monotype Sorts" w:char="F070"/>
            </w:r>
            <w:r>
              <w:rPr>
                <w:sz w:val="20"/>
              </w:rPr>
              <w:tab/>
              <w:t xml:space="preserve">an information of </w:t>
            </w:r>
            <w:r>
              <w:rPr>
                <w:i/>
                <w:sz w:val="20"/>
              </w:rPr>
              <w:t>quo warranto</w:t>
            </w:r>
            <w:r>
              <w:rPr>
                <w:sz w:val="20"/>
              </w:rPr>
              <w:t>;</w:t>
            </w:r>
          </w:p>
          <w:p>
            <w:pPr>
              <w:pStyle w:val="yTableNAm"/>
              <w:rPr>
                <w:sz w:val="20"/>
              </w:rPr>
            </w:pPr>
            <w:r>
              <w:rPr>
                <w:sz w:val="20"/>
              </w:rPr>
              <w:sym w:font="Monotype Sorts" w:char="F070"/>
            </w:r>
            <w:r>
              <w:rPr>
                <w:sz w:val="20"/>
              </w:rPr>
              <w:tab/>
              <w:t>a declaration;</w:t>
            </w:r>
          </w:p>
          <w:p>
            <w:pPr>
              <w:pStyle w:val="yTableNAm"/>
              <w:rPr>
                <w:sz w:val="20"/>
              </w:rPr>
            </w:pPr>
            <w:r>
              <w:rPr>
                <w:sz w:val="20"/>
              </w:rPr>
              <w:sym w:font="Monotype Sorts" w:char="F070"/>
            </w:r>
            <w:r>
              <w:rPr>
                <w:sz w:val="20"/>
              </w:rPr>
              <w:tab/>
              <w:t>an injunction;</w:t>
            </w:r>
          </w:p>
          <w:p>
            <w:pPr>
              <w:pStyle w:val="yTableNAm"/>
              <w:ind w:left="589" w:hanging="589"/>
              <w:rPr>
                <w:sz w:val="20"/>
              </w:rPr>
            </w:pPr>
            <w:r>
              <w:rPr>
                <w:sz w:val="20"/>
              </w:rPr>
              <w:sym w:font="Monotype Sorts" w:char="F070"/>
            </w:r>
            <w:r>
              <w:rPr>
                <w:sz w:val="20"/>
              </w:rPr>
              <w:tab/>
              <w:t>this order (being an order which would have the same effect as a remedy that could be provided by means of one or more of the above writs) —</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Grounds of application</w:t>
            </w:r>
          </w:p>
        </w:tc>
        <w:tc>
          <w:tcPr>
            <w:tcW w:w="4961" w:type="dxa"/>
            <w:gridSpan w:val="5"/>
            <w:tcBorders>
              <w:top w:val="single" w:sz="4" w:space="0" w:color="auto"/>
              <w:bottom w:val="single" w:sz="4" w:space="0" w:color="auto"/>
            </w:tcBorders>
          </w:tcPr>
          <w:p>
            <w:pPr>
              <w:pStyle w:val="yTableNAm"/>
              <w:rPr>
                <w:sz w:val="20"/>
              </w:rPr>
            </w:pPr>
            <w:r>
              <w:rPr>
                <w:sz w:val="20"/>
              </w:rPr>
              <w:t>The grounds for the above application are these —</w:t>
            </w:r>
          </w:p>
          <w:p>
            <w:pPr>
              <w:pStyle w:val="yTableNAm"/>
              <w:rPr>
                <w:sz w:val="20"/>
              </w:rPr>
            </w:pPr>
            <w:r>
              <w:rPr>
                <w:sz w:val="20"/>
              </w:rPr>
              <w:t>1.</w:t>
            </w:r>
          </w:p>
          <w:p>
            <w:pPr>
              <w:pStyle w:val="yTableNAm"/>
              <w:rPr>
                <w:sz w:val="20"/>
              </w:rPr>
            </w:pPr>
          </w:p>
        </w:tc>
      </w:tr>
      <w:tr>
        <w:trPr>
          <w:cantSplit/>
        </w:trPr>
        <w:tc>
          <w:tcPr>
            <w:tcW w:w="1985" w:type="dxa"/>
            <w:tcBorders>
              <w:top w:val="single" w:sz="4" w:space="0" w:color="auto"/>
              <w:bottom w:val="single" w:sz="4" w:space="0" w:color="auto"/>
            </w:tcBorders>
          </w:tcPr>
          <w:p>
            <w:pPr>
              <w:pStyle w:val="yTableNAm"/>
              <w:rPr>
                <w:sz w:val="20"/>
              </w:rPr>
            </w:pPr>
            <w:r>
              <w:rPr>
                <w:sz w:val="20"/>
              </w:rPr>
              <w:t>Late application</w:t>
            </w:r>
            <w:r>
              <w:rPr>
                <w:sz w:val="20"/>
                <w:vertAlign w:val="superscript"/>
              </w:rPr>
              <w:t>3</w:t>
            </w:r>
          </w:p>
        </w:tc>
        <w:tc>
          <w:tcPr>
            <w:tcW w:w="4961" w:type="dxa"/>
            <w:gridSpan w:val="5"/>
            <w:tcBorders>
              <w:top w:val="single" w:sz="4" w:space="0" w:color="auto"/>
              <w:bottom w:val="single" w:sz="4" w:space="0" w:color="auto"/>
            </w:tcBorders>
          </w:tcPr>
          <w:p>
            <w:pPr>
              <w:pStyle w:val="yTableNAm"/>
              <w:ind w:left="575" w:hanging="575"/>
              <w:rPr>
                <w:sz w:val="20"/>
              </w:rPr>
            </w:pPr>
            <w:r>
              <w:rPr>
                <w:sz w:val="20"/>
              </w:rPr>
              <w:sym w:font="Monotype Sorts" w:char="F070"/>
            </w:r>
            <w:r>
              <w:rPr>
                <w:sz w:val="20"/>
              </w:rPr>
              <w:tab/>
              <w:t>The applicant also applies for leave to proceed with this application which is made outside the limitation period.</w:t>
            </w:r>
          </w:p>
        </w:tc>
      </w:tr>
      <w:tr>
        <w:trPr>
          <w:cantSplit/>
        </w:trPr>
        <w:tc>
          <w:tcPr>
            <w:tcW w:w="1985"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Applicant’s geographical address</w:t>
            </w:r>
            <w:r>
              <w:rPr>
                <w:sz w:val="20"/>
                <w:vertAlign w:val="superscript"/>
              </w:rPr>
              <w:t>4</w:t>
            </w:r>
          </w:p>
        </w:tc>
        <w:tc>
          <w:tcPr>
            <w:tcW w:w="4961" w:type="dxa"/>
            <w:gridSpan w:val="5"/>
            <w:tcBorders>
              <w:top w:val="single" w:sz="4" w:space="0" w:color="auto"/>
              <w:left w:val="single" w:sz="4" w:space="0" w:color="auto"/>
              <w:bottom w:val="single" w:sz="4" w:space="0" w:color="auto"/>
              <w:right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lastRenderedPageBreak/>
              <w:t>Applicant’s lawyer</w:t>
            </w:r>
            <w:r>
              <w:rPr>
                <w:sz w:val="20"/>
                <w:vertAlign w:val="superscript"/>
              </w:rPr>
              <w:t>5</w:t>
            </w:r>
            <w:r>
              <w:rPr>
                <w:sz w:val="20"/>
              </w:rPr>
              <w:t xml:space="preserve"> </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Address where lawyer conducts business</w:t>
            </w:r>
            <w:r>
              <w:rPr>
                <w:sz w:val="20"/>
                <w:vertAlign w:val="superscript"/>
              </w:rPr>
              <w:t>5</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Intention to act in person</w:t>
            </w:r>
            <w:r>
              <w:rPr>
                <w:sz w:val="20"/>
                <w:vertAlign w:val="superscript"/>
              </w:rPr>
              <w:t>3</w:t>
            </w:r>
          </w:p>
        </w:tc>
        <w:tc>
          <w:tcPr>
            <w:tcW w:w="4953" w:type="dxa"/>
            <w:gridSpan w:val="4"/>
            <w:tcBorders>
              <w:bottom w:val="single" w:sz="4" w:space="0" w:color="auto"/>
            </w:tcBorders>
          </w:tcPr>
          <w:p>
            <w:pPr>
              <w:pStyle w:val="yTableNAm"/>
              <w:rPr>
                <w:sz w:val="20"/>
              </w:rPr>
            </w:pPr>
            <w:r>
              <w:rPr>
                <w:sz w:val="20"/>
              </w:rPr>
              <w:sym w:font="Monotype Sorts" w:char="F070"/>
            </w:r>
            <w:r>
              <w:rPr>
                <w:sz w:val="20"/>
              </w:rPr>
              <w:tab/>
              <w:t>I intend to act in person in this application.</w:t>
            </w: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Postal address for service of documents</w:t>
            </w:r>
            <w:r>
              <w:rPr>
                <w:sz w:val="20"/>
                <w:vertAlign w:val="superscript"/>
              </w:rPr>
              <w:t>6</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gridAfter w:val="1"/>
          <w:wAfter w:w="8" w:type="dxa"/>
          <w:cantSplit/>
        </w:trPr>
        <w:tc>
          <w:tcPr>
            <w:tcW w:w="1985" w:type="dxa"/>
            <w:tcBorders>
              <w:bottom w:val="single" w:sz="4" w:space="0" w:color="auto"/>
            </w:tcBorders>
          </w:tcPr>
          <w:p>
            <w:pPr>
              <w:pStyle w:val="yTableNAm"/>
              <w:rPr>
                <w:sz w:val="20"/>
              </w:rPr>
            </w:pPr>
            <w:r>
              <w:rPr>
                <w:sz w:val="20"/>
              </w:rPr>
              <w:t>Email address</w:t>
            </w:r>
            <w:r>
              <w:rPr>
                <w:sz w:val="20"/>
                <w:vertAlign w:val="superscript"/>
              </w:rPr>
              <w:t>7</w:t>
            </w:r>
          </w:p>
        </w:tc>
        <w:tc>
          <w:tcPr>
            <w:tcW w:w="4953" w:type="dxa"/>
            <w:gridSpan w:val="4"/>
            <w:tcBorders>
              <w:bottom w:val="single" w:sz="4" w:space="0" w:color="auto"/>
            </w:tcBorders>
          </w:tcPr>
          <w:p>
            <w:pPr>
              <w:pStyle w:val="yTableNAm"/>
              <w:rPr>
                <w:sz w:val="20"/>
              </w:rPr>
            </w:pPr>
          </w:p>
        </w:tc>
      </w:tr>
      <w:tr>
        <w:tblPrEx>
          <w:tblCellMar>
            <w:top w:w="0" w:type="dxa"/>
            <w:bottom w:w="0" w:type="dxa"/>
          </w:tblCellMar>
        </w:tblPrEx>
        <w:trPr>
          <w:cantSplit/>
        </w:trPr>
        <w:tc>
          <w:tcPr>
            <w:tcW w:w="1985" w:type="dxa"/>
            <w:tcBorders>
              <w:bottom w:val="single" w:sz="4" w:space="0" w:color="auto"/>
            </w:tcBorders>
          </w:tcPr>
          <w:p>
            <w:pPr>
              <w:pStyle w:val="yTableNAm"/>
              <w:rPr>
                <w:sz w:val="20"/>
              </w:rPr>
            </w:pPr>
            <w:r>
              <w:rPr>
                <w:sz w:val="20"/>
              </w:rPr>
              <w:t>Telephone number</w:t>
            </w:r>
            <w:r>
              <w:rPr>
                <w:sz w:val="20"/>
                <w:vertAlign w:val="superscript"/>
              </w:rPr>
              <w:t>8</w:t>
            </w:r>
          </w:p>
        </w:tc>
        <w:tc>
          <w:tcPr>
            <w:tcW w:w="1559" w:type="dxa"/>
            <w:tcBorders>
              <w:bottom w:val="single" w:sz="4" w:space="0" w:color="auto"/>
            </w:tcBorders>
          </w:tcPr>
          <w:p>
            <w:pPr>
              <w:pStyle w:val="zyTableNAm"/>
              <w:spacing w:before="60"/>
              <w:rPr>
                <w:sz w:val="20"/>
              </w:rPr>
            </w:pPr>
          </w:p>
        </w:tc>
        <w:tc>
          <w:tcPr>
            <w:tcW w:w="3402" w:type="dxa"/>
            <w:gridSpan w:val="4"/>
            <w:tcBorders>
              <w:bottom w:val="single" w:sz="4" w:space="0" w:color="auto"/>
            </w:tcBorders>
          </w:tcPr>
          <w:p>
            <w:pPr>
              <w:pStyle w:val="yTableNAm"/>
              <w:rPr>
                <w:sz w:val="20"/>
              </w:rPr>
            </w:pPr>
            <w:r>
              <w:rPr>
                <w:sz w:val="20"/>
              </w:rPr>
              <w:t>Fax number</w:t>
            </w:r>
            <w:r>
              <w:rPr>
                <w:sz w:val="20"/>
                <w:vertAlign w:val="superscript"/>
              </w:rPr>
              <w:t>7</w:t>
            </w:r>
          </w:p>
        </w:tc>
      </w:tr>
      <w:tr>
        <w:trPr>
          <w:cantSplit/>
        </w:trPr>
        <w:tc>
          <w:tcPr>
            <w:tcW w:w="1985" w:type="dxa"/>
            <w:tcBorders>
              <w:top w:val="single" w:sz="4" w:space="0" w:color="auto"/>
              <w:bottom w:val="single" w:sz="4" w:space="0" w:color="auto"/>
            </w:tcBorders>
          </w:tcPr>
          <w:p>
            <w:pPr>
              <w:pStyle w:val="yTableNAm"/>
              <w:rPr>
                <w:sz w:val="20"/>
              </w:rPr>
            </w:pPr>
            <w:r>
              <w:rPr>
                <w:sz w:val="20"/>
              </w:rPr>
              <w:t>Signature of applicant or lawyer</w:t>
            </w:r>
          </w:p>
        </w:tc>
        <w:tc>
          <w:tcPr>
            <w:tcW w:w="3402" w:type="dxa"/>
            <w:gridSpan w:val="3"/>
            <w:tcBorders>
              <w:top w:val="single" w:sz="4" w:space="0" w:color="auto"/>
              <w:bottom w:val="single" w:sz="4" w:space="0" w:color="auto"/>
            </w:tcBorders>
          </w:tcPr>
          <w:p>
            <w:pPr>
              <w:pStyle w:val="BodyText3"/>
              <w:rPr>
                <w:sz w:val="20"/>
              </w:rPr>
            </w:pPr>
            <w:r>
              <w:rPr>
                <w:sz w:val="20"/>
              </w:rPr>
              <w:br/>
              <w:t>Applicant/Applicant’s lawyer</w:t>
            </w:r>
          </w:p>
        </w:tc>
        <w:tc>
          <w:tcPr>
            <w:tcW w:w="1559" w:type="dxa"/>
            <w:gridSpan w:val="2"/>
            <w:tcBorders>
              <w:top w:val="single" w:sz="4" w:space="0" w:color="auto"/>
              <w:bottom w:val="single" w:sz="4" w:space="0" w:color="auto"/>
            </w:tcBorders>
          </w:tcPr>
          <w:p>
            <w:pPr>
              <w:pStyle w:val="yTableNAm"/>
              <w:rPr>
                <w:sz w:val="20"/>
              </w:rPr>
            </w:pPr>
            <w:r>
              <w:rPr>
                <w:sz w:val="20"/>
              </w:rPr>
              <w:t>Date:</w:t>
            </w:r>
          </w:p>
        </w:tc>
      </w:tr>
    </w:tbl>
    <w:p>
      <w:pPr>
        <w:pStyle w:val="yMiscellaneousBody"/>
        <w:ind w:left="540" w:hanging="540"/>
        <w:rPr>
          <w:sz w:val="20"/>
        </w:rPr>
      </w:pPr>
      <w:r>
        <w:rPr>
          <w:sz w:val="20"/>
        </w:rPr>
        <w:t>Notes to Form No. 67A —</w:t>
      </w:r>
    </w:p>
    <w:p>
      <w:pPr>
        <w:pStyle w:val="yMiscellaneousBody"/>
        <w:spacing w:before="0"/>
        <w:ind w:left="540" w:hanging="540"/>
        <w:rPr>
          <w:sz w:val="20"/>
        </w:rPr>
      </w:pPr>
      <w:r>
        <w:rPr>
          <w:sz w:val="20"/>
        </w:rPr>
        <w:t>1.</w:t>
      </w:r>
      <w:r>
        <w:rPr>
          <w:sz w:val="20"/>
        </w:rPr>
        <w:tab/>
        <w:t>The respondent is the person whose decision or conduct is to be reviewed.</w:t>
      </w:r>
    </w:p>
    <w:p>
      <w:pPr>
        <w:pStyle w:val="yMiscellaneousBody"/>
        <w:spacing w:before="0"/>
        <w:ind w:left="540" w:hanging="540"/>
        <w:rPr>
          <w:sz w:val="20"/>
        </w:rPr>
      </w:pPr>
      <w:r>
        <w:rPr>
          <w:sz w:val="20"/>
        </w:rPr>
        <w:t>2.</w:t>
      </w:r>
      <w:r>
        <w:rPr>
          <w:sz w:val="20"/>
        </w:rPr>
        <w:tab/>
        <w:t>Tick one or more.</w:t>
      </w:r>
    </w:p>
    <w:p>
      <w:pPr>
        <w:pStyle w:val="yMiscellaneousBody"/>
        <w:spacing w:before="0"/>
        <w:ind w:left="540" w:hanging="540"/>
        <w:rPr>
          <w:sz w:val="20"/>
        </w:rPr>
      </w:pPr>
      <w:r>
        <w:rPr>
          <w:sz w:val="20"/>
        </w:rPr>
        <w:t>3.</w:t>
      </w:r>
      <w:r>
        <w:rPr>
          <w:sz w:val="20"/>
        </w:rPr>
        <w:tab/>
        <w:t>Tick only if necessary.</w:t>
      </w:r>
    </w:p>
    <w:p>
      <w:pPr>
        <w:pStyle w:val="yMiscellaneousBody"/>
        <w:spacing w:before="0"/>
        <w:ind w:left="540" w:hanging="540"/>
        <w:rPr>
          <w:sz w:val="20"/>
        </w:rPr>
      </w:pPr>
      <w:r>
        <w:rPr>
          <w:sz w:val="20"/>
        </w:rPr>
        <w:t>4.</w:t>
      </w:r>
      <w:r>
        <w:rPr>
          <w:sz w:val="20"/>
        </w:rPr>
        <w:tab/>
        <w:t>Must be provided unless otherwise ordered by the Court.  See Order 71A r. 2 and 3A.</w:t>
      </w:r>
    </w:p>
    <w:p>
      <w:pPr>
        <w:pStyle w:val="yMiscellaneousBody"/>
        <w:spacing w:before="0"/>
        <w:ind w:left="540" w:hanging="540"/>
        <w:rPr>
          <w:sz w:val="20"/>
        </w:rPr>
      </w:pPr>
      <w:r>
        <w:rPr>
          <w:sz w:val="20"/>
        </w:rPr>
        <w:t>5.</w:t>
      </w:r>
      <w:r>
        <w:rPr>
          <w:sz w:val="20"/>
        </w:rPr>
        <w:tab/>
        <w:t>Must be provided if a lawyer has been appointed.</w:t>
      </w:r>
    </w:p>
    <w:p>
      <w:pPr>
        <w:pStyle w:val="yMiscellaneousBody"/>
        <w:spacing w:before="0"/>
        <w:ind w:left="540" w:hanging="540"/>
        <w:rPr>
          <w:sz w:val="20"/>
        </w:rPr>
      </w:pPr>
      <w:r>
        <w:rPr>
          <w:sz w:val="20"/>
        </w:rPr>
        <w:t>6.</w:t>
      </w:r>
      <w:r>
        <w:rPr>
          <w:sz w:val="20"/>
        </w:rPr>
        <w:tab/>
        <w:t>Must be provided - to be lawyer’s postal address if applicant is legally represented.</w:t>
      </w:r>
    </w:p>
    <w:p>
      <w:pPr>
        <w:pStyle w:val="yMiscellaneousBody"/>
        <w:spacing w:before="0"/>
        <w:ind w:left="540" w:hanging="540"/>
        <w:rPr>
          <w:sz w:val="20"/>
        </w:rPr>
      </w:pPr>
      <w:r>
        <w:rPr>
          <w:sz w:val="20"/>
        </w:rPr>
        <w:t>7.</w:t>
      </w:r>
      <w:r>
        <w:rPr>
          <w:sz w:val="20"/>
        </w:rPr>
        <w:tab/>
        <w:t>Optional - if provided, may be used for service of documents.</w:t>
      </w:r>
    </w:p>
    <w:p>
      <w:pPr>
        <w:pStyle w:val="yMiscellaneousBody"/>
        <w:spacing w:before="0"/>
        <w:ind w:left="540" w:hanging="540"/>
        <w:rPr>
          <w:sz w:val="20"/>
        </w:rPr>
      </w:pPr>
      <w:r>
        <w:rPr>
          <w:sz w:val="20"/>
        </w:rPr>
        <w:t>8.</w:t>
      </w:r>
      <w:r>
        <w:rPr>
          <w:sz w:val="20"/>
        </w:rPr>
        <w:tab/>
        <w:t>Must be provided - to be lawyer’s telephone number if applicant is legally represented.</w:t>
      </w:r>
    </w:p>
    <w:p>
      <w:pPr>
        <w:pStyle w:val="yFootnotesection"/>
      </w:pPr>
      <w:r>
        <w:tab/>
        <w:t>[Form 67A inserted: Gazette 13 Nov 2015 p. 4653-4.]</w:t>
      </w:r>
    </w:p>
    <w:p>
      <w:pPr>
        <w:pStyle w:val="yHeading5"/>
        <w:keepNext w:val="0"/>
        <w:keepLines w:val="0"/>
        <w:spacing w:after="120"/>
      </w:pPr>
      <w:bookmarkStart w:id="1551" w:name="_Toc129078571"/>
      <w:r>
        <w:rPr>
          <w:rStyle w:val="CharSClsNo"/>
        </w:rPr>
        <w:t>67</w:t>
      </w:r>
      <w:r>
        <w:t>.</w:t>
      </w:r>
      <w:r>
        <w:tab/>
        <w:t>Certiorari (O. 56 r. 14)</w:t>
      </w:r>
      <w:bookmarkEnd w:id="1551"/>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lastRenderedPageBreak/>
        <w:tab/>
        <w:t>[Form 67 inserted: Gazette 28 Jul 2010 p. 3487.]</w:t>
      </w:r>
    </w:p>
    <w:p>
      <w:pPr>
        <w:pStyle w:val="yEdnotedivision"/>
        <w:spacing w:before="240"/>
        <w:outlineLvl w:val="9"/>
      </w:pPr>
      <w:r>
        <w:t>[Form 68 deleted: Gazette 29 Apr 2005 p. 1801.]</w:t>
      </w:r>
    </w:p>
    <w:p>
      <w:pPr>
        <w:pStyle w:val="yHeading5"/>
        <w:keepNext w:val="0"/>
        <w:keepLines w:val="0"/>
        <w:widowControl w:val="0"/>
        <w:spacing w:after="120"/>
      </w:pPr>
      <w:bookmarkStart w:id="1552" w:name="_Toc129078572"/>
      <w:r>
        <w:rPr>
          <w:rStyle w:val="CharSClsNo"/>
        </w:rPr>
        <w:t>69</w:t>
      </w:r>
      <w:r>
        <w:t>.</w:t>
      </w:r>
      <w:r>
        <w:tab/>
        <w:t>Mandamus (O. 56 r. 16)</w:t>
      </w:r>
      <w:bookmarkEnd w:id="155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Gazette 28 Jul 2010 p. 3487</w:t>
      </w:r>
      <w:r>
        <w:noBreakHyphen/>
        <w:t>8.]</w:t>
      </w:r>
    </w:p>
    <w:p>
      <w:pPr>
        <w:pStyle w:val="yHeading5"/>
        <w:keepNext w:val="0"/>
        <w:keepLines w:val="0"/>
        <w:pageBreakBefore/>
        <w:widowControl w:val="0"/>
        <w:spacing w:after="120"/>
      </w:pPr>
      <w:bookmarkStart w:id="1553" w:name="_Toc129078573"/>
      <w:r>
        <w:rPr>
          <w:rStyle w:val="CharSClsNo"/>
        </w:rPr>
        <w:lastRenderedPageBreak/>
        <w:t>70</w:t>
      </w:r>
      <w:r>
        <w:t>.</w:t>
      </w:r>
      <w:r>
        <w:tab/>
      </w:r>
      <w:r>
        <w:rPr>
          <w:i/>
        </w:rPr>
        <w:t>Procedendo</w:t>
      </w:r>
      <w:r>
        <w:t xml:space="preserve"> (O. 56 r. 32)</w:t>
      </w:r>
      <w:bookmarkEnd w:id="1553"/>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w:t>
      </w:r>
      <w:r>
        <w:rPr>
          <w:b/>
          <w:bCs/>
          <w:i/>
          <w:sz w:val="20"/>
        </w:rPr>
        <w:t xml:space="preserve">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Gazette 28 Jul 2010 p. 3488.]</w:t>
      </w:r>
    </w:p>
    <w:p>
      <w:pPr>
        <w:pStyle w:val="yHeading5"/>
        <w:keepNext w:val="0"/>
        <w:keepLines w:val="0"/>
        <w:widowControl w:val="0"/>
        <w:spacing w:after="120"/>
      </w:pPr>
      <w:bookmarkStart w:id="1554" w:name="_Toc129078574"/>
      <w:r>
        <w:rPr>
          <w:rStyle w:val="CharSClsNo"/>
        </w:rPr>
        <w:t>71</w:t>
      </w:r>
      <w:r>
        <w:t>.</w:t>
      </w:r>
      <w:r>
        <w:tab/>
        <w:t>Prohibition (O. 56 r. 33)</w:t>
      </w:r>
      <w:bookmarkEnd w:id="1554"/>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Gazette 28 Jul 2010 p. 3488-9.]</w:t>
      </w:r>
    </w:p>
    <w:p>
      <w:pPr>
        <w:pStyle w:val="yEdnotedivision"/>
        <w:spacing w:before="360"/>
      </w:pPr>
      <w:r>
        <w:t>[Form 72 deleted: Gazette 28 Jul 2010 p. 3489.]</w:t>
      </w:r>
    </w:p>
    <w:p>
      <w:pPr>
        <w:pStyle w:val="yHeading5"/>
        <w:keepNext w:val="0"/>
        <w:keepLines w:val="0"/>
        <w:widowControl w:val="0"/>
        <w:spacing w:after="120"/>
      </w:pPr>
      <w:bookmarkStart w:id="1555" w:name="_Toc129078575"/>
      <w:r>
        <w:rPr>
          <w:rStyle w:val="CharSClsNo"/>
        </w:rPr>
        <w:t>73</w:t>
      </w:r>
      <w:r>
        <w:t>.</w:t>
      </w:r>
      <w:r>
        <w:tab/>
        <w:t>Habeas corpus (O. 57 r. 10)</w:t>
      </w:r>
      <w:bookmarkEnd w:id="1555"/>
    </w:p>
    <w:p>
      <w:pPr>
        <w:pStyle w:val="yMiscellaneousBody"/>
        <w:spacing w:before="120"/>
        <w:rPr>
          <w:i/>
          <w:iCs/>
          <w:sz w:val="20"/>
        </w:rPr>
      </w:pPr>
      <w:r>
        <w:rPr>
          <w:i/>
          <w:iCs/>
          <w:sz w:val="20"/>
        </w:rPr>
        <w:t>(Heading as in cause or matter)</w:t>
      </w:r>
    </w:p>
    <w:p>
      <w:pPr>
        <w:pStyle w:val="yMiscellaneousBody"/>
        <w:rPr>
          <w:b/>
          <w:bCs/>
          <w:sz w:val="20"/>
        </w:rPr>
      </w:pPr>
      <w:r>
        <w:rPr>
          <w:b/>
          <w:bCs/>
          <w:sz w:val="20"/>
        </w:rPr>
        <w:t xml:space="preserve">Writ of </w:t>
      </w:r>
      <w:r>
        <w:rPr>
          <w:b/>
          <w:bCs/>
          <w:i/>
          <w:sz w:val="20"/>
        </w:rPr>
        <w:t>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lastRenderedPageBreak/>
        <w:t>This writ commands you to have [</w:t>
      </w:r>
      <w:r>
        <w:rPr>
          <w:i/>
          <w:iCs/>
          <w:sz w:val="20"/>
        </w:rPr>
        <w:t>name of plaintiff or person restrained</w:t>
      </w:r>
      <w:r>
        <w:rPr>
          <w:sz w:val="20"/>
        </w:rPr>
        <w:t>] before the Supreme Court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Gazette 28 Jul 2010 p. 3489; amended: Gazette 16 Aug 2017 p. 4423.]</w:t>
      </w:r>
    </w:p>
    <w:p>
      <w:pPr>
        <w:pStyle w:val="yHeading5"/>
        <w:keepNext w:val="0"/>
        <w:keepLines w:val="0"/>
        <w:widowControl w:val="0"/>
        <w:spacing w:after="120"/>
      </w:pPr>
      <w:bookmarkStart w:id="1556" w:name="_Toc129078576"/>
      <w:r>
        <w:rPr>
          <w:rStyle w:val="CharSClsNo"/>
        </w:rPr>
        <w:t>74</w:t>
      </w:r>
      <w:r>
        <w:t>.</w:t>
      </w:r>
      <w:r>
        <w:rPr>
          <w:b w:val="0"/>
        </w:rPr>
        <w:tab/>
      </w:r>
      <w:r>
        <w:t>Originating summons, appearance required (O. 58 r. 14)</w:t>
      </w:r>
      <w:bookmarkEnd w:id="1556"/>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of Western Australia.</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Court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Court at such time and place as shall hereafter be fixed for such hearing, such order will be made and proceedings taken as the Court thinks just and expedient.</w:t>
      </w:r>
    </w:p>
    <w:p>
      <w:pPr>
        <w:pStyle w:val="yFootnotesection"/>
      </w:pPr>
      <w:r>
        <w:lastRenderedPageBreak/>
        <w:tab/>
        <w:t>[Form 74 amended: Gazette 27 Aug 1976 p. 3226; 30 Nov 1984 p. 3954; 28 Jun 2011 p. 2561; 16 Aug 2017 p. 4425</w:t>
      </w:r>
      <w:r>
        <w:noBreakHyphen/>
        <w:t>6.]</w:t>
      </w:r>
    </w:p>
    <w:p>
      <w:pPr>
        <w:pStyle w:val="yHeading5"/>
        <w:keepNext w:val="0"/>
        <w:keepLines w:val="0"/>
        <w:widowControl w:val="0"/>
        <w:spacing w:after="120"/>
      </w:pPr>
      <w:bookmarkStart w:id="1557" w:name="_Toc129078577"/>
      <w:r>
        <w:rPr>
          <w:rStyle w:val="CharSClsNo"/>
        </w:rPr>
        <w:t>75</w:t>
      </w:r>
      <w:r>
        <w:t>.</w:t>
      </w:r>
      <w:r>
        <w:rPr>
          <w:b w:val="0"/>
        </w:rPr>
        <w:tab/>
      </w:r>
      <w:r>
        <w:t>Originating summons, appearance not required (O. 58 r. 14)</w:t>
      </w:r>
      <w:bookmarkEnd w:id="1557"/>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Supreme Court, Perth,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Court thinks just and expedient.</w:t>
      </w:r>
    </w:p>
    <w:p>
      <w:pPr>
        <w:pStyle w:val="yFootnotesection"/>
      </w:pPr>
      <w:r>
        <w:tab/>
        <w:t>[Form 75 amended: Gazette 30 Nov 1984 p. 3954; 28 Jun 2011 p. 2561; 16 Aug 2017 p. 4426.]</w:t>
      </w:r>
    </w:p>
    <w:p>
      <w:pPr>
        <w:pStyle w:val="yHeading5"/>
        <w:keepNext w:val="0"/>
        <w:keepLines w:val="0"/>
        <w:widowControl w:val="0"/>
        <w:spacing w:after="120"/>
      </w:pPr>
      <w:bookmarkStart w:id="1558" w:name="_Toc129078578"/>
      <w:r>
        <w:rPr>
          <w:rStyle w:val="CharSClsNo"/>
        </w:rPr>
        <w:t>76</w:t>
      </w:r>
      <w:r>
        <w:t>.</w:t>
      </w:r>
      <w:r>
        <w:rPr>
          <w:b w:val="0"/>
        </w:rPr>
        <w:tab/>
      </w:r>
      <w:r>
        <w:t>Notice of appointment to hear originating summons (O. 58 r. 19)</w:t>
      </w:r>
      <w:bookmarkEnd w:id="1558"/>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 or plaintiff</w:t>
      </w:r>
      <w:r>
        <w:rPr>
          <w:sz w:val="20"/>
        </w:rPr>
        <w:t xml:space="preserve">] of </w:t>
      </w:r>
    </w:p>
    <w:p>
      <w:pPr>
        <w:pStyle w:val="yMiscellaneousBody"/>
        <w:spacing w:before="120"/>
        <w:rPr>
          <w:sz w:val="20"/>
        </w:rPr>
      </w:pPr>
      <w:r>
        <w:rPr>
          <w:sz w:val="20"/>
        </w:rPr>
        <w:t>Take notice that the originating summons issued herein on the          day of                       20      , will be heard by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Court thinks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tabs>
          <w:tab w:val="left" w:pos="4536"/>
        </w:tabs>
        <w:spacing w:before="0"/>
        <w:rPr>
          <w:sz w:val="20"/>
        </w:rPr>
      </w:pPr>
      <w:r>
        <w:rPr>
          <w:sz w:val="20"/>
        </w:rPr>
        <w:tab/>
        <w:t xml:space="preserve">Solicitor for                              </w:t>
      </w:r>
    </w:p>
    <w:p>
      <w:pPr>
        <w:pStyle w:val="yFootnotesection"/>
      </w:pPr>
      <w:r>
        <w:tab/>
        <w:t>[Form 76 amended: Gazette 30 Nov 1984 p. 3954; 28 Jun 2011 p. 2561; 16 Aug 2017 p. 4423.]</w:t>
      </w:r>
    </w:p>
    <w:p>
      <w:pPr>
        <w:pStyle w:val="yHeading5"/>
        <w:keepLines w:val="0"/>
        <w:widowControl w:val="0"/>
        <w:spacing w:after="120"/>
      </w:pPr>
      <w:bookmarkStart w:id="1559" w:name="_Toc129078579"/>
      <w:r>
        <w:rPr>
          <w:rStyle w:val="CharSClsNo"/>
        </w:rPr>
        <w:lastRenderedPageBreak/>
        <w:t>77</w:t>
      </w:r>
      <w:r>
        <w:t>.</w:t>
      </w:r>
      <w:r>
        <w:rPr>
          <w:b w:val="0"/>
        </w:rPr>
        <w:tab/>
      </w:r>
      <w:r>
        <w:t>Summons (general form) (O. 59 r. 4(1))</w:t>
      </w:r>
      <w:bookmarkEnd w:id="1559"/>
    </w:p>
    <w:p>
      <w:pPr>
        <w:pStyle w:val="yMiscellaneousBody"/>
        <w:keepNext/>
        <w:tabs>
          <w:tab w:val="left" w:pos="5040"/>
        </w:tabs>
        <w:spacing w:before="120"/>
        <w:rPr>
          <w:sz w:val="20"/>
        </w:rPr>
      </w:pPr>
      <w:r>
        <w:rPr>
          <w:sz w:val="20"/>
        </w:rPr>
        <w:t>In the Supreme Court</w:t>
      </w:r>
      <w:r>
        <w:rPr>
          <w:sz w:val="20"/>
        </w:rPr>
        <w:tab/>
        <w:t>No.                  of 20      .</w:t>
      </w:r>
      <w:r>
        <w:rPr>
          <w:sz w:val="20"/>
        </w:rPr>
        <w:br/>
        <w:t>of Western Australia.</w:t>
      </w:r>
    </w:p>
    <w:p>
      <w:pPr>
        <w:pStyle w:val="yMiscellaneousBody"/>
        <w:keepNext/>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Supreme Court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r>
        <w:tab/>
        <w:t>[Form 77 amended: Gazette 28 Jun 2011 p. 2561; 16 Aug 2017 p. 4424.]</w:t>
      </w:r>
    </w:p>
    <w:p>
      <w:pPr>
        <w:pStyle w:val="yHeading5"/>
        <w:keepNext w:val="0"/>
        <w:keepLines w:val="0"/>
        <w:widowControl w:val="0"/>
        <w:spacing w:after="120"/>
      </w:pPr>
      <w:bookmarkStart w:id="1560" w:name="_Toc129078580"/>
      <w:r>
        <w:rPr>
          <w:rStyle w:val="CharSClsNo"/>
        </w:rPr>
        <w:t>78</w:t>
      </w:r>
      <w:r>
        <w:t>.</w:t>
      </w:r>
      <w:r>
        <w:tab/>
        <w:t>Order (general form) (O. 59 r. 10)</w:t>
      </w:r>
      <w:bookmarkEnd w:id="1560"/>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Gazette 28 Jul 2010 p. 3490.]</w:t>
      </w:r>
    </w:p>
    <w:p>
      <w:pPr>
        <w:pStyle w:val="yEdnotedivision"/>
        <w:outlineLvl w:val="9"/>
      </w:pPr>
      <w:r>
        <w:t>[Form 79 deleted: Gazette 21 Feb 2007 p. 563.]</w:t>
      </w:r>
    </w:p>
    <w:p>
      <w:pPr>
        <w:pStyle w:val="yHeading5"/>
        <w:keepLines w:val="0"/>
        <w:widowControl w:val="0"/>
        <w:spacing w:after="120"/>
      </w:pPr>
      <w:bookmarkStart w:id="1561" w:name="_Toc129078581"/>
      <w:r>
        <w:rPr>
          <w:rStyle w:val="CharSClsNo"/>
          <w:bCs/>
        </w:rPr>
        <w:lastRenderedPageBreak/>
        <w:t>80A</w:t>
      </w:r>
      <w:r>
        <w:t>.</w:t>
      </w:r>
      <w:r>
        <w:tab/>
        <w:t>Appeal notice (Registrar’s decision) (O. 60A r. 5(3))</w:t>
      </w:r>
      <w:bookmarkEnd w:id="156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357"/>
        <w:gridCol w:w="567"/>
        <w:gridCol w:w="142"/>
        <w:gridCol w:w="709"/>
        <w:gridCol w:w="425"/>
        <w:gridCol w:w="425"/>
        <w:gridCol w:w="567"/>
        <w:gridCol w:w="1268"/>
      </w:tblGrid>
      <w:tr>
        <w:trPr>
          <w:cantSplit/>
          <w:trHeight w:val="329"/>
        </w:trPr>
        <w:tc>
          <w:tcPr>
            <w:tcW w:w="3686" w:type="dxa"/>
            <w:gridSpan w:val="4"/>
            <w:vMerge w:val="restart"/>
          </w:tcPr>
          <w:p>
            <w:pPr>
              <w:pStyle w:val="yTableNAm"/>
              <w:keepNext/>
              <w:rPr>
                <w:sz w:val="20"/>
              </w:rPr>
            </w:pPr>
            <w:r>
              <w:rPr>
                <w:sz w:val="20"/>
              </w:rPr>
              <w:t>Supreme Court of Western Australia</w:t>
            </w:r>
          </w:p>
        </w:tc>
        <w:tc>
          <w:tcPr>
            <w:tcW w:w="3394" w:type="dxa"/>
            <w:gridSpan w:val="5"/>
            <w:tcBorders>
              <w:bottom w:val="nil"/>
            </w:tcBorders>
            <w:vAlign w:val="center"/>
          </w:tcPr>
          <w:p>
            <w:pPr>
              <w:pStyle w:val="yTableNAm"/>
              <w:keepNext/>
              <w:rPr>
                <w:sz w:val="20"/>
              </w:rPr>
            </w:pPr>
            <w:r>
              <w:rPr>
                <w:sz w:val="20"/>
              </w:rPr>
              <w:t>No:</w:t>
            </w:r>
          </w:p>
        </w:tc>
      </w:tr>
      <w:tr>
        <w:trPr>
          <w:cantSplit/>
          <w:trHeight w:val="328"/>
        </w:trPr>
        <w:tc>
          <w:tcPr>
            <w:tcW w:w="3686" w:type="dxa"/>
            <w:gridSpan w:val="4"/>
            <w:vMerge/>
            <w:tcBorders>
              <w:bottom w:val="nil"/>
            </w:tcBorders>
          </w:tcPr>
          <w:p>
            <w:pPr>
              <w:pStyle w:val="yTableNAm"/>
              <w:keepNext/>
              <w:spacing w:before="20"/>
              <w:rPr>
                <w:sz w:val="20"/>
              </w:rPr>
            </w:pPr>
          </w:p>
        </w:tc>
        <w:tc>
          <w:tcPr>
            <w:tcW w:w="3394" w:type="dxa"/>
            <w:gridSpan w:val="5"/>
            <w:tcBorders>
              <w:bottom w:val="nil"/>
            </w:tcBorders>
            <w:vAlign w:val="center"/>
          </w:tcPr>
          <w:p>
            <w:pPr>
              <w:pStyle w:val="yTableNAm"/>
              <w:keepNext/>
              <w:spacing w:before="20"/>
              <w:rPr>
                <w:sz w:val="20"/>
              </w:rPr>
            </w:pPr>
            <w:r>
              <w:rPr>
                <w:b/>
                <w:sz w:val="20"/>
              </w:rPr>
              <w:t>Notice of appeal from decision of Registrar</w:t>
            </w:r>
          </w:p>
        </w:tc>
      </w:tr>
      <w:tr>
        <w:trPr>
          <w:cantSplit/>
        </w:trPr>
        <w:tc>
          <w:tcPr>
            <w:tcW w:w="1620" w:type="dxa"/>
            <w:tcBorders>
              <w:bottom w:val="nil"/>
            </w:tcBorders>
          </w:tcPr>
          <w:p>
            <w:pPr>
              <w:pStyle w:val="yTableNAm"/>
              <w:rPr>
                <w:sz w:val="20"/>
              </w:rPr>
            </w:pPr>
            <w:r>
              <w:rPr>
                <w:sz w:val="20"/>
              </w:rPr>
              <w:t>Parties</w:t>
            </w:r>
          </w:p>
        </w:tc>
        <w:tc>
          <w:tcPr>
            <w:tcW w:w="5460" w:type="dxa"/>
            <w:gridSpan w:val="8"/>
            <w:tcBorders>
              <w:bottom w:val="nil"/>
            </w:tcBorders>
          </w:tcPr>
          <w:p>
            <w:pPr>
              <w:pStyle w:val="yTableNAm"/>
              <w:tabs>
                <w:tab w:val="clear" w:pos="567"/>
              </w:tabs>
              <w:jc w:val="right"/>
              <w:rPr>
                <w:sz w:val="20"/>
              </w:rPr>
            </w:pPr>
            <w:r>
              <w:rPr>
                <w:sz w:val="20"/>
              </w:rPr>
              <w:t>Plaintiff</w:t>
            </w:r>
          </w:p>
          <w:p>
            <w:pPr>
              <w:pStyle w:val="yTableNAm"/>
              <w:tabs>
                <w:tab w:val="clear" w:pos="567"/>
              </w:tabs>
              <w:jc w:val="right"/>
              <w:rPr>
                <w:sz w:val="20"/>
              </w:rPr>
            </w:pPr>
            <w:r>
              <w:rPr>
                <w:sz w:val="20"/>
              </w:rPr>
              <w:t>Defendant</w:t>
            </w:r>
          </w:p>
        </w:tc>
      </w:tr>
      <w:tr>
        <w:trPr>
          <w:cantSplit/>
        </w:trPr>
        <w:tc>
          <w:tcPr>
            <w:tcW w:w="1620" w:type="dxa"/>
            <w:tcBorders>
              <w:bottom w:val="single" w:sz="4" w:space="0" w:color="auto"/>
            </w:tcBorders>
          </w:tcPr>
          <w:p>
            <w:pPr>
              <w:pStyle w:val="yTableNAm"/>
              <w:rPr>
                <w:sz w:val="20"/>
              </w:rPr>
            </w:pPr>
            <w:r>
              <w:rPr>
                <w:sz w:val="20"/>
              </w:rPr>
              <w:t>Name of party appealing</w:t>
            </w:r>
          </w:p>
        </w:tc>
        <w:tc>
          <w:tcPr>
            <w:tcW w:w="5460" w:type="dxa"/>
            <w:gridSpan w:val="8"/>
            <w:tcBorders>
              <w:bottom w:val="single" w:sz="4" w:space="0" w:color="auto"/>
            </w:tcBorders>
          </w:tcPr>
          <w:p>
            <w:pPr>
              <w:pStyle w:val="yTableNAm"/>
              <w:rPr>
                <w:sz w:val="20"/>
              </w:rPr>
            </w:pPr>
          </w:p>
        </w:tc>
      </w:tr>
      <w:tr>
        <w:trPr>
          <w:cantSplit/>
        </w:trPr>
        <w:tc>
          <w:tcPr>
            <w:tcW w:w="1620"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 of Registrar</w:t>
            </w:r>
          </w:p>
        </w:tc>
        <w:tc>
          <w:tcPr>
            <w:tcW w:w="5460" w:type="dxa"/>
            <w:gridSpan w:val="8"/>
            <w:tcBorders>
              <w:top w:val="single" w:sz="4" w:space="0" w:color="auto"/>
              <w:left w:val="single" w:sz="4" w:space="0" w:color="auto"/>
              <w:bottom w:val="single" w:sz="4" w:space="0" w:color="auto"/>
              <w:right w:val="single" w:sz="4" w:space="0" w:color="auto"/>
            </w:tcBorders>
          </w:tcPr>
          <w:p>
            <w:pPr>
              <w:pStyle w:val="yTableNAm"/>
              <w:rPr>
                <w:sz w:val="20"/>
              </w:rPr>
            </w:pPr>
          </w:p>
        </w:tc>
      </w:tr>
      <w:tr>
        <w:tc>
          <w:tcPr>
            <w:tcW w:w="1620" w:type="dxa"/>
            <w:tcBorders>
              <w:top w:val="single" w:sz="4" w:space="0" w:color="auto"/>
              <w:bottom w:val="single" w:sz="4" w:space="0" w:color="auto"/>
            </w:tcBorders>
          </w:tcPr>
          <w:p>
            <w:pPr>
              <w:pStyle w:val="yTableNAm"/>
              <w:rPr>
                <w:sz w:val="20"/>
              </w:rPr>
            </w:pPr>
            <w:r>
              <w:rPr>
                <w:sz w:val="20"/>
              </w:rPr>
              <w:t>Date of decision</w:t>
            </w:r>
          </w:p>
        </w:tc>
        <w:tc>
          <w:tcPr>
            <w:tcW w:w="5460" w:type="dxa"/>
            <w:gridSpan w:val="8"/>
            <w:tcBorders>
              <w:top w:val="single" w:sz="4" w:space="0" w:color="auto"/>
              <w:bottom w:val="single" w:sz="4" w:space="0" w:color="auto"/>
            </w:tcBorders>
          </w:tcPr>
          <w:p>
            <w:pPr>
              <w:pStyle w:val="yTableNAm"/>
              <w:rPr>
                <w:sz w:val="20"/>
              </w:rPr>
            </w:pPr>
          </w:p>
        </w:tc>
      </w:tr>
      <w:tr>
        <w:tc>
          <w:tcPr>
            <w:tcW w:w="1620" w:type="dxa"/>
          </w:tcPr>
          <w:p>
            <w:pPr>
              <w:pStyle w:val="yTableNAm"/>
              <w:rPr>
                <w:sz w:val="20"/>
              </w:rPr>
            </w:pPr>
            <w:r>
              <w:rPr>
                <w:sz w:val="20"/>
              </w:rPr>
              <w:t>Last date for appealing</w:t>
            </w:r>
            <w:r>
              <w:rPr>
                <w:sz w:val="20"/>
                <w:vertAlign w:val="superscript"/>
              </w:rPr>
              <w:t>1</w:t>
            </w:r>
          </w:p>
        </w:tc>
        <w:tc>
          <w:tcPr>
            <w:tcW w:w="5460" w:type="dxa"/>
            <w:gridSpan w:val="8"/>
          </w:tcPr>
          <w:p>
            <w:pPr>
              <w:pStyle w:val="yTableNAm"/>
              <w:rPr>
                <w:sz w:val="20"/>
              </w:rPr>
            </w:pPr>
            <w:r>
              <w:rPr>
                <w:sz w:val="20"/>
              </w:rPr>
              <w:t>Last date:</w:t>
            </w:r>
          </w:p>
          <w:p>
            <w:pPr>
              <w:pStyle w:val="yTableNAm"/>
              <w:rPr>
                <w:sz w:val="20"/>
              </w:rPr>
            </w:pPr>
            <w:r>
              <w:rPr>
                <w:sz w:val="20"/>
              </w:rPr>
              <w:t>Is an extension of time needed?  Yes/No</w:t>
            </w:r>
          </w:p>
        </w:tc>
      </w:tr>
      <w:tr>
        <w:trPr>
          <w:cantSplit/>
        </w:trPr>
        <w:tc>
          <w:tcPr>
            <w:tcW w:w="1620" w:type="dxa"/>
          </w:tcPr>
          <w:p>
            <w:pPr>
              <w:pStyle w:val="yTableNAm"/>
              <w:rPr>
                <w:sz w:val="20"/>
              </w:rPr>
            </w:pPr>
            <w:r>
              <w:rPr>
                <w:sz w:val="20"/>
              </w:rPr>
              <w:t>Orders or directions appealed against</w:t>
            </w:r>
          </w:p>
        </w:tc>
        <w:tc>
          <w:tcPr>
            <w:tcW w:w="5460" w:type="dxa"/>
            <w:gridSpan w:val="8"/>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Pr>
          <w:p>
            <w:pPr>
              <w:pStyle w:val="yTableNAm"/>
              <w:rPr>
                <w:sz w:val="20"/>
              </w:rPr>
            </w:pPr>
            <w:r>
              <w:rPr>
                <w:sz w:val="20"/>
              </w:rPr>
              <w:t>Grounds of appeal</w:t>
            </w:r>
          </w:p>
        </w:tc>
        <w:tc>
          <w:tcPr>
            <w:tcW w:w="5460" w:type="dxa"/>
            <w:gridSpan w:val="8"/>
          </w:tcPr>
          <w:p>
            <w:pPr>
              <w:pStyle w:val="yTableNAm"/>
              <w:rPr>
                <w:sz w:val="20"/>
              </w:rPr>
            </w:pPr>
          </w:p>
        </w:tc>
      </w:tr>
      <w:tr>
        <w:trPr>
          <w:cantSplit/>
        </w:trPr>
        <w:tc>
          <w:tcPr>
            <w:tcW w:w="1620" w:type="dxa"/>
            <w:tcBorders>
              <w:bottom w:val="nil"/>
            </w:tcBorders>
          </w:tcPr>
          <w:p>
            <w:pPr>
              <w:pStyle w:val="yTableNAm"/>
              <w:rPr>
                <w:sz w:val="20"/>
              </w:rPr>
            </w:pPr>
            <w:r>
              <w:rPr>
                <w:sz w:val="20"/>
              </w:rPr>
              <w:t>Orders sought on appeal</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Directions sought to facilitate appeal</w:t>
            </w:r>
            <w:r>
              <w:rPr>
                <w:sz w:val="20"/>
                <w:vertAlign w:val="superscript"/>
              </w:rPr>
              <w:t>2</w:t>
            </w:r>
          </w:p>
        </w:tc>
        <w:tc>
          <w:tcPr>
            <w:tcW w:w="5460" w:type="dxa"/>
            <w:gridSpan w:val="8"/>
            <w:tcBorders>
              <w:bottom w:val="nil"/>
            </w:tcBorders>
          </w:tcPr>
          <w:p>
            <w:pPr>
              <w:pStyle w:val="yTableNAm"/>
              <w:rPr>
                <w:sz w:val="20"/>
              </w:rPr>
            </w:pPr>
            <w:r>
              <w:rPr>
                <w:sz w:val="20"/>
              </w:rPr>
              <w:t>1.</w:t>
            </w:r>
          </w:p>
          <w:p>
            <w:pPr>
              <w:pStyle w:val="yTableNAm"/>
              <w:rPr>
                <w:sz w:val="20"/>
              </w:rPr>
            </w:pPr>
            <w:r>
              <w:rPr>
                <w:sz w:val="20"/>
              </w:rPr>
              <w:t>2.</w:t>
            </w:r>
          </w:p>
          <w:p>
            <w:pPr>
              <w:pStyle w:val="yTableNAm"/>
              <w:rPr>
                <w:sz w:val="20"/>
              </w:rPr>
            </w:pPr>
            <w:r>
              <w:rPr>
                <w:sz w:val="20"/>
              </w:rPr>
              <w:t>3.</w:t>
            </w:r>
          </w:p>
        </w:tc>
      </w:tr>
      <w:tr>
        <w:trPr>
          <w:cantSplit/>
        </w:trPr>
        <w:tc>
          <w:tcPr>
            <w:tcW w:w="1620" w:type="dxa"/>
            <w:tcBorders>
              <w:bottom w:val="nil"/>
            </w:tcBorders>
          </w:tcPr>
          <w:p>
            <w:pPr>
              <w:pStyle w:val="yTableNAm"/>
              <w:rPr>
                <w:sz w:val="20"/>
              </w:rPr>
            </w:pPr>
            <w:r>
              <w:rPr>
                <w:sz w:val="20"/>
              </w:rPr>
              <w:t>Dates when unavailable for hearing of appeal</w:t>
            </w:r>
            <w:r>
              <w:rPr>
                <w:sz w:val="20"/>
                <w:vertAlign w:val="superscript"/>
              </w:rPr>
              <w:t>3</w:t>
            </w:r>
          </w:p>
        </w:tc>
        <w:tc>
          <w:tcPr>
            <w:tcW w:w="5460" w:type="dxa"/>
            <w:gridSpan w:val="8"/>
            <w:tcBorders>
              <w:bottom w:val="nil"/>
            </w:tcBorders>
          </w:tcPr>
          <w:p>
            <w:pPr>
              <w:pStyle w:val="yTableNAm"/>
              <w:rPr>
                <w:sz w:val="20"/>
              </w:rPr>
            </w:pPr>
          </w:p>
        </w:tc>
      </w:tr>
      <w:tr>
        <w:trPr>
          <w:cantSplit/>
        </w:trPr>
        <w:tc>
          <w:tcPr>
            <w:tcW w:w="1620" w:type="dxa"/>
            <w:tcBorders>
              <w:bottom w:val="nil"/>
            </w:tcBorders>
          </w:tcPr>
          <w:p>
            <w:pPr>
              <w:pStyle w:val="yTableNAm"/>
              <w:rPr>
                <w:sz w:val="20"/>
              </w:rPr>
            </w:pPr>
            <w:r>
              <w:rPr>
                <w:sz w:val="20"/>
              </w:rPr>
              <w:t>Date of notice</w:t>
            </w:r>
          </w:p>
        </w:tc>
        <w:tc>
          <w:tcPr>
            <w:tcW w:w="1924" w:type="dxa"/>
            <w:gridSpan w:val="2"/>
            <w:tcBorders>
              <w:bottom w:val="nil"/>
            </w:tcBorders>
          </w:tcPr>
          <w:p>
            <w:pPr>
              <w:pStyle w:val="zyTableNAm"/>
              <w:spacing w:before="20"/>
              <w:rPr>
                <w:sz w:val="20"/>
              </w:rPr>
            </w:pPr>
          </w:p>
        </w:tc>
        <w:tc>
          <w:tcPr>
            <w:tcW w:w="1276" w:type="dxa"/>
            <w:gridSpan w:val="3"/>
            <w:tcBorders>
              <w:bottom w:val="nil"/>
            </w:tcBorders>
          </w:tcPr>
          <w:p>
            <w:pPr>
              <w:pStyle w:val="yTableNAm"/>
              <w:rPr>
                <w:sz w:val="20"/>
              </w:rPr>
            </w:pPr>
            <w:r>
              <w:rPr>
                <w:sz w:val="20"/>
              </w:rPr>
              <w:t>Date of filing</w:t>
            </w:r>
          </w:p>
        </w:tc>
        <w:tc>
          <w:tcPr>
            <w:tcW w:w="2260" w:type="dxa"/>
            <w:gridSpan w:val="3"/>
            <w:tcBorders>
              <w:bottom w:val="nil"/>
            </w:tcBorders>
          </w:tcPr>
          <w:p>
            <w:pPr>
              <w:pStyle w:val="yTableNAm"/>
              <w:rPr>
                <w:sz w:val="20"/>
              </w:rPr>
            </w:pPr>
          </w:p>
        </w:tc>
      </w:tr>
      <w:tr>
        <w:trPr>
          <w:cantSplit/>
        </w:trPr>
        <w:tc>
          <w:tcPr>
            <w:tcW w:w="1620" w:type="dxa"/>
            <w:tcBorders>
              <w:top w:val="single" w:sz="4" w:space="0" w:color="auto"/>
              <w:bottom w:val="single" w:sz="4" w:space="0" w:color="auto"/>
            </w:tcBorders>
          </w:tcPr>
          <w:p>
            <w:pPr>
              <w:pStyle w:val="yTableNAm"/>
              <w:rPr>
                <w:sz w:val="20"/>
              </w:rPr>
            </w:pPr>
            <w:r>
              <w:rPr>
                <w:sz w:val="20"/>
              </w:rPr>
              <w:t>Signature of party appealing or lawyer</w:t>
            </w:r>
          </w:p>
        </w:tc>
        <w:tc>
          <w:tcPr>
            <w:tcW w:w="4192" w:type="dxa"/>
            <w:gridSpan w:val="7"/>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Party appealing/Lawyer</w:t>
            </w:r>
          </w:p>
        </w:tc>
        <w:tc>
          <w:tcPr>
            <w:tcW w:w="1268" w:type="dxa"/>
            <w:tcBorders>
              <w:top w:val="single" w:sz="4" w:space="0" w:color="auto"/>
              <w:bottom w:val="single" w:sz="4" w:space="0" w:color="auto"/>
            </w:tcBorders>
          </w:tcPr>
          <w:p>
            <w:pPr>
              <w:pStyle w:val="yTableNAm"/>
              <w:rPr>
                <w:sz w:val="20"/>
              </w:rPr>
            </w:pPr>
            <w:r>
              <w:rPr>
                <w:sz w:val="20"/>
              </w:rPr>
              <w:t>Date:</w:t>
            </w:r>
          </w:p>
        </w:tc>
      </w:tr>
      <w:tr>
        <w:trPr>
          <w:cantSplit/>
        </w:trPr>
        <w:tc>
          <w:tcPr>
            <w:tcW w:w="1620" w:type="dxa"/>
            <w:vMerge w:val="restart"/>
            <w:tcBorders>
              <w:top w:val="single" w:sz="4" w:space="0" w:color="auto"/>
            </w:tcBorders>
          </w:tcPr>
          <w:p>
            <w:pPr>
              <w:pStyle w:val="yTableNAm"/>
              <w:rPr>
                <w:sz w:val="20"/>
              </w:rPr>
            </w:pPr>
            <w:r>
              <w:rPr>
                <w:sz w:val="20"/>
              </w:rPr>
              <w:t>Contact details of party appealing or lawyer</w:t>
            </w:r>
          </w:p>
        </w:tc>
        <w:tc>
          <w:tcPr>
            <w:tcW w:w="1357" w:type="dxa"/>
            <w:tcBorders>
              <w:top w:val="single" w:sz="4" w:space="0" w:color="auto"/>
              <w:bottom w:val="single" w:sz="4" w:space="0" w:color="auto"/>
            </w:tcBorders>
          </w:tcPr>
          <w:p>
            <w:pPr>
              <w:pStyle w:val="yTableNAm"/>
              <w:rPr>
                <w:sz w:val="20"/>
              </w:rPr>
            </w:pPr>
            <w:r>
              <w:rPr>
                <w:sz w:val="20"/>
              </w:rPr>
              <w:t>Name</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Firm</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Address</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Phone</w:t>
            </w:r>
          </w:p>
        </w:tc>
        <w:tc>
          <w:tcPr>
            <w:tcW w:w="1418" w:type="dxa"/>
            <w:gridSpan w:val="3"/>
            <w:tcBorders>
              <w:top w:val="single" w:sz="4" w:space="0" w:color="auto"/>
              <w:bottom w:val="single" w:sz="4" w:space="0" w:color="auto"/>
            </w:tcBorders>
          </w:tcPr>
          <w:p>
            <w:pPr>
              <w:pStyle w:val="zyTableNAm"/>
              <w:spacing w:before="0"/>
              <w:rPr>
                <w:sz w:val="20"/>
              </w:rPr>
            </w:pPr>
          </w:p>
        </w:tc>
        <w:tc>
          <w:tcPr>
            <w:tcW w:w="850" w:type="dxa"/>
            <w:gridSpan w:val="2"/>
            <w:tcBorders>
              <w:top w:val="single" w:sz="4" w:space="0" w:color="auto"/>
              <w:bottom w:val="single" w:sz="4" w:space="0" w:color="auto"/>
            </w:tcBorders>
          </w:tcPr>
          <w:p>
            <w:pPr>
              <w:pStyle w:val="yTableNAm"/>
              <w:rPr>
                <w:sz w:val="20"/>
              </w:rPr>
            </w:pPr>
            <w:r>
              <w:rPr>
                <w:sz w:val="20"/>
              </w:rPr>
              <w:t>Fax</w:t>
            </w:r>
          </w:p>
        </w:tc>
        <w:tc>
          <w:tcPr>
            <w:tcW w:w="1835" w:type="dxa"/>
            <w:gridSpan w:val="2"/>
            <w:tcBorders>
              <w:top w:val="single" w:sz="4" w:space="0" w:color="auto"/>
              <w:bottom w:val="single" w:sz="4" w:space="0" w:color="auto"/>
            </w:tcBorders>
          </w:tcPr>
          <w:p>
            <w:pPr>
              <w:pStyle w:val="yTableNAm"/>
              <w:rPr>
                <w:sz w:val="20"/>
              </w:rPr>
            </w:pPr>
          </w:p>
        </w:tc>
      </w:tr>
      <w:tr>
        <w:trPr>
          <w:cantSplit/>
        </w:trPr>
        <w:tc>
          <w:tcPr>
            <w:tcW w:w="1620" w:type="dxa"/>
            <w:vMerge/>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Email</w:t>
            </w:r>
          </w:p>
        </w:tc>
        <w:tc>
          <w:tcPr>
            <w:tcW w:w="4103" w:type="dxa"/>
            <w:gridSpan w:val="7"/>
            <w:tcBorders>
              <w:top w:val="single" w:sz="4" w:space="0" w:color="auto"/>
              <w:bottom w:val="single" w:sz="4" w:space="0" w:color="auto"/>
            </w:tcBorders>
          </w:tcPr>
          <w:p>
            <w:pPr>
              <w:pStyle w:val="yTableNAm"/>
              <w:rPr>
                <w:sz w:val="20"/>
              </w:rPr>
            </w:pPr>
          </w:p>
        </w:tc>
      </w:tr>
      <w:tr>
        <w:trPr>
          <w:cantSplit/>
        </w:trPr>
        <w:tc>
          <w:tcPr>
            <w:tcW w:w="1620" w:type="dxa"/>
            <w:vMerge/>
            <w:tcBorders>
              <w:bottom w:val="single" w:sz="4" w:space="0" w:color="auto"/>
            </w:tcBorders>
          </w:tcPr>
          <w:p>
            <w:pPr>
              <w:pStyle w:val="yTableNAm"/>
              <w:spacing w:before="0"/>
              <w:rPr>
                <w:sz w:val="20"/>
              </w:rPr>
            </w:pPr>
          </w:p>
        </w:tc>
        <w:tc>
          <w:tcPr>
            <w:tcW w:w="1357" w:type="dxa"/>
            <w:tcBorders>
              <w:top w:val="single" w:sz="4" w:space="0" w:color="auto"/>
              <w:bottom w:val="single" w:sz="4" w:space="0" w:color="auto"/>
            </w:tcBorders>
          </w:tcPr>
          <w:p>
            <w:pPr>
              <w:pStyle w:val="yTableNAm"/>
              <w:spacing w:before="0"/>
              <w:rPr>
                <w:sz w:val="20"/>
              </w:rPr>
            </w:pPr>
            <w:r>
              <w:rPr>
                <w:sz w:val="20"/>
              </w:rPr>
              <w:t>Reference</w:t>
            </w:r>
          </w:p>
        </w:tc>
        <w:tc>
          <w:tcPr>
            <w:tcW w:w="4103" w:type="dxa"/>
            <w:gridSpan w:val="7"/>
            <w:tcBorders>
              <w:top w:val="single" w:sz="4" w:space="0" w:color="auto"/>
              <w:bottom w:val="single" w:sz="4" w:space="0" w:color="auto"/>
            </w:tcBorders>
          </w:tcPr>
          <w:p>
            <w:pPr>
              <w:pStyle w:val="yTableNAm"/>
              <w:rPr>
                <w:sz w:val="20"/>
              </w:rPr>
            </w:pPr>
          </w:p>
        </w:tc>
      </w:tr>
    </w:tbl>
    <w:p>
      <w:pPr>
        <w:pStyle w:val="yMiscellaneousBody"/>
        <w:ind w:left="540" w:hanging="540"/>
        <w:rPr>
          <w:sz w:val="20"/>
        </w:rPr>
      </w:pPr>
      <w:r>
        <w:rPr>
          <w:sz w:val="20"/>
        </w:rPr>
        <w:t>Notes to Form No. 80A —</w:t>
      </w:r>
    </w:p>
    <w:p>
      <w:pPr>
        <w:pStyle w:val="yMiscellaneousBody"/>
        <w:spacing w:before="0"/>
        <w:ind w:left="540" w:hanging="540"/>
        <w:rPr>
          <w:sz w:val="20"/>
        </w:rPr>
      </w:pPr>
      <w:r>
        <w:rPr>
          <w:sz w:val="20"/>
        </w:rPr>
        <w:t>1.</w:t>
      </w:r>
      <w:r>
        <w:rPr>
          <w:sz w:val="20"/>
        </w:rPr>
        <w:tab/>
        <w:t>The date being 10 days after the date of the order or decision appealed against.  See Order 60A r. 5(1).</w:t>
      </w:r>
    </w:p>
    <w:p>
      <w:pPr>
        <w:pStyle w:val="yMiscellaneousBody"/>
        <w:spacing w:before="0"/>
        <w:ind w:left="540" w:hanging="540"/>
        <w:rPr>
          <w:sz w:val="20"/>
        </w:rPr>
      </w:pPr>
      <w:r>
        <w:rPr>
          <w:sz w:val="20"/>
        </w:rPr>
        <w:t>2.</w:t>
      </w:r>
      <w:r>
        <w:rPr>
          <w:sz w:val="20"/>
        </w:rPr>
        <w:tab/>
        <w:t>For example, filing of further affidavits or submission.</w:t>
      </w:r>
    </w:p>
    <w:p>
      <w:pPr>
        <w:pStyle w:val="yMiscellaneousBody"/>
        <w:spacing w:before="0"/>
        <w:ind w:left="540" w:hanging="540"/>
        <w:rPr>
          <w:sz w:val="20"/>
        </w:rPr>
      </w:pPr>
      <w:r>
        <w:rPr>
          <w:sz w:val="20"/>
        </w:rPr>
        <w:t>3.</w:t>
      </w:r>
      <w:r>
        <w:rPr>
          <w:sz w:val="20"/>
        </w:rPr>
        <w:tab/>
        <w:t>For the period of 32 days beginning on the 14th day after the date of the filing of the appeal notice.  See Order 60A r. 5(3)(e).</w:t>
      </w:r>
    </w:p>
    <w:p>
      <w:pPr>
        <w:pStyle w:val="yFootnotesection"/>
      </w:pPr>
      <w:r>
        <w:tab/>
        <w:t>[Form 80A inserted: Gazette 13 Nov 2015 p. 4654.]</w:t>
      </w:r>
    </w:p>
    <w:p>
      <w:pPr>
        <w:pStyle w:val="yHeading5"/>
      </w:pPr>
      <w:bookmarkStart w:id="1562" w:name="_Toc129078582"/>
      <w:r>
        <w:rPr>
          <w:rStyle w:val="CharSClsNo"/>
        </w:rPr>
        <w:t>80</w:t>
      </w:r>
      <w:r>
        <w:t>.</w:t>
      </w:r>
      <w:r>
        <w:rPr>
          <w:b w:val="0"/>
        </w:rPr>
        <w:tab/>
      </w:r>
      <w:r>
        <w:t>Notice of judgment or order (O. 61 r. 3(3))</w:t>
      </w:r>
      <w:bookmarkEnd w:id="1562"/>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Gazette 22 Jul 1984 p. 3748; 28 Jun 2011 p. 2561.]</w:t>
      </w:r>
    </w:p>
    <w:p>
      <w:pPr>
        <w:pStyle w:val="yHeading5"/>
        <w:spacing w:before="480" w:after="120"/>
      </w:pPr>
      <w:bookmarkStart w:id="1563" w:name="_Toc129078583"/>
      <w:r>
        <w:rPr>
          <w:rStyle w:val="CharSClsNo"/>
        </w:rPr>
        <w:lastRenderedPageBreak/>
        <w:t>81</w:t>
      </w:r>
      <w:r>
        <w:t>.</w:t>
      </w:r>
      <w:r>
        <w:rPr>
          <w:b w:val="0"/>
        </w:rPr>
        <w:tab/>
      </w:r>
      <w:r>
        <w:t>Advertisement for creditors (O. 61 r. 15(2))</w:t>
      </w:r>
      <w:bookmarkEnd w:id="1563"/>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Gazette 28 Jun 2011 p. 2561.]</w:t>
      </w:r>
    </w:p>
    <w:p>
      <w:pPr>
        <w:pStyle w:val="yHeading5"/>
        <w:spacing w:after="120"/>
      </w:pPr>
      <w:bookmarkStart w:id="1564" w:name="_Toc129078584"/>
      <w:r>
        <w:rPr>
          <w:rStyle w:val="CharSClsNo"/>
        </w:rPr>
        <w:t>82</w:t>
      </w:r>
      <w:r>
        <w:t>.</w:t>
      </w:r>
      <w:r>
        <w:rPr>
          <w:b w:val="0"/>
        </w:rPr>
        <w:tab/>
      </w:r>
      <w:r>
        <w:t>Advertisement for claimants other than creditors (O. 61 r. 15(2))</w:t>
      </w:r>
      <w:bookmarkEnd w:id="1564"/>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Supreme Court, David Malcolm Justice Centre, 28 Barrack Street, Perth,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Gazette 28 Jun 2011 p. 2561; 16 Nov 2016 p. 5216; 16 Aug 2017 p. 4424.]</w:t>
      </w:r>
    </w:p>
    <w:p>
      <w:pPr>
        <w:pStyle w:val="yEdnotedivision"/>
        <w:outlineLvl w:val="9"/>
      </w:pPr>
      <w:r>
        <w:lastRenderedPageBreak/>
        <w:t>[Forms 82A, 82AA and 82B deleted: Gazette 29 Apr 2005 p. 1800.]</w:t>
      </w:r>
    </w:p>
    <w:p>
      <w:pPr>
        <w:pStyle w:val="yHeading5"/>
        <w:spacing w:before="240" w:after="120"/>
      </w:pPr>
      <w:bookmarkStart w:id="1565" w:name="_Toc129078585"/>
      <w:r>
        <w:rPr>
          <w:rStyle w:val="CharSClsNo"/>
        </w:rPr>
        <w:t>83</w:t>
      </w:r>
      <w:r>
        <w:t>.</w:t>
      </w:r>
      <w:r>
        <w:rPr>
          <w:b w:val="0"/>
        </w:rPr>
        <w:tab/>
      </w:r>
      <w:r>
        <w:t>Appeal notice (O. 65 r. 10)</w:t>
      </w:r>
      <w:bookmarkEnd w:id="156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file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4</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lastRenderedPageBreak/>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keepNext/>
        <w:spacing w:before="0"/>
        <w:ind w:left="540" w:hanging="540"/>
        <w:rPr>
          <w:sz w:val="20"/>
        </w:rPr>
      </w:pPr>
      <w:r>
        <w:rPr>
          <w:sz w:val="20"/>
        </w:rPr>
        <w:t>3.</w:t>
      </w:r>
      <w:r>
        <w:rPr>
          <w:sz w:val="20"/>
        </w:rPr>
        <w:tab/>
        <w:t>Must be provided unless otherwise ordered by the Court.  See Order 71A r. 2 and 3A.</w:t>
      </w:r>
    </w:p>
    <w:p>
      <w:pPr>
        <w:pStyle w:val="yMiscellaneousBody"/>
        <w:keepNext/>
        <w:spacing w:before="0"/>
        <w:ind w:left="540" w:hanging="540"/>
        <w:rPr>
          <w:sz w:val="20"/>
        </w:rPr>
      </w:pPr>
      <w:r>
        <w:rPr>
          <w:sz w:val="20"/>
        </w:rPr>
        <w:t>4.</w:t>
      </w:r>
      <w:r>
        <w:rPr>
          <w:sz w:val="20"/>
        </w:rPr>
        <w:tab/>
        <w:t>Must be in accordance with Order 71A.</w:t>
      </w:r>
    </w:p>
    <w:p>
      <w:pPr>
        <w:pStyle w:val="yFootnotesection"/>
      </w:pPr>
      <w:r>
        <w:tab/>
        <w:t>[Form 83 inserted: Gazette 21 Feb 2007 p. 572</w:t>
      </w:r>
      <w:r>
        <w:noBreakHyphen/>
        <w:t>3; amended: Gazette 13 Nov 2015 p. 4655; 27 Feb 2018 p. 623.]</w:t>
      </w:r>
    </w:p>
    <w:p>
      <w:pPr>
        <w:pStyle w:val="yHeading5"/>
        <w:spacing w:before="480" w:after="120"/>
      </w:pPr>
      <w:bookmarkStart w:id="1566" w:name="_Toc129078586"/>
      <w:r>
        <w:rPr>
          <w:rStyle w:val="CharSClsNo"/>
        </w:rPr>
        <w:t>84</w:t>
      </w:r>
      <w:r>
        <w:t>.</w:t>
      </w:r>
      <w:r>
        <w:tab/>
        <w:t>Service certificate (O. 65 r. 10(7))</w:t>
      </w:r>
      <w:bookmarkEnd w:id="156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filed with the appeal notice.</w:t>
            </w:r>
          </w:p>
          <w:p>
            <w:pPr>
              <w:pStyle w:val="yTableNAm"/>
              <w:spacing w:before="0"/>
              <w:rPr>
                <w:sz w:val="20"/>
              </w:rPr>
            </w:pPr>
            <w:r>
              <w:rPr>
                <w:sz w:val="20"/>
              </w:rPr>
              <w:t>I undertake to file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r>
        <w:tab/>
        <w:t>[Form 84 inserted: Gazette 21 Feb 2007 p. 573; amended: Gazette 27 Feb 2018 p. 623.]</w:t>
      </w:r>
    </w:p>
    <w:p>
      <w:pPr>
        <w:pStyle w:val="yHeading5"/>
        <w:pageBreakBefore/>
        <w:spacing w:before="0" w:after="120"/>
      </w:pPr>
      <w:bookmarkStart w:id="1567" w:name="_Toc129078587"/>
      <w:r>
        <w:rPr>
          <w:rStyle w:val="CharSClsNo"/>
        </w:rPr>
        <w:lastRenderedPageBreak/>
        <w:t>85</w:t>
      </w:r>
      <w:r>
        <w:t>.</w:t>
      </w:r>
      <w:r>
        <w:tab/>
        <w:t>Notice of respondent’s intention (O. 65 r. 12)</w:t>
      </w:r>
      <w:bookmarkEnd w:id="156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Supreme Court of Western Australia</w:t>
            </w:r>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3</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provided unless otherwise ordered by the Court.  See Order 71A r. 2 and 3A.</w:t>
      </w:r>
    </w:p>
    <w:p>
      <w:pPr>
        <w:pStyle w:val="yMiscellaneousBody"/>
        <w:spacing w:before="0"/>
        <w:ind w:left="540" w:hanging="540"/>
        <w:rPr>
          <w:sz w:val="20"/>
        </w:rPr>
      </w:pPr>
      <w:r>
        <w:rPr>
          <w:sz w:val="20"/>
        </w:rPr>
        <w:t>3.</w:t>
      </w:r>
      <w:r>
        <w:rPr>
          <w:sz w:val="20"/>
        </w:rPr>
        <w:tab/>
        <w:t>Must be in accordance with Order 71A.</w:t>
      </w:r>
    </w:p>
    <w:p>
      <w:pPr>
        <w:pStyle w:val="yFootnotesection"/>
      </w:pPr>
      <w:r>
        <w:tab/>
        <w:t>[Form 85 inserted: Gazette 21 Feb 2007 p. 574; amended: Gazette 13 Nov 2015 p. 4655.]</w:t>
      </w:r>
    </w:p>
    <w:p>
      <w:pPr>
        <w:pStyle w:val="yHeading5"/>
        <w:pageBreakBefore/>
        <w:spacing w:before="0" w:after="120"/>
      </w:pPr>
      <w:bookmarkStart w:id="1568" w:name="_Toc129078588"/>
      <w:r>
        <w:rPr>
          <w:rStyle w:val="CharSClsNo"/>
        </w:rPr>
        <w:lastRenderedPageBreak/>
        <w:t>86</w:t>
      </w:r>
      <w:r>
        <w:t>.</w:t>
      </w:r>
      <w:r>
        <w:tab/>
        <w:t>Application in an appeal (O. 65 r. 13)</w:t>
      </w:r>
      <w:bookmarkEnd w:id="156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r>
        <w:tab/>
        <w:t>[Form 86 inserted: Gazette 21 Feb 2007 p. 574</w:t>
      </w:r>
      <w:r>
        <w:noBreakHyphen/>
        <w:t>5.]</w:t>
      </w:r>
    </w:p>
    <w:p>
      <w:pPr>
        <w:pStyle w:val="yHeading5"/>
        <w:spacing w:before="480" w:after="120"/>
      </w:pPr>
      <w:bookmarkStart w:id="1569" w:name="_Toc129078589"/>
      <w:r>
        <w:rPr>
          <w:rStyle w:val="CharSClsNo"/>
        </w:rPr>
        <w:t>87</w:t>
      </w:r>
      <w:r>
        <w:t>.</w:t>
      </w:r>
      <w:r>
        <w:tab/>
        <w:t>Consent notice (O. 65 r. 15 &amp; 18)</w:t>
      </w:r>
      <w:bookmarkEnd w:id="156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Supreme Court of Western Australia</w:t>
            </w:r>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r>
        <w:tab/>
        <w:t>[Form 87 inserted: Gazette 21 Feb 2007 p. 575.]</w:t>
      </w:r>
    </w:p>
    <w:p>
      <w:pPr>
        <w:pStyle w:val="yHeading5"/>
        <w:spacing w:after="120"/>
      </w:pPr>
      <w:bookmarkStart w:id="1570" w:name="_Toc129078590"/>
      <w:r>
        <w:rPr>
          <w:rStyle w:val="CharSClsNo"/>
        </w:rPr>
        <w:lastRenderedPageBreak/>
        <w:t>88</w:t>
      </w:r>
      <w:r>
        <w:t>.</w:t>
      </w:r>
      <w:r>
        <w:tab/>
        <w:t>Request for hearing (O. 65 r. 7)</w:t>
      </w:r>
      <w:bookmarkEnd w:id="15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r>
        <w:tab/>
        <w:t>[Form 88 inserted: Gazette 21 Feb 2007 p. 575.]</w:t>
      </w:r>
    </w:p>
    <w:p>
      <w:pPr>
        <w:pStyle w:val="yHeading5"/>
        <w:spacing w:before="480" w:after="120"/>
      </w:pPr>
      <w:bookmarkStart w:id="1571" w:name="_Toc129078591"/>
      <w:r>
        <w:rPr>
          <w:rStyle w:val="CharSClsNo"/>
        </w:rPr>
        <w:t>89</w:t>
      </w:r>
      <w:r>
        <w:t>.</w:t>
      </w:r>
      <w:r>
        <w:tab/>
        <w:t>Discontinuance notice (O. 65 r. 17)</w:t>
      </w:r>
      <w:bookmarkEnd w:id="15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Supreme Court of Western Australia</w:t>
            </w:r>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Gazette 21 Feb 2007 p. 575.]</w:t>
      </w:r>
    </w:p>
    <w:p>
      <w:pPr>
        <w:pStyle w:val="yEdnotedivision"/>
        <w:outlineLvl w:val="9"/>
      </w:pPr>
      <w:r>
        <w:t>[Forms 90</w:t>
      </w:r>
      <w:r>
        <w:noBreakHyphen/>
        <w:t>93 deleted: Gazette 21 Feb 2007 p. 572.]</w:t>
      </w:r>
    </w:p>
    <w:p>
      <w:pPr>
        <w:pStyle w:val="yHeading5"/>
        <w:pageBreakBefore/>
        <w:spacing w:after="120"/>
      </w:pPr>
      <w:bookmarkStart w:id="1572" w:name="_Toc129078592"/>
      <w:r>
        <w:rPr>
          <w:rStyle w:val="CharSClsNo"/>
        </w:rPr>
        <w:lastRenderedPageBreak/>
        <w:t>93A</w:t>
      </w:r>
      <w:r>
        <w:t>.</w:t>
      </w:r>
      <w:r>
        <w:rPr>
          <w:b w:val="0"/>
        </w:rPr>
        <w:tab/>
      </w:r>
      <w:r>
        <w:rPr>
          <w:i/>
        </w:rPr>
        <w:t>Public Notaries Act 1979</w:t>
      </w:r>
      <w:r>
        <w:t xml:space="preserve"> s. 8, certificate (O. 76 r. 2)</w:t>
      </w:r>
      <w:bookmarkEnd w:id="1572"/>
    </w:p>
    <w:p>
      <w:pPr>
        <w:pStyle w:val="yMiscellaneousBody"/>
        <w:spacing w:before="120"/>
        <w:rPr>
          <w:sz w:val="20"/>
        </w:rPr>
      </w:pPr>
      <w:r>
        <w:rPr>
          <w:sz w:val="20"/>
        </w:rPr>
        <w:t>IN THE SUPREME COURT</w:t>
      </w:r>
      <w:r>
        <w:rPr>
          <w:sz w:val="20"/>
        </w:rPr>
        <w:br/>
        <w:t>OF WESTERN AUSTRALIA</w:t>
      </w:r>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Legal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Chief Justice of Western Australia.</w:t>
      </w:r>
    </w:p>
    <w:p>
      <w:pPr>
        <w:pStyle w:val="yFootnotesection"/>
      </w:pPr>
      <w:r>
        <w:tab/>
        <w:t>[Form 93A inserted: Gazette 18 Jul 1980 p. 2386; amended: Gazette 21 Feb 2007 p. 584; 22 Feb 2008 p. 649; 28 Jun 2011 p. 2561; SL 2022/74 r. 15.]</w:t>
      </w:r>
    </w:p>
    <w:p>
      <w:pPr>
        <w:pStyle w:val="yHeading5"/>
        <w:pageBreakBefore/>
        <w:spacing w:after="120"/>
      </w:pPr>
      <w:bookmarkStart w:id="1573" w:name="_Toc129078593"/>
      <w:r>
        <w:rPr>
          <w:rStyle w:val="CharSClsNo"/>
        </w:rPr>
        <w:lastRenderedPageBreak/>
        <w:t>93B</w:t>
      </w:r>
      <w:r>
        <w:t>.</w:t>
      </w:r>
      <w:r>
        <w:rPr>
          <w:b w:val="0"/>
        </w:rPr>
        <w:tab/>
      </w:r>
      <w:r>
        <w:t>Notice of intention to apply for appointment as public notary (O. 76 r. 3)</w:t>
      </w:r>
      <w:bookmarkEnd w:id="1573"/>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Legal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filed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Gazette 18 Jul 1980 p. 2386; amended: Gazette 29 Apr 2005 p. 1794; 21 Feb 2007 p. 584; 28 Jun 2011 p. 2562; 27 Feb 2018 p. 623; SL 2022/74 r. 15.]</w:t>
      </w:r>
    </w:p>
    <w:p>
      <w:pPr>
        <w:pStyle w:val="yHeading5"/>
        <w:spacing w:before="480" w:after="120"/>
      </w:pPr>
      <w:bookmarkStart w:id="1574" w:name="_Toc129078594"/>
      <w:r>
        <w:rPr>
          <w:rStyle w:val="CharSClsNo"/>
        </w:rPr>
        <w:t>93C</w:t>
      </w:r>
      <w:r>
        <w:t>.</w:t>
      </w:r>
      <w:r>
        <w:rPr>
          <w:b w:val="0"/>
        </w:rPr>
        <w:tab/>
      </w:r>
      <w:r>
        <w:t>Certificate of appointment as public notary Western Australia (O. 76 r. 5(1))</w:t>
      </w:r>
      <w:bookmarkEnd w:id="1574"/>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has this day been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in the State of Western Australia]</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Gazette 18 Jul 1980 p. 2386; amended: Gazette 21 Feb 2007 p. 584; 28 Jun 2011 p. 2562.]</w:t>
      </w:r>
    </w:p>
    <w:p>
      <w:pPr>
        <w:pStyle w:val="yHeading5"/>
        <w:pageBreakBefore/>
        <w:spacing w:after="120"/>
      </w:pPr>
      <w:bookmarkStart w:id="1575" w:name="_Toc129078595"/>
      <w:r>
        <w:rPr>
          <w:rStyle w:val="CharSClsNo"/>
        </w:rPr>
        <w:lastRenderedPageBreak/>
        <w:t>93D</w:t>
      </w:r>
      <w:r>
        <w:t>.</w:t>
      </w:r>
      <w:r>
        <w:rPr>
          <w:b w:val="0"/>
        </w:rPr>
        <w:tab/>
      </w:r>
      <w:r>
        <w:t>Certificate that name of public notary remains on roll (O. 76 r. 5(2))</w:t>
      </w:r>
      <w:bookmarkEnd w:id="1575"/>
    </w:p>
    <w:p>
      <w:pPr>
        <w:pStyle w:val="yMiscellaneousBody"/>
        <w:jc w:val="center"/>
        <w:rPr>
          <w:sz w:val="20"/>
        </w:rPr>
      </w:pPr>
      <w:r>
        <w:rPr>
          <w:sz w:val="20"/>
        </w:rPr>
        <w:t>Western Australia</w:t>
      </w:r>
    </w:p>
    <w:p>
      <w:pPr>
        <w:pStyle w:val="yMiscellaneousBody"/>
        <w:rPr>
          <w:sz w:val="20"/>
        </w:rPr>
      </w:pPr>
      <w:r>
        <w:rPr>
          <w:sz w:val="20"/>
        </w:rPr>
        <w:t>IN THE SUPREME COURT</w:t>
      </w:r>
    </w:p>
    <w:p>
      <w:pPr>
        <w:pStyle w:val="yMiscellaneousBody"/>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was duly appointed as a General Public Notary for the State of Western Australia [</w:t>
      </w:r>
      <w:r>
        <w:rPr>
          <w:i/>
          <w:sz w:val="20"/>
        </w:rPr>
        <w:t>or</w:t>
      </w:r>
      <w:r>
        <w:rPr>
          <w:sz w:val="20"/>
        </w:rPr>
        <w:t xml:space="preserve"> as a District Public Notary for the</w:t>
      </w:r>
      <w:r>
        <w:rPr>
          <w:i/>
          <w:sz w:val="20"/>
        </w:rPr>
        <w:t xml:space="preserve"> (name of district) </w:t>
      </w:r>
      <w:r>
        <w:rPr>
          <w:iCs/>
          <w:sz w:val="20"/>
        </w:rPr>
        <w:t xml:space="preserve">in the State of Western Australia]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Gazette 18 Jul 1980 p. 2387; amended: Gazette 21 Feb 2007 p. 584; 28 Jun 2011 p. 2562.]</w:t>
      </w:r>
    </w:p>
    <w:p>
      <w:pPr>
        <w:pStyle w:val="yEdnotedivision"/>
        <w:spacing w:before="240"/>
        <w:outlineLvl w:val="9"/>
      </w:pPr>
      <w:r>
        <w:t>[Form 94 deleted: Gazette 21 Feb 2007 p. 584.]</w:t>
      </w:r>
    </w:p>
    <w:p>
      <w:pPr>
        <w:pStyle w:val="yEdnotedivision"/>
        <w:spacing w:before="240"/>
        <w:outlineLvl w:val="9"/>
      </w:pPr>
      <w:r>
        <w:t>[Forms 95, 96, 97, 98 and 98A deleted: Gazette 29 Apr 2005 p. 1801.]</w:t>
      </w:r>
    </w:p>
    <w:p>
      <w:pPr>
        <w:pStyle w:val="yHeading5"/>
        <w:pageBreakBefore/>
        <w:spacing w:before="0" w:after="120"/>
      </w:pPr>
      <w:bookmarkStart w:id="1576" w:name="_Toc129078596"/>
      <w:r>
        <w:rPr>
          <w:rStyle w:val="CharSClsNo"/>
        </w:rPr>
        <w:lastRenderedPageBreak/>
        <w:t>99</w:t>
      </w:r>
      <w:r>
        <w:t>.</w:t>
      </w:r>
      <w:r>
        <w:rPr>
          <w:b w:val="0"/>
        </w:rPr>
        <w:tab/>
      </w:r>
      <w:r>
        <w:rPr>
          <w:i/>
        </w:rPr>
        <w:t>Escheat (Procedure) Act 1940</w:t>
      </w:r>
      <w:r>
        <w:t>, notice of application under (O. 80 r. 3)</w:t>
      </w:r>
      <w:bookmarkEnd w:id="1576"/>
    </w:p>
    <w:p>
      <w:pPr>
        <w:pStyle w:val="yMiscellaneousBody"/>
        <w:keepNext/>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80"/>
        <w:ind w:left="3840"/>
        <w:rPr>
          <w:sz w:val="20"/>
        </w:rPr>
      </w:pPr>
      <w:r>
        <w:rPr>
          <w:sz w:val="20"/>
        </w:rPr>
        <w:t>The State of Western Australia.</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David Malcolm Justice Centre, 28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Gazette 19 Apr 2005 p. 1301; 28 Jun 2011 p. 2562; 16 Nov 2016 p. 5216.]</w:t>
      </w:r>
    </w:p>
    <w:p>
      <w:pPr>
        <w:pStyle w:val="yHeading5"/>
        <w:keepNext w:val="0"/>
        <w:widowControl w:val="0"/>
      </w:pPr>
      <w:bookmarkStart w:id="1577" w:name="_Toc129078597"/>
      <w:r>
        <w:rPr>
          <w:rStyle w:val="CharSClsNo"/>
        </w:rPr>
        <w:t>100</w:t>
      </w:r>
      <w:r>
        <w:t>.</w:t>
      </w:r>
      <w:r>
        <w:rPr>
          <w:b w:val="0"/>
        </w:rPr>
        <w:tab/>
      </w:r>
      <w:r>
        <w:rPr>
          <w:i/>
        </w:rPr>
        <w:t>Escheat (Procedure) Act 1940</w:t>
      </w:r>
      <w:r>
        <w:t>, order of escheat (O. 80 r. 7)</w:t>
      </w:r>
      <w:bookmarkEnd w:id="1577"/>
    </w:p>
    <w:p>
      <w:pPr>
        <w:pStyle w:val="yMiscellaneousBody"/>
        <w:spacing w:before="120"/>
        <w:rPr>
          <w:sz w:val="20"/>
        </w:rPr>
      </w:pPr>
      <w:r>
        <w:rPr>
          <w:sz w:val="20"/>
        </w:rPr>
        <w:t>IN THE SUPREME COURT</w:t>
      </w:r>
      <w:r>
        <w:rPr>
          <w:sz w:val="20"/>
        </w:rPr>
        <w:br/>
        <w:t>OF WESTERN AUSTRALIA.</w:t>
      </w:r>
    </w:p>
    <w:p>
      <w:pPr>
        <w:pStyle w:val="yMiscellaneousBody"/>
        <w:spacing w:before="80"/>
        <w:ind w:left="2880"/>
        <w:rPr>
          <w:sz w:val="20"/>
        </w:rPr>
      </w:pPr>
      <w:r>
        <w:rPr>
          <w:sz w:val="20"/>
        </w:rPr>
        <w:t>In the matter of</w:t>
      </w:r>
    </w:p>
    <w:p>
      <w:pPr>
        <w:pStyle w:val="yMiscellaneousBody"/>
        <w:spacing w:before="80"/>
        <w:ind w:left="2880"/>
        <w:jc w:val="right"/>
        <w:rPr>
          <w:sz w:val="20"/>
        </w:rPr>
      </w:pPr>
      <w:r>
        <w:rPr>
          <w:sz w:val="20"/>
        </w:rPr>
        <w:t>deceased</w:t>
      </w:r>
    </w:p>
    <w:p>
      <w:pPr>
        <w:pStyle w:val="yMiscellaneousBody"/>
        <w:spacing w:before="80"/>
        <w:jc w:val="center"/>
        <w:rPr>
          <w:i/>
          <w:sz w:val="20"/>
        </w:rPr>
      </w:pPr>
      <w:r>
        <w:rPr>
          <w:i/>
          <w:sz w:val="20"/>
        </w:rPr>
        <w:t>Ex parte</w:t>
      </w:r>
    </w:p>
    <w:p>
      <w:pPr>
        <w:pStyle w:val="yMiscellaneousBody"/>
        <w:spacing w:before="120"/>
        <w:ind w:left="3840"/>
        <w:rPr>
          <w:sz w:val="20"/>
        </w:rPr>
      </w:pPr>
      <w:r>
        <w:rPr>
          <w:sz w:val="20"/>
        </w:rPr>
        <w:t>The State of Western Australia.</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the Court orders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spacing w:before="40"/>
      </w:pPr>
      <w:r>
        <w:tab/>
        <w:t>[Form 100 amended: Gazette 19 Apr 2005 p. 1301; 28 Jun 2011 p. 2562; 16 Aug 2017 p. 4424.]</w:t>
      </w:r>
    </w:p>
    <w:p>
      <w:pPr>
        <w:pStyle w:val="yHeading5"/>
        <w:pageBreakBefore/>
        <w:spacing w:after="120"/>
      </w:pPr>
      <w:bookmarkStart w:id="1578" w:name="_Toc129078598"/>
      <w:r>
        <w:rPr>
          <w:rStyle w:val="CharSClsNo"/>
        </w:rPr>
        <w:lastRenderedPageBreak/>
        <w:t>101</w:t>
      </w:r>
      <w:r>
        <w:t>.</w:t>
      </w:r>
      <w:r>
        <w:tab/>
        <w:t>Application for extraordinary licence (O. 81C r. 2(1))</w:t>
      </w:r>
      <w:bookmarkEnd w:id="15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80"/>
              <w:rPr>
                <w:iCs/>
                <w:sz w:val="20"/>
              </w:rPr>
            </w:pPr>
            <w:r>
              <w:rPr>
                <w:i/>
                <w:iCs/>
                <w:sz w:val="20"/>
              </w:rPr>
              <w:t>Road Traffic (Authorisation to Drive) Act 2008</w:t>
            </w:r>
            <w:r>
              <w:rPr>
                <w:iCs/>
                <w:sz w:val="20"/>
              </w:rPr>
              <w:t xml:space="preserve"> s. 27</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(Authorisation to Drive) Act 2008</w:t>
            </w:r>
            <w:r>
              <w:rPr>
                <w:iCs/>
                <w:sz w:val="20"/>
              </w:rPr>
              <w:t xml:space="preserve"> s. 27</w:t>
            </w:r>
            <w:r>
              <w:rPr>
                <w:sz w:val="20"/>
              </w:rPr>
              <w:t xml:space="preserve"> I apply for an order directing the CEO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Note the </w:t>
      </w:r>
      <w:r>
        <w:rPr>
          <w:i/>
          <w:sz w:val="20"/>
        </w:rPr>
        <w:t>Road Traffic (Authorisation to Drive) Act 2008</w:t>
      </w:r>
      <w:r>
        <w:rPr>
          <w:iCs/>
          <w:sz w:val="20"/>
        </w:rPr>
        <w:t xml:space="preserve"> s. 30.</w:t>
      </w:r>
      <w:r>
        <w:rPr>
          <w:sz w:val="20"/>
        </w:rPr>
        <w:t xml:space="preserve"> Use numbered paragraphs.</w:t>
      </w:r>
    </w:p>
    <w:p>
      <w:pPr>
        <w:pStyle w:val="yFootnotesection"/>
      </w:pPr>
      <w:r>
        <w:tab/>
        <w:t>[Form 101 inserted: Gazette 21 Feb 2007 p. 588; amended: Gazette 19 Dec 2014 p. 4848; SL 2021/65 r. 4.]</w:t>
      </w:r>
    </w:p>
    <w:p>
      <w:pPr>
        <w:pStyle w:val="yHeading5"/>
        <w:spacing w:before="480" w:after="120"/>
        <w:outlineLvl w:val="9"/>
      </w:pPr>
      <w:bookmarkStart w:id="1579" w:name="_Toc129078599"/>
      <w:r>
        <w:rPr>
          <w:rStyle w:val="CharSClsNo"/>
        </w:rPr>
        <w:t>102</w:t>
      </w:r>
      <w:r>
        <w:t>.</w:t>
      </w:r>
      <w:r>
        <w:tab/>
        <w:t>Application by holder to vary extraordinary licence (O. 81C r. 2(2))</w:t>
      </w:r>
      <w:bookmarkEnd w:id="15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 xml:space="preserve">Road Traffic (Authorisation to Drive) Act 2008 </w:t>
            </w:r>
            <w:r>
              <w:rPr>
                <w:iCs/>
                <w:sz w:val="20"/>
              </w:rPr>
              <w:t>s. 35(1)</w:t>
            </w:r>
          </w:p>
          <w:p>
            <w:pPr>
              <w:pStyle w:val="yTableNAm"/>
              <w:spacing w:before="80"/>
              <w:rPr>
                <w:sz w:val="20"/>
              </w:rPr>
            </w:pPr>
            <w:r>
              <w:rPr>
                <w:sz w:val="20"/>
              </w:rPr>
              <w:t>Supreme Court of Western Australia</w:t>
            </w:r>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(Authorisation to Drive) Act 2008</w:t>
            </w:r>
            <w:r>
              <w:rPr>
                <w:iCs/>
                <w:sz w:val="20"/>
              </w:rPr>
              <w:t xml:space="preserve"> s. 35(1)</w:t>
            </w:r>
            <w:r>
              <w:rPr>
                <w:sz w:val="20"/>
              </w:rPr>
              <w:t xml:space="preserve">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102 inserted: Gazette 21 Feb 2007 p. 589; amended: Gazette 19 Dec 2014 p. 4848.]</w:t>
      </w:r>
    </w:p>
    <w:p>
      <w:pPr>
        <w:pStyle w:val="yHeading5"/>
        <w:spacing w:after="120"/>
      </w:pPr>
      <w:bookmarkStart w:id="1580" w:name="_Toc129078600"/>
      <w:r>
        <w:rPr>
          <w:rStyle w:val="CharSClsNo"/>
        </w:rPr>
        <w:t>103</w:t>
      </w:r>
      <w:r>
        <w:t>.</w:t>
      </w:r>
      <w:r>
        <w:tab/>
        <w:t>Application by CEO to vary, cancel extraordinary licence (O. 81C r. 2(3))</w:t>
      </w:r>
      <w:bookmarkEnd w:id="15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 xml:space="preserve">Road Traffic (Authorisation to Drive) Act 2008 </w:t>
            </w:r>
            <w:r>
              <w:rPr>
                <w:iCs/>
                <w:sz w:val="20"/>
              </w:rPr>
              <w:t>s. 35(2)</w:t>
            </w:r>
          </w:p>
          <w:p>
            <w:pPr>
              <w:pStyle w:val="yTableNAm"/>
              <w:rPr>
                <w:sz w:val="20"/>
              </w:rPr>
            </w:pPr>
            <w:r>
              <w:rPr>
                <w:sz w:val="20"/>
              </w:rPr>
              <w:t>Supreme Court of Western Australia</w:t>
            </w:r>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CEO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CEO</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Road Traffic (Authorisation to Drive) Act 2008</w:t>
      </w:r>
      <w:r>
        <w:rPr>
          <w:iCs/>
          <w:sz w:val="20"/>
        </w:rPr>
        <w:t xml:space="preserve"> s. 35(4).</w:t>
      </w:r>
      <w:r>
        <w:rPr>
          <w:sz w:val="20"/>
        </w:rPr>
        <w:t xml:space="preserve"> Use numbered paragraphs.</w:t>
      </w:r>
    </w:p>
    <w:p>
      <w:pPr>
        <w:pStyle w:val="yFootnotesection"/>
      </w:pPr>
      <w:r>
        <w:tab/>
        <w:t>[Form 103 inserted: Gazette 21 Feb 2007 p. 589</w:t>
      </w:r>
      <w:r>
        <w:noBreakHyphen/>
        <w:t>90; amended: Gazette 19 Dec 2014 p. 4848</w:t>
      </w:r>
      <w:r>
        <w:noBreakHyphen/>
        <w:t>9.]</w:t>
      </w:r>
    </w:p>
    <w:p>
      <w:pPr>
        <w:pStyle w:val="yHeading5"/>
        <w:spacing w:after="80"/>
      </w:pPr>
      <w:bookmarkStart w:id="1581" w:name="_Toc129078601"/>
      <w:r>
        <w:rPr>
          <w:rStyle w:val="CharSClsNo"/>
        </w:rPr>
        <w:t>104</w:t>
      </w:r>
      <w:r>
        <w:t>.</w:t>
      </w:r>
      <w:r>
        <w:tab/>
        <w:t>Application for removal of disqualification (O. 81C r. 2(4))</w:t>
      </w:r>
      <w:bookmarkEnd w:id="15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sz w:val="20"/>
              </w:rPr>
              <w:t>Road Traffic (Authorisation to Drive) Act 2008</w:t>
            </w:r>
            <w:r>
              <w:rPr>
                <w:iCs/>
                <w:sz w:val="20"/>
              </w:rPr>
              <w:t xml:space="preserve"> s. 24(1)</w:t>
            </w:r>
          </w:p>
          <w:p>
            <w:pPr>
              <w:pStyle w:val="yTableNAm"/>
              <w:rPr>
                <w:sz w:val="20"/>
              </w:rPr>
            </w:pPr>
            <w:r>
              <w:rPr>
                <w:sz w:val="20"/>
              </w:rPr>
              <w:t>Supreme Court of Western Australia</w:t>
            </w:r>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sz w:val="20"/>
              </w:rPr>
              <w:t>Road Traffic (Authorisation to Drive) Act 2008</w:t>
            </w:r>
            <w:r>
              <w:rPr>
                <w:iCs/>
                <w:sz w:val="20"/>
              </w:rPr>
              <w:t xml:space="preserve"> s. 24(1),</w:t>
            </w:r>
            <w:r>
              <w:rPr>
                <w:sz w:val="20"/>
              </w:rPr>
              <w:t xml:space="preserve">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sz w:val="20"/>
              </w:rPr>
              <w:t>Road Traffic (Authorisation to Drive) Act 2008</w:t>
            </w:r>
            <w:r>
              <w:rPr>
                <w:iCs/>
                <w:sz w:val="20"/>
              </w:rPr>
              <w:t xml:space="preserve"> s. 24(1)</w:t>
            </w:r>
            <w:r>
              <w:rPr>
                <w:sz w:val="20"/>
              </w:rPr>
              <w:t xml:space="preserve">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lastRenderedPageBreak/>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Part V Division 2 (including s. 63, 64, 64AB, 64B, 67, 67AA, 67AD and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(Authorisation to Drive) Act 2008</w:t>
      </w:r>
      <w:r>
        <w:rPr>
          <w:iCs/>
          <w:sz w:val="20"/>
        </w:rPr>
        <w:t xml:space="preserve"> s. 24(5).</w:t>
      </w:r>
      <w:r>
        <w:rPr>
          <w:sz w:val="20"/>
        </w:rPr>
        <w:t xml:space="preserve"> Use numbered paragraphs.</w:t>
      </w:r>
    </w:p>
    <w:p>
      <w:pPr>
        <w:pStyle w:val="yFootnotesection"/>
      </w:pPr>
      <w:r>
        <w:tab/>
        <w:t>[Form 104 inserted: Gazette 21 Feb 2007 p. 590; amended: Gazette 19 Dec 2014 p. 4849; SL 2021/65 r. 5.]</w:t>
      </w:r>
    </w:p>
    <w:p>
      <w:pPr>
        <w:pStyle w:val="yEdnotedivision"/>
        <w:spacing w:before="160"/>
      </w:pPr>
      <w:r>
        <w:t>[Forms 105-107 deleted: Gazette 15 Mar 2013 p. 1207.]</w:t>
      </w:r>
    </w:p>
    <w:p>
      <w:pPr>
        <w:pStyle w:val="yHeading5"/>
        <w:spacing w:after="120"/>
      </w:pPr>
      <w:bookmarkStart w:id="1582" w:name="_Toc129078602"/>
      <w:r>
        <w:rPr>
          <w:rStyle w:val="CharSClsNo"/>
        </w:rPr>
        <w:t>108</w:t>
      </w:r>
      <w:r>
        <w:t>.</w:t>
      </w:r>
      <w:r>
        <w:tab/>
      </w:r>
      <w:r>
        <w:rPr>
          <w:i/>
        </w:rPr>
        <w:t>Criminal and Found Property Disposal Act 2006</w:t>
      </w:r>
      <w:r>
        <w:t>, claim under (O. 81G r. 3)</w:t>
      </w:r>
      <w:bookmarkEnd w:id="158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Supreme Court of Western Australia</w:t>
            </w:r>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a.m./p.m. at the Supreme Court, David Malcolm Justice Centre, 28 Barrack Street, Perth.</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5</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lastRenderedPageBreak/>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provided unless otherwise ordered by the Court.  See Order 71A r. 2 and 3A.</w:t>
      </w:r>
    </w:p>
    <w:p>
      <w:pPr>
        <w:pStyle w:val="yMiscellaneousBody"/>
        <w:tabs>
          <w:tab w:val="left" w:pos="540"/>
        </w:tabs>
        <w:spacing w:before="40"/>
        <w:ind w:left="540" w:hanging="540"/>
        <w:rPr>
          <w:sz w:val="20"/>
        </w:rPr>
      </w:pPr>
      <w:r>
        <w:rPr>
          <w:sz w:val="20"/>
        </w:rPr>
        <w:t>5.</w:t>
      </w:r>
      <w:r>
        <w:rPr>
          <w:sz w:val="20"/>
        </w:rPr>
        <w:tab/>
        <w:t>Must be in accordance with Order 71A.</w:t>
      </w:r>
    </w:p>
    <w:p>
      <w:pPr>
        <w:pStyle w:val="yFootnotesection"/>
        <w:spacing w:before="80"/>
      </w:pPr>
      <w:r>
        <w:tab/>
        <w:t>[Form 108 inserted: Gazette 22 Feb 2008 p. 648</w:t>
      </w:r>
      <w:r>
        <w:noBreakHyphen/>
        <w:t>9; amended: Gazette 13 Nov 2015 p. 4655; 16 Nov 2016 p. 5216.]</w:t>
      </w:r>
    </w:p>
    <w:p>
      <w:pPr>
        <w:sectPr>
          <w:headerReference w:type="even" r:id="rId24"/>
          <w:headerReference w:type="default" r:id="rId25"/>
          <w:headerReference w:type="first" r:id="rId26"/>
          <w:type w:val="continuous"/>
          <w:pgSz w:w="11907" w:h="16840" w:code="9"/>
          <w:pgMar w:top="2376" w:right="2405" w:bottom="3542" w:left="2405" w:header="706" w:footer="3380" w:gutter="0"/>
          <w:cols w:space="720"/>
          <w:noEndnote/>
          <w:docGrid w:linePitch="326"/>
        </w:sectPr>
      </w:pPr>
    </w:p>
    <w:p>
      <w:pPr>
        <w:pStyle w:val="yScheduleHeading"/>
      </w:pPr>
      <w:bookmarkStart w:id="1584" w:name="_Toc129074531"/>
      <w:bookmarkStart w:id="1585" w:name="_Toc129075814"/>
      <w:bookmarkStart w:id="1586" w:name="_Toc129078603"/>
      <w:r>
        <w:rPr>
          <w:rStyle w:val="CharSchNo"/>
        </w:rPr>
        <w:lastRenderedPageBreak/>
        <w:t>Schedule 3</w:t>
      </w:r>
      <w:r>
        <w:rPr>
          <w:rStyle w:val="CharDivNo"/>
        </w:rPr>
        <w:t> </w:t>
      </w:r>
      <w:r>
        <w:t>—</w:t>
      </w:r>
      <w:r>
        <w:rPr>
          <w:rStyle w:val="CharSDivText"/>
        </w:rPr>
        <w:t> </w:t>
      </w:r>
      <w:r>
        <w:rPr>
          <w:rStyle w:val="CharSchText"/>
        </w:rPr>
        <w:t>Payment into and out of court</w:t>
      </w:r>
      <w:bookmarkEnd w:id="1584"/>
      <w:bookmarkEnd w:id="1585"/>
      <w:bookmarkEnd w:id="1586"/>
    </w:p>
    <w:p>
      <w:pPr>
        <w:pStyle w:val="yShoulderClause"/>
      </w:pPr>
      <w:r>
        <w:t>[O. 24 r. 12]</w:t>
      </w:r>
    </w:p>
    <w:p>
      <w:pPr>
        <w:pStyle w:val="yFootnoteheading"/>
      </w:pPr>
      <w:r>
        <w:tab/>
        <w:t>[Heading inserted: Gazette 28 Jun 2011 p. 2563.]</w:t>
      </w:r>
    </w:p>
    <w:p>
      <w:pPr>
        <w:pStyle w:val="yEdnotesection"/>
        <w:outlineLvl w:val="9"/>
      </w:pPr>
      <w:r>
        <w:t>[</w:t>
      </w:r>
      <w:r>
        <w:rPr>
          <w:b/>
        </w:rPr>
        <w:t>1.</w:t>
      </w:r>
      <w:r>
        <w:tab/>
        <w:t>Deleted: Gazette 21 Feb 2007 p. 596.]</w:t>
      </w:r>
    </w:p>
    <w:p>
      <w:pPr>
        <w:pStyle w:val="ySubsection"/>
      </w:pPr>
      <w:r>
        <w:rPr>
          <w:b/>
          <w:bCs/>
        </w:rPr>
        <w:t>2.</w:t>
      </w:r>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r>
        <w:rPr>
          <w:b/>
          <w:bCs/>
        </w:rPr>
        <w:t>3.</w:t>
      </w:r>
      <w:r>
        <w:tab/>
      </w:r>
      <w:r>
        <w:tab/>
        <w:t>Money paid into court shall be paid by the Accountant to the Treasurer, except when the money is to be invested by the Public Trustee, in which case it shall be transferred to the Public Trustee.</w:t>
      </w:r>
    </w:p>
    <w:p>
      <w:pPr>
        <w:pStyle w:val="ySubsection"/>
      </w:pPr>
      <w:r>
        <w:rPr>
          <w:b/>
          <w:bCs/>
        </w:rPr>
        <w:t>4.</w:t>
      </w:r>
      <w:r>
        <w:tab/>
      </w:r>
      <w:r>
        <w:tab/>
        <w:t>Where money is paid into court under a judgment or order, a copy of the judgment or order shall be lodged with the Accountant forthwith by the person or party making the payment in or his solicitor.  If the money or any part of the money is transferred to the Public Trustee for investment the copy of the judgment or order shall be forwarded by the Accountant to the Public Trustee.</w:t>
      </w:r>
    </w:p>
    <w:p>
      <w:pPr>
        <w:pStyle w:val="yFootnotesection"/>
      </w:pPr>
      <w:r>
        <w:tab/>
        <w:t>[Clause 4 amended: Gazette 27 Feb 2018 p. 624.]</w:t>
      </w:r>
    </w:p>
    <w:p>
      <w:pPr>
        <w:pStyle w:val="yFootnotesection"/>
        <w:rPr>
          <w:b/>
        </w:rPr>
      </w:pPr>
      <w:r>
        <w:t>[</w:t>
      </w:r>
      <w:r>
        <w:rPr>
          <w:b/>
        </w:rPr>
        <w:t>5.</w:t>
      </w:r>
      <w:r>
        <w:tab/>
        <w:t>Deleted: Gazette 5 Apr 1991 p. 1401.]</w:t>
      </w:r>
    </w:p>
    <w:p>
      <w:pPr>
        <w:pStyle w:val="ySubsection"/>
      </w:pPr>
      <w:r>
        <w:rPr>
          <w:b/>
          <w:bCs/>
        </w:rPr>
        <w:t>6.</w:t>
      </w:r>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r>
        <w:rPr>
          <w:b/>
          <w:bCs/>
        </w:rPr>
        <w:t>7.</w:t>
      </w:r>
      <w:r>
        <w:tab/>
      </w:r>
      <w:r>
        <w:tab/>
        <w:t xml:space="preserve">On bespeaking payment out of court of money paid in on a notice or pleading, a copy of the original receipted notice or pleading must be </w:t>
      </w:r>
      <w:r>
        <w:lastRenderedPageBreak/>
        <w:t>lodged at the office of the Accountant.</w:t>
      </w:r>
    </w:p>
    <w:p>
      <w:pPr>
        <w:pStyle w:val="yFootnotesection"/>
      </w:pPr>
      <w:r>
        <w:tab/>
        <w:t>[Clause 7 amended: Gazette 27 Feb 2018 p. 624.]</w:t>
      </w:r>
    </w:p>
    <w:p>
      <w:pPr>
        <w:pStyle w:val="ySubsection"/>
      </w:pPr>
      <w:r>
        <w:rPr>
          <w:b/>
          <w:bCs/>
        </w:rPr>
        <w:t>8.</w:t>
      </w:r>
      <w:r>
        <w:tab/>
      </w:r>
      <w:r>
        <w:tab/>
        <w:t>Where money is to be paid out under an order or authority, on bespeaking the payment out, the order or authority must be lodged at the Central Office, and after having been examined by the Principal Registrar must be filed. A copy of the order or authority shall also be lodged with the Accountant by the solicitor or party seeking the payment out.</w:t>
      </w:r>
    </w:p>
    <w:p>
      <w:pPr>
        <w:pStyle w:val="yFootnotesection"/>
      </w:pPr>
      <w:r>
        <w:tab/>
        <w:t>[Clause 8 amended: Gazette 14 Dec 1979 p. 3872; 27 Feb 2018 p. 624.]</w:t>
      </w:r>
    </w:p>
    <w:p>
      <w:pPr>
        <w:pStyle w:val="ySubsection"/>
      </w:pPr>
      <w:r>
        <w:rPr>
          <w:b/>
          <w:bCs/>
        </w:rPr>
        <w:t>9.</w:t>
      </w:r>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[Clause 9 amended: Gazette 28 Jun 2011 p. 2555.]</w:t>
      </w:r>
    </w:p>
    <w:p>
      <w:pPr>
        <w:pStyle w:val="ySubsection"/>
      </w:pPr>
      <w:r>
        <w:rPr>
          <w:b/>
          <w:bCs/>
        </w:rPr>
        <w:t>10.</w:t>
      </w:r>
      <w:r>
        <w:tab/>
      </w:r>
      <w:r>
        <w:tab/>
        <w:t>Every authority for the payment of money out of court must be attested by a witness, whose residence and description must be added to his attestation.</w:t>
      </w:r>
    </w:p>
    <w:p>
      <w:pPr>
        <w:pStyle w:val="ySubsection"/>
      </w:pPr>
      <w:r>
        <w:rPr>
          <w:b/>
          <w:bCs/>
        </w:rPr>
        <w:t>11.</w:t>
      </w:r>
      <w:r>
        <w:tab/>
      </w:r>
      <w:r>
        <w:tab/>
        <w:t>Each sum paid into court shall, as regards its payment out of court, be deemed when the time for payment out arrives, to be money standing to the credit of the Supreme Court.</w:t>
      </w:r>
    </w:p>
    <w:p>
      <w:pPr>
        <w:pStyle w:val="ySubsection"/>
      </w:pPr>
      <w:r>
        <w:rPr>
          <w:b/>
          <w:bCs/>
        </w:rPr>
        <w:t>12.</w:t>
      </w:r>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[Clause 12 amended: Gazette 14 Dec 1979 p. 3872; 26 Aug 1984 p. 4415.]</w:t>
      </w:r>
    </w:p>
    <w:p>
      <w:pPr>
        <w:pStyle w:val="ySubsection"/>
      </w:pPr>
      <w:r>
        <w:rPr>
          <w:b/>
          <w:bCs/>
        </w:rPr>
        <w:t>13.</w:t>
      </w:r>
      <w:r>
        <w:tab/>
      </w:r>
      <w:r>
        <w:tab/>
        <w:t xml:space="preserve">Whenever the order is required to be drawn in favour of any person not a solicitor of the Supreme Court, the Accountant or Public Trustee as the case may be, may require him to be identified by a solicitor. If </w:t>
      </w:r>
      <w:r>
        <w:lastRenderedPageBreak/>
        <w:t>such person shall be represented in the cause or matter by a solicitor, the identifying solicitor must be such solicitor.</w:t>
      </w:r>
    </w:p>
    <w:p>
      <w:pPr>
        <w:pStyle w:val="ySubsection"/>
      </w:pPr>
      <w:r>
        <w:rPr>
          <w:b/>
          <w:bCs/>
        </w:rPr>
        <w:t>14.</w:t>
      </w:r>
      <w:r>
        <w:tab/>
      </w:r>
      <w:r>
        <w:tab/>
        <w:t>Where an order directs that money paid into court is to be invested, the Public Trustee shall make the investment.</w:t>
      </w:r>
    </w:p>
    <w:p>
      <w:pPr>
        <w:pStyle w:val="ySubsection"/>
      </w:pPr>
      <w:r>
        <w:rPr>
          <w:b/>
          <w:bCs/>
        </w:rPr>
        <w:t>15.</w:t>
      </w:r>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Gazette 14 Dec 1979 p. 3872.]</w:t>
      </w:r>
    </w:p>
    <w:p>
      <w:pPr>
        <w:pStyle w:val="ySubsection"/>
      </w:pPr>
      <w:r>
        <w:rPr>
          <w:b/>
          <w:bCs/>
        </w:rPr>
        <w:t>16.</w:t>
      </w:r>
      <w:r>
        <w:tab/>
      </w:r>
      <w:r>
        <w:tab/>
        <w:t>The Principal Registrar shall furnish to the Accountant or Public Trustee, free of charge a copy of any document filed with the Principal Registrar, which the Accountant or Public Trustee may reasonably require for the purpose of carrying out his duties under this Schedule.</w:t>
      </w:r>
    </w:p>
    <w:p>
      <w:pPr>
        <w:pStyle w:val="yFootnotesection"/>
      </w:pPr>
      <w:r>
        <w:tab/>
        <w:t>[Regulation 16 amended: Gazette 14 Dec 1979 p. 3872; 27 Feb 2018 p. 624.]</w:t>
      </w:r>
    </w:p>
    <w:p>
      <w:pPr>
        <w:pStyle w:val="yEdnoteschedule"/>
      </w:pPr>
      <w:r>
        <w:t>[Fourth Schedule deleted: Gazette 21 Feb 2007 p. 596.]</w:t>
      </w:r>
    </w:p>
    <w:p>
      <w:pPr>
        <w:pStyle w:val="yEdnoteschedule"/>
      </w:pPr>
      <w:r>
        <w:t>[Fifth Schedule deleted: Gazette 27 Jul 2001 p. 3895.]</w:t>
      </w:r>
    </w:p>
    <w:p>
      <w:pPr>
        <w:pStyle w:val="yEdnoteschedule"/>
        <w:keepNext/>
      </w:pPr>
      <w:r>
        <w:lastRenderedPageBreak/>
        <w:t>[Sixth Schedule deleted: Gazette 16 Jul 1999 p. 3201.]</w:t>
      </w:r>
    </w:p>
    <w:p>
      <w:pPr>
        <w:pStyle w:val="Ednotesection"/>
        <w:ind w:left="890" w:hanging="890"/>
        <w:rPr>
          <w:sz w:val="22"/>
        </w:rPr>
      </w:pPr>
      <w:r>
        <w:rPr>
          <w:sz w:val="22"/>
        </w:rPr>
        <w:t>[Seventh Schedule deleted: Gazette 21 May 2004 p. 1712.]</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pPr>
      <w:bookmarkStart w:id="1587" w:name="_Toc129074532"/>
      <w:bookmarkStart w:id="1588" w:name="_Toc129075815"/>
      <w:bookmarkStart w:id="1589" w:name="_Toc129078604"/>
      <w:r>
        <w:lastRenderedPageBreak/>
        <w:t>Notes</w:t>
      </w:r>
      <w:bookmarkEnd w:id="1587"/>
      <w:bookmarkEnd w:id="1588"/>
      <w:bookmarkEnd w:id="1589"/>
    </w:p>
    <w:p>
      <w:pPr>
        <w:pStyle w:val="nStatement"/>
      </w:pPr>
      <w:r>
        <w:t xml:space="preserve">This is a compilation of the </w:t>
      </w:r>
      <w:r>
        <w:rPr>
          <w:i/>
          <w:noProof/>
        </w:rPr>
        <w:t>Rules of the Supreme Court 1971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90" w:name="_Toc129078605"/>
      <w:r>
        <w:t>Compilation table</w:t>
      </w:r>
      <w:bookmarkEnd w:id="1590"/>
    </w:p>
    <w:tbl>
      <w:tblPr>
        <w:tblW w:w="709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6"/>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6"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Rules of the Supreme Court 1971</w:t>
            </w:r>
          </w:p>
        </w:tc>
        <w:tc>
          <w:tcPr>
            <w:tcW w:w="1276" w:type="dxa"/>
          </w:tcPr>
          <w:p>
            <w:pPr>
              <w:pStyle w:val="nTable"/>
              <w:spacing w:after="40"/>
            </w:pPr>
            <w:r>
              <w:t>18 Nov 1971 p. 4397</w:t>
            </w:r>
            <w:r>
              <w:noBreakHyphen/>
              <w:t>758</w:t>
            </w:r>
          </w:p>
        </w:tc>
        <w:tc>
          <w:tcPr>
            <w:tcW w:w="2696" w:type="dxa"/>
          </w:tcPr>
          <w:p>
            <w:pPr>
              <w:pStyle w:val="nTable"/>
              <w:spacing w:after="40"/>
            </w:pPr>
            <w:r>
              <w:t>14 Feb 1972 (see O. 1 r. 2(1))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17 Dec 1971 p. 5266</w:t>
            </w:r>
          </w:p>
        </w:tc>
        <w:tc>
          <w:tcPr>
            <w:tcW w:w="2696" w:type="dxa"/>
          </w:tcPr>
          <w:p>
            <w:pPr>
              <w:pStyle w:val="nTable"/>
              <w:spacing w:after="40"/>
            </w:pPr>
            <w:r>
              <w:t>14 Feb 1972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 xml:space="preserve">7 Jun 1972 </w:t>
            </w:r>
            <w:r>
              <w:br/>
              <w:t>p. 1703</w:t>
            </w:r>
          </w:p>
        </w:tc>
        <w:tc>
          <w:tcPr>
            <w:tcW w:w="2696" w:type="dxa"/>
          </w:tcPr>
          <w:p>
            <w:pPr>
              <w:pStyle w:val="nTable"/>
              <w:spacing w:after="40"/>
            </w:pPr>
            <w:r>
              <w:t>7 Jun 1972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t>Untitled rules</w:t>
            </w:r>
          </w:p>
        </w:tc>
        <w:tc>
          <w:tcPr>
            <w:tcW w:w="1276" w:type="dxa"/>
          </w:tcPr>
          <w:p>
            <w:pPr>
              <w:pStyle w:val="nTable"/>
              <w:spacing w:after="40"/>
            </w:pPr>
            <w:r>
              <w:t>15 Jun 1973 p. 2247</w:t>
            </w:r>
            <w:r>
              <w:noBreakHyphen/>
              <w:t>52</w:t>
            </w:r>
          </w:p>
        </w:tc>
        <w:tc>
          <w:tcPr>
            <w:tcW w:w="2696" w:type="dxa"/>
          </w:tcPr>
          <w:p>
            <w:pPr>
              <w:pStyle w:val="nTable"/>
              <w:spacing w:after="40"/>
            </w:pPr>
            <w:r>
              <w:t>15 Jun 1973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Sep 1973</w:t>
            </w:r>
            <w:r>
              <w:br/>
              <w:t>p. 3425</w:t>
            </w:r>
            <w:r>
              <w:noBreakHyphen/>
              <w:t>36</w:t>
            </w:r>
          </w:p>
        </w:tc>
        <w:tc>
          <w:tcPr>
            <w:tcW w:w="2696" w:type="dxa"/>
          </w:tcPr>
          <w:p>
            <w:pPr>
              <w:pStyle w:val="nTable"/>
              <w:spacing w:after="40"/>
            </w:pPr>
            <w:r>
              <w:t>1 Oct 1973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9 Nov 1973</w:t>
            </w:r>
            <w:r>
              <w:br/>
              <w:t>p. 4162</w:t>
            </w:r>
            <w:r>
              <w:noBreakHyphen/>
              <w:t>6</w:t>
            </w:r>
          </w:p>
        </w:tc>
        <w:tc>
          <w:tcPr>
            <w:tcW w:w="2696" w:type="dxa"/>
          </w:tcPr>
          <w:p>
            <w:pPr>
              <w:pStyle w:val="nTable"/>
              <w:spacing w:after="40"/>
            </w:pPr>
            <w:r>
              <w:t>Rules other than r. 5 and 6: 9 Nov 1973 (see r. 2(1));</w:t>
            </w:r>
            <w:r>
              <w:br/>
              <w:t xml:space="preserve">r. 5 and 6: 1 Jan 1974 (see r. 2(2) and </w:t>
            </w:r>
            <w:r>
              <w:rPr>
                <w:i/>
              </w:rPr>
              <w:t>Gazette</w:t>
            </w:r>
            <w:r>
              <w:t xml:space="preserve"> 14 Dec 1973 p. 4528)</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Dec 1973</w:t>
            </w:r>
            <w:r>
              <w:br/>
              <w:t>p. 4488</w:t>
            </w:r>
            <w:r>
              <w:noBreakHyphen/>
              <w:t>9</w:t>
            </w:r>
          </w:p>
        </w:tc>
        <w:tc>
          <w:tcPr>
            <w:tcW w:w="2696" w:type="dxa"/>
          </w:tcPr>
          <w:p>
            <w:pPr>
              <w:pStyle w:val="nTable"/>
              <w:spacing w:after="40"/>
            </w:pPr>
            <w:r>
              <w:t>1 Jan 1974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29 Mar 1974</w:t>
            </w:r>
            <w:r>
              <w:br/>
              <w:t>p. 1037</w:t>
            </w:r>
            <w:r>
              <w:noBreakHyphen/>
              <w:t>40</w:t>
            </w:r>
          </w:p>
        </w:tc>
        <w:tc>
          <w:tcPr>
            <w:tcW w:w="2696" w:type="dxa"/>
          </w:tcPr>
          <w:p>
            <w:pPr>
              <w:pStyle w:val="nTable"/>
              <w:spacing w:after="40"/>
            </w:pPr>
            <w:r>
              <w:t>15 Apr 1974 (see r. 2)</w:t>
            </w:r>
          </w:p>
        </w:tc>
      </w:tr>
      <w:tr>
        <w:tblPrEx>
          <w:tblBorders>
            <w:top w:val="none" w:sz="0" w:space="0" w:color="auto"/>
            <w:bottom w:val="none" w:sz="0" w:space="0" w:color="auto"/>
            <w:insideH w:val="none" w:sz="0" w:space="0" w:color="auto"/>
          </w:tblBorders>
        </w:tblPrEx>
        <w:trPr>
          <w:cantSplit/>
          <w:trHeight w:val="1245"/>
        </w:trPr>
        <w:tc>
          <w:tcPr>
            <w:tcW w:w="3118" w:type="dxa"/>
            <w:tcBorders>
              <w:bottom w:val="nil"/>
            </w:tcBorders>
          </w:tcPr>
          <w:p>
            <w:pPr>
              <w:pStyle w:val="nTable"/>
              <w:spacing w:after="40"/>
            </w:pPr>
            <w:r>
              <w:t>Untitled rules</w:t>
            </w:r>
          </w:p>
        </w:tc>
        <w:tc>
          <w:tcPr>
            <w:tcW w:w="1276" w:type="dxa"/>
            <w:tcBorders>
              <w:bottom w:val="nil"/>
            </w:tcBorders>
          </w:tcPr>
          <w:p>
            <w:pPr>
              <w:pStyle w:val="nTable"/>
              <w:spacing w:after="40"/>
            </w:pPr>
            <w:r>
              <w:t>29 Mar 1974</w:t>
            </w:r>
            <w:r>
              <w:br/>
              <w:t>p. 1041</w:t>
            </w:r>
            <w:r>
              <w:noBreakHyphen/>
              <w:t>2</w:t>
            </w:r>
            <w:r>
              <w:br/>
              <w:t>(erratum 5 Apr 1974 p. 1195)</w:t>
            </w:r>
          </w:p>
        </w:tc>
        <w:tc>
          <w:tcPr>
            <w:tcW w:w="2696" w:type="dxa"/>
            <w:tcBorders>
              <w:bottom w:val="nil"/>
            </w:tcBorders>
          </w:tcPr>
          <w:p>
            <w:pPr>
              <w:pStyle w:val="nTable"/>
              <w:spacing w:after="40"/>
            </w:pPr>
            <w:r>
              <w:t>29 Mar 1974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1974</w:t>
            </w:r>
          </w:p>
        </w:tc>
        <w:tc>
          <w:tcPr>
            <w:tcW w:w="1276" w:type="dxa"/>
          </w:tcPr>
          <w:p>
            <w:pPr>
              <w:pStyle w:val="nTable"/>
              <w:spacing w:after="40"/>
            </w:pPr>
            <w:r>
              <w:t>30 Aug 1974</w:t>
            </w:r>
            <w:r>
              <w:br/>
              <w:t>p. 3242</w:t>
            </w:r>
            <w:r>
              <w:noBreakHyphen/>
              <w:t>3</w:t>
            </w:r>
          </w:p>
        </w:tc>
        <w:tc>
          <w:tcPr>
            <w:tcW w:w="2696" w:type="dxa"/>
          </w:tcPr>
          <w:p>
            <w:pPr>
              <w:pStyle w:val="nTable"/>
              <w:spacing w:after="40"/>
            </w:pPr>
            <w:r>
              <w:t>30 Aug 1974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10 Jan 1975</w:t>
            </w:r>
            <w:r>
              <w:br/>
              <w:t>p. 50</w:t>
            </w:r>
            <w:r>
              <w:noBreakHyphen/>
              <w:t>5</w:t>
            </w:r>
          </w:p>
        </w:tc>
        <w:tc>
          <w:tcPr>
            <w:tcW w:w="2696" w:type="dxa"/>
          </w:tcPr>
          <w:p>
            <w:pPr>
              <w:pStyle w:val="nTable"/>
              <w:spacing w:after="40"/>
            </w:pPr>
            <w:r>
              <w:t xml:space="preserve">1 Mar 1975 (see r. 2 and </w:t>
            </w:r>
            <w:r>
              <w:rPr>
                <w:i/>
              </w:rPr>
              <w:t>Gazette</w:t>
            </w:r>
            <w:r>
              <w:t xml:space="preserve"> 14 Feb 1975 p. 505)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May 1975</w:t>
            </w:r>
            <w:r>
              <w:br/>
              <w:t>p. 1404</w:t>
            </w:r>
          </w:p>
        </w:tc>
        <w:tc>
          <w:tcPr>
            <w:tcW w:w="2696" w:type="dxa"/>
          </w:tcPr>
          <w:p>
            <w:pPr>
              <w:pStyle w:val="nTable"/>
              <w:spacing w:after="40"/>
            </w:pPr>
            <w:r>
              <w:t>1 Jun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lastRenderedPageBreak/>
              <w:t>Untitled rules</w:t>
            </w:r>
          </w:p>
        </w:tc>
        <w:tc>
          <w:tcPr>
            <w:tcW w:w="1276" w:type="dxa"/>
          </w:tcPr>
          <w:p>
            <w:pPr>
              <w:pStyle w:val="nTable"/>
              <w:spacing w:after="40"/>
            </w:pPr>
            <w:r>
              <w:t>3 Oct 1975</w:t>
            </w:r>
            <w:r>
              <w:br/>
              <w:t>p. 3769</w:t>
            </w:r>
            <w:r>
              <w:noBreakHyphen/>
              <w:t>71</w:t>
            </w:r>
          </w:p>
        </w:tc>
        <w:tc>
          <w:tcPr>
            <w:tcW w:w="2696" w:type="dxa"/>
          </w:tcPr>
          <w:p>
            <w:pPr>
              <w:pStyle w:val="nTable"/>
              <w:spacing w:after="40"/>
            </w:pPr>
            <w:r>
              <w:t>1 Nov 1975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spacing w:after="40"/>
            </w:pPr>
            <w:r>
              <w:t>19 Dec 1975</w:t>
            </w:r>
            <w:r>
              <w:br/>
              <w:t>p. 4571</w:t>
            </w:r>
            <w:r>
              <w:noBreakHyphen/>
              <w:t>7</w:t>
            </w:r>
          </w:p>
        </w:tc>
        <w:tc>
          <w:tcPr>
            <w:tcW w:w="2696" w:type="dxa"/>
          </w:tcPr>
          <w:p>
            <w:pPr>
              <w:pStyle w:val="nTable"/>
              <w:spacing w:after="40"/>
            </w:pPr>
            <w:r>
              <w:t>1 Jan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Lines/>
              <w:spacing w:after="40"/>
            </w:pPr>
            <w:r>
              <w:t>2 Apr 1976</w:t>
            </w:r>
            <w:r>
              <w:br/>
              <w:t>p. 1039</w:t>
            </w:r>
            <w:r>
              <w:noBreakHyphen/>
              <w:t>41</w:t>
            </w:r>
          </w:p>
        </w:tc>
        <w:tc>
          <w:tcPr>
            <w:tcW w:w="2696" w:type="dxa"/>
          </w:tcPr>
          <w:p>
            <w:pPr>
              <w:pStyle w:val="nTable"/>
              <w:spacing w:after="40"/>
            </w:pPr>
            <w:r>
              <w:t>2 Apr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keepNext/>
              <w:keepLines/>
              <w:spacing w:after="40"/>
            </w:pPr>
            <w:r>
              <w:t>14 May 1976</w:t>
            </w:r>
            <w:r>
              <w:br/>
              <w:t>p. 1431</w:t>
            </w:r>
          </w:p>
        </w:tc>
        <w:tc>
          <w:tcPr>
            <w:tcW w:w="2696" w:type="dxa"/>
          </w:tcPr>
          <w:p>
            <w:pPr>
              <w:pStyle w:val="nTable"/>
              <w:keepNext/>
              <w:keepLines/>
              <w:spacing w:after="40"/>
            </w:pPr>
            <w:r>
              <w:t>1 Jun 1976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keepNext/>
              <w:keepLines/>
              <w:spacing w:after="40"/>
            </w:pPr>
            <w:r>
              <w:rPr>
                <w:b/>
              </w:rPr>
              <w:t xml:space="preserve">Reprint of the </w:t>
            </w:r>
            <w:r>
              <w:rPr>
                <w:b/>
                <w:i/>
              </w:rPr>
              <w:t>Rules of the Supreme Court 1971</w:t>
            </w:r>
            <w:r>
              <w:rPr>
                <w:b/>
              </w:rPr>
              <w:t xml:space="preserve"> dated 25 May 1976</w:t>
            </w:r>
            <w:r>
              <w:t xml:space="preserve"> (see </w:t>
            </w:r>
            <w:r>
              <w:rPr>
                <w:i/>
              </w:rPr>
              <w:t>Gazette</w:t>
            </w:r>
            <w:r>
              <w:t xml:space="preserve"> 9 Aug 1976 p. 2725</w:t>
            </w:r>
            <w:r>
              <w:noBreakHyphen/>
              <w:t xml:space="preserve">3030) (includes amendments listed above except those in </w:t>
            </w:r>
            <w:r>
              <w:rPr>
                <w:i/>
              </w:rPr>
              <w:t>Gazette</w:t>
            </w:r>
            <w:r>
              <w:t xml:space="preserve"> 14 May 1976)</w:t>
            </w:r>
          </w:p>
        </w:tc>
      </w:tr>
      <w:tr>
        <w:tblPrEx>
          <w:tblBorders>
            <w:top w:val="none" w:sz="0" w:space="0" w:color="auto"/>
            <w:bottom w:val="none" w:sz="0" w:space="0" w:color="auto"/>
            <w:insideH w:val="none" w:sz="0" w:space="0" w:color="auto"/>
          </w:tblBorders>
        </w:tblPrEx>
        <w:tc>
          <w:tcPr>
            <w:tcW w:w="3118" w:type="dxa"/>
          </w:tcPr>
          <w:p>
            <w:pPr>
              <w:pStyle w:val="nTable"/>
              <w:widowControl w:val="0"/>
              <w:spacing w:after="40"/>
            </w:pPr>
            <w:r>
              <w:t>Untitled rules</w:t>
            </w:r>
          </w:p>
        </w:tc>
        <w:tc>
          <w:tcPr>
            <w:tcW w:w="1276" w:type="dxa"/>
          </w:tcPr>
          <w:p>
            <w:pPr>
              <w:pStyle w:val="nTable"/>
              <w:spacing w:after="40"/>
            </w:pPr>
            <w:r>
              <w:t>27 Aug 1976</w:t>
            </w:r>
            <w:r>
              <w:br/>
              <w:t>p. 3223</w:t>
            </w:r>
            <w:r>
              <w:noBreakHyphen/>
              <w:t>6</w:t>
            </w:r>
          </w:p>
        </w:tc>
        <w:tc>
          <w:tcPr>
            <w:tcW w:w="2696" w:type="dxa"/>
          </w:tcPr>
          <w:p>
            <w:pPr>
              <w:pStyle w:val="nTable"/>
              <w:spacing w:after="40"/>
            </w:pPr>
            <w:r>
              <w:t>13 Sep 1976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12 Nov 1976</w:t>
            </w:r>
            <w:r>
              <w:br/>
              <w:t>p. 4275</w:t>
            </w:r>
            <w:r>
              <w:noBreakHyphen/>
              <w:t>7</w:t>
            </w:r>
          </w:p>
        </w:tc>
        <w:tc>
          <w:tcPr>
            <w:tcW w:w="2696" w:type="dxa"/>
          </w:tcPr>
          <w:p>
            <w:pPr>
              <w:pStyle w:val="nTable"/>
              <w:spacing w:after="40"/>
            </w:pPr>
            <w:r>
              <w:t xml:space="preserve">17 Jun 1977 (see r. 2 and </w:t>
            </w:r>
            <w:r>
              <w:rPr>
                <w:i/>
              </w:rPr>
              <w:t>Gazette</w:t>
            </w:r>
            <w:r>
              <w:t xml:space="preserve"> 17 Jun 1977 p. 1811)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24 Jun 1977</w:t>
            </w:r>
            <w:r>
              <w:br/>
              <w:t>p. 1914</w:t>
            </w:r>
            <w:r>
              <w:noBreakHyphen/>
              <w:t>16</w:t>
            </w:r>
          </w:p>
        </w:tc>
        <w:tc>
          <w:tcPr>
            <w:tcW w:w="2696" w:type="dxa"/>
          </w:tcPr>
          <w:p>
            <w:pPr>
              <w:pStyle w:val="nTable"/>
              <w:spacing w:after="40"/>
            </w:pPr>
            <w:r>
              <w:t>1 Sep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7 Oct 1977</w:t>
            </w:r>
            <w:r>
              <w:br/>
              <w:t>p. 3602</w:t>
            </w:r>
            <w:r>
              <w:noBreakHyphen/>
              <w:t>3</w:t>
            </w:r>
          </w:p>
        </w:tc>
        <w:tc>
          <w:tcPr>
            <w:tcW w:w="2696" w:type="dxa"/>
          </w:tcPr>
          <w:p>
            <w:pPr>
              <w:pStyle w:val="nTable"/>
              <w:spacing w:after="40"/>
            </w:pPr>
            <w:r>
              <w:t>1 Nov 1977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Supreme Court (Costs) Rules 1978</w:t>
            </w:r>
          </w:p>
        </w:tc>
        <w:tc>
          <w:tcPr>
            <w:tcW w:w="1276" w:type="dxa"/>
          </w:tcPr>
          <w:p>
            <w:pPr>
              <w:pStyle w:val="nTable"/>
              <w:spacing w:after="40"/>
            </w:pPr>
            <w:r>
              <w:t>13 Jan 1978</w:t>
            </w:r>
            <w:r>
              <w:br/>
              <w:t>p. 117</w:t>
            </w:r>
          </w:p>
        </w:tc>
        <w:tc>
          <w:tcPr>
            <w:tcW w:w="2696" w:type="dxa"/>
          </w:tcPr>
          <w:p>
            <w:pPr>
              <w:pStyle w:val="nTable"/>
              <w:spacing w:after="40"/>
            </w:pPr>
            <w:r>
              <w:t>13 Jan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Jun 1978</w:t>
            </w:r>
            <w:r>
              <w:br/>
              <w:t>p. 2025</w:t>
            </w:r>
            <w:r>
              <w:noBreakHyphen/>
              <w:t>30</w:t>
            </w:r>
          </w:p>
        </w:tc>
        <w:tc>
          <w:tcPr>
            <w:tcW w:w="2696" w:type="dxa"/>
          </w:tcPr>
          <w:p>
            <w:pPr>
              <w:pStyle w:val="nTable"/>
              <w:spacing w:after="40"/>
            </w:pPr>
            <w:r>
              <w:t>1 Aug 1978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Oct 1978</w:t>
            </w:r>
            <w:r>
              <w:br/>
              <w:t>p. 3698</w:t>
            </w:r>
            <w:r>
              <w:noBreakHyphen/>
              <w:t>704</w:t>
            </w:r>
          </w:p>
        </w:tc>
        <w:tc>
          <w:tcPr>
            <w:tcW w:w="2696" w:type="dxa"/>
          </w:tcPr>
          <w:p>
            <w:pPr>
              <w:pStyle w:val="nTable"/>
              <w:spacing w:after="40"/>
            </w:pPr>
            <w:r>
              <w:t>Rules other than r. 3</w:t>
            </w:r>
            <w:r>
              <w:noBreakHyphen/>
              <w:t>5, 9</w:t>
            </w:r>
            <w:r>
              <w:noBreakHyphen/>
              <w:t>11: 13 Oct 1978 (see r. 2);</w:t>
            </w:r>
            <w:r>
              <w:br/>
              <w:t>r. 3-5 and 9-11: 1 Jan 1979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(Miscellaneous Amendments) Rules 1979</w:t>
            </w:r>
          </w:p>
        </w:tc>
        <w:tc>
          <w:tcPr>
            <w:tcW w:w="1276" w:type="dxa"/>
          </w:tcPr>
          <w:p>
            <w:pPr>
              <w:pStyle w:val="nTable"/>
              <w:spacing w:after="40"/>
            </w:pPr>
            <w:r>
              <w:t>14 Dec 1979</w:t>
            </w:r>
            <w:r>
              <w:br/>
              <w:t>p. 3869</w:t>
            </w:r>
            <w:r>
              <w:noBreakHyphen/>
              <w:t>76</w:t>
            </w:r>
          </w:p>
        </w:tc>
        <w:tc>
          <w:tcPr>
            <w:tcW w:w="2696" w:type="dxa"/>
          </w:tcPr>
          <w:p>
            <w:pPr>
              <w:pStyle w:val="nTable"/>
              <w:spacing w:after="40"/>
            </w:pPr>
            <w:r>
              <w:t xml:space="preserve">11 Feb 1980 (see r. 1 and </w:t>
            </w:r>
            <w:r>
              <w:rPr>
                <w:i/>
              </w:rPr>
              <w:t>Gazette</w:t>
            </w:r>
            <w:r>
              <w:t xml:space="preserve"> 8 Feb 1980 p. 383)</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1980</w:t>
            </w:r>
          </w:p>
        </w:tc>
        <w:tc>
          <w:tcPr>
            <w:tcW w:w="1276" w:type="dxa"/>
          </w:tcPr>
          <w:p>
            <w:pPr>
              <w:pStyle w:val="nTable"/>
              <w:spacing w:after="40"/>
            </w:pPr>
            <w:r>
              <w:t>21 Mar 1980</w:t>
            </w:r>
            <w:r>
              <w:br/>
              <w:t>p. 960</w:t>
            </w:r>
            <w:r>
              <w:noBreakHyphen/>
              <w:t>2</w:t>
            </w:r>
          </w:p>
        </w:tc>
        <w:tc>
          <w:tcPr>
            <w:tcW w:w="2696" w:type="dxa"/>
          </w:tcPr>
          <w:p>
            <w:pPr>
              <w:pStyle w:val="nTable"/>
              <w:spacing w:after="40"/>
            </w:pPr>
            <w:r>
              <w:t>21 Mar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13 Jun 1980</w:t>
            </w:r>
            <w:r>
              <w:br/>
              <w:t>p. 1719</w:t>
            </w:r>
            <w:r>
              <w:noBreakHyphen/>
              <w:t>22</w:t>
            </w:r>
          </w:p>
        </w:tc>
        <w:tc>
          <w:tcPr>
            <w:tcW w:w="2696" w:type="dxa"/>
          </w:tcPr>
          <w:p>
            <w:pPr>
              <w:pStyle w:val="nTable"/>
              <w:spacing w:after="40"/>
            </w:pPr>
            <w:r>
              <w:t>1 Jul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18 Jul 1980</w:t>
            </w:r>
            <w:r>
              <w:br/>
              <w:t>p. 2384</w:t>
            </w:r>
            <w:r>
              <w:noBreakHyphen/>
              <w:t>8</w:t>
            </w:r>
          </w:p>
        </w:tc>
        <w:tc>
          <w:tcPr>
            <w:tcW w:w="2696" w:type="dxa"/>
          </w:tcPr>
          <w:p>
            <w:pPr>
              <w:pStyle w:val="nTable"/>
              <w:spacing w:after="40"/>
            </w:pPr>
            <w:r>
              <w:t xml:space="preserve">1 Aug 1980 (see r. 2 and </w:t>
            </w:r>
            <w:r>
              <w:rPr>
                <w:i/>
              </w:rPr>
              <w:t>Gazette</w:t>
            </w:r>
            <w:r>
              <w:t xml:space="preserve"> 1 Aug 1980 p. 2537)</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2550</w:t>
            </w:r>
            <w:r>
              <w:noBreakHyphen/>
              <w:t>6</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1 Aug 1980</w:t>
            </w:r>
            <w:r>
              <w:br/>
              <w:t>p. 2558</w:t>
            </w:r>
          </w:p>
        </w:tc>
        <w:tc>
          <w:tcPr>
            <w:tcW w:w="2696" w:type="dxa"/>
          </w:tcPr>
          <w:p>
            <w:pPr>
              <w:pStyle w:val="nTable"/>
              <w:spacing w:after="40"/>
            </w:pPr>
            <w:r>
              <w:t>1 Aug 1980 (see r. 2)</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lastRenderedPageBreak/>
              <w:t xml:space="preserve">Reprint of the </w:t>
            </w:r>
            <w:r>
              <w:rPr>
                <w:b/>
                <w:i/>
              </w:rPr>
              <w:t>Rules of the Supreme Court 1971</w:t>
            </w:r>
            <w:r>
              <w:rPr>
                <w:b/>
              </w:rPr>
              <w:t xml:space="preserve"> dated 11 May 1981</w:t>
            </w:r>
            <w:r>
              <w:t xml:space="preserve"> (see </w:t>
            </w:r>
            <w:r>
              <w:rPr>
                <w:i/>
              </w:rPr>
              <w:t>Gazette</w:t>
            </w:r>
            <w:r>
              <w:t xml:space="preserve"> 11 Jun 1981 p. 1731</w:t>
            </w:r>
            <w:r>
              <w:noBreakHyphen/>
              <w:t>2046)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t>Untitled rules</w:t>
            </w:r>
          </w:p>
        </w:tc>
        <w:tc>
          <w:tcPr>
            <w:tcW w:w="1276" w:type="dxa"/>
          </w:tcPr>
          <w:p>
            <w:pPr>
              <w:pStyle w:val="nTable"/>
              <w:keepLines/>
              <w:spacing w:after="40"/>
            </w:pPr>
            <w:r>
              <w:t>20 Nov 1981</w:t>
            </w:r>
            <w:r>
              <w:br/>
              <w:t>p. 4724</w:t>
            </w:r>
            <w:r>
              <w:noBreakHyphen/>
              <w:t>9</w:t>
            </w:r>
          </w:p>
        </w:tc>
        <w:tc>
          <w:tcPr>
            <w:tcW w:w="2696" w:type="dxa"/>
          </w:tcPr>
          <w:p>
            <w:pPr>
              <w:pStyle w:val="nTable"/>
              <w:spacing w:after="40"/>
            </w:pPr>
            <w:r>
              <w:t>20 Nov 1981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 Jul 1982</w:t>
            </w:r>
            <w:r>
              <w:br/>
              <w:t>p. 2315</w:t>
            </w:r>
            <w:r>
              <w:noBreakHyphen/>
              <w:t>20</w:t>
            </w:r>
          </w:p>
        </w:tc>
        <w:tc>
          <w:tcPr>
            <w:tcW w:w="2696" w:type="dxa"/>
          </w:tcPr>
          <w:p>
            <w:pPr>
              <w:pStyle w:val="nTable"/>
              <w:spacing w:after="40"/>
            </w:pPr>
            <w:r>
              <w:t>2 Jul 1982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1982</w:t>
            </w:r>
          </w:p>
        </w:tc>
        <w:tc>
          <w:tcPr>
            <w:tcW w:w="1276" w:type="dxa"/>
          </w:tcPr>
          <w:p>
            <w:pPr>
              <w:pStyle w:val="nTable"/>
              <w:spacing w:after="40"/>
            </w:pPr>
            <w:r>
              <w:t>2 Jul 1982</w:t>
            </w:r>
            <w:r>
              <w:br/>
              <w:t>p. 2320</w:t>
            </w:r>
            <w:r>
              <w:noBreakHyphen/>
              <w:t>1</w:t>
            </w:r>
          </w:p>
        </w:tc>
        <w:tc>
          <w:tcPr>
            <w:tcW w:w="2696" w:type="dxa"/>
          </w:tcPr>
          <w:p>
            <w:pPr>
              <w:pStyle w:val="nTable"/>
              <w:spacing w:after="40"/>
            </w:pPr>
            <w:r>
              <w:t>2 Jul 1982</w:t>
            </w:r>
            <w:r>
              <w:rPr>
                <w:vertAlign w:val="superscript"/>
              </w:rPr>
              <w:t> 5</w:t>
            </w:r>
            <w:r>
              <w:t xml:space="preserve"> (see r. 1)</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Jul 1982</w:t>
            </w:r>
            <w:r>
              <w:br/>
              <w:t>p. 2946</w:t>
            </w:r>
            <w:r>
              <w:noBreakHyphen/>
              <w:t>7</w:t>
            </w:r>
          </w:p>
        </w:tc>
        <w:tc>
          <w:tcPr>
            <w:tcW w:w="2696" w:type="dxa"/>
          </w:tcPr>
          <w:p>
            <w:pPr>
              <w:pStyle w:val="nTable"/>
              <w:spacing w:after="40"/>
            </w:pPr>
            <w:r>
              <w:t>30 Jul 1982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31 Mar 1983</w:t>
            </w:r>
            <w:r>
              <w:br/>
              <w:t>p. 1090</w:t>
            </w:r>
            <w:r>
              <w:noBreakHyphen/>
              <w:t>1</w:t>
            </w:r>
          </w:p>
        </w:tc>
        <w:tc>
          <w:tcPr>
            <w:tcW w:w="2696" w:type="dxa"/>
          </w:tcPr>
          <w:p>
            <w:pPr>
              <w:pStyle w:val="nTable"/>
              <w:spacing w:after="40"/>
            </w:pPr>
            <w:r>
              <w:t xml:space="preserve">20 Jun 1983 (see r. 2 and </w:t>
            </w:r>
            <w:r>
              <w:rPr>
                <w:i/>
              </w:rPr>
              <w:t>Gazette</w:t>
            </w:r>
            <w:r>
              <w:t xml:space="preserve"> 3 Jun 1983 p. 1675)</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23 Sep 1983</w:t>
            </w:r>
            <w:r>
              <w:br/>
              <w:t>p. 3797</w:t>
            </w:r>
            <w:r>
              <w:noBreakHyphen/>
              <w:t>8</w:t>
            </w:r>
          </w:p>
        </w:tc>
        <w:tc>
          <w:tcPr>
            <w:tcW w:w="2696" w:type="dxa"/>
          </w:tcPr>
          <w:p>
            <w:pPr>
              <w:pStyle w:val="nTable"/>
              <w:spacing w:after="40"/>
            </w:pPr>
            <w:r>
              <w:t>23 Sep 1983</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20 Jan 1984</w:t>
            </w:r>
            <w:r>
              <w:br/>
              <w:t>p. 129</w:t>
            </w:r>
            <w:r>
              <w:noBreakHyphen/>
              <w:t>34</w:t>
            </w:r>
          </w:p>
        </w:tc>
        <w:tc>
          <w:tcPr>
            <w:tcW w:w="2696" w:type="dxa"/>
          </w:tcPr>
          <w:p>
            <w:pPr>
              <w:pStyle w:val="nTable"/>
              <w:spacing w:after="40"/>
            </w:pPr>
            <w:r>
              <w:t>20 Jan 1984 (see r. 2)</w:t>
            </w:r>
          </w:p>
        </w:tc>
      </w:tr>
      <w:tr>
        <w:tblPrEx>
          <w:tblBorders>
            <w:top w:val="none" w:sz="0" w:space="0" w:color="auto"/>
            <w:bottom w:val="none" w:sz="0" w:space="0" w:color="auto"/>
            <w:insideH w:val="none" w:sz="0" w:space="0" w:color="auto"/>
          </w:tblBorders>
        </w:tblPrEx>
        <w:tc>
          <w:tcPr>
            <w:tcW w:w="3118" w:type="dxa"/>
          </w:tcPr>
          <w:p>
            <w:pPr>
              <w:pStyle w:val="nTable"/>
              <w:spacing w:after="40"/>
            </w:pPr>
            <w:r>
              <w:t>Untitled rules</w:t>
            </w:r>
          </w:p>
        </w:tc>
        <w:tc>
          <w:tcPr>
            <w:tcW w:w="1276" w:type="dxa"/>
          </w:tcPr>
          <w:p>
            <w:pPr>
              <w:pStyle w:val="nTable"/>
              <w:spacing w:after="40"/>
            </w:pPr>
            <w:r>
              <w:t>30 Nov 1984</w:t>
            </w:r>
            <w:r>
              <w:br/>
              <w:t>p. 3951</w:t>
            </w:r>
            <w:r>
              <w:noBreakHyphen/>
              <w:t>6</w:t>
            </w:r>
          </w:p>
        </w:tc>
        <w:tc>
          <w:tcPr>
            <w:tcW w:w="2696" w:type="dxa"/>
          </w:tcPr>
          <w:p>
            <w:pPr>
              <w:pStyle w:val="nTable"/>
              <w:spacing w:after="40"/>
            </w:pPr>
            <w:r>
              <w:t>30 Nov 1984</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Supreme Court (Costs) Rules 1985</w:t>
            </w:r>
          </w:p>
        </w:tc>
        <w:tc>
          <w:tcPr>
            <w:tcW w:w="1276" w:type="dxa"/>
          </w:tcPr>
          <w:p>
            <w:pPr>
              <w:pStyle w:val="nTable"/>
              <w:spacing w:after="40"/>
            </w:pPr>
            <w:r>
              <w:t>15 Feb 1985</w:t>
            </w:r>
            <w:r>
              <w:br/>
              <w:t>p. 583</w:t>
            </w:r>
            <w:r>
              <w:noBreakHyphen/>
              <w:t>7</w:t>
            </w:r>
            <w:r>
              <w:br/>
              <w:t>(erratum 22 Feb 1985 p. 658)</w:t>
            </w:r>
          </w:p>
        </w:tc>
        <w:tc>
          <w:tcPr>
            <w:tcW w:w="2696" w:type="dxa"/>
          </w:tcPr>
          <w:p>
            <w:pPr>
              <w:pStyle w:val="nTable"/>
              <w:spacing w:after="40"/>
            </w:pPr>
            <w:r>
              <w:t>15 Feb 1985(see r. 1)</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12 Dec 1985</w:t>
            </w:r>
            <w:r>
              <w:t xml:space="preserve"> (see </w:t>
            </w:r>
            <w:r>
              <w:rPr>
                <w:i/>
              </w:rPr>
              <w:t>Gazette</w:t>
            </w:r>
            <w:r>
              <w:t xml:space="preserve"> 18 Mar 1986 p. 779</w:t>
            </w:r>
            <w:r>
              <w:noBreakHyphen/>
              <w:t>1179)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(Costs) Rules No. 2 1985</w:t>
            </w:r>
          </w:p>
        </w:tc>
        <w:tc>
          <w:tcPr>
            <w:tcW w:w="1276" w:type="dxa"/>
          </w:tcPr>
          <w:p>
            <w:pPr>
              <w:pStyle w:val="nTable"/>
              <w:spacing w:after="40"/>
            </w:pPr>
            <w:r>
              <w:t>13 Dec 1985 p. 4760-4 (erratum 3 Jan 1986 p. 11)</w:t>
            </w:r>
          </w:p>
        </w:tc>
        <w:tc>
          <w:tcPr>
            <w:tcW w:w="2696" w:type="dxa"/>
          </w:tcPr>
          <w:p>
            <w:pPr>
              <w:pStyle w:val="nTable"/>
              <w:spacing w:after="40"/>
            </w:pPr>
            <w:r>
              <w:t>1 Jan 1986 (see r. 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t>Untitled rules</w:t>
            </w:r>
          </w:p>
        </w:tc>
        <w:tc>
          <w:tcPr>
            <w:tcW w:w="1276" w:type="dxa"/>
          </w:tcPr>
          <w:p>
            <w:pPr>
              <w:pStyle w:val="nTable"/>
              <w:spacing w:after="40"/>
            </w:pPr>
            <w:r>
              <w:t>20 Jun 1986 p. 2040</w:t>
            </w:r>
            <w:r>
              <w:noBreakHyphen/>
              <w:t>5</w:t>
            </w:r>
          </w:p>
        </w:tc>
        <w:tc>
          <w:tcPr>
            <w:tcW w:w="2696" w:type="dxa"/>
          </w:tcPr>
          <w:p>
            <w:pPr>
              <w:pStyle w:val="nTable"/>
              <w:spacing w:after="40"/>
            </w:pPr>
            <w:r>
              <w:t>20 Jun 1986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Rules of the Supreme Court 1971 Amendment Rules (No. 2) 1986</w:t>
            </w:r>
          </w:p>
        </w:tc>
        <w:tc>
          <w:tcPr>
            <w:tcW w:w="1276" w:type="dxa"/>
          </w:tcPr>
          <w:p>
            <w:pPr>
              <w:pStyle w:val="nTable"/>
              <w:spacing w:after="40"/>
            </w:pPr>
            <w:r>
              <w:t>4 Jul 1986 p. 2280-6</w:t>
            </w:r>
          </w:p>
        </w:tc>
        <w:tc>
          <w:tcPr>
            <w:tcW w:w="2696" w:type="dxa"/>
          </w:tcPr>
          <w:p>
            <w:pPr>
              <w:pStyle w:val="nTable"/>
              <w:spacing w:after="40"/>
            </w:pPr>
            <w:r>
              <w:t>4 Jul 1986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Rules of the Supreme Court 1971 Amendment Rules 1987</w:t>
            </w:r>
          </w:p>
        </w:tc>
        <w:tc>
          <w:tcPr>
            <w:tcW w:w="1276" w:type="dxa"/>
          </w:tcPr>
          <w:p>
            <w:pPr>
              <w:pStyle w:val="nTable"/>
              <w:spacing w:after="40"/>
            </w:pPr>
            <w:r>
              <w:t>18 Dec 1987 p. 4456-7</w:t>
            </w:r>
          </w:p>
        </w:tc>
        <w:tc>
          <w:tcPr>
            <w:tcW w:w="2696" w:type="dxa"/>
          </w:tcPr>
          <w:p>
            <w:pPr>
              <w:pStyle w:val="nTable"/>
              <w:spacing w:after="40"/>
            </w:pPr>
            <w:r>
              <w:t>1 Jan 1988 (see r. 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1988</w:t>
            </w:r>
          </w:p>
        </w:tc>
        <w:tc>
          <w:tcPr>
            <w:tcW w:w="1276" w:type="dxa"/>
          </w:tcPr>
          <w:p>
            <w:pPr>
              <w:pStyle w:val="nTable"/>
              <w:spacing w:after="40"/>
            </w:pPr>
            <w:r>
              <w:t>1 Jul 1988 p. 2140-2</w:t>
            </w:r>
          </w:p>
        </w:tc>
        <w:tc>
          <w:tcPr>
            <w:tcW w:w="2696" w:type="dxa"/>
          </w:tcPr>
          <w:p>
            <w:pPr>
              <w:pStyle w:val="nTable"/>
              <w:spacing w:after="40"/>
            </w:pPr>
            <w:r>
              <w:t xml:space="preserve">1 Jul 1988 (see r. 2 and </w:t>
            </w:r>
            <w:r>
              <w:rPr>
                <w:i/>
              </w:rPr>
              <w:t xml:space="preserve">Gazette </w:t>
            </w:r>
            <w:r>
              <w:t>24 Jun 1988 p.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t>Supreme Court Amendment Rules 1989</w:t>
            </w:r>
          </w:p>
        </w:tc>
        <w:tc>
          <w:tcPr>
            <w:tcW w:w="1276" w:type="dxa"/>
          </w:tcPr>
          <w:p>
            <w:pPr>
              <w:pStyle w:val="nTable"/>
              <w:spacing w:after="40"/>
            </w:pPr>
            <w:r>
              <w:t>15 Dec 1989 p. 4520</w:t>
            </w:r>
          </w:p>
        </w:tc>
        <w:tc>
          <w:tcPr>
            <w:tcW w:w="2696" w:type="dxa"/>
          </w:tcPr>
          <w:p>
            <w:pPr>
              <w:pStyle w:val="nTable"/>
              <w:spacing w:after="40"/>
            </w:pPr>
            <w:r>
              <w:t>1 Jan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pPr>
            <w:r>
              <w:rPr>
                <w:i/>
              </w:rPr>
              <w:lastRenderedPageBreak/>
              <w:t>Supreme Court Amendment Rules (No. 2) 1990</w:t>
            </w:r>
          </w:p>
        </w:tc>
        <w:tc>
          <w:tcPr>
            <w:tcW w:w="1276" w:type="dxa"/>
          </w:tcPr>
          <w:p>
            <w:pPr>
              <w:pStyle w:val="nTable"/>
              <w:spacing w:after="40"/>
            </w:pPr>
            <w:r>
              <w:t>23 </w:t>
            </w:r>
            <w:r>
              <w:rPr>
                <w:iCs/>
              </w:rPr>
              <w:t>Feb</w:t>
            </w:r>
            <w:r>
              <w:t> 1990 p. 1153</w:t>
            </w:r>
            <w:r>
              <w:noBreakHyphen/>
              <w:t>6</w:t>
            </w:r>
          </w:p>
        </w:tc>
        <w:tc>
          <w:tcPr>
            <w:tcW w:w="2696" w:type="dxa"/>
          </w:tcPr>
          <w:p>
            <w:pPr>
              <w:pStyle w:val="nTable"/>
              <w:spacing w:after="40"/>
            </w:pPr>
            <w:r>
              <w:t>23 Feb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1990</w:t>
            </w:r>
          </w:p>
        </w:tc>
        <w:tc>
          <w:tcPr>
            <w:tcW w:w="1276" w:type="dxa"/>
          </w:tcPr>
          <w:p>
            <w:pPr>
              <w:pStyle w:val="nTable"/>
              <w:spacing w:after="40"/>
            </w:pPr>
            <w:r>
              <w:t>30 Mar 1990 p. 1573-4</w:t>
            </w:r>
          </w:p>
        </w:tc>
        <w:tc>
          <w:tcPr>
            <w:tcW w:w="2696" w:type="dxa"/>
          </w:tcPr>
          <w:p>
            <w:pPr>
              <w:pStyle w:val="nTable"/>
              <w:spacing w:after="40"/>
            </w:pPr>
            <w:r>
              <w:t>30 Mar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1990</w:t>
            </w:r>
          </w:p>
        </w:tc>
        <w:tc>
          <w:tcPr>
            <w:tcW w:w="1276" w:type="dxa"/>
          </w:tcPr>
          <w:p>
            <w:pPr>
              <w:pStyle w:val="nTable"/>
              <w:spacing w:after="40"/>
            </w:pPr>
            <w:r>
              <w:t>17 Aug 1990 p. 4071-8</w:t>
            </w:r>
          </w:p>
        </w:tc>
        <w:tc>
          <w:tcPr>
            <w:tcW w:w="2696" w:type="dxa"/>
          </w:tcPr>
          <w:p>
            <w:pPr>
              <w:pStyle w:val="nTable"/>
              <w:spacing w:after="40"/>
            </w:pPr>
            <w:r>
              <w:t>1 Sep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1990</w:t>
            </w:r>
          </w:p>
        </w:tc>
        <w:tc>
          <w:tcPr>
            <w:tcW w:w="1276" w:type="dxa"/>
          </w:tcPr>
          <w:p>
            <w:pPr>
              <w:pStyle w:val="nTable"/>
              <w:spacing w:after="40"/>
            </w:pPr>
            <w:r>
              <w:t>9 Nov 1990 p. 5526</w:t>
            </w:r>
          </w:p>
        </w:tc>
        <w:tc>
          <w:tcPr>
            <w:tcW w:w="2696" w:type="dxa"/>
          </w:tcPr>
          <w:p>
            <w:pPr>
              <w:pStyle w:val="nTable"/>
              <w:spacing w:after="40"/>
            </w:pPr>
            <w:r>
              <w:t>9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1990</w:t>
            </w:r>
          </w:p>
        </w:tc>
        <w:tc>
          <w:tcPr>
            <w:tcW w:w="1276" w:type="dxa"/>
          </w:tcPr>
          <w:p>
            <w:pPr>
              <w:pStyle w:val="nTable"/>
              <w:spacing w:after="40"/>
            </w:pPr>
            <w:r>
              <w:t>16 Nov 1990 p. 5698</w:t>
            </w:r>
            <w:r>
              <w:noBreakHyphen/>
              <w:t>9</w:t>
            </w:r>
          </w:p>
        </w:tc>
        <w:tc>
          <w:tcPr>
            <w:tcW w:w="2696" w:type="dxa"/>
          </w:tcPr>
          <w:p>
            <w:pPr>
              <w:pStyle w:val="nTable"/>
              <w:spacing w:after="40"/>
            </w:pPr>
            <w:r>
              <w:t>16 Nov 1990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1990</w:t>
            </w:r>
          </w:p>
        </w:tc>
        <w:tc>
          <w:tcPr>
            <w:tcW w:w="1276" w:type="dxa"/>
          </w:tcPr>
          <w:p>
            <w:pPr>
              <w:pStyle w:val="nTable"/>
              <w:spacing w:after="40"/>
            </w:pPr>
            <w:r>
              <w:t>30 Nov 1990 p. 5900</w:t>
            </w:r>
            <w:r>
              <w:noBreakHyphen/>
              <w:t>1</w:t>
            </w:r>
          </w:p>
        </w:tc>
        <w:tc>
          <w:tcPr>
            <w:tcW w:w="2696" w:type="dxa"/>
          </w:tcPr>
          <w:p>
            <w:pPr>
              <w:pStyle w:val="nTable"/>
              <w:spacing w:after="40"/>
            </w:pPr>
            <w:r>
              <w:t>30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1990</w:t>
            </w:r>
          </w:p>
        </w:tc>
        <w:tc>
          <w:tcPr>
            <w:tcW w:w="1276" w:type="dxa"/>
          </w:tcPr>
          <w:p>
            <w:pPr>
              <w:pStyle w:val="nTable"/>
              <w:spacing w:after="40"/>
            </w:pPr>
            <w:r>
              <w:t>8 Feb 1991 p. 582</w:t>
            </w:r>
            <w:r>
              <w:noBreakHyphen/>
              <w:t>8</w:t>
            </w:r>
          </w:p>
        </w:tc>
        <w:tc>
          <w:tcPr>
            <w:tcW w:w="2696" w:type="dxa"/>
          </w:tcPr>
          <w:p>
            <w:pPr>
              <w:pStyle w:val="nTable"/>
              <w:spacing w:after="40"/>
            </w:pPr>
            <w:r>
              <w:t>8 Mar 1991 (see r. 2 and Gazette 8 Mar 1991 p. 1029</w:t>
            </w:r>
            <w:r>
              <w:noBreakHyphen/>
              <w:t>30)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1991</w:t>
            </w:r>
          </w:p>
        </w:tc>
        <w:tc>
          <w:tcPr>
            <w:tcW w:w="1276" w:type="dxa"/>
          </w:tcPr>
          <w:p>
            <w:pPr>
              <w:pStyle w:val="nTable"/>
              <w:spacing w:after="40"/>
            </w:pPr>
            <w:r>
              <w:t>5 Apr 1991 p. 1397</w:t>
            </w:r>
            <w:r>
              <w:noBreakHyphen/>
              <w:t>8</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1991</w:t>
            </w:r>
          </w:p>
        </w:tc>
        <w:tc>
          <w:tcPr>
            <w:tcW w:w="1276" w:type="dxa"/>
          </w:tcPr>
          <w:p>
            <w:pPr>
              <w:pStyle w:val="nTable"/>
              <w:spacing w:after="40"/>
            </w:pPr>
            <w:r>
              <w:t>5 Apr 1991 p. 1398</w:t>
            </w:r>
            <w:r>
              <w:noBreakHyphen/>
              <w:t>401</w:t>
            </w:r>
          </w:p>
        </w:tc>
        <w:tc>
          <w:tcPr>
            <w:tcW w:w="2696" w:type="dxa"/>
          </w:tcPr>
          <w:p>
            <w:pPr>
              <w:pStyle w:val="nTable"/>
              <w:spacing w:after="40"/>
            </w:pPr>
            <w:r>
              <w:t>5 Apr 1991</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1991</w:t>
            </w:r>
          </w:p>
        </w:tc>
        <w:tc>
          <w:tcPr>
            <w:tcW w:w="1276" w:type="dxa"/>
          </w:tcPr>
          <w:p>
            <w:pPr>
              <w:pStyle w:val="nTable"/>
              <w:spacing w:after="40"/>
            </w:pPr>
            <w:r>
              <w:t>19 Apr 1991 p. 1714</w:t>
            </w:r>
            <w:r>
              <w:noBreakHyphen/>
              <w:t>19</w:t>
            </w:r>
          </w:p>
        </w:tc>
        <w:tc>
          <w:tcPr>
            <w:tcW w:w="2696" w:type="dxa"/>
          </w:tcPr>
          <w:p>
            <w:pPr>
              <w:pStyle w:val="nTable"/>
              <w:spacing w:after="40"/>
            </w:pPr>
            <w:r>
              <w:t xml:space="preserve">1 Jun 1991 (see r. 2 and </w:t>
            </w:r>
            <w:r>
              <w:rPr>
                <w:i/>
              </w:rPr>
              <w:t>Gazette</w:t>
            </w:r>
            <w:r>
              <w:t xml:space="preserve"> 17 May 1991 p. 2455)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w:t>
            </w:r>
            <w:r>
              <w:rPr>
                <w:i/>
                <w:iCs/>
              </w:rPr>
              <w:t>1991</w:t>
            </w:r>
          </w:p>
        </w:tc>
        <w:tc>
          <w:tcPr>
            <w:tcW w:w="1276" w:type="dxa"/>
          </w:tcPr>
          <w:p>
            <w:pPr>
              <w:pStyle w:val="nTable"/>
              <w:spacing w:after="40"/>
            </w:pPr>
            <w:r>
              <w:t>7 Feb 1992 p. 676</w:t>
            </w:r>
            <w:r>
              <w:noBreakHyphen/>
              <w:t>93</w:t>
            </w:r>
          </w:p>
        </w:tc>
        <w:tc>
          <w:tcPr>
            <w:tcW w:w="2696" w:type="dxa"/>
          </w:tcPr>
          <w:p>
            <w:pPr>
              <w:pStyle w:val="nTable"/>
              <w:spacing w:after="40"/>
            </w:pPr>
            <w:r>
              <w:t>7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6) 1991</w:t>
            </w:r>
          </w:p>
        </w:tc>
        <w:tc>
          <w:tcPr>
            <w:tcW w:w="1276" w:type="dxa"/>
          </w:tcPr>
          <w:p>
            <w:pPr>
              <w:pStyle w:val="nTable"/>
              <w:spacing w:after="40"/>
            </w:pPr>
            <w:r>
              <w:t>28 Feb 1992 p. 995</w:t>
            </w:r>
            <w:r>
              <w:noBreakHyphen/>
              <w:t>8</w:t>
            </w:r>
          </w:p>
        </w:tc>
        <w:tc>
          <w:tcPr>
            <w:tcW w:w="2696" w:type="dxa"/>
          </w:tcPr>
          <w:p>
            <w:pPr>
              <w:pStyle w:val="nTable"/>
              <w:spacing w:after="40"/>
            </w:pPr>
            <w:r>
              <w:t>28 Feb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1992</w:t>
            </w:r>
          </w:p>
        </w:tc>
        <w:tc>
          <w:tcPr>
            <w:tcW w:w="1276" w:type="dxa"/>
          </w:tcPr>
          <w:p>
            <w:pPr>
              <w:pStyle w:val="nTable"/>
              <w:spacing w:after="40"/>
            </w:pPr>
            <w:r>
              <w:t>5 Jun 1992 p. 2278</w:t>
            </w:r>
            <w:r>
              <w:noBreakHyphen/>
              <w:t>82</w:t>
            </w:r>
          </w:p>
        </w:tc>
        <w:tc>
          <w:tcPr>
            <w:tcW w:w="2696" w:type="dxa"/>
          </w:tcPr>
          <w:p>
            <w:pPr>
              <w:pStyle w:val="nTable"/>
              <w:spacing w:after="40"/>
            </w:pPr>
            <w:r>
              <w:t>5 Jun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iCs/>
              </w:rPr>
              <w:t>Supreme</w:t>
            </w:r>
            <w:r>
              <w:rPr>
                <w:i/>
              </w:rPr>
              <w:t xml:space="preserve"> Court Amendment Rules (No. 3) 1992</w:t>
            </w:r>
          </w:p>
        </w:tc>
        <w:tc>
          <w:tcPr>
            <w:tcW w:w="1276" w:type="dxa"/>
          </w:tcPr>
          <w:p>
            <w:pPr>
              <w:pStyle w:val="nTable"/>
              <w:spacing w:after="40"/>
            </w:pPr>
            <w:r>
              <w:t>21 Aug 1992 p. 4121</w:t>
            </w:r>
            <w:r>
              <w:noBreakHyphen/>
              <w:t>4</w:t>
            </w:r>
          </w:p>
        </w:tc>
        <w:tc>
          <w:tcPr>
            <w:tcW w:w="2696" w:type="dxa"/>
          </w:tcPr>
          <w:p>
            <w:pPr>
              <w:pStyle w:val="nTable"/>
              <w:spacing w:after="40"/>
            </w:pPr>
            <w:r>
              <w:t>1 Sep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1992</w:t>
            </w:r>
          </w:p>
        </w:tc>
        <w:tc>
          <w:tcPr>
            <w:tcW w:w="1276" w:type="dxa"/>
          </w:tcPr>
          <w:p>
            <w:pPr>
              <w:pStyle w:val="nTable"/>
              <w:spacing w:after="40"/>
            </w:pPr>
            <w:r>
              <w:t>30 Oct 1992 p. 5309</w:t>
            </w:r>
            <w:r>
              <w:noBreakHyphen/>
              <w:t>10</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1992</w:t>
            </w:r>
          </w:p>
        </w:tc>
        <w:tc>
          <w:tcPr>
            <w:tcW w:w="1276" w:type="dxa"/>
          </w:tcPr>
          <w:p>
            <w:pPr>
              <w:pStyle w:val="nTable"/>
              <w:spacing w:after="40"/>
            </w:pPr>
            <w:r>
              <w:t>30 Oct 1992 p. 5310</w:t>
            </w:r>
            <w:r>
              <w:noBreakHyphen/>
              <w:t>11</w:t>
            </w:r>
          </w:p>
        </w:tc>
        <w:tc>
          <w:tcPr>
            <w:tcW w:w="2696" w:type="dxa"/>
          </w:tcPr>
          <w:p>
            <w:pPr>
              <w:pStyle w:val="nTable"/>
              <w:spacing w:after="40"/>
            </w:pPr>
            <w:r>
              <w:t>30 Oct 1992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1992</w:t>
            </w:r>
          </w:p>
        </w:tc>
        <w:tc>
          <w:tcPr>
            <w:tcW w:w="1276" w:type="dxa"/>
          </w:tcPr>
          <w:p>
            <w:pPr>
              <w:pStyle w:val="nTable"/>
              <w:spacing w:after="40"/>
            </w:pPr>
            <w:r>
              <w:t>26 Jan 1993 p. 823</w:t>
            </w:r>
            <w:r>
              <w:noBreakHyphen/>
              <w:t>30</w:t>
            </w:r>
          </w:p>
        </w:tc>
        <w:tc>
          <w:tcPr>
            <w:tcW w:w="2696" w:type="dxa"/>
          </w:tcPr>
          <w:p>
            <w:pPr>
              <w:pStyle w:val="nTable"/>
              <w:spacing w:after="40"/>
            </w:pPr>
            <w:r>
              <w:t>26 Jan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1993</w:t>
            </w:r>
          </w:p>
        </w:tc>
        <w:tc>
          <w:tcPr>
            <w:tcW w:w="1276" w:type="dxa"/>
          </w:tcPr>
          <w:p>
            <w:pPr>
              <w:pStyle w:val="nTable"/>
              <w:spacing w:after="40"/>
            </w:pPr>
            <w:r>
              <w:t>26 Mar 1993 p. 1840</w:t>
            </w:r>
            <w:r>
              <w:noBreakHyphen/>
              <w:t>6</w:t>
            </w:r>
          </w:p>
        </w:tc>
        <w:tc>
          <w:tcPr>
            <w:tcW w:w="2696" w:type="dxa"/>
          </w:tcPr>
          <w:p>
            <w:pPr>
              <w:pStyle w:val="nTable"/>
              <w:spacing w:after="40"/>
            </w:pPr>
            <w:r>
              <w:t>26 Mar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1993</w:t>
            </w:r>
          </w:p>
        </w:tc>
        <w:tc>
          <w:tcPr>
            <w:tcW w:w="1276" w:type="dxa"/>
          </w:tcPr>
          <w:p>
            <w:pPr>
              <w:pStyle w:val="nTable"/>
              <w:spacing w:after="40"/>
            </w:pPr>
            <w:r>
              <w:t>20 Apr 1993 p. 2103</w:t>
            </w:r>
            <w:r>
              <w:noBreakHyphen/>
              <w:t>4</w:t>
            </w:r>
          </w:p>
        </w:tc>
        <w:tc>
          <w:tcPr>
            <w:tcW w:w="2696" w:type="dxa"/>
          </w:tcPr>
          <w:p>
            <w:pPr>
              <w:pStyle w:val="nTable"/>
              <w:spacing w:after="40"/>
            </w:pPr>
            <w:r>
              <w:t>20 Apr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3) 1993</w:t>
            </w:r>
          </w:p>
        </w:tc>
        <w:tc>
          <w:tcPr>
            <w:tcW w:w="1276" w:type="dxa"/>
          </w:tcPr>
          <w:p>
            <w:pPr>
              <w:pStyle w:val="nTable"/>
              <w:spacing w:after="40"/>
            </w:pPr>
            <w:r>
              <w:t>29 Jun 1993 p. 3166</w:t>
            </w:r>
            <w:r>
              <w:noBreakHyphen/>
              <w:t>7</w:t>
            </w:r>
          </w:p>
        </w:tc>
        <w:tc>
          <w:tcPr>
            <w:tcW w:w="2696" w:type="dxa"/>
          </w:tcPr>
          <w:p>
            <w:pPr>
              <w:pStyle w:val="nTable"/>
              <w:spacing w:after="40"/>
            </w:pPr>
            <w:r>
              <w:t>29 Jun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1993</w:t>
            </w:r>
          </w:p>
        </w:tc>
        <w:tc>
          <w:tcPr>
            <w:tcW w:w="1276" w:type="dxa"/>
          </w:tcPr>
          <w:p>
            <w:pPr>
              <w:pStyle w:val="nTable"/>
              <w:spacing w:after="40"/>
            </w:pPr>
            <w:r>
              <w:t>17 Sep 1993 p. 5054</w:t>
            </w:r>
            <w:r>
              <w:noBreakHyphen/>
              <w:t>61</w:t>
            </w:r>
          </w:p>
        </w:tc>
        <w:tc>
          <w:tcPr>
            <w:tcW w:w="2696" w:type="dxa"/>
          </w:tcPr>
          <w:p>
            <w:pPr>
              <w:pStyle w:val="nTable"/>
              <w:spacing w:after="40"/>
            </w:pPr>
            <w:r>
              <w:t>17 Sep 1993</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1993</w:t>
            </w:r>
          </w:p>
        </w:tc>
        <w:tc>
          <w:tcPr>
            <w:tcW w:w="1276" w:type="dxa"/>
          </w:tcPr>
          <w:p>
            <w:pPr>
              <w:pStyle w:val="nTable"/>
              <w:spacing w:after="40"/>
            </w:pPr>
            <w:r>
              <w:t>1 Dec 1993 p. 6451</w:t>
            </w:r>
            <w:r>
              <w:noBreakHyphen/>
              <w:t>2</w:t>
            </w:r>
          </w:p>
        </w:tc>
        <w:tc>
          <w:tcPr>
            <w:tcW w:w="2696" w:type="dxa"/>
          </w:tcPr>
          <w:p>
            <w:pPr>
              <w:pStyle w:val="nTable"/>
              <w:spacing w:after="40"/>
            </w:pPr>
            <w:r>
              <w:t xml:space="preserve">1 Dec 1993 (see r. 2 and </w:t>
            </w:r>
            <w:r>
              <w:rPr>
                <w:i/>
              </w:rPr>
              <w:t>Gazette</w:t>
            </w:r>
            <w:r>
              <w:t xml:space="preserve"> 30 Nov 1993 p. 6439)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1994</w:t>
            </w:r>
            <w:r>
              <w:rPr>
                <w:vertAlign w:val="superscript"/>
              </w:rPr>
              <w:t> 6</w:t>
            </w:r>
          </w:p>
        </w:tc>
        <w:tc>
          <w:tcPr>
            <w:tcW w:w="1276" w:type="dxa"/>
          </w:tcPr>
          <w:p>
            <w:pPr>
              <w:pStyle w:val="nTable"/>
              <w:spacing w:after="40"/>
            </w:pPr>
            <w:r>
              <w:t>1 Mar 1994 p. 784-93</w:t>
            </w:r>
          </w:p>
        </w:tc>
        <w:tc>
          <w:tcPr>
            <w:tcW w:w="2696" w:type="dxa"/>
          </w:tcPr>
          <w:p>
            <w:pPr>
              <w:pStyle w:val="nTable"/>
              <w:spacing w:after="40"/>
            </w:pPr>
            <w:r>
              <w:t>1 Mar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1994</w:t>
            </w:r>
          </w:p>
        </w:tc>
        <w:tc>
          <w:tcPr>
            <w:tcW w:w="1276" w:type="dxa"/>
          </w:tcPr>
          <w:p>
            <w:pPr>
              <w:pStyle w:val="nTable"/>
              <w:spacing w:after="40"/>
            </w:pPr>
            <w:r>
              <w:t>28 Jun 1994 p. 3047</w:t>
            </w:r>
            <w:r>
              <w:noBreakHyphen/>
              <w:t>141</w:t>
            </w:r>
          </w:p>
        </w:tc>
        <w:tc>
          <w:tcPr>
            <w:tcW w:w="2696" w:type="dxa"/>
          </w:tcPr>
          <w:p>
            <w:pPr>
              <w:pStyle w:val="nTable"/>
              <w:spacing w:after="40"/>
            </w:pPr>
            <w:r>
              <w:t>1 Aug 1994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1994</w:t>
            </w:r>
          </w:p>
        </w:tc>
        <w:tc>
          <w:tcPr>
            <w:tcW w:w="1276" w:type="dxa"/>
          </w:tcPr>
          <w:p>
            <w:pPr>
              <w:pStyle w:val="nTable"/>
              <w:spacing w:after="40"/>
            </w:pPr>
            <w:r>
              <w:t>1 Jul 1994 p. 3238</w:t>
            </w:r>
            <w:r>
              <w:noBreakHyphen/>
              <w:t>9</w:t>
            </w:r>
          </w:p>
        </w:tc>
        <w:tc>
          <w:tcPr>
            <w:tcW w:w="2696" w:type="dxa"/>
          </w:tcPr>
          <w:p>
            <w:pPr>
              <w:pStyle w:val="nTable"/>
              <w:spacing w:after="40"/>
            </w:pPr>
            <w:r>
              <w:t>1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1994</w:t>
            </w:r>
          </w:p>
        </w:tc>
        <w:tc>
          <w:tcPr>
            <w:tcW w:w="1276" w:type="dxa"/>
          </w:tcPr>
          <w:p>
            <w:pPr>
              <w:pStyle w:val="nTable"/>
              <w:spacing w:after="40"/>
            </w:pPr>
            <w:r>
              <w:t>22 Jul 1994 p. 3746</w:t>
            </w:r>
            <w:r>
              <w:noBreakHyphen/>
              <w:t>8</w:t>
            </w:r>
          </w:p>
        </w:tc>
        <w:tc>
          <w:tcPr>
            <w:tcW w:w="2696" w:type="dxa"/>
          </w:tcPr>
          <w:p>
            <w:pPr>
              <w:pStyle w:val="nTable"/>
              <w:spacing w:after="40"/>
            </w:pPr>
            <w:r>
              <w:t>22 Jul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1994</w:t>
            </w:r>
          </w:p>
        </w:tc>
        <w:tc>
          <w:tcPr>
            <w:tcW w:w="1276" w:type="dxa"/>
          </w:tcPr>
          <w:p>
            <w:pPr>
              <w:pStyle w:val="nTable"/>
              <w:spacing w:after="40"/>
            </w:pPr>
            <w:r>
              <w:t>26 Aug 1994 p. 4410</w:t>
            </w:r>
            <w:r>
              <w:noBreakHyphen/>
              <w:t>13</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7) 1994</w:t>
            </w:r>
          </w:p>
        </w:tc>
        <w:tc>
          <w:tcPr>
            <w:tcW w:w="1276" w:type="dxa"/>
          </w:tcPr>
          <w:p>
            <w:pPr>
              <w:pStyle w:val="nTable"/>
              <w:spacing w:after="40"/>
            </w:pPr>
            <w:r>
              <w:t>26 Aug 1994 p. 4414</w:t>
            </w:r>
            <w:r>
              <w:noBreakHyphen/>
              <w:t>15</w:t>
            </w:r>
          </w:p>
        </w:tc>
        <w:tc>
          <w:tcPr>
            <w:tcW w:w="2696" w:type="dxa"/>
          </w:tcPr>
          <w:p>
            <w:pPr>
              <w:pStyle w:val="nTable"/>
              <w:spacing w:after="40"/>
            </w:pPr>
            <w:r>
              <w:t>26 Aug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1994</w:t>
            </w:r>
          </w:p>
        </w:tc>
        <w:tc>
          <w:tcPr>
            <w:tcW w:w="1276" w:type="dxa"/>
          </w:tcPr>
          <w:p>
            <w:pPr>
              <w:pStyle w:val="nTable"/>
              <w:spacing w:after="40"/>
            </w:pPr>
            <w:r>
              <w:t>9 Sep 1994 p. 4630</w:t>
            </w:r>
          </w:p>
        </w:tc>
        <w:tc>
          <w:tcPr>
            <w:tcW w:w="2696" w:type="dxa"/>
          </w:tcPr>
          <w:p>
            <w:pPr>
              <w:pStyle w:val="nTable"/>
              <w:spacing w:after="40"/>
            </w:pPr>
            <w:r>
              <w:t>9 Sep 1994</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8) 1994</w:t>
            </w:r>
          </w:p>
        </w:tc>
        <w:tc>
          <w:tcPr>
            <w:tcW w:w="1276" w:type="dxa"/>
          </w:tcPr>
          <w:p>
            <w:pPr>
              <w:pStyle w:val="nTable"/>
              <w:spacing w:after="40"/>
            </w:pPr>
            <w:r>
              <w:t>11 Nov 1994 p. 5701</w:t>
            </w:r>
            <w:r>
              <w:noBreakHyphen/>
              <w:t>2</w:t>
            </w:r>
          </w:p>
        </w:tc>
        <w:tc>
          <w:tcPr>
            <w:tcW w:w="2696" w:type="dxa"/>
          </w:tcPr>
          <w:p>
            <w:pPr>
              <w:pStyle w:val="nTable"/>
              <w:spacing w:after="40"/>
            </w:pPr>
            <w:r>
              <w:t>11 Nov 1994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21 Nov 1994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1995</w:t>
            </w:r>
          </w:p>
        </w:tc>
        <w:tc>
          <w:tcPr>
            <w:tcW w:w="1276" w:type="dxa"/>
          </w:tcPr>
          <w:p>
            <w:pPr>
              <w:pStyle w:val="nTable"/>
              <w:spacing w:after="40"/>
            </w:pPr>
            <w:r>
              <w:t>24 Jan 1995 p. 269</w:t>
            </w:r>
            <w:r>
              <w:noBreakHyphen/>
              <w:t>72</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1995</w:t>
            </w:r>
          </w:p>
        </w:tc>
        <w:tc>
          <w:tcPr>
            <w:tcW w:w="1276" w:type="dxa"/>
          </w:tcPr>
          <w:p>
            <w:pPr>
              <w:pStyle w:val="nTable"/>
              <w:spacing w:after="40"/>
            </w:pPr>
            <w:r>
              <w:t>24 Jan 1995 p. 272</w:t>
            </w:r>
            <w:r>
              <w:noBreakHyphen/>
              <w:t>3</w:t>
            </w:r>
          </w:p>
        </w:tc>
        <w:tc>
          <w:tcPr>
            <w:tcW w:w="2696" w:type="dxa"/>
          </w:tcPr>
          <w:p>
            <w:pPr>
              <w:pStyle w:val="nTable"/>
              <w:spacing w:after="40"/>
            </w:pPr>
            <w:r>
              <w:t>24 Jan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1995</w:t>
            </w:r>
          </w:p>
        </w:tc>
        <w:tc>
          <w:tcPr>
            <w:tcW w:w="1276" w:type="dxa"/>
          </w:tcPr>
          <w:p>
            <w:pPr>
              <w:pStyle w:val="nTable"/>
              <w:spacing w:after="40"/>
            </w:pPr>
            <w:r>
              <w:t>7 Jul 1995 p. 2819</w:t>
            </w:r>
          </w:p>
        </w:tc>
        <w:tc>
          <w:tcPr>
            <w:tcW w:w="2696" w:type="dxa"/>
          </w:tcPr>
          <w:p>
            <w:pPr>
              <w:pStyle w:val="nTable"/>
              <w:spacing w:after="40"/>
            </w:pPr>
            <w:r>
              <w:t>7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1995</w:t>
            </w:r>
          </w:p>
        </w:tc>
        <w:tc>
          <w:tcPr>
            <w:tcW w:w="1276" w:type="dxa"/>
          </w:tcPr>
          <w:p>
            <w:pPr>
              <w:pStyle w:val="nTable"/>
              <w:spacing w:after="40"/>
            </w:pPr>
            <w:r>
              <w:t>24 Oct 1995 p. 4917</w:t>
            </w:r>
            <w:r>
              <w:noBreakHyphen/>
              <w:t>21</w:t>
            </w:r>
          </w:p>
        </w:tc>
        <w:tc>
          <w:tcPr>
            <w:tcW w:w="2696" w:type="dxa"/>
          </w:tcPr>
          <w:p>
            <w:pPr>
              <w:pStyle w:val="nTable"/>
              <w:spacing w:after="40"/>
            </w:pPr>
            <w:r>
              <w:t>24 Oct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6) 1995</w:t>
            </w:r>
          </w:p>
        </w:tc>
        <w:tc>
          <w:tcPr>
            <w:tcW w:w="1276" w:type="dxa"/>
          </w:tcPr>
          <w:p>
            <w:pPr>
              <w:pStyle w:val="nTable"/>
              <w:spacing w:after="40"/>
            </w:pPr>
            <w:r>
              <w:t>10 Nov 1995 p. 5246</w:t>
            </w:r>
            <w:r>
              <w:noBreakHyphen/>
              <w:t>7</w:t>
            </w:r>
          </w:p>
        </w:tc>
        <w:tc>
          <w:tcPr>
            <w:tcW w:w="2696" w:type="dxa"/>
          </w:tcPr>
          <w:p>
            <w:pPr>
              <w:pStyle w:val="nTable"/>
              <w:spacing w:after="40"/>
            </w:pPr>
            <w:r>
              <w:t>10 Nov 1995</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1996</w:t>
            </w:r>
          </w:p>
        </w:tc>
        <w:tc>
          <w:tcPr>
            <w:tcW w:w="1276" w:type="dxa"/>
          </w:tcPr>
          <w:p>
            <w:pPr>
              <w:pStyle w:val="nTable"/>
              <w:spacing w:after="40"/>
            </w:pPr>
            <w:r>
              <w:t>9 Aug 1996 p. 3949</w:t>
            </w:r>
            <w:r>
              <w:noBreakHyphen/>
              <w:t>51</w:t>
            </w:r>
          </w:p>
        </w:tc>
        <w:tc>
          <w:tcPr>
            <w:tcW w:w="2696" w:type="dxa"/>
          </w:tcPr>
          <w:p>
            <w:pPr>
              <w:pStyle w:val="nTable"/>
              <w:spacing w:after="40"/>
            </w:pPr>
            <w:r>
              <w:t>9 Aug 1996</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3) 1996</w:t>
            </w:r>
          </w:p>
        </w:tc>
        <w:tc>
          <w:tcPr>
            <w:tcW w:w="1276" w:type="dxa"/>
          </w:tcPr>
          <w:p>
            <w:pPr>
              <w:pStyle w:val="nTable"/>
              <w:spacing w:after="40"/>
            </w:pPr>
            <w:r>
              <w:t>13 Sep 1996 p. 4568</w:t>
            </w:r>
          </w:p>
        </w:tc>
        <w:tc>
          <w:tcPr>
            <w:tcW w:w="2696" w:type="dxa"/>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lastRenderedPageBreak/>
              <w:t>Supreme Court Amendment Rules (No. 4) 1996</w:t>
            </w:r>
          </w:p>
        </w:tc>
        <w:tc>
          <w:tcPr>
            <w:tcW w:w="1276" w:type="dxa"/>
          </w:tcPr>
          <w:p>
            <w:pPr>
              <w:pStyle w:val="nTable"/>
              <w:spacing w:after="40"/>
            </w:pPr>
            <w:r>
              <w:t>28 Oct 1996 p. 5671</w:t>
            </w:r>
            <w:r>
              <w:noBreakHyphen/>
              <w:t>712</w:t>
            </w:r>
          </w:p>
        </w:tc>
        <w:tc>
          <w:tcPr>
            <w:tcW w:w="2696" w:type="dxa"/>
          </w:tcPr>
          <w:p>
            <w:pPr>
              <w:pStyle w:val="nTable"/>
              <w:spacing w:after="40"/>
            </w:pPr>
            <w:r>
              <w:t>1 Nov 1996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1997</w:t>
            </w:r>
            <w:r>
              <w:rPr>
                <w:vertAlign w:val="superscript"/>
              </w:rPr>
              <w:t> 7</w:t>
            </w:r>
          </w:p>
        </w:tc>
        <w:tc>
          <w:tcPr>
            <w:tcW w:w="1276" w:type="dxa"/>
          </w:tcPr>
          <w:p>
            <w:pPr>
              <w:pStyle w:val="nTable"/>
              <w:spacing w:after="40"/>
            </w:pPr>
            <w:r>
              <w:t>1 Jul 1997 p. 3258</w:t>
            </w:r>
            <w:r>
              <w:noBreakHyphen/>
              <w:t>60</w:t>
            </w:r>
          </w:p>
        </w:tc>
        <w:tc>
          <w:tcPr>
            <w:tcW w:w="2696" w:type="dxa"/>
          </w:tcPr>
          <w:p>
            <w:pPr>
              <w:pStyle w:val="nTable"/>
              <w:spacing w:after="40"/>
            </w:pPr>
            <w:r>
              <w:t xml:space="preserve">21 Jul 1997 (see r. 2 and correction in </w:t>
            </w:r>
            <w:r>
              <w:rPr>
                <w:i/>
              </w:rPr>
              <w:t>Gazette</w:t>
            </w:r>
            <w:r>
              <w:t xml:space="preserve"> 4 Jul 1997 p. 3480)</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1) 1998</w:t>
            </w:r>
          </w:p>
        </w:tc>
        <w:tc>
          <w:tcPr>
            <w:tcW w:w="1276" w:type="dxa"/>
          </w:tcPr>
          <w:p>
            <w:pPr>
              <w:pStyle w:val="nTable"/>
              <w:spacing w:after="40"/>
            </w:pPr>
            <w:r>
              <w:t>6 Mar 1998  p. 1177</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1998</w:t>
            </w:r>
          </w:p>
        </w:tc>
        <w:tc>
          <w:tcPr>
            <w:tcW w:w="1276" w:type="dxa"/>
          </w:tcPr>
          <w:p>
            <w:pPr>
              <w:pStyle w:val="nTable"/>
              <w:spacing w:after="40"/>
            </w:pPr>
            <w:r>
              <w:t>6 Mar 1998  p. 1178</w:t>
            </w:r>
          </w:p>
        </w:tc>
        <w:tc>
          <w:tcPr>
            <w:tcW w:w="2696" w:type="dxa"/>
          </w:tcPr>
          <w:p>
            <w:pPr>
              <w:pStyle w:val="nTable"/>
              <w:spacing w:after="40"/>
            </w:pPr>
            <w:r>
              <w:t>6 Mar 1998</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1999</w:t>
            </w:r>
          </w:p>
        </w:tc>
        <w:tc>
          <w:tcPr>
            <w:tcW w:w="1276" w:type="dxa"/>
          </w:tcPr>
          <w:p>
            <w:pPr>
              <w:pStyle w:val="nTable"/>
              <w:spacing w:after="40"/>
            </w:pPr>
            <w:r>
              <w:t>16 Jul 1999 p. 3187</w:t>
            </w:r>
            <w:r>
              <w:noBreakHyphen/>
              <w:t>200</w:t>
            </w:r>
            <w:r>
              <w:br/>
              <w:t>(as amended 5 Nov 1999 p. 5632)</w:t>
            </w:r>
          </w:p>
        </w:tc>
        <w:tc>
          <w:tcPr>
            <w:tcW w:w="2696" w:type="dxa"/>
          </w:tcPr>
          <w:p>
            <w:pPr>
              <w:pStyle w:val="nTable"/>
              <w:spacing w:after="40"/>
            </w:pPr>
            <w:r>
              <w:t>16 Jul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2) 1999</w:t>
            </w:r>
          </w:p>
        </w:tc>
        <w:tc>
          <w:tcPr>
            <w:tcW w:w="1276" w:type="dxa"/>
          </w:tcPr>
          <w:p>
            <w:pPr>
              <w:pStyle w:val="nTable"/>
              <w:spacing w:after="40"/>
            </w:pPr>
            <w:r>
              <w:t>16 Jul 1999 p. 3201</w:t>
            </w:r>
          </w:p>
        </w:tc>
        <w:tc>
          <w:tcPr>
            <w:tcW w:w="2696" w:type="dxa"/>
          </w:tcPr>
          <w:p>
            <w:pPr>
              <w:pStyle w:val="nTable"/>
              <w:spacing w:after="40"/>
            </w:pPr>
            <w:r>
              <w:t xml:space="preserve">8 Jan 2000 (see r. 2 and </w:t>
            </w:r>
            <w:r>
              <w:rPr>
                <w:i/>
              </w:rPr>
              <w:t>Gazette</w:t>
            </w:r>
            <w:r>
              <w:t xml:space="preserve"> 7 Jan 2000 p. 19)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5) 1999</w:t>
            </w:r>
          </w:p>
        </w:tc>
        <w:tc>
          <w:tcPr>
            <w:tcW w:w="1276" w:type="dxa"/>
          </w:tcPr>
          <w:p>
            <w:pPr>
              <w:pStyle w:val="nTable"/>
              <w:spacing w:after="40"/>
            </w:pPr>
            <w:r>
              <w:t>5 Nov 1999 p. 5625</w:t>
            </w:r>
            <w:r>
              <w:noBreakHyphen/>
              <w:t>33</w:t>
            </w:r>
          </w:p>
        </w:tc>
        <w:tc>
          <w:tcPr>
            <w:tcW w:w="2696" w:type="dxa"/>
          </w:tcPr>
          <w:p>
            <w:pPr>
              <w:pStyle w:val="nTable"/>
              <w:spacing w:after="40"/>
            </w:pPr>
            <w:r>
              <w:t>5 Nov 1999</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(No. 4) 1999</w:t>
            </w:r>
          </w:p>
        </w:tc>
        <w:tc>
          <w:tcPr>
            <w:tcW w:w="1276" w:type="dxa"/>
          </w:tcPr>
          <w:p>
            <w:pPr>
              <w:pStyle w:val="nTable"/>
              <w:spacing w:after="40"/>
            </w:pPr>
            <w:r>
              <w:t>26 Nov 1999 p. 5903</w:t>
            </w:r>
            <w:r>
              <w:noBreakHyphen/>
              <w:t>5</w:t>
            </w:r>
          </w:p>
        </w:tc>
        <w:tc>
          <w:tcPr>
            <w:tcW w:w="2696" w:type="dxa"/>
          </w:tcPr>
          <w:p>
            <w:pPr>
              <w:pStyle w:val="nTable"/>
              <w:spacing w:after="40"/>
            </w:pPr>
            <w:r>
              <w:t>26 Nov 1999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widowControl w:val="0"/>
              <w:spacing w:after="40"/>
              <w:ind w:right="113"/>
              <w:rPr>
                <w:i/>
              </w:rPr>
            </w:pPr>
            <w:r>
              <w:rPr>
                <w:i/>
              </w:rPr>
              <w:t>Supreme Court Amendment Rules 2000</w:t>
            </w:r>
          </w:p>
        </w:tc>
        <w:tc>
          <w:tcPr>
            <w:tcW w:w="1276" w:type="dxa"/>
          </w:tcPr>
          <w:p>
            <w:pPr>
              <w:pStyle w:val="nTable"/>
              <w:widowControl w:val="0"/>
              <w:spacing w:after="40"/>
              <w:ind w:right="113"/>
              <w:rPr>
                <w:i/>
              </w:rPr>
            </w:pPr>
            <w:r>
              <w:t>10 Mar 2000 p. 1121</w:t>
            </w:r>
          </w:p>
        </w:tc>
        <w:tc>
          <w:tcPr>
            <w:tcW w:w="2696" w:type="dxa"/>
          </w:tcPr>
          <w:p>
            <w:pPr>
              <w:pStyle w:val="nTable"/>
              <w:widowControl w:val="0"/>
              <w:spacing w:after="40"/>
              <w:ind w:right="113"/>
              <w:rPr>
                <w:i/>
              </w:rPr>
            </w:pPr>
            <w:r>
              <w:t>10 Mar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2000</w:t>
            </w:r>
          </w:p>
        </w:tc>
        <w:tc>
          <w:tcPr>
            <w:tcW w:w="1276" w:type="dxa"/>
          </w:tcPr>
          <w:p>
            <w:pPr>
              <w:pStyle w:val="nTable"/>
              <w:spacing w:after="40"/>
            </w:pPr>
            <w:r>
              <w:t>8 May 2000 p. 2159</w:t>
            </w:r>
            <w:r>
              <w:noBreakHyphen/>
              <w:t>232</w:t>
            </w:r>
          </w:p>
        </w:tc>
        <w:tc>
          <w:tcPr>
            <w:tcW w:w="2696"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2000</w:t>
            </w:r>
          </w:p>
        </w:tc>
        <w:tc>
          <w:tcPr>
            <w:tcW w:w="1276" w:type="dxa"/>
          </w:tcPr>
          <w:p>
            <w:pPr>
              <w:pStyle w:val="nTable"/>
              <w:spacing w:after="40"/>
            </w:pPr>
            <w:r>
              <w:t>30 Jun 2000</w:t>
            </w:r>
            <w:r>
              <w:br/>
              <w:t>p. 3417</w:t>
            </w:r>
            <w:r>
              <w:noBreakHyphen/>
              <w:t>19</w:t>
            </w:r>
          </w:p>
        </w:tc>
        <w:tc>
          <w:tcPr>
            <w:tcW w:w="2696" w:type="dxa"/>
          </w:tcPr>
          <w:p>
            <w:pPr>
              <w:pStyle w:val="nTable"/>
              <w:spacing w:after="40"/>
            </w:pPr>
            <w:r>
              <w:t>30 Jun 2000</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of the </w:t>
            </w:r>
            <w:r>
              <w:rPr>
                <w:b/>
                <w:i/>
              </w:rPr>
              <w:t>Rules of the Supreme Court 1971</w:t>
            </w:r>
            <w:r>
              <w:rPr>
                <w:b/>
              </w:rPr>
              <w:t xml:space="preserve"> as at 1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5) 2000</w:t>
            </w:r>
          </w:p>
        </w:tc>
        <w:tc>
          <w:tcPr>
            <w:tcW w:w="1276" w:type="dxa"/>
          </w:tcPr>
          <w:p>
            <w:pPr>
              <w:pStyle w:val="nTable"/>
              <w:spacing w:after="40"/>
            </w:pPr>
            <w:r>
              <w:t>29 Dec 2000 p. 7917</w:t>
            </w:r>
            <w:r>
              <w:noBreakHyphen/>
              <w:t>19</w:t>
            </w:r>
          </w:p>
        </w:tc>
        <w:tc>
          <w:tcPr>
            <w:tcW w:w="2696" w:type="dxa"/>
          </w:tcPr>
          <w:p>
            <w:pPr>
              <w:pStyle w:val="nTable"/>
              <w:spacing w:after="40"/>
            </w:pPr>
            <w:r>
              <w:t xml:space="preserve">5 Feb 2001 (see r. 2 and </w:t>
            </w:r>
            <w:r>
              <w:rPr>
                <w:i/>
              </w:rPr>
              <w:t xml:space="preserve">Gazette </w:t>
            </w:r>
            <w:r>
              <w:t>2 Jan 2001 p. 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2001</w:t>
            </w:r>
          </w:p>
        </w:tc>
        <w:tc>
          <w:tcPr>
            <w:tcW w:w="1276" w:type="dxa"/>
          </w:tcPr>
          <w:p>
            <w:pPr>
              <w:pStyle w:val="nTable"/>
              <w:spacing w:after="40"/>
            </w:pPr>
            <w:r>
              <w:t>23 Jan 2001 p. 555</w:t>
            </w:r>
            <w:r>
              <w:noBreakHyphen/>
              <w:t>61</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2001</w:t>
            </w:r>
          </w:p>
        </w:tc>
        <w:tc>
          <w:tcPr>
            <w:tcW w:w="1276" w:type="dxa"/>
          </w:tcPr>
          <w:p>
            <w:pPr>
              <w:pStyle w:val="nTable"/>
              <w:spacing w:after="40"/>
            </w:pPr>
            <w:r>
              <w:t>23 Jan 2001 p. 561</w:t>
            </w:r>
            <w:r>
              <w:noBreakHyphen/>
              <w:t>3</w:t>
            </w:r>
          </w:p>
        </w:tc>
        <w:tc>
          <w:tcPr>
            <w:tcW w:w="2696" w:type="dxa"/>
          </w:tcPr>
          <w:p>
            <w:pPr>
              <w:pStyle w:val="nTable"/>
              <w:spacing w:after="40"/>
            </w:pPr>
            <w:r>
              <w:t>23 Jan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2001</w:t>
            </w:r>
          </w:p>
        </w:tc>
        <w:tc>
          <w:tcPr>
            <w:tcW w:w="1276" w:type="dxa"/>
          </w:tcPr>
          <w:p>
            <w:pPr>
              <w:pStyle w:val="nTable"/>
              <w:spacing w:after="40"/>
            </w:pPr>
            <w:r>
              <w:t>2 Feb 2001 p. 697</w:t>
            </w:r>
            <w:r>
              <w:noBreakHyphen/>
              <w:t>701</w:t>
            </w:r>
          </w:p>
        </w:tc>
        <w:tc>
          <w:tcPr>
            <w:tcW w:w="2696" w:type="dxa"/>
          </w:tcPr>
          <w:p>
            <w:pPr>
              <w:pStyle w:val="nTable"/>
              <w:spacing w:after="40"/>
            </w:pPr>
            <w:r>
              <w:t>2 Feb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7) 2001</w:t>
            </w:r>
          </w:p>
        </w:tc>
        <w:tc>
          <w:tcPr>
            <w:tcW w:w="1276" w:type="dxa"/>
          </w:tcPr>
          <w:p>
            <w:pPr>
              <w:pStyle w:val="nTable"/>
              <w:spacing w:after="40"/>
            </w:pPr>
            <w:r>
              <w:t>29 May 2001 p. 2701</w:t>
            </w:r>
            <w:r>
              <w:noBreakHyphen/>
              <w:t>3</w:t>
            </w:r>
          </w:p>
        </w:tc>
        <w:tc>
          <w:tcPr>
            <w:tcW w:w="2696" w:type="dxa"/>
          </w:tcPr>
          <w:p>
            <w:pPr>
              <w:pStyle w:val="nTable"/>
              <w:spacing w:after="40"/>
            </w:pPr>
            <w:r>
              <w:t>30 Jun 2001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5) 2001</w:t>
            </w:r>
          </w:p>
        </w:tc>
        <w:tc>
          <w:tcPr>
            <w:tcW w:w="1276" w:type="dxa"/>
          </w:tcPr>
          <w:p>
            <w:pPr>
              <w:pStyle w:val="nTable"/>
              <w:spacing w:after="40"/>
            </w:pPr>
            <w:r>
              <w:t>27 Jul 2001 p. 3895</w:t>
            </w:r>
            <w:r>
              <w:noBreakHyphen/>
              <w:t>6</w:t>
            </w:r>
          </w:p>
        </w:tc>
        <w:tc>
          <w:tcPr>
            <w:tcW w:w="2696" w:type="dxa"/>
          </w:tcPr>
          <w:p>
            <w:pPr>
              <w:pStyle w:val="nTable"/>
              <w:spacing w:after="40"/>
            </w:pPr>
            <w:r>
              <w:t>27 Jul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8) 2001</w:t>
            </w:r>
          </w:p>
        </w:tc>
        <w:tc>
          <w:tcPr>
            <w:tcW w:w="1276" w:type="dxa"/>
          </w:tcPr>
          <w:p>
            <w:pPr>
              <w:pStyle w:val="nTable"/>
              <w:spacing w:after="40"/>
            </w:pPr>
            <w:r>
              <w:t>5 Oct 2001 p. 5474</w:t>
            </w:r>
            <w:r>
              <w:noBreakHyphen/>
              <w:t>5</w:t>
            </w:r>
          </w:p>
        </w:tc>
        <w:tc>
          <w:tcPr>
            <w:tcW w:w="2696" w:type="dxa"/>
          </w:tcPr>
          <w:p>
            <w:pPr>
              <w:pStyle w:val="nTable"/>
              <w:spacing w:after="40"/>
            </w:pPr>
            <w:r>
              <w:t>5 Oct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2002</w:t>
            </w:r>
          </w:p>
        </w:tc>
        <w:tc>
          <w:tcPr>
            <w:tcW w:w="1276" w:type="dxa"/>
          </w:tcPr>
          <w:p>
            <w:pPr>
              <w:pStyle w:val="nTable"/>
              <w:keepNext/>
              <w:spacing w:after="40"/>
            </w:pPr>
            <w:r>
              <w:t>12 Apr 2002 p. 1903</w:t>
            </w:r>
            <w:r>
              <w:noBreakHyphen/>
              <w:t>4</w:t>
            </w:r>
          </w:p>
        </w:tc>
        <w:tc>
          <w:tcPr>
            <w:tcW w:w="2696" w:type="dxa"/>
          </w:tcPr>
          <w:p>
            <w:pPr>
              <w:pStyle w:val="nTable"/>
              <w:keepNext/>
              <w:spacing w:after="40"/>
            </w:pPr>
            <w:r>
              <w:t>12 Apr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2002</w:t>
            </w:r>
          </w:p>
        </w:tc>
        <w:tc>
          <w:tcPr>
            <w:tcW w:w="1276" w:type="dxa"/>
          </w:tcPr>
          <w:p>
            <w:pPr>
              <w:pStyle w:val="nTable"/>
              <w:keepNext/>
              <w:spacing w:after="40"/>
            </w:pPr>
            <w:r>
              <w:t>27 Sep 2002 p. 4829</w:t>
            </w:r>
            <w:r>
              <w:noBreakHyphen/>
              <w:t>34</w:t>
            </w:r>
          </w:p>
        </w:tc>
        <w:tc>
          <w:tcPr>
            <w:tcW w:w="2696" w:type="dxa"/>
          </w:tcPr>
          <w:p>
            <w:pPr>
              <w:pStyle w:val="nTable"/>
              <w:keepNext/>
              <w:spacing w:after="40"/>
            </w:pPr>
            <w:r>
              <w:t>27 Sep 2002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Equality of Status Subsidiary Legislation Amendment Regulations 2003</w:t>
            </w:r>
            <w:r>
              <w:t xml:space="preserve"> Pt. 36</w:t>
            </w:r>
          </w:p>
        </w:tc>
        <w:tc>
          <w:tcPr>
            <w:tcW w:w="1276" w:type="dxa"/>
          </w:tcPr>
          <w:p>
            <w:pPr>
              <w:pStyle w:val="nTable"/>
              <w:keepNext/>
              <w:spacing w:after="40"/>
            </w:pPr>
            <w:r>
              <w:t>30 Jun 2003 p. 2581</w:t>
            </w:r>
            <w:r>
              <w:noBreakHyphen/>
              <w:t>638</w:t>
            </w:r>
          </w:p>
        </w:tc>
        <w:tc>
          <w:tcPr>
            <w:tcW w:w="2696" w:type="dxa"/>
          </w:tcPr>
          <w:p>
            <w:pPr>
              <w:pStyle w:val="nTable"/>
              <w:keepNext/>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vertAlign w:val="superscript"/>
              </w:rPr>
            </w:pPr>
            <w:r>
              <w:rPr>
                <w:i/>
              </w:rPr>
              <w:t>Labour Relations Reform (Consequential Amendments) Regulations 2003</w:t>
            </w:r>
            <w:r>
              <w:t xml:space="preserve"> r. 16</w:t>
            </w:r>
          </w:p>
        </w:tc>
        <w:tc>
          <w:tcPr>
            <w:tcW w:w="1276" w:type="dxa"/>
          </w:tcPr>
          <w:p>
            <w:pPr>
              <w:pStyle w:val="nTable"/>
              <w:keepNext/>
              <w:spacing w:after="40"/>
            </w:pPr>
            <w:r>
              <w:t>15 Aug 2003 p. 3685</w:t>
            </w:r>
            <w:r>
              <w:noBreakHyphen/>
              <w:t>92</w:t>
            </w:r>
          </w:p>
        </w:tc>
        <w:tc>
          <w:tcPr>
            <w:tcW w:w="2696" w:type="dxa"/>
          </w:tcPr>
          <w:p>
            <w:pPr>
              <w:pStyle w:val="nTable"/>
              <w:keepNext/>
              <w:spacing w:after="40"/>
            </w:pPr>
            <w:r>
              <w:t>15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2004</w:t>
            </w:r>
          </w:p>
        </w:tc>
        <w:tc>
          <w:tcPr>
            <w:tcW w:w="1276" w:type="dxa"/>
          </w:tcPr>
          <w:p>
            <w:pPr>
              <w:pStyle w:val="nTable"/>
              <w:keepNext/>
              <w:spacing w:after="40"/>
            </w:pPr>
            <w:r>
              <w:t>21 May 2004 p. 1712</w:t>
            </w:r>
          </w:p>
        </w:tc>
        <w:tc>
          <w:tcPr>
            <w:tcW w:w="2696" w:type="dxa"/>
          </w:tcPr>
          <w:p>
            <w:pPr>
              <w:pStyle w:val="nTable"/>
              <w:keepNext/>
              <w:spacing w:after="40"/>
            </w:pPr>
            <w:r>
              <w:t>1 Jun 2004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4) 2004</w:t>
            </w:r>
          </w:p>
        </w:tc>
        <w:tc>
          <w:tcPr>
            <w:tcW w:w="1276" w:type="dxa"/>
          </w:tcPr>
          <w:p>
            <w:pPr>
              <w:pStyle w:val="nTable"/>
              <w:keepNext/>
              <w:spacing w:after="40"/>
            </w:pPr>
            <w:r>
              <w:t>10 Aug 2004 p. 3185</w:t>
            </w:r>
          </w:p>
        </w:tc>
        <w:tc>
          <w:tcPr>
            <w:tcW w:w="2696" w:type="dxa"/>
          </w:tcPr>
          <w:p>
            <w:pPr>
              <w:pStyle w:val="nTable"/>
              <w:keepNext/>
              <w:spacing w:after="40"/>
            </w:pPr>
            <w:r>
              <w:t>10 Aug 2004</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6: The </w:t>
            </w:r>
            <w:r>
              <w:rPr>
                <w:b/>
                <w:i/>
              </w:rPr>
              <w:t>Rules of the Supreme Court 1971</w:t>
            </w:r>
            <w:r>
              <w:rPr>
                <w:b/>
              </w:rPr>
              <w:t xml:space="preserve"> as at 15 Oct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pPr>
            <w:r>
              <w:rPr>
                <w:i/>
              </w:rPr>
              <w:t>Courts and Legal Practice (Consequential Amendments) Regulations 2005</w:t>
            </w:r>
            <w:r>
              <w:t xml:space="preserve"> r. 12</w:t>
            </w:r>
          </w:p>
        </w:tc>
        <w:tc>
          <w:tcPr>
            <w:tcW w:w="1276" w:type="dxa"/>
          </w:tcPr>
          <w:p>
            <w:pPr>
              <w:pStyle w:val="nTable"/>
              <w:keepNext/>
              <w:spacing w:after="40"/>
            </w:pPr>
            <w:r>
              <w:t>19 Apr 2005 p. 1294</w:t>
            </w:r>
            <w:r>
              <w:noBreakHyphen/>
              <w:t>302</w:t>
            </w:r>
          </w:p>
        </w:tc>
        <w:tc>
          <w:tcPr>
            <w:tcW w:w="2696" w:type="dxa"/>
          </w:tcPr>
          <w:p>
            <w:pPr>
              <w:pStyle w:val="nTable"/>
              <w:keepNext/>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2005</w:t>
            </w:r>
          </w:p>
        </w:tc>
        <w:tc>
          <w:tcPr>
            <w:tcW w:w="1276" w:type="dxa"/>
          </w:tcPr>
          <w:p>
            <w:pPr>
              <w:pStyle w:val="nTable"/>
              <w:keepNext/>
              <w:spacing w:after="40"/>
            </w:pPr>
            <w:r>
              <w:t>29 Apr 2005 p. 1791</w:t>
            </w:r>
            <w:r>
              <w:noBreakHyphen/>
              <w:t>6</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(No. 2) 2005</w:t>
            </w:r>
          </w:p>
        </w:tc>
        <w:tc>
          <w:tcPr>
            <w:tcW w:w="1276" w:type="dxa"/>
          </w:tcPr>
          <w:p>
            <w:pPr>
              <w:pStyle w:val="nTable"/>
              <w:keepNext/>
              <w:spacing w:after="40"/>
            </w:pPr>
            <w:r>
              <w:t>29 Apr 2005 p. 1797</w:t>
            </w:r>
            <w:r>
              <w:noBreakHyphen/>
              <w:t>802</w:t>
            </w:r>
          </w:p>
        </w:tc>
        <w:tc>
          <w:tcPr>
            <w:tcW w:w="2696" w:type="dxa"/>
          </w:tcPr>
          <w:p>
            <w:pPr>
              <w:pStyle w:val="nTable"/>
              <w:keepNext/>
              <w:spacing w:after="40"/>
            </w:pPr>
            <w:r>
              <w:t>2 May 2005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
              </w:rPr>
            </w:pPr>
            <w:r>
              <w:rPr>
                <w:i/>
              </w:rPr>
              <w:t>Supreme Court Amendment Rules 2007</w:t>
            </w:r>
          </w:p>
        </w:tc>
        <w:tc>
          <w:tcPr>
            <w:tcW w:w="1276" w:type="dxa"/>
          </w:tcPr>
          <w:p>
            <w:pPr>
              <w:pStyle w:val="nTable"/>
              <w:keepNext/>
              <w:spacing w:after="40"/>
            </w:pPr>
            <w:r>
              <w:t>21 Feb 2007 p. 531</w:t>
            </w:r>
            <w:r>
              <w:noBreakHyphen/>
              <w:t>96</w:t>
            </w:r>
          </w:p>
        </w:tc>
        <w:tc>
          <w:tcPr>
            <w:tcW w:w="2696" w:type="dxa"/>
          </w:tcPr>
          <w:p>
            <w:pPr>
              <w:pStyle w:val="nTable"/>
              <w:keepNext/>
              <w:spacing w:after="40"/>
            </w:pPr>
            <w:r>
              <w:t>1 Mar 2007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34"/>
              <w:rPr>
                <w:iCs/>
              </w:rPr>
            </w:pPr>
            <w:r>
              <w:rPr>
                <w:i/>
              </w:rPr>
              <w:t>Supreme Court Amendment Rules 2008</w:t>
            </w:r>
          </w:p>
        </w:tc>
        <w:tc>
          <w:tcPr>
            <w:tcW w:w="1276" w:type="dxa"/>
          </w:tcPr>
          <w:p>
            <w:pPr>
              <w:pStyle w:val="nTable"/>
              <w:keepNext/>
              <w:spacing w:after="40"/>
            </w:pPr>
            <w:r>
              <w:t>22 Feb 2008 p. 629</w:t>
            </w:r>
            <w:r>
              <w:noBreakHyphen/>
              <w:t>56</w:t>
            </w:r>
          </w:p>
        </w:tc>
        <w:tc>
          <w:tcPr>
            <w:tcW w:w="2696" w:type="dxa"/>
          </w:tcPr>
          <w:p>
            <w:pPr>
              <w:pStyle w:val="nTable"/>
              <w:keepNext/>
              <w:spacing w:after="40"/>
            </w:pPr>
            <w:r>
              <w:t>Pt. 1: 22 Feb 2008 (see r. 2(a));</w:t>
            </w:r>
            <w:r>
              <w:br/>
              <w:t>Pt. 2: 23 Feb 2008 (see r. 2(b));</w:t>
            </w:r>
            <w:r>
              <w:br/>
              <w:t>Pt. 3: 25 Feb 2008 (see r. 2(c))</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pPr>
            <w:r>
              <w:rPr>
                <w:b/>
              </w:rPr>
              <w:t xml:space="preserve">Reprint 7: The </w:t>
            </w:r>
            <w:r>
              <w:rPr>
                <w:b/>
                <w:i/>
              </w:rPr>
              <w:t>Rules of the Supreme Court 1971</w:t>
            </w:r>
            <w:r>
              <w:rPr>
                <w:b/>
              </w:rPr>
              <w:t xml:space="preserve"> as at 11 Apr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highlight w:val="yellow"/>
                <w:vertAlign w:val="superscript"/>
              </w:rPr>
            </w:pPr>
            <w:r>
              <w:rPr>
                <w:i/>
              </w:rPr>
              <w:t>Supreme Court Amendment Rules 2009 </w:t>
            </w:r>
          </w:p>
        </w:tc>
        <w:tc>
          <w:tcPr>
            <w:tcW w:w="1276" w:type="dxa"/>
          </w:tcPr>
          <w:p>
            <w:pPr>
              <w:pStyle w:val="nTable"/>
              <w:spacing w:after="40"/>
            </w:pPr>
            <w:r>
              <w:t>6 Feb 2009 p. 243</w:t>
            </w:r>
            <w:r>
              <w:noBreakHyphen/>
              <w:t>5</w:t>
            </w:r>
          </w:p>
        </w:tc>
        <w:tc>
          <w:tcPr>
            <w:tcW w:w="2696" w:type="dxa"/>
          </w:tcPr>
          <w:p>
            <w:pPr>
              <w:pStyle w:val="nTable"/>
              <w:spacing w:after="40"/>
            </w:pPr>
            <w:r>
              <w:rPr>
                <w:snapToGrid w:val="0"/>
              </w:rPr>
              <w:t>r. 1 and 2: 6 Feb 2009 (see r. 2(a));</w:t>
            </w:r>
            <w:r>
              <w:rPr>
                <w:snapToGrid w:val="0"/>
              </w:rPr>
              <w:br/>
              <w:t xml:space="preserve">Rules other than r. 1 and 2: 1 Mar 2009 (see r.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Cs/>
              </w:rPr>
            </w:pPr>
            <w:r>
              <w:rPr>
                <w:i/>
              </w:rPr>
              <w:lastRenderedPageBreak/>
              <w:t>Supreme Court Amendment Rules (No. 2) 2009</w:t>
            </w:r>
            <w:r>
              <w:rPr>
                <w:iCs/>
              </w:rPr>
              <w:t xml:space="preserve"> </w:t>
            </w:r>
          </w:p>
        </w:tc>
        <w:tc>
          <w:tcPr>
            <w:tcW w:w="1276" w:type="dxa"/>
          </w:tcPr>
          <w:p>
            <w:pPr>
              <w:pStyle w:val="nTable"/>
              <w:spacing w:after="40"/>
            </w:pPr>
            <w:r>
              <w:t>3 Jul 2009 p. 2682</w:t>
            </w:r>
            <w:r>
              <w:noBreakHyphen/>
              <w:t>700 (printer’s correction 7 Jul 2009 p. 2719)</w:t>
            </w:r>
          </w:p>
        </w:tc>
        <w:tc>
          <w:tcPr>
            <w:tcW w:w="2696" w:type="dxa"/>
          </w:tcPr>
          <w:p>
            <w:pPr>
              <w:pStyle w:val="nTable"/>
              <w:spacing w:after="40"/>
              <w:rPr>
                <w:snapToGrid w:val="0"/>
              </w:rPr>
            </w:pPr>
            <w:r>
              <w:rPr>
                <w:snapToGrid w:val="0"/>
              </w:rPr>
              <w:t>Pt. 1: 3 Jul 2009 (see r. 2(a));</w:t>
            </w:r>
            <w:r>
              <w:rPr>
                <w:snapToGrid w:val="0"/>
              </w:rPr>
              <w:br/>
              <w:t>Pt. 3: 4 Jul 2009 (see r. 2(c));</w:t>
            </w:r>
            <w:r>
              <w:rPr>
                <w:snapToGrid w:val="0"/>
              </w:rPr>
              <w:br/>
              <w:t xml:space="preserve">Pt. 2: 1 Nov 2010 (see r. 2(b) and the </w:t>
            </w:r>
            <w:r>
              <w:rPr>
                <w:i/>
                <w:iCs/>
                <w:snapToGrid w:val="0"/>
              </w:rPr>
              <w:t>Hague Convention on the Service Abroad of Judicial Extrajudicial Documents in Civil or Commercial Matters 1965</w:t>
            </w:r>
            <w:r>
              <w:rPr>
                <w:snapToGrid w:val="0"/>
              </w:rPr>
              <w: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2009</w:t>
            </w:r>
          </w:p>
        </w:tc>
        <w:tc>
          <w:tcPr>
            <w:tcW w:w="1276" w:type="dxa"/>
          </w:tcPr>
          <w:p>
            <w:pPr>
              <w:pStyle w:val="nTable"/>
              <w:spacing w:after="40"/>
            </w:pPr>
            <w:r>
              <w:t>22 Dec 2009 p. 5273-4</w:t>
            </w:r>
          </w:p>
        </w:tc>
        <w:tc>
          <w:tcPr>
            <w:tcW w:w="2696" w:type="dxa"/>
          </w:tcPr>
          <w:p>
            <w:pPr>
              <w:pStyle w:val="nTable"/>
              <w:spacing w:after="40"/>
              <w:rPr>
                <w:snapToGrid w:val="0"/>
              </w:rPr>
            </w:pPr>
            <w:r>
              <w:rPr>
                <w:snapToGrid w:val="0"/>
              </w:rPr>
              <w:t xml:space="preserve">1 Jan 2010 (see r. 2 and </w:t>
            </w:r>
            <w:r>
              <w:rPr>
                <w:i/>
                <w:iCs/>
                <w:snapToGrid w:val="0"/>
              </w:rPr>
              <w:t>Gazette</w:t>
            </w:r>
            <w:r>
              <w:rPr>
                <w:snapToGrid w:val="0"/>
              </w:rPr>
              <w:t xml:space="preserve"> 31 Dec 2009 p. 5327)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2010</w:t>
            </w:r>
          </w:p>
        </w:tc>
        <w:tc>
          <w:tcPr>
            <w:tcW w:w="1276" w:type="dxa"/>
          </w:tcPr>
          <w:p>
            <w:pPr>
              <w:pStyle w:val="nTable"/>
              <w:spacing w:after="40"/>
            </w:pPr>
            <w:r>
              <w:t>28 Jul 2010 p. 3433-90</w:t>
            </w:r>
          </w:p>
        </w:tc>
        <w:tc>
          <w:tcPr>
            <w:tcW w:w="2696" w:type="dxa"/>
          </w:tcPr>
          <w:p>
            <w:pPr>
              <w:pStyle w:val="nTable"/>
              <w:spacing w:after="40"/>
              <w:rPr>
                <w:snapToGrid w:val="0"/>
              </w:rPr>
            </w:pPr>
            <w:r>
              <w:rPr>
                <w:snapToGrid w:val="0"/>
              </w:rPr>
              <w:t>Pt. 1: 28 Jul 2010 (see r. 2(a));</w:t>
            </w:r>
            <w:r>
              <w:rPr>
                <w:snapToGrid w:val="0"/>
              </w:rPr>
              <w:br/>
              <w:t>Rules other than Pt. 1: 29 Jul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2011</w:t>
            </w:r>
          </w:p>
        </w:tc>
        <w:tc>
          <w:tcPr>
            <w:tcW w:w="1276" w:type="dxa"/>
          </w:tcPr>
          <w:p>
            <w:pPr>
              <w:pStyle w:val="nTable"/>
              <w:spacing w:after="40"/>
            </w:pPr>
            <w:r>
              <w:t>28 Jun 2011 p. 2551</w:t>
            </w:r>
            <w:r>
              <w:noBreakHyphen/>
              <w:t>63</w:t>
            </w:r>
          </w:p>
        </w:tc>
        <w:tc>
          <w:tcPr>
            <w:tcW w:w="2696" w:type="dxa"/>
          </w:tcPr>
          <w:p>
            <w:pPr>
              <w:pStyle w:val="nTable"/>
              <w:spacing w:after="40"/>
              <w:rPr>
                <w:snapToGrid w:val="0"/>
              </w:rPr>
            </w:pPr>
            <w:r>
              <w:rPr>
                <w:snapToGrid w:val="0"/>
              </w:rPr>
              <w:t xml:space="preserve">r. 1 and 2: </w:t>
            </w:r>
            <w:r>
              <w:t>28 Jun 2011 (see r. 2(a));</w:t>
            </w:r>
            <w:r>
              <w:br/>
              <w:t>Rules other than r. 1 and 2: 12 Jul 2011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widowControl w:val="0"/>
              <w:spacing w:after="40"/>
              <w:rPr>
                <w:snapToGrid w:val="0"/>
                <w:spacing w:val="-2"/>
              </w:rPr>
            </w:pPr>
            <w:r>
              <w:rPr>
                <w:b/>
              </w:rPr>
              <w:t xml:space="preserve">Reprint 8: The </w:t>
            </w:r>
            <w:r>
              <w:rPr>
                <w:b/>
                <w:i/>
              </w:rPr>
              <w:t>Rules of the Supreme Court 1971</w:t>
            </w:r>
            <w:r>
              <w:rPr>
                <w:b/>
              </w:rPr>
              <w:t xml:space="preserve"> as at 15 Jul 2011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2012</w:t>
            </w:r>
          </w:p>
        </w:tc>
        <w:tc>
          <w:tcPr>
            <w:tcW w:w="1276" w:type="dxa"/>
          </w:tcPr>
          <w:p>
            <w:pPr>
              <w:pStyle w:val="nTable"/>
              <w:spacing w:after="40"/>
            </w:pPr>
            <w:r>
              <w:t>12 Jun 2012 p. 2445</w:t>
            </w:r>
            <w:r>
              <w:noBreakHyphen/>
              <w:t>53</w:t>
            </w:r>
          </w:p>
        </w:tc>
        <w:tc>
          <w:tcPr>
            <w:tcW w:w="2696" w:type="dxa"/>
          </w:tcPr>
          <w:p>
            <w:pPr>
              <w:pStyle w:val="nTable"/>
              <w:spacing w:after="40"/>
              <w:rPr>
                <w:snapToGrid w:val="0"/>
              </w:rPr>
            </w:pPr>
            <w:r>
              <w:rPr>
                <w:snapToGrid w:val="0"/>
              </w:rPr>
              <w:t>r. 1 and 2: 12 Jun 2012 (see r. 2(a));</w:t>
            </w:r>
            <w:r>
              <w:rPr>
                <w:snapToGrid w:val="0"/>
              </w:rPr>
              <w:br/>
              <w:t>Rules other than r. 1 and 2: 26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 xml:space="preserve">Supreme Court Amendment Rules (No. 3) 2012 </w:t>
            </w:r>
          </w:p>
        </w:tc>
        <w:tc>
          <w:tcPr>
            <w:tcW w:w="1276" w:type="dxa"/>
          </w:tcPr>
          <w:p>
            <w:pPr>
              <w:pStyle w:val="nTable"/>
              <w:spacing w:after="40"/>
            </w:pPr>
            <w:r>
              <w:t>3 Aug 2012 p. 3748</w:t>
            </w:r>
            <w:r>
              <w:noBreakHyphen/>
              <w:t>56</w:t>
            </w:r>
          </w:p>
        </w:tc>
        <w:tc>
          <w:tcPr>
            <w:tcW w:w="2696" w:type="dxa"/>
          </w:tcPr>
          <w:p>
            <w:pPr>
              <w:pStyle w:val="nTable"/>
              <w:spacing w:after="40"/>
              <w:rPr>
                <w:snapToGrid w:val="0"/>
              </w:rPr>
            </w:pPr>
            <w:r>
              <w:t>r. 1 and 2: 3 Aug 2012 (see r. 2(a));</w:t>
            </w:r>
            <w:r>
              <w:br/>
              <w:t>Rules other than r. 1 and 2: 11 Oct 2013 (see r. 2(b) and Cwlth Legislative Instrument No. F2013L01445 registered 26 Jul 2013)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2013</w:t>
            </w:r>
          </w:p>
        </w:tc>
        <w:tc>
          <w:tcPr>
            <w:tcW w:w="1276" w:type="dxa"/>
          </w:tcPr>
          <w:p>
            <w:pPr>
              <w:pStyle w:val="nTable"/>
              <w:spacing w:after="40"/>
            </w:pPr>
            <w:r>
              <w:t>15 Mar 2013 p. 1205-7</w:t>
            </w:r>
          </w:p>
        </w:tc>
        <w:tc>
          <w:tcPr>
            <w:tcW w:w="2696" w:type="dxa"/>
          </w:tcPr>
          <w:p>
            <w:pPr>
              <w:pStyle w:val="nTable"/>
              <w:spacing w:after="40"/>
              <w:rPr>
                <w:snapToGrid w:val="0"/>
              </w:rPr>
            </w:pPr>
            <w:r>
              <w:t>r. 1 and 2: 15 Mar 2013 (see r. 2(a));</w:t>
            </w:r>
            <w:r>
              <w:br/>
              <w:t xml:space="preserve">Rules other than r. 1 and 2: 7 Aug 2013 (see r. 2(b) and </w:t>
            </w:r>
            <w:r>
              <w:rPr>
                <w:i/>
              </w:rPr>
              <w:t>Gazette</w:t>
            </w:r>
            <w:r>
              <w:t xml:space="preserve"> 6 Aug 2013 p. 3677)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Supreme Court Amendment Rules 2013</w:t>
            </w:r>
            <w:r>
              <w:rPr>
                <w:vertAlign w:val="superscript"/>
              </w:rPr>
              <w:t> 8</w:t>
            </w:r>
          </w:p>
        </w:tc>
        <w:tc>
          <w:tcPr>
            <w:tcW w:w="1276" w:type="dxa"/>
          </w:tcPr>
          <w:p>
            <w:pPr>
              <w:pStyle w:val="nTable"/>
              <w:spacing w:after="40"/>
            </w:pPr>
            <w:r>
              <w:t>23 Apr 2013 p. 1590-7</w:t>
            </w:r>
          </w:p>
        </w:tc>
        <w:tc>
          <w:tcPr>
            <w:tcW w:w="2696" w:type="dxa"/>
          </w:tcPr>
          <w:p>
            <w:pPr>
              <w:pStyle w:val="nTable"/>
              <w:spacing w:after="40"/>
            </w:pPr>
            <w:r>
              <w:rPr>
                <w:snapToGrid w:val="0"/>
              </w:rPr>
              <w:t>r. 1 and 2: 23 Apr 2013 (see r. 2(a));</w:t>
            </w:r>
            <w:r>
              <w:rPr>
                <w:snapToGrid w:val="0"/>
              </w:rPr>
              <w:br/>
              <w:t xml:space="preserve">Rules other than r. 1 and 2: </w:t>
            </w:r>
            <w:r>
              <w:t>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2013</w:t>
            </w:r>
          </w:p>
        </w:tc>
        <w:tc>
          <w:tcPr>
            <w:tcW w:w="1276" w:type="dxa"/>
          </w:tcPr>
          <w:p>
            <w:pPr>
              <w:pStyle w:val="nTable"/>
              <w:spacing w:after="40"/>
            </w:pPr>
            <w:r>
              <w:t>3 May 2013 p. 1718-19</w:t>
            </w:r>
          </w:p>
        </w:tc>
        <w:tc>
          <w:tcPr>
            <w:tcW w:w="2696" w:type="dxa"/>
          </w:tcPr>
          <w:p>
            <w:pPr>
              <w:pStyle w:val="nTable"/>
              <w:spacing w:after="40"/>
            </w:pPr>
            <w:r>
              <w:rPr>
                <w:snapToGrid w:val="0"/>
              </w:rPr>
              <w:t>r. 1 and 2: 3 May 2013 (see r. 2(a));</w:t>
            </w:r>
            <w:r>
              <w:rPr>
                <w:snapToGrid w:val="0"/>
              </w:rPr>
              <w:br/>
              <w:t xml:space="preserve">Rules other than r. 1 and 2: </w:t>
            </w:r>
            <w:r>
              <w:t>17 May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3) 2013</w:t>
            </w:r>
          </w:p>
        </w:tc>
        <w:tc>
          <w:tcPr>
            <w:tcW w:w="1276" w:type="dxa"/>
          </w:tcPr>
          <w:p>
            <w:pPr>
              <w:pStyle w:val="nTable"/>
              <w:spacing w:after="40"/>
            </w:pPr>
            <w:r>
              <w:t>17 Dec 2013 p. 6231</w:t>
            </w:r>
            <w:r>
              <w:noBreakHyphen/>
              <w:t>7</w:t>
            </w:r>
          </w:p>
        </w:tc>
        <w:tc>
          <w:tcPr>
            <w:tcW w:w="2696" w:type="dxa"/>
          </w:tcPr>
          <w:p>
            <w:pPr>
              <w:pStyle w:val="nTable"/>
              <w:spacing w:after="40"/>
              <w:rPr>
                <w:snapToGrid w:val="0"/>
              </w:rPr>
            </w:pPr>
            <w:r>
              <w:rPr>
                <w:snapToGrid w:val="0"/>
              </w:rPr>
              <w:t>r. 1 and 2: 17 Dec 2013 (see r. 2(a));</w:t>
            </w:r>
            <w:r>
              <w:rPr>
                <w:snapToGrid w:val="0"/>
              </w:rPr>
              <w:br/>
              <w:t xml:space="preserve">Rules other than r. 1 and 2: </w:t>
            </w:r>
            <w:r>
              <w:t>18 Dec 2013 (see r. 2(b))</w:t>
            </w:r>
          </w:p>
        </w:tc>
      </w:tr>
      <w:tr>
        <w:tblPrEx>
          <w:tblBorders>
            <w:top w:val="none" w:sz="0" w:space="0" w:color="auto"/>
            <w:bottom w:val="none" w:sz="0" w:space="0" w:color="auto"/>
            <w:insideH w:val="none" w:sz="0" w:space="0" w:color="auto"/>
          </w:tblBorders>
        </w:tblPrEx>
        <w:trPr>
          <w:cantSplit/>
        </w:trPr>
        <w:tc>
          <w:tcPr>
            <w:tcW w:w="7090" w:type="dxa"/>
            <w:gridSpan w:val="3"/>
          </w:tcPr>
          <w:p>
            <w:pPr>
              <w:pStyle w:val="nTable"/>
              <w:spacing w:after="40"/>
              <w:rPr>
                <w:snapToGrid w:val="0"/>
              </w:rPr>
            </w:pPr>
            <w:r>
              <w:rPr>
                <w:b/>
              </w:rPr>
              <w:t xml:space="preserve">Reprint 9: The </w:t>
            </w:r>
            <w:r>
              <w:rPr>
                <w:b/>
                <w:i/>
              </w:rPr>
              <w:t>Rules of the Supreme Court 1971</w:t>
            </w:r>
            <w:r>
              <w:rPr>
                <w:b/>
              </w:rPr>
              <w:t xml:space="preserve"> as at 4 Apr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2014</w:t>
            </w:r>
          </w:p>
        </w:tc>
        <w:tc>
          <w:tcPr>
            <w:tcW w:w="1276" w:type="dxa"/>
          </w:tcPr>
          <w:p>
            <w:pPr>
              <w:pStyle w:val="nTable"/>
              <w:spacing w:after="40"/>
            </w:pPr>
            <w:r>
              <w:t>26 Sep 2014 p. 3559</w:t>
            </w:r>
            <w:r>
              <w:noBreakHyphen/>
              <w:t>62</w:t>
            </w:r>
          </w:p>
        </w:tc>
        <w:tc>
          <w:tcPr>
            <w:tcW w:w="2696" w:type="dxa"/>
          </w:tcPr>
          <w:p>
            <w:pPr>
              <w:pStyle w:val="nTable"/>
              <w:spacing w:after="40"/>
              <w:rPr>
                <w:snapToGrid w:val="0"/>
              </w:rPr>
            </w:pPr>
            <w:r>
              <w:rPr>
                <w:snapToGrid w:val="0"/>
              </w:rPr>
              <w:t xml:space="preserve">r. 1 and 2: </w:t>
            </w:r>
            <w:r>
              <w:t xml:space="preserve">26 Sep 2014 </w:t>
            </w:r>
            <w:r>
              <w:rPr>
                <w:snapToGrid w:val="0"/>
              </w:rPr>
              <w:t>(see r. 2(a));</w:t>
            </w:r>
            <w:r>
              <w:rPr>
                <w:snapToGrid w:val="0"/>
              </w:rPr>
              <w:br/>
              <w:t xml:space="preserve">Rules other than r. 1 and 2: </w:t>
            </w:r>
            <w:r>
              <w:t>27 Sep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2014</w:t>
            </w:r>
          </w:p>
        </w:tc>
        <w:tc>
          <w:tcPr>
            <w:tcW w:w="1276" w:type="dxa"/>
          </w:tcPr>
          <w:p>
            <w:pPr>
              <w:pStyle w:val="nTable"/>
              <w:spacing w:after="40"/>
            </w:pPr>
            <w:r>
              <w:t>19 Dec 2014 p. 4845-9</w:t>
            </w:r>
          </w:p>
        </w:tc>
        <w:tc>
          <w:tcPr>
            <w:tcW w:w="2696" w:type="dxa"/>
          </w:tcPr>
          <w:p>
            <w:pPr>
              <w:pStyle w:val="nTable"/>
              <w:spacing w:after="40"/>
              <w:rPr>
                <w:snapToGrid w:val="0"/>
              </w:rPr>
            </w:pPr>
            <w:r>
              <w:rPr>
                <w:snapToGrid w:val="0"/>
                <w:spacing w:val="-2"/>
              </w:rPr>
              <w:t>r. 1 and 2: 19 Dec 2014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4) 2015</w:t>
            </w:r>
          </w:p>
        </w:tc>
        <w:tc>
          <w:tcPr>
            <w:tcW w:w="1276" w:type="dxa"/>
          </w:tcPr>
          <w:p>
            <w:pPr>
              <w:pStyle w:val="nTable"/>
              <w:spacing w:after="40"/>
            </w:pPr>
            <w:r>
              <w:t>4 Sep 2015 p. 3696</w:t>
            </w:r>
            <w:r>
              <w:noBreakHyphen/>
              <w:t>8</w:t>
            </w:r>
          </w:p>
        </w:tc>
        <w:tc>
          <w:tcPr>
            <w:tcW w:w="2696" w:type="dxa"/>
          </w:tcPr>
          <w:p>
            <w:pPr>
              <w:pStyle w:val="nTable"/>
              <w:spacing w:after="40"/>
              <w:rPr>
                <w:snapToGrid w:val="0"/>
                <w:spacing w:val="-2"/>
              </w:rPr>
            </w:pPr>
            <w:r>
              <w:rPr>
                <w:snapToGrid w:val="0"/>
                <w:spacing w:val="-2"/>
              </w:rPr>
              <w:t>r. 1 and 2: 4 Sep 2015 (see r. 2(a));</w:t>
            </w:r>
            <w:r>
              <w:rPr>
                <w:snapToGrid w:val="0"/>
                <w:spacing w:val="-2"/>
              </w:rPr>
              <w:br/>
              <w:t xml:space="preserve">Rules other than r. 1 and 2: </w:t>
            </w:r>
            <w:r>
              <w:t>18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2015</w:t>
            </w:r>
          </w:p>
        </w:tc>
        <w:tc>
          <w:tcPr>
            <w:tcW w:w="1276" w:type="dxa"/>
          </w:tcPr>
          <w:p>
            <w:pPr>
              <w:pStyle w:val="nTable"/>
              <w:spacing w:after="40"/>
            </w:pPr>
            <w:r>
              <w:t>13 Nov 2015 p. 4644-55</w:t>
            </w:r>
          </w:p>
        </w:tc>
        <w:tc>
          <w:tcPr>
            <w:tcW w:w="2696" w:type="dxa"/>
          </w:tcPr>
          <w:p>
            <w:pPr>
              <w:pStyle w:val="nTable"/>
              <w:spacing w:after="40"/>
              <w:rPr>
                <w:snapToGrid w:val="0"/>
                <w:spacing w:val="-2"/>
              </w:rPr>
            </w:pPr>
            <w:r>
              <w:rPr>
                <w:snapToGrid w:val="0"/>
                <w:spacing w:val="-2"/>
              </w:rPr>
              <w:t>r. 1 and 2: 13 Nov 2015 (see r. 2(a));</w:t>
            </w:r>
            <w:r>
              <w:rPr>
                <w:snapToGrid w:val="0"/>
                <w:spacing w:val="-2"/>
              </w:rPr>
              <w:br/>
              <w:t xml:space="preserve">Rules other than r. 1 and 2: </w:t>
            </w:r>
            <w:r>
              <w:t>27 Nov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2016</w:t>
            </w:r>
          </w:p>
        </w:tc>
        <w:tc>
          <w:tcPr>
            <w:tcW w:w="1276" w:type="dxa"/>
          </w:tcPr>
          <w:p>
            <w:pPr>
              <w:pStyle w:val="nTable"/>
              <w:spacing w:after="40"/>
            </w:pPr>
            <w:r>
              <w:t>16 Nov 2016 p. 5185-216</w:t>
            </w:r>
          </w:p>
        </w:tc>
        <w:tc>
          <w:tcPr>
            <w:tcW w:w="2696" w:type="dxa"/>
          </w:tcPr>
          <w:p>
            <w:pPr>
              <w:pStyle w:val="nTable"/>
              <w:spacing w:after="40"/>
              <w:rPr>
                <w:snapToGrid w:val="0"/>
                <w:spacing w:val="-2"/>
              </w:rPr>
            </w:pPr>
            <w:r>
              <w:t>r. 1 and 2: 16 Nov 2016 (see r 2(a));</w:t>
            </w:r>
            <w:r>
              <w:br/>
              <w:t>Rules other than r. 1 and 2: 23 Nov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pPr>
            <w:r>
              <w:rPr>
                <w:i/>
              </w:rPr>
              <w:t xml:space="preserve">Supreme Court (Arbitration) Rules 2016 </w:t>
            </w:r>
            <w:r>
              <w:t>r. 26</w:t>
            </w:r>
          </w:p>
        </w:tc>
        <w:tc>
          <w:tcPr>
            <w:tcW w:w="1276" w:type="dxa"/>
          </w:tcPr>
          <w:p>
            <w:pPr>
              <w:pStyle w:val="nTable"/>
              <w:spacing w:after="40"/>
            </w:pPr>
            <w:r>
              <w:t>20 Dec 2016 p. 5819</w:t>
            </w:r>
            <w:r>
              <w:noBreakHyphen/>
              <w:t>85</w:t>
            </w:r>
          </w:p>
        </w:tc>
        <w:tc>
          <w:tcPr>
            <w:tcW w:w="2696" w:type="dxa"/>
          </w:tcPr>
          <w:p>
            <w:pPr>
              <w:pStyle w:val="nTable"/>
              <w:spacing w:after="40"/>
            </w:pPr>
            <w:r>
              <w:t>3 Jan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(Subpoenas) Rules 2017</w:t>
            </w:r>
          </w:p>
        </w:tc>
        <w:tc>
          <w:tcPr>
            <w:tcW w:w="1276" w:type="dxa"/>
          </w:tcPr>
          <w:p>
            <w:pPr>
              <w:pStyle w:val="nTable"/>
              <w:spacing w:after="40"/>
            </w:pPr>
            <w:r>
              <w:t>24 May 2017 p. 2565</w:t>
            </w:r>
            <w:r>
              <w:noBreakHyphen/>
              <w:t>607</w:t>
            </w:r>
          </w:p>
        </w:tc>
        <w:tc>
          <w:tcPr>
            <w:tcW w:w="2696" w:type="dxa"/>
          </w:tcPr>
          <w:p>
            <w:pPr>
              <w:pStyle w:val="nTable"/>
              <w:spacing w:after="40"/>
            </w:pPr>
            <w:r>
              <w:t>Pt. 1: 24 May 2017 (see r. 2(a));</w:t>
            </w:r>
            <w:r>
              <w:br/>
              <w:t>Rules other than Pt. 1: 7 Jun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2017</w:t>
            </w:r>
          </w:p>
        </w:tc>
        <w:tc>
          <w:tcPr>
            <w:tcW w:w="1276" w:type="dxa"/>
          </w:tcPr>
          <w:p>
            <w:pPr>
              <w:pStyle w:val="nTable"/>
              <w:spacing w:after="40"/>
            </w:pPr>
            <w:r>
              <w:t>30 Jun 2017 p. 3575</w:t>
            </w:r>
            <w:r>
              <w:noBreakHyphen/>
              <w:t>6</w:t>
            </w:r>
          </w:p>
        </w:tc>
        <w:tc>
          <w:tcPr>
            <w:tcW w:w="2696" w:type="dxa"/>
          </w:tcPr>
          <w:p>
            <w:pPr>
              <w:pStyle w:val="nTable"/>
              <w:spacing w:after="40"/>
            </w:pPr>
            <w:r>
              <w:rPr>
                <w:bCs/>
                <w:snapToGrid w:val="0"/>
                <w:spacing w:val="-2"/>
              </w:rPr>
              <w:t xml:space="preserve">r. 1 and 2: </w:t>
            </w:r>
            <w:r>
              <w:rPr>
                <w:bCs/>
                <w:snapToGrid w:val="0"/>
              </w:rPr>
              <w:t>30 Jun 2017</w:t>
            </w:r>
            <w:r>
              <w:rPr>
                <w:bCs/>
                <w:snapToGrid w:val="0"/>
                <w:spacing w:val="-2"/>
              </w:rPr>
              <w:t xml:space="preserve"> (see r. 2(a));</w:t>
            </w:r>
            <w:r>
              <w:rPr>
                <w:bCs/>
                <w:snapToGrid w:val="0"/>
                <w:spacing w:val="-2"/>
              </w:rPr>
              <w:br/>
              <w:t xml:space="preserve">Rules other than r. 1 and 2: </w:t>
            </w:r>
            <w:r>
              <w:rPr>
                <w:bCs/>
                <w:snapToGrid w:val="0"/>
              </w:rPr>
              <w:t>1 Jul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Rules Amendment Rules 2017</w:t>
            </w:r>
            <w:r>
              <w:t xml:space="preserve"> Pt. 2</w:t>
            </w:r>
          </w:p>
        </w:tc>
        <w:tc>
          <w:tcPr>
            <w:tcW w:w="1276" w:type="dxa"/>
          </w:tcPr>
          <w:p>
            <w:pPr>
              <w:pStyle w:val="nTable"/>
              <w:spacing w:after="40"/>
            </w:pPr>
            <w:r>
              <w:t>16 Aug 2017 p. 4391</w:t>
            </w:r>
            <w:r>
              <w:noBreakHyphen/>
              <w:t>427</w:t>
            </w:r>
          </w:p>
        </w:tc>
        <w:tc>
          <w:tcPr>
            <w:tcW w:w="2696" w:type="dxa"/>
          </w:tcPr>
          <w:p>
            <w:pPr>
              <w:pStyle w:val="nTable"/>
              <w:spacing w:after="40"/>
              <w:rPr>
                <w:bCs/>
                <w:snapToGrid w:val="0"/>
                <w:spacing w:val="-2"/>
              </w:rPr>
            </w:pPr>
            <w:r>
              <w:rPr>
                <w:bCs/>
                <w:snapToGrid w:val="0"/>
                <w:spacing w:val="-2"/>
              </w:rPr>
              <w:t>Pt. 2 (other than r. 30): 30 Aug 2017 (see r. 2(c));</w:t>
            </w:r>
            <w:r>
              <w:rPr>
                <w:bCs/>
                <w:snapToGrid w:val="0"/>
                <w:spacing w:val="-2"/>
              </w:rPr>
              <w:br/>
              <w:t xml:space="preserve">r. 30: </w:t>
            </w:r>
            <w:r>
              <w:t>4 Sep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lastRenderedPageBreak/>
              <w:t>Supreme Court Amendment Rules (No. 3) 2017</w:t>
            </w:r>
          </w:p>
        </w:tc>
        <w:tc>
          <w:tcPr>
            <w:tcW w:w="1276" w:type="dxa"/>
          </w:tcPr>
          <w:p>
            <w:pPr>
              <w:pStyle w:val="nTable"/>
              <w:spacing w:after="40"/>
            </w:pPr>
            <w:r>
              <w:t>1 Dec 2017 p. 5732</w:t>
            </w:r>
            <w:r>
              <w:noBreakHyphen/>
              <w:t>3</w:t>
            </w:r>
          </w:p>
        </w:tc>
        <w:tc>
          <w:tcPr>
            <w:tcW w:w="2696" w:type="dxa"/>
          </w:tcPr>
          <w:p>
            <w:pPr>
              <w:pStyle w:val="nTable"/>
              <w:spacing w:after="40"/>
              <w:rPr>
                <w:bCs/>
                <w:snapToGrid w:val="0"/>
                <w:spacing w:val="-2"/>
              </w:rPr>
            </w:pPr>
            <w:r>
              <w:rPr>
                <w:bCs/>
                <w:snapToGrid w:val="0"/>
                <w:spacing w:val="-2"/>
              </w:rPr>
              <w:t>r. 1 and 2: 1 Dec 2017 (see r. 2(a));</w:t>
            </w:r>
            <w:r>
              <w:rPr>
                <w:bCs/>
                <w:snapToGrid w:val="0"/>
                <w:spacing w:val="-2"/>
              </w:rPr>
              <w:br/>
              <w:t>Rules other than r. 1 and 2: 2 Dec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2018</w:t>
            </w:r>
          </w:p>
        </w:tc>
        <w:tc>
          <w:tcPr>
            <w:tcW w:w="1276" w:type="dxa"/>
          </w:tcPr>
          <w:p>
            <w:pPr>
              <w:pStyle w:val="nTable"/>
              <w:spacing w:after="40"/>
            </w:pPr>
            <w:r>
              <w:t>27 Feb 2018 p. 551</w:t>
            </w:r>
            <w:r>
              <w:noBreakHyphen/>
              <w:t>624</w:t>
            </w:r>
          </w:p>
        </w:tc>
        <w:tc>
          <w:tcPr>
            <w:tcW w:w="2696" w:type="dxa"/>
          </w:tcPr>
          <w:p>
            <w:pPr>
              <w:pStyle w:val="nTable"/>
              <w:spacing w:after="40"/>
              <w:rPr>
                <w:bCs/>
                <w:snapToGrid w:val="0"/>
                <w:spacing w:val="-2"/>
              </w:rPr>
            </w:pPr>
            <w:r>
              <w:rPr>
                <w:bCs/>
                <w:snapToGrid w:val="0"/>
                <w:spacing w:val="-2"/>
              </w:rPr>
              <w:t>r. 1 and 2: 27 Feb 2018 (see r. 2(a));</w:t>
            </w:r>
            <w:r>
              <w:rPr>
                <w:bCs/>
                <w:snapToGrid w:val="0"/>
                <w:spacing w:val="-2"/>
              </w:rPr>
              <w:br/>
              <w:t>Rules other than r. 1 and 2: 1 Mar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2) 2018</w:t>
            </w:r>
          </w:p>
        </w:tc>
        <w:tc>
          <w:tcPr>
            <w:tcW w:w="1276" w:type="dxa"/>
          </w:tcPr>
          <w:p>
            <w:pPr>
              <w:pStyle w:val="nTable"/>
              <w:spacing w:after="40"/>
            </w:pPr>
            <w:r>
              <w:t>29 Jun 2018 p. 2437</w:t>
            </w:r>
            <w:r>
              <w:noBreakHyphen/>
              <w:t>8</w:t>
            </w:r>
          </w:p>
        </w:tc>
        <w:tc>
          <w:tcPr>
            <w:tcW w:w="2696" w:type="dxa"/>
          </w:tcPr>
          <w:p>
            <w:pPr>
              <w:pStyle w:val="nTable"/>
              <w:spacing w:after="40"/>
              <w:rPr>
                <w:bCs/>
                <w:snapToGrid w:val="0"/>
                <w:spacing w:val="-2"/>
              </w:rPr>
            </w:pPr>
            <w:r>
              <w:rPr>
                <w:bCs/>
                <w:snapToGrid w:val="0"/>
                <w:spacing w:val="-2"/>
              </w:rPr>
              <w:t>r. 1 and 2: 29 Jun 2018 (see r. 2(a));</w:t>
            </w:r>
            <w:r>
              <w:rPr>
                <w:bCs/>
                <w:snapToGrid w:val="0"/>
                <w:spacing w:val="-2"/>
              </w:rPr>
              <w:br/>
              <w:t>Rules other than r. 1 and 2: 30 Jun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ind w:right="113"/>
              <w:rPr>
                <w:i/>
              </w:rPr>
            </w:pPr>
            <w:r>
              <w:rPr>
                <w:i/>
              </w:rPr>
              <w:t>Supreme Court Amendment Rules (No. 3) 2018</w:t>
            </w:r>
          </w:p>
        </w:tc>
        <w:tc>
          <w:tcPr>
            <w:tcW w:w="1276" w:type="dxa"/>
          </w:tcPr>
          <w:p>
            <w:pPr>
              <w:pStyle w:val="nTable"/>
              <w:spacing w:after="40"/>
            </w:pPr>
            <w:r>
              <w:t>28 Aug 2018 p. 2991</w:t>
            </w:r>
            <w:r>
              <w:noBreakHyphen/>
              <w:t>2</w:t>
            </w:r>
          </w:p>
        </w:tc>
        <w:tc>
          <w:tcPr>
            <w:tcW w:w="2696" w:type="dxa"/>
          </w:tcPr>
          <w:p>
            <w:pPr>
              <w:pStyle w:val="nTable"/>
              <w:spacing w:after="40"/>
              <w:rPr>
                <w:bCs/>
                <w:snapToGrid w:val="0"/>
                <w:spacing w:val="-2"/>
              </w:rPr>
            </w:pPr>
            <w:r>
              <w:rPr>
                <w:bCs/>
                <w:snapToGrid w:val="0"/>
                <w:spacing w:val="-2"/>
              </w:rPr>
              <w:t>r. 1 and 2: 28 Aug 2018 (see r. 2(a));</w:t>
            </w:r>
            <w:r>
              <w:rPr>
                <w:bCs/>
                <w:snapToGrid w:val="0"/>
                <w:spacing w:val="-2"/>
              </w:rPr>
              <w:br/>
              <w:t xml:space="preserve">Rules other than r. 1 and 2: 1 Sep 2018 (see r. 2(b) and </w:t>
            </w:r>
            <w:r>
              <w:rPr>
                <w:bCs/>
                <w:i/>
                <w:snapToGrid w:val="0"/>
                <w:spacing w:val="-2"/>
              </w:rPr>
              <w:t xml:space="preserve">Gazette </w:t>
            </w:r>
            <w:r>
              <w:rPr>
                <w:snapToGrid w:val="0"/>
                <w:spacing w:val="-2"/>
              </w:rPr>
              <w:t>17 Aug 2018 p. 2894</w:t>
            </w:r>
            <w:r>
              <w:rPr>
                <w:bCs/>
                <w:snapToGrid w:val="0"/>
                <w:spacing w:val="-2"/>
              </w:rPr>
              <w:t>)</w:t>
            </w:r>
          </w:p>
        </w:tc>
      </w:tr>
      <w:tr>
        <w:trPr>
          <w:cantSplit/>
        </w:trPr>
        <w:tc>
          <w:tcPr>
            <w:tcW w:w="3118" w:type="dxa"/>
            <w:tcBorders>
              <w:top w:val="nil"/>
              <w:bottom w:val="nil"/>
            </w:tcBorders>
          </w:tcPr>
          <w:p>
            <w:pPr>
              <w:pStyle w:val="nTable"/>
              <w:spacing w:after="40"/>
              <w:ind w:right="113"/>
              <w:rPr>
                <w:i/>
              </w:rPr>
            </w:pPr>
            <w:r>
              <w:rPr>
                <w:i/>
              </w:rPr>
              <w:t>Supreme Court Amendment Rules (No. 3) 2019</w:t>
            </w:r>
          </w:p>
        </w:tc>
        <w:tc>
          <w:tcPr>
            <w:tcW w:w="1276" w:type="dxa"/>
            <w:tcBorders>
              <w:top w:val="nil"/>
              <w:bottom w:val="nil"/>
            </w:tcBorders>
          </w:tcPr>
          <w:p>
            <w:pPr>
              <w:pStyle w:val="nTable"/>
              <w:spacing w:after="40"/>
            </w:pPr>
            <w:r>
              <w:t>31 Dec 2019 p. 4677-8</w:t>
            </w:r>
          </w:p>
        </w:tc>
        <w:tc>
          <w:tcPr>
            <w:tcW w:w="2696" w:type="dxa"/>
            <w:tcBorders>
              <w:top w:val="nil"/>
              <w:bottom w:val="nil"/>
            </w:tcBorders>
          </w:tcPr>
          <w:p>
            <w:pPr>
              <w:pStyle w:val="nTable"/>
              <w:spacing w:after="40"/>
              <w:rPr>
                <w:bCs/>
                <w:snapToGrid w:val="0"/>
                <w:spacing w:val="-2"/>
              </w:rPr>
            </w:pPr>
            <w:r>
              <w:rPr>
                <w:bCs/>
                <w:snapToGrid w:val="0"/>
                <w:spacing w:val="-2"/>
              </w:rPr>
              <w:t>r. 1 and 2: 31 Dec 2019 (see r. 2(a));</w:t>
            </w:r>
            <w:r>
              <w:rPr>
                <w:bCs/>
                <w:snapToGrid w:val="0"/>
                <w:spacing w:val="-2"/>
              </w:rPr>
              <w:br/>
              <w:t>Rules other than r. 1 and 2: 1 Jan 2020 (see r. 2(b))</w:t>
            </w:r>
          </w:p>
        </w:tc>
      </w:tr>
      <w:tr>
        <w:trPr>
          <w:cantSplit/>
        </w:trPr>
        <w:tc>
          <w:tcPr>
            <w:tcW w:w="3118" w:type="dxa"/>
            <w:tcBorders>
              <w:top w:val="nil"/>
              <w:bottom w:val="nil"/>
            </w:tcBorders>
          </w:tcPr>
          <w:p>
            <w:pPr>
              <w:pStyle w:val="nTable"/>
              <w:spacing w:after="40"/>
              <w:ind w:right="113"/>
              <w:rPr>
                <w:i/>
              </w:rPr>
            </w:pPr>
            <w:r>
              <w:rPr>
                <w:i/>
              </w:rPr>
              <w:t>Supreme Court Amendment Rules (No. 5) 2020</w:t>
            </w:r>
          </w:p>
        </w:tc>
        <w:tc>
          <w:tcPr>
            <w:tcW w:w="1276" w:type="dxa"/>
            <w:tcBorders>
              <w:top w:val="nil"/>
              <w:bottom w:val="nil"/>
            </w:tcBorders>
          </w:tcPr>
          <w:p>
            <w:pPr>
              <w:pStyle w:val="nTable"/>
              <w:spacing w:after="40"/>
            </w:pPr>
            <w:r>
              <w:t>SL 2020/228 27 Nov 2020</w:t>
            </w:r>
          </w:p>
        </w:tc>
        <w:tc>
          <w:tcPr>
            <w:tcW w:w="2696" w:type="dxa"/>
            <w:tcBorders>
              <w:top w:val="nil"/>
              <w:bottom w:val="nil"/>
            </w:tcBorders>
          </w:tcPr>
          <w:p>
            <w:pPr>
              <w:pStyle w:val="nTable"/>
              <w:spacing w:after="40"/>
              <w:rPr>
                <w:bCs/>
                <w:snapToGrid w:val="0"/>
                <w:spacing w:val="-2"/>
              </w:rPr>
            </w:pPr>
            <w:r>
              <w:rPr>
                <w:bCs/>
                <w:snapToGrid w:val="0"/>
                <w:spacing w:val="-2"/>
              </w:rPr>
              <w:t xml:space="preserve">r. 1 and 2: </w:t>
            </w:r>
            <w:r>
              <w:t>27 Nov 2020</w:t>
            </w:r>
            <w:r>
              <w:rPr>
                <w:bCs/>
                <w:snapToGrid w:val="0"/>
                <w:spacing w:val="-2"/>
              </w:rPr>
              <w:t xml:space="preserve"> (see r. 2(a));</w:t>
            </w:r>
            <w:r>
              <w:rPr>
                <w:bCs/>
                <w:snapToGrid w:val="0"/>
                <w:spacing w:val="-2"/>
              </w:rPr>
              <w:br/>
              <w:t xml:space="preserve">Rules other than r. 1 and 2: </w:t>
            </w:r>
            <w:r>
              <w:t>28 Nov 2020</w:t>
            </w:r>
            <w:r>
              <w:rPr>
                <w:bCs/>
                <w:snapToGrid w:val="0"/>
                <w:spacing w:val="-2"/>
              </w:rPr>
              <w:t xml:space="preserve"> (see r. 2(b))</w:t>
            </w:r>
          </w:p>
        </w:tc>
      </w:tr>
      <w:tr>
        <w:trPr>
          <w:cantSplit/>
        </w:trPr>
        <w:tc>
          <w:tcPr>
            <w:tcW w:w="3118" w:type="dxa"/>
            <w:tcBorders>
              <w:top w:val="nil"/>
              <w:bottom w:val="nil"/>
            </w:tcBorders>
          </w:tcPr>
          <w:p>
            <w:pPr>
              <w:pStyle w:val="nTable"/>
              <w:spacing w:after="40"/>
              <w:ind w:right="113"/>
              <w:rPr>
                <w:i/>
              </w:rPr>
            </w:pPr>
            <w:r>
              <w:rPr>
                <w:i/>
              </w:rPr>
              <w:t>Supreme Court Amendment Rules (No. 2) 2020</w:t>
            </w:r>
          </w:p>
        </w:tc>
        <w:tc>
          <w:tcPr>
            <w:tcW w:w="1276" w:type="dxa"/>
            <w:tcBorders>
              <w:top w:val="nil"/>
              <w:bottom w:val="nil"/>
            </w:tcBorders>
          </w:tcPr>
          <w:p>
            <w:pPr>
              <w:pStyle w:val="nTable"/>
              <w:spacing w:after="40"/>
            </w:pPr>
            <w:r>
              <w:t>SL 2020/242 18 Dec 2020</w:t>
            </w:r>
          </w:p>
        </w:tc>
        <w:tc>
          <w:tcPr>
            <w:tcW w:w="2696" w:type="dxa"/>
            <w:tcBorders>
              <w:top w:val="nil"/>
              <w:bottom w:val="nil"/>
            </w:tcBorders>
          </w:tcPr>
          <w:p>
            <w:pPr>
              <w:pStyle w:val="nTable"/>
              <w:spacing w:after="40"/>
              <w:rPr>
                <w:bCs/>
                <w:snapToGrid w:val="0"/>
                <w:spacing w:val="-2"/>
              </w:rPr>
            </w:pPr>
            <w:r>
              <w:rPr>
                <w:bCs/>
                <w:snapToGrid w:val="0"/>
                <w:spacing w:val="-2"/>
              </w:rPr>
              <w:t>r. 1 and 2: 18 Dec 2020 (see r. 2(a));</w:t>
            </w:r>
            <w:r>
              <w:rPr>
                <w:bCs/>
                <w:snapToGrid w:val="0"/>
                <w:spacing w:val="-2"/>
              </w:rPr>
              <w:br/>
              <w:t>Rules other than  r. 1 and 2: 19 Dec 2020 (see r. 2(b))</w:t>
            </w:r>
          </w:p>
        </w:tc>
      </w:tr>
      <w:tr>
        <w:trPr>
          <w:cantSplit/>
        </w:trPr>
        <w:tc>
          <w:tcPr>
            <w:tcW w:w="3118" w:type="dxa"/>
            <w:tcBorders>
              <w:top w:val="nil"/>
              <w:bottom w:val="nil"/>
            </w:tcBorders>
          </w:tcPr>
          <w:p>
            <w:pPr>
              <w:pStyle w:val="nTable"/>
              <w:spacing w:after="40"/>
              <w:ind w:right="113"/>
              <w:rPr>
                <w:i/>
              </w:rPr>
            </w:pPr>
            <w:r>
              <w:rPr>
                <w:i/>
              </w:rPr>
              <w:t>Supreme Court Rules Amendment (Court of Appeal) Rules 2021</w:t>
            </w:r>
            <w:r>
              <w:t xml:space="preserve"> Pt. 3</w:t>
            </w:r>
          </w:p>
        </w:tc>
        <w:tc>
          <w:tcPr>
            <w:tcW w:w="1276" w:type="dxa"/>
            <w:tcBorders>
              <w:top w:val="nil"/>
              <w:bottom w:val="nil"/>
            </w:tcBorders>
          </w:tcPr>
          <w:p>
            <w:pPr>
              <w:pStyle w:val="nTable"/>
              <w:spacing w:after="40"/>
            </w:pPr>
            <w:r>
              <w:t>SL 2021/34 30 Mar 2021</w:t>
            </w:r>
          </w:p>
        </w:tc>
        <w:tc>
          <w:tcPr>
            <w:tcW w:w="2696" w:type="dxa"/>
            <w:tcBorders>
              <w:top w:val="nil"/>
              <w:bottom w:val="nil"/>
            </w:tcBorders>
          </w:tcPr>
          <w:p>
            <w:pPr>
              <w:pStyle w:val="nTable"/>
              <w:spacing w:after="40"/>
              <w:rPr>
                <w:bCs/>
                <w:snapToGrid w:val="0"/>
                <w:spacing w:val="-2"/>
              </w:rPr>
            </w:pPr>
            <w:r>
              <w:t>3 May 2021 (see r. 2(b))</w:t>
            </w:r>
          </w:p>
        </w:tc>
      </w:tr>
      <w:tr>
        <w:trPr>
          <w:cantSplit/>
        </w:trPr>
        <w:tc>
          <w:tcPr>
            <w:tcW w:w="3118" w:type="dxa"/>
            <w:tcBorders>
              <w:top w:val="nil"/>
              <w:bottom w:val="nil"/>
            </w:tcBorders>
          </w:tcPr>
          <w:p>
            <w:pPr>
              <w:pStyle w:val="nTable"/>
              <w:spacing w:after="40"/>
              <w:ind w:right="113"/>
              <w:rPr>
                <w:i/>
              </w:rPr>
            </w:pPr>
            <w:r>
              <w:rPr>
                <w:i/>
              </w:rPr>
              <w:t>Supreme Court Amendment Rules (No. 2) 2021</w:t>
            </w:r>
          </w:p>
        </w:tc>
        <w:tc>
          <w:tcPr>
            <w:tcW w:w="1276" w:type="dxa"/>
            <w:tcBorders>
              <w:top w:val="nil"/>
              <w:bottom w:val="nil"/>
            </w:tcBorders>
          </w:tcPr>
          <w:p>
            <w:pPr>
              <w:pStyle w:val="nTable"/>
              <w:spacing w:after="40"/>
            </w:pPr>
            <w:r>
              <w:t>SL 2021/65 1 Jun 2021</w:t>
            </w:r>
          </w:p>
        </w:tc>
        <w:tc>
          <w:tcPr>
            <w:tcW w:w="2696" w:type="dxa"/>
            <w:tcBorders>
              <w:top w:val="nil"/>
              <w:bottom w:val="nil"/>
            </w:tcBorders>
          </w:tcPr>
          <w:p>
            <w:pPr>
              <w:pStyle w:val="nTable"/>
              <w:spacing w:after="40"/>
            </w:pPr>
            <w:r>
              <w:t>r. 1 and 2: 1 Jun 2021 (see r. 2(a));</w:t>
            </w:r>
            <w:r>
              <w:br/>
              <w:t>Rules other than r. 1 and 2: 1 Jul 2021 (see r. 2(b) and SL 2021/54 cl. 2(a))</w:t>
            </w:r>
          </w:p>
        </w:tc>
      </w:tr>
      <w:tr>
        <w:trPr>
          <w:cantSplit/>
        </w:trPr>
        <w:tc>
          <w:tcPr>
            <w:tcW w:w="3118" w:type="dxa"/>
            <w:tcBorders>
              <w:top w:val="nil"/>
              <w:bottom w:val="nil"/>
            </w:tcBorders>
          </w:tcPr>
          <w:p>
            <w:pPr>
              <w:pStyle w:val="nTable"/>
              <w:spacing w:after="40"/>
              <w:ind w:right="113"/>
              <w:rPr>
                <w:i/>
              </w:rPr>
            </w:pPr>
            <w:r>
              <w:rPr>
                <w:i/>
              </w:rPr>
              <w:t>Supreme Court Amendment Rules 2022</w:t>
            </w:r>
          </w:p>
        </w:tc>
        <w:tc>
          <w:tcPr>
            <w:tcW w:w="1276" w:type="dxa"/>
            <w:tcBorders>
              <w:top w:val="nil"/>
              <w:bottom w:val="nil"/>
            </w:tcBorders>
          </w:tcPr>
          <w:p>
            <w:pPr>
              <w:pStyle w:val="nTable"/>
              <w:spacing w:after="40"/>
            </w:pPr>
            <w:r>
              <w:t>SL 2022/53 6 May 2022</w:t>
            </w:r>
          </w:p>
        </w:tc>
        <w:tc>
          <w:tcPr>
            <w:tcW w:w="2696" w:type="dxa"/>
            <w:tcBorders>
              <w:top w:val="nil"/>
              <w:bottom w:val="nil"/>
            </w:tcBorders>
          </w:tcPr>
          <w:p>
            <w:pPr>
              <w:pStyle w:val="nTable"/>
              <w:spacing w:after="40"/>
            </w:pPr>
            <w:r>
              <w:t>r. 1 and 2: 6 May 2022 (see r. 2(a));</w:t>
            </w:r>
            <w:r>
              <w:br/>
              <w:t>Rules other than r. 1 and 2: 20 May 2022 (see r. 2(b))</w:t>
            </w:r>
          </w:p>
        </w:tc>
      </w:tr>
      <w:tr>
        <w:trPr>
          <w:cantSplit/>
        </w:trPr>
        <w:tc>
          <w:tcPr>
            <w:tcW w:w="3118" w:type="dxa"/>
            <w:tcBorders>
              <w:top w:val="nil"/>
              <w:bottom w:val="single" w:sz="4" w:space="0" w:color="auto"/>
            </w:tcBorders>
          </w:tcPr>
          <w:p>
            <w:pPr>
              <w:pStyle w:val="nTable"/>
              <w:spacing w:after="40"/>
              <w:ind w:right="113"/>
              <w:rPr>
                <w:i/>
              </w:rPr>
            </w:pPr>
            <w:r>
              <w:rPr>
                <w:i/>
              </w:rPr>
              <w:t>Supreme Court Rules Amendment (Legal Profession) Rules 2022</w:t>
            </w:r>
            <w:r>
              <w:t xml:space="preserve"> Pt. 4</w:t>
            </w:r>
          </w:p>
        </w:tc>
        <w:tc>
          <w:tcPr>
            <w:tcW w:w="1276" w:type="dxa"/>
            <w:tcBorders>
              <w:top w:val="nil"/>
              <w:bottom w:val="single" w:sz="4" w:space="0" w:color="auto"/>
            </w:tcBorders>
          </w:tcPr>
          <w:p>
            <w:pPr>
              <w:pStyle w:val="nTable"/>
              <w:spacing w:after="40"/>
            </w:pPr>
            <w:r>
              <w:t>SL 2022/74 14 Jun 2022</w:t>
            </w:r>
          </w:p>
        </w:tc>
        <w:tc>
          <w:tcPr>
            <w:tcW w:w="2696" w:type="dxa"/>
            <w:tcBorders>
              <w:top w:val="nil"/>
              <w:bottom w:val="single" w:sz="4" w:space="0" w:color="auto"/>
            </w:tcBorders>
          </w:tcPr>
          <w:p>
            <w:pPr>
              <w:pStyle w:val="nTable"/>
              <w:spacing w:after="40"/>
            </w:pPr>
            <w:r>
              <w:t>1 Jul 2022 (see r. 2(b) and SL 2022/113 cl. 2)</w:t>
            </w:r>
          </w:p>
        </w:tc>
      </w:tr>
    </w:tbl>
    <w:p>
      <w:pPr>
        <w:pStyle w:val="nHeading3"/>
      </w:pPr>
      <w:bookmarkStart w:id="1591" w:name="_Toc129078606"/>
      <w:r>
        <w:lastRenderedPageBreak/>
        <w:t>Uncommenced provisions table</w:t>
      </w:r>
      <w:bookmarkEnd w:id="159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Supreme Court Amendment Rules 2023</w:t>
            </w:r>
            <w:r>
              <w:t xml:space="preserve"> r. 3</w:t>
            </w:r>
            <w:r>
              <w:noBreakHyphen/>
              <w:t>10</w:t>
            </w:r>
          </w:p>
        </w:tc>
        <w:tc>
          <w:tcPr>
            <w:tcW w:w="1276" w:type="dxa"/>
          </w:tcPr>
          <w:p>
            <w:pPr>
              <w:pStyle w:val="nTable"/>
              <w:spacing w:after="40"/>
            </w:pPr>
            <w:r>
              <w:t>SL 2023/16 10 Mar 2023</w:t>
            </w:r>
          </w:p>
        </w:tc>
        <w:tc>
          <w:tcPr>
            <w:tcW w:w="2693" w:type="dxa"/>
          </w:tcPr>
          <w:p>
            <w:pPr>
              <w:pStyle w:val="nTable"/>
              <w:spacing w:after="40"/>
            </w:pPr>
            <w:r>
              <w:t xml:space="preserve">Operative on commencement of the </w:t>
            </w:r>
            <w:r>
              <w:rPr>
                <w:i/>
              </w:rPr>
              <w:t>Civil Procedure (Representative Proceedings) Act 2022</w:t>
            </w:r>
            <w:r>
              <w:t xml:space="preserve"> s. 35 (see r. 2(b))</w:t>
            </w:r>
          </w:p>
        </w:tc>
      </w:tr>
    </w:tbl>
    <w:p>
      <w:pPr>
        <w:pStyle w:val="nHeading3"/>
      </w:pPr>
      <w:bookmarkStart w:id="1592" w:name="_Toc129078607"/>
      <w:r>
        <w:t>Other notes</w:t>
      </w:r>
      <w:bookmarkEnd w:id="1592"/>
    </w:p>
    <w:p>
      <w:pPr>
        <w:pStyle w:val="nNote"/>
        <w:spacing w:before="160"/>
      </w:pPr>
      <w:r>
        <w:rPr>
          <w:vertAlign w:val="superscript"/>
        </w:rPr>
        <w:t>1</w:t>
      </w:r>
      <w:r>
        <w:tab/>
        <w:t xml:space="preserve">Formerly referred to </w:t>
      </w:r>
      <w:r>
        <w:rPr>
          <w:i/>
        </w:rPr>
        <w:t>The Electoral Rules of 1908</w:t>
      </w:r>
      <w:r>
        <w:t xml:space="preserve">, the citation of which was changed to the </w:t>
      </w:r>
      <w:r>
        <w:rPr>
          <w:i/>
        </w:rPr>
        <w:t>Electoral Rules 1908</w:t>
      </w:r>
      <w:r>
        <w:t xml:space="preserve"> by the </w:t>
      </w:r>
      <w:r>
        <w:rPr>
          <w:i/>
        </w:rPr>
        <w:t xml:space="preserve">Electoral Amendment Rules 2009 </w:t>
      </w:r>
      <w:r>
        <w:t xml:space="preserve">r. 4. The reference was changed under the </w:t>
      </w:r>
      <w:r>
        <w:rPr>
          <w:i/>
        </w:rPr>
        <w:t>Reprints Act 1984</w:t>
      </w:r>
      <w:r>
        <w:t xml:space="preserve"> s. 7(3)(gb). </w:t>
      </w:r>
    </w:p>
    <w:p>
      <w:pPr>
        <w:pStyle w:val="nNote"/>
      </w:pPr>
      <w:r>
        <w:rPr>
          <w:vertAlign w:val="superscript"/>
        </w:rPr>
        <w:t>2</w:t>
      </w:r>
      <w:r>
        <w:tab/>
        <w:t>This rule is merely declaratory of an Order in Council gazetted 16 Sep 1983 whereby the vacations of the Supreme Court are regulated.</w:t>
      </w:r>
    </w:p>
    <w:p>
      <w:pPr>
        <w:pStyle w:val="nNote"/>
      </w:pPr>
      <w:r>
        <w:rPr>
          <w:vertAlign w:val="superscript"/>
        </w:rPr>
        <w:t>3</w:t>
      </w:r>
      <w:r>
        <w:tab/>
        <w:t xml:space="preserve">Formerly referred to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Note"/>
        <w:rPr>
          <w:vertAlign w:val="superscript"/>
        </w:rPr>
      </w:pPr>
      <w:r>
        <w:rPr>
          <w:vertAlign w:val="superscript"/>
        </w:rPr>
        <w:t>4</w:t>
      </w:r>
      <w:r>
        <w:tab/>
        <w:t>Formerly referred to the</w:t>
      </w:r>
      <w:r>
        <w:rPr>
          <w:i/>
        </w:rPr>
        <w:t xml:space="preserve"> Inheritance (Family and Dependants Provision) Act 1972</w:t>
      </w:r>
      <w:r>
        <w:t xml:space="preserve">, the short title of which was changed to the </w:t>
      </w:r>
      <w:r>
        <w:rPr>
          <w:i/>
        </w:rPr>
        <w:t>Family Provision Act 1972</w:t>
      </w:r>
      <w:r>
        <w:t xml:space="preserve"> by the </w:t>
      </w:r>
      <w:r>
        <w:rPr>
          <w:i/>
          <w:snapToGrid w:val="0"/>
        </w:rPr>
        <w:t xml:space="preserve">Inheritance (Family and Dependants Provision) Amendment Act 2011 </w:t>
      </w:r>
      <w:r>
        <w:rPr>
          <w:snapToGrid w:val="0"/>
        </w:rPr>
        <w:t xml:space="preserve">s. 4. The reference was changed under the </w:t>
      </w:r>
      <w:r>
        <w:rPr>
          <w:i/>
          <w:snapToGrid w:val="0"/>
        </w:rPr>
        <w:t>Reprints Act 1984</w:t>
      </w:r>
      <w:r>
        <w:rPr>
          <w:snapToGrid w:val="0"/>
        </w:rPr>
        <w:t xml:space="preserve"> s. 7(3)(gb).</w:t>
      </w:r>
    </w:p>
    <w:p>
      <w:pPr>
        <w:pStyle w:val="nNote"/>
        <w:spacing w:before="100"/>
      </w:pPr>
      <w:r>
        <w:rPr>
          <w:vertAlign w:val="superscript"/>
        </w:rPr>
        <w:t>5</w:t>
      </w:r>
      <w:r>
        <w:tab/>
        <w:t>The commencement date of 1 Jul 1982 that was specified was before the date of gazettal.</w:t>
      </w:r>
    </w:p>
    <w:p>
      <w:pPr>
        <w:pStyle w:val="nNote"/>
        <w:keepNext/>
        <w:keepLines/>
        <w:rPr>
          <w:u w:val="single"/>
        </w:rPr>
      </w:pPr>
      <w:r>
        <w:rPr>
          <w:vertAlign w:val="superscript"/>
        </w:rPr>
        <w:t>6</w:t>
      </w:r>
      <w:r>
        <w:tab/>
        <w:t xml:space="preserve">The </w:t>
      </w:r>
      <w:r>
        <w:rPr>
          <w:i/>
        </w:rPr>
        <w:t>Supreme Court Amendment Rules 1994</w:t>
      </w:r>
      <w:r>
        <w:t xml:space="preserve"> r. 14 is a transitional provision that has no further effect. </w:t>
      </w:r>
    </w:p>
    <w:p>
      <w:pPr>
        <w:pStyle w:val="nNote"/>
      </w:pPr>
      <w:r>
        <w:rPr>
          <w:vertAlign w:val="superscript"/>
        </w:rPr>
        <w:t>7</w:t>
      </w:r>
      <w:r>
        <w:tab/>
        <w:t xml:space="preserve">Disallowed on 10 Mar 1998, see </w:t>
      </w:r>
      <w:r>
        <w:rPr>
          <w:i/>
        </w:rPr>
        <w:t>Gazette</w:t>
      </w:r>
      <w:r>
        <w:t xml:space="preserve"> 13 Mar 1998 p. 1389.</w:t>
      </w:r>
    </w:p>
    <w:p>
      <w:pPr>
        <w:pStyle w:val="nNote"/>
      </w:pPr>
      <w:r>
        <w:rPr>
          <w:vertAlign w:val="superscript"/>
        </w:rPr>
        <w:t>8</w:t>
      </w:r>
      <w:r>
        <w:tab/>
        <w:t xml:space="preserve">Disallowed on 29 Oct 2013, see </w:t>
      </w:r>
      <w:r>
        <w:rPr>
          <w:i/>
        </w:rPr>
        <w:t>Gazette</w:t>
      </w:r>
      <w:r>
        <w:t xml:space="preserve"> 1 Nov 2013 p. 4910.</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1594" w:name="_Toc129074535"/>
      <w:bookmarkStart w:id="1595" w:name="_Toc129075819"/>
      <w:bookmarkStart w:id="1596" w:name="_Toc129078608"/>
      <w:r>
        <w:rPr>
          <w:sz w:val="28"/>
        </w:rPr>
        <w:lastRenderedPageBreak/>
        <w:t>Defined terms</w:t>
      </w:r>
      <w:bookmarkEnd w:id="1594"/>
      <w:bookmarkEnd w:id="1595"/>
      <w:bookmarkEnd w:id="15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O.</w:t>
      </w:r>
      <w:r>
        <w:t xml:space="preserve"> 46 r. 1, </w:t>
      </w:r>
      <w:r>
        <w:rPr>
          <w:rStyle w:val="CharDivText"/>
        </w:rPr>
        <w:t>O. 75 r. 1,  O. 76 r. 1, O. 80A r. 1, O. 81B r. 1(1),</w:t>
      </w:r>
      <w:r>
        <w:rPr>
          <w:rStyle w:val="CharDivText"/>
        </w:rPr>
        <w:br/>
        <w:t xml:space="preserve">O. 81E r. 1, </w:t>
      </w:r>
      <w:r>
        <w:t xml:space="preserve">O. 81F r. 1(1), 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w:t>
      </w:r>
    </w:p>
    <w:p>
      <w:pPr>
        <w:pStyle w:val="DefinedTerms"/>
      </w:pPr>
      <w:r>
        <w:t>appeal notice</w:t>
      </w:r>
      <w:r>
        <w:tab/>
      </w:r>
      <w:r>
        <w:rPr>
          <w:rStyle w:val="CharDivText"/>
        </w:rPr>
        <w:t>O.</w:t>
      </w:r>
      <w:r>
        <w:t xml:space="preserve"> 65 r. 1</w:t>
      </w:r>
    </w:p>
    <w:p>
      <w:pPr>
        <w:pStyle w:val="DefinedTerms"/>
        <w:rPr>
          <w:rStyle w:val="CharDivText"/>
        </w:rPr>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O. 75A r. 1</w:t>
      </w:r>
    </w:p>
    <w:p>
      <w:pPr>
        <w:pStyle w:val="DefinedTerms"/>
      </w:pPr>
      <w:r>
        <w:rPr>
          <w:rStyle w:val="CharDivText"/>
        </w:rPr>
        <w:t>application</w:t>
      </w:r>
      <w:r>
        <w:t xml:space="preserve"> </w:t>
      </w:r>
      <w:r>
        <w:tab/>
        <w:t>O. 56 r. 1(1)</w:t>
      </w:r>
    </w:p>
    <w:p>
      <w:pPr>
        <w:pStyle w:val="DefinedTerms"/>
      </w:pPr>
      <w:r>
        <w:t>approved mediator</w:t>
      </w:r>
      <w:r>
        <w:tab/>
      </w:r>
      <w:r>
        <w:rPr>
          <w:rStyle w:val="CharDivText"/>
        </w:rPr>
        <w:t>O.</w:t>
      </w:r>
      <w:r>
        <w:t> 4A r. 1</w:t>
      </w:r>
    </w:p>
    <w:p>
      <w:pPr>
        <w:pStyle w:val="DefinedTerms"/>
      </w:pPr>
      <w:r>
        <w:t>arbitration law</w:t>
      </w:r>
      <w:r>
        <w:tab/>
        <w:t>O. 81D r. 1</w:t>
      </w:r>
    </w:p>
    <w:p>
      <w:pPr>
        <w:pStyle w:val="DefinedTerms"/>
      </w:pPr>
      <w:r>
        <w:t>arbitrator</w:t>
      </w:r>
      <w:r>
        <w:tab/>
        <w:t>O. 81D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Board</w:t>
      </w:r>
      <w:r>
        <w:tab/>
        <w:t>O. 75A r. 1</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w:t>
      </w:r>
      <w:r>
        <w:tab/>
        <w:t>O. 39A r. 5(1A)</w:t>
      </w:r>
    </w:p>
    <w:p>
      <w:pPr>
        <w:pStyle w:val="DefinedTerms"/>
      </w:pPr>
      <w:r>
        <w:t xml:space="preserve">certificate of service </w:t>
      </w:r>
      <w:r>
        <w:tab/>
        <w:t>O. 11A r. 1</w:t>
      </w:r>
    </w:p>
    <w:p>
      <w:pPr>
        <w:pStyle w:val="DefinedTerms"/>
      </w:pPr>
      <w:r>
        <w:t>certifying authority</w:t>
      </w:r>
      <w:r>
        <w:tab/>
        <w:t>O. 11A r. 1</w:t>
      </w:r>
    </w:p>
    <w:p>
      <w:pPr>
        <w:pStyle w:val="DefinedTerms"/>
      </w:pPr>
      <w:r>
        <w:t xml:space="preserve">challenged conduct </w:t>
      </w:r>
      <w:r>
        <w:tab/>
        <w:t>O. 56 r. 1(1)</w:t>
      </w:r>
    </w:p>
    <w:p>
      <w:pPr>
        <w:pStyle w:val="DefinedTerms"/>
      </w:pPr>
      <w:r>
        <w:t xml:space="preserve">challenged decision </w:t>
      </w:r>
      <w:r>
        <w:tab/>
        <w:t>O. 56 r. 1(1)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lastRenderedPageBreak/>
        <w:t>concluded</w:t>
      </w:r>
      <w:r>
        <w:tab/>
        <w:t>O. 65 r. 1</w:t>
      </w:r>
    </w:p>
    <w:p>
      <w:pPr>
        <w:pStyle w:val="DefinedTerms"/>
      </w:pPr>
      <w:r>
        <w:t xml:space="preserve">conduct </w:t>
      </w:r>
      <w:r>
        <w:tab/>
        <w:t>O. 56 r. 1(1)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ECMS</w:t>
      </w:r>
      <w:r>
        <w:rPr>
          <w:rStyle w:val="CharDivText"/>
        </w:rPr>
        <w:tab/>
        <w:t>O. 1 r. 4(1)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 xml:space="preserve">form </w:t>
      </w:r>
      <w:r>
        <w:rPr>
          <w:rStyle w:val="CharDivText"/>
        </w:rPr>
        <w:tab/>
        <w:t>O. 1 r. 4(1)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GAA Act</w:t>
      </w:r>
      <w:r>
        <w:rPr>
          <w:rStyle w:val="CharDivText"/>
        </w:rPr>
        <w:tab/>
        <w:t>O. 70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lastRenderedPageBreak/>
        <w:t>Inactive Cases List</w:t>
      </w:r>
      <w:r>
        <w:rPr>
          <w:rStyle w:val="CharDivText"/>
        </w:rPr>
        <w:tab/>
        <w:t>O. 4A r. 21</w:t>
      </w:r>
    </w:p>
    <w:p>
      <w:pPr>
        <w:pStyle w:val="DefinedTerms"/>
        <w:rPr>
          <w:rStyle w:val="CharDivText"/>
        </w:rPr>
      </w:pPr>
      <w:r>
        <w:rPr>
          <w:rStyle w:val="CharDivText"/>
        </w:rPr>
        <w:t>interested non-party</w:t>
      </w:r>
      <w:r>
        <w:rPr>
          <w:rStyle w:val="CharDivText"/>
        </w:rPr>
        <w:tab/>
        <w:t>O. 9A r. 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limitation period</w:t>
      </w:r>
      <w:r>
        <w:t xml:space="preserve"> </w:t>
      </w:r>
      <w:r>
        <w:tab/>
        <w:t>O. 56 r. 1(1)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objector</w:t>
      </w:r>
      <w:r>
        <w:rPr>
          <w:rStyle w:val="CharDivText"/>
        </w:rPr>
        <w:tab/>
        <w:t>O. 75A r. 2C</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DefinedTerms"/>
        <w:rPr>
          <w:rStyle w:val="CharDivText"/>
        </w:rPr>
      </w:pPr>
      <w:r>
        <w:rPr>
          <w:rStyle w:val="CharDivText"/>
        </w:rPr>
        <w:lastRenderedPageBreak/>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remedy</w:t>
      </w:r>
      <w:r>
        <w:t xml:space="preserve"> </w:t>
      </w:r>
      <w:r>
        <w:tab/>
        <w:t>O. 56 r. 1(1)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pPr>
      <w:r>
        <w:rPr>
          <w:rStyle w:val="CharDivText"/>
        </w:rPr>
        <w:t>reviewable conduct</w:t>
      </w:r>
      <w:r>
        <w:t xml:space="preserve"> </w:t>
      </w:r>
      <w:r>
        <w:tab/>
        <w:t>O. 56 r. 1(1)</w:t>
      </w:r>
    </w:p>
    <w:p>
      <w:pPr>
        <w:pStyle w:val="DefinedTerms"/>
        <w:rPr>
          <w:rStyle w:val="CharDivText"/>
        </w:rPr>
      </w:pPr>
      <w:r>
        <w:t xml:space="preserve">reviewable decision </w:t>
      </w:r>
      <w:r>
        <w:tab/>
        <w:t>O. 56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keepNext/>
        <w:rPr>
          <w:rStyle w:val="CharDivText"/>
        </w:rPr>
      </w:pPr>
      <w:r>
        <w:rPr>
          <w:rStyle w:val="CharDivText"/>
        </w:rPr>
        <w:t>working day</w:t>
      </w:r>
      <w:r>
        <w:rPr>
          <w:rStyle w:val="CharDivText"/>
        </w:rPr>
        <w:tab/>
        <w:t>O.</w:t>
      </w:r>
      <w:r>
        <w:t> 1 r. 4(1)</w:t>
      </w:r>
    </w:p>
    <w:p>
      <w:pPr>
        <w:pStyle w:val="DefinedTerms"/>
        <w:keepNext/>
        <w:rPr>
          <w:rStyle w:val="CharDivText"/>
        </w:rPr>
      </w:pPr>
      <w:r>
        <w:rPr>
          <w:rStyle w:val="CharDivText"/>
        </w:rPr>
        <w:t>writ</w:t>
      </w:r>
      <w:r>
        <w:rPr>
          <w:rStyle w:val="CharDivText"/>
        </w:rPr>
        <w:tab/>
        <w:t>O. 1 r. 4(1), O. 56 r. 1(1)</w:t>
      </w:r>
    </w:p>
    <w:p>
      <w:pPr>
        <w:pStyle w:val="DefinedTerms"/>
        <w:keepNext/>
        <w:rPr>
          <w:rStyle w:val="CharDivText"/>
        </w:r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09-ag0-00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83" w:name="Schedule"/>
    <w:bookmarkEnd w:id="15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93" w:name="Compilation"/>
    <w:bookmarkEnd w:id="1593"/>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612"/>
    </w:tblGrid>
    <w:tr>
      <w:trPr>
        <w:cantSplit/>
        <w:jc w:val="center"/>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1548" w:type="dxa"/>
        </w:tcPr>
        <w:p>
          <w:pPr>
            <w:pStyle w:val="Header"/>
            <w:spacing w:before="40"/>
          </w:pPr>
        </w:p>
      </w:tc>
      <w:tc>
        <w:tcPr>
          <w:tcW w:w="5612" w:type="dxa"/>
        </w:tcPr>
        <w:p>
          <w:pPr>
            <w:pStyle w:val="Header"/>
            <w:spacing w:before="40"/>
          </w:pPr>
        </w:p>
      </w:tc>
    </w:tr>
    <w:tr>
      <w:trPr>
        <w:jc w:val="center"/>
      </w:trPr>
      <w:tc>
        <w:tcPr>
          <w:tcW w:w="1548" w:type="dxa"/>
        </w:tcPr>
        <w:p>
          <w:pPr>
            <w:pStyle w:val="Header"/>
            <w:spacing w:before="40"/>
          </w:pPr>
        </w:p>
      </w:tc>
      <w:tc>
        <w:tcPr>
          <w:tcW w:w="5612" w:type="dxa"/>
        </w:tcPr>
        <w:p>
          <w:pPr>
            <w:pStyle w:val="Header"/>
            <w:spacing w:before="40"/>
          </w:pPr>
        </w:p>
      </w:tc>
    </w:tr>
    <w:tr>
      <w:trPr>
        <w:cantSplit/>
        <w:jc w:val="center"/>
      </w:trPr>
      <w:tc>
        <w:tcPr>
          <w:tcW w:w="7160" w:type="dxa"/>
          <w:gridSpan w:val="2"/>
        </w:tcPr>
        <w:p>
          <w:pPr>
            <w:pStyle w:val="Header"/>
            <w:spacing w:before="40"/>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400"/>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Rules of the Supreme Court 1971</w:t>
          </w:r>
          <w:r>
            <w:rPr>
              <w:b/>
              <w:i/>
            </w:rPr>
            <w:fldChar w:fldCharType="end"/>
          </w: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jc w:val="center"/>
      </w:trPr>
      <w:tc>
        <w:tcPr>
          <w:tcW w:w="5760" w:type="dxa"/>
        </w:tcPr>
        <w:p>
          <w:pPr>
            <w:pStyle w:val="Header"/>
            <w:spacing w:before="40"/>
            <w:jc w:val="right"/>
          </w:pPr>
        </w:p>
      </w:tc>
      <w:tc>
        <w:tcPr>
          <w:tcW w:w="1400" w:type="dxa"/>
        </w:tcPr>
        <w:p>
          <w:pPr>
            <w:pStyle w:val="Header"/>
            <w:spacing w:before="40"/>
            <w:ind w:right="17"/>
            <w:jc w:val="right"/>
          </w:pPr>
        </w:p>
      </w:tc>
    </w:tr>
    <w:tr>
      <w:trPr>
        <w:cantSplit/>
        <w:jc w:val="center"/>
      </w:trPr>
      <w:tc>
        <w:tcPr>
          <w:tcW w:w="7160" w:type="dxa"/>
          <w:gridSpan w:val="2"/>
        </w:tcPr>
        <w:p>
          <w:pPr>
            <w:pStyle w:val="Header"/>
            <w:spacing w:before="40"/>
            <w:ind w:right="17"/>
            <w:jc w:val="right"/>
          </w:pPr>
          <w:r>
            <w:rPr>
              <w:b/>
            </w:rP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Rules of the Supreme Court 1971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97" w:name="DefinedTerms"/>
    <w:bookmarkEnd w:id="1597"/>
  </w:p>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98" w:name="Coversheet"/>
    <w:bookmarkEnd w:id="15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73076F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45214D3"/>
    <w:multiLevelType w:val="hybridMultilevel"/>
    <w:tmpl w:val="15ACBF50"/>
    <w:lvl w:ilvl="0" w:tplc="D6D2E8DA">
      <w:start w:val="1"/>
      <w:numFmt w:val="bullet"/>
      <w:lvlText w:val=""/>
      <w:lvlJc w:val="left"/>
      <w:pPr>
        <w:tabs>
          <w:tab w:val="num" w:pos="1260"/>
        </w:tabs>
        <w:ind w:left="1260" w:hanging="360"/>
      </w:pPr>
      <w:rPr>
        <w:rFonts w:ascii="Symbol" w:hAnsi="Symbol" w:hint="default"/>
      </w:rPr>
    </w:lvl>
    <w:lvl w:ilvl="1" w:tplc="7B9C7060" w:tentative="1">
      <w:start w:val="1"/>
      <w:numFmt w:val="bullet"/>
      <w:lvlText w:val="o"/>
      <w:lvlJc w:val="left"/>
      <w:pPr>
        <w:tabs>
          <w:tab w:val="num" w:pos="1980"/>
        </w:tabs>
        <w:ind w:left="1980" w:hanging="360"/>
      </w:pPr>
      <w:rPr>
        <w:rFonts w:ascii="Courier New" w:hAnsi="Courier New" w:hint="default"/>
      </w:rPr>
    </w:lvl>
    <w:lvl w:ilvl="2" w:tplc="9AEA7F76" w:tentative="1">
      <w:start w:val="1"/>
      <w:numFmt w:val="bullet"/>
      <w:lvlText w:val=""/>
      <w:lvlJc w:val="left"/>
      <w:pPr>
        <w:tabs>
          <w:tab w:val="num" w:pos="2700"/>
        </w:tabs>
        <w:ind w:left="2700" w:hanging="360"/>
      </w:pPr>
      <w:rPr>
        <w:rFonts w:ascii="Wingdings" w:hAnsi="Wingdings" w:hint="default"/>
      </w:rPr>
    </w:lvl>
    <w:lvl w:ilvl="3" w:tplc="749E6D98" w:tentative="1">
      <w:start w:val="1"/>
      <w:numFmt w:val="bullet"/>
      <w:lvlText w:val=""/>
      <w:lvlJc w:val="left"/>
      <w:pPr>
        <w:tabs>
          <w:tab w:val="num" w:pos="3420"/>
        </w:tabs>
        <w:ind w:left="3420" w:hanging="360"/>
      </w:pPr>
      <w:rPr>
        <w:rFonts w:ascii="Symbol" w:hAnsi="Symbol" w:hint="default"/>
      </w:rPr>
    </w:lvl>
    <w:lvl w:ilvl="4" w:tplc="F8127BEC" w:tentative="1">
      <w:start w:val="1"/>
      <w:numFmt w:val="bullet"/>
      <w:lvlText w:val="o"/>
      <w:lvlJc w:val="left"/>
      <w:pPr>
        <w:tabs>
          <w:tab w:val="num" w:pos="4140"/>
        </w:tabs>
        <w:ind w:left="4140" w:hanging="360"/>
      </w:pPr>
      <w:rPr>
        <w:rFonts w:ascii="Courier New" w:hAnsi="Courier New" w:hint="default"/>
      </w:rPr>
    </w:lvl>
    <w:lvl w:ilvl="5" w:tplc="A76A2E96" w:tentative="1">
      <w:start w:val="1"/>
      <w:numFmt w:val="bullet"/>
      <w:lvlText w:val=""/>
      <w:lvlJc w:val="left"/>
      <w:pPr>
        <w:tabs>
          <w:tab w:val="num" w:pos="4860"/>
        </w:tabs>
        <w:ind w:left="4860" w:hanging="360"/>
      </w:pPr>
      <w:rPr>
        <w:rFonts w:ascii="Wingdings" w:hAnsi="Wingdings" w:hint="default"/>
      </w:rPr>
    </w:lvl>
    <w:lvl w:ilvl="6" w:tplc="8C6214DA" w:tentative="1">
      <w:start w:val="1"/>
      <w:numFmt w:val="bullet"/>
      <w:lvlText w:val=""/>
      <w:lvlJc w:val="left"/>
      <w:pPr>
        <w:tabs>
          <w:tab w:val="num" w:pos="5580"/>
        </w:tabs>
        <w:ind w:left="5580" w:hanging="360"/>
      </w:pPr>
      <w:rPr>
        <w:rFonts w:ascii="Symbol" w:hAnsi="Symbol" w:hint="default"/>
      </w:rPr>
    </w:lvl>
    <w:lvl w:ilvl="7" w:tplc="538EEBF4" w:tentative="1">
      <w:start w:val="1"/>
      <w:numFmt w:val="bullet"/>
      <w:lvlText w:val="o"/>
      <w:lvlJc w:val="left"/>
      <w:pPr>
        <w:tabs>
          <w:tab w:val="num" w:pos="6300"/>
        </w:tabs>
        <w:ind w:left="6300" w:hanging="360"/>
      </w:pPr>
      <w:rPr>
        <w:rFonts w:ascii="Courier New" w:hAnsi="Courier New" w:hint="default"/>
      </w:rPr>
    </w:lvl>
    <w:lvl w:ilvl="8" w:tplc="A3A8F082"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23"/>
  </w:num>
  <w:num w:numId="15">
    <w:abstractNumId w:val="10"/>
  </w:num>
  <w:num w:numId="16">
    <w:abstractNumId w:val="20"/>
  </w:num>
  <w:num w:numId="17">
    <w:abstractNumId w:val="11"/>
  </w:num>
  <w:num w:numId="18">
    <w:abstractNumId w:val="12"/>
  </w:num>
  <w:num w:numId="19">
    <w:abstractNumId w:val="14"/>
  </w:num>
  <w:num w:numId="20">
    <w:abstractNumId w:val="18"/>
  </w:num>
  <w:num w:numId="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07091638"/>
    <w:docVar w:name="WAFER_20131216112045" w:val="RemoveTocBookmarks,RemoveUnusedBookmarks,RemoveLanguageTags,UsedStyles,ResetPageSize,UpdateArrangement"/>
    <w:docVar w:name="WAFER_20131216112045_GUID" w:val="db665ee7-c044-448b-8681-211aa0b874d3"/>
    <w:docVar w:name="WAFER_20131216151141" w:val="RemoveTocBookmarks,RunningHeaders"/>
    <w:docVar w:name="WAFER_20131216151141_GUID" w:val="38edc224-9467-4498-88ea-b141b8984320"/>
    <w:docVar w:name="WAFER_20140212162715" w:val="RemoveTocBookmarks,RemoveUnusedBookmarks,RemoveLanguageTags,UsedStyles,ResetPageSize,UpdateArrangement"/>
    <w:docVar w:name="WAFER_20140212162715_GUID" w:val="73448c5e-550f-447d-9e7c-37a38166d68e"/>
    <w:docVar w:name="WAFER_20140501132533" w:val="RemoveTocBookmarks,RemoveUnusedBookmarks,RemoveLanguageTags,UsedStyles,ResetPageSize"/>
    <w:docVar w:name="WAFER_20140501132533_GUID" w:val="82a00d0e-fdc2-4c49-861b-1ba1b5552aa4"/>
    <w:docVar w:name="WAFER_20140501132609" w:val="RemoveTocBookmarks,RunningHeaders"/>
    <w:docVar w:name="WAFER_20140501132609_GUID" w:val="f7f00153-ea61-449a-82cd-3ccece93e4b6"/>
    <w:docVar w:name="WAFER_20140925110229" w:val="RemoveTocBookmarks,RemoveUnusedBookmarks,RemoveLanguageTags,UsedStyles,ResetPageSize"/>
    <w:docVar w:name="WAFER_20140925110229_GUID" w:val="0aa7a940-b17c-44c0-a3e1-aa253e3ce907"/>
    <w:docVar w:name="WAFER_20141218163200" w:val="RemoveTocBookmarks,RunningHeaders"/>
    <w:docVar w:name="WAFER_20141218163200_GUID" w:val="7c9e19e7-da86-4820-bd43-dbe2f468f40e"/>
    <w:docVar w:name="WAFER_20150420141814" w:val="ResetPageSize,UpdateArrangement,UpdateNTable"/>
    <w:docVar w:name="WAFER_20150420141814_GUID" w:val="15105a21-4ef5-4815-9e3e-09ae4c5633d0"/>
    <w:docVar w:name="WAFER_20151113094259" w:val="UpdateStyles"/>
    <w:docVar w:name="WAFER_20151113094259_GUID" w:val="8ac394df-2a34-4d60-948c-f5dd271f3f2c"/>
    <w:docVar w:name="WAFER_20151118094220" w:val="UsedStyles"/>
    <w:docVar w:name="WAFER_20151118094220_GUID" w:val="90ed3d00-ce12-44aa-a7bc-3844ac06e170"/>
    <w:docVar w:name="WAFER_20151118110656" w:val="RemoveTocBookmarks,RemoveUnusedBookmarks,RemoveLanguageTags,UsedStyles,ResetPageSize"/>
    <w:docVar w:name="WAFER_20151118110656_GUID" w:val="a92efaef-204c-4830-be7e-b2012ff7afa3"/>
    <w:docVar w:name="WAFER_20161115161727" w:val="RemoveTocBookmarks,RemoveUnusedBookmarks,RemoveLanguageTags,UsedStyles,ResetPageSize"/>
    <w:docVar w:name="WAFER_20161115161727_GUID" w:val="6dcdb0aa-c383-4e40-b19d-e3807bfe1dfc"/>
    <w:docVar w:name="WAFER_20161221122625" w:val="RemoveTocBookmarks,RemoveUnusedBookmarks,RemoveLanguageTags,UsedStyles,ResetPageSize"/>
    <w:docVar w:name="WAFER_20161221122625_GUID" w:val="bd34510c-14c9-4402-9c5e-f92c5d7ce393"/>
    <w:docVar w:name="WAFER_20171130114852" w:val="RemoveTocBookmarks,RemoveUnusedBookmarks,RemoveLanguageTags,UsedStyles,ResetPageSize"/>
    <w:docVar w:name="WAFER_20171130114852_GUID" w:val="0338c177-8d31-4666-b5ba-9c59f1a6c319"/>
    <w:docVar w:name="WAFER_20180628150936" w:val="RemoveTocBookmarks,RemoveUnusedBookmarks,RemoveLanguageTags,UsedStyles,ResetPageSize"/>
    <w:docVar w:name="WAFER_20180628150936_GUID" w:val="b14babc8-de74-42f1-a45e-2e29f53a3e90"/>
    <w:docVar w:name="WAFER_20180828110351" w:val="RemoveTocBookmarks,RemoveUnusedBookmarks,RemoveLanguageTags,UsedStyles,ResetPageSize"/>
    <w:docVar w:name="WAFER_20180828110351_GUID" w:val="41bc43c1-7dcc-4d82-ad07-8ba7f40f8f12"/>
    <w:docVar w:name="WAFER_20191227133611" w:val="RemoveTocBookmarks,RemoveUnusedBookmarks,RemoveLanguageTags,ResetPageSize,RunningHeaders,UpdateStyles,UsedStyles"/>
    <w:docVar w:name="WAFER_20191227133611_GUID" w:val="b50997a0-9447-4ebb-8a13-d057c6131f32"/>
    <w:docVar w:name="WAFER_202002111046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650_GUID" w:val="cc5e4d2b-83f7-4338-a803-a6f4ada1843d"/>
    <w:docVar w:name="WAFER_202011261150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5036_GUID" w:val="37ba5af8-93df-456e-b80b-df9eb6c4c070"/>
    <w:docVar w:name="WAFER_20201214141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4141433_GUID" w:val="e8fa498e-a680-4862-8591-8e2e911c29ea"/>
    <w:docVar w:name="WAFER_202103251049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25104914_GUID" w:val="385a7386-fbbc-4a1b-b66e-54ba08e19cb3"/>
    <w:docVar w:name="WAFER_202104281523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52351_GUID" w:val="18985b60-02d6-4576-aac2-38c87afcb68a"/>
    <w:docVar w:name="WAFER_20210601084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1084353_GUID" w:val="7fa8395b-299c-46a0-81a4-224f3e54e00a"/>
    <w:docVar w:name="WAFER_202106251052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05233_GUID" w:val="7a01c7d7-9589-40ba-ae84-dcaaef07c31e"/>
    <w:docVar w:name="WAFER_202205021329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2132929_GUID" w:val="e041b850-7be8-4485-8ff3-2851aea0d927"/>
    <w:docVar w:name="WAFER_202205170855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085533_GUID" w:val="9f9d487b-4316-4b51-a309-43a0365d5c51"/>
    <w:docVar w:name="WAFER_202206081450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45045_GUID" w:val="3497668e-855e-41dc-b685-a17d44625b70"/>
    <w:docVar w:name="WAFER_202206271628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62814_GUID" w:val="a95cdd87-9339-4f3f-9946-fdac990dee00"/>
    <w:docVar w:name="WAFER_202303070916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07091638_GUID" w:val="6e9ae747-1b9c-4ec8-b48f-e92d4abc40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622E67-6812-463B-85E4-52CEC9697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872691539">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8E8FE-5A26-4C0F-9C17-A5C4650E8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193836</Words>
  <Characters>885834</Characters>
  <Application>Microsoft Office Word</Application>
  <DocSecurity>0</DocSecurity>
  <Lines>24606</Lines>
  <Paragraphs>14206</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1065464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1971 - 09-ag0-00</dc:title>
  <dc:subject/>
  <dc:creator/>
  <cp:keywords/>
  <dc:description/>
  <cp:lastModifiedBy>Master Repository Process</cp:lastModifiedBy>
  <cp:revision>4</cp:revision>
  <cp:lastPrinted>2021-06-01T04:24:00Z</cp:lastPrinted>
  <dcterms:created xsi:type="dcterms:W3CDTF">2023-03-09T06:32:00Z</dcterms:created>
  <dcterms:modified xsi:type="dcterms:W3CDTF">2023-03-09T06:33:00Z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DocumentType">
    <vt:lpwstr>Reg</vt:lpwstr>
  </property>
  <property fmtid="{D5CDD505-2E9C-101B-9397-08002B2CF9AE}" pid="4" name="OwlsUID">
    <vt:i4>4764</vt:i4>
  </property>
  <property fmtid="{D5CDD505-2E9C-101B-9397-08002B2CF9AE}" pid="5" name="ReprintNo">
    <vt:lpwstr>9</vt:lpwstr>
  </property>
  <property fmtid="{D5CDD505-2E9C-101B-9397-08002B2CF9AE}" pid="6" name="ReprintedAsAt">
    <vt:filetime>2014-04-03T16:00:00Z</vt:filetime>
  </property>
  <property fmtid="{D5CDD505-2E9C-101B-9397-08002B2CF9AE}" pid="7" name="AsAtDate">
    <vt:lpwstr>10 Mar 2023</vt:lpwstr>
  </property>
  <property fmtid="{D5CDD505-2E9C-101B-9397-08002B2CF9AE}" pid="8" name="Suffix">
    <vt:lpwstr>09-ag0-00</vt:lpwstr>
  </property>
  <property fmtid="{D5CDD505-2E9C-101B-9397-08002B2CF9AE}" pid="9" name="CommencementDate">
    <vt:lpwstr>20230310</vt:lpwstr>
  </property>
</Properties>
</file>