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_Toc130561939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_Toc130561940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_Toc130561941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_Toc130561942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and variation ratified and implementation authorised</w:t>
      </w:r>
      <w:r>
        <w:tab/>
      </w:r>
      <w:r>
        <w:fldChar w:fldCharType="begin"/>
      </w:r>
      <w:r>
        <w:instrText xml:space="preserve"> PAGEREF _Toc130561944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reserve</w:t>
      </w:r>
      <w:r>
        <w:tab/>
      </w:r>
      <w:r>
        <w:fldChar w:fldCharType="begin"/>
      </w:r>
      <w:r>
        <w:instrText xml:space="preserve"> PAGEREF _Toc130561946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reserve</w:t>
      </w:r>
      <w:r>
        <w:tab/>
      </w:r>
      <w:r>
        <w:fldChar w:fldCharType="begin"/>
      </w:r>
      <w:r>
        <w:instrText xml:space="preserve"> PAGEREF _Toc130561947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reserve</w:t>
      </w:r>
      <w:r>
        <w:tab/>
      </w:r>
      <w:r>
        <w:fldChar w:fldCharType="begin"/>
      </w:r>
      <w:r>
        <w:instrText xml:space="preserve"> PAGEREF _Toc130561948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_Toc130561949 \h </w:instrText>
      </w:r>
      <w:r>
        <w:fldChar w:fldCharType="separate"/>
      </w:r>
      <w:r>
        <w:t>9</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_Toc130561950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_Toc130561952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_Toc130561953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Indemnification by State for long</w:t>
      </w:r>
      <w:r>
        <w:noBreakHyphen/>
        <w:t>term liability resulting from underground disposal of carbon dioxide</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_Toc130561955 \h </w:instrText>
      </w:r>
      <w:r>
        <w:fldChar w:fldCharType="separate"/>
      </w:r>
      <w:r>
        <w:t>14</w:t>
      </w:r>
      <w:r>
        <w:fldChar w:fldCharType="end"/>
      </w:r>
    </w:p>
    <w:p>
      <w:pPr>
        <w:pStyle w:val="TOC8"/>
        <w:rPr>
          <w:rFonts w:asciiTheme="minorHAnsi" w:eastAsiaTheme="minorEastAsia" w:hAnsiTheme="minorHAnsi" w:cstheme="minorBidi"/>
          <w:szCs w:val="22"/>
        </w:rPr>
      </w:pPr>
      <w:r>
        <w:t>14B.</w:t>
      </w:r>
      <w:r>
        <w:tab/>
        <w:t>Notice that Commonwealth representative is satisfied of certain matters</w:t>
      </w:r>
      <w:r>
        <w:tab/>
      </w:r>
      <w:r>
        <w:fldChar w:fldCharType="begin"/>
      </w:r>
      <w:r>
        <w:instrText xml:space="preserve"> PAGEREF _Toc130561956 \h </w:instrText>
      </w:r>
      <w:r>
        <w:fldChar w:fldCharType="separate"/>
      </w:r>
      <w:r>
        <w:t>17</w:t>
      </w:r>
      <w:r>
        <w:fldChar w:fldCharType="end"/>
      </w:r>
    </w:p>
    <w:p>
      <w:pPr>
        <w:pStyle w:val="TOC8"/>
        <w:rPr>
          <w:rFonts w:asciiTheme="minorHAnsi" w:eastAsiaTheme="minorEastAsia" w:hAnsiTheme="minorHAnsi" w:cstheme="minorBidi"/>
          <w:szCs w:val="22"/>
        </w:rPr>
      </w:pPr>
      <w:r>
        <w:t>14C.</w:t>
      </w:r>
      <w:r>
        <w:tab/>
        <w:t>Declaration of liability assumption date</w:t>
      </w:r>
      <w:r>
        <w:tab/>
      </w:r>
      <w:r>
        <w:fldChar w:fldCharType="begin"/>
      </w:r>
      <w:r>
        <w:instrText xml:space="preserve"> PAGEREF _Toc130561957 \h </w:instrText>
      </w:r>
      <w:r>
        <w:fldChar w:fldCharType="separate"/>
      </w:r>
      <w:r>
        <w:t>18</w:t>
      </w:r>
      <w:r>
        <w:fldChar w:fldCharType="end"/>
      </w:r>
    </w:p>
    <w:p>
      <w:pPr>
        <w:pStyle w:val="TOC8"/>
        <w:rPr>
          <w:rFonts w:asciiTheme="minorHAnsi" w:eastAsiaTheme="minorEastAsia" w:hAnsiTheme="minorHAnsi" w:cstheme="minorBidi"/>
          <w:szCs w:val="22"/>
        </w:rPr>
      </w:pPr>
      <w:r>
        <w:t>14D.</w:t>
      </w:r>
      <w:r>
        <w:tab/>
        <w:t>State to indemnify</w:t>
      </w:r>
      <w:r>
        <w:tab/>
      </w:r>
      <w:r>
        <w:fldChar w:fldCharType="begin"/>
      </w:r>
      <w:r>
        <w:instrText xml:space="preserve"> PAGEREF _Toc130561958 \h </w:instrText>
      </w:r>
      <w:r>
        <w:fldChar w:fldCharType="separate"/>
      </w:r>
      <w:r>
        <w:t>18</w:t>
      </w:r>
      <w:r>
        <w:fldChar w:fldCharType="end"/>
      </w:r>
    </w:p>
    <w:p>
      <w:pPr>
        <w:pStyle w:val="TOC8"/>
        <w:rPr>
          <w:rFonts w:asciiTheme="minorHAnsi" w:eastAsiaTheme="minorEastAsia" w:hAnsiTheme="minorHAnsi" w:cstheme="minorBidi"/>
          <w:szCs w:val="22"/>
        </w:rPr>
      </w:pPr>
      <w:r>
        <w:t>14E.</w:t>
      </w:r>
      <w:r>
        <w:tab/>
        <w:t>Payment under indemnity and appropriation</w:t>
      </w:r>
      <w:r>
        <w:tab/>
      </w:r>
      <w:r>
        <w:fldChar w:fldCharType="begin"/>
      </w:r>
      <w:r>
        <w:instrText xml:space="preserve"> PAGEREF _Toc130561959 \h </w:instrText>
      </w:r>
      <w:r>
        <w:fldChar w:fldCharType="separate"/>
      </w:r>
      <w:r>
        <w:t>19</w:t>
      </w:r>
      <w:r>
        <w:fldChar w:fldCharType="end"/>
      </w:r>
    </w:p>
    <w:p>
      <w:pPr>
        <w:pStyle w:val="TOC8"/>
        <w:rPr>
          <w:rFonts w:asciiTheme="minorHAnsi" w:eastAsiaTheme="minorEastAsia" w:hAnsiTheme="minorHAnsi" w:cstheme="minorBidi"/>
          <w:szCs w:val="22"/>
        </w:rPr>
      </w:pPr>
      <w:r>
        <w:t>14F.</w:t>
      </w:r>
      <w:r>
        <w:tab/>
        <w:t>Disclosure of information to Commonwealth representative</w:t>
      </w:r>
      <w:r>
        <w:tab/>
      </w:r>
      <w:r>
        <w:fldChar w:fldCharType="begin"/>
      </w:r>
      <w:r>
        <w:instrText xml:space="preserve"> PAGEREF _Toc130561960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_Toc130561962 \h </w:instrText>
      </w:r>
      <w:r>
        <w:fldChar w:fldCharType="separate"/>
      </w:r>
      <w:r>
        <w:t>20</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_Toc130561963 \h </w:instrText>
      </w:r>
      <w:r>
        <w:fldChar w:fldCharType="separate"/>
      </w:r>
      <w:r>
        <w:t>20</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_Toc130561964 \h </w:instrText>
      </w:r>
      <w:r>
        <w:fldChar w:fldCharType="separate"/>
      </w:r>
      <w:r>
        <w:t>21</w:t>
      </w:r>
      <w:r>
        <w:fldChar w:fldCharType="end"/>
      </w:r>
    </w:p>
    <w:p>
      <w:pPr>
        <w:pStyle w:val="TOC8"/>
        <w:rPr>
          <w:rFonts w:asciiTheme="minorHAnsi" w:eastAsiaTheme="minorEastAsia" w:hAnsiTheme="minorHAnsi" w:cstheme="minorBidi"/>
          <w:szCs w:val="22"/>
        </w:rPr>
      </w:pPr>
      <w:r>
        <w:t>17A.</w:t>
      </w:r>
      <w:r>
        <w:tab/>
        <w:t>Protection from liability for wrongdoing</w:t>
      </w:r>
      <w:r>
        <w:tab/>
      </w:r>
      <w:r>
        <w:fldChar w:fldCharType="begin"/>
      </w:r>
      <w:r>
        <w:instrText xml:space="preserve"> PAGEREF _Toc130561965 \h </w:instrText>
      </w:r>
      <w:r>
        <w:fldChar w:fldCharType="separate"/>
      </w:r>
      <w:r>
        <w:t>21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_Toc130561966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_Toc130561967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_Toc130561971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_Toc130561972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_Toc130561973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No. 24 of 2013 s. 4.]</w:t>
      </w:r>
    </w:p>
    <w:p>
      <w:pPr>
        <w:pStyle w:val="Heading2"/>
      </w:pPr>
      <w:bookmarkStart w:id="4" w:name="_Toc130550749"/>
      <w:bookmarkStart w:id="5" w:name="_Toc130551039"/>
      <w:bookmarkStart w:id="6" w:name="_Toc13056193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130561939"/>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8" w:name="_Toc130561940"/>
      <w:r>
        <w:rPr>
          <w:rStyle w:val="CharSectno"/>
        </w:rPr>
        <w:t>2</w:t>
      </w:r>
      <w:r>
        <w:rPr>
          <w:snapToGrid w:val="0"/>
        </w:rPr>
        <w:t>.</w:t>
      </w:r>
      <w:r>
        <w:rPr>
          <w:snapToGrid w:val="0"/>
        </w:rPr>
        <w:tab/>
        <w:t>Commencement</w:t>
      </w:r>
      <w:bookmarkEnd w:id="8"/>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No. 13 of 2005 s. 48(2).]</w:t>
      </w:r>
    </w:p>
    <w:p>
      <w:pPr>
        <w:pStyle w:val="Heading5"/>
        <w:rPr>
          <w:snapToGrid w:val="0"/>
        </w:rPr>
      </w:pPr>
      <w:bookmarkStart w:id="9" w:name="_Toc130561941"/>
      <w:r>
        <w:rPr>
          <w:rStyle w:val="CharSectno"/>
        </w:rPr>
        <w:t>3</w:t>
      </w:r>
      <w:r>
        <w:rPr>
          <w:snapToGrid w:val="0"/>
        </w:rPr>
        <w:t>.</w:t>
      </w:r>
      <w:r>
        <w:rPr>
          <w:snapToGrid w:val="0"/>
        </w:rPr>
        <w:tab/>
        <w:t>Terms used</w:t>
      </w:r>
      <w:bookmarkEnd w:id="9"/>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lastRenderedPageBreak/>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No. 24 of 2013 s. 5.]</w:t>
      </w:r>
    </w:p>
    <w:p>
      <w:pPr>
        <w:pStyle w:val="Heading5"/>
      </w:pPr>
      <w:bookmarkStart w:id="10" w:name="_Toc130561942"/>
      <w:r>
        <w:rPr>
          <w:rStyle w:val="CharSectno"/>
        </w:rPr>
        <w:t>4</w:t>
      </w:r>
      <w:r>
        <w:t>.</w:t>
      </w:r>
      <w:r>
        <w:tab/>
        <w:t>Notes not part of Act</w:t>
      </w:r>
      <w:bookmarkEnd w:id="10"/>
    </w:p>
    <w:p>
      <w:pPr>
        <w:pStyle w:val="Subsection"/>
      </w:pPr>
      <w:r>
        <w:tab/>
      </w:r>
      <w:r>
        <w:tab/>
        <w:t>Notes in this Act are provided to assist understanding and do not form part of the Act.</w:t>
      </w:r>
    </w:p>
    <w:p>
      <w:pPr>
        <w:pStyle w:val="Heading2"/>
      </w:pPr>
      <w:bookmarkStart w:id="11" w:name="_Toc130550754"/>
      <w:bookmarkStart w:id="12" w:name="_Toc130551044"/>
      <w:bookmarkStart w:id="13" w:name="_Toc130561943"/>
      <w:r>
        <w:rPr>
          <w:rStyle w:val="CharPartNo"/>
        </w:rPr>
        <w:lastRenderedPageBreak/>
        <w:t>Part 2</w:t>
      </w:r>
      <w:r>
        <w:rPr>
          <w:rStyle w:val="CharDivNo"/>
        </w:rPr>
        <w:t> </w:t>
      </w:r>
      <w:r>
        <w:t>—</w:t>
      </w:r>
      <w:r>
        <w:rPr>
          <w:rStyle w:val="CharDivText"/>
        </w:rPr>
        <w:t> </w:t>
      </w:r>
      <w:r>
        <w:rPr>
          <w:rStyle w:val="CharPartText"/>
        </w:rPr>
        <w:t>Ratification of Agreement</w:t>
      </w:r>
      <w:bookmarkEnd w:id="11"/>
      <w:bookmarkEnd w:id="12"/>
      <w:bookmarkEnd w:id="13"/>
    </w:p>
    <w:p>
      <w:pPr>
        <w:pStyle w:val="Heading5"/>
      </w:pPr>
      <w:bookmarkStart w:id="14" w:name="_Toc130561944"/>
      <w:r>
        <w:rPr>
          <w:rStyle w:val="CharSectno"/>
        </w:rPr>
        <w:t>5</w:t>
      </w:r>
      <w:r>
        <w:t>.</w:t>
      </w:r>
      <w:r>
        <w:tab/>
        <w:t>Agreement and variation ratified and implementation authorised</w:t>
      </w:r>
      <w:bookmarkEnd w:id="14"/>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No. 24 of 2013 s. 6.]</w:t>
      </w:r>
    </w:p>
    <w:p>
      <w:pPr>
        <w:pStyle w:val="Heading2"/>
      </w:pPr>
      <w:bookmarkStart w:id="15" w:name="_Toc130550756"/>
      <w:bookmarkStart w:id="16" w:name="_Toc130551046"/>
      <w:bookmarkStart w:id="17" w:name="_Toc130561945"/>
      <w:r>
        <w:rPr>
          <w:rStyle w:val="CharPartNo"/>
        </w:rPr>
        <w:lastRenderedPageBreak/>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15"/>
      <w:bookmarkEnd w:id="16"/>
      <w:bookmarkEnd w:id="17"/>
    </w:p>
    <w:p>
      <w:pPr>
        <w:pStyle w:val="Heading5"/>
      </w:pPr>
      <w:bookmarkStart w:id="18" w:name="_Toc130561946"/>
      <w:r>
        <w:rPr>
          <w:rStyle w:val="CharSectno"/>
        </w:rPr>
        <w:t>6</w:t>
      </w:r>
      <w:r>
        <w:t>.</w:t>
      </w:r>
      <w:r>
        <w:tab/>
        <w:t>Leasing parts of reserve</w:t>
      </w:r>
      <w:bookmarkEnd w:id="18"/>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lastRenderedPageBreak/>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 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ageBreakBefore/>
        <w:spacing w:before="0"/>
      </w:pPr>
      <w:bookmarkStart w:id="19" w:name="_Toc130561947"/>
      <w:r>
        <w:rPr>
          <w:rStyle w:val="CharSectno"/>
        </w:rPr>
        <w:lastRenderedPageBreak/>
        <w:t>7</w:t>
      </w:r>
      <w:r>
        <w:t>.</w:t>
      </w:r>
      <w:r>
        <w:tab/>
        <w:t>Licences affecting reserve</w:t>
      </w:r>
      <w:bookmarkEnd w:id="19"/>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tab/>
        <w:t>(a)</w:t>
      </w:r>
      <w:r>
        <w:tab/>
        <w:t>a licence referred to in subsection (1); and</w:t>
      </w:r>
    </w:p>
    <w:p>
      <w:pPr>
        <w:pStyle w:val="Indenta"/>
      </w:pPr>
      <w:r>
        <w:lastRenderedPageBreak/>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No. 35 of 2007 s. 90.]</w:t>
      </w:r>
    </w:p>
    <w:p>
      <w:pPr>
        <w:pStyle w:val="Heading5"/>
      </w:pPr>
      <w:bookmarkStart w:id="20" w:name="_Toc130561948"/>
      <w:r>
        <w:rPr>
          <w:rStyle w:val="CharSectno"/>
        </w:rPr>
        <w:t>8</w:t>
      </w:r>
      <w:r>
        <w:t>.</w:t>
      </w:r>
      <w:r>
        <w:tab/>
        <w:t>Easements affecting reserve</w:t>
      </w:r>
      <w:bookmarkEnd w:id="20"/>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lastRenderedPageBreak/>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21" w:name="_Toc130561949"/>
      <w:r>
        <w:rPr>
          <w:rStyle w:val="CharSectno"/>
        </w:rPr>
        <w:t>9</w:t>
      </w:r>
      <w:r>
        <w:t>.</w:t>
      </w:r>
      <w:r>
        <w:tab/>
        <w:t>No more than 332 ha in total of uncleared land to be subject of leases, licences or easements</w:t>
      </w:r>
      <w:bookmarkEnd w:id="21"/>
    </w:p>
    <w:p>
      <w:pPr>
        <w:pStyle w:val="Subsection"/>
      </w:pPr>
      <w:r>
        <w:tab/>
        <w:t>(1)</w:t>
      </w:r>
      <w:r>
        <w:tab/>
        <w:t xml:space="preserve">The total area of uncleared land made up by the parts of the reserve that are the subject of leases referred to in section 6(1), </w:t>
      </w:r>
      <w:r>
        <w:lastRenderedPageBreak/>
        <w:t>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No. 24 of 2013 s. 7.]</w:t>
      </w:r>
    </w:p>
    <w:p>
      <w:pPr>
        <w:pStyle w:val="Heading5"/>
      </w:pPr>
      <w:bookmarkStart w:id="22" w:name="_Toc130561950"/>
      <w:r>
        <w:rPr>
          <w:rStyle w:val="CharSectno"/>
        </w:rPr>
        <w:t>10</w:t>
      </w:r>
      <w:r>
        <w:t>.</w:t>
      </w:r>
      <w:r>
        <w:tab/>
        <w:t>Status and purposes of reserve not affected</w:t>
      </w:r>
      <w:bookmarkEnd w:id="22"/>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23" w:name="_Toc130550762"/>
      <w:bookmarkStart w:id="24" w:name="_Toc130551052"/>
      <w:bookmarkStart w:id="25" w:name="_Toc130561951"/>
      <w:r>
        <w:rPr>
          <w:rStyle w:val="CharPartNo"/>
        </w:rPr>
        <w:lastRenderedPageBreak/>
        <w:t>Part 4</w:t>
      </w:r>
      <w:r>
        <w:rPr>
          <w:rStyle w:val="CharDivNo"/>
        </w:rPr>
        <w:t> </w:t>
      </w:r>
      <w:r>
        <w:t>—</w:t>
      </w:r>
      <w:r>
        <w:rPr>
          <w:rStyle w:val="CharDivText"/>
        </w:rPr>
        <w:t> </w:t>
      </w:r>
      <w:r>
        <w:rPr>
          <w:rStyle w:val="CharPartText"/>
        </w:rPr>
        <w:t>Conveyance and underground disposal of carbon dioxide</w:t>
      </w:r>
      <w:bookmarkEnd w:id="23"/>
      <w:bookmarkEnd w:id="24"/>
      <w:bookmarkEnd w:id="25"/>
    </w:p>
    <w:p>
      <w:pPr>
        <w:pStyle w:val="Heading5"/>
        <w:spacing w:before="240"/>
      </w:pPr>
      <w:bookmarkStart w:id="26" w:name="_Toc130561952"/>
      <w:r>
        <w:rPr>
          <w:rStyle w:val="CharSectno"/>
        </w:rPr>
        <w:t>11</w:t>
      </w:r>
      <w:r>
        <w:t>.</w:t>
      </w:r>
      <w:r>
        <w:tab/>
      </w:r>
      <w:r>
        <w:rPr>
          <w:i/>
        </w:rPr>
        <w:t>Petroleum Pipelines Act 1969</w:t>
      </w:r>
      <w:r>
        <w:t xml:space="preserve"> applies to pipelines on Barrow Island for conveyance of carbon dioxide</w:t>
      </w:r>
      <w:bookmarkEnd w:id="26"/>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pPr>
        <w:pStyle w:val="Heading5"/>
        <w:spacing w:before="240"/>
      </w:pPr>
      <w:bookmarkStart w:id="27" w:name="_Toc130561953"/>
      <w:r>
        <w:rPr>
          <w:rStyle w:val="CharSectno"/>
        </w:rPr>
        <w:t>13</w:t>
      </w:r>
      <w:r>
        <w:t>.</w:t>
      </w:r>
      <w:r>
        <w:tab/>
        <w:t>Disposal of carbon dioxide underground</w:t>
      </w:r>
      <w:bookmarkEnd w:id="27"/>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lastRenderedPageBreak/>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lastRenderedPageBreak/>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28" w:name="_Toc130550765"/>
      <w:bookmarkStart w:id="29" w:name="_Toc130551055"/>
      <w:bookmarkStart w:id="30" w:name="_Toc130561954"/>
      <w:r>
        <w:rPr>
          <w:rStyle w:val="CharPartNo"/>
        </w:rPr>
        <w:lastRenderedPageBreak/>
        <w:t>Part 5A</w:t>
      </w:r>
      <w:r>
        <w:t> — </w:t>
      </w:r>
      <w:r>
        <w:rPr>
          <w:rStyle w:val="CharPartText"/>
        </w:rPr>
        <w:t>Indemnification by State for long</w:t>
      </w:r>
      <w:r>
        <w:rPr>
          <w:rStyle w:val="CharPartText"/>
        </w:rPr>
        <w:noBreakHyphen/>
        <w:t>term liability resulting from underground disposal of carbon dioxide</w:t>
      </w:r>
      <w:bookmarkEnd w:id="28"/>
      <w:bookmarkEnd w:id="29"/>
      <w:bookmarkEnd w:id="30"/>
    </w:p>
    <w:p>
      <w:pPr>
        <w:pStyle w:val="Footnoteheading"/>
      </w:pPr>
      <w:r>
        <w:tab/>
        <w:t>[Heading inserted: No. 13 of 2015 s. 4.]</w:t>
      </w:r>
    </w:p>
    <w:p>
      <w:pPr>
        <w:pStyle w:val="Heading5"/>
      </w:pPr>
      <w:bookmarkStart w:id="31" w:name="_Toc130561955"/>
      <w:r>
        <w:rPr>
          <w:rStyle w:val="CharSectno"/>
        </w:rPr>
        <w:t>14A</w:t>
      </w:r>
      <w:r>
        <w:t>.</w:t>
      </w:r>
      <w:r>
        <w:tab/>
        <w:t>Terms used</w:t>
      </w:r>
      <w:bookmarkEnd w:id="31"/>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lastRenderedPageBreak/>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lastRenderedPageBreak/>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lastRenderedPageBreak/>
        <w:tab/>
      </w:r>
      <w:r>
        <w:rPr>
          <w:rStyle w:val="CharDefText"/>
        </w:rPr>
        <w:t>Title Areas</w:t>
      </w:r>
      <w:r>
        <w:t xml:space="preserve"> has the meaning given in clause 1 of the Agreement.</w:t>
      </w:r>
    </w:p>
    <w:p>
      <w:pPr>
        <w:pStyle w:val="Footnotesection"/>
      </w:pPr>
      <w:r>
        <w:tab/>
        <w:t>[Section 14A inserted: No. 13 of 2015 s. 4.]</w:t>
      </w:r>
    </w:p>
    <w:p>
      <w:pPr>
        <w:pStyle w:val="Heading5"/>
      </w:pPr>
      <w:bookmarkStart w:id="32" w:name="_Toc130561956"/>
      <w:r>
        <w:rPr>
          <w:rStyle w:val="CharSectno"/>
        </w:rPr>
        <w:t>14B</w:t>
      </w:r>
      <w:r>
        <w:t>.</w:t>
      </w:r>
      <w:r>
        <w:tab/>
        <w:t>Notice that Commonwealth representative is satisfied of certain matters</w:t>
      </w:r>
      <w:bookmarkEnd w:id="32"/>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lastRenderedPageBreak/>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No. 13 of 2015 s. 4.]</w:t>
      </w:r>
    </w:p>
    <w:p>
      <w:pPr>
        <w:pStyle w:val="Heading5"/>
      </w:pPr>
      <w:bookmarkStart w:id="33" w:name="_Toc130561957"/>
      <w:r>
        <w:rPr>
          <w:rStyle w:val="CharSectno"/>
        </w:rPr>
        <w:t>14C</w:t>
      </w:r>
      <w:r>
        <w:t>.</w:t>
      </w:r>
      <w:r>
        <w:tab/>
        <w:t>Declaration of liability assumption date</w:t>
      </w:r>
      <w:bookmarkEnd w:id="33"/>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No. 13 of 2015 s. 4.]</w:t>
      </w:r>
    </w:p>
    <w:p>
      <w:pPr>
        <w:pStyle w:val="Heading5"/>
      </w:pPr>
      <w:bookmarkStart w:id="34" w:name="_Toc130561958"/>
      <w:r>
        <w:rPr>
          <w:rStyle w:val="CharSectno"/>
        </w:rPr>
        <w:t>14D</w:t>
      </w:r>
      <w:r>
        <w:t>.</w:t>
      </w:r>
      <w:r>
        <w:tab/>
        <w:t>State to indemnify</w:t>
      </w:r>
      <w:bookmarkEnd w:id="34"/>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No. 13 of 2015 s. 4.]</w:t>
      </w:r>
    </w:p>
    <w:p>
      <w:pPr>
        <w:pStyle w:val="Heading5"/>
      </w:pPr>
      <w:bookmarkStart w:id="35" w:name="_Toc130561959"/>
      <w:r>
        <w:rPr>
          <w:rStyle w:val="CharSectno"/>
        </w:rPr>
        <w:lastRenderedPageBreak/>
        <w:t>14E</w:t>
      </w:r>
      <w:r>
        <w:t>.</w:t>
      </w:r>
      <w:r>
        <w:tab/>
        <w:t>Payment under indemnity and appropriation</w:t>
      </w:r>
      <w:bookmarkEnd w:id="35"/>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No. 13 of 2015 s. 4.]</w:t>
      </w:r>
    </w:p>
    <w:p>
      <w:pPr>
        <w:pStyle w:val="Heading5"/>
      </w:pPr>
      <w:bookmarkStart w:id="36" w:name="_Toc130561960"/>
      <w:r>
        <w:rPr>
          <w:rStyle w:val="CharSectno"/>
        </w:rPr>
        <w:t>14F</w:t>
      </w:r>
      <w:r>
        <w:t>.</w:t>
      </w:r>
      <w:r>
        <w:tab/>
        <w:t>Disclosure of information to Commonwealth representative</w:t>
      </w:r>
      <w:bookmarkEnd w:id="36"/>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No. 13 of 2015 s. 4.]</w:t>
      </w:r>
    </w:p>
    <w:p>
      <w:pPr>
        <w:pStyle w:val="Heading2"/>
      </w:pPr>
      <w:bookmarkStart w:id="37" w:name="_Toc130550772"/>
      <w:bookmarkStart w:id="38" w:name="_Toc130551062"/>
      <w:bookmarkStart w:id="39" w:name="_Toc130561961"/>
      <w:r>
        <w:rPr>
          <w:rStyle w:val="CharPartNo"/>
        </w:rPr>
        <w:lastRenderedPageBreak/>
        <w:t>Part 5</w:t>
      </w:r>
      <w:r>
        <w:rPr>
          <w:rStyle w:val="CharDivNo"/>
        </w:rPr>
        <w:t> </w:t>
      </w:r>
      <w:r>
        <w:t>—</w:t>
      </w:r>
      <w:r>
        <w:rPr>
          <w:rStyle w:val="CharDivText"/>
        </w:rPr>
        <w:t> </w:t>
      </w:r>
      <w:r>
        <w:rPr>
          <w:rStyle w:val="CharPartText"/>
        </w:rPr>
        <w:t>Miscellaneous</w:t>
      </w:r>
      <w:bookmarkEnd w:id="37"/>
      <w:bookmarkEnd w:id="38"/>
      <w:bookmarkEnd w:id="39"/>
    </w:p>
    <w:p>
      <w:pPr>
        <w:pStyle w:val="Heading5"/>
      </w:pPr>
      <w:bookmarkStart w:id="40" w:name="_Toc130561962"/>
      <w:r>
        <w:rPr>
          <w:rStyle w:val="CharSectno"/>
        </w:rPr>
        <w:t>14</w:t>
      </w:r>
      <w:r>
        <w:t>.</w:t>
      </w:r>
      <w:r>
        <w:tab/>
        <w:t>Requirement to obtain authorisations under other laws not affected</w:t>
      </w:r>
      <w:bookmarkEnd w:id="40"/>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41" w:name="_Toc130561963"/>
      <w:r>
        <w:rPr>
          <w:rStyle w:val="CharSectno"/>
        </w:rPr>
        <w:t>15</w:t>
      </w:r>
      <w:r>
        <w:t>.</w:t>
      </w:r>
      <w:r>
        <w:tab/>
        <w:t>Limitations on gas processing projects on Barrow Island</w:t>
      </w:r>
      <w:bookmarkEnd w:id="41"/>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42" w:name="_Toc130561964"/>
      <w:r>
        <w:rPr>
          <w:rStyle w:val="CharSectno"/>
        </w:rPr>
        <w:lastRenderedPageBreak/>
        <w:t>16</w:t>
      </w:r>
      <w:r>
        <w:t>.</w:t>
      </w:r>
      <w:r>
        <w:tab/>
        <w:t>Land used for gas processing project purpose is rateable land</w:t>
      </w:r>
      <w:bookmarkEnd w:id="42"/>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43" w:name="_Toc130561965"/>
      <w:r>
        <w:rPr>
          <w:rStyle w:val="CharSectno"/>
        </w:rPr>
        <w:t>17A</w:t>
      </w:r>
      <w:r>
        <w:t>.</w:t>
      </w:r>
      <w:r>
        <w:tab/>
        <w:t>Protection from liability for wrongdoing</w:t>
      </w:r>
      <w:bookmarkEnd w:id="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No. 13 of 2015 s. 5.]</w:t>
      </w:r>
    </w:p>
    <w:p>
      <w:pPr>
        <w:pStyle w:val="Heading5"/>
      </w:pPr>
      <w:bookmarkStart w:id="44" w:name="_Toc130561966"/>
      <w:r>
        <w:rPr>
          <w:rStyle w:val="CharSectno"/>
        </w:rPr>
        <w:t>17</w:t>
      </w:r>
      <w:r>
        <w:t>.</w:t>
      </w:r>
      <w:r>
        <w:tab/>
        <w:t>Regulations</w:t>
      </w:r>
      <w:bookmarkEnd w:id="4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 w:name="_Toc130561967"/>
      <w:r>
        <w:rPr>
          <w:rStyle w:val="CharSectno"/>
        </w:rPr>
        <w:t>18</w:t>
      </w:r>
      <w:r>
        <w:t>.</w:t>
      </w:r>
      <w:r>
        <w:tab/>
        <w:t>Review of Act on cessation of Agreement</w:t>
      </w:r>
      <w:bookmarkEnd w:id="45"/>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w:t>
      </w:r>
      <w:r>
        <w:lastRenderedPageBreak/>
        <w:t xml:space="preserve">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130550779"/>
      <w:bookmarkStart w:id="47" w:name="_Toc130551069"/>
      <w:bookmarkStart w:id="48" w:name="_Toc130561968"/>
      <w:r>
        <w:rPr>
          <w:rStyle w:val="CharSchNo"/>
        </w:rPr>
        <w:lastRenderedPageBreak/>
        <w:t>Schedule 1</w:t>
      </w:r>
      <w:r>
        <w:t xml:space="preserve"> — </w:t>
      </w:r>
      <w:r>
        <w:rPr>
          <w:rStyle w:val="CharSchText"/>
        </w:rPr>
        <w:t>Gorgon Gas Processing and Infrastructure Project Agreement</w:t>
      </w:r>
      <w:bookmarkEnd w:id="46"/>
      <w:bookmarkEnd w:id="47"/>
      <w:bookmarkEnd w:id="48"/>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lastRenderedPageBreak/>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lastRenderedPageBreak/>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lastRenderedPageBreak/>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tab/>
        <w:t>“</w:t>
      </w:r>
      <w:r>
        <w:rPr>
          <w:b/>
        </w:rPr>
        <w:t>Minister</w:t>
      </w:r>
      <w:r>
        <w:t xml:space="preserve">” means the Minister in the Government of the State for the time being responsible for the administration of the Act to ratify this </w:t>
      </w:r>
      <w:r>
        <w:lastRenderedPageBreak/>
        <w:t>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pPr>
        <w:pStyle w:val="yMiscellaneousBody"/>
        <w:tabs>
          <w:tab w:val="left" w:pos="709"/>
        </w:tabs>
        <w:ind w:left="709" w:hanging="709"/>
      </w:pPr>
      <w:r>
        <w:lastRenderedPageBreak/>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lastRenderedPageBreak/>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 xml:space="preserve">The Joint Venturers shall continue their field and office geological, geotechnical, engineering, environmental, social impact, heritage, marketing and finance studies and </w:t>
      </w:r>
      <w:r>
        <w:lastRenderedPageBreak/>
        <w:t>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lastRenderedPageBreak/>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lastRenderedPageBreak/>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lastRenderedPageBreak/>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 xml:space="preserve">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w:t>
      </w:r>
      <w:r>
        <w:lastRenderedPageBreak/>
        <w:t>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lastRenderedPageBreak/>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 xml:space="preserve">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w:t>
      </w:r>
      <w:r>
        <w:lastRenderedPageBreak/>
        <w:t>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 xml:space="preserve">defer consideration of or decision upon the same until such time as the Joint Venturers submit a further proposal or proposals in respect of some other of the </w:t>
      </w:r>
      <w:r>
        <w:lastRenderedPageBreak/>
        <w:t>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 xml:space="preserve">where a proposal is to be assessed under section 40(1)(b) of the EP Act the Minister shall give notice to the Joint Venturers of his decision in respect to the proposal within 2 months after the later happening of the receipt of the proposal and the </w:t>
      </w:r>
      <w:r>
        <w:lastRenderedPageBreak/>
        <w:t>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 xml:space="preserve">if by the award the dispute is decided against the Joint Venturers then, unless the Joint Venturers within 3 months after delivery of the award give notice to the Minister of their acceptance of the award, this Agreement shall on the expiration of that period of </w:t>
      </w:r>
      <w:r>
        <w:lastRenderedPageBreak/>
        <w:t>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 xml:space="preserve">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w:t>
      </w:r>
      <w:r>
        <w:lastRenderedPageBreak/>
        <w:t>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 xml:space="preserve">Each instalment under subclause (1) shall be adjusted immediately prior to payment in accordance with the following formula (unless the adjustment would result in a reduction in the instalment) and the Joint Venturers shall </w:t>
      </w:r>
      <w:r>
        <w:lastRenderedPageBreak/>
        <w:t>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 xml:space="preserve">The special purpose trust account under subclause (2) shall be established pursuant to section 69 of the CALM Act and shall be subject to arrangements for governance, consultation and </w:t>
      </w:r>
      <w:r>
        <w:lastRenderedPageBreak/>
        <w:t>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 xml:space="preserve">reasonably required by DCLM to maintain a permanent management presence on Barrow Island for the purpose of managing the Project’s presence in relation to island and marine conservation and to carry out its role and responsibility </w:t>
      </w:r>
      <w:r>
        <w:lastRenderedPageBreak/>
        <w:t>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49" w:name="Temp"/>
      <w:bookmarkEnd w:id="49"/>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 xml:space="preserve">The Joint Venturers shall prior to receiving approval of their complete detailed proposals under clause 7 make arrangements with the BI Lessee satisfactory to the Minister, in consultation with the CALM Act Minister, to form and </w:t>
      </w:r>
      <w:r>
        <w:lastRenderedPageBreak/>
        <w:t>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lastRenderedPageBreak/>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 xml:space="preserve">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t>
      </w:r>
      <w:r>
        <w:lastRenderedPageBreak/>
        <w:t>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lastRenderedPageBreak/>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 xml:space="preserve">Except as otherwise agreed by the Minister the Joint Venturers shall in every contract entered into with a third party for the </w:t>
      </w:r>
      <w:r>
        <w:lastRenderedPageBreak/>
        <w:t>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 xml:space="preserve">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w:t>
      </w:r>
      <w:r>
        <w:lastRenderedPageBreak/>
        <w:t>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lastRenderedPageBreak/>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 xml:space="preserve">The Joint Venturers shall submit to the Minister by 31 December 2010 proposals for the establishment of a Domgas Project by 31 December 2012, including design features to enable the progressive expansion of the connection(s) to deliver at least 300 terajoules (“TJ”) per day </w:t>
      </w:r>
      <w:r>
        <w:lastRenderedPageBreak/>
        <w:t>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 xml:space="preserve">If the Joint Venturers anticipate a need to extend the dates referred to in subclause (2), or to further extend any later dates previously agreed by the Minister, they shall consult with the Minister and then, at least 90 days after such consultations </w:t>
      </w:r>
      <w:r>
        <w:lastRenderedPageBreak/>
        <w:t>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lastRenderedPageBreak/>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 xml:space="preserve">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w:t>
      </w:r>
      <w:r>
        <w:lastRenderedPageBreak/>
        <w:t>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 xml:space="preserve">A Domgas Project can not be claimed to be not Commercially Viable only because of an unwillingness by the Joint Venturers to acquire or to </w:t>
      </w:r>
      <w:r>
        <w:lastRenderedPageBreak/>
        <w:t>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 xml:space="preserve">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w:t>
      </w:r>
      <w:r>
        <w:lastRenderedPageBreak/>
        <w:t>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 xml:space="preserve">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w:t>
      </w:r>
      <w:r>
        <w:lastRenderedPageBreak/>
        <w:t>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 xml:space="preserve">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w:t>
      </w:r>
      <w:r>
        <w:lastRenderedPageBreak/>
        <w:t>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 xml:space="preserve">the Joint Venturers or any of them goes into liquidation (other than a voluntary liquidation for the purpose of reconstruction) and unless within 3 months from the date of such liquidation the interest of the Joint Venturers is assigned to another Joint Venturer </w:t>
      </w:r>
      <w:r>
        <w:lastRenderedPageBreak/>
        <w:t>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 xml:space="preserve">For the purposes of this clause, remediation of defaults may with the approval of the Minister include one or both of </w:t>
      </w:r>
      <w:r>
        <w:lastRenderedPageBreak/>
        <w:t>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 xml:space="preserve">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w:t>
      </w:r>
      <w:r>
        <w:lastRenderedPageBreak/>
        <w:t>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lastRenderedPageBreak/>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 xml:space="preserve">way water right or easement of any </w:t>
      </w:r>
      <w:r>
        <w:lastRenderedPageBreak/>
        <w:t>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lastRenderedPageBreak/>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ageBreakBefore/>
              <w:spacing w:before="0"/>
            </w:pPr>
            <w:r>
              <w:lastRenderedPageBreak/>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ubsection"/>
      </w:pPr>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lastRenderedPageBreak/>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50" w:name="_Toc130550780"/>
      <w:bookmarkStart w:id="51" w:name="_Toc130551070"/>
      <w:bookmarkStart w:id="52" w:name="_Toc130561969"/>
      <w:r>
        <w:rPr>
          <w:rStyle w:val="CharSchNo"/>
        </w:rPr>
        <w:lastRenderedPageBreak/>
        <w:t>Schedule 2</w:t>
      </w:r>
      <w:r>
        <w:t> — </w:t>
      </w:r>
      <w:r>
        <w:rPr>
          <w:rStyle w:val="CharSchText"/>
        </w:rPr>
        <w:t>2013 variation agreement</w:t>
      </w:r>
      <w:bookmarkEnd w:id="50"/>
      <w:bookmarkEnd w:id="51"/>
      <w:bookmarkEnd w:id="52"/>
    </w:p>
    <w:p>
      <w:pPr>
        <w:pStyle w:val="yShoulderClause"/>
      </w:pPr>
      <w:r>
        <w:t>[s. 3]</w:t>
      </w:r>
    </w:p>
    <w:p>
      <w:pPr>
        <w:pStyle w:val="yFootnoteheading"/>
      </w:pPr>
      <w:r>
        <w:tab/>
        <w:t>[Heading inserted: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lastRenderedPageBreak/>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 xml:space="preserve">ABN 94 140 107 464 of Level 22, St Martins Tower, </w:t>
      </w:r>
      <w:r>
        <w:lastRenderedPageBreak/>
        <w:t>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lastRenderedPageBreak/>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lastRenderedPageBreak/>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lastRenderedPageBreak/>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lastRenderedPageBreak/>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130551071"/>
      <w:bookmarkStart w:id="55" w:name="_Toc130561970"/>
      <w:bookmarkStart w:id="56" w:name="_Toc130550783"/>
      <w:r>
        <w:lastRenderedPageBreak/>
        <w:t>Notes</w:t>
      </w:r>
      <w:bookmarkEnd w:id="54"/>
      <w:bookmarkEnd w:id="55"/>
    </w:p>
    <w:p>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 w:name="_Toc130561971"/>
      <w:r>
        <w:t>Compilation table</w:t>
      </w:r>
      <w:bookmarkEnd w:id="5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noProof/>
                <w:snapToGrid w:val="0"/>
              </w:rPr>
              <w:t>Barrow Island Act 2003</w:t>
            </w:r>
            <w:r>
              <w:rPr>
                <w:noProof/>
                <w:snapToGrid w:val="0"/>
                <w:vertAlign w:val="superscript"/>
              </w:rPr>
              <w:t> 1</w:t>
            </w:r>
          </w:p>
        </w:tc>
        <w:tc>
          <w:tcPr>
            <w:tcW w:w="1134" w:type="dxa"/>
          </w:tcPr>
          <w:p>
            <w:pPr>
              <w:pStyle w:val="nTable"/>
              <w:spacing w:after="40"/>
            </w:pPr>
            <w:r>
              <w:t>61 of 2003</w:t>
            </w:r>
          </w:p>
        </w:tc>
        <w:tc>
          <w:tcPr>
            <w:tcW w:w="1134" w:type="dxa"/>
          </w:tcPr>
          <w:p>
            <w:pPr>
              <w:pStyle w:val="nTable"/>
              <w:spacing w:after="40"/>
            </w:pPr>
            <w:r>
              <w:t>20 Nov 2003</w:t>
            </w:r>
          </w:p>
        </w:tc>
        <w:tc>
          <w:tcPr>
            <w:tcW w:w="2552" w:type="dxa"/>
          </w:tcPr>
          <w:p>
            <w:pPr>
              <w:pStyle w:val="nTable"/>
              <w:spacing w:after="40"/>
            </w:pPr>
            <w:r>
              <w:t>Act other than s. 12: 20 Nov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rPr>
                <w:i/>
                <w:iCs/>
              </w:rPr>
            </w:pPr>
            <w:r>
              <w:t xml:space="preserve">28 Mar 2007 (see s. 2 and </w:t>
            </w:r>
            <w:r>
              <w:rPr>
                <w:i/>
                <w:iCs/>
              </w:rPr>
              <w:t xml:space="preserve">Gazette </w:t>
            </w:r>
            <w:r>
              <w:t>27 Mar 2007 p. 1405)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2" w:type="dxa"/>
          </w:tcPr>
          <w:p>
            <w:pPr>
              <w:pStyle w:val="nTable"/>
              <w:spacing w:after="40"/>
              <w:rPr>
                <w:i/>
              </w:rPr>
            </w:pPr>
            <w:r>
              <w:t>s. 1 and 2: 18 Dec 2013 (see s. 2(a));</w:t>
            </w:r>
            <w:r>
              <w:br/>
              <w:t>Act other than s. 1 and 2: 19 Dec 2013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2" w:type="dxa"/>
          </w:tcPr>
          <w:p>
            <w:pPr>
              <w:pStyle w:val="nTable"/>
              <w:spacing w:after="40"/>
            </w:pPr>
            <w:r>
              <w:t>s. 5: 20 Nov 2003 (see s. 2(b));</w:t>
            </w:r>
            <w:r>
              <w:br/>
              <w:t>s. 1 and 2: 8 May 2015 (see s. 2(a));</w:t>
            </w:r>
            <w:r>
              <w:br/>
              <w:t>Act other than s. 1, 2 and 5: 9 May 2015 (see s. 2(c))</w:t>
            </w:r>
          </w:p>
        </w:tc>
      </w:tr>
      <w:tr>
        <w:tblPrEx>
          <w:tblBorders>
            <w:top w:val="none" w:sz="0" w:space="0" w:color="auto"/>
            <w:bottom w:val="none" w:sz="0" w:space="0" w:color="auto"/>
            <w:insideH w:val="none" w:sz="0" w:space="0" w:color="auto"/>
          </w:tblBorders>
        </w:tblPrEx>
        <w:tc>
          <w:tcPr>
            <w:tcW w:w="7088" w:type="dxa"/>
            <w:gridSpan w:val="4"/>
            <w:tcBorders>
              <w:bottom w:val="single" w:sz="8" w:space="0" w:color="auto"/>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bl>
    <w:p>
      <w:pPr>
        <w:pStyle w:val="nHeading3"/>
      </w:pPr>
      <w:bookmarkStart w:id="58" w:name="_Toc130561972"/>
      <w:r>
        <w:t>Uncommenced provisions table</w:t>
      </w:r>
      <w:bookmarkEnd w:id="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1</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Pr>
        <w:pStyle w:val="nHeading3"/>
      </w:pPr>
      <w:bookmarkStart w:id="59" w:name="_Toc130561973"/>
      <w:r>
        <w:lastRenderedPageBreak/>
        <w:t>Other notes</w:t>
      </w:r>
      <w:bookmarkEnd w:id="59"/>
    </w:p>
    <w:p>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1" w:name="_Toc130551075"/>
      <w:bookmarkStart w:id="62" w:name="_Toc130561974"/>
      <w:r>
        <w:rPr>
          <w:sz w:val="28"/>
        </w:rPr>
        <w:lastRenderedPageBreak/>
        <w:t>Defined terms</w:t>
      </w:r>
      <w:bookmarkEnd w:id="56"/>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CO2</w:t>
      </w:r>
      <w:r>
        <w:tab/>
        <w:t>14A</w:t>
      </w:r>
    </w:p>
    <w:p>
      <w:pPr>
        <w:pStyle w:val="DefinedTerms"/>
      </w:pPr>
      <w:r>
        <w:t>CO2 disposal management plan</w:t>
      </w:r>
      <w:r>
        <w:tab/>
        <w:t>14A</w:t>
      </w:r>
    </w:p>
    <w:p>
      <w:pPr>
        <w:pStyle w:val="DefinedTerms"/>
      </w:pPr>
      <w:r>
        <w:t>CO2 injection cessation date</w:t>
      </w:r>
      <w:r>
        <w:tab/>
        <w:t>14A</w:t>
      </w:r>
    </w:p>
    <w:p>
      <w:pPr>
        <w:pStyle w:val="DefinedTerms"/>
      </w:pPr>
      <w:r>
        <w:t>CO2 injection operations</w:t>
      </w:r>
      <w:r>
        <w:tab/>
        <w:t>14A</w:t>
      </w:r>
    </w:p>
    <w:p>
      <w:pPr>
        <w:pStyle w:val="DefinedTerms"/>
      </w:pPr>
      <w:r>
        <w:t>CO2 injection site closure notice</w:t>
      </w:r>
      <w:r>
        <w:tab/>
        <w:t>14A</w:t>
      </w:r>
    </w:p>
    <w:p>
      <w:pPr>
        <w:pStyle w:val="DefinedTerms"/>
      </w:pPr>
      <w:r>
        <w:t>collateral deed</w:t>
      </w:r>
      <w:r>
        <w:tab/>
        <w:t>14A</w:t>
      </w:r>
    </w:p>
    <w:p>
      <w:pPr>
        <w:pStyle w:val="DefinedTerms"/>
      </w:pPr>
      <w:r>
        <w:t>common law liability</w:t>
      </w:r>
      <w:r>
        <w:tab/>
        <w:t>14A</w:t>
      </w:r>
    </w:p>
    <w:p>
      <w:pPr>
        <w:pStyle w:val="DefinedTerms"/>
      </w:pPr>
      <w:r>
        <w:t>Commonwealth representative</w:t>
      </w:r>
      <w:r>
        <w:tab/>
        <w:t>14A</w:t>
      </w:r>
    </w:p>
    <w:p>
      <w:pPr>
        <w:pStyle w:val="DefinedTerms"/>
      </w:pPr>
      <w:r>
        <w:t>formation</w:t>
      </w:r>
      <w:r>
        <w:tab/>
        <w:t>14A</w:t>
      </w:r>
    </w:p>
    <w:p>
      <w:pPr>
        <w:pStyle w:val="DefinedTerms"/>
      </w:pPr>
      <w:r>
        <w:t>gas</w:t>
      </w:r>
      <w:r>
        <w:tab/>
        <w:t>3</w:t>
      </w:r>
    </w:p>
    <w:p>
      <w:pPr>
        <w:pStyle w:val="DefinedTerms"/>
      </w:pPr>
      <w:r>
        <w:t>gas processing project purpose</w:t>
      </w:r>
      <w:r>
        <w:tab/>
        <w:t>3</w:t>
      </w:r>
    </w:p>
    <w:p>
      <w:pPr>
        <w:pStyle w:val="DefinedTerms"/>
      </w:pPr>
      <w:r>
        <w:t>Gorgon CO2</w:t>
      </w:r>
      <w:r>
        <w:tab/>
        <w:t>14A</w:t>
      </w:r>
    </w:p>
    <w:p>
      <w:pPr>
        <w:pStyle w:val="DefinedTerms"/>
      </w:pPr>
      <w:r>
        <w:t>Greater Gorgon Area</w:t>
      </w:r>
      <w:r>
        <w:tab/>
        <w:t>14A</w:t>
      </w:r>
    </w:p>
    <w:p>
      <w:pPr>
        <w:pStyle w:val="DefinedTerms"/>
      </w:pPr>
      <w:r>
        <w:t>holding company</w:t>
      </w:r>
      <w:r>
        <w:tab/>
        <w:t>14A</w:t>
      </w:r>
    </w:p>
    <w:p>
      <w:pPr>
        <w:pStyle w:val="DefinedTerms"/>
      </w:pPr>
      <w:r>
        <w:t>independent third party</w:t>
      </w:r>
      <w:r>
        <w:tab/>
        <w:t>14A</w:t>
      </w:r>
    </w:p>
    <w:p>
      <w:pPr>
        <w:pStyle w:val="DefinedTerms"/>
      </w:pPr>
      <w:r>
        <w:t>Joint Venturers</w:t>
      </w:r>
      <w:r>
        <w:tab/>
        <w:t>14A</w:t>
      </w:r>
    </w:p>
    <w:p>
      <w:pPr>
        <w:pStyle w:val="DefinedTerms"/>
      </w:pPr>
      <w:r>
        <w:t>LA Act</w:t>
      </w:r>
      <w:r>
        <w:tab/>
        <w:t>3</w:t>
      </w:r>
    </w:p>
    <w:p>
      <w:pPr>
        <w:pStyle w:val="DefinedTerms"/>
      </w:pPr>
      <w:r>
        <w:t>LA Act Minister</w:t>
      </w:r>
      <w:r>
        <w:tab/>
        <w:t>3</w:t>
      </w:r>
    </w:p>
    <w:p>
      <w:pPr>
        <w:pStyle w:val="DefinedTerms"/>
      </w:pPr>
      <w:r>
        <w:t>leakage</w:t>
      </w:r>
      <w:r>
        <w:tab/>
        <w:t>14A</w:t>
      </w:r>
    </w:p>
    <w:p>
      <w:pPr>
        <w:pStyle w:val="DefinedTerms"/>
      </w:pPr>
      <w:r>
        <w:t>liability assumption date</w:t>
      </w:r>
      <w:r>
        <w:tab/>
        <w:t>14A</w:t>
      </w:r>
    </w:p>
    <w:p>
      <w:pPr>
        <w:pStyle w:val="DefinedTerms"/>
      </w:pPr>
      <w:r>
        <w:t>Project</w:t>
      </w:r>
      <w:r>
        <w:tab/>
        <w:t>14A</w:t>
      </w:r>
    </w:p>
    <w:p>
      <w:pPr>
        <w:pStyle w:val="DefinedTerms"/>
      </w:pPr>
      <w:r>
        <w:t>related entity</w:t>
      </w:r>
      <w:r>
        <w:tab/>
        <w:t>14A</w:t>
      </w:r>
    </w:p>
    <w:p>
      <w:pPr>
        <w:pStyle w:val="DefinedTerms"/>
      </w:pPr>
      <w:r>
        <w:t>section 13 approval</w:t>
      </w:r>
      <w:r>
        <w:tab/>
        <w:t>14A</w:t>
      </w:r>
    </w:p>
    <w:p>
      <w:pPr>
        <w:pStyle w:val="DefinedTerms"/>
      </w:pPr>
      <w:r>
        <w:t>subsidiary</w:t>
      </w:r>
      <w:r>
        <w:tab/>
        <w:t>14A</w:t>
      </w:r>
    </w:p>
    <w:p>
      <w:pPr>
        <w:pStyle w:val="DefinedTerms"/>
      </w:pPr>
      <w:r>
        <w:t>the Agreement</w:t>
      </w:r>
      <w:r>
        <w:tab/>
        <w:t>3</w:t>
      </w:r>
    </w:p>
    <w:p>
      <w:pPr>
        <w:pStyle w:val="DefinedTerms"/>
      </w:pPr>
      <w:r>
        <w:t>the reserve</w:t>
      </w:r>
      <w:r>
        <w:tab/>
        <w:t>3</w:t>
      </w:r>
    </w:p>
    <w:p>
      <w:pPr>
        <w:pStyle w:val="DefinedTerms"/>
      </w:pPr>
      <w:r>
        <w:t>Title Areas</w:t>
      </w:r>
      <w:r>
        <w:tab/>
        <w:t>14A</w:t>
      </w:r>
    </w:p>
    <w:p>
      <w:pPr>
        <w:pStyle w:val="DefinedTerms"/>
      </w:pPr>
      <w:r>
        <w:t>uncleared land</w:t>
      </w:r>
      <w:r>
        <w:tab/>
        <w:t>9(2)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14418"/>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B0009-2DD1-41E0-870A-A7691167A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19814</Words>
  <Characters>98875</Characters>
  <Application>Microsoft Office Word</Application>
  <DocSecurity>0</DocSecurity>
  <Lines>2601</Lines>
  <Paragraphs>1014</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117675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2003 - 01-b0-00</dc:title>
  <dc:subject/>
  <dc:creator/>
  <cp:keywords/>
  <dc:description/>
  <cp:lastModifiedBy>Master Repository Process</cp:lastModifiedBy>
  <cp:revision>4</cp:revision>
  <cp:lastPrinted>2016-07-18T02:44:00Z</cp:lastPrinted>
  <dcterms:created xsi:type="dcterms:W3CDTF">2023-03-27T08:01:00Z</dcterms:created>
  <dcterms:modified xsi:type="dcterms:W3CDTF">2023-03-27T08:01:00Z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AsAtDate">
    <vt:lpwstr>24 Mar 2023</vt:lpwstr>
  </property>
  <property fmtid="{D5CDD505-2E9C-101B-9397-08002B2CF9AE}" pid="8" name="Suffix">
    <vt:lpwstr>01-b0-00</vt:lpwstr>
  </property>
  <property fmtid="{D5CDD505-2E9C-101B-9397-08002B2CF9AE}" pid="9" name="CommencementDate">
    <vt:lpwstr>20230324</vt:lpwstr>
  </property>
</Properties>
</file>