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_Toc141092622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Repeals and savings</w:t>
      </w:r>
      <w:r>
        <w:tab/>
      </w:r>
      <w:r>
        <w:fldChar w:fldCharType="begin"/>
      </w:r>
      <w:r>
        <w:instrText xml:space="preserve"> PAGEREF _Toc141092623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other laws etc. and this Act</w:t>
      </w:r>
      <w:r>
        <w:tab/>
      </w:r>
      <w:r>
        <w:fldChar w:fldCharType="begin"/>
      </w:r>
      <w:r>
        <w:instrText xml:space="preserve"> PAGEREF _Toc141092624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application of Act to Crown land</w:t>
      </w:r>
      <w:r>
        <w:tab/>
      </w:r>
      <w:r>
        <w:fldChar w:fldCharType="begin"/>
      </w:r>
      <w:r>
        <w:instrText xml:space="preserve"> PAGEREF _Toc141092625 \h </w:instrText>
      </w:r>
      <w:r>
        <w:fldChar w:fldCharType="separate"/>
      </w:r>
      <w:r>
        <w:t>3</w:t>
      </w:r>
      <w:r>
        <w:fldChar w:fldCharType="end"/>
      </w:r>
    </w:p>
    <w:p>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_Toc141092626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 — Officers</w:t>
      </w:r>
    </w:p>
    <w:p>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_Toc141092628 \h </w:instrText>
      </w:r>
      <w:r>
        <w:fldChar w:fldCharType="separate"/>
      </w:r>
      <w:r>
        <w:t>13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Commissioner of Titles</w:t>
      </w:r>
      <w:r>
        <w:tab/>
      </w:r>
      <w:r>
        <w:fldChar w:fldCharType="begin"/>
      </w:r>
      <w:r>
        <w:instrText xml:space="preserve"> PAGEREF _Toc141092629 \h </w:instrText>
      </w:r>
      <w:r>
        <w:fldChar w:fldCharType="separate"/>
      </w:r>
      <w:r>
        <w:t>13</w:t>
      </w:r>
      <w:r>
        <w:fldChar w:fldCharType="end"/>
      </w:r>
    </w:p>
    <w:p>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_Toc141092630 \h </w:instrText>
      </w:r>
      <w:r>
        <w:fldChar w:fldCharType="separate"/>
      </w:r>
      <w:r>
        <w:t>14</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Offices of Commissioner and Registrar may be held by one person</w:t>
      </w:r>
      <w:r>
        <w:tab/>
      </w:r>
      <w:r>
        <w:fldChar w:fldCharType="begin"/>
      </w:r>
      <w:r>
        <w:instrText xml:space="preserve"> PAGEREF _Toc141092631 \h </w:instrText>
      </w:r>
      <w:r>
        <w:fldChar w:fldCharType="separate"/>
      </w:r>
      <w:r>
        <w:t>15</w:t>
      </w:r>
      <w:r>
        <w:fldChar w:fldCharType="end"/>
      </w:r>
    </w:p>
    <w:p>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_Toc141092632 \h </w:instrText>
      </w:r>
      <w:r>
        <w:fldChar w:fldCharType="separate"/>
      </w:r>
      <w:r>
        <w:t>15</w:t>
      </w:r>
      <w:r>
        <w:fldChar w:fldCharType="end"/>
      </w:r>
    </w:p>
    <w:p>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_Toc141092633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signatures to be judicially noticed</w:t>
      </w:r>
      <w:r>
        <w:tab/>
      </w:r>
      <w:r>
        <w:fldChar w:fldCharType="begin"/>
      </w:r>
      <w:r>
        <w:instrText xml:space="preserve"> PAGEREF _Toc141092634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Seal</w:t>
      </w:r>
      <w:r>
        <w:tab/>
      </w:r>
      <w:r>
        <w:fldChar w:fldCharType="begin"/>
      </w:r>
      <w:r>
        <w:instrText xml:space="preserve"> PAGEREF _Toc141092635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Assistant Registrar’s powers</w:t>
      </w:r>
      <w:r>
        <w:tab/>
      </w:r>
      <w:r>
        <w:fldChar w:fldCharType="begin"/>
      </w:r>
      <w:r>
        <w:instrText xml:space="preserve"> PAGEREF _Toc141092636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Commissioner and Examiner of Titles not to practise law</w:t>
      </w:r>
      <w:r>
        <w:tab/>
      </w:r>
      <w:r>
        <w:fldChar w:fldCharType="begin"/>
      </w:r>
      <w:r>
        <w:instrText xml:space="preserve"> PAGEREF _Toc141092637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Oaths of office</w:t>
      </w:r>
      <w:r>
        <w:tab/>
      </w:r>
      <w:r>
        <w:fldChar w:fldCharType="begin"/>
      </w:r>
      <w:r>
        <w:instrText xml:space="preserve"> PAGEREF _Toc141092638 \h </w:instrText>
      </w:r>
      <w:r>
        <w:fldChar w:fldCharType="separate"/>
      </w:r>
      <w:r>
        <w:t>18</w:t>
      </w:r>
      <w:r>
        <w:fldChar w:fldCharType="end"/>
      </w:r>
    </w:p>
    <w:p>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_Toc141092639 \h </w:instrText>
      </w:r>
      <w:r>
        <w:fldChar w:fldCharType="separate"/>
      </w:r>
      <w:r>
        <w:t>19</w:t>
      </w:r>
      <w:r>
        <w:fldChar w:fldCharType="end"/>
      </w:r>
    </w:p>
    <w:p>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_Toc141092640 \h </w:instrText>
      </w:r>
      <w:r>
        <w:fldChar w:fldCharType="separate"/>
      </w:r>
      <w:r>
        <w:t>19</w:t>
      </w:r>
      <w:r>
        <w:fldChar w:fldCharType="end"/>
      </w:r>
    </w:p>
    <w:p>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_Toc141092641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Rules relating to surveyors</w:t>
      </w:r>
      <w:r>
        <w:tab/>
      </w:r>
      <w:r>
        <w:fldChar w:fldCharType="begin"/>
      </w:r>
      <w:r>
        <w:instrText xml:space="preserve"> PAGEREF _Toc141092642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_Toc141092643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Bringing land under the Act</w:t>
      </w:r>
    </w:p>
    <w:p>
      <w:pPr>
        <w:pStyle w:val="TOC8"/>
        <w:rPr>
          <w:rFonts w:asciiTheme="minorHAnsi" w:eastAsiaTheme="minorEastAsia" w:hAnsiTheme="minorHAnsi" w:cstheme="minorBidi"/>
          <w:szCs w:val="22"/>
        </w:rPr>
      </w:pPr>
      <w:r>
        <w:t>20</w:t>
      </w:r>
      <w:r>
        <w:rPr>
          <w:snapToGrid w:val="0"/>
        </w:rPr>
        <w:t>.</w:t>
      </w:r>
      <w:r>
        <w:rPr>
          <w:snapToGrid w:val="0"/>
        </w:rPr>
        <w:tab/>
        <w:t>Bringing lands alienated in fee before 1 July 1875 under this Act</w:t>
      </w:r>
      <w:r>
        <w:tab/>
      </w:r>
      <w:r>
        <w:fldChar w:fldCharType="begin"/>
      </w:r>
      <w:r>
        <w:instrText xml:space="preserve"> PAGEREF _Toc141092645 \h </w:instrText>
      </w:r>
      <w:r>
        <w:fldChar w:fldCharType="separate"/>
      </w:r>
      <w:r>
        <w:t>22</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Evidence and restrictions of requisitions</w:t>
      </w:r>
      <w:r>
        <w:tab/>
      </w:r>
      <w:r>
        <w:fldChar w:fldCharType="begin"/>
      </w:r>
      <w:r>
        <w:instrText xml:space="preserve"> PAGEREF _Toc141092646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application to be dealt with when no dealing has been registered</w:t>
      </w:r>
      <w:r>
        <w:tab/>
      </w:r>
      <w:r>
        <w:fldChar w:fldCharType="begin"/>
      </w:r>
      <w:r>
        <w:instrText xml:space="preserve"> PAGEREF _Toc141092647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How application to be dealt with when dealing has been registered</w:t>
      </w:r>
      <w:r>
        <w:tab/>
      </w:r>
      <w:r>
        <w:fldChar w:fldCharType="begin"/>
      </w:r>
      <w:r>
        <w:instrText xml:space="preserve"> PAGEREF _Toc141092648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Notice of application to bring land under this Act and rescission of previous directions on undue delay</w:t>
      </w:r>
      <w:r>
        <w:tab/>
      </w:r>
      <w:r>
        <w:fldChar w:fldCharType="begin"/>
      </w:r>
      <w:r>
        <w:instrText xml:space="preserve"> PAGEREF _Toc141092649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Person claiming title by possession to post notice of application on land</w:t>
      </w:r>
      <w:r>
        <w:tab/>
      </w:r>
      <w:r>
        <w:fldChar w:fldCharType="begin"/>
      </w:r>
      <w:r>
        <w:instrText xml:space="preserve"> PAGEREF _Toc141092650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Land to be brought under this Act unless caveat received</w:t>
      </w:r>
      <w:r>
        <w:tab/>
      </w:r>
      <w:r>
        <w:fldChar w:fldCharType="begin"/>
      </w:r>
      <w:r>
        <w:instrText xml:space="preserve"> PAGEREF _Toc141092651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Land occupied may be brought under this Act by different description from that in title on special application</w:t>
      </w:r>
      <w:r>
        <w:tab/>
      </w:r>
      <w:r>
        <w:fldChar w:fldCharType="begin"/>
      </w:r>
      <w:r>
        <w:instrText xml:space="preserve"> PAGEREF _Toc141092652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_Toc141092653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Title may be given to excess of land occupied under Crown grant over land described in Crown grant</w:t>
      </w:r>
      <w:r>
        <w:tab/>
      </w:r>
      <w:r>
        <w:fldChar w:fldCharType="begin"/>
      </w:r>
      <w:r>
        <w:instrText xml:space="preserve"> PAGEREF _Toc141092654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Excess of land may be apportioned between different owners or proprietors</w:t>
      </w:r>
      <w:r>
        <w:tab/>
      </w:r>
      <w:r>
        <w:fldChar w:fldCharType="begin"/>
      </w:r>
      <w:r>
        <w:instrText xml:space="preserve"> PAGEREF _Toc141092655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Parties interested may lodge caveat</w:t>
      </w:r>
      <w:r>
        <w:tab/>
      </w:r>
      <w:r>
        <w:fldChar w:fldCharType="begin"/>
      </w:r>
      <w:r>
        <w:instrText xml:space="preserve"> PAGEREF _Toc141092656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If caveat received, proceedings suspended</w:t>
      </w:r>
      <w:r>
        <w:tab/>
      </w:r>
      <w:r>
        <w:fldChar w:fldCharType="begin"/>
      </w:r>
      <w:r>
        <w:instrText xml:space="preserve"> PAGEREF _Toc141092657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Caveat to lapse unless proceedings taken within one month</w:t>
      </w:r>
      <w:r>
        <w:tab/>
      </w:r>
      <w:r>
        <w:fldChar w:fldCharType="begin"/>
      </w:r>
      <w:r>
        <w:instrText xml:space="preserve"> PAGEREF _Toc141092658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Judge may require production of title deeds in support of application to bring land under this Act</w:t>
      </w:r>
      <w:r>
        <w:tab/>
      </w:r>
      <w:r>
        <w:fldChar w:fldCharType="begin"/>
      </w:r>
      <w:r>
        <w:instrText xml:space="preserve"> PAGEREF _Toc141092659 \h </w:instrText>
      </w:r>
      <w:r>
        <w:fldChar w:fldCharType="separate"/>
      </w:r>
      <w:r>
        <w:t>30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may withdraw application</w:t>
      </w:r>
      <w:r>
        <w:tab/>
      </w:r>
      <w:r>
        <w:fldChar w:fldCharType="begin"/>
      </w:r>
      <w:r>
        <w:instrText xml:space="preserve"> PAGEREF _Toc141092660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Documents of title</w:t>
      </w:r>
      <w:r>
        <w:tab/>
      </w:r>
      <w:r>
        <w:fldChar w:fldCharType="begin"/>
      </w:r>
      <w:r>
        <w:instrText xml:space="preserve"> PAGEREF _Toc141092661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Subsisting lease to be endorsed and returned</w:t>
      </w:r>
      <w:r>
        <w:tab/>
      </w:r>
      <w:r>
        <w:fldChar w:fldCharType="begin"/>
      </w:r>
      <w:r>
        <w:instrText xml:space="preserve"> PAGEREF _Toc141092662 \h </w:instrText>
      </w:r>
      <w:r>
        <w:fldChar w:fldCharType="separate"/>
      </w:r>
      <w:r>
        <w:t>32</w:t>
      </w:r>
      <w:r>
        <w:fldChar w:fldCharType="end"/>
      </w:r>
    </w:p>
    <w:p>
      <w:pPr>
        <w:pStyle w:val="TOC8"/>
        <w:rPr>
          <w:rFonts w:asciiTheme="minorHAnsi" w:eastAsiaTheme="minorEastAsia" w:hAnsiTheme="minorHAnsi" w:cstheme="minorBidi"/>
          <w:szCs w:val="22"/>
        </w:rPr>
      </w:pPr>
      <w:r>
        <w:lastRenderedPageBreak/>
        <w:t>37</w:t>
      </w:r>
      <w:r>
        <w:rPr>
          <w:snapToGrid w:val="0"/>
        </w:rPr>
        <w:t>.</w:t>
      </w:r>
      <w:r>
        <w:rPr>
          <w:snapToGrid w:val="0"/>
        </w:rPr>
        <w:tab/>
        <w:t>Additional evidence to be scheduled</w:t>
      </w:r>
      <w:r>
        <w:tab/>
      </w:r>
      <w:r>
        <w:fldChar w:fldCharType="begin"/>
      </w:r>
      <w:r>
        <w:instrText xml:space="preserve"> PAGEREF _Toc141092663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Some certificates of title to issue in name of deceased person</w:t>
      </w:r>
      <w:r>
        <w:tab/>
      </w:r>
      <w:r>
        <w:fldChar w:fldCharType="begin"/>
      </w:r>
      <w:r>
        <w:instrText xml:space="preserve"> PAGEREF _Toc141092664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Registration of leaseholds</w:t>
      </w:r>
      <w:r>
        <w:tab/>
      </w:r>
      <w:r>
        <w:fldChar w:fldCharType="begin"/>
      </w:r>
      <w:r>
        <w:instrText xml:space="preserve"> PAGEREF _Toc141092665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Production of lease may be dispensed with on bringing land under this Act</w:t>
      </w:r>
      <w:r>
        <w:tab/>
      </w:r>
      <w:r>
        <w:fldChar w:fldCharType="begin"/>
      </w:r>
      <w:r>
        <w:instrText xml:space="preserve"> PAGEREF _Toc141092666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Certain memorials to be sufficient evidence of conveyances in fee</w:t>
      </w:r>
      <w:r>
        <w:tab/>
      </w:r>
      <w:r>
        <w:fldChar w:fldCharType="begin"/>
      </w:r>
      <w:r>
        <w:instrText xml:space="preserve"> PAGEREF _Toc141092667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Commissioner may direct Registrar to bring land under this Act</w:t>
      </w:r>
      <w:r>
        <w:tab/>
      </w:r>
      <w:r>
        <w:fldChar w:fldCharType="begin"/>
      </w:r>
      <w:r>
        <w:instrText xml:space="preserve"> PAGEREF _Toc141092668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Title to land sold under order or decree may be deemed sufficient</w:t>
      </w:r>
      <w:r>
        <w:tab/>
      </w:r>
      <w:r>
        <w:fldChar w:fldCharType="begin"/>
      </w:r>
      <w:r>
        <w:instrText xml:space="preserve"> PAGEREF _Toc141092669 \h </w:instrText>
      </w:r>
      <w:r>
        <w:fldChar w:fldCharType="separate"/>
      </w:r>
      <w:r>
        <w:t>34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Formalities of order</w:t>
      </w:r>
      <w:r>
        <w:tab/>
      </w:r>
      <w:r>
        <w:fldChar w:fldCharType="begin"/>
      </w:r>
      <w:r>
        <w:instrText xml:space="preserve"> PAGEREF _Toc141092670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pPr>
        <w:pStyle w:val="TOC8"/>
        <w:rPr>
          <w:rFonts w:asciiTheme="minorHAnsi" w:eastAsiaTheme="minorEastAsia" w:hAnsiTheme="minorHAnsi" w:cstheme="minorBidi"/>
          <w:szCs w:val="22"/>
        </w:rPr>
      </w:pPr>
      <w:r>
        <w:t>48</w:t>
      </w:r>
      <w:r>
        <w:rPr>
          <w:snapToGrid w:val="0"/>
        </w:rPr>
        <w:t>.</w:t>
      </w:r>
      <w:r>
        <w:rPr>
          <w:snapToGrid w:val="0"/>
        </w:rPr>
        <w:tab/>
        <w:t>Register</w:t>
      </w:r>
      <w:r>
        <w:tab/>
      </w:r>
      <w:r>
        <w:fldChar w:fldCharType="begin"/>
      </w:r>
      <w:r>
        <w:instrText xml:space="preserve"> PAGEREF _Toc141092672 \h </w:instrText>
      </w:r>
      <w:r>
        <w:fldChar w:fldCharType="separate"/>
      </w:r>
      <w:r>
        <w:t>36</w:t>
      </w:r>
      <w:r>
        <w:fldChar w:fldCharType="end"/>
      </w:r>
    </w:p>
    <w:p>
      <w:pPr>
        <w:pStyle w:val="TOC8"/>
        <w:rPr>
          <w:rFonts w:asciiTheme="minorHAnsi" w:eastAsiaTheme="minorEastAsia" w:hAnsiTheme="minorHAnsi" w:cstheme="minorBidi"/>
          <w:szCs w:val="22"/>
        </w:rPr>
      </w:pPr>
      <w:r>
        <w:rPr>
          <w:rFonts w:ascii="Times" w:hAnsi="Times"/>
        </w:rPr>
        <w:t>48A</w:t>
      </w:r>
      <w:r>
        <w:rPr>
          <w:rFonts w:ascii="Times" w:hAnsi="Times"/>
          <w:snapToGrid w:val="0"/>
        </w:rPr>
        <w:t>.</w:t>
      </w:r>
      <w:r>
        <w:rPr>
          <w:rFonts w:ascii="Times" w:hAnsi="Times"/>
          <w:snapToGrid w:val="0"/>
        </w:rPr>
        <w:tab/>
        <w:t>Certificates of title</w:t>
      </w:r>
      <w:r>
        <w:tab/>
      </w:r>
      <w:r>
        <w:fldChar w:fldCharType="begin"/>
      </w:r>
      <w:r>
        <w:instrText xml:space="preserve"> PAGEREF _Toc141092673 \h </w:instrText>
      </w:r>
      <w:r>
        <w:fldChar w:fldCharType="separate"/>
      </w:r>
      <w:r>
        <w:t>37</w:t>
      </w:r>
      <w:r>
        <w:fldChar w:fldCharType="end"/>
      </w:r>
    </w:p>
    <w:p>
      <w:pPr>
        <w:pStyle w:val="TOC8"/>
        <w:rPr>
          <w:rFonts w:asciiTheme="minorHAnsi" w:eastAsiaTheme="minorEastAsia" w:hAnsiTheme="minorHAnsi" w:cstheme="minorBidi"/>
          <w:szCs w:val="22"/>
        </w:rPr>
      </w:pPr>
      <w:r>
        <w:rPr>
          <w:rFonts w:ascii="Times" w:hAnsi="Times"/>
        </w:rPr>
        <w:t>48B</w:t>
      </w:r>
      <w:r>
        <w:rPr>
          <w:rFonts w:ascii="Times" w:hAnsi="Times"/>
          <w:snapToGrid w:val="0"/>
        </w:rPr>
        <w:t>.</w:t>
      </w:r>
      <w:r>
        <w:rPr>
          <w:rFonts w:ascii="Times" w:hAnsi="Times"/>
          <w:snapToGrid w:val="0"/>
        </w:rPr>
        <w:tab/>
        <w:t>Duplicate certificates of title</w:t>
      </w:r>
      <w:r>
        <w:tab/>
      </w:r>
      <w:r>
        <w:fldChar w:fldCharType="begin"/>
      </w:r>
      <w:r>
        <w:instrText xml:space="preserve"> PAGEREF _Toc141092674 \h </w:instrText>
      </w:r>
      <w:r>
        <w:fldChar w:fldCharType="separate"/>
      </w:r>
      <w:r>
        <w:t>38</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Symbols</w:t>
      </w:r>
      <w:r>
        <w:tab/>
      </w:r>
      <w:r>
        <w:fldChar w:fldCharType="begin"/>
      </w:r>
      <w:r>
        <w:instrText xml:space="preserve"> PAGEREF _Toc141092675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One certificate may be created for lands not contiguous</w:t>
      </w:r>
      <w:r>
        <w:tab/>
      </w:r>
      <w:r>
        <w:fldChar w:fldCharType="begin"/>
      </w:r>
      <w:r>
        <w:instrText xml:space="preserve"> PAGEREF _Toc141092676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Area of land need not be mentioned in certificate</w:t>
      </w:r>
      <w:r>
        <w:tab/>
      </w:r>
      <w:r>
        <w:fldChar w:fldCharType="begin"/>
      </w:r>
      <w:r>
        <w:instrText xml:space="preserve"> PAGEREF _Toc141092677 \h </w:instrText>
      </w:r>
      <w:r>
        <w:fldChar w:fldCharType="separate"/>
      </w:r>
      <w:r>
        <w:t>40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Registration of certificates of title and instruments</w:t>
      </w:r>
      <w:r>
        <w:tab/>
      </w:r>
      <w:r>
        <w:fldChar w:fldCharType="begin"/>
      </w:r>
      <w:r>
        <w:instrText xml:space="preserve"> PAGEREF _Toc141092678 \h </w:instrText>
      </w:r>
      <w:r>
        <w:fldChar w:fldCharType="separate"/>
      </w:r>
      <w:r>
        <w:t>40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Priority of registration of instruments</w:t>
      </w:r>
      <w:r>
        <w:tab/>
      </w:r>
      <w:r>
        <w:fldChar w:fldCharType="begin"/>
      </w:r>
      <w:r>
        <w:instrText xml:space="preserve"> PAGEREF _Toc141092679 \h </w:instrText>
      </w:r>
      <w:r>
        <w:fldChar w:fldCharType="separate"/>
      </w:r>
      <w:r>
        <w:t>41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Incorporation of terms etc. of certain memoranda</w:t>
      </w:r>
      <w:r>
        <w:tab/>
      </w:r>
      <w:r>
        <w:fldChar w:fldCharType="begin"/>
      </w:r>
      <w:r>
        <w:instrText xml:space="preserve"> PAGEREF _Toc141092680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Trusts</w:t>
      </w:r>
      <w:r>
        <w:tab/>
      </w:r>
      <w:r>
        <w:fldChar w:fldCharType="begin"/>
      </w:r>
      <w:r>
        <w:instrText xml:space="preserve"> PAGEREF _Toc141092681 \h </w:instrText>
      </w:r>
      <w:r>
        <w:fldChar w:fldCharType="separate"/>
      </w:r>
      <w:r>
        <w:t>43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Memorandum to state certain particulars</w:t>
      </w:r>
      <w:r>
        <w:tab/>
      </w:r>
      <w:r>
        <w:fldChar w:fldCharType="begin"/>
      </w:r>
      <w:r>
        <w:instrText xml:space="preserve"> PAGEREF _Toc141092682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Memoranda of instruments to be entered</w:t>
      </w:r>
      <w:r>
        <w:tab/>
      </w:r>
      <w:r>
        <w:fldChar w:fldCharType="begin"/>
      </w:r>
      <w:r>
        <w:instrText xml:space="preserve"> PAGEREF _Toc141092683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Instruments not effectual until registered</w:t>
      </w:r>
      <w:r>
        <w:tab/>
      </w:r>
      <w:r>
        <w:fldChar w:fldCharType="begin"/>
      </w:r>
      <w:r>
        <w:instrText xml:space="preserve"> PAGEREF _Toc141092684 \h </w:instrText>
      </w:r>
      <w:r>
        <w:fldChar w:fldCharType="separate"/>
      </w:r>
      <w:r>
        <w:t>44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Notations as to legal disability of proprietor</w:t>
      </w:r>
      <w:r>
        <w:tab/>
      </w:r>
      <w:r>
        <w:fldChar w:fldCharType="begin"/>
      </w:r>
      <w:r>
        <w:instrText xml:space="preserve"> PAGEREF _Toc141092685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Joint tenants and tenants in common</w:t>
      </w:r>
      <w:r>
        <w:tab/>
      </w:r>
      <w:r>
        <w:fldChar w:fldCharType="begin"/>
      </w:r>
      <w:r>
        <w:instrText xml:space="preserve"> PAGEREF _Toc141092686 \h </w:instrText>
      </w:r>
      <w:r>
        <w:fldChar w:fldCharType="separate"/>
      </w:r>
      <w:r>
        <w:t>45</w:t>
      </w:r>
      <w:r>
        <w:fldChar w:fldCharType="end"/>
      </w:r>
    </w:p>
    <w:p>
      <w:pPr>
        <w:pStyle w:val="TOC8"/>
        <w:rPr>
          <w:rFonts w:asciiTheme="minorHAnsi" w:eastAsiaTheme="minorEastAsia" w:hAnsiTheme="minorHAnsi" w:cstheme="minorBidi"/>
          <w:szCs w:val="22"/>
        </w:rPr>
      </w:pPr>
      <w:r>
        <w:t>61.</w:t>
      </w:r>
      <w:r>
        <w:tab/>
      </w:r>
      <w:r>
        <w:rPr>
          <w:snapToGrid w:val="0"/>
        </w:rPr>
        <w:t>Effect of insertion of words “no survivorship”</w:t>
      </w:r>
      <w:r>
        <w:tab/>
      </w:r>
      <w:r>
        <w:fldChar w:fldCharType="begin"/>
      </w:r>
      <w:r>
        <w:instrText xml:space="preserve"> PAGEREF _Toc141092687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Notice to be published before effect given to order</w:t>
      </w:r>
      <w:r>
        <w:tab/>
      </w:r>
      <w:r>
        <w:fldChar w:fldCharType="begin"/>
      </w:r>
      <w:r>
        <w:instrText xml:space="preserve"> PAGEREF _Toc141092688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Certificate to be conclusive evidence of title</w:t>
      </w:r>
      <w:r>
        <w:tab/>
      </w:r>
      <w:r>
        <w:fldChar w:fldCharType="begin"/>
      </w:r>
      <w:r>
        <w:instrText xml:space="preserve"> PAGEREF _Toc141092689 \h </w:instrText>
      </w:r>
      <w:r>
        <w:fldChar w:fldCharType="separate"/>
      </w:r>
      <w:r>
        <w:t>46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Certificates may contain statement of easements</w:t>
      </w:r>
      <w:r>
        <w:tab/>
      </w:r>
      <w:r>
        <w:fldChar w:fldCharType="begin"/>
      </w:r>
      <w:r>
        <w:instrText xml:space="preserve"> PAGEREF _Toc141092690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Certificate conclusive evidence as to title to easements</w:t>
      </w:r>
      <w:r>
        <w:tab/>
      </w:r>
      <w:r>
        <w:fldChar w:fldCharType="begin"/>
      </w:r>
      <w:r>
        <w:instrText xml:space="preserve"> PAGEREF _Toc141092691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Short forms etc. for easements, effect of</w:t>
      </w:r>
      <w:r>
        <w:tab/>
      </w:r>
      <w:r>
        <w:fldChar w:fldCharType="begin"/>
      </w:r>
      <w:r>
        <w:instrText xml:space="preserve"> PAGEREF _Toc141092692 \h </w:instrText>
      </w:r>
      <w:r>
        <w:fldChar w:fldCharType="separate"/>
      </w:r>
      <w:r>
        <w:t>48</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Memorandum of easement</w:t>
      </w:r>
      <w:r>
        <w:tab/>
      </w:r>
      <w:r>
        <w:fldChar w:fldCharType="begin"/>
      </w:r>
      <w:r>
        <w:instrText xml:space="preserve"> PAGEREF _Toc141092693 \h </w:instrText>
      </w:r>
      <w:r>
        <w:fldChar w:fldCharType="separate"/>
      </w:r>
      <w:r>
        <w:t>49</w:t>
      </w:r>
      <w:r>
        <w:fldChar w:fldCharType="end"/>
      </w:r>
    </w:p>
    <w:p>
      <w:pPr>
        <w:pStyle w:val="TOC8"/>
        <w:rPr>
          <w:rFonts w:asciiTheme="minorHAnsi" w:eastAsiaTheme="minorEastAsia" w:hAnsiTheme="minorHAnsi" w:cstheme="minorBidi"/>
          <w:szCs w:val="22"/>
        </w:rPr>
      </w:pPr>
      <w:r>
        <w:lastRenderedPageBreak/>
        <w:t>66A</w:t>
      </w:r>
      <w:r>
        <w:rPr>
          <w:snapToGrid w:val="0"/>
        </w:rPr>
        <w:t>.</w:t>
      </w:r>
      <w:r>
        <w:rPr>
          <w:snapToGrid w:val="0"/>
        </w:rPr>
        <w:tab/>
        <w:t>No separate certificate for easement</w:t>
      </w:r>
      <w:r>
        <w:tab/>
      </w:r>
      <w:r>
        <w:fldChar w:fldCharType="begin"/>
      </w:r>
      <w:r>
        <w:instrText xml:space="preserve"> PAGEREF _Toc141092694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Certificate conclusive evidence in suit for specific performance or action for damages</w:t>
      </w:r>
      <w:r>
        <w:tab/>
      </w:r>
      <w:r>
        <w:fldChar w:fldCharType="begin"/>
      </w:r>
      <w:r>
        <w:instrText xml:space="preserve"> PAGEREF _Toc141092695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Estate of registered proprietor paramount</w:t>
      </w:r>
      <w:r>
        <w:tab/>
      </w:r>
      <w:r>
        <w:fldChar w:fldCharType="begin"/>
      </w:r>
      <w:r>
        <w:instrText xml:space="preserve"> PAGEREF _Toc141092696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Certain easements and conditions to be noted as encumbrances</w:t>
      </w:r>
      <w:r>
        <w:tab/>
      </w:r>
      <w:r>
        <w:fldChar w:fldCharType="begin"/>
      </w:r>
      <w:r>
        <w:instrText xml:space="preserve"> PAGEREF _Toc141092697 \h </w:instrText>
      </w:r>
      <w:r>
        <w:fldChar w:fldCharType="separate"/>
      </w:r>
      <w:r>
        <w:t>52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Reversions expectant on leases</w:t>
      </w:r>
      <w:r>
        <w:tab/>
      </w:r>
      <w:r>
        <w:fldChar w:fldCharType="begin"/>
      </w:r>
      <w:r>
        <w:instrText xml:space="preserve"> PAGEREF _Toc141092698 \h </w:instrText>
      </w:r>
      <w:r>
        <w:fldChar w:fldCharType="separate"/>
      </w:r>
      <w:r>
        <w:t>53</w:t>
      </w:r>
      <w:r>
        <w:fldChar w:fldCharType="end"/>
      </w:r>
    </w:p>
    <w:p>
      <w:pPr>
        <w:pStyle w:val="TOC8"/>
        <w:rPr>
          <w:rFonts w:asciiTheme="minorHAnsi" w:eastAsiaTheme="minorEastAsia" w:hAnsiTheme="minorHAnsi" w:cstheme="minorBidi"/>
          <w:szCs w:val="22"/>
        </w:rPr>
      </w:pPr>
      <w:r>
        <w:t>70A</w:t>
      </w:r>
      <w:r>
        <w:rPr>
          <w:snapToGrid w:val="0"/>
        </w:rPr>
        <w:t>.</w:t>
      </w:r>
      <w:r>
        <w:rPr>
          <w:snapToGrid w:val="0"/>
        </w:rPr>
        <w:tab/>
        <w:t>Factors affecting use and enjoyment of land, notification on title</w:t>
      </w:r>
      <w:r>
        <w:tab/>
      </w:r>
      <w:r>
        <w:fldChar w:fldCharType="begin"/>
      </w:r>
      <w:r>
        <w:instrText xml:space="preserve"> PAGEREF _Toc141092699 \h </w:instrText>
      </w:r>
      <w:r>
        <w:fldChar w:fldCharType="separate"/>
      </w:r>
      <w:r>
        <w:t>53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Single certificate may be created instead of separate ones</w:t>
      </w:r>
      <w:r>
        <w:tab/>
      </w:r>
      <w:r>
        <w:fldChar w:fldCharType="begin"/>
      </w:r>
      <w:r>
        <w:instrText xml:space="preserve"> PAGEREF _Toc141092700 \h </w:instrText>
      </w:r>
      <w:r>
        <w:fldChar w:fldCharType="separate"/>
      </w:r>
      <w:r>
        <w:t>54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Separate certificates may be created instead of single one</w:t>
      </w:r>
      <w:r>
        <w:tab/>
      </w:r>
      <w:r>
        <w:fldChar w:fldCharType="begin"/>
      </w:r>
      <w:r>
        <w:instrText xml:space="preserve"> PAGEREF _Toc141092701 \h </w:instrText>
      </w:r>
      <w:r>
        <w:fldChar w:fldCharType="separate"/>
      </w:r>
      <w:r>
        <w:t>55</w:t>
      </w:r>
      <w:r>
        <w:fldChar w:fldCharType="end"/>
      </w:r>
    </w:p>
    <w:p>
      <w:pPr>
        <w:pStyle w:val="TOC8"/>
        <w:rPr>
          <w:rFonts w:asciiTheme="minorHAnsi" w:eastAsiaTheme="minorEastAsia" w:hAnsiTheme="minorHAnsi" w:cstheme="minorBidi"/>
          <w:szCs w:val="22"/>
        </w:rPr>
      </w:pPr>
      <w:r>
        <w:t>71B</w:t>
      </w:r>
      <w:r>
        <w:rPr>
          <w:snapToGrid w:val="0"/>
        </w:rPr>
        <w:t>.</w:t>
      </w:r>
      <w:r>
        <w:rPr>
          <w:snapToGrid w:val="0"/>
        </w:rPr>
        <w:tab/>
        <w:t>Replacing duplicate certificates of title</w:t>
      </w:r>
      <w:r>
        <w:tab/>
      </w:r>
      <w:r>
        <w:fldChar w:fldCharType="begin"/>
      </w:r>
      <w:r>
        <w:instrText xml:space="preserve"> PAGEREF _Toc141092702 \h </w:instrText>
      </w:r>
      <w:r>
        <w:fldChar w:fldCharType="separate"/>
      </w:r>
      <w:r>
        <w:t>55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History of dealings to be preserved</w:t>
      </w:r>
      <w:r>
        <w:tab/>
      </w:r>
      <w:r>
        <w:fldChar w:fldCharType="begin"/>
      </w:r>
      <w:r>
        <w:instrText xml:space="preserve"> PAGEREF _Toc141092703 \h </w:instrText>
      </w:r>
      <w:r>
        <w:fldChar w:fldCharType="separate"/>
      </w:r>
      <w:r>
        <w:t>56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Duplicate may be dispensed with in certain cases</w:t>
      </w:r>
      <w:r>
        <w:tab/>
      </w:r>
      <w:r>
        <w:fldChar w:fldCharType="begin"/>
      </w:r>
      <w:r>
        <w:instrText xml:space="preserve"> PAGEREF _Toc141092704 \h </w:instrText>
      </w:r>
      <w:r>
        <w:fldChar w:fldCharType="separate"/>
      </w:r>
      <w:r>
        <w:t>56</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Substitute certificates of title</w:t>
      </w:r>
      <w:r>
        <w:tab/>
      </w:r>
      <w:r>
        <w:fldChar w:fldCharType="begin"/>
      </w:r>
      <w:r>
        <w:instrText xml:space="preserve"> PAGEREF _Toc141092705 \h </w:instrText>
      </w:r>
      <w:r>
        <w:fldChar w:fldCharType="separate"/>
      </w:r>
      <w:r>
        <w:t>57</w:t>
      </w:r>
      <w:r>
        <w:fldChar w:fldCharType="end"/>
      </w:r>
    </w:p>
    <w:p>
      <w:pPr>
        <w:pStyle w:val="TOC8"/>
        <w:rPr>
          <w:rFonts w:asciiTheme="minorHAnsi" w:eastAsiaTheme="minorEastAsia" w:hAnsiTheme="minorHAnsi" w:cstheme="minorBidi"/>
          <w:szCs w:val="22"/>
        </w:rPr>
      </w:pPr>
      <w:r>
        <w:t>74B</w:t>
      </w:r>
      <w:r>
        <w:rPr>
          <w:snapToGrid w:val="0"/>
        </w:rPr>
        <w:t>.</w:t>
      </w:r>
      <w:r>
        <w:rPr>
          <w:snapToGrid w:val="0"/>
        </w:rPr>
        <w:tab/>
        <w:t>New duplicate certificates of title</w:t>
      </w:r>
      <w:r>
        <w:tab/>
      </w:r>
      <w:r>
        <w:fldChar w:fldCharType="begin"/>
      </w:r>
      <w:r>
        <w:instrText xml:space="preserve"> PAGEREF _Toc141092706 \h </w:instrText>
      </w:r>
      <w:r>
        <w:fldChar w:fldCharType="separate"/>
      </w:r>
      <w:r>
        <w:t>58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Where duplicate certificate lost, destroyed or obliterated</w:t>
      </w:r>
      <w:r>
        <w:tab/>
      </w:r>
      <w:r>
        <w:fldChar w:fldCharType="begin"/>
      </w:r>
      <w:r>
        <w:instrText xml:space="preserve"> PAGEREF _Toc141092707 \h </w:instrText>
      </w:r>
      <w:r>
        <w:fldChar w:fldCharType="separate"/>
      </w:r>
      <w:r>
        <w:t>59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Duplicate certificates etc. issued in error etc., powers to recover</w:t>
      </w:r>
      <w:r>
        <w:tab/>
      </w:r>
      <w:r>
        <w:fldChar w:fldCharType="begin"/>
      </w:r>
      <w:r>
        <w:instrText xml:space="preserve"> PAGEREF _Toc141092708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Procedure when person summoned etc. under s. 76</w:t>
      </w:r>
      <w:r>
        <w:tab/>
      </w:r>
      <w:r>
        <w:fldChar w:fldCharType="begin"/>
      </w:r>
      <w:r>
        <w:instrText xml:space="preserve"> PAGEREF _Toc141092709 \h </w:instrText>
      </w:r>
      <w:r>
        <w:fldChar w:fldCharType="separate"/>
      </w:r>
      <w:r>
        <w:t>62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Registrar may call in duplicate certificate etc.</w:t>
      </w:r>
      <w:r>
        <w:tab/>
      </w:r>
      <w:r>
        <w:fldChar w:fldCharType="begin"/>
      </w:r>
      <w:r>
        <w:instrText xml:space="preserve"> PAGEREF _Toc141092710 \h </w:instrText>
      </w:r>
      <w:r>
        <w:fldChar w:fldCharType="separate"/>
      </w:r>
      <w:r>
        <w:t>63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Person who fails to bring in duplicate certificate etc. may be brought before Supreme Court</w:t>
      </w:r>
      <w:r>
        <w:tab/>
      </w:r>
      <w:r>
        <w:fldChar w:fldCharType="begin"/>
      </w:r>
      <w:r>
        <w:instrText xml:space="preserve"> PAGEREF _Toc141092711 \h </w:instrText>
      </w:r>
      <w:r>
        <w:fldChar w:fldCharType="separate"/>
      </w:r>
      <w:r>
        <w:t>63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Words of inheritance or succession to be implied</w:t>
      </w:r>
      <w:r>
        <w:tab/>
      </w:r>
      <w:r>
        <w:fldChar w:fldCharType="begin"/>
      </w:r>
      <w:r>
        <w:instrText xml:space="preserve"> PAGEREF _Toc141092712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IIIA — Crown leases</w:t>
      </w:r>
    </w:p>
    <w:p>
      <w:pPr>
        <w:pStyle w:val="TOC8"/>
        <w:rPr>
          <w:rFonts w:asciiTheme="minorHAnsi" w:eastAsiaTheme="minorEastAsia" w:hAnsiTheme="minorHAnsi" w:cstheme="minorBidi"/>
          <w:szCs w:val="22"/>
        </w:rPr>
      </w:pPr>
      <w:r>
        <w:t>81A</w:t>
      </w:r>
      <w:r>
        <w:rPr>
          <w:snapToGrid w:val="0"/>
        </w:rPr>
        <w:t>.</w:t>
      </w:r>
      <w:r>
        <w:rPr>
          <w:snapToGrid w:val="0"/>
        </w:rPr>
        <w:tab/>
        <w:t>Registration of Crown leases issued on or after 2 May 1910</w:t>
      </w:r>
      <w:r>
        <w:tab/>
      </w:r>
      <w:r>
        <w:fldChar w:fldCharType="begin"/>
      </w:r>
      <w:r>
        <w:instrText xml:space="preserve"> PAGEREF _Toc141092714 \h </w:instrText>
      </w:r>
      <w:r>
        <w:fldChar w:fldCharType="separate"/>
      </w:r>
      <w:r>
        <w:t>65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Registration of Crown leases issued before 2 May 1910</w:t>
      </w:r>
      <w:r>
        <w:tab/>
      </w:r>
      <w:r>
        <w:fldChar w:fldCharType="begin"/>
      </w:r>
      <w:r>
        <w:instrText xml:space="preserve"> PAGEREF _Toc141092715 \h </w:instrText>
      </w:r>
      <w:r>
        <w:fldChar w:fldCharType="separate"/>
      </w:r>
      <w:r>
        <w:t>65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Effect of registration</w:t>
      </w:r>
      <w:r>
        <w:tab/>
      </w:r>
      <w:r>
        <w:fldChar w:fldCharType="begin"/>
      </w:r>
      <w:r>
        <w:instrText xml:space="preserve"> PAGEREF _Toc141092716 \h </w:instrText>
      </w:r>
      <w:r>
        <w:fldChar w:fldCharType="separate"/>
      </w:r>
      <w:r>
        <w:t>67</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Registration of transfer etc.</w:t>
      </w:r>
      <w:r>
        <w:tab/>
      </w:r>
      <w:r>
        <w:fldChar w:fldCharType="begin"/>
      </w:r>
      <w:r>
        <w:instrText xml:space="preserve"> PAGEREF _Toc141092717 \h </w:instrText>
      </w:r>
      <w:r>
        <w:fldChar w:fldCharType="separate"/>
      </w:r>
      <w:r>
        <w:t>67</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No foreclosure without consent of Minister for Lands</w:t>
      </w:r>
      <w:r>
        <w:tab/>
      </w:r>
      <w:r>
        <w:fldChar w:fldCharType="begin"/>
      </w:r>
      <w:r>
        <w:instrText xml:space="preserve"> PAGEREF _Toc141092718 \h </w:instrText>
      </w:r>
      <w:r>
        <w:fldChar w:fldCharType="separate"/>
      </w:r>
      <w:r>
        <w:t>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Entry of forfeiture</w:t>
      </w:r>
      <w:r>
        <w:tab/>
      </w:r>
      <w:r>
        <w:fldChar w:fldCharType="begin"/>
      </w:r>
      <w:r>
        <w:instrText xml:space="preserve"> PAGEREF _Toc141092719 \h </w:instrText>
      </w:r>
      <w:r>
        <w:fldChar w:fldCharType="separate"/>
      </w:r>
      <w:r>
        <w:t>69</w:t>
      </w:r>
      <w:r>
        <w:fldChar w:fldCharType="end"/>
      </w:r>
    </w:p>
    <w:p>
      <w:pPr>
        <w:pStyle w:val="TOC8"/>
        <w:rPr>
          <w:rFonts w:asciiTheme="minorHAnsi" w:eastAsiaTheme="minorEastAsia" w:hAnsiTheme="minorHAnsi" w:cstheme="minorBidi"/>
          <w:szCs w:val="22"/>
        </w:rPr>
      </w:pPr>
      <w:r>
        <w:t>81G</w:t>
      </w:r>
      <w:r>
        <w:rPr>
          <w:snapToGrid w:val="0"/>
        </w:rPr>
        <w:t>.</w:t>
      </w:r>
      <w:r>
        <w:rPr>
          <w:snapToGrid w:val="0"/>
        </w:rPr>
        <w:tab/>
        <w:t>Crown lessee to be deemed of full age</w:t>
      </w:r>
      <w:r>
        <w:tab/>
      </w:r>
      <w:r>
        <w:fldChar w:fldCharType="begin"/>
      </w:r>
      <w:r>
        <w:instrText xml:space="preserve"> PAGEREF _Toc141092720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r>
        <w:tab/>
      </w:r>
      <w:r>
        <w:fldChar w:fldCharType="begin"/>
      </w:r>
      <w:r>
        <w:instrText xml:space="preserve"> PAGEREF _Toc141092721 \h </w:instrText>
      </w:r>
      <w:r>
        <w:fldChar w:fldCharType="separate"/>
      </w:r>
      <w:r>
        <w:t>70</w:t>
      </w:r>
      <w:r>
        <w:fldChar w:fldCharType="end"/>
      </w:r>
    </w:p>
    <w:p>
      <w:pPr>
        <w:pStyle w:val="TOC8"/>
        <w:rPr>
          <w:rFonts w:asciiTheme="minorHAnsi" w:eastAsiaTheme="minorEastAsia" w:hAnsiTheme="minorHAnsi" w:cstheme="minorBidi"/>
          <w:szCs w:val="22"/>
        </w:rPr>
      </w:pPr>
      <w:r>
        <w:t>81I</w:t>
      </w:r>
      <w:r>
        <w:rPr>
          <w:snapToGrid w:val="0"/>
        </w:rPr>
        <w:t>.</w:t>
      </w:r>
      <w:r>
        <w:rPr>
          <w:snapToGrid w:val="0"/>
        </w:rPr>
        <w:tab/>
        <w:t>Mortgage of Crown lease to be transferred to Crown grant</w:t>
      </w:r>
      <w:r>
        <w:tab/>
      </w:r>
      <w:r>
        <w:fldChar w:fldCharType="begin"/>
      </w:r>
      <w:r>
        <w:instrText xml:space="preserve"> PAGEREF _Toc141092722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_Toc141092725 \h </w:instrText>
      </w:r>
      <w:r>
        <w:fldChar w:fldCharType="separate"/>
      </w:r>
      <w:r>
        <w:t>72</w:t>
      </w:r>
      <w:r>
        <w:fldChar w:fldCharType="end"/>
      </w:r>
    </w:p>
    <w:p>
      <w:pPr>
        <w:pStyle w:val="TOC8"/>
        <w:rPr>
          <w:rFonts w:asciiTheme="minorHAnsi" w:eastAsiaTheme="minorEastAsia" w:hAnsiTheme="minorHAnsi" w:cstheme="minorBidi"/>
          <w:szCs w:val="22"/>
        </w:rPr>
      </w:pPr>
      <w:r>
        <w:t>81K.</w:t>
      </w:r>
      <w:r>
        <w:tab/>
        <w:t>Terms used</w:t>
      </w:r>
      <w:r>
        <w:tab/>
      </w:r>
      <w:r>
        <w:fldChar w:fldCharType="begin"/>
      </w:r>
      <w:r>
        <w:instrText xml:space="preserve"> PAGEREF _Toc141092726 \h </w:instrText>
      </w:r>
      <w:r>
        <w:fldChar w:fldCharType="separate"/>
      </w:r>
      <w:r>
        <w:t>72</w:t>
      </w:r>
      <w:r>
        <w:fldChar w:fldCharType="end"/>
      </w:r>
    </w:p>
    <w:p>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_Toc141092727 \h </w:instrText>
      </w:r>
      <w:r>
        <w:fldChar w:fldCharType="separate"/>
      </w:r>
      <w:r>
        <w:t>72</w:t>
      </w:r>
      <w:r>
        <w:fldChar w:fldCharType="end"/>
      </w:r>
    </w:p>
    <w:p>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_Toc141092728 \h </w:instrText>
      </w:r>
      <w:r>
        <w:fldChar w:fldCharType="separate"/>
      </w:r>
      <w:r>
        <w:t>73</w:t>
      </w:r>
      <w:r>
        <w:fldChar w:fldCharType="end"/>
      </w:r>
    </w:p>
    <w:p>
      <w:pPr>
        <w:pStyle w:val="TOC8"/>
        <w:rPr>
          <w:rFonts w:asciiTheme="minorHAnsi" w:eastAsiaTheme="minorEastAsia" w:hAnsiTheme="minorHAnsi" w:cstheme="minorBidi"/>
          <w:szCs w:val="22"/>
        </w:rPr>
      </w:pPr>
      <w:r>
        <w:t>81N.</w:t>
      </w:r>
      <w:r>
        <w:tab/>
        <w:t>Crown surveys</w:t>
      </w:r>
      <w:r>
        <w:tab/>
      </w:r>
      <w:r>
        <w:fldChar w:fldCharType="begin"/>
      </w:r>
      <w:r>
        <w:instrText xml:space="preserve"> PAGEREF _Toc141092729 \h </w:instrText>
      </w:r>
      <w:r>
        <w:fldChar w:fldCharType="separate"/>
      </w:r>
      <w:r>
        <w:t>73</w:t>
      </w:r>
      <w:r>
        <w:fldChar w:fldCharType="end"/>
      </w:r>
    </w:p>
    <w:p>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_Toc141092730 \h </w:instrText>
      </w:r>
      <w:r>
        <w:fldChar w:fldCharType="separate"/>
      </w:r>
      <w:r>
        <w:t>73</w:t>
      </w:r>
      <w:r>
        <w:fldChar w:fldCharType="end"/>
      </w:r>
    </w:p>
    <w:p>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_Toc141092731 \h </w:instrText>
      </w:r>
      <w:r>
        <w:fldChar w:fldCharType="separate"/>
      </w:r>
      <w:r>
        <w:t>73</w:t>
      </w:r>
      <w:r>
        <w:fldChar w:fldCharType="end"/>
      </w:r>
    </w:p>
    <w:p>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_Toc141092732 \h </w:instrText>
      </w:r>
      <w:r>
        <w:fldChar w:fldCharType="separate"/>
      </w:r>
      <w:r>
        <w:t>74</w:t>
      </w:r>
      <w:r>
        <w:fldChar w:fldCharType="end"/>
      </w:r>
    </w:p>
    <w:p>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_Toc141092733 \h </w:instrText>
      </w:r>
      <w:r>
        <w:fldChar w:fldCharType="separate"/>
      </w:r>
      <w:r>
        <w:t>75</w:t>
      </w:r>
      <w:r>
        <w:fldChar w:fldCharType="end"/>
      </w:r>
    </w:p>
    <w:p>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_Toc141092734 \h </w:instrText>
      </w:r>
      <w:r>
        <w:fldChar w:fldCharType="separate"/>
      </w:r>
      <w:r>
        <w:t>75</w:t>
      </w:r>
      <w:r>
        <w:fldChar w:fldCharType="end"/>
      </w:r>
    </w:p>
    <w:p>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_Toc141092735 \h </w:instrText>
      </w:r>
      <w:r>
        <w:fldChar w:fldCharType="separate"/>
      </w:r>
      <w:r>
        <w:t>76</w:t>
      </w:r>
      <w:r>
        <w:fldChar w:fldCharType="end"/>
      </w:r>
    </w:p>
    <w:p>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_Toc141092736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Transitional</w:t>
      </w:r>
    </w:p>
    <w:p>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_Toc141092738 \h </w:instrText>
      </w:r>
      <w:r>
        <w:fldChar w:fldCharType="separate"/>
      </w:r>
      <w:r>
        <w:t>80</w:t>
      </w:r>
      <w:r>
        <w:fldChar w:fldCharType="end"/>
      </w:r>
    </w:p>
    <w:p>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_Toc141092739 \h </w:instrText>
      </w:r>
      <w:r>
        <w:fldChar w:fldCharType="separate"/>
      </w:r>
      <w:r>
        <w:t>80</w:t>
      </w:r>
      <w:r>
        <w:fldChar w:fldCharType="end"/>
      </w:r>
    </w:p>
    <w:p>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_Toc141092740 \h </w:instrText>
      </w:r>
      <w:r>
        <w:fldChar w:fldCharType="separate"/>
      </w:r>
      <w:r>
        <w:t>81</w:t>
      </w:r>
      <w:r>
        <w:fldChar w:fldCharType="end"/>
      </w:r>
    </w:p>
    <w:p>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_Toc141092741 \h </w:instrText>
      </w:r>
      <w:r>
        <w:fldChar w:fldCharType="separate"/>
      </w:r>
      <w:r>
        <w:t>84</w:t>
      </w:r>
      <w:r>
        <w:fldChar w:fldCharType="end"/>
      </w:r>
    </w:p>
    <w:p>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_Toc141092742 \h </w:instrText>
      </w:r>
      <w:r>
        <w:fldChar w:fldCharType="separate"/>
      </w:r>
      <w:r>
        <w:t>85</w:t>
      </w:r>
      <w:r>
        <w:fldChar w:fldCharType="end"/>
      </w:r>
    </w:p>
    <w:p>
      <w:pPr>
        <w:pStyle w:val="TOC8"/>
        <w:rPr>
          <w:rFonts w:asciiTheme="minorHAnsi" w:eastAsiaTheme="minorEastAsia" w:hAnsiTheme="minorHAnsi" w:cstheme="minorBidi"/>
          <w:szCs w:val="22"/>
        </w:rPr>
      </w:pPr>
      <w:r>
        <w:lastRenderedPageBreak/>
        <w:t>81Z.</w:t>
      </w:r>
      <w:r>
        <w:tab/>
        <w:t>Registrar’s duties when applications made under s. 81V(1)(b) granted</w:t>
      </w:r>
      <w:r>
        <w:tab/>
      </w:r>
      <w:r>
        <w:fldChar w:fldCharType="begin"/>
      </w:r>
      <w:r>
        <w:instrText xml:space="preserve"> PAGEREF _Toc141092743 \h </w:instrText>
      </w:r>
      <w:r>
        <w:fldChar w:fldCharType="separate"/>
      </w:r>
      <w:r>
        <w:t>86</w:t>
      </w:r>
      <w:r>
        <w:fldChar w:fldCharType="end"/>
      </w:r>
    </w:p>
    <w:p>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_Toc141092744 \h </w:instrText>
      </w:r>
      <w:r>
        <w:fldChar w:fldCharType="separate"/>
      </w:r>
      <w:r>
        <w:t>87</w:t>
      </w:r>
      <w:r>
        <w:fldChar w:fldCharType="end"/>
      </w:r>
    </w:p>
    <w:p>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_Toc141092745 \h </w:instrText>
      </w:r>
      <w:r>
        <w:fldChar w:fldCharType="separate"/>
      </w:r>
      <w:r>
        <w:t>88</w:t>
      </w:r>
      <w:r>
        <w:fldChar w:fldCharType="end"/>
      </w:r>
    </w:p>
    <w:p>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_Toc141092746 \h </w:instrText>
      </w:r>
      <w:r>
        <w:fldChar w:fldCharType="separate"/>
      </w:r>
      <w:r>
        <w:t>88</w:t>
      </w:r>
      <w:r>
        <w:fldChar w:fldCharType="end"/>
      </w:r>
    </w:p>
    <w:p>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_Toc141092747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IV — Dealings with land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Transfers</w:t>
      </w:r>
      <w:r>
        <w:tab/>
      </w:r>
      <w:r>
        <w:fldChar w:fldCharType="begin"/>
      </w:r>
      <w:r>
        <w:instrText xml:space="preserve"> PAGEREF _Toc141092750 \h </w:instrText>
      </w:r>
      <w:r>
        <w:fldChar w:fldCharType="separate"/>
      </w:r>
      <w:r>
        <w:t>91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Transfer to include right to sue thereunder</w:t>
      </w:r>
      <w:r>
        <w:tab/>
      </w:r>
      <w:r>
        <w:fldChar w:fldCharType="begin"/>
      </w:r>
      <w:r>
        <w:instrText xml:space="preserve"> PAGEREF _Toc141092751 \h </w:instrText>
      </w:r>
      <w:r>
        <w:fldChar w:fldCharType="separate"/>
      </w:r>
      <w:r>
        <w:t>91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Transfers may be to proprietor and others jointly etc.</w:t>
      </w:r>
      <w:r>
        <w:tab/>
      </w:r>
      <w:r>
        <w:fldChar w:fldCharType="begin"/>
      </w:r>
      <w:r>
        <w:instrText xml:space="preserve"> PAGEREF _Toc141092752 \h </w:instrText>
      </w:r>
      <w:r>
        <w:fldChar w:fldCharType="separate"/>
      </w:r>
      <w:r>
        <w:t>92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Signed and registered instruments have efficacy of deeds</w:t>
      </w:r>
      <w:r>
        <w:tab/>
      </w:r>
      <w:r>
        <w:fldChar w:fldCharType="begin"/>
      </w:r>
      <w:r>
        <w:instrText xml:space="preserve"> PAGEREF _Toc141092753 \h </w:instrText>
      </w:r>
      <w:r>
        <w:fldChar w:fldCharType="separate"/>
      </w:r>
      <w:r>
        <w:t>92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Duplicate certificate to be delivered to Registrar on transfer</w:t>
      </w:r>
      <w:r>
        <w:tab/>
      </w:r>
      <w:r>
        <w:fldChar w:fldCharType="begin"/>
      </w:r>
      <w:r>
        <w:instrText xml:space="preserve"> PAGEREF _Toc141092754 \h </w:instrText>
      </w:r>
      <w:r>
        <w:fldChar w:fldCharType="separate"/>
      </w:r>
      <w:r>
        <w:t>93</w:t>
      </w:r>
      <w:r>
        <w:fldChar w:fldCharType="end"/>
      </w:r>
    </w:p>
    <w:p>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_Toc141092755 \h </w:instrText>
      </w:r>
      <w:r>
        <w:fldChar w:fldCharType="separate"/>
      </w:r>
      <w:r>
        <w:t>93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Transferee of encumbered land to indemnify transferor</w:t>
      </w:r>
      <w:r>
        <w:tab/>
      </w:r>
      <w:r>
        <w:fldChar w:fldCharType="begin"/>
      </w:r>
      <w:r>
        <w:instrText xml:space="preserve"> PAGEREF _Toc141092756 \h </w:instrText>
      </w:r>
      <w:r>
        <w:fldChar w:fldCharType="separate"/>
      </w:r>
      <w:r>
        <w:t>94</w:t>
      </w:r>
      <w:r>
        <w:fldChar w:fldCharType="end"/>
      </w:r>
    </w:p>
    <w:p>
      <w:pPr>
        <w:pStyle w:val="TOC8"/>
        <w:rPr>
          <w:rFonts w:asciiTheme="minorHAnsi" w:eastAsiaTheme="minorEastAsia" w:hAnsiTheme="minorHAnsi" w:cstheme="minorBidi"/>
          <w:szCs w:val="22"/>
        </w:rPr>
      </w:pPr>
      <w:r>
        <w:t>88A</w:t>
      </w:r>
      <w:r>
        <w:rPr>
          <w:snapToGrid w:val="0"/>
        </w:rPr>
        <w:t>.</w:t>
      </w:r>
      <w:r>
        <w:rPr>
          <w:snapToGrid w:val="0"/>
        </w:rPr>
        <w:tab/>
        <w:t>Memorial of easements to be registered</w:t>
      </w:r>
      <w:r>
        <w:tab/>
      </w:r>
      <w:r>
        <w:fldChar w:fldCharType="begin"/>
      </w:r>
      <w:r>
        <w:instrText xml:space="preserve"> PAGEREF _Toc141092757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Leases and subleases</w:t>
      </w:r>
    </w:p>
    <w:p>
      <w:pPr>
        <w:pStyle w:val="TOC8"/>
        <w:rPr>
          <w:rFonts w:asciiTheme="minorHAnsi" w:eastAsiaTheme="minorEastAsia" w:hAnsiTheme="minorHAnsi" w:cstheme="minorBidi"/>
          <w:szCs w:val="22"/>
        </w:rPr>
      </w:pPr>
      <w:r>
        <w:t>91</w:t>
      </w:r>
      <w:r>
        <w:rPr>
          <w:snapToGrid w:val="0"/>
        </w:rPr>
        <w:t>.</w:t>
      </w:r>
      <w:r>
        <w:rPr>
          <w:snapToGrid w:val="0"/>
        </w:rPr>
        <w:tab/>
        <w:t>Leases</w:t>
      </w:r>
      <w:r>
        <w:tab/>
      </w:r>
      <w:r>
        <w:fldChar w:fldCharType="begin"/>
      </w:r>
      <w:r>
        <w:instrText xml:space="preserve"> PAGEREF _Toc141092759 \h </w:instrText>
      </w:r>
      <w:r>
        <w:fldChar w:fldCharType="separate"/>
      </w:r>
      <w:r>
        <w:t>95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Covenants by lessee implied in leases</w:t>
      </w:r>
      <w:r>
        <w:tab/>
      </w:r>
      <w:r>
        <w:fldChar w:fldCharType="begin"/>
      </w:r>
      <w:r>
        <w:instrText xml:space="preserve"> PAGEREF _Toc141092760 \h </w:instrText>
      </w:r>
      <w:r>
        <w:fldChar w:fldCharType="separate"/>
      </w:r>
      <w:r>
        <w:t>95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Lessor’s powers implied in leases</w:t>
      </w:r>
      <w:r>
        <w:tab/>
      </w:r>
      <w:r>
        <w:fldChar w:fldCharType="begin"/>
      </w:r>
      <w:r>
        <w:instrText xml:space="preserve"> PAGEREF _Toc141092761 \h </w:instrText>
      </w:r>
      <w:r>
        <w:fldChar w:fldCharType="separate"/>
      </w:r>
      <w:r>
        <w:t>96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Short forms of covenants by lessees</w:t>
      </w:r>
      <w:r>
        <w:tab/>
      </w:r>
      <w:r>
        <w:fldChar w:fldCharType="begin"/>
      </w:r>
      <w:r>
        <w:instrText xml:space="preserve"> PAGEREF _Toc141092762 \h </w:instrText>
      </w:r>
      <w:r>
        <w:fldChar w:fldCharType="separate"/>
      </w:r>
      <w:r>
        <w:t>97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Covenant to be implied on transfer of lease</w:t>
      </w:r>
      <w:r>
        <w:tab/>
      </w:r>
      <w:r>
        <w:fldChar w:fldCharType="begin"/>
      </w:r>
      <w:r>
        <w:instrText xml:space="preserve"> PAGEREF _Toc141092763 \h </w:instrText>
      </w:r>
      <w:r>
        <w:fldChar w:fldCharType="separate"/>
      </w:r>
      <w:r>
        <w:t>97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Recovery of possession by lessors to be entered in Register</w:t>
      </w:r>
      <w:r>
        <w:tab/>
      </w:r>
      <w:r>
        <w:fldChar w:fldCharType="begin"/>
      </w:r>
      <w:r>
        <w:instrText xml:space="preserve"> PAGEREF _Toc141092764 \h </w:instrText>
      </w:r>
      <w:r>
        <w:fldChar w:fldCharType="separate"/>
      </w:r>
      <w:r>
        <w:t>98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Mortgagee of interest of bankrupt lessee may apply to be entered as transferee of lease and on default lessor may apply</w:t>
      </w:r>
      <w:r>
        <w:tab/>
      </w:r>
      <w:r>
        <w:fldChar w:fldCharType="begin"/>
      </w:r>
      <w:r>
        <w:instrText xml:space="preserve"> PAGEREF _Toc141092765 \h </w:instrText>
      </w:r>
      <w:r>
        <w:fldChar w:fldCharType="separate"/>
      </w:r>
      <w:r>
        <w:t>98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Surrendering leases</w:t>
      </w:r>
      <w:r>
        <w:tab/>
      </w:r>
      <w:r>
        <w:fldChar w:fldCharType="begin"/>
      </w:r>
      <w:r>
        <w:instrText xml:space="preserve"> PAGEREF _Toc141092766 \h </w:instrText>
      </w:r>
      <w:r>
        <w:fldChar w:fldCharType="separate"/>
      </w:r>
      <w:r>
        <w:t>99</w:t>
      </w:r>
      <w:r>
        <w:fldChar w:fldCharType="end"/>
      </w:r>
    </w:p>
    <w:p>
      <w:pPr>
        <w:pStyle w:val="TOC8"/>
        <w:rPr>
          <w:rFonts w:asciiTheme="minorHAnsi" w:eastAsiaTheme="minorEastAsia" w:hAnsiTheme="minorHAnsi" w:cstheme="minorBidi"/>
          <w:szCs w:val="22"/>
        </w:rPr>
      </w:pPr>
      <w:r>
        <w:lastRenderedPageBreak/>
        <w:t>99</w:t>
      </w:r>
      <w:r>
        <w:rPr>
          <w:snapToGrid w:val="0"/>
        </w:rPr>
        <w:t>.</w:t>
      </w:r>
      <w:r>
        <w:rPr>
          <w:snapToGrid w:val="0"/>
        </w:rPr>
        <w:tab/>
        <w:t>Lessee may sublet</w:t>
      </w:r>
      <w:r>
        <w:tab/>
      </w:r>
      <w:r>
        <w:fldChar w:fldCharType="begin"/>
      </w:r>
      <w:r>
        <w:instrText xml:space="preserve"> PAGEREF _Toc141092767 \h </w:instrText>
      </w:r>
      <w:r>
        <w:fldChar w:fldCharType="separate"/>
      </w:r>
      <w:r>
        <w:t>100</w:t>
      </w:r>
      <w:r>
        <w:fldChar w:fldCharType="end"/>
      </w:r>
    </w:p>
    <w:p>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_Toc141092768 \h </w:instrText>
      </w:r>
      <w:r>
        <w:fldChar w:fldCharType="separate"/>
      </w:r>
      <w:r>
        <w:t>100</w:t>
      </w:r>
      <w:r>
        <w:fldChar w:fldCharType="end"/>
      </w:r>
    </w:p>
    <w:p>
      <w:pPr>
        <w:pStyle w:val="TOC8"/>
        <w:rPr>
          <w:rFonts w:asciiTheme="minorHAnsi" w:eastAsiaTheme="minorEastAsia" w:hAnsiTheme="minorHAnsi" w:cstheme="minorBidi"/>
          <w:szCs w:val="22"/>
        </w:rPr>
      </w:pPr>
      <w:r>
        <w:rPr>
          <w:rFonts w:ascii="Times" w:hAnsi="Times"/>
        </w:rPr>
        <w:t>102</w:t>
      </w:r>
      <w:r>
        <w:rPr>
          <w:rFonts w:ascii="Times" w:hAnsi="Times"/>
          <w:snapToGrid w:val="0"/>
        </w:rPr>
        <w:t>.</w:t>
      </w:r>
      <w:r>
        <w:rPr>
          <w:rFonts w:ascii="Times" w:hAnsi="Times"/>
          <w:snapToGrid w:val="0"/>
        </w:rPr>
        <w:tab/>
        <w:t>Provisions about leases apply to subleases</w:t>
      </w:r>
      <w:r>
        <w:tab/>
      </w:r>
      <w:r>
        <w:fldChar w:fldCharType="begin"/>
      </w:r>
      <w:r>
        <w:instrText xml:space="preserve"> PAGEREF _Toc141092769 \h </w:instrText>
      </w:r>
      <w:r>
        <w:fldChar w:fldCharType="separate"/>
      </w:r>
      <w:r>
        <w:t>101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Covenants implied in subleases</w:t>
      </w:r>
      <w:r>
        <w:tab/>
      </w:r>
      <w:r>
        <w:fldChar w:fldCharType="begin"/>
      </w:r>
      <w:r>
        <w:instrText xml:space="preserve"> PAGEREF _Toc141092770 \h </w:instrText>
      </w:r>
      <w:r>
        <w:fldChar w:fldCharType="separate"/>
      </w:r>
      <w:r>
        <w:t>101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Determination of lease or sublease by re</w:t>
      </w:r>
      <w:r>
        <w:rPr>
          <w:snapToGrid w:val="0"/>
        </w:rPr>
        <w:noBreakHyphen/>
        <w:t>entry to be entered in Register</w:t>
      </w:r>
      <w:r>
        <w:tab/>
      </w:r>
      <w:r>
        <w:fldChar w:fldCharType="begin"/>
      </w:r>
      <w:r>
        <w:instrText xml:space="preserve"> PAGEREF _Toc141092771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2A — Carbon rights and carbon covenants</w:t>
      </w:r>
    </w:p>
    <w:p>
      <w:pPr>
        <w:pStyle w:val="TOC8"/>
        <w:rPr>
          <w:rFonts w:asciiTheme="minorHAnsi" w:eastAsiaTheme="minorEastAsia" w:hAnsiTheme="minorHAnsi" w:cstheme="minorBidi"/>
          <w:szCs w:val="22"/>
        </w:rPr>
      </w:pPr>
      <w:r>
        <w:t>104A.</w:t>
      </w:r>
      <w:r>
        <w:tab/>
        <w:t>Terms used</w:t>
      </w:r>
      <w:r>
        <w:tab/>
      </w:r>
      <w:r>
        <w:fldChar w:fldCharType="begin"/>
      </w:r>
      <w:r>
        <w:instrText xml:space="preserve"> PAGEREF _Toc141092773 \h </w:instrText>
      </w:r>
      <w:r>
        <w:fldChar w:fldCharType="separate"/>
      </w:r>
      <w:r>
        <w:t>104</w:t>
      </w:r>
      <w:r>
        <w:fldChar w:fldCharType="end"/>
      </w:r>
    </w:p>
    <w:p>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_Toc141092774 \h </w:instrText>
      </w:r>
      <w:r>
        <w:fldChar w:fldCharType="separate"/>
      </w:r>
      <w:r>
        <w:t>104</w:t>
      </w:r>
      <w:r>
        <w:fldChar w:fldCharType="end"/>
      </w:r>
    </w:p>
    <w:p>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_Toc141092775 \h </w:instrText>
      </w:r>
      <w:r>
        <w:fldChar w:fldCharType="separate"/>
      </w:r>
      <w:r>
        <w:t>104</w:t>
      </w:r>
      <w:r>
        <w:fldChar w:fldCharType="end"/>
      </w:r>
    </w:p>
    <w:p>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_Toc141092776 \h </w:instrText>
      </w:r>
      <w:r>
        <w:fldChar w:fldCharType="separate"/>
      </w:r>
      <w:r>
        <w:t>105</w:t>
      </w:r>
      <w:r>
        <w:fldChar w:fldCharType="end"/>
      </w:r>
    </w:p>
    <w:p>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_Toc141092777 \h </w:instrText>
      </w:r>
      <w:r>
        <w:fldChar w:fldCharType="separate"/>
      </w:r>
      <w:r>
        <w:t>106</w:t>
      </w:r>
      <w:r>
        <w:fldChar w:fldCharType="end"/>
      </w:r>
    </w:p>
    <w:p>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_Toc141092778 \h </w:instrText>
      </w:r>
      <w:r>
        <w:fldChar w:fldCharType="separate"/>
      </w:r>
      <w:r>
        <w:t>106</w:t>
      </w:r>
      <w:r>
        <w:fldChar w:fldCharType="end"/>
      </w:r>
    </w:p>
    <w:p>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_Toc141092779 \h </w:instrText>
      </w:r>
      <w:r>
        <w:fldChar w:fldCharType="separate"/>
      </w:r>
      <w:r>
        <w:t>107</w:t>
      </w:r>
      <w:r>
        <w:fldChar w:fldCharType="end"/>
      </w:r>
    </w:p>
    <w:p>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_Toc141092780 \h </w:instrText>
      </w:r>
      <w:r>
        <w:fldChar w:fldCharType="separate"/>
      </w:r>
      <w:r>
        <w:t>107</w:t>
      </w:r>
      <w:r>
        <w:fldChar w:fldCharType="end"/>
      </w:r>
    </w:p>
    <w:p>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_Toc141092781 \h </w:instrText>
      </w:r>
      <w:r>
        <w:fldChar w:fldCharType="separate"/>
      </w:r>
      <w:r>
        <w:t>108</w:t>
      </w:r>
      <w:r>
        <w:fldChar w:fldCharType="end"/>
      </w:r>
    </w:p>
    <w:p>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_Toc141092782 \h </w:instrText>
      </w:r>
      <w:r>
        <w:fldChar w:fldCharType="separate"/>
      </w:r>
      <w:r>
        <w:t>110</w:t>
      </w:r>
      <w:r>
        <w:fldChar w:fldCharType="end"/>
      </w:r>
    </w:p>
    <w:p>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_Toc141092783 \h </w:instrText>
      </w:r>
      <w:r>
        <w:fldChar w:fldCharType="separate"/>
      </w:r>
      <w:r>
        <w:t>110</w:t>
      </w:r>
      <w:r>
        <w:fldChar w:fldCharType="end"/>
      </w:r>
    </w:p>
    <w:p>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_Toc141092784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pPr>
        <w:pStyle w:val="TOC8"/>
        <w:rPr>
          <w:rFonts w:asciiTheme="minorHAnsi" w:eastAsiaTheme="minorEastAsia" w:hAnsiTheme="minorHAnsi" w:cstheme="minorBidi"/>
          <w:szCs w:val="22"/>
        </w:rPr>
      </w:pPr>
      <w:r>
        <w:t>104M.</w:t>
      </w:r>
      <w:r>
        <w:tab/>
        <w:t>Terms used</w:t>
      </w:r>
      <w:r>
        <w:tab/>
      </w:r>
      <w:r>
        <w:fldChar w:fldCharType="begin"/>
      </w:r>
      <w:r>
        <w:instrText xml:space="preserve"> PAGEREF _Toc141092786 \h </w:instrText>
      </w:r>
      <w:r>
        <w:fldChar w:fldCharType="separate"/>
      </w:r>
      <w:r>
        <w:t>111</w:t>
      </w:r>
      <w:r>
        <w:fldChar w:fldCharType="end"/>
      </w:r>
    </w:p>
    <w:p>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_Toc141092787 \h </w:instrText>
      </w:r>
      <w:r>
        <w:fldChar w:fldCharType="separate"/>
      </w:r>
      <w:r>
        <w:t>112</w:t>
      </w:r>
      <w:r>
        <w:fldChar w:fldCharType="end"/>
      </w:r>
    </w:p>
    <w:p>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_Toc141092788 \h </w:instrText>
      </w:r>
      <w:r>
        <w:fldChar w:fldCharType="separate"/>
      </w:r>
      <w:r>
        <w:t>112</w:t>
      </w:r>
      <w:r>
        <w:fldChar w:fldCharType="end"/>
      </w:r>
    </w:p>
    <w:p>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_Toc141092789 \h </w:instrText>
      </w:r>
      <w:r>
        <w:fldChar w:fldCharType="separate"/>
      </w:r>
      <w:r>
        <w:t>114</w:t>
      </w:r>
      <w:r>
        <w:fldChar w:fldCharType="end"/>
      </w:r>
    </w:p>
    <w:p>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_Toc141092790 \h </w:instrText>
      </w:r>
      <w:r>
        <w:fldChar w:fldCharType="separate"/>
      </w:r>
      <w:r>
        <w:t>115</w:t>
      </w:r>
      <w:r>
        <w:fldChar w:fldCharType="end"/>
      </w:r>
    </w:p>
    <w:p>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_Toc141092791 \h </w:instrText>
      </w:r>
      <w:r>
        <w:fldChar w:fldCharType="separate"/>
      </w:r>
      <w:r>
        <w:t>116</w:t>
      </w:r>
      <w:r>
        <w:fldChar w:fldCharType="end"/>
      </w:r>
    </w:p>
    <w:p>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_Toc141092792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Mortgages and annuities</w:t>
      </w:r>
    </w:p>
    <w:p>
      <w:pPr>
        <w:pStyle w:val="TOC8"/>
        <w:rPr>
          <w:rFonts w:asciiTheme="minorHAnsi" w:eastAsiaTheme="minorEastAsia" w:hAnsiTheme="minorHAnsi" w:cstheme="minorBidi"/>
          <w:szCs w:val="22"/>
        </w:rPr>
      </w:pPr>
      <w:r>
        <w:t>105</w:t>
      </w:r>
      <w:r>
        <w:rPr>
          <w:snapToGrid w:val="0"/>
        </w:rPr>
        <w:t>.</w:t>
      </w:r>
      <w:r>
        <w:rPr>
          <w:snapToGrid w:val="0"/>
        </w:rPr>
        <w:tab/>
        <w:t>Mortgages and charges for annuities, creating</w:t>
      </w:r>
      <w:r>
        <w:tab/>
      </w:r>
      <w:r>
        <w:fldChar w:fldCharType="begin"/>
      </w:r>
      <w:r>
        <w:instrText xml:space="preserve"> PAGEREF _Toc141092794 \h </w:instrText>
      </w:r>
      <w:r>
        <w:fldChar w:fldCharType="separate"/>
      </w:r>
      <w:r>
        <w:t>117</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Extension of mortgage, charge or lease</w:t>
      </w:r>
      <w:r>
        <w:tab/>
      </w:r>
      <w:r>
        <w:fldChar w:fldCharType="begin"/>
      </w:r>
      <w:r>
        <w:instrText xml:space="preserve"> PAGEREF _Toc141092795 \h </w:instrText>
      </w:r>
      <w:r>
        <w:fldChar w:fldCharType="separate"/>
      </w:r>
      <w:r>
        <w:t>118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Mortgage or charge not to operate as transfer; default procedures</w:t>
      </w:r>
      <w:r>
        <w:tab/>
      </w:r>
      <w:r>
        <w:fldChar w:fldCharType="begin"/>
      </w:r>
      <w:r>
        <w:instrText xml:space="preserve"> PAGEREF _Toc141092796 \h </w:instrText>
      </w:r>
      <w:r>
        <w:fldChar w:fldCharType="separate"/>
      </w:r>
      <w:r>
        <w:t>119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Written demand equivalent to written notice</w:t>
      </w:r>
      <w:r>
        <w:tab/>
      </w:r>
      <w:r>
        <w:fldChar w:fldCharType="begin"/>
      </w:r>
      <w:r>
        <w:instrText xml:space="preserve"> PAGEREF _Toc141092797 \h </w:instrText>
      </w:r>
      <w:r>
        <w:fldChar w:fldCharType="separate"/>
      </w:r>
      <w:r>
        <w:t>120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Power to sell in cases of continuing default</w:t>
      </w:r>
      <w:r>
        <w:tab/>
      </w:r>
      <w:r>
        <w:fldChar w:fldCharType="begin"/>
      </w:r>
      <w:r>
        <w:instrText xml:space="preserve"> PAGEREF _Toc141092798 \h </w:instrText>
      </w:r>
      <w:r>
        <w:fldChar w:fldCharType="separate"/>
      </w:r>
      <w:r>
        <w:t>120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Application of purchase money</w:t>
      </w:r>
      <w:r>
        <w:tab/>
      </w:r>
      <w:r>
        <w:fldChar w:fldCharType="begin"/>
      </w:r>
      <w:r>
        <w:instrText xml:space="preserve"> PAGEREF _Toc141092799 \h </w:instrText>
      </w:r>
      <w:r>
        <w:fldChar w:fldCharType="separate"/>
      </w:r>
      <w:r>
        <w:t>121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Transfer after sale by mortgagee etc., effect of</w:t>
      </w:r>
      <w:r>
        <w:tab/>
      </w:r>
      <w:r>
        <w:fldChar w:fldCharType="begin"/>
      </w:r>
      <w:r>
        <w:instrText xml:space="preserve"> PAGEREF _Toc141092800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111</w:t>
      </w:r>
      <w:r>
        <w:rPr>
          <w:snapToGrid w:val="0"/>
        </w:rPr>
        <w:t>.</w:t>
      </w:r>
      <w:r>
        <w:rPr>
          <w:snapToGrid w:val="0"/>
        </w:rPr>
        <w:tab/>
        <w:t>Remedies of mortgagee or annuitant in cases of default</w:t>
      </w:r>
      <w:r>
        <w:tab/>
      </w:r>
      <w:r>
        <w:fldChar w:fldCharType="begin"/>
      </w:r>
      <w:r>
        <w:instrText xml:space="preserve"> PAGEREF _Toc141092801 \h </w:instrText>
      </w:r>
      <w:r>
        <w:fldChar w:fldCharType="separate"/>
      </w:r>
      <w:r>
        <w:t>123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Further remedies of mortgagee or annuitant</w:t>
      </w:r>
      <w:r>
        <w:tab/>
      </w:r>
      <w:r>
        <w:fldChar w:fldCharType="begin"/>
      </w:r>
      <w:r>
        <w:instrText xml:space="preserve"> PAGEREF _Toc141092802 \h </w:instrText>
      </w:r>
      <w:r>
        <w:fldChar w:fldCharType="separate"/>
      </w:r>
      <w:r>
        <w:t>123</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Abolition of power of distress</w:t>
      </w:r>
      <w:r>
        <w:tab/>
      </w:r>
      <w:r>
        <w:fldChar w:fldCharType="begin"/>
      </w:r>
      <w:r>
        <w:instrText xml:space="preserve"> PAGEREF _Toc141092803 \h </w:instrText>
      </w:r>
      <w:r>
        <w:fldChar w:fldCharType="separate"/>
      </w:r>
      <w:r>
        <w:t>124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Covenants implied in mortgages</w:t>
      </w:r>
      <w:r>
        <w:tab/>
      </w:r>
      <w:r>
        <w:fldChar w:fldCharType="begin"/>
      </w:r>
      <w:r>
        <w:instrText xml:space="preserve"> PAGEREF _Toc141092804 \h </w:instrText>
      </w:r>
      <w:r>
        <w:fldChar w:fldCharType="separate"/>
      </w:r>
      <w:r>
        <w:t>124</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Mortgagee or annuitant of leasehold entering into possession become liable to lessor</w:t>
      </w:r>
      <w:r>
        <w:tab/>
      </w:r>
      <w:r>
        <w:fldChar w:fldCharType="begin"/>
      </w:r>
      <w:r>
        <w:instrText xml:space="preserve"> PAGEREF _Toc141092805 \h </w:instrText>
      </w:r>
      <w:r>
        <w:fldChar w:fldCharType="separate"/>
      </w:r>
      <w:r>
        <w:t>125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Short form of covenant by mortgagor to insure</w:t>
      </w:r>
      <w:r>
        <w:tab/>
      </w:r>
      <w:r>
        <w:fldChar w:fldCharType="begin"/>
      </w:r>
      <w:r>
        <w:instrText xml:space="preserve"> PAGEREF _Toc141092806 \h </w:instrText>
      </w:r>
      <w:r>
        <w:fldChar w:fldCharType="separate"/>
      </w:r>
      <w:r>
        <w:t>125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Rights of mortgagees generally</w:t>
      </w:r>
      <w:r>
        <w:tab/>
      </w:r>
      <w:r>
        <w:fldChar w:fldCharType="begin"/>
      </w:r>
      <w:r>
        <w:instrText xml:space="preserve"> PAGEREF _Toc141092807 \h </w:instrText>
      </w:r>
      <w:r>
        <w:fldChar w:fldCharType="separate"/>
      </w:r>
      <w:r>
        <w:t>126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Mortgagor not to sue on cause of action available to mortgagee without mortgagee’s consent</w:t>
      </w:r>
      <w:r>
        <w:tab/>
      </w:r>
      <w:r>
        <w:fldChar w:fldCharType="begin"/>
      </w:r>
      <w:r>
        <w:instrText xml:space="preserve"> PAGEREF _Toc141092808 \h </w:instrText>
      </w:r>
      <w:r>
        <w:fldChar w:fldCharType="separate"/>
      </w:r>
      <w:r>
        <w:t>127</w:t>
      </w:r>
      <w:r>
        <w:fldChar w:fldCharType="end"/>
      </w:r>
    </w:p>
    <w:p>
      <w:pPr>
        <w:pStyle w:val="TOC8"/>
        <w:rPr>
          <w:rFonts w:asciiTheme="minorHAnsi" w:eastAsiaTheme="minorEastAsia" w:hAnsiTheme="minorHAnsi" w:cstheme="minorBidi"/>
          <w:szCs w:val="22"/>
        </w:rPr>
      </w:pPr>
      <w:r>
        <w:t>118.</w:t>
      </w:r>
      <w:r>
        <w:tab/>
      </w:r>
      <w:r>
        <w:rPr>
          <w:snapToGrid w:val="0"/>
        </w:rPr>
        <w:t>Application of money obtained by mortgagor in action for waste of or damage to mortgaged lands</w:t>
      </w:r>
      <w:r>
        <w:tab/>
      </w:r>
      <w:r>
        <w:fldChar w:fldCharType="begin"/>
      </w:r>
      <w:r>
        <w:instrText xml:space="preserve"> PAGEREF _Toc141092809 \h </w:instrText>
      </w:r>
      <w:r>
        <w:fldChar w:fldCharType="separate"/>
      </w:r>
      <w:r>
        <w:t>127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Mortgagee may seek court order as to money recovered by mortgagor in action</w:t>
      </w:r>
      <w:r>
        <w:tab/>
      </w:r>
      <w:r>
        <w:fldChar w:fldCharType="begin"/>
      </w:r>
      <w:r>
        <w:instrText xml:space="preserve"> PAGEREF _Toc141092810 \h </w:instrText>
      </w:r>
      <w:r>
        <w:fldChar w:fldCharType="separate"/>
      </w:r>
      <w:r>
        <w:t>128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Application of moneys obtained by mortgagee in action</w:t>
      </w:r>
      <w:r>
        <w:tab/>
      </w:r>
      <w:r>
        <w:fldChar w:fldCharType="begin"/>
      </w:r>
      <w:r>
        <w:instrText xml:space="preserve"> PAGEREF _Toc141092811 \h </w:instrText>
      </w:r>
      <w:r>
        <w:fldChar w:fldCharType="separate"/>
      </w:r>
      <w:r>
        <w:t>128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Foreclosure, application for order for</w:t>
      </w:r>
      <w:r>
        <w:tab/>
      </w:r>
      <w:r>
        <w:fldChar w:fldCharType="begin"/>
      </w:r>
      <w:r>
        <w:instrText xml:space="preserve"> PAGEREF _Toc141092812 \h </w:instrText>
      </w:r>
      <w:r>
        <w:fldChar w:fldCharType="separate"/>
      </w:r>
      <w:r>
        <w:t>128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for foreclosure to be advertised</w:t>
      </w:r>
      <w:r>
        <w:tab/>
      </w:r>
      <w:r>
        <w:fldChar w:fldCharType="begin"/>
      </w:r>
      <w:r>
        <w:instrText xml:space="preserve"> PAGEREF _Toc141092813 \h </w:instrText>
      </w:r>
      <w:r>
        <w:fldChar w:fldCharType="separate"/>
      </w:r>
      <w:r>
        <w:t>130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Discharge of mortgages and annuities</w:t>
      </w:r>
      <w:r>
        <w:tab/>
      </w:r>
      <w:r>
        <w:fldChar w:fldCharType="begin"/>
      </w:r>
      <w:r>
        <w:instrText xml:space="preserve"> PAGEREF _Toc141092814 \h </w:instrText>
      </w:r>
      <w:r>
        <w:fldChar w:fldCharType="separate"/>
      </w:r>
      <w:r>
        <w:t>131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Mortgages etc. made before land brought under this Act</w:t>
      </w:r>
      <w:r>
        <w:tab/>
      </w:r>
      <w:r>
        <w:fldChar w:fldCharType="begin"/>
      </w:r>
      <w:r>
        <w:instrText xml:space="preserve"> PAGEREF _Toc141092815 \h </w:instrText>
      </w:r>
      <w:r>
        <w:fldChar w:fldCharType="separate"/>
      </w:r>
      <w:r>
        <w:t>131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Entry of satisfaction of annuity</w:t>
      </w:r>
      <w:r>
        <w:tab/>
      </w:r>
      <w:r>
        <w:fldChar w:fldCharType="begin"/>
      </w:r>
      <w:r>
        <w:instrText xml:space="preserve"> PAGEREF _Toc141092816 \h </w:instrText>
      </w:r>
      <w:r>
        <w:fldChar w:fldCharType="separate"/>
      </w:r>
      <w:r>
        <w:t>132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Payments under and discharge of mortgages when mortgagee absent from State etc.</w:t>
      </w:r>
      <w:r>
        <w:tab/>
      </w:r>
      <w:r>
        <w:fldChar w:fldCharType="begin"/>
      </w:r>
      <w:r>
        <w:instrText xml:space="preserve"> PAGEREF _Toc141092817 \h </w:instrText>
      </w:r>
      <w:r>
        <w:fldChar w:fldCharType="separate"/>
      </w:r>
      <w:r>
        <w:t>132</w:t>
      </w:r>
      <w:r>
        <w:fldChar w:fldCharType="end"/>
      </w:r>
    </w:p>
    <w:p>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_Toc141092818 \h </w:instrText>
      </w:r>
      <w:r>
        <w:fldChar w:fldCharType="separate"/>
      </w:r>
      <w:r>
        <w:t>134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First mortgagee to produce title for registration of subsequent instrument</w:t>
      </w:r>
      <w:r>
        <w:tab/>
      </w:r>
      <w:r>
        <w:fldChar w:fldCharType="begin"/>
      </w:r>
      <w:r>
        <w:instrText xml:space="preserve"> PAGEREF _Toc141092819 \h </w:instrText>
      </w:r>
      <w:r>
        <w:fldChar w:fldCharType="separate"/>
      </w:r>
      <w:r>
        <w:t>135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Land brought under this Act subject to mortgage, rights of mortgagee etc.</w:t>
      </w:r>
      <w:r>
        <w:tab/>
      </w:r>
      <w:r>
        <w:fldChar w:fldCharType="begin"/>
      </w:r>
      <w:r>
        <w:instrText xml:space="preserve"> PAGEREF _Toc141092820 \h </w:instrText>
      </w:r>
      <w:r>
        <w:fldChar w:fldCharType="separate"/>
      </w:r>
      <w:r>
        <w:t>136</w:t>
      </w:r>
      <w:r>
        <w:fldChar w:fldCharType="end"/>
      </w:r>
    </w:p>
    <w:p>
      <w:pPr>
        <w:pStyle w:val="TOC8"/>
        <w:rPr>
          <w:rFonts w:asciiTheme="minorHAnsi" w:eastAsiaTheme="minorEastAsia" w:hAnsiTheme="minorHAnsi" w:cstheme="minorBidi"/>
          <w:szCs w:val="22"/>
        </w:rPr>
      </w:pPr>
      <w:r>
        <w:t>128A</w:t>
      </w:r>
      <w:r>
        <w:rPr>
          <w:snapToGrid w:val="0"/>
        </w:rPr>
        <w:t>.</w:t>
      </w:r>
      <w:r>
        <w:rPr>
          <w:snapToGrid w:val="0"/>
        </w:rPr>
        <w:tab/>
        <w:t>Another mortgagee may tender payment</w:t>
      </w:r>
      <w:r>
        <w:tab/>
      </w:r>
      <w:r>
        <w:fldChar w:fldCharType="begin"/>
      </w:r>
      <w:r>
        <w:instrText xml:space="preserve"> PAGEREF _Toc141092821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Restrictive covenants and the modification, discharge and enforcement of restrictive covenants and easements</w:t>
      </w:r>
    </w:p>
    <w:p>
      <w:pPr>
        <w:pStyle w:val="TOC8"/>
        <w:rPr>
          <w:rFonts w:asciiTheme="minorHAnsi" w:eastAsiaTheme="minorEastAsia" w:hAnsiTheme="minorHAnsi" w:cstheme="minorBidi"/>
          <w:szCs w:val="22"/>
        </w:rPr>
      </w:pPr>
      <w:r>
        <w:t>129A</w:t>
      </w:r>
      <w:r>
        <w:rPr>
          <w:snapToGrid w:val="0"/>
        </w:rPr>
        <w:t>.</w:t>
      </w:r>
      <w:r>
        <w:rPr>
          <w:snapToGrid w:val="0"/>
        </w:rPr>
        <w:tab/>
        <w:t>Creation of restrictive covenants</w:t>
      </w:r>
      <w:r>
        <w:tab/>
      </w:r>
      <w:r>
        <w:fldChar w:fldCharType="begin"/>
      </w:r>
      <w:r>
        <w:instrText xml:space="preserve"> PAGEREF _Toc141092823 \h </w:instrText>
      </w:r>
      <w:r>
        <w:fldChar w:fldCharType="separate"/>
      </w:r>
      <w:r>
        <w:t>137</w:t>
      </w:r>
      <w:r>
        <w:fldChar w:fldCharType="end"/>
      </w:r>
    </w:p>
    <w:p>
      <w:pPr>
        <w:pStyle w:val="TOC8"/>
        <w:rPr>
          <w:rFonts w:asciiTheme="minorHAnsi" w:eastAsiaTheme="minorEastAsia" w:hAnsiTheme="minorHAnsi" w:cstheme="minorBidi"/>
          <w:szCs w:val="22"/>
        </w:rPr>
      </w:pPr>
      <w:r>
        <w:t>129B</w:t>
      </w:r>
      <w:r>
        <w:rPr>
          <w:snapToGrid w:val="0"/>
        </w:rPr>
        <w:t>.</w:t>
      </w:r>
      <w:r>
        <w:rPr>
          <w:snapToGrid w:val="0"/>
        </w:rPr>
        <w:tab/>
        <w:t>Discharge and modification of restrictive covenants</w:t>
      </w:r>
      <w:r>
        <w:tab/>
      </w:r>
      <w:r>
        <w:fldChar w:fldCharType="begin"/>
      </w:r>
      <w:r>
        <w:instrText xml:space="preserve"> PAGEREF _Toc141092824 \h </w:instrText>
      </w:r>
      <w:r>
        <w:fldChar w:fldCharType="separate"/>
      </w:r>
      <w:r>
        <w:t>138</w:t>
      </w:r>
      <w:r>
        <w:fldChar w:fldCharType="end"/>
      </w:r>
    </w:p>
    <w:p>
      <w:pPr>
        <w:pStyle w:val="TOC8"/>
        <w:rPr>
          <w:rFonts w:asciiTheme="minorHAnsi" w:eastAsiaTheme="minorEastAsia" w:hAnsiTheme="minorHAnsi" w:cstheme="minorBidi"/>
          <w:szCs w:val="22"/>
        </w:rPr>
      </w:pPr>
      <w:r>
        <w:t>129BA</w:t>
      </w:r>
      <w:r>
        <w:rPr>
          <w:snapToGrid w:val="0"/>
        </w:rPr>
        <w:t>.</w:t>
      </w:r>
      <w:r>
        <w:rPr>
          <w:snapToGrid w:val="0"/>
        </w:rPr>
        <w:tab/>
        <w:t>Restrictive covenants benefiting local governments and public authorities</w:t>
      </w:r>
      <w:r>
        <w:tab/>
      </w:r>
      <w:r>
        <w:fldChar w:fldCharType="begin"/>
      </w:r>
      <w:r>
        <w:instrText xml:space="preserve"> PAGEREF _Toc141092825 \h </w:instrText>
      </w:r>
      <w:r>
        <w:fldChar w:fldCharType="separate"/>
      </w:r>
      <w:r>
        <w:t>139</w:t>
      </w:r>
      <w:r>
        <w:fldChar w:fldCharType="end"/>
      </w:r>
    </w:p>
    <w:p>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_Toc141092826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129C</w:t>
      </w:r>
      <w:r>
        <w:rPr>
          <w:snapToGrid w:val="0"/>
        </w:rPr>
        <w:t>.</w:t>
      </w:r>
      <w:r>
        <w:rPr>
          <w:snapToGrid w:val="0"/>
        </w:rPr>
        <w:tab/>
        <w:t>Supreme Court’s powers as to easements etc.</w:t>
      </w:r>
      <w:r>
        <w:tab/>
      </w:r>
      <w:r>
        <w:fldChar w:fldCharType="begin"/>
      </w:r>
      <w:r>
        <w:instrText xml:space="preserve"> PAGEREF _Toc141092827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130</w:t>
      </w:r>
      <w:r>
        <w:rPr>
          <w:snapToGrid w:val="0"/>
        </w:rPr>
        <w:t>.</w:t>
      </w:r>
      <w:r>
        <w:rPr>
          <w:snapToGrid w:val="0"/>
        </w:rPr>
        <w:tab/>
        <w:t>Seal of corporation substitute for signature</w:t>
      </w:r>
      <w:r>
        <w:tab/>
      </w:r>
      <w:r>
        <w:fldChar w:fldCharType="begin"/>
      </w:r>
      <w:r>
        <w:instrText xml:space="preserve"> PAGEREF _Toc141092829 \h </w:instrText>
      </w:r>
      <w:r>
        <w:fldChar w:fldCharType="separate"/>
      </w:r>
      <w:r>
        <w:t>146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Implied covenants and powers may be modified or negatived</w:t>
      </w:r>
      <w:r>
        <w:tab/>
      </w:r>
      <w:r>
        <w:fldChar w:fldCharType="begin"/>
      </w:r>
      <w:r>
        <w:instrText xml:space="preserve"> PAGEREF _Toc141092830 \h </w:instrText>
      </w:r>
      <w:r>
        <w:fldChar w:fldCharType="separate"/>
      </w:r>
      <w:r>
        <w:t>146</w:t>
      </w:r>
      <w:r>
        <w:fldChar w:fldCharType="end"/>
      </w:r>
    </w:p>
    <w:p>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_Toc141092831 \h </w:instrText>
      </w:r>
      <w:r>
        <w:fldChar w:fldCharType="separate"/>
      </w:r>
      <w:r>
        <w:t>147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Purchaser from registered proprietor not required to inquire into title and not affected by notice of unregistered interest etc.</w:t>
      </w:r>
      <w:r>
        <w:tab/>
      </w:r>
      <w:r>
        <w:fldChar w:fldCharType="begin"/>
      </w:r>
      <w:r>
        <w:instrText xml:space="preserve"> PAGEREF _Toc141092832 \h </w:instrText>
      </w:r>
      <w:r>
        <w:fldChar w:fldCharType="separate"/>
      </w:r>
      <w:r>
        <w:t>152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Transferee of tenant in tail may be registered for larger estate which tenant in tail can confer</w:t>
      </w:r>
      <w:r>
        <w:tab/>
      </w:r>
      <w:r>
        <w:fldChar w:fldCharType="begin"/>
      </w:r>
      <w:r>
        <w:instrText xml:space="preserve"> PAGEREF _Toc141092833 \h </w:instrText>
      </w:r>
      <w:r>
        <w:fldChar w:fldCharType="separate"/>
      </w:r>
      <w:r>
        <w:t>153</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Registrar to furnish plan showing land dealt with where memorandum on certificate does not describe the land</w:t>
      </w:r>
      <w:r>
        <w:tab/>
      </w:r>
      <w:r>
        <w:fldChar w:fldCharType="begin"/>
      </w:r>
      <w:r>
        <w:instrText xml:space="preserve"> PAGEREF _Toc141092834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pPr>
        <w:pStyle w:val="TOC8"/>
        <w:rPr>
          <w:rFonts w:asciiTheme="minorHAnsi" w:eastAsiaTheme="minorEastAsia" w:hAnsiTheme="minorHAnsi" w:cstheme="minorBidi"/>
          <w:szCs w:val="22"/>
        </w:rPr>
      </w:pPr>
      <w:r>
        <w:t>136A</w:t>
      </w:r>
      <w:r>
        <w:rPr>
          <w:snapToGrid w:val="0"/>
        </w:rPr>
        <w:t>.</w:t>
      </w:r>
      <w:r>
        <w:rPr>
          <w:snapToGrid w:val="0"/>
        </w:rPr>
        <w:tab/>
        <w:t>Term used: plan</w:t>
      </w:r>
      <w:r>
        <w:tab/>
      </w:r>
      <w:r>
        <w:fldChar w:fldCharType="begin"/>
      </w:r>
      <w:r>
        <w:instrText xml:space="preserve"> PAGEREF _Toc141092836 \h </w:instrText>
      </w:r>
      <w:r>
        <w:fldChar w:fldCharType="separate"/>
      </w:r>
      <w:r>
        <w:t>155</w:t>
      </w:r>
      <w:r>
        <w:fldChar w:fldCharType="end"/>
      </w:r>
    </w:p>
    <w:p>
      <w:pPr>
        <w:pStyle w:val="TOC8"/>
        <w:rPr>
          <w:rFonts w:asciiTheme="minorHAnsi" w:eastAsiaTheme="minorEastAsia" w:hAnsiTheme="minorHAnsi" w:cstheme="minorBidi"/>
          <w:szCs w:val="22"/>
        </w:rPr>
      </w:pPr>
      <w:r>
        <w:t>136B</w:t>
      </w:r>
      <w:r>
        <w:rPr>
          <w:snapToGrid w:val="0"/>
        </w:rPr>
        <w:t>.</w:t>
      </w:r>
      <w:r>
        <w:rPr>
          <w:snapToGrid w:val="0"/>
        </w:rPr>
        <w:tab/>
        <w:t>Application of this Part</w:t>
      </w:r>
      <w:r>
        <w:tab/>
      </w:r>
      <w:r>
        <w:fldChar w:fldCharType="begin"/>
      </w:r>
      <w:r>
        <w:instrText xml:space="preserve"> PAGEREF _Toc141092837 \h </w:instrText>
      </w:r>
      <w:r>
        <w:fldChar w:fldCharType="separate"/>
      </w:r>
      <w:r>
        <w:t>155</w:t>
      </w:r>
      <w:r>
        <w:fldChar w:fldCharType="end"/>
      </w:r>
    </w:p>
    <w:p>
      <w:pPr>
        <w:pStyle w:val="TOC8"/>
        <w:rPr>
          <w:rFonts w:asciiTheme="minorHAnsi" w:eastAsiaTheme="minorEastAsia" w:hAnsiTheme="minorHAnsi" w:cstheme="minorBidi"/>
          <w:szCs w:val="22"/>
        </w:rPr>
      </w:pPr>
      <w:r>
        <w:t>136C</w:t>
      </w:r>
      <w:r>
        <w:rPr>
          <w:snapToGrid w:val="0"/>
        </w:rPr>
        <w:t>.</w:t>
      </w:r>
      <w:r>
        <w:rPr>
          <w:snapToGrid w:val="0"/>
        </w:rPr>
        <w:tab/>
        <w:t>Notation of easements on subdivision plans</w:t>
      </w:r>
      <w:r>
        <w:tab/>
      </w:r>
      <w:r>
        <w:fldChar w:fldCharType="begin"/>
      </w:r>
      <w:r>
        <w:instrText xml:space="preserve"> PAGEREF _Toc141092838 \h </w:instrText>
      </w:r>
      <w:r>
        <w:fldChar w:fldCharType="separate"/>
      </w:r>
      <w:r>
        <w:t>155</w:t>
      </w:r>
      <w:r>
        <w:fldChar w:fldCharType="end"/>
      </w:r>
    </w:p>
    <w:p>
      <w:pPr>
        <w:pStyle w:val="TOC8"/>
        <w:rPr>
          <w:rFonts w:asciiTheme="minorHAnsi" w:eastAsiaTheme="minorEastAsia" w:hAnsiTheme="minorHAnsi" w:cstheme="minorBidi"/>
          <w:szCs w:val="22"/>
        </w:rPr>
      </w:pPr>
      <w:r>
        <w:t>136D</w:t>
      </w:r>
      <w:r>
        <w:rPr>
          <w:snapToGrid w:val="0"/>
        </w:rPr>
        <w:t>.</w:t>
      </w:r>
      <w:r>
        <w:rPr>
          <w:snapToGrid w:val="0"/>
        </w:rPr>
        <w:tab/>
        <w:t>Notation of restrictive covenants on subdivision plans</w:t>
      </w:r>
      <w:r>
        <w:tab/>
      </w:r>
      <w:r>
        <w:fldChar w:fldCharType="begin"/>
      </w:r>
      <w:r>
        <w:instrText xml:space="preserve"> PAGEREF _Toc141092839 \h </w:instrText>
      </w:r>
      <w:r>
        <w:fldChar w:fldCharType="separate"/>
      </w:r>
      <w:r>
        <w:t>157</w:t>
      </w:r>
      <w:r>
        <w:fldChar w:fldCharType="end"/>
      </w:r>
    </w:p>
    <w:p>
      <w:pPr>
        <w:pStyle w:val="TOC8"/>
        <w:rPr>
          <w:rFonts w:asciiTheme="minorHAnsi" w:eastAsiaTheme="minorEastAsia" w:hAnsiTheme="minorHAnsi" w:cstheme="minorBidi"/>
          <w:szCs w:val="22"/>
        </w:rPr>
      </w:pPr>
      <w:r>
        <w:t>136E</w:t>
      </w:r>
      <w:r>
        <w:rPr>
          <w:snapToGrid w:val="0"/>
        </w:rPr>
        <w:t>.</w:t>
      </w:r>
      <w:r>
        <w:rPr>
          <w:snapToGrid w:val="0"/>
        </w:rPr>
        <w:tab/>
        <w:t>Consent of certain persons required to creation of easements and restrictive covenants</w:t>
      </w:r>
      <w:r>
        <w:tab/>
      </w:r>
      <w:r>
        <w:fldChar w:fldCharType="begin"/>
      </w:r>
      <w:r>
        <w:instrText xml:space="preserve"> PAGEREF _Toc141092840 \h </w:instrText>
      </w:r>
      <w:r>
        <w:fldChar w:fldCharType="separate"/>
      </w:r>
      <w:r>
        <w:t>158</w:t>
      </w:r>
      <w:r>
        <w:fldChar w:fldCharType="end"/>
      </w:r>
    </w:p>
    <w:p>
      <w:pPr>
        <w:pStyle w:val="TOC8"/>
        <w:rPr>
          <w:rFonts w:asciiTheme="minorHAnsi" w:eastAsiaTheme="minorEastAsia" w:hAnsiTheme="minorHAnsi" w:cstheme="minorBidi"/>
          <w:szCs w:val="22"/>
        </w:rPr>
      </w:pPr>
      <w:r>
        <w:t>136F</w:t>
      </w:r>
      <w:r>
        <w:rPr>
          <w:snapToGrid w:val="0"/>
        </w:rPr>
        <w:t>.</w:t>
      </w:r>
      <w:r>
        <w:rPr>
          <w:snapToGrid w:val="0"/>
        </w:rPr>
        <w:tab/>
        <w:t>When easements and restrictive covenants under this Part have effect</w:t>
      </w:r>
      <w:r>
        <w:tab/>
      </w:r>
      <w:r>
        <w:fldChar w:fldCharType="begin"/>
      </w:r>
      <w:r>
        <w:instrText xml:space="preserve"> PAGEREF _Toc141092841 \h </w:instrText>
      </w:r>
      <w:r>
        <w:fldChar w:fldCharType="separate"/>
      </w:r>
      <w:r>
        <w:t>159</w:t>
      </w:r>
      <w:r>
        <w:fldChar w:fldCharType="end"/>
      </w:r>
    </w:p>
    <w:p>
      <w:pPr>
        <w:pStyle w:val="TOC8"/>
        <w:rPr>
          <w:rFonts w:asciiTheme="minorHAnsi" w:eastAsiaTheme="minorEastAsia" w:hAnsiTheme="minorHAnsi" w:cstheme="minorBidi"/>
          <w:szCs w:val="22"/>
        </w:rPr>
      </w:pPr>
      <w:r>
        <w:t>136G</w:t>
      </w:r>
      <w:r>
        <w:rPr>
          <w:snapToGrid w:val="0"/>
        </w:rPr>
        <w:t>.</w:t>
      </w:r>
      <w:r>
        <w:rPr>
          <w:snapToGrid w:val="0"/>
        </w:rPr>
        <w:tab/>
        <w:t>Easements and restrictive covenants under this Part may be effective for specified term only</w:t>
      </w:r>
      <w:r>
        <w:tab/>
      </w:r>
      <w:r>
        <w:fldChar w:fldCharType="begin"/>
      </w:r>
      <w:r>
        <w:instrText xml:space="preserve"> PAGEREF _Toc141092842 \h </w:instrText>
      </w:r>
      <w:r>
        <w:fldChar w:fldCharType="separate"/>
      </w:r>
      <w:r>
        <w:t>159</w:t>
      </w:r>
      <w:r>
        <w:fldChar w:fldCharType="end"/>
      </w:r>
    </w:p>
    <w:p>
      <w:pPr>
        <w:pStyle w:val="TOC8"/>
        <w:rPr>
          <w:rFonts w:asciiTheme="minorHAnsi" w:eastAsiaTheme="minorEastAsia" w:hAnsiTheme="minorHAnsi" w:cstheme="minorBidi"/>
          <w:szCs w:val="22"/>
        </w:rPr>
      </w:pPr>
      <w:r>
        <w:t>136H</w:t>
      </w:r>
      <w:r>
        <w:rPr>
          <w:snapToGrid w:val="0"/>
        </w:rPr>
        <w:t>.</w:t>
      </w:r>
      <w:r>
        <w:rPr>
          <w:snapToGrid w:val="0"/>
        </w:rPr>
        <w:tab/>
        <w:t>Easements and restrictive covenants under this Part may both burden and benefit land of same proprietor</w:t>
      </w:r>
      <w:r>
        <w:tab/>
      </w:r>
      <w:r>
        <w:fldChar w:fldCharType="begin"/>
      </w:r>
      <w:r>
        <w:instrText xml:space="preserve"> PAGEREF _Toc141092843 \h </w:instrText>
      </w:r>
      <w:r>
        <w:fldChar w:fldCharType="separate"/>
      </w:r>
      <w:r>
        <w:t>159</w:t>
      </w:r>
      <w:r>
        <w:fldChar w:fldCharType="end"/>
      </w:r>
    </w:p>
    <w:p>
      <w:pPr>
        <w:pStyle w:val="TOC8"/>
        <w:rPr>
          <w:rFonts w:asciiTheme="minorHAnsi" w:eastAsiaTheme="minorEastAsia" w:hAnsiTheme="minorHAnsi" w:cstheme="minorBidi"/>
          <w:szCs w:val="22"/>
        </w:rPr>
      </w:pPr>
      <w:r>
        <w:t>136I</w:t>
      </w:r>
      <w:r>
        <w:rPr>
          <w:snapToGrid w:val="0"/>
        </w:rPr>
        <w:t>.</w:t>
      </w:r>
      <w:r>
        <w:rPr>
          <w:snapToGrid w:val="0"/>
        </w:rPr>
        <w:tab/>
        <w:t>Recordings in Register</w:t>
      </w:r>
      <w:r>
        <w:tab/>
      </w:r>
      <w:r>
        <w:fldChar w:fldCharType="begin"/>
      </w:r>
      <w:r>
        <w:instrText xml:space="preserve"> PAGEREF _Toc141092844 \h </w:instrText>
      </w:r>
      <w:r>
        <w:fldChar w:fldCharType="separate"/>
      </w:r>
      <w:r>
        <w:t>160</w:t>
      </w:r>
      <w:r>
        <w:fldChar w:fldCharType="end"/>
      </w:r>
    </w:p>
    <w:p>
      <w:pPr>
        <w:pStyle w:val="TOC8"/>
        <w:rPr>
          <w:rFonts w:asciiTheme="minorHAnsi" w:eastAsiaTheme="minorEastAsia" w:hAnsiTheme="minorHAnsi" w:cstheme="minorBidi"/>
          <w:szCs w:val="22"/>
        </w:rPr>
      </w:pPr>
      <w:r>
        <w:t>136J</w:t>
      </w:r>
      <w:r>
        <w:rPr>
          <w:snapToGrid w:val="0"/>
        </w:rPr>
        <w:t>.</w:t>
      </w:r>
      <w:r>
        <w:rPr>
          <w:snapToGrid w:val="0"/>
        </w:rPr>
        <w:tab/>
        <w:t>Discharge and modification of easements and restrictive covenants under this Part</w:t>
      </w:r>
      <w:r>
        <w:tab/>
      </w:r>
      <w:r>
        <w:fldChar w:fldCharType="begin"/>
      </w:r>
      <w:r>
        <w:instrText xml:space="preserve"> PAGEREF _Toc141092845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Caveats</w:t>
      </w:r>
    </w:p>
    <w:p>
      <w:pPr>
        <w:pStyle w:val="TOC8"/>
        <w:rPr>
          <w:rFonts w:asciiTheme="minorHAnsi" w:eastAsiaTheme="minorEastAsia" w:hAnsiTheme="minorHAnsi" w:cstheme="minorBidi"/>
          <w:szCs w:val="22"/>
        </w:rPr>
      </w:pPr>
      <w:r>
        <w:t>136K</w:t>
      </w:r>
      <w:r>
        <w:rPr>
          <w:snapToGrid w:val="0"/>
        </w:rPr>
        <w:t>.</w:t>
      </w:r>
      <w:r>
        <w:rPr>
          <w:snapToGrid w:val="0"/>
        </w:rPr>
        <w:tab/>
        <w:t>Term used: section 138A caveat; application of this Part</w:t>
      </w:r>
      <w:r>
        <w:tab/>
      </w:r>
      <w:r>
        <w:fldChar w:fldCharType="begin"/>
      </w:r>
      <w:r>
        <w:instrText xml:space="preserve"> PAGEREF _Toc141092847 \h </w:instrText>
      </w:r>
      <w:r>
        <w:fldChar w:fldCharType="separate"/>
      </w:r>
      <w:r>
        <w:t>163</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Lodging caveats for land already under this Act</w:t>
      </w:r>
      <w:r>
        <w:tab/>
      </w:r>
      <w:r>
        <w:fldChar w:fldCharType="begin"/>
      </w:r>
      <w:r>
        <w:instrText xml:space="preserve"> PAGEREF _Toc141092848 \h </w:instrText>
      </w:r>
      <w:r>
        <w:fldChar w:fldCharType="separate"/>
      </w:r>
      <w:r>
        <w:t>163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Consequences of lodging caveat</w:t>
      </w:r>
      <w:r>
        <w:tab/>
      </w:r>
      <w:r>
        <w:fldChar w:fldCharType="begin"/>
      </w:r>
      <w:r>
        <w:instrText xml:space="preserve"> PAGEREF _Toc141092849 \h </w:instrText>
      </w:r>
      <w:r>
        <w:fldChar w:fldCharType="separate"/>
      </w:r>
      <w:r>
        <w:t>164</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Caveats to which s. 138B to 138D apply</w:t>
      </w:r>
      <w:r>
        <w:tab/>
      </w:r>
      <w:r>
        <w:fldChar w:fldCharType="begin"/>
      </w:r>
      <w:r>
        <w:instrText xml:space="preserve"> PAGEREF _Toc141092850 \h </w:instrText>
      </w:r>
      <w:r>
        <w:fldChar w:fldCharType="separate"/>
      </w:r>
      <w:r>
        <w:t>166</w:t>
      </w:r>
      <w:r>
        <w:fldChar w:fldCharType="end"/>
      </w:r>
    </w:p>
    <w:p>
      <w:pPr>
        <w:pStyle w:val="TOC8"/>
        <w:rPr>
          <w:rFonts w:asciiTheme="minorHAnsi" w:eastAsiaTheme="minorEastAsia" w:hAnsiTheme="minorHAnsi" w:cstheme="minorBidi"/>
          <w:szCs w:val="22"/>
        </w:rPr>
      </w:pPr>
      <w:r>
        <w:t>138B</w:t>
      </w:r>
      <w:r>
        <w:rPr>
          <w:snapToGrid w:val="0"/>
        </w:rPr>
        <w:t>.</w:t>
      </w:r>
      <w:r>
        <w:rPr>
          <w:snapToGrid w:val="0"/>
        </w:rPr>
        <w:tab/>
        <w:t>Requiring caveator to seek court order extending s. 138A caveat</w:t>
      </w:r>
      <w:r>
        <w:tab/>
      </w:r>
      <w:r>
        <w:fldChar w:fldCharType="begin"/>
      </w:r>
      <w:r>
        <w:instrText xml:space="preserve"> PAGEREF _Toc141092851 \h </w:instrText>
      </w:r>
      <w:r>
        <w:fldChar w:fldCharType="separate"/>
      </w:r>
      <w:r>
        <w:t>166</w:t>
      </w:r>
      <w:r>
        <w:fldChar w:fldCharType="end"/>
      </w:r>
    </w:p>
    <w:p>
      <w:pPr>
        <w:pStyle w:val="TOC8"/>
        <w:rPr>
          <w:rFonts w:asciiTheme="minorHAnsi" w:eastAsiaTheme="minorEastAsia" w:hAnsiTheme="minorHAnsi" w:cstheme="minorBidi"/>
          <w:szCs w:val="22"/>
        </w:rPr>
      </w:pPr>
      <w:r>
        <w:t>138C</w:t>
      </w:r>
      <w:r>
        <w:rPr>
          <w:snapToGrid w:val="0"/>
        </w:rPr>
        <w:t>.</w:t>
      </w:r>
      <w:r>
        <w:rPr>
          <w:snapToGrid w:val="0"/>
        </w:rPr>
        <w:tab/>
        <w:t>Supreme Court’s powers on application by caveator</w:t>
      </w:r>
      <w:r>
        <w:tab/>
      </w:r>
      <w:r>
        <w:fldChar w:fldCharType="begin"/>
      </w:r>
      <w:r>
        <w:instrText xml:space="preserve"> PAGEREF _Toc141092852 \h </w:instrText>
      </w:r>
      <w:r>
        <w:fldChar w:fldCharType="separate"/>
      </w:r>
      <w:r>
        <w:t>167</w:t>
      </w:r>
      <w:r>
        <w:fldChar w:fldCharType="end"/>
      </w:r>
    </w:p>
    <w:p>
      <w:pPr>
        <w:pStyle w:val="TOC8"/>
        <w:rPr>
          <w:rFonts w:asciiTheme="minorHAnsi" w:eastAsiaTheme="minorEastAsia" w:hAnsiTheme="minorHAnsi" w:cstheme="minorBidi"/>
          <w:szCs w:val="22"/>
        </w:rPr>
      </w:pPr>
      <w:r>
        <w:t>138D</w:t>
      </w:r>
      <w:r>
        <w:rPr>
          <w:snapToGrid w:val="0"/>
        </w:rPr>
        <w:t>.</w:t>
      </w:r>
      <w:r>
        <w:rPr>
          <w:snapToGrid w:val="0"/>
        </w:rPr>
        <w:tab/>
        <w:t>Restrictions on caveators lodging further s. 138A caveats</w:t>
      </w:r>
      <w:r>
        <w:tab/>
      </w:r>
      <w:r>
        <w:fldChar w:fldCharType="begin"/>
      </w:r>
      <w:r>
        <w:instrText xml:space="preserve"> PAGEREF _Toc141092853 \h </w:instrText>
      </w:r>
      <w:r>
        <w:fldChar w:fldCharType="separate"/>
      </w:r>
      <w:r>
        <w:t>168</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Effect of caveats</w:t>
      </w:r>
      <w:r>
        <w:tab/>
      </w:r>
      <w:r>
        <w:fldChar w:fldCharType="begin"/>
      </w:r>
      <w:r>
        <w:instrText xml:space="preserve"> PAGEREF _Toc141092854 \h </w:instrText>
      </w:r>
      <w:r>
        <w:fldChar w:fldCharType="separate"/>
      </w:r>
      <w:r>
        <w:t>169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Compensation for caveat lodged without reasonable cause</w:t>
      </w:r>
      <w:r>
        <w:tab/>
      </w:r>
      <w:r>
        <w:fldChar w:fldCharType="begin"/>
      </w:r>
      <w:r>
        <w:instrText xml:space="preserve"> PAGEREF _Toc141092855 \h </w:instrText>
      </w:r>
      <w:r>
        <w:fldChar w:fldCharType="separate"/>
      </w:r>
      <w:r>
        <w:t>169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Registrar’s duties when caveat lodged or lapses</w:t>
      </w:r>
      <w:r>
        <w:tab/>
      </w:r>
      <w:r>
        <w:fldChar w:fldCharType="begin"/>
      </w:r>
      <w:r>
        <w:instrText xml:space="preserve"> PAGEREF _Toc141092856 \h </w:instrText>
      </w:r>
      <w:r>
        <w:fldChar w:fldCharType="separate"/>
      </w:r>
      <w:r>
        <w:t>170</w:t>
      </w:r>
      <w:r>
        <w:fldChar w:fldCharType="end"/>
      </w:r>
    </w:p>
    <w:p>
      <w:pPr>
        <w:pStyle w:val="TOC8"/>
        <w:rPr>
          <w:rFonts w:asciiTheme="minorHAnsi" w:eastAsiaTheme="minorEastAsia" w:hAnsiTheme="minorHAnsi" w:cstheme="minorBidi"/>
          <w:szCs w:val="22"/>
        </w:rPr>
      </w:pPr>
      <w:r>
        <w:t>141A</w:t>
      </w:r>
      <w:r>
        <w:rPr>
          <w:snapToGrid w:val="0"/>
        </w:rPr>
        <w:t>.</w:t>
      </w:r>
      <w:r>
        <w:rPr>
          <w:snapToGrid w:val="0"/>
        </w:rPr>
        <w:tab/>
        <w:t>Requiring caveators to withdraw caveats or substantiate their claims</w:t>
      </w:r>
      <w:r>
        <w:tab/>
      </w:r>
      <w:r>
        <w:fldChar w:fldCharType="begin"/>
      </w:r>
      <w:r>
        <w:instrText xml:space="preserve"> PAGEREF _Toc141092857 \h </w:instrText>
      </w:r>
      <w:r>
        <w:fldChar w:fldCharType="separate"/>
      </w:r>
      <w:r>
        <w:t>170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Caveat on behalf of beneficiary under will or settlement does not bar registration in certain cases</w:t>
      </w:r>
      <w:r>
        <w:tab/>
      </w:r>
      <w:r>
        <w:fldChar w:fldCharType="begin"/>
      </w:r>
      <w:r>
        <w:instrText xml:space="preserve"> PAGEREF _Toc141092858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pPr>
        <w:pStyle w:val="TOC8"/>
        <w:rPr>
          <w:rFonts w:asciiTheme="minorHAnsi" w:eastAsiaTheme="minorEastAsia" w:hAnsiTheme="minorHAnsi" w:cstheme="minorBidi"/>
          <w:szCs w:val="22"/>
        </w:rPr>
      </w:pPr>
      <w:r>
        <w:t>143</w:t>
      </w:r>
      <w:r>
        <w:rPr>
          <w:snapToGrid w:val="0"/>
        </w:rPr>
        <w:t>.</w:t>
      </w:r>
      <w:r>
        <w:rPr>
          <w:snapToGrid w:val="0"/>
        </w:rPr>
        <w:tab/>
        <w:t>Powers of attorney, creation and filing of</w:t>
      </w:r>
      <w:r>
        <w:tab/>
      </w:r>
      <w:r>
        <w:fldChar w:fldCharType="begin"/>
      </w:r>
      <w:r>
        <w:instrText xml:space="preserve"> PAGEREF _Toc141092860 \h </w:instrText>
      </w:r>
      <w:r>
        <w:fldChar w:fldCharType="separate"/>
      </w:r>
      <w:r>
        <w:t>172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Powers of attorney, effect of</w:t>
      </w:r>
      <w:r>
        <w:tab/>
      </w:r>
      <w:r>
        <w:fldChar w:fldCharType="begin"/>
      </w:r>
      <w:r>
        <w:instrText xml:space="preserve"> PAGEREF _Toc141092861 \h </w:instrText>
      </w:r>
      <w:r>
        <w:fldChar w:fldCharType="separate"/>
      </w:r>
      <w:r>
        <w:t>173</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Signatures on documents, witnessing requirements</w:t>
      </w:r>
      <w:r>
        <w:tab/>
      </w:r>
      <w:r>
        <w:fldChar w:fldCharType="begin"/>
      </w:r>
      <w:r>
        <w:instrText xml:space="preserve"> PAGEREF _Toc141092862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VII — Search certificates and stay orders</w:t>
      </w:r>
    </w:p>
    <w:p>
      <w:pPr>
        <w:pStyle w:val="TOC8"/>
        <w:rPr>
          <w:rFonts w:asciiTheme="minorHAnsi" w:eastAsiaTheme="minorEastAsia" w:hAnsiTheme="minorHAnsi" w:cstheme="minorBidi"/>
          <w:szCs w:val="22"/>
        </w:rPr>
      </w:pPr>
      <w:r>
        <w:t>146</w:t>
      </w:r>
      <w:r>
        <w:rPr>
          <w:snapToGrid w:val="0"/>
        </w:rPr>
        <w:t>.</w:t>
      </w:r>
      <w:r>
        <w:rPr>
          <w:snapToGrid w:val="0"/>
        </w:rPr>
        <w:tab/>
        <w:t>Finding out whether proprietor is free to deal with land</w:t>
      </w:r>
      <w:r>
        <w:tab/>
      </w:r>
      <w:r>
        <w:fldChar w:fldCharType="begin"/>
      </w:r>
      <w:r>
        <w:instrText xml:space="preserve"> PAGEREF _Toc141092864 \h </w:instrText>
      </w:r>
      <w:r>
        <w:fldChar w:fldCharType="separate"/>
      </w:r>
      <w:r>
        <w:t>176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Person issued search certificate under s. 146 entitled to inspect certificate of title</w:t>
      </w:r>
      <w:r>
        <w:tab/>
      </w:r>
      <w:r>
        <w:fldChar w:fldCharType="begin"/>
      </w:r>
      <w:r>
        <w:instrText xml:space="preserve"> PAGEREF _Toc141092865 \h </w:instrText>
      </w:r>
      <w:r>
        <w:fldChar w:fldCharType="separate"/>
      </w:r>
      <w:r>
        <w:t>176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Person proposing to deal with proprietor may obtain stay of registration for 48 hours if title is clear</w:t>
      </w:r>
      <w:r>
        <w:tab/>
      </w:r>
      <w:r>
        <w:fldChar w:fldCharType="begin"/>
      </w:r>
      <w:r>
        <w:instrText xml:space="preserve"> PAGEREF _Toc141092866 \h </w:instrText>
      </w:r>
      <w:r>
        <w:fldChar w:fldCharType="separate"/>
      </w:r>
      <w:r>
        <w:t>176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Instrument effecting proposed dealing entitled to priority if lodged within 48 hour stay granted under s. 148</w:t>
      </w:r>
      <w:r>
        <w:tab/>
      </w:r>
      <w:r>
        <w:fldChar w:fldCharType="begin"/>
      </w:r>
      <w:r>
        <w:instrText xml:space="preserve"> PAGEREF _Toc141092867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150</w:t>
      </w:r>
      <w:r>
        <w:rPr>
          <w:snapToGrid w:val="0"/>
        </w:rPr>
        <w:t>.</w:t>
      </w:r>
      <w:r>
        <w:rPr>
          <w:snapToGrid w:val="0"/>
        </w:rPr>
        <w:tab/>
        <w:t>Other instruments received in the 48 hours to have usual priority if proposed dealing not lodged under s. 149</w:t>
      </w:r>
      <w:r>
        <w:tab/>
      </w:r>
      <w:r>
        <w:fldChar w:fldCharType="begin"/>
      </w:r>
      <w:r>
        <w:instrText xml:space="preserve"> PAGEREF _Toc141092868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pPr>
        <w:pStyle w:val="TOC8"/>
        <w:rPr>
          <w:rFonts w:asciiTheme="minorHAnsi" w:eastAsiaTheme="minorEastAsia" w:hAnsiTheme="minorHAnsi" w:cstheme="minorBidi"/>
          <w:szCs w:val="22"/>
        </w:rPr>
      </w:pPr>
      <w:r>
        <w:t>151</w:t>
      </w:r>
      <w:r>
        <w:rPr>
          <w:snapToGrid w:val="0"/>
        </w:rPr>
        <w:t>.</w:t>
      </w:r>
      <w:r>
        <w:rPr>
          <w:snapToGrid w:val="0"/>
        </w:rPr>
        <w:tab/>
        <w:t>Crown survey boundaries as marked on ground are true boundaries</w:t>
      </w:r>
      <w:r>
        <w:tab/>
      </w:r>
      <w:r>
        <w:fldChar w:fldCharType="begin"/>
      </w:r>
      <w:r>
        <w:instrText xml:space="preserve"> PAGEREF _Toc141092870 \h </w:instrText>
      </w:r>
      <w:r>
        <w:fldChar w:fldCharType="separate"/>
      </w:r>
      <w:r>
        <w:t>178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Crown grant or lease conveys land within survey boundaries</w:t>
      </w:r>
      <w:r>
        <w:tab/>
      </w:r>
      <w:r>
        <w:fldChar w:fldCharType="begin"/>
      </w:r>
      <w:r>
        <w:instrText xml:space="preserve"> PAGEREF _Toc141092871 \h </w:instrText>
      </w:r>
      <w:r>
        <w:fldChar w:fldCharType="separate"/>
      </w:r>
      <w:r>
        <w:t>178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Aliquot parts of Crown section having excess of area</w:t>
      </w:r>
      <w:r>
        <w:tab/>
      </w:r>
      <w:r>
        <w:fldChar w:fldCharType="begin"/>
      </w:r>
      <w:r>
        <w:instrText xml:space="preserve"> PAGEREF _Toc141092872 \h </w:instrText>
      </w:r>
      <w:r>
        <w:fldChar w:fldCharType="separate"/>
      </w:r>
      <w:r>
        <w:t>179</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Land not in grant etc. but included in certificate due to error in survey may be deemed included in grant etc.</w:t>
      </w:r>
      <w:r>
        <w:tab/>
      </w:r>
      <w:r>
        <w:fldChar w:fldCharType="begin"/>
      </w:r>
      <w:r>
        <w:instrText xml:space="preserve"> PAGEREF _Toc141092873 \h </w:instrText>
      </w:r>
      <w:r>
        <w:fldChar w:fldCharType="separate"/>
      </w:r>
      <w:r>
        <w:t>179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How boundaries may be proved in absence of survey marks</w:t>
      </w:r>
      <w:r>
        <w:tab/>
      </w:r>
      <w:r>
        <w:fldChar w:fldCharType="begin"/>
      </w:r>
      <w:r>
        <w:instrText xml:space="preserve"> PAGEREF _Toc141092874 \h </w:instrText>
      </w:r>
      <w:r>
        <w:fldChar w:fldCharType="separate"/>
      </w:r>
      <w:r>
        <w:t>180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Margin of error allowed in description of boundaries</w:t>
      </w:r>
      <w:r>
        <w:tab/>
      </w:r>
      <w:r>
        <w:fldChar w:fldCharType="begin"/>
      </w:r>
      <w:r>
        <w:instrText xml:space="preserve"> PAGEREF _Toc141092875 \h </w:instrText>
      </w:r>
      <w:r>
        <w:fldChar w:fldCharType="separate"/>
      </w:r>
      <w:r>
        <w:t>181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Commissioner may require special survey of land</w:t>
      </w:r>
      <w:r>
        <w:tab/>
      </w:r>
      <w:r>
        <w:fldChar w:fldCharType="begin"/>
      </w:r>
      <w:r>
        <w:instrText xml:space="preserve"> PAGEREF _Toc141092876 \h </w:instrText>
      </w:r>
      <w:r>
        <w:fldChar w:fldCharType="separate"/>
      </w:r>
      <w:r>
        <w:t>181</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Commissioner may require accuracy of survey to be verified</w:t>
      </w:r>
      <w:r>
        <w:tab/>
      </w:r>
      <w:r>
        <w:fldChar w:fldCharType="begin"/>
      </w:r>
      <w:r>
        <w:instrText xml:space="preserve"> PAGEREF _Toc141092877 \h </w:instrText>
      </w:r>
      <w:r>
        <w:fldChar w:fldCharType="separate"/>
      </w:r>
      <w:r>
        <w:t>182</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Commissioner may disregard minute errors of dimensions</w:t>
      </w:r>
      <w:r>
        <w:tab/>
      </w:r>
      <w:r>
        <w:fldChar w:fldCharType="begin"/>
      </w:r>
      <w:r>
        <w:instrText xml:space="preserve"> PAGEREF _Toc141092878 \h </w:instrText>
      </w:r>
      <w:r>
        <w:fldChar w:fldCharType="separate"/>
      </w:r>
      <w:r>
        <w:t>182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Excess land may be apportioned between different owners or proprietors</w:t>
      </w:r>
      <w:r>
        <w:tab/>
      </w:r>
      <w:r>
        <w:fldChar w:fldCharType="begin"/>
      </w:r>
      <w:r>
        <w:instrText xml:space="preserve"> PAGEREF _Toc141092879 \h </w:instrText>
      </w:r>
      <w:r>
        <w:fldChar w:fldCharType="separate"/>
      </w:r>
      <w:r>
        <w:t>183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Commissioner’s powers where boundaries unclear in subdivision</w:t>
      </w:r>
      <w:r>
        <w:tab/>
      </w:r>
      <w:r>
        <w:fldChar w:fldCharType="begin"/>
      </w:r>
      <w:r>
        <w:instrText xml:space="preserve"> PAGEREF _Toc141092880 \h </w:instrText>
      </w:r>
      <w:r>
        <w:fldChar w:fldCharType="separate"/>
      </w:r>
      <w:r>
        <w:t>183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Plan to be made of subdivision proposed under s. 160</w:t>
      </w:r>
      <w:r>
        <w:tab/>
      </w:r>
      <w:r>
        <w:fldChar w:fldCharType="begin"/>
      </w:r>
      <w:r>
        <w:instrText xml:space="preserve"> PAGEREF _Toc141092881 \h </w:instrText>
      </w:r>
      <w:r>
        <w:fldChar w:fldCharType="separate"/>
      </w:r>
      <w:r>
        <w:t>185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Subdivision proposed under s. 160 to be advertised etc.</w:t>
      </w:r>
      <w:r>
        <w:tab/>
      </w:r>
      <w:r>
        <w:fldChar w:fldCharType="begin"/>
      </w:r>
      <w:r>
        <w:instrText xml:space="preserve"> PAGEREF _Toc141092882 \h </w:instrText>
      </w:r>
      <w:r>
        <w:fldChar w:fldCharType="separate"/>
      </w:r>
      <w:r>
        <w:t>185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Finalised subdivision, verification and effect of plan of</w:t>
      </w:r>
      <w:r>
        <w:tab/>
      </w:r>
      <w:r>
        <w:fldChar w:fldCharType="begin"/>
      </w:r>
      <w:r>
        <w:instrText xml:space="preserve"> PAGEREF _Toc141092883 \h </w:instrText>
      </w:r>
      <w:r>
        <w:fldChar w:fldCharType="separate"/>
      </w:r>
      <w:r>
        <w:t>185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Public notice to be given of finalised subdivision and plan</w:t>
      </w:r>
      <w:r>
        <w:tab/>
      </w:r>
      <w:r>
        <w:fldChar w:fldCharType="begin"/>
      </w:r>
      <w:r>
        <w:instrText xml:space="preserve"> PAGEREF _Toc141092884 \h </w:instrText>
      </w:r>
      <w:r>
        <w:fldChar w:fldCharType="separate"/>
      </w:r>
      <w:r>
        <w:t>186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Expense of survey ordered under s. 160, how paid</w:t>
      </w:r>
      <w:r>
        <w:tab/>
      </w:r>
      <w:r>
        <w:fldChar w:fldCharType="begin"/>
      </w:r>
      <w:r>
        <w:instrText xml:space="preserve"> PAGEREF _Toc141092885 \h </w:instrText>
      </w:r>
      <w:r>
        <w:fldChar w:fldCharType="separate"/>
      </w:r>
      <w:r>
        <w:t>186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New certificates of title on subdivision of land</w:t>
      </w:r>
      <w:r>
        <w:tab/>
      </w:r>
      <w:r>
        <w:fldChar w:fldCharType="begin"/>
      </w:r>
      <w:r>
        <w:instrText xml:space="preserve"> PAGEREF _Toc141092886 \h </w:instrText>
      </w:r>
      <w:r>
        <w:fldChar w:fldCharType="separate"/>
      </w:r>
      <w:r>
        <w:t>187</w:t>
      </w:r>
      <w:r>
        <w:fldChar w:fldCharType="end"/>
      </w:r>
    </w:p>
    <w:p>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_Toc141092887 \h </w:instrText>
      </w:r>
      <w:r>
        <w:fldChar w:fldCharType="separate"/>
      </w:r>
      <w:r>
        <w:t>188</w:t>
      </w:r>
      <w:r>
        <w:fldChar w:fldCharType="end"/>
      </w:r>
    </w:p>
    <w:p>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_Toc141092888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167</w:t>
      </w:r>
      <w:r>
        <w:rPr>
          <w:snapToGrid w:val="0"/>
        </w:rPr>
        <w:t>.</w:t>
      </w:r>
      <w:r>
        <w:rPr>
          <w:snapToGrid w:val="0"/>
        </w:rPr>
        <w:tab/>
        <w:t>Number of allotment on plan of subdivision sufficient description for purposes of dealing</w:t>
      </w:r>
      <w:r>
        <w:tab/>
      </w:r>
      <w:r>
        <w:fldChar w:fldCharType="begin"/>
      </w:r>
      <w:r>
        <w:instrText xml:space="preserve"> PAGEREF _Toc141092889 \h </w:instrText>
      </w:r>
      <w:r>
        <w:fldChar w:fldCharType="separate"/>
      </w:r>
      <w:r>
        <w:t>189</w:t>
      </w:r>
      <w:r>
        <w:fldChar w:fldCharType="end"/>
      </w:r>
    </w:p>
    <w:p>
      <w:pPr>
        <w:pStyle w:val="TOC8"/>
        <w:rPr>
          <w:rFonts w:asciiTheme="minorHAnsi" w:eastAsiaTheme="minorEastAsia" w:hAnsiTheme="minorHAnsi" w:cstheme="minorBidi"/>
          <w:szCs w:val="22"/>
        </w:rPr>
      </w:pPr>
      <w:r>
        <w:t>167A</w:t>
      </w:r>
      <w:r>
        <w:rPr>
          <w:snapToGrid w:val="0"/>
        </w:rPr>
        <w:t>.</w:t>
      </w:r>
      <w:r>
        <w:rPr>
          <w:snapToGrid w:val="0"/>
        </w:rPr>
        <w:tab/>
        <w:t>Rights of way generally not public ways or thoroughfares</w:t>
      </w:r>
      <w:r>
        <w:tab/>
      </w:r>
      <w:r>
        <w:fldChar w:fldCharType="begin"/>
      </w:r>
      <w:r>
        <w:instrText xml:space="preserve"> PAGEREF _Toc141092890 \h </w:instrText>
      </w:r>
      <w:r>
        <w:fldChar w:fldCharType="separate"/>
      </w:r>
      <w:r>
        <w:t>189</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Abuttals may be used in description of land in certificate</w:t>
      </w:r>
      <w:r>
        <w:tab/>
      </w:r>
      <w:r>
        <w:fldChar w:fldCharType="begin"/>
      </w:r>
      <w:r>
        <w:instrText xml:space="preserve"> PAGEREF _Toc141092891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Objects which may constitute abuttals</w:t>
      </w:r>
      <w:r>
        <w:tab/>
      </w:r>
      <w:r>
        <w:fldChar w:fldCharType="begin"/>
      </w:r>
      <w:r>
        <w:instrText xml:space="preserve"> PAGEREF _Toc141092892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_Toc141092894 \h </w:instrText>
      </w:r>
      <w:r>
        <w:fldChar w:fldCharType="separate"/>
      </w:r>
      <w:r>
        <w:t>192</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Proprietor may apply for amendment of certificate to make boundaries coincide with land occupied under certificate</w:t>
      </w:r>
      <w:r>
        <w:tab/>
      </w:r>
      <w:r>
        <w:fldChar w:fldCharType="begin"/>
      </w:r>
      <w:r>
        <w:instrText xml:space="preserve"> PAGEREF _Toc141092895 \h </w:instrText>
      </w:r>
      <w:r>
        <w:fldChar w:fldCharType="separate"/>
      </w:r>
      <w:r>
        <w:t>192</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Proprietor may apply to have other certificates amended where inconsistent with description of land in his certificate and occupied by him</w:t>
      </w:r>
      <w:r>
        <w:tab/>
      </w:r>
      <w:r>
        <w:fldChar w:fldCharType="begin"/>
      </w:r>
      <w:r>
        <w:instrText xml:space="preserve"> PAGEREF _Toc141092896 \h </w:instrText>
      </w:r>
      <w:r>
        <w:fldChar w:fldCharType="separate"/>
      </w:r>
      <w:r>
        <w:t>192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Form of application under s. 170 or 171</w:t>
      </w:r>
      <w:r>
        <w:tab/>
      </w:r>
      <w:r>
        <w:fldChar w:fldCharType="begin"/>
      </w:r>
      <w:r>
        <w:instrText xml:space="preserve"> PAGEREF _Toc141092897 \h </w:instrText>
      </w:r>
      <w:r>
        <w:fldChar w:fldCharType="separate"/>
      </w:r>
      <w:r>
        <w:t>193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How application under s. 170 or 171 to be dealt with</w:t>
      </w:r>
      <w:r>
        <w:tab/>
      </w:r>
      <w:r>
        <w:fldChar w:fldCharType="begin"/>
      </w:r>
      <w:r>
        <w:instrText xml:space="preserve"> PAGEREF _Toc141092898 \h </w:instrText>
      </w:r>
      <w:r>
        <w:fldChar w:fldCharType="separate"/>
      </w:r>
      <w:r>
        <w:t>193</w:t>
      </w:r>
      <w:r>
        <w:fldChar w:fldCharType="end"/>
      </w:r>
    </w:p>
    <w:p>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_Toc141092899 \h </w:instrText>
      </w:r>
      <w:r>
        <w:fldChar w:fldCharType="separate"/>
      </w:r>
      <w:r>
        <w:t>194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Notice of s. 170 or 171 application to be published and publicly displayed</w:t>
      </w:r>
      <w:r>
        <w:tab/>
      </w:r>
      <w:r>
        <w:fldChar w:fldCharType="begin"/>
      </w:r>
      <w:r>
        <w:instrText xml:space="preserve"> PAGEREF _Toc141092900 \h </w:instrText>
      </w:r>
      <w:r>
        <w:fldChar w:fldCharType="separate"/>
      </w:r>
      <w:r>
        <w:t>194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Person opposing s. 170 or 171 application may lodge caveat</w:t>
      </w:r>
      <w:r>
        <w:tab/>
      </w:r>
      <w:r>
        <w:fldChar w:fldCharType="begin"/>
      </w:r>
      <w:r>
        <w:instrText xml:space="preserve"> PAGEREF _Toc141092901 \h </w:instrText>
      </w:r>
      <w:r>
        <w:fldChar w:fldCharType="separate"/>
      </w:r>
      <w:r>
        <w:t>195</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Applications under s. 170, 171 or 20 may be granted although other certificates may be affected</w:t>
      </w:r>
      <w:r>
        <w:tab/>
      </w:r>
      <w:r>
        <w:fldChar w:fldCharType="begin"/>
      </w:r>
      <w:r>
        <w:instrText xml:space="preserve"> PAGEREF _Toc141092902 \h </w:instrText>
      </w:r>
      <w:r>
        <w:fldChar w:fldCharType="separate"/>
      </w:r>
      <w:r>
        <w:t>195</w:t>
      </w:r>
      <w:r>
        <w:fldChar w:fldCharType="end"/>
      </w:r>
    </w:p>
    <w:p>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_Toc141092903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_Toc141092905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181A.</w:t>
      </w:r>
      <w:r>
        <w:tab/>
        <w:t>Commissioner and Registrar may require supporting documentation or evidence or verification</w:t>
      </w:r>
      <w:r>
        <w:tab/>
      </w:r>
      <w:r>
        <w:fldChar w:fldCharType="begin"/>
      </w:r>
      <w:r>
        <w:instrText xml:space="preserve"> PAGEREF _Toc141092906 \h </w:instrText>
      </w:r>
      <w:r>
        <w:fldChar w:fldCharType="separate"/>
      </w:r>
      <w:r>
        <w:t>200</w:t>
      </w:r>
      <w:r>
        <w:fldChar w:fldCharType="end"/>
      </w:r>
    </w:p>
    <w:p>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_Toc141092907 \h </w:instrText>
      </w:r>
      <w:r>
        <w:fldChar w:fldCharType="separate"/>
      </w:r>
      <w:r>
        <w:t>202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Regulations</w:t>
      </w:r>
      <w:r>
        <w:tab/>
      </w:r>
      <w:r>
        <w:fldChar w:fldCharType="begin"/>
      </w:r>
      <w:r>
        <w:instrText xml:space="preserve"> PAGEREF _Toc141092908 \h </w:instrText>
      </w:r>
      <w:r>
        <w:fldChar w:fldCharType="separate"/>
      </w:r>
      <w:r>
        <w:t>202</w:t>
      </w:r>
      <w:r>
        <w:fldChar w:fldCharType="end"/>
      </w:r>
    </w:p>
    <w:p>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_Toc141092909 \h </w:instrText>
      </w:r>
      <w:r>
        <w:fldChar w:fldCharType="separate"/>
      </w:r>
      <w:r>
        <w:t>207</w:t>
      </w:r>
      <w:r>
        <w:fldChar w:fldCharType="end"/>
      </w:r>
    </w:p>
    <w:p>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_Toc141092910 \h </w:instrText>
      </w:r>
      <w:r>
        <w:fldChar w:fldCharType="separate"/>
      </w:r>
      <w:r>
        <w:t>208</w:t>
      </w:r>
      <w:r>
        <w:fldChar w:fldCharType="end"/>
      </w:r>
    </w:p>
    <w:p>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_Toc141092911 \h </w:instrText>
      </w:r>
      <w:r>
        <w:fldChar w:fldCharType="separate"/>
      </w:r>
      <w:r>
        <w:t>209</w:t>
      </w:r>
      <w:r>
        <w:fldChar w:fldCharType="end"/>
      </w:r>
    </w:p>
    <w:p>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_Toc141092912 \h </w:instrText>
      </w:r>
      <w:r>
        <w:fldChar w:fldCharType="separate"/>
      </w:r>
      <w:r>
        <w:t>212</w:t>
      </w:r>
      <w:r>
        <w:fldChar w:fldCharType="end"/>
      </w:r>
    </w:p>
    <w:p>
      <w:pPr>
        <w:pStyle w:val="TOC8"/>
        <w:rPr>
          <w:rFonts w:asciiTheme="minorHAnsi" w:eastAsiaTheme="minorEastAsia" w:hAnsiTheme="minorHAnsi" w:cstheme="minorBidi"/>
          <w:szCs w:val="22"/>
        </w:rPr>
      </w:pPr>
      <w:r>
        <w:t>182</w:t>
      </w:r>
      <w:r>
        <w:rPr>
          <w:snapToGrid w:val="0"/>
        </w:rPr>
        <w:t>.</w:t>
      </w:r>
      <w:r>
        <w:rPr>
          <w:snapToGrid w:val="0"/>
        </w:rPr>
        <w:tab/>
        <w:t>Orders vesting trust estate</w:t>
      </w:r>
      <w:r>
        <w:tab/>
      </w:r>
      <w:r>
        <w:fldChar w:fldCharType="begin"/>
      </w:r>
      <w:r>
        <w:instrText xml:space="preserve"> PAGEREF _Toc141092913 \h </w:instrText>
      </w:r>
      <w:r>
        <w:fldChar w:fldCharType="separate"/>
      </w:r>
      <w:r>
        <w:t>213</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Commissioner may make vesting order in cases of completed purchase</w:t>
      </w:r>
      <w:r>
        <w:tab/>
      </w:r>
      <w:r>
        <w:fldChar w:fldCharType="begin"/>
      </w:r>
      <w:r>
        <w:instrText xml:space="preserve"> PAGEREF _Toc141092914 \h </w:instrText>
      </w:r>
      <w:r>
        <w:fldChar w:fldCharType="separate"/>
      </w:r>
      <w:r>
        <w:t>214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Encumbrances which no longer affect title, powers to deal with</w:t>
      </w:r>
      <w:r>
        <w:tab/>
      </w:r>
      <w:r>
        <w:fldChar w:fldCharType="begin"/>
      </w:r>
      <w:r>
        <w:instrText xml:space="preserve"> PAGEREF _Toc141092915 \h </w:instrText>
      </w:r>
      <w:r>
        <w:fldChar w:fldCharType="separate"/>
      </w:r>
      <w:r>
        <w:t>215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Appointment of executor, administrator or Public Trustee, entry on Register and effect</w:t>
      </w:r>
      <w:r>
        <w:tab/>
      </w:r>
      <w:r>
        <w:fldChar w:fldCharType="begin"/>
      </w:r>
      <w:r>
        <w:instrText xml:space="preserve"> PAGEREF _Toc141092916 \h </w:instrText>
      </w:r>
      <w:r>
        <w:fldChar w:fldCharType="separate"/>
      </w:r>
      <w:r>
        <w:t>215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Powers of Registrar</w:t>
      </w:r>
      <w:r>
        <w:tab/>
      </w:r>
      <w:r>
        <w:fldChar w:fldCharType="begin"/>
      </w:r>
      <w:r>
        <w:instrText xml:space="preserve"> PAGEREF _Toc141092917 \h </w:instrText>
      </w:r>
      <w:r>
        <w:fldChar w:fldCharType="separate"/>
      </w:r>
      <w:r>
        <w:t>216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Registrar may correct apparent errors in instruments without direction of Commissioner</w:t>
      </w:r>
      <w:r>
        <w:tab/>
      </w:r>
      <w:r>
        <w:fldChar w:fldCharType="begin"/>
      </w:r>
      <w:r>
        <w:instrText xml:space="preserve"> PAGEREF _Toc141092918 \h </w:instrText>
      </w:r>
      <w:r>
        <w:fldChar w:fldCharType="separate"/>
      </w:r>
      <w:r>
        <w:t>218</w:t>
      </w:r>
      <w:r>
        <w:fldChar w:fldCharType="end"/>
      </w:r>
    </w:p>
    <w:p>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_Toc141092919 \h </w:instrText>
      </w:r>
      <w:r>
        <w:fldChar w:fldCharType="separate"/>
      </w:r>
      <w:r>
        <w:t>218</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Registrar may demand prescribed fees</w:t>
      </w:r>
      <w:r>
        <w:tab/>
      </w:r>
      <w:r>
        <w:fldChar w:fldCharType="begin"/>
      </w:r>
      <w:r>
        <w:instrText xml:space="preserve"> PAGEREF _Toc141092920 \h </w:instrText>
      </w:r>
      <w:r>
        <w:fldChar w:fldCharType="separate"/>
      </w:r>
      <w:r>
        <w:t>218</w:t>
      </w:r>
      <w:r>
        <w:fldChar w:fldCharType="end"/>
      </w:r>
    </w:p>
    <w:p>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_Toc141092921 \h </w:instrText>
      </w:r>
      <w:r>
        <w:fldChar w:fldCharType="separate"/>
      </w:r>
      <w:r>
        <w:t>219</w:t>
      </w:r>
      <w:r>
        <w:fldChar w:fldCharType="end"/>
      </w:r>
    </w:p>
    <w:p>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_Toc141092922 \h </w:instrText>
      </w:r>
      <w:r>
        <w:fldChar w:fldCharType="separate"/>
      </w:r>
      <w:r>
        <w:t>220</w:t>
      </w:r>
      <w:r>
        <w:fldChar w:fldCharType="end"/>
      </w:r>
    </w:p>
    <w:p>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_Toc141092923 \h </w:instrText>
      </w:r>
      <w:r>
        <w:fldChar w:fldCharType="separate"/>
      </w:r>
      <w:r>
        <w:t>220</w:t>
      </w:r>
      <w:r>
        <w:fldChar w:fldCharType="end"/>
      </w:r>
    </w:p>
    <w:p>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_Toc141092924 \h </w:instrText>
      </w:r>
      <w:r>
        <w:fldChar w:fldCharType="separate"/>
      </w:r>
      <w:r>
        <w:t>222</w:t>
      </w:r>
      <w:r>
        <w:fldChar w:fldCharType="end"/>
      </w:r>
    </w:p>
    <w:p>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_Toc141092925 \h </w:instrText>
      </w:r>
      <w:r>
        <w:fldChar w:fldCharType="separate"/>
      </w:r>
      <w:r>
        <w:t>223</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Defective documents, rejection of</w:t>
      </w:r>
      <w:r>
        <w:tab/>
      </w:r>
      <w:r>
        <w:fldChar w:fldCharType="begin"/>
      </w:r>
      <w:r>
        <w:instrText xml:space="preserve"> PAGEREF _Toc141092926 \h </w:instrText>
      </w:r>
      <w:r>
        <w:fldChar w:fldCharType="separate"/>
      </w:r>
      <w:r>
        <w:t>223</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Power to state case for Supreme Court</w:t>
      </w:r>
      <w:r>
        <w:tab/>
      </w:r>
      <w:r>
        <w:fldChar w:fldCharType="begin"/>
      </w:r>
      <w:r>
        <w:instrText xml:space="preserve"> PAGEREF _Toc141092927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 — Restrictions on, and recovery of, payments of compensation by State</w:t>
      </w:r>
    </w:p>
    <w:p>
      <w:pPr>
        <w:pStyle w:val="TOC8"/>
        <w:rPr>
          <w:rFonts w:asciiTheme="minorHAnsi" w:eastAsiaTheme="minorEastAsia" w:hAnsiTheme="minorHAnsi" w:cstheme="minorBidi"/>
          <w:szCs w:val="22"/>
        </w:rPr>
      </w:pPr>
      <w:r>
        <w:t>195</w:t>
      </w:r>
      <w:r>
        <w:rPr>
          <w:snapToGrid w:val="0"/>
        </w:rPr>
        <w:t>.</w:t>
      </w:r>
      <w:r>
        <w:rPr>
          <w:snapToGrid w:val="0"/>
        </w:rPr>
        <w:tab/>
        <w:t>Moneys paid by State under s. 201 may be recovered</w:t>
      </w:r>
      <w:r>
        <w:tab/>
      </w:r>
      <w:r>
        <w:fldChar w:fldCharType="begin"/>
      </w:r>
      <w:r>
        <w:instrText xml:space="preserve"> PAGEREF _Toc141092929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State not liable in certain cases</w:t>
      </w:r>
      <w:r>
        <w:tab/>
      </w:r>
      <w:r>
        <w:fldChar w:fldCharType="begin"/>
      </w:r>
      <w:r>
        <w:instrText xml:space="preserve"> PAGEREF _Toc141092930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XII — Actions and other remedies</w:t>
      </w:r>
    </w:p>
    <w:p>
      <w:pPr>
        <w:pStyle w:val="TOC8"/>
        <w:rPr>
          <w:rFonts w:asciiTheme="minorHAnsi" w:eastAsiaTheme="minorEastAsia" w:hAnsiTheme="minorHAnsi" w:cstheme="minorBidi"/>
          <w:szCs w:val="22"/>
        </w:rPr>
      </w:pPr>
      <w:r>
        <w:t>198</w:t>
      </w:r>
      <w:r>
        <w:rPr>
          <w:snapToGrid w:val="0"/>
        </w:rPr>
        <w:t>.</w:t>
      </w:r>
      <w:r>
        <w:rPr>
          <w:snapToGrid w:val="0"/>
        </w:rPr>
        <w:tab/>
        <w:t>Officers not to be liable for acts done bona fide</w:t>
      </w:r>
      <w:r>
        <w:tab/>
      </w:r>
      <w:r>
        <w:fldChar w:fldCharType="begin"/>
      </w:r>
      <w:r>
        <w:instrText xml:space="preserve"> PAGEREF _Toc141092932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Registered proprietor protected against ejectment except in certain cases</w:t>
      </w:r>
      <w:r>
        <w:tab/>
      </w:r>
      <w:r>
        <w:fldChar w:fldCharType="begin"/>
      </w:r>
      <w:r>
        <w:instrText xml:space="preserve"> PAGEREF _Toc141092933 \h </w:instrText>
      </w:r>
      <w:r>
        <w:fldChar w:fldCharType="separate"/>
      </w:r>
      <w:r>
        <w:t>228</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Court may direct cancellation of certificate or entry in Register in certain cases</w:t>
      </w:r>
      <w:r>
        <w:tab/>
      </w:r>
      <w:r>
        <w:fldChar w:fldCharType="begin"/>
      </w:r>
      <w:r>
        <w:instrText xml:space="preserve"> PAGEREF _Toc141092934 \h </w:instrText>
      </w:r>
      <w:r>
        <w:fldChar w:fldCharType="separate"/>
      </w:r>
      <w:r>
        <w:t>229</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Compensation of person deprived of land</w:t>
      </w:r>
      <w:r>
        <w:tab/>
      </w:r>
      <w:r>
        <w:fldChar w:fldCharType="begin"/>
      </w:r>
      <w:r>
        <w:instrText xml:space="preserve"> PAGEREF _Toc141092935 \h </w:instrText>
      </w:r>
      <w:r>
        <w:fldChar w:fldCharType="separate"/>
      </w:r>
      <w:r>
        <w:t>229</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Purchasers protected</w:t>
      </w:r>
      <w:r>
        <w:tab/>
      </w:r>
      <w:r>
        <w:fldChar w:fldCharType="begin"/>
      </w:r>
      <w:r>
        <w:instrText xml:space="preserve"> PAGEREF _Toc141092936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Owner may require Commissioner or Registrar to substantiate decision before Supreme Court</w:t>
      </w:r>
      <w:r>
        <w:tab/>
      </w:r>
      <w:r>
        <w:fldChar w:fldCharType="begin"/>
      </w:r>
      <w:r>
        <w:instrText xml:space="preserve"> PAGEREF _Toc141092937 \h </w:instrText>
      </w:r>
      <w:r>
        <w:fldChar w:fldCharType="separate"/>
      </w:r>
      <w:r>
        <w:t>231</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Cost of summons and proceedings under s. 203 to be in discretion of court</w:t>
      </w:r>
      <w:r>
        <w:tab/>
      </w:r>
      <w:r>
        <w:fldChar w:fldCharType="begin"/>
      </w:r>
      <w:r>
        <w:instrText xml:space="preserve"> PAGEREF _Toc141092938 \h </w:instrText>
      </w:r>
      <w:r>
        <w:fldChar w:fldCharType="separate"/>
      </w:r>
      <w:r>
        <w:t>232</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Actions for damages may in some cases be brought against Registrar as nominal defendant</w:t>
      </w:r>
      <w:r>
        <w:tab/>
      </w:r>
      <w:r>
        <w:fldChar w:fldCharType="begin"/>
      </w:r>
      <w:r>
        <w:instrText xml:space="preserve"> PAGEREF _Toc141092939 \h </w:instrText>
      </w:r>
      <w:r>
        <w:fldChar w:fldCharType="separate"/>
      </w:r>
      <w:r>
        <w:t>232</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Actions for damages for loss due to inaccurate survey</w:t>
      </w:r>
      <w:r>
        <w:tab/>
      </w:r>
      <w:r>
        <w:fldChar w:fldCharType="begin"/>
      </w:r>
      <w:r>
        <w:instrText xml:space="preserve"> PAGEREF _Toc141092940 \h </w:instrText>
      </w:r>
      <w:r>
        <w:fldChar w:fldCharType="separate"/>
      </w:r>
      <w:r>
        <w:t>233</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Actions for damages in certain other cases</w:t>
      </w:r>
      <w:r>
        <w:tab/>
      </w:r>
      <w:r>
        <w:fldChar w:fldCharType="begin"/>
      </w:r>
      <w:r>
        <w:instrText xml:space="preserve"> PAGEREF _Toc141092941 \h </w:instrText>
      </w:r>
      <w:r>
        <w:fldChar w:fldCharType="separate"/>
      </w:r>
      <w:r>
        <w:t>233</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Claims for damages may be made to Commissioner before commencing court action</w:t>
      </w:r>
      <w:r>
        <w:tab/>
      </w:r>
      <w:r>
        <w:fldChar w:fldCharType="begin"/>
      </w:r>
      <w:r>
        <w:instrText xml:space="preserve"> PAGEREF _Toc141092942 \h </w:instrText>
      </w:r>
      <w:r>
        <w:fldChar w:fldCharType="separate"/>
      </w:r>
      <w:r>
        <w:t>234</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Notice of action to be served</w:t>
      </w:r>
      <w:r>
        <w:tab/>
      </w:r>
      <w:r>
        <w:fldChar w:fldCharType="begin"/>
      </w:r>
      <w:r>
        <w:instrText xml:space="preserve"> PAGEREF _Toc141092943 \h </w:instrText>
      </w:r>
      <w:r>
        <w:fldChar w:fldCharType="separate"/>
      </w:r>
      <w:r>
        <w:t>235</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Damages etc. awarded to be charged to Consolidated Account</w:t>
      </w:r>
      <w:r>
        <w:tab/>
      </w:r>
      <w:r>
        <w:fldChar w:fldCharType="begin"/>
      </w:r>
      <w:r>
        <w:instrText xml:space="preserve"> PAGEREF _Toc141092944 \h </w:instrText>
      </w:r>
      <w:r>
        <w:fldChar w:fldCharType="separate"/>
      </w:r>
      <w:r>
        <w:t>235</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Limitation of actions</w:t>
      </w:r>
      <w:r>
        <w:tab/>
      </w:r>
      <w:r>
        <w:fldChar w:fldCharType="begin"/>
      </w:r>
      <w:r>
        <w:instrText xml:space="preserve"> PAGEREF _Toc141092945 \h </w:instrText>
      </w:r>
      <w:r>
        <w:fldChar w:fldCharType="separate"/>
      </w:r>
      <w:r>
        <w:t>236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Rules of Supreme Court to apply and same right of appeal as in ordinary actions</w:t>
      </w:r>
      <w:r>
        <w:tab/>
      </w:r>
      <w:r>
        <w:fldChar w:fldCharType="begin"/>
      </w:r>
      <w:r>
        <w:instrText xml:space="preserve"> PAGEREF _Toc141092946 \h </w:instrText>
      </w:r>
      <w:r>
        <w:fldChar w:fldCharType="separate"/>
      </w:r>
      <w:r>
        <w:t>236</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Obligation to make discovery not excluded</w:t>
      </w:r>
      <w:r>
        <w:tab/>
      </w:r>
      <w:r>
        <w:fldChar w:fldCharType="begin"/>
      </w:r>
      <w:r>
        <w:instrText xml:space="preserve"> PAGEREF _Toc141092947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XIII — Offences</w:t>
      </w:r>
    </w:p>
    <w:p>
      <w:pPr>
        <w:pStyle w:val="TOC8"/>
        <w:rPr>
          <w:rFonts w:asciiTheme="minorHAnsi" w:eastAsiaTheme="minorEastAsia" w:hAnsiTheme="minorHAnsi" w:cstheme="minorBidi"/>
          <w:szCs w:val="22"/>
        </w:rPr>
      </w:pPr>
      <w:r>
        <w:t>214.</w:t>
      </w:r>
      <w:r>
        <w:tab/>
        <w:t>Offences</w:t>
      </w:r>
      <w:r>
        <w:tab/>
      </w:r>
      <w:r>
        <w:fldChar w:fldCharType="begin"/>
      </w:r>
      <w:r>
        <w:instrText xml:space="preserve"> PAGEREF _Toc141092949 \h </w:instrText>
      </w:r>
      <w:r>
        <w:fldChar w:fldCharType="separate"/>
      </w:r>
      <w:r>
        <w:t>238</w:t>
      </w:r>
      <w:r>
        <w:fldChar w:fldCharType="end"/>
      </w:r>
    </w:p>
    <w:p>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_Toc141092950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XIV — Miscellaneous</w:t>
      </w:r>
    </w:p>
    <w:p>
      <w:pPr>
        <w:pStyle w:val="TOC8"/>
        <w:rPr>
          <w:rFonts w:asciiTheme="minorHAnsi" w:eastAsiaTheme="minorEastAsia" w:hAnsiTheme="minorHAnsi" w:cstheme="minorBidi"/>
          <w:szCs w:val="22"/>
        </w:rPr>
      </w:pPr>
      <w:r>
        <w:t>219</w:t>
      </w:r>
      <w:r>
        <w:rPr>
          <w:snapToGrid w:val="0"/>
        </w:rPr>
        <w:t>.</w:t>
      </w:r>
      <w:r>
        <w:rPr>
          <w:snapToGrid w:val="0"/>
        </w:rPr>
        <w:tab/>
        <w:t>Person entitled under will etc. may apply to be registered</w:t>
      </w:r>
      <w:r>
        <w:tab/>
      </w:r>
      <w:r>
        <w:fldChar w:fldCharType="begin"/>
      </w:r>
      <w:r>
        <w:instrText xml:space="preserve"> PAGEREF _Toc141092952 \h </w:instrText>
      </w:r>
      <w:r>
        <w:fldChar w:fldCharType="separate"/>
      </w:r>
      <w:r>
        <w:t>241</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Application under s. 219, how dealt with</w:t>
      </w:r>
      <w:r>
        <w:tab/>
      </w:r>
      <w:r>
        <w:fldChar w:fldCharType="begin"/>
      </w:r>
      <w:r>
        <w:instrText xml:space="preserve"> PAGEREF _Toc141092953 \h </w:instrText>
      </w:r>
      <w:r>
        <w:fldChar w:fldCharType="separate"/>
      </w:r>
      <w:r>
        <w:t>241</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Remainder</w:t>
      </w:r>
      <w:r>
        <w:rPr>
          <w:snapToGrid w:val="0"/>
        </w:rPr>
        <w:noBreakHyphen/>
        <w:t>man or reversioner may apply to be registered</w:t>
      </w:r>
      <w:r>
        <w:tab/>
      </w:r>
      <w:r>
        <w:fldChar w:fldCharType="begin"/>
      </w:r>
      <w:r>
        <w:instrText xml:space="preserve"> PAGEREF _Toc141092954 \h </w:instrText>
      </w:r>
      <w:r>
        <w:fldChar w:fldCharType="separate"/>
      </w:r>
      <w:r>
        <w:t>242</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Person claiming title under statute of limitations may apply to be registered</w:t>
      </w:r>
      <w:r>
        <w:tab/>
      </w:r>
      <w:r>
        <w:fldChar w:fldCharType="begin"/>
      </w:r>
      <w:r>
        <w:instrText xml:space="preserve"> PAGEREF _Toc141092955 \h </w:instrText>
      </w:r>
      <w:r>
        <w:fldChar w:fldCharType="separate"/>
      </w:r>
      <w:r>
        <w:t>243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Application under s. 222, how dealt with</w:t>
      </w:r>
      <w:r>
        <w:tab/>
      </w:r>
      <w:r>
        <w:fldChar w:fldCharType="begin"/>
      </w:r>
      <w:r>
        <w:instrText xml:space="preserve"> PAGEREF _Toc141092956 \h </w:instrText>
      </w:r>
      <w:r>
        <w:fldChar w:fldCharType="separate"/>
      </w:r>
      <w:r>
        <w:t>243</w:t>
      </w:r>
      <w:r>
        <w:fldChar w:fldCharType="end"/>
      </w:r>
    </w:p>
    <w:p>
      <w:pPr>
        <w:pStyle w:val="TOC8"/>
        <w:rPr>
          <w:rFonts w:asciiTheme="minorHAnsi" w:eastAsiaTheme="minorEastAsia" w:hAnsiTheme="minorHAnsi" w:cstheme="minorBidi"/>
          <w:szCs w:val="22"/>
        </w:rPr>
      </w:pPr>
      <w:r>
        <w:t>223A</w:t>
      </w:r>
      <w:r>
        <w:rPr>
          <w:snapToGrid w:val="0"/>
        </w:rPr>
        <w:t>.</w:t>
      </w:r>
      <w:r>
        <w:rPr>
          <w:snapToGrid w:val="0"/>
        </w:rPr>
        <w:tab/>
        <w:t>Caveat against application</w:t>
      </w:r>
      <w:r>
        <w:tab/>
      </w:r>
      <w:r>
        <w:fldChar w:fldCharType="begin"/>
      </w:r>
      <w:r>
        <w:instrText xml:space="preserve"> PAGEREF _Toc141092957 \h </w:instrText>
      </w:r>
      <w:r>
        <w:fldChar w:fldCharType="separate"/>
      </w:r>
      <w:r>
        <w:t>244</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Survivor of joint proprietors may apply to be registered</w:t>
      </w:r>
      <w:r>
        <w:tab/>
      </w:r>
      <w:r>
        <w:fldChar w:fldCharType="begin"/>
      </w:r>
      <w:r>
        <w:instrText xml:space="preserve"> PAGEREF _Toc141092958 \h </w:instrText>
      </w:r>
      <w:r>
        <w:fldChar w:fldCharType="separate"/>
      </w:r>
      <w:r>
        <w:t>245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Proprietors and transferees for time being to stand in place of previous owners</w:t>
      </w:r>
      <w:r>
        <w:tab/>
      </w:r>
      <w:r>
        <w:fldChar w:fldCharType="begin"/>
      </w:r>
      <w:r>
        <w:instrText xml:space="preserve"> PAGEREF _Toc141092959 \h </w:instrText>
      </w:r>
      <w:r>
        <w:fldChar w:fldCharType="separate"/>
      </w:r>
      <w:r>
        <w:t>245</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Proprietor’s name, use of in court action by beneficiary etc.</w:t>
      </w:r>
      <w:r>
        <w:tab/>
      </w:r>
      <w:r>
        <w:fldChar w:fldCharType="begin"/>
      </w:r>
      <w:r>
        <w:instrText xml:space="preserve"> PAGEREF _Toc141092960 \h </w:instrText>
      </w:r>
      <w:r>
        <w:fldChar w:fldCharType="separate"/>
      </w:r>
      <w:r>
        <w:t>245</w:t>
      </w:r>
      <w:r>
        <w:fldChar w:fldCharType="end"/>
      </w:r>
    </w:p>
    <w:p>
      <w:pPr>
        <w:pStyle w:val="TOC8"/>
        <w:rPr>
          <w:rFonts w:asciiTheme="minorHAnsi" w:eastAsiaTheme="minorEastAsia" w:hAnsiTheme="minorHAnsi" w:cstheme="minorBidi"/>
          <w:szCs w:val="22"/>
        </w:rPr>
      </w:pPr>
      <w:r>
        <w:t>229A</w:t>
      </w:r>
      <w:r>
        <w:rPr>
          <w:snapToGrid w:val="0"/>
        </w:rPr>
        <w:t>.</w:t>
      </w:r>
      <w:r>
        <w:rPr>
          <w:snapToGrid w:val="0"/>
        </w:rPr>
        <w:tab/>
        <w:t>Easement not used or enjoyed for 20 years, removal of</w:t>
      </w:r>
      <w:r>
        <w:tab/>
      </w:r>
      <w:r>
        <w:fldChar w:fldCharType="begin"/>
      </w:r>
      <w:r>
        <w:instrText xml:space="preserve"> PAGEREF _Toc141092961 \h </w:instrText>
      </w:r>
      <w:r>
        <w:fldChar w:fldCharType="separate"/>
      </w:r>
      <w:r>
        <w:t>246</w:t>
      </w:r>
      <w:r>
        <w:fldChar w:fldCharType="end"/>
      </w:r>
    </w:p>
    <w:p>
      <w:pPr>
        <w:pStyle w:val="TOC8"/>
        <w:rPr>
          <w:rFonts w:asciiTheme="minorHAnsi" w:eastAsiaTheme="minorEastAsia" w:hAnsiTheme="minorHAnsi" w:cstheme="minorBidi"/>
          <w:szCs w:val="22"/>
        </w:rPr>
      </w:pPr>
      <w:r>
        <w:t>229B</w:t>
      </w:r>
      <w:r>
        <w:rPr>
          <w:snapToGrid w:val="0"/>
        </w:rPr>
        <w:t>.</w:t>
      </w:r>
      <w:r>
        <w:rPr>
          <w:snapToGrid w:val="0"/>
        </w:rPr>
        <w:tab/>
        <w:t>Orders made under s. 229A, effect of</w:t>
      </w:r>
      <w:r>
        <w:tab/>
      </w:r>
      <w:r>
        <w:fldChar w:fldCharType="begin"/>
      </w:r>
      <w:r>
        <w:instrText xml:space="preserve"> PAGEREF _Toc141092962 \h </w:instrText>
      </w:r>
      <w:r>
        <w:fldChar w:fldCharType="separate"/>
      </w:r>
      <w:r>
        <w:t>247</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On s. 20 applications, easements not used for 20 years or more may be omitted from certificate</w:t>
      </w:r>
      <w:r>
        <w:tab/>
      </w:r>
      <w:r>
        <w:fldChar w:fldCharType="begin"/>
      </w:r>
      <w:r>
        <w:instrText xml:space="preserve"> PAGEREF _Toc141092963 \h </w:instrText>
      </w:r>
      <w:r>
        <w:fldChar w:fldCharType="separate"/>
      </w:r>
      <w:r>
        <w:t>248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Buildings on public roads etc. in Perth or Fremantle for 20 years or more</w:t>
      </w:r>
      <w:r>
        <w:tab/>
      </w:r>
      <w:r>
        <w:fldChar w:fldCharType="begin"/>
      </w:r>
      <w:r>
        <w:instrText xml:space="preserve"> PAGEREF _Toc141092964 \h </w:instrText>
      </w:r>
      <w:r>
        <w:fldChar w:fldCharType="separate"/>
      </w:r>
      <w:r>
        <w:t>248</w:t>
      </w:r>
      <w:r>
        <w:fldChar w:fldCharType="end"/>
      </w:r>
    </w:p>
    <w:p>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_Toc141092965 \h </w:instrText>
      </w:r>
      <w:r>
        <w:fldChar w:fldCharType="separate"/>
      </w:r>
      <w:r>
        <w:t>249</w:t>
      </w:r>
      <w:r>
        <w:fldChar w:fldCharType="end"/>
      </w:r>
    </w:p>
    <w:p>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_Toc141092966 \h </w:instrText>
      </w:r>
      <w:r>
        <w:fldChar w:fldCharType="separate"/>
      </w:r>
      <w:r>
        <w:t>250</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Receipt for documents lodged</w:t>
      </w:r>
      <w:r>
        <w:tab/>
      </w:r>
      <w:r>
        <w:fldChar w:fldCharType="begin"/>
      </w:r>
      <w:r>
        <w:instrText xml:space="preserve"> PAGEREF _Toc141092967 \h </w:instrText>
      </w:r>
      <w:r>
        <w:fldChar w:fldCharType="separate"/>
      </w:r>
      <w:r>
        <w:t>251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Pending actions etc. not to affect dealings</w:t>
      </w:r>
      <w:r>
        <w:tab/>
      </w:r>
      <w:r>
        <w:fldChar w:fldCharType="begin"/>
      </w:r>
      <w:r>
        <w:instrText xml:space="preserve"> PAGEREF _Toc141092968 \h </w:instrText>
      </w:r>
      <w:r>
        <w:fldChar w:fldCharType="separate"/>
      </w:r>
      <w:r>
        <w:t>252</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Trustees etc. of bankrupts etc. may apply to be registered</w:t>
      </w:r>
      <w:r>
        <w:tab/>
      </w:r>
      <w:r>
        <w:fldChar w:fldCharType="begin"/>
      </w:r>
      <w:r>
        <w:instrText xml:space="preserve"> PAGEREF _Toc141092969 \h </w:instrText>
      </w:r>
      <w:r>
        <w:fldChar w:fldCharType="separate"/>
      </w:r>
      <w:r>
        <w:t>253</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Bankruptcy of proprietor not to affect dealings until s. 234 application or caveat lodged</w:t>
      </w:r>
      <w:r>
        <w:tab/>
      </w:r>
      <w:r>
        <w:fldChar w:fldCharType="begin"/>
      </w:r>
      <w:r>
        <w:instrText xml:space="preserve"> PAGEREF _Toc141092970 \h </w:instrText>
      </w:r>
      <w:r>
        <w:fldChar w:fldCharType="separate"/>
      </w:r>
      <w:r>
        <w:t>253</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Tenant in tail</w:t>
      </w:r>
      <w:r>
        <w:tab/>
      </w:r>
      <w:r>
        <w:fldChar w:fldCharType="begin"/>
      </w:r>
      <w:r>
        <w:instrText xml:space="preserve"> PAGEREF _Toc141092971 \h </w:instrText>
      </w:r>
      <w:r>
        <w:fldChar w:fldCharType="separate"/>
      </w:r>
      <w:r>
        <w:t>253</w:t>
      </w:r>
      <w:r>
        <w:fldChar w:fldCharType="end"/>
      </w:r>
    </w:p>
    <w:p>
      <w:pPr>
        <w:pStyle w:val="TOC8"/>
        <w:rPr>
          <w:rFonts w:asciiTheme="minorHAnsi" w:eastAsiaTheme="minorEastAsia" w:hAnsiTheme="minorHAnsi" w:cstheme="minorBidi"/>
          <w:szCs w:val="22"/>
        </w:rPr>
      </w:pPr>
      <w:r>
        <w:t>237</w:t>
      </w:r>
      <w:r>
        <w:rPr>
          <w:snapToGrid w:val="0"/>
        </w:rPr>
        <w:t>.</w:t>
      </w:r>
      <w:r>
        <w:rPr>
          <w:snapToGrid w:val="0"/>
        </w:rPr>
        <w:tab/>
        <w:t>Conditions of sale in Twenty</w:t>
      </w:r>
      <w:r>
        <w:rPr>
          <w:snapToGrid w:val="0"/>
        </w:rPr>
        <w:noBreakHyphen/>
        <w:t>sixth Schedule, adoption of</w:t>
      </w:r>
      <w:r>
        <w:tab/>
      </w:r>
      <w:r>
        <w:fldChar w:fldCharType="begin"/>
      </w:r>
      <w:r>
        <w:instrText xml:space="preserve"> PAGEREF _Toc141092972 \h </w:instrText>
      </w:r>
      <w:r>
        <w:fldChar w:fldCharType="separate"/>
      </w:r>
      <w:r>
        <w:t>254</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Forms may be modified</w:t>
      </w:r>
      <w:r>
        <w:tab/>
      </w:r>
      <w:r>
        <w:fldChar w:fldCharType="begin"/>
      </w:r>
      <w:r>
        <w:instrText xml:space="preserve"> PAGEREF _Toc141092973 \h </w:instrText>
      </w:r>
      <w:r>
        <w:fldChar w:fldCharType="separate"/>
      </w:r>
      <w:r>
        <w:t>254</w:t>
      </w:r>
      <w:r>
        <w:fldChar w:fldCharType="end"/>
      </w:r>
    </w:p>
    <w:p>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_Toc141092974 \h </w:instrText>
      </w:r>
      <w:r>
        <w:fldChar w:fldCharType="separate"/>
      </w:r>
      <w:r>
        <w:t>254</w:t>
      </w:r>
      <w:r>
        <w:fldChar w:fldCharType="end"/>
      </w:r>
    </w:p>
    <w:p>
      <w:pPr>
        <w:pStyle w:val="TOC8"/>
        <w:rPr>
          <w:rFonts w:asciiTheme="minorHAnsi" w:eastAsiaTheme="minorEastAsia" w:hAnsiTheme="minorHAnsi" w:cstheme="minorBidi"/>
          <w:szCs w:val="22"/>
        </w:rPr>
      </w:pPr>
      <w:r>
        <w:lastRenderedPageBreak/>
        <w:t>238B.</w:t>
      </w:r>
      <w:r>
        <w:tab/>
        <w:t>Resubmission of document lodged electronically if data capture defective</w:t>
      </w:r>
      <w:r>
        <w:tab/>
      </w:r>
      <w:r>
        <w:fldChar w:fldCharType="begin"/>
      </w:r>
      <w:r>
        <w:instrText xml:space="preserve"> PAGEREF _Toc141092975 \h </w:instrText>
      </w:r>
      <w:r>
        <w:fldChar w:fldCharType="separate"/>
      </w:r>
      <w:r>
        <w:t>255</w:t>
      </w:r>
      <w:r>
        <w:fldChar w:fldCharType="end"/>
      </w:r>
    </w:p>
    <w:p>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_Toc141092976 \h </w:instrText>
      </w:r>
      <w:r>
        <w:fldChar w:fldCharType="separate"/>
      </w:r>
      <w:r>
        <w:t>257</w:t>
      </w:r>
      <w:r>
        <w:fldChar w:fldCharType="end"/>
      </w:r>
    </w:p>
    <w:p>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_Toc141092977 \h </w:instrText>
      </w:r>
      <w:r>
        <w:fldChar w:fldCharType="separate"/>
      </w:r>
      <w:r>
        <w:t>259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Service of notices</w:t>
      </w:r>
      <w:r>
        <w:tab/>
      </w:r>
      <w:r>
        <w:fldChar w:fldCharType="begin"/>
      </w:r>
      <w:r>
        <w:instrText xml:space="preserve"> PAGEREF _Toc141092978 \h </w:instrText>
      </w:r>
      <w:r>
        <w:fldChar w:fldCharType="separate"/>
      </w:r>
      <w:r>
        <w:t>259</w:t>
      </w:r>
      <w:r>
        <w:fldChar w:fldCharType="end"/>
      </w:r>
    </w:p>
    <w:p>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_Toc141092979 \h </w:instrText>
      </w:r>
      <w:r>
        <w:fldChar w:fldCharType="separate"/>
      </w:r>
      <w:r>
        <w:t>262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Interests disposed of or created by court order etc., registration of</w:t>
      </w:r>
      <w:r>
        <w:tab/>
      </w:r>
      <w:r>
        <w:fldChar w:fldCharType="begin"/>
      </w:r>
      <w:r>
        <w:instrText xml:space="preserve"> PAGEREF _Toc141092980 \h </w:instrText>
      </w:r>
      <w:r>
        <w:fldChar w:fldCharType="separate"/>
      </w:r>
      <w:r>
        <w:t>262</w:t>
      </w:r>
      <w:r>
        <w:fldChar w:fldCharType="end"/>
      </w:r>
    </w:p>
    <w:p>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_Toc141092981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 xml:space="preserve">Transitional provisions for </w:t>
      </w:r>
      <w:r>
        <w:rPr>
          <w:i/>
        </w:rPr>
        <w:t>Electronic Conveyancing Act 2014</w:t>
      </w:r>
    </w:p>
    <w:p>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_Toc141092983 \h </w:instrText>
      </w:r>
      <w:r>
        <w:fldChar w:fldCharType="separate"/>
      </w:r>
      <w:r>
        <w:t>265</w:t>
      </w:r>
      <w:r>
        <w:fldChar w:fldCharType="end"/>
      </w:r>
    </w:p>
    <w:p>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_Toc141092984 \h </w:instrText>
      </w:r>
      <w:r>
        <w:fldChar w:fldCharType="separate"/>
      </w:r>
      <w:r>
        <w:t>265</w:t>
      </w:r>
      <w:r>
        <w:fldChar w:fldCharType="end"/>
      </w:r>
    </w:p>
    <w:p>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_Toc141092985 \h </w:instrText>
      </w:r>
      <w:r>
        <w:fldChar w:fldCharType="separate"/>
      </w:r>
      <w:r>
        <w:t>265</w:t>
      </w:r>
      <w:r>
        <w:fldChar w:fldCharType="end"/>
      </w:r>
    </w:p>
    <w:p>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_Toc141092986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lastRenderedPageBreak/>
        <w:t>First Schedule — Acts repealed</w:t>
      </w:r>
    </w:p>
    <w:p>
      <w:pPr>
        <w:pStyle w:val="TOC2"/>
        <w:tabs>
          <w:tab w:val="right" w:leader="dot" w:pos="7077"/>
        </w:tabs>
        <w:rPr>
          <w:rFonts w:asciiTheme="minorHAnsi" w:eastAsiaTheme="minorEastAsia" w:hAnsiTheme="minorHAnsi" w:cstheme="minorBidi"/>
          <w:b w:val="0"/>
          <w:sz w:val="22"/>
          <w:szCs w:val="22"/>
        </w:rPr>
      </w:pPr>
      <w:r>
        <w:rPr>
          <w:rFonts w:eastAsia="MS Mincho"/>
        </w:rPr>
        <w:t>Second Schedule — Application to bring land under Act</w:t>
      </w:r>
    </w:p>
    <w:p>
      <w:pPr>
        <w:pStyle w:val="TOC2"/>
        <w:tabs>
          <w:tab w:val="right" w:leader="dot" w:pos="7077"/>
        </w:tabs>
        <w:rPr>
          <w:rFonts w:asciiTheme="minorHAnsi" w:eastAsiaTheme="minorEastAsia" w:hAnsiTheme="minorHAnsi" w:cstheme="minorBidi"/>
          <w:b w:val="0"/>
          <w:sz w:val="22"/>
          <w:szCs w:val="22"/>
        </w:rPr>
      </w:pPr>
      <w:r>
        <w:rPr>
          <w:rFonts w:eastAsia="MS Mincho"/>
        </w:rPr>
        <w:t>Third Schedule — Notice to be posted on land</w:t>
      </w:r>
    </w:p>
    <w:p>
      <w:pPr>
        <w:pStyle w:val="TOC2"/>
        <w:tabs>
          <w:tab w:val="right" w:leader="dot" w:pos="7077"/>
        </w:tabs>
        <w:rPr>
          <w:rFonts w:asciiTheme="minorHAnsi" w:eastAsiaTheme="minorEastAsia" w:hAnsiTheme="minorHAnsi" w:cstheme="minorBidi"/>
          <w:b w:val="0"/>
          <w:sz w:val="22"/>
          <w:szCs w:val="22"/>
        </w:rPr>
      </w:pPr>
      <w:r>
        <w:rPr>
          <w:rFonts w:eastAsia="MS Mincho"/>
        </w:rPr>
        <w:t>Fourth Schedule — Application to be registered as proprietor by possession</w:t>
      </w:r>
    </w:p>
    <w:p>
      <w:pPr>
        <w:pStyle w:val="TOC2"/>
        <w:tabs>
          <w:tab w:val="right" w:leader="dot" w:pos="7077"/>
        </w:tabs>
        <w:rPr>
          <w:rFonts w:asciiTheme="minorHAnsi" w:eastAsiaTheme="minorEastAsia" w:hAnsiTheme="minorHAnsi" w:cstheme="minorBidi"/>
          <w:b w:val="0"/>
          <w:sz w:val="22"/>
          <w:szCs w:val="22"/>
        </w:rPr>
      </w:pPr>
      <w:r>
        <w:rPr>
          <w:rFonts w:eastAsia="MS Mincho"/>
        </w:rPr>
        <w:t>Ninth Schedule — Creation of rights of carriage</w:t>
      </w:r>
      <w:r>
        <w:rPr>
          <w:rFonts w:eastAsia="MS Mincho"/>
        </w:rPr>
        <w:noBreakHyphen/>
        <w:t>way</w:t>
      </w:r>
    </w:p>
    <w:p>
      <w:pPr>
        <w:pStyle w:val="TOC2"/>
        <w:tabs>
          <w:tab w:val="right" w:leader="dot" w:pos="7077"/>
        </w:tabs>
        <w:rPr>
          <w:rFonts w:asciiTheme="minorHAnsi" w:eastAsiaTheme="minorEastAsia" w:hAnsiTheme="minorHAnsi" w:cstheme="minorBidi"/>
          <w:b w:val="0"/>
          <w:sz w:val="22"/>
          <w:szCs w:val="22"/>
        </w:rPr>
      </w:pPr>
      <w:r>
        <w:rPr>
          <w:rFonts w:eastAsia="MS Mincho"/>
        </w:rPr>
        <w:t>Tenth Schedule — Short and long forms of certain easements</w:t>
      </w:r>
    </w:p>
    <w:p>
      <w:pPr>
        <w:pStyle w:val="TOC2"/>
        <w:tabs>
          <w:tab w:val="right" w:leader="dot" w:pos="7077"/>
        </w:tabs>
        <w:rPr>
          <w:rFonts w:asciiTheme="minorHAnsi" w:eastAsiaTheme="minorEastAsia" w:hAnsiTheme="minorHAnsi" w:cstheme="minorBidi"/>
          <w:b w:val="0"/>
          <w:sz w:val="22"/>
          <w:szCs w:val="22"/>
        </w:rPr>
      </w:pPr>
      <w:r>
        <w:rPr>
          <w:rFonts w:eastAsia="MS Mincho"/>
        </w:rPr>
        <w:t>Twelfth Schedule — Short form of covenants by lessee</w:t>
      </w:r>
    </w:p>
    <w:p>
      <w:pPr>
        <w:pStyle w:val="TOC2"/>
        <w:tabs>
          <w:tab w:val="right" w:leader="dot" w:pos="7077"/>
        </w:tabs>
        <w:rPr>
          <w:rFonts w:asciiTheme="minorHAnsi" w:eastAsiaTheme="minorEastAsia" w:hAnsiTheme="minorHAnsi" w:cstheme="minorBidi"/>
          <w:b w:val="0"/>
          <w:sz w:val="22"/>
          <w:szCs w:val="22"/>
        </w:rPr>
      </w:pPr>
      <w:r>
        <w:rPr>
          <w:rFonts w:eastAsia="MS Mincho"/>
        </w:rPr>
        <w:t>Sixteenth Schedule — Short form of covenant by mortgagor to insure</w:t>
      </w:r>
    </w:p>
    <w:p>
      <w:pPr>
        <w:pStyle w:val="TOC2"/>
        <w:tabs>
          <w:tab w:val="right" w:leader="dot" w:pos="7077"/>
        </w:tabs>
        <w:rPr>
          <w:rFonts w:asciiTheme="minorHAnsi" w:eastAsiaTheme="minorEastAsia" w:hAnsiTheme="minorHAnsi" w:cstheme="minorBidi"/>
          <w:b w:val="0"/>
          <w:sz w:val="22"/>
          <w:szCs w:val="22"/>
        </w:rPr>
      </w:pPr>
      <w:r>
        <w:rPr>
          <w:rFonts w:eastAsia="MS Mincho"/>
        </w:rPr>
        <w:t>Nineteenth Schedule — Power of Attorney</w:t>
      </w:r>
    </w:p>
    <w:p>
      <w:pPr>
        <w:pStyle w:val="TOC2"/>
        <w:tabs>
          <w:tab w:val="right" w:leader="dot" w:pos="7077"/>
        </w:tabs>
        <w:rPr>
          <w:rFonts w:asciiTheme="minorHAnsi" w:eastAsiaTheme="minorEastAsia" w:hAnsiTheme="minorHAnsi" w:cstheme="minorBidi"/>
          <w:b w:val="0"/>
          <w:sz w:val="22"/>
          <w:szCs w:val="22"/>
        </w:rPr>
      </w:pPr>
      <w:r>
        <w:rPr>
          <w:rFonts w:eastAsia="MS Mincho"/>
        </w:rPr>
        <w:t>Twenty</w:t>
      </w:r>
      <w:r>
        <w:rPr>
          <w:rFonts w:eastAsia="MS Mincho"/>
        </w:rPr>
        <w:noBreakHyphen/>
        <w:t xml:space="preserve">fourth Schedule — Form of application to amend certificate </w:t>
      </w:r>
      <w:r>
        <w:rPr>
          <w:rFonts w:eastAsia="MS Mincho"/>
        </w:rPr>
        <w:lastRenderedPageBreak/>
        <w:t>or amend or replace relevant graphic</w:t>
      </w:r>
    </w:p>
    <w:p>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_Toc141093000 \h </w:instrText>
      </w:r>
      <w:r>
        <w:fldChar w:fldCharType="separate"/>
      </w:r>
      <w:r>
        <w:t>292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_Toc141093001 \h </w:instrText>
      </w:r>
      <w:r>
        <w:fldChar w:fldCharType="separate"/>
      </w:r>
      <w:r>
        <w:t>299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_Toc141093002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2"/>
      </w:pPr>
      <w:bookmarkStart w:id="3" w:name="_Toc141092238"/>
      <w:bookmarkStart w:id="4" w:name="_Toc141092621"/>
      <w:r>
        <w:rPr>
          <w:rStyle w:val="CharPartNo"/>
        </w:rPr>
        <w:lastRenderedPageBreak/>
        <w:t>Part IA</w:t>
      </w:r>
      <w:r>
        <w:rPr>
          <w:rStyle w:val="CharDivNo"/>
        </w:rPr>
        <w:t> </w:t>
      </w:r>
      <w:r>
        <w:t>—</w:t>
      </w:r>
      <w:r>
        <w:rPr>
          <w:rStyle w:val="CharDivText"/>
        </w:rPr>
        <w:t> </w:t>
      </w:r>
      <w:r>
        <w:rPr>
          <w:rStyle w:val="CharPartText"/>
        </w:rPr>
        <w:t>Preliminary</w:t>
      </w:r>
      <w:bookmarkEnd w:id="3"/>
      <w:bookmarkEnd w:id="4"/>
    </w:p>
    <w:p>
      <w:pPr>
        <w:pStyle w:val="Footnoteheading"/>
      </w:pPr>
      <w:r>
        <w:tab/>
        <w:t>[Heading inserted: No. 19 of 2010 s. 43(2).]</w:t>
      </w:r>
    </w:p>
    <w:p>
      <w:pPr>
        <w:pStyle w:val="Heading5"/>
        <w:rPr>
          <w:snapToGrid w:val="0"/>
        </w:rPr>
      </w:pPr>
      <w:bookmarkStart w:id="5" w:name="_Toc141092622"/>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pPr>
        <w:pStyle w:val="Footnotesection"/>
      </w:pPr>
      <w:r>
        <w:tab/>
        <w:t>[Section 1 inserted: No. 81 of 1996 s. 4.]</w:t>
      </w:r>
    </w:p>
    <w:p>
      <w:pPr>
        <w:pStyle w:val="Heading5"/>
        <w:rPr>
          <w:snapToGrid w:val="0"/>
        </w:rPr>
      </w:pPr>
      <w:bookmarkStart w:id="6" w:name="_Toc141092623"/>
      <w:r>
        <w:rPr>
          <w:rStyle w:val="CharSectno"/>
        </w:rPr>
        <w:t>2</w:t>
      </w:r>
      <w:r>
        <w:rPr>
          <w:snapToGrid w:val="0"/>
        </w:rPr>
        <w:t>.</w:t>
      </w:r>
      <w:r>
        <w:rPr>
          <w:snapToGrid w:val="0"/>
        </w:rPr>
        <w:tab/>
        <w:t>Repeals and savings</w:t>
      </w:r>
      <w:bookmarkEnd w:id="6"/>
    </w:p>
    <w:p>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No. 19 of 2010 s. 51.]</w:t>
      </w:r>
    </w:p>
    <w:p>
      <w:pPr>
        <w:pStyle w:val="Heading5"/>
        <w:rPr>
          <w:snapToGrid w:val="0"/>
        </w:rPr>
      </w:pPr>
      <w:bookmarkStart w:id="7" w:name="_Toc141092624"/>
      <w:r>
        <w:rPr>
          <w:rStyle w:val="CharSectno"/>
        </w:rPr>
        <w:t>3</w:t>
      </w:r>
      <w:r>
        <w:rPr>
          <w:snapToGrid w:val="0"/>
        </w:rPr>
        <w:t>.</w:t>
      </w:r>
      <w:r>
        <w:rPr>
          <w:snapToGrid w:val="0"/>
        </w:rPr>
        <w:tab/>
        <w:t>Application of other laws etc. and this Act</w:t>
      </w:r>
      <w:bookmarkEnd w:id="7"/>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pPr>
        <w:pStyle w:val="Footnotesection"/>
        <w:spacing w:before="80"/>
        <w:ind w:left="890" w:hanging="890"/>
      </w:pPr>
      <w:r>
        <w:tab/>
        <w:t>[Section 3 amended: No. 31 of 1997 s. 88; No. 28 of 2003 s. 129(2); No. 35 of 2007 s. 106; No. 2 of 2014 s. 62; No. 30 of 2018 s. 194.]</w:t>
      </w:r>
    </w:p>
    <w:p>
      <w:pPr>
        <w:pStyle w:val="Heading5"/>
        <w:spacing w:before="240"/>
        <w:rPr>
          <w:snapToGrid w:val="0"/>
        </w:rPr>
      </w:pPr>
      <w:bookmarkStart w:id="8" w:name="_Toc141092625"/>
      <w:r>
        <w:rPr>
          <w:rStyle w:val="CharSectno"/>
        </w:rPr>
        <w:t>4</w:t>
      </w:r>
      <w:r>
        <w:rPr>
          <w:snapToGrid w:val="0"/>
        </w:rPr>
        <w:t>.</w:t>
      </w:r>
      <w:r>
        <w:rPr>
          <w:snapToGrid w:val="0"/>
        </w:rPr>
        <w:tab/>
        <w:t>Terms used; application of Act to Crown land</w:t>
      </w:r>
      <w:bookmarkEnd w:id="8"/>
    </w:p>
    <w:p>
      <w:pPr>
        <w:pStyle w:val="Subsection"/>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lastRenderedPageBreak/>
        <w:tab/>
      </w:r>
      <w:r>
        <w:rPr>
          <w:rStyle w:val="CharDefText"/>
        </w:rPr>
        <w:t>approved form</w:t>
      </w:r>
      <w:r>
        <w:t>, subject to section 81K, means a form approved by the Registrar of Titles;</w:t>
      </w:r>
    </w:p>
    <w:p>
      <w:pPr>
        <w:pStyle w:val="Defstart"/>
      </w:pPr>
      <w:r>
        <w:rPr>
          <w:b/>
        </w:rPr>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tab/>
      </w:r>
      <w:r>
        <w:rPr>
          <w:rStyle w:val="CharDefText"/>
        </w:rPr>
        <w:t>conveyancing transaction</w:t>
      </w:r>
      <w:r>
        <w:t xml:space="preserve"> has the meaning given in the </w:t>
      </w:r>
      <w:r>
        <w:rPr>
          <w:i/>
        </w:rPr>
        <w:t>Electronic Conveyancing Act 2014</w:t>
      </w:r>
      <w:r>
        <w:t xml:space="preserve"> section 3(1);</w:t>
      </w:r>
    </w:p>
    <w:p>
      <w:pPr>
        <w:pStyle w:val="Defstart"/>
      </w:pPr>
      <w:r>
        <w:tab/>
      </w:r>
      <w:r>
        <w:rPr>
          <w:rStyle w:val="CharDefText"/>
        </w:rPr>
        <w:t>counterpart</w:t>
      </w:r>
      <w:r>
        <w:t xml:space="preserve"> has the meaning given in subsection (1CA);</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keepNext/>
      </w:pPr>
      <w:r>
        <w:lastRenderedPageBreak/>
        <w:tab/>
      </w:r>
      <w:r>
        <w:rPr>
          <w:rStyle w:val="CharDefText"/>
        </w:rPr>
        <w:t>digital signature</w:t>
      </w:r>
      <w:r>
        <w:t xml:space="preserve"> has the meaning given in the </w:t>
      </w:r>
      <w:r>
        <w:rPr>
          <w:i/>
        </w:rPr>
        <w:t>Electronic Conveyancing Act 2014</w:t>
      </w:r>
      <w:r>
        <w:t xml:space="preserve"> section 3(1);</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document</w:t>
      </w:r>
      <w:r>
        <w:t xml:space="preserve"> means any record of information however recorded, and includes — </w:t>
      </w:r>
    </w:p>
    <w:p>
      <w:pPr>
        <w:pStyle w:val="Defpara"/>
      </w:pPr>
      <w:r>
        <w:tab/>
        <w:t>(a)</w:t>
      </w:r>
      <w:r>
        <w:tab/>
        <w:t>anything on which there is writing; or</w:t>
      </w:r>
    </w:p>
    <w:p>
      <w:pPr>
        <w:pStyle w:val="Defpara"/>
      </w:pPr>
      <w:r>
        <w:tab/>
        <w:t>(b)</w:t>
      </w:r>
      <w:r>
        <w:tab/>
        <w:t>anything on which there are marks, figures, symbols or perforations having a meaning for persons qualified to interpret them; or</w:t>
      </w:r>
    </w:p>
    <w:p>
      <w:pPr>
        <w:pStyle w:val="Defpara"/>
      </w:pPr>
      <w:r>
        <w:tab/>
        <w:t>(c)</w:t>
      </w:r>
      <w:r>
        <w:tab/>
        <w:t>anything from which sounds, images or writings can be reproduced with or without the aid of anything else; or</w:t>
      </w:r>
    </w:p>
    <w:p>
      <w:pPr>
        <w:pStyle w:val="Defpara"/>
      </w:pPr>
      <w:r>
        <w:tab/>
        <w:t>(d)</w:t>
      </w:r>
      <w:r>
        <w:tab/>
        <w:t>a map, plan, drawing or photograph; or</w:t>
      </w:r>
    </w:p>
    <w:p>
      <w:pPr>
        <w:pStyle w:val="Defpara"/>
      </w:pPr>
      <w:r>
        <w:tab/>
        <w:t>(e)</w:t>
      </w:r>
      <w:r>
        <w:tab/>
        <w:t>any record of information that exists in a digital form and is capable of being reproduced, transmitted, stored and duplicated by electronic means;</w:t>
      </w:r>
    </w:p>
    <w:p>
      <w:pPr>
        <w:pStyle w:val="Defstart"/>
      </w:pPr>
      <w:r>
        <w:tab/>
      </w:r>
      <w:r>
        <w:rPr>
          <w:rStyle w:val="CharDefText"/>
        </w:rPr>
        <w:t>ELN</w:t>
      </w:r>
      <w:r>
        <w:t xml:space="preserve"> has the meaning given in the </w:t>
      </w:r>
      <w:r>
        <w:rPr>
          <w:i/>
        </w:rPr>
        <w:t>Electronic Conveyancing Act 2014</w:t>
      </w:r>
      <w:r>
        <w:t xml:space="preserve"> section 3(1);</w:t>
      </w:r>
    </w:p>
    <w:p>
      <w:pPr>
        <w:pStyle w:val="Defstart"/>
      </w:pPr>
      <w:r>
        <w:tab/>
      </w:r>
      <w:r>
        <w:rPr>
          <w:rStyle w:val="CharDefText"/>
        </w:rPr>
        <w:t>ELNO</w:t>
      </w:r>
      <w:r>
        <w:t xml:space="preserve"> has the meaning given in the </w:t>
      </w:r>
      <w:r>
        <w:rPr>
          <w:i/>
        </w:rPr>
        <w:t>Electronic Conveyancing Act 2014</w:t>
      </w:r>
      <w:r>
        <w:t xml:space="preserve"> section 3(1);</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keepNext/>
      </w:pPr>
      <w:r>
        <w:rPr>
          <w:b/>
        </w:rPr>
        <w:lastRenderedPageBreak/>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pPr>
      <w:r>
        <w:tab/>
        <w:t>(a)</w:t>
      </w:r>
      <w:r>
        <w:tab/>
        <w:t>a document for the conveyance, assignment, transfer, lease, sublease, mortgage or charge of freehold land; and</w:t>
      </w:r>
    </w:p>
    <w:p>
      <w:pPr>
        <w:pStyle w:val="Defpara"/>
      </w:pPr>
      <w:r>
        <w:tab/>
        <w:t>(b)</w:t>
      </w:r>
      <w:r>
        <w:tab/>
        <w:t>a document creating an easement, profit à prendre or restrictive covenant; and</w:t>
      </w:r>
    </w:p>
    <w:p>
      <w:pPr>
        <w:pStyle w:val="Defpara"/>
      </w:pPr>
      <w:r>
        <w:tab/>
        <w:t>(c)</w:t>
      </w:r>
      <w:r>
        <w:tab/>
        <w:t>a carbon right form, carbon covenant form or tree plantation agreement; and</w:t>
      </w:r>
    </w:p>
    <w:p>
      <w:pPr>
        <w:pStyle w:val="Defpara"/>
      </w:pPr>
      <w:r>
        <w:tab/>
        <w:t>(d)</w:t>
      </w:r>
      <w:r>
        <w:tab/>
        <w:t>a document for —</w:t>
      </w:r>
    </w:p>
    <w:p>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pPr>
      <w:r>
        <w:tab/>
        <w:t>(ii)</w:t>
      </w:r>
      <w:r>
        <w:tab/>
        <w:t>the extension of a carbon right, carbon covenant or plantation interest; or</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r>
      <w:r>
        <w:tab/>
        <w:t>and</w:t>
      </w:r>
    </w:p>
    <w:p>
      <w:pPr>
        <w:pStyle w:val="Defpara"/>
      </w:pPr>
      <w:r>
        <w:lastRenderedPageBreak/>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tab/>
      </w:r>
      <w:r>
        <w:rPr>
          <w:rStyle w:val="CharDefText"/>
        </w:rPr>
        <w:t>participation rules</w:t>
      </w:r>
      <w:r>
        <w:t xml:space="preserve"> has the meaning given in the </w:t>
      </w:r>
      <w:r>
        <w:rPr>
          <w:i/>
        </w:rPr>
        <w:t>Electronic Conveyancing Act 2014</w:t>
      </w:r>
      <w:r>
        <w:t xml:space="preserve"> section 3(1);</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lastRenderedPageBreak/>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lastRenderedPageBreak/>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pPr>
        <w:pStyle w:val="Defsubpara"/>
      </w:pPr>
      <w:r>
        <w:tab/>
        <w:t>(i)</w:t>
      </w:r>
      <w:r>
        <w:tab/>
        <w:t>a person appointed as a sworn valuator under the provisions of this Act as enacted before the coming into operation of that Act; or</w:t>
      </w:r>
    </w:p>
    <w:p>
      <w:pPr>
        <w:pStyle w:val="Defsubpara"/>
        <w:keepLines w:val="0"/>
      </w:pPr>
      <w:r>
        <w:tab/>
        <w:t>(ii)</w:t>
      </w:r>
      <w: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pPr>
        <w:pStyle w:val="Defstart"/>
      </w:pPr>
      <w:r>
        <w:tab/>
      </w:r>
      <w:r>
        <w:rPr>
          <w:rStyle w:val="CharDefText"/>
        </w:rPr>
        <w:t>record</w:t>
      </w:r>
      <w:r>
        <w:t xml:space="preserve"> includes information stored or recorded by means of a computer;</w:t>
      </w:r>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tab/>
      </w:r>
      <w:r>
        <w:rPr>
          <w:rStyle w:val="CharDefText"/>
        </w:rPr>
        <w:t>sign</w:t>
      </w:r>
      <w:r>
        <w:t xml:space="preserve"> includes digitally sign;</w:t>
      </w:r>
    </w:p>
    <w:p>
      <w:pPr>
        <w:pStyle w:val="Defstart"/>
      </w:pPr>
      <w:r>
        <w:tab/>
      </w:r>
      <w:r>
        <w:rPr>
          <w:rStyle w:val="CharDefText"/>
        </w:rPr>
        <w:t>signature</w:t>
      </w:r>
      <w:r>
        <w:t xml:space="preserve"> includes a digital signature;</w:t>
      </w:r>
    </w:p>
    <w:p>
      <w:pPr>
        <w:pStyle w:val="Defstart"/>
      </w:pPr>
      <w:r>
        <w:lastRenderedPageBreak/>
        <w:tab/>
      </w:r>
      <w:r>
        <w:rPr>
          <w:rStyle w:val="CharDefText"/>
        </w:rPr>
        <w:t>subscriber</w:t>
      </w:r>
      <w:r>
        <w:t xml:space="preserve"> has the meaning given in the </w:t>
      </w:r>
      <w:r>
        <w:rPr>
          <w:i/>
        </w:rPr>
        <w:t>Electronic Conveyancing Act 2014</w:t>
      </w:r>
      <w:r>
        <w:t xml:space="preserve"> section 3(1);</w:t>
      </w:r>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r>
        <w:t>.</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pPr>
      <w:r>
        <w:tab/>
      </w:r>
      <w:r>
        <w:tab/>
        <w:t>or both, to Crown land.</w:t>
      </w:r>
    </w:p>
    <w:p>
      <w:pPr>
        <w:pStyle w:val="Subsection"/>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lastRenderedPageBreak/>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(1CA)</w:t>
      </w:r>
      <w:r>
        <w:tab/>
        <w:t xml:space="preserve">For the purposes of this Act, a document is a </w:t>
      </w:r>
      <w:r>
        <w:rPr>
          <w:rStyle w:val="CharDefText"/>
        </w:rPr>
        <w:t>counterpart</w:t>
      </w:r>
      <w:r>
        <w:t xml:space="preserve"> in relation to another document if — </w:t>
      </w:r>
    </w:p>
    <w:p>
      <w:pPr>
        <w:pStyle w:val="Indenta"/>
      </w:pPr>
      <w:r>
        <w:tab/>
        <w:t>(a)</w:t>
      </w:r>
      <w:r>
        <w:tab/>
        <w:t>the documents relate to the same conveyancing transaction; and</w:t>
      </w:r>
    </w:p>
    <w:p>
      <w:pPr>
        <w:pStyle w:val="Indenta"/>
      </w:pPr>
      <w:r>
        <w:tab/>
        <w:t>(b)</w:t>
      </w:r>
      <w:r>
        <w:tab/>
        <w:t xml:space="preserve">the documents contain exactly the same data or information, apart from all or any of the following — </w:t>
      </w:r>
    </w:p>
    <w:p>
      <w:pPr>
        <w:pStyle w:val="Indenti"/>
      </w:pPr>
      <w:r>
        <w:tab/>
        <w:t>(i)</w:t>
      </w:r>
      <w:r>
        <w:tab/>
        <w:t>any signature created for or appearing on each document;</w:t>
      </w:r>
    </w:p>
    <w:p>
      <w:pPr>
        <w:pStyle w:val="Indenti"/>
      </w:pPr>
      <w:r>
        <w:tab/>
        <w:t>(ii)</w:t>
      </w:r>
      <w:r>
        <w:tab/>
        <w:t>the details of any attesting witness;</w:t>
      </w:r>
    </w:p>
    <w:p>
      <w:pPr>
        <w:pStyle w:val="Indenti"/>
      </w:pPr>
      <w:r>
        <w:tab/>
        <w:t>(iii)</w:t>
      </w:r>
      <w:r>
        <w:tab/>
        <w:t>the date on which the documents were signed or witnessed;</w:t>
      </w:r>
    </w:p>
    <w:p>
      <w:pPr>
        <w:pStyle w:val="Indenti"/>
      </w:pPr>
      <w:r>
        <w:tab/>
        <w:t>(iv)</w:t>
      </w:r>
      <w:r>
        <w:tab/>
        <w:t xml:space="preserve">any data or information authorised or required by a taxation Act (as defined in the </w:t>
      </w:r>
      <w:r>
        <w:rPr>
          <w:i/>
        </w:rPr>
        <w:t>Taxation Administration Act 2003</w:t>
      </w:r>
      <w:r>
        <w:t xml:space="preserve"> Glossary);</w:t>
      </w:r>
    </w:p>
    <w:p>
      <w:pPr>
        <w:pStyle w:val="Indenti"/>
      </w:pPr>
      <w:r>
        <w:tab/>
        <w:t>(v)</w:t>
      </w:r>
      <w:r>
        <w:tab/>
        <w:t>anything else prescribed by the regulations for the purposes of this paragraph.</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keepNext/>
        <w:keepLines/>
        <w:rPr>
          <w:snapToGrid w:val="0"/>
        </w:rPr>
      </w:pPr>
      <w:r>
        <w:rPr>
          <w:snapToGrid w:val="0"/>
        </w:rPr>
        <w:lastRenderedPageBreak/>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w:t>
      </w:r>
    </w:p>
    <w:p>
      <w:pPr>
        <w:pStyle w:val="Heading5"/>
      </w:pPr>
      <w:bookmarkStart w:id="9" w:name="_Toc141092626"/>
      <w:r>
        <w:rPr>
          <w:rStyle w:val="CharSectno"/>
        </w:rPr>
        <w:t>4A</w:t>
      </w:r>
      <w:r>
        <w:t>.</w:t>
      </w:r>
      <w:r>
        <w:tab/>
        <w:t>Sections of this Act that do not apply to Crown land</w:t>
      </w:r>
      <w:bookmarkEnd w:id="9"/>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No. 31 of 1997 s. 90.]</w:t>
      </w:r>
    </w:p>
    <w:p>
      <w:pPr>
        <w:pStyle w:val="Heading2"/>
      </w:pPr>
      <w:bookmarkStart w:id="10" w:name="_Toc141092244"/>
      <w:bookmarkStart w:id="11" w:name="_Toc141092627"/>
      <w:r>
        <w:rPr>
          <w:rStyle w:val="CharPartNo"/>
        </w:rPr>
        <w:lastRenderedPageBreak/>
        <w:t>Part I</w:t>
      </w:r>
      <w:r>
        <w:rPr>
          <w:rStyle w:val="CharDivNo"/>
        </w:rPr>
        <w:t> </w:t>
      </w:r>
      <w:r>
        <w:t>—</w:t>
      </w:r>
      <w:r>
        <w:rPr>
          <w:rStyle w:val="CharDivText"/>
        </w:rPr>
        <w:t> </w:t>
      </w:r>
      <w:r>
        <w:rPr>
          <w:rStyle w:val="CharPartText"/>
        </w:rPr>
        <w:t>Officers</w:t>
      </w:r>
      <w:bookmarkEnd w:id="10"/>
      <w:bookmarkEnd w:id="11"/>
    </w:p>
    <w:p>
      <w:pPr>
        <w:pStyle w:val="Heading5"/>
      </w:pPr>
      <w:bookmarkStart w:id="12" w:name="_Toc141092628"/>
      <w:r>
        <w:rPr>
          <w:rStyle w:val="CharSectno"/>
        </w:rPr>
        <w:t>5</w:t>
      </w:r>
      <w:r>
        <w:t>.</w:t>
      </w:r>
      <w:r>
        <w:tab/>
        <w:t>Commissioner of Titles</w:t>
      </w:r>
      <w:bookmarkEnd w:id="12"/>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 lawyer of not less than 7 years’ standing and practice.</w:t>
      </w:r>
    </w:p>
    <w:p>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Footnotesection"/>
      </w:pPr>
      <w:r>
        <w:tab/>
        <w:t>[Section 5 inserted: No. 60 of 2006 s. 104; amended: No. 21 of 2008 s. 711(3); No 9 of 2022 s. 424.]</w:t>
      </w:r>
    </w:p>
    <w:p>
      <w:pPr>
        <w:pStyle w:val="Heading5"/>
        <w:rPr>
          <w:snapToGrid w:val="0"/>
        </w:rPr>
      </w:pPr>
      <w:bookmarkStart w:id="13" w:name="_Toc141092629"/>
      <w:r>
        <w:rPr>
          <w:rStyle w:val="CharSectno"/>
        </w:rPr>
        <w:t>6</w:t>
      </w:r>
      <w:r>
        <w:rPr>
          <w:snapToGrid w:val="0"/>
        </w:rPr>
        <w:t>.</w:t>
      </w:r>
      <w:r>
        <w:rPr>
          <w:snapToGrid w:val="0"/>
        </w:rPr>
        <w:tab/>
        <w:t>Deputy Commissioner of Titles</w:t>
      </w:r>
      <w:bookmarkEnd w:id="13"/>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 lawyer of not less than 5 years’ standing.</w:t>
      </w:r>
    </w:p>
    <w:p>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Subsection"/>
      </w:pPr>
      <w:r>
        <w:tab/>
        <w:t>(3)</w:t>
      </w:r>
      <w:r>
        <w:tab/>
        <w:t xml:space="preserve">When and as often as the Commissioner is incapacitated by illness, absence or other sufficient cause from performing the duties of the Commissioner, a Deputy Commissioner nominated </w:t>
      </w:r>
      <w:r>
        <w:lastRenderedPageBreak/>
        <w:t>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No. 14 of 1972 s. 2; amended: No. 32 of 1994 s. 18; No. 6 of 2003 s. 5; No. 65 of 2003 s. 120(3); No. 60 of 2006 s. 105; No. 21 of 2008 s. 711(4); No. 9 of 2022 s. 424.]</w:t>
      </w:r>
    </w:p>
    <w:p>
      <w:pPr>
        <w:pStyle w:val="Heading5"/>
      </w:pPr>
      <w:bookmarkStart w:id="14" w:name="_Toc141092630"/>
      <w:r>
        <w:rPr>
          <w:rStyle w:val="CharSectno"/>
        </w:rPr>
        <w:t>7</w:t>
      </w:r>
      <w:r>
        <w:t>.</w:t>
      </w:r>
      <w:r>
        <w:tab/>
        <w:t>Registrar of Titles</w:t>
      </w:r>
      <w:bookmarkEnd w:id="14"/>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lastRenderedPageBreak/>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pPr>
        <w:pStyle w:val="Footnotesection"/>
        <w:ind w:left="890" w:hanging="890"/>
      </w:pPr>
      <w:r>
        <w:tab/>
        <w:t>[Section 7 inserted: No. 60 of 2006 s. 106.]</w:t>
      </w:r>
    </w:p>
    <w:p>
      <w:pPr>
        <w:pStyle w:val="Heading5"/>
        <w:rPr>
          <w:snapToGrid w:val="0"/>
        </w:rPr>
      </w:pPr>
      <w:bookmarkStart w:id="15" w:name="_Toc141092631"/>
      <w:r>
        <w:rPr>
          <w:rStyle w:val="CharSectno"/>
        </w:rPr>
        <w:t>7A</w:t>
      </w:r>
      <w:r>
        <w:rPr>
          <w:snapToGrid w:val="0"/>
        </w:rPr>
        <w:t>.</w:t>
      </w:r>
      <w:r>
        <w:rPr>
          <w:snapToGrid w:val="0"/>
        </w:rPr>
        <w:tab/>
        <w:t>Offices of Commissioner and Registrar may be held by one person</w:t>
      </w:r>
      <w:bookmarkEnd w:id="15"/>
    </w:p>
    <w:p>
      <w:pPr>
        <w:pStyle w:val="Subsection"/>
      </w:pPr>
      <w:r>
        <w:tab/>
        <w:t>(1)</w:t>
      </w:r>
      <w:r>
        <w:tab/>
        <w:t>A person qualified to be the Commissioner of Titles may be, and may perform the functions of, both the Commissioner of Titles and the Registrar of Titles.</w:t>
      </w:r>
    </w:p>
    <w:p>
      <w:pPr>
        <w:pStyle w:val="Subsection"/>
        <w:keepNext/>
        <w:rPr>
          <w:snapToGrid w:val="0"/>
        </w:rPr>
      </w:pPr>
      <w:r>
        <w:rPr>
          <w:snapToGrid w:val="0"/>
        </w:rPr>
        <w:tab/>
        <w:t>(2)</w:t>
      </w:r>
      <w:r>
        <w:rPr>
          <w:snapToGrid w:val="0"/>
        </w:rPr>
        <w:tab/>
        <w:t>Any act, matter, or thing which is required by this Act to be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rPr>
          <w:snapToGrid w:val="0"/>
        </w:rPr>
      </w:pPr>
      <w:r>
        <w:rPr>
          <w:snapToGrid w:val="0"/>
        </w:rPr>
        <w:tab/>
        <w:t>(3)</w:t>
      </w:r>
      <w:r>
        <w:rPr>
          <w:snapToGrid w:val="0"/>
        </w:rPr>
        <w:tab/>
        <w:t>Nothing in this section shall be deemed to extend the powers of any Assistant Registrar.</w:t>
      </w:r>
    </w:p>
    <w:p>
      <w:pPr>
        <w:pStyle w:val="Footnotesection"/>
        <w:ind w:left="890" w:hanging="890"/>
      </w:pPr>
      <w:r>
        <w:tab/>
        <w:t>[Section 7A inserted: No. 5 of 1925 s. 2; amended: No. 60 of 2006 s. 107.]</w:t>
      </w:r>
    </w:p>
    <w:p>
      <w:pPr>
        <w:pStyle w:val="Heading5"/>
      </w:pPr>
      <w:bookmarkStart w:id="16" w:name="_Toc141092632"/>
      <w:r>
        <w:rPr>
          <w:rStyle w:val="CharSectno"/>
        </w:rPr>
        <w:t>8</w:t>
      </w:r>
      <w:r>
        <w:t>.</w:t>
      </w:r>
      <w:r>
        <w:tab/>
        <w:t>Examiner of Titles, Assistant Registrar of Titles</w:t>
      </w:r>
      <w:bookmarkEnd w:id="16"/>
    </w:p>
    <w:p>
      <w:pPr>
        <w:pStyle w:val="Subsection"/>
      </w:pPr>
      <w:r>
        <w:tab/>
        <w:t>(1)</w:t>
      </w:r>
      <w:r>
        <w:tab/>
        <w:t>The Governor may designate a person, or each of 2 or more persons, to be an Examiner of Titles under this Act.</w:t>
      </w:r>
    </w:p>
    <w:p>
      <w:pPr>
        <w:pStyle w:val="Subsection"/>
        <w:spacing w:before="140"/>
      </w:pPr>
      <w:r>
        <w:lastRenderedPageBreak/>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 lawyer.</w:t>
      </w:r>
    </w:p>
    <w:p>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Footnotesection"/>
      </w:pPr>
      <w:r>
        <w:tab/>
        <w:t>[Section 8 inserted: No. 60 of 2006 s. 108; amended: No. 21 of 2008 s. 711(5); No. 9 of 2022 s. 424.]</w:t>
      </w:r>
    </w:p>
    <w:p>
      <w:pPr>
        <w:pStyle w:val="Heading5"/>
      </w:pPr>
      <w:bookmarkStart w:id="17" w:name="_Toc141092633"/>
      <w:r>
        <w:rPr>
          <w:rStyle w:val="CharSectno"/>
        </w:rPr>
        <w:t>8A</w:t>
      </w:r>
      <w:r>
        <w:t>.</w:t>
      </w:r>
      <w:r>
        <w:tab/>
        <w:t>Designating statutory officers, generally</w:t>
      </w:r>
      <w:bookmarkEnd w:id="17"/>
    </w:p>
    <w:p>
      <w:pPr>
        <w:pStyle w:val="Subsection"/>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pPr>
      <w:r>
        <w:tab/>
        <w:t>(2)</w:t>
      </w:r>
      <w:r>
        <w:tab/>
        <w:t>The power to designate a person includes —</w:t>
      </w:r>
    </w:p>
    <w:p>
      <w:pPr>
        <w:pStyle w:val="Indenta"/>
      </w:pPr>
      <w:r>
        <w:tab/>
        <w:t>(a)</w:t>
      </w:r>
      <w:r>
        <w:tab/>
        <w:t>the power to revoke a designation previously made under that power; and</w:t>
      </w:r>
    </w:p>
    <w:p>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pPr>
        <w:pStyle w:val="Footnotesection"/>
      </w:pPr>
      <w:r>
        <w:tab/>
        <w:t>[Section 8A inserted: No. 60 of 2006 s. 109.]</w:t>
      </w:r>
    </w:p>
    <w:p>
      <w:pPr>
        <w:pStyle w:val="Heading5"/>
        <w:rPr>
          <w:snapToGrid w:val="0"/>
        </w:rPr>
      </w:pPr>
      <w:bookmarkStart w:id="18" w:name="_Toc141092634"/>
      <w:r>
        <w:rPr>
          <w:rStyle w:val="CharSectno"/>
        </w:rPr>
        <w:t>9</w:t>
      </w:r>
      <w:r>
        <w:rPr>
          <w:snapToGrid w:val="0"/>
        </w:rPr>
        <w:t>.</w:t>
      </w:r>
      <w:r>
        <w:rPr>
          <w:snapToGrid w:val="0"/>
        </w:rPr>
        <w:tab/>
        <w:t>Certain signatures to be judicially noticed</w:t>
      </w:r>
      <w:bookmarkEnd w:id="18"/>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No. 14 of 1972 s. 3; No. 31 of 1997 s. 92; No. 6 of 2003 s. 6.]</w:t>
      </w:r>
    </w:p>
    <w:p>
      <w:pPr>
        <w:pStyle w:val="Heading5"/>
        <w:rPr>
          <w:snapToGrid w:val="0"/>
        </w:rPr>
      </w:pPr>
      <w:bookmarkStart w:id="19" w:name="_Toc141092635"/>
      <w:r>
        <w:rPr>
          <w:rStyle w:val="CharSectno"/>
        </w:rPr>
        <w:t>10</w:t>
      </w:r>
      <w:r>
        <w:rPr>
          <w:snapToGrid w:val="0"/>
        </w:rPr>
        <w:t>.</w:t>
      </w:r>
      <w:r>
        <w:rPr>
          <w:snapToGrid w:val="0"/>
        </w:rPr>
        <w:tab/>
        <w:t>Seal</w:t>
      </w:r>
      <w:bookmarkEnd w:id="19"/>
    </w:p>
    <w:p>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lastRenderedPageBreak/>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ind w:left="890" w:hanging="890"/>
      </w:pPr>
      <w:r>
        <w:tab/>
        <w:t>[Section 10 inserted: No. 81 of 1996 s. 6</w:t>
      </w:r>
      <w:r>
        <w:rPr>
          <w:i w:val="0"/>
          <w:vertAlign w:val="superscript"/>
        </w:rPr>
        <w:t> 3</w:t>
      </w:r>
      <w:r>
        <w:t>; amended: No. 6 of 2003 s. 7.]</w:t>
      </w:r>
    </w:p>
    <w:p>
      <w:pPr>
        <w:pStyle w:val="Heading5"/>
        <w:rPr>
          <w:snapToGrid w:val="0"/>
        </w:rPr>
      </w:pPr>
      <w:bookmarkStart w:id="20" w:name="_Toc141092636"/>
      <w:r>
        <w:rPr>
          <w:rStyle w:val="CharSectno"/>
        </w:rPr>
        <w:t>11</w:t>
      </w:r>
      <w:r>
        <w:rPr>
          <w:snapToGrid w:val="0"/>
        </w:rPr>
        <w:t>.</w:t>
      </w:r>
      <w:r>
        <w:rPr>
          <w:snapToGrid w:val="0"/>
        </w:rPr>
        <w:tab/>
        <w:t>Assistant Registrar’s powers</w:t>
      </w:r>
      <w:bookmarkEnd w:id="20"/>
    </w:p>
    <w:p>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ind w:left="890" w:hanging="890"/>
      </w:pPr>
      <w:r>
        <w:tab/>
        <w:t>[Section 11 amended: No. 28 of 1969 s. 3; No. 60 of 2006 s. 110; No. 30 of 2018 s. 196.]</w:t>
      </w:r>
    </w:p>
    <w:p>
      <w:pPr>
        <w:pStyle w:val="Heading5"/>
        <w:rPr>
          <w:snapToGrid w:val="0"/>
        </w:rPr>
      </w:pPr>
      <w:bookmarkStart w:id="21" w:name="_Toc141092637"/>
      <w:r>
        <w:rPr>
          <w:rStyle w:val="CharSectno"/>
        </w:rPr>
        <w:t>12</w:t>
      </w:r>
      <w:r>
        <w:rPr>
          <w:snapToGrid w:val="0"/>
        </w:rPr>
        <w:t>.</w:t>
      </w:r>
      <w:r>
        <w:rPr>
          <w:snapToGrid w:val="0"/>
        </w:rPr>
        <w:tab/>
        <w:t>Commissioner and Examiner of Titles not to practise law</w:t>
      </w:r>
      <w:bookmarkEnd w:id="21"/>
    </w:p>
    <w:p>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No. 21 of 2008 s. 711(6).]</w:t>
      </w:r>
    </w:p>
    <w:p>
      <w:pPr>
        <w:pStyle w:val="Heading5"/>
        <w:rPr>
          <w:snapToGrid w:val="0"/>
        </w:rPr>
      </w:pPr>
      <w:bookmarkStart w:id="22" w:name="_Toc141092638"/>
      <w:r>
        <w:rPr>
          <w:rStyle w:val="CharSectno"/>
        </w:rPr>
        <w:t>13</w:t>
      </w:r>
      <w:r>
        <w:rPr>
          <w:snapToGrid w:val="0"/>
        </w:rPr>
        <w:t>.</w:t>
      </w:r>
      <w:r>
        <w:rPr>
          <w:snapToGrid w:val="0"/>
        </w:rPr>
        <w:tab/>
        <w:t>Oaths of office</w:t>
      </w:r>
      <w:bookmarkEnd w:id="22"/>
    </w:p>
    <w:p>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No. 60 of 2006 s. 111.]</w:t>
      </w:r>
    </w:p>
    <w:p>
      <w:pPr>
        <w:pStyle w:val="Heading5"/>
      </w:pPr>
      <w:bookmarkStart w:id="23" w:name="_Toc141092639"/>
      <w:r>
        <w:rPr>
          <w:rStyle w:val="CharSectno"/>
        </w:rPr>
        <w:lastRenderedPageBreak/>
        <w:t>14</w:t>
      </w:r>
      <w:r>
        <w:t>.</w:t>
      </w:r>
      <w:r>
        <w:tab/>
        <w:t>Commissioner and Registrar may exercise functions electronically</w:t>
      </w:r>
      <w:bookmarkEnd w:id="23"/>
    </w:p>
    <w:p>
      <w:pPr>
        <w:pStyle w:val="Subsection"/>
      </w:pPr>
      <w:r>
        <w:tab/>
        <w:t>(1)</w:t>
      </w:r>
      <w:r>
        <w:tab/>
        <w:t>Anything that the Commissioner is required or authorised to do under this Act may be done by the Commissioner by electronic means in any way the Commissioner determines is appropriate.</w:t>
      </w:r>
    </w:p>
    <w:p>
      <w:pPr>
        <w:pStyle w:val="Subsection"/>
      </w:pPr>
      <w:r>
        <w:tab/>
        <w:t>(2)</w:t>
      </w:r>
      <w:r>
        <w:tab/>
        <w:t>Anything that the Registrar is required or authorised to do under this Act may be done by the Registrar by electronic means in any way the Registrar determines is appropriate.</w:t>
      </w:r>
    </w:p>
    <w:p>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Footnotesection"/>
        <w:spacing w:before="100"/>
        <w:ind w:left="890" w:hanging="890"/>
      </w:pPr>
      <w:r>
        <w:tab/>
        <w:t>[Section 14 inserted: No. 2 of 2014 s. 64.]</w:t>
      </w:r>
    </w:p>
    <w:p>
      <w:pPr>
        <w:pStyle w:val="Heading5"/>
      </w:pPr>
      <w:bookmarkStart w:id="24" w:name="_Toc141092640"/>
      <w:r>
        <w:rPr>
          <w:rStyle w:val="CharSectno"/>
        </w:rPr>
        <w:t>15</w:t>
      </w:r>
      <w:r>
        <w:t>.</w:t>
      </w:r>
      <w:r>
        <w:tab/>
        <w:t>Delegation by Commissioner</w:t>
      </w:r>
      <w:bookmarkEnd w:id="24"/>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lastRenderedPageBreak/>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spacing w:before="80"/>
        <w:ind w:left="890" w:hanging="890"/>
      </w:pPr>
      <w:r>
        <w:tab/>
        <w:t>[Section 15 inserted: No. 60 of 2006 s. 112; amended: No. 21 of 2008 s. 711(7); No. 9 of 2022 s. 424.]</w:t>
      </w:r>
    </w:p>
    <w:p>
      <w:pPr>
        <w:pStyle w:val="Heading5"/>
        <w:spacing w:before="180"/>
      </w:pPr>
      <w:bookmarkStart w:id="25" w:name="_Toc141092641"/>
      <w:r>
        <w:rPr>
          <w:rStyle w:val="CharSectno"/>
        </w:rPr>
        <w:t>15A</w:t>
      </w:r>
      <w:r>
        <w:t>.</w:t>
      </w:r>
      <w:r>
        <w:tab/>
        <w:t>Delegation by Registrar</w:t>
      </w:r>
      <w:bookmarkEnd w:id="25"/>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spacing w:before="80"/>
        <w:ind w:left="890" w:hanging="890"/>
      </w:pPr>
      <w:r>
        <w:tab/>
        <w:t>[Section 15A inserted: No. 60 of 2006 s. 112.]</w:t>
      </w:r>
    </w:p>
    <w:p>
      <w:pPr>
        <w:pStyle w:val="Heading5"/>
        <w:spacing w:before="180"/>
        <w:rPr>
          <w:snapToGrid w:val="0"/>
        </w:rPr>
      </w:pPr>
      <w:bookmarkStart w:id="26" w:name="_Toc141092642"/>
      <w:r>
        <w:rPr>
          <w:rStyle w:val="CharSectno"/>
        </w:rPr>
        <w:lastRenderedPageBreak/>
        <w:t>16</w:t>
      </w:r>
      <w:r>
        <w:rPr>
          <w:snapToGrid w:val="0"/>
        </w:rPr>
        <w:t>.</w:t>
      </w:r>
      <w:r>
        <w:rPr>
          <w:snapToGrid w:val="0"/>
        </w:rPr>
        <w:tab/>
        <w:t>Rules relating to surveyors</w:t>
      </w:r>
      <w:bookmarkEnd w:id="26"/>
    </w:p>
    <w:p>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spacing w:before="80"/>
        <w:ind w:left="890" w:hanging="890"/>
      </w:pPr>
      <w:r>
        <w:tab/>
        <w:t>[Section 16 amended: No. 25 of 1909 s. 29; No. 17 of 1950 s. 8.]</w:t>
      </w:r>
    </w:p>
    <w:p>
      <w:pPr>
        <w:pStyle w:val="Heading5"/>
      </w:pPr>
      <w:bookmarkStart w:id="27" w:name="_Toc141092643"/>
      <w:r>
        <w:rPr>
          <w:rStyle w:val="CharSectno"/>
        </w:rPr>
        <w:t>17</w:t>
      </w:r>
      <w:r>
        <w:t>.</w:t>
      </w:r>
      <w:r>
        <w:tab/>
        <w:t>Some of Minister for Lands’ functions under this Act may be performed by authorised officer</w:t>
      </w:r>
      <w:bookmarkEnd w:id="27"/>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No. 8 of 2010 s. 29.]</w:t>
      </w:r>
    </w:p>
    <w:p>
      <w:pPr>
        <w:pStyle w:val="Heading2"/>
      </w:pPr>
      <w:bookmarkStart w:id="28" w:name="_Toc141092261"/>
      <w:bookmarkStart w:id="29" w:name="_Toc141092644"/>
      <w:r>
        <w:rPr>
          <w:rStyle w:val="CharPartNo"/>
        </w:rPr>
        <w:lastRenderedPageBreak/>
        <w:t>Part II</w:t>
      </w:r>
      <w:r>
        <w:rPr>
          <w:rStyle w:val="CharDivNo"/>
        </w:rPr>
        <w:t> </w:t>
      </w:r>
      <w:r>
        <w:t>—</w:t>
      </w:r>
      <w:r>
        <w:rPr>
          <w:rStyle w:val="CharDivText"/>
        </w:rPr>
        <w:t> </w:t>
      </w:r>
      <w:r>
        <w:rPr>
          <w:rStyle w:val="CharPartText"/>
        </w:rPr>
        <w:t>Bringing land under the Act</w:t>
      </w:r>
      <w:bookmarkEnd w:id="28"/>
      <w:bookmarkEnd w:id="29"/>
    </w:p>
    <w:p>
      <w:pPr>
        <w:pStyle w:val="Ednotesection"/>
        <w:ind w:left="890" w:hanging="890"/>
      </w:pPr>
      <w:r>
        <w:t>[</w:t>
      </w:r>
      <w:r>
        <w:rPr>
          <w:b/>
        </w:rPr>
        <w:t>18.</w:t>
      </w:r>
      <w:r>
        <w:rPr>
          <w:b/>
        </w:rPr>
        <w:tab/>
      </w:r>
      <w:r>
        <w:t>Deleted: No. 31 of 1997 s. 93(1)</w:t>
      </w:r>
      <w:r>
        <w:rPr>
          <w:i w:val="0"/>
          <w:vertAlign w:val="superscript"/>
        </w:rPr>
        <w:t> 4</w:t>
      </w:r>
      <w:r>
        <w:t>.]</w:t>
      </w:r>
    </w:p>
    <w:p>
      <w:pPr>
        <w:pStyle w:val="Ednotesection"/>
        <w:ind w:left="890" w:hanging="890"/>
      </w:pPr>
      <w:r>
        <w:t>[</w:t>
      </w:r>
      <w:r>
        <w:rPr>
          <w:b/>
        </w:rPr>
        <w:t>19.</w:t>
      </w:r>
      <w:r>
        <w:tab/>
        <w:t>Deleted: No. 31 of 1997 s. 94(1)</w:t>
      </w:r>
      <w:r>
        <w:rPr>
          <w:i w:val="0"/>
          <w:vertAlign w:val="superscript"/>
        </w:rPr>
        <w:t> 5</w:t>
      </w:r>
      <w:r>
        <w:t>.]</w:t>
      </w:r>
    </w:p>
    <w:p>
      <w:pPr>
        <w:pStyle w:val="Heading5"/>
        <w:rPr>
          <w:snapToGrid w:val="0"/>
        </w:rPr>
      </w:pPr>
      <w:bookmarkStart w:id="30" w:name="_Toc141092645"/>
      <w:r>
        <w:rPr>
          <w:rStyle w:val="CharSectno"/>
        </w:rPr>
        <w:t>20</w:t>
      </w:r>
      <w:r>
        <w:rPr>
          <w:snapToGrid w:val="0"/>
        </w:rPr>
        <w:t>.</w:t>
      </w:r>
      <w:r>
        <w:rPr>
          <w:snapToGrid w:val="0"/>
        </w:rPr>
        <w:tab/>
        <w:t>Bringing lands alienated in fee before 1 July 1875 under this Act</w:t>
      </w:r>
      <w:bookmarkEnd w:id="30"/>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Lines/>
        <w:rPr>
          <w:snapToGrid w:val="0"/>
        </w:rPr>
      </w:pPr>
      <w:r>
        <w:rPr>
          <w:snapToGrid w:val="0"/>
        </w:rPr>
        <w:lastRenderedPageBreak/>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ind w:left="890" w:hanging="890"/>
      </w:pPr>
      <w:r>
        <w:tab/>
        <w:t>[Section 20 amended: No. 17 of 1950 s. 9; No. 81 of 1996 s. 8; No. 6 of 2003 s. 9; No. 19 of 2010 s. 51.]</w:t>
      </w:r>
    </w:p>
    <w:p>
      <w:pPr>
        <w:pStyle w:val="Heading5"/>
        <w:spacing w:before="240"/>
        <w:rPr>
          <w:snapToGrid w:val="0"/>
        </w:rPr>
      </w:pPr>
      <w:bookmarkStart w:id="31" w:name="_Toc141092646"/>
      <w:r>
        <w:rPr>
          <w:rStyle w:val="CharSectno"/>
        </w:rPr>
        <w:t>20A</w:t>
      </w:r>
      <w:r>
        <w:rPr>
          <w:snapToGrid w:val="0"/>
        </w:rPr>
        <w:t>.</w:t>
      </w:r>
      <w:r>
        <w:rPr>
          <w:snapToGrid w:val="0"/>
        </w:rPr>
        <w:tab/>
        <w:t>Evidence and restrictions of requisitions</w:t>
      </w:r>
      <w:bookmarkEnd w:id="31"/>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w:t>
      </w:r>
      <w:r>
        <w:rPr>
          <w:snapToGrid w:val="0"/>
        </w:rPr>
        <w:lastRenderedPageBreak/>
        <w:t>unregistered conveyances or assurances affecting any part of the land the subject of the application.</w:t>
      </w:r>
    </w:p>
    <w:p>
      <w:pPr>
        <w:pStyle w:val="Footnotesection"/>
        <w:keepLines w:val="0"/>
        <w:ind w:left="890" w:hanging="890"/>
      </w:pPr>
      <w:r>
        <w:tab/>
        <w:t>[Section 20A inserted: No. 17 of 1950 s. 10; amended: No. 19 of 2010 s. 51.]</w:t>
      </w:r>
    </w:p>
    <w:p>
      <w:pPr>
        <w:pStyle w:val="Heading5"/>
        <w:rPr>
          <w:snapToGrid w:val="0"/>
        </w:rPr>
      </w:pPr>
      <w:bookmarkStart w:id="32" w:name="_Toc141092647"/>
      <w:r>
        <w:rPr>
          <w:rStyle w:val="CharSectno"/>
        </w:rPr>
        <w:t>21</w:t>
      </w:r>
      <w:r>
        <w:rPr>
          <w:snapToGrid w:val="0"/>
        </w:rPr>
        <w:t>.</w:t>
      </w:r>
      <w:r>
        <w:rPr>
          <w:snapToGrid w:val="0"/>
        </w:rPr>
        <w:tab/>
        <w:t>How application to be dealt with when no dealing has been registered</w:t>
      </w:r>
      <w:bookmarkEnd w:id="32"/>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33" w:name="_Toc141092648"/>
      <w:r>
        <w:rPr>
          <w:rStyle w:val="CharSectno"/>
        </w:rPr>
        <w:t>22</w:t>
      </w:r>
      <w:r>
        <w:rPr>
          <w:snapToGrid w:val="0"/>
        </w:rPr>
        <w:t>.</w:t>
      </w:r>
      <w:r>
        <w:rPr>
          <w:snapToGrid w:val="0"/>
        </w:rPr>
        <w:tab/>
        <w:t>How application to be dealt with when dealing has been registered</w:t>
      </w:r>
      <w:bookmarkEnd w:id="33"/>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w:t>
      </w:r>
      <w:r>
        <w:rPr>
          <w:snapToGrid w:val="0"/>
        </w:rPr>
        <w:lastRenderedPageBreak/>
        <w:t>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ind w:left="890" w:hanging="890"/>
      </w:pPr>
      <w:r>
        <w:tab/>
        <w:t>[Section 22 amended: No. 19 of 2010 s. 51.]</w:t>
      </w:r>
    </w:p>
    <w:p>
      <w:pPr>
        <w:pStyle w:val="Heading5"/>
        <w:rPr>
          <w:snapToGrid w:val="0"/>
        </w:rPr>
      </w:pPr>
      <w:bookmarkStart w:id="34" w:name="_Toc141092649"/>
      <w:r>
        <w:rPr>
          <w:rStyle w:val="CharSectno"/>
        </w:rPr>
        <w:t>23</w:t>
      </w:r>
      <w:r>
        <w:rPr>
          <w:snapToGrid w:val="0"/>
        </w:rPr>
        <w:t>.</w:t>
      </w:r>
      <w:r>
        <w:rPr>
          <w:snapToGrid w:val="0"/>
        </w:rPr>
        <w:tab/>
        <w:t>Notice of application to bring land under this Act and rescission of previous directions on undue delay</w:t>
      </w:r>
      <w:bookmarkEnd w:id="34"/>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lastRenderedPageBreak/>
        <w:tab/>
        <w:t>[Section 23 amended: No. 81 of 1996 s. 9; No. 60 of 2006 s. 118(2); No. 19 of 2010 s. 51.]</w:t>
      </w:r>
    </w:p>
    <w:p>
      <w:pPr>
        <w:pStyle w:val="Heading5"/>
        <w:rPr>
          <w:snapToGrid w:val="0"/>
        </w:rPr>
      </w:pPr>
      <w:bookmarkStart w:id="35" w:name="_Toc141092650"/>
      <w:r>
        <w:rPr>
          <w:rStyle w:val="CharSectno"/>
        </w:rPr>
        <w:t>24</w:t>
      </w:r>
      <w:r>
        <w:rPr>
          <w:snapToGrid w:val="0"/>
        </w:rPr>
        <w:t>.</w:t>
      </w:r>
      <w:r>
        <w:rPr>
          <w:snapToGrid w:val="0"/>
        </w:rPr>
        <w:tab/>
        <w:t>Person claiming title by possession to post notice of application on land</w:t>
      </w:r>
      <w:bookmarkEnd w:id="35"/>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ind w:left="890" w:hanging="890"/>
      </w:pPr>
      <w:r>
        <w:tab/>
        <w:t>[Section 24 amended: No. 81 of 1996 s. 10.]</w:t>
      </w:r>
    </w:p>
    <w:p>
      <w:pPr>
        <w:pStyle w:val="Heading5"/>
        <w:rPr>
          <w:snapToGrid w:val="0"/>
        </w:rPr>
      </w:pPr>
      <w:bookmarkStart w:id="36" w:name="_Toc141092651"/>
      <w:r>
        <w:rPr>
          <w:rStyle w:val="CharSectno"/>
        </w:rPr>
        <w:t>25</w:t>
      </w:r>
      <w:r>
        <w:rPr>
          <w:snapToGrid w:val="0"/>
        </w:rPr>
        <w:t>.</w:t>
      </w:r>
      <w:r>
        <w:rPr>
          <w:snapToGrid w:val="0"/>
        </w:rPr>
        <w:tab/>
        <w:t>Land to be brought under this Act unless caveat received</w:t>
      </w:r>
      <w:bookmarkEnd w:id="36"/>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No. 17 of 1950 s. 11; No. 81 of 1996 s. 11.]</w:t>
      </w:r>
    </w:p>
    <w:p>
      <w:pPr>
        <w:pStyle w:val="Heading5"/>
        <w:rPr>
          <w:snapToGrid w:val="0"/>
        </w:rPr>
      </w:pPr>
      <w:bookmarkStart w:id="37" w:name="_Toc141092652"/>
      <w:r>
        <w:rPr>
          <w:rStyle w:val="CharSectno"/>
        </w:rPr>
        <w:t>26</w:t>
      </w:r>
      <w:r>
        <w:rPr>
          <w:snapToGrid w:val="0"/>
        </w:rPr>
        <w:t>.</w:t>
      </w:r>
      <w:r>
        <w:rPr>
          <w:snapToGrid w:val="0"/>
        </w:rPr>
        <w:tab/>
        <w:t>Land occupied may be brought under this Act by different description from that in title on special application</w:t>
      </w:r>
      <w:bookmarkEnd w:id="37"/>
    </w:p>
    <w:p>
      <w:pPr>
        <w:pStyle w:val="Subsection"/>
        <w:rPr>
          <w:snapToGrid w:val="0"/>
        </w:rPr>
      </w:pPr>
      <w:r>
        <w:rPr>
          <w:snapToGrid w:val="0"/>
        </w:rPr>
        <w:tab/>
      </w:r>
      <w:r>
        <w:rPr>
          <w:snapToGrid w:val="0"/>
        </w:rPr>
        <w:tab/>
        <w:t xml:space="preserve">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w:t>
      </w:r>
      <w:r>
        <w:rPr>
          <w:snapToGrid w:val="0"/>
        </w:rPr>
        <w:lastRenderedPageBreak/>
        <w:t>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38" w:name="_Toc141092653"/>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38"/>
    </w:p>
    <w:p>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ind w:left="890" w:hanging="890"/>
      </w:pPr>
      <w:r>
        <w:tab/>
        <w:t>[Section 27 amended: No. 81 of 1996 s. 12; No. 6 of 2003 s. 10.]</w:t>
      </w:r>
    </w:p>
    <w:p>
      <w:pPr>
        <w:pStyle w:val="Heading5"/>
        <w:spacing w:before="240"/>
        <w:rPr>
          <w:snapToGrid w:val="0"/>
        </w:rPr>
      </w:pPr>
      <w:bookmarkStart w:id="39" w:name="_Toc141092654"/>
      <w:r>
        <w:rPr>
          <w:rStyle w:val="CharSectno"/>
        </w:rPr>
        <w:t>28</w:t>
      </w:r>
      <w:r>
        <w:rPr>
          <w:snapToGrid w:val="0"/>
        </w:rPr>
        <w:t>.</w:t>
      </w:r>
      <w:r>
        <w:rPr>
          <w:snapToGrid w:val="0"/>
        </w:rPr>
        <w:tab/>
        <w:t>Title may be given to excess of land occupied under Crown grant over land described in Crown grant</w:t>
      </w:r>
      <w:bookmarkEnd w:id="39"/>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w:t>
      </w:r>
      <w:r>
        <w:rPr>
          <w:snapToGrid w:val="0"/>
        </w:rPr>
        <w:lastRenderedPageBreak/>
        <w:t xml:space="preserve">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ind w:left="890" w:hanging="890"/>
      </w:pPr>
      <w:r>
        <w:tab/>
        <w:t>[Section 28 amended: No. 81 of 1996 s. 13; No. 31 of 1997 s. 95; No. 6 of 2003 s. 11.]</w:t>
      </w:r>
    </w:p>
    <w:p>
      <w:pPr>
        <w:pStyle w:val="Heading5"/>
        <w:rPr>
          <w:snapToGrid w:val="0"/>
        </w:rPr>
      </w:pPr>
      <w:bookmarkStart w:id="40" w:name="_Toc141092655"/>
      <w:r>
        <w:rPr>
          <w:rStyle w:val="CharSectno"/>
        </w:rPr>
        <w:t>29</w:t>
      </w:r>
      <w:r>
        <w:rPr>
          <w:snapToGrid w:val="0"/>
        </w:rPr>
        <w:t>.</w:t>
      </w:r>
      <w:r>
        <w:rPr>
          <w:snapToGrid w:val="0"/>
        </w:rPr>
        <w:tab/>
        <w:t>Excess of land may be apportioned between different owners or proprietors</w:t>
      </w:r>
      <w:bookmarkEnd w:id="40"/>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lastRenderedPageBreak/>
        <w:tab/>
        <w:t>[Section 29 amended: No. 81 of 1996 s. 14; No. 6 of 2003 s. 12.]</w:t>
      </w:r>
    </w:p>
    <w:p>
      <w:pPr>
        <w:pStyle w:val="Heading5"/>
        <w:rPr>
          <w:snapToGrid w:val="0"/>
        </w:rPr>
      </w:pPr>
      <w:bookmarkStart w:id="41" w:name="_Toc141092656"/>
      <w:r>
        <w:rPr>
          <w:rStyle w:val="CharSectno"/>
        </w:rPr>
        <w:t>30</w:t>
      </w:r>
      <w:r>
        <w:rPr>
          <w:snapToGrid w:val="0"/>
        </w:rPr>
        <w:t>.</w:t>
      </w:r>
      <w:r>
        <w:rPr>
          <w:snapToGrid w:val="0"/>
        </w:rPr>
        <w:tab/>
        <w:t>Parties interested may lodge caveat</w:t>
      </w:r>
      <w:bookmarkEnd w:id="41"/>
    </w:p>
    <w:p>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rPr>
          <w:snapToGrid w:val="0"/>
        </w:rPr>
      </w:pPr>
      <w:r>
        <w:rPr>
          <w:snapToGrid w:val="0"/>
        </w:rPr>
        <w:tab/>
        <w:t>(2)</w:t>
      </w:r>
      <w:r>
        <w:rPr>
          <w:snapToGrid w:val="0"/>
        </w:rPr>
        <w:tab/>
        <w:t>Every such caveat shall be signed by the caveator or by his agent and shall particularise the estate or interest claimed.</w:t>
      </w:r>
    </w:p>
    <w:p>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spacing w:before="100"/>
        <w:ind w:left="890" w:hanging="890"/>
      </w:pPr>
      <w:r>
        <w:tab/>
        <w:t>[Section 30 amended: No. 81 of 1996 s. 15; No. 19 of 2010 s. 51; No. 2 of 2014 s. 65.]</w:t>
      </w:r>
    </w:p>
    <w:p>
      <w:pPr>
        <w:pStyle w:val="Heading5"/>
        <w:rPr>
          <w:snapToGrid w:val="0"/>
        </w:rPr>
      </w:pPr>
      <w:bookmarkStart w:id="42" w:name="_Toc141092657"/>
      <w:r>
        <w:rPr>
          <w:rStyle w:val="CharSectno"/>
        </w:rPr>
        <w:t>31</w:t>
      </w:r>
      <w:r>
        <w:rPr>
          <w:snapToGrid w:val="0"/>
        </w:rPr>
        <w:t>.</w:t>
      </w:r>
      <w:r>
        <w:rPr>
          <w:snapToGrid w:val="0"/>
        </w:rPr>
        <w:tab/>
        <w:t>If caveat received, proceedings suspended</w:t>
      </w:r>
      <w:bookmarkEnd w:id="42"/>
    </w:p>
    <w:p>
      <w:pPr>
        <w:pStyle w:val="Subsection"/>
        <w:rPr>
          <w:snapToGrid w:val="0"/>
        </w:rPr>
      </w:pPr>
      <w:r>
        <w:rPr>
          <w:snapToGrid w:val="0"/>
        </w:rPr>
        <w:tab/>
        <w:t>(1)</w:t>
      </w:r>
      <w:r>
        <w:rPr>
          <w:snapToGrid w:val="0"/>
        </w:rPr>
        <w:tab/>
        <w:t xml:space="preserve">The Registrar upon receipt of such caveat shall notify the same to the applicant and shall suspend proceeding in the matter until </w:t>
      </w:r>
      <w:r>
        <w:rPr>
          <w:snapToGrid w:val="0"/>
        </w:rPr>
        <w:lastRenderedPageBreak/>
        <w:t>such caveat shall have been withdrawn or shall have lapsed as in this Act provided or until an order in the matter shall have been obtained from the Supreme Court or a judge.</w:t>
      </w:r>
    </w:p>
    <w:p>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No. 19 of 2010 s. 51.]</w:t>
      </w:r>
    </w:p>
    <w:p>
      <w:pPr>
        <w:pStyle w:val="Heading5"/>
        <w:rPr>
          <w:snapToGrid w:val="0"/>
        </w:rPr>
      </w:pPr>
      <w:bookmarkStart w:id="43" w:name="_Toc141092658"/>
      <w:r>
        <w:rPr>
          <w:rStyle w:val="CharSectno"/>
        </w:rPr>
        <w:t>32</w:t>
      </w:r>
      <w:r>
        <w:rPr>
          <w:snapToGrid w:val="0"/>
        </w:rPr>
        <w:t>.</w:t>
      </w:r>
      <w:r>
        <w:rPr>
          <w:snapToGrid w:val="0"/>
        </w:rPr>
        <w:tab/>
        <w:t>Caveat to lapse unless proceedings taken within one month</w:t>
      </w:r>
      <w:bookmarkEnd w:id="43"/>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No. 19 of 2010 s. 51.]</w:t>
      </w:r>
    </w:p>
    <w:p>
      <w:pPr>
        <w:pStyle w:val="Heading5"/>
        <w:spacing w:before="180"/>
        <w:rPr>
          <w:snapToGrid w:val="0"/>
        </w:rPr>
      </w:pPr>
      <w:bookmarkStart w:id="44" w:name="_Toc141092659"/>
      <w:r>
        <w:rPr>
          <w:rStyle w:val="CharSectno"/>
        </w:rPr>
        <w:t>33</w:t>
      </w:r>
      <w:r>
        <w:rPr>
          <w:snapToGrid w:val="0"/>
        </w:rPr>
        <w:t>.</w:t>
      </w:r>
      <w:r>
        <w:rPr>
          <w:snapToGrid w:val="0"/>
        </w:rPr>
        <w:tab/>
        <w:t>Judge may require production of title deeds in support of application to bring land under this Act</w:t>
      </w:r>
      <w:bookmarkEnd w:id="44"/>
    </w:p>
    <w:p>
      <w:pPr>
        <w:pStyle w:val="Subsection"/>
        <w:rPr>
          <w:snapToGrid w:val="0"/>
        </w:rPr>
      </w:pPr>
      <w:r>
        <w:rPr>
          <w:snapToGrid w:val="0"/>
        </w:rPr>
        <w:tab/>
        <w:t>(1)</w:t>
      </w:r>
      <w:r>
        <w:rPr>
          <w:snapToGrid w:val="0"/>
        </w:rPr>
        <w:tab/>
        <w:t xml:space="preserve">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w:t>
      </w:r>
      <w:r>
        <w:rPr>
          <w:snapToGrid w:val="0"/>
        </w:rPr>
        <w:lastRenderedPageBreak/>
        <w:t>for such charge or fee as the judge making the order may think just and shall fix.</w:t>
      </w:r>
    </w:p>
    <w:p>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No. 81 of 1996 s. 16; No. 19 of 2010 s. 51.]</w:t>
      </w:r>
    </w:p>
    <w:p>
      <w:pPr>
        <w:pStyle w:val="Heading5"/>
        <w:rPr>
          <w:snapToGrid w:val="0"/>
        </w:rPr>
      </w:pPr>
      <w:bookmarkStart w:id="45" w:name="_Toc141092660"/>
      <w:r>
        <w:rPr>
          <w:rStyle w:val="CharSectno"/>
        </w:rPr>
        <w:t>34</w:t>
      </w:r>
      <w:r>
        <w:rPr>
          <w:snapToGrid w:val="0"/>
        </w:rPr>
        <w:t>.</w:t>
      </w:r>
      <w:r>
        <w:rPr>
          <w:snapToGrid w:val="0"/>
        </w:rPr>
        <w:tab/>
        <w:t>Applicant may withdraw application</w:t>
      </w:r>
      <w:bookmarkEnd w:id="45"/>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46" w:name="_Toc141092661"/>
      <w:r>
        <w:rPr>
          <w:rStyle w:val="CharSectno"/>
        </w:rPr>
        <w:t>35</w:t>
      </w:r>
      <w:r>
        <w:rPr>
          <w:snapToGrid w:val="0"/>
        </w:rPr>
        <w:t>.</w:t>
      </w:r>
      <w:r>
        <w:rPr>
          <w:snapToGrid w:val="0"/>
        </w:rPr>
        <w:tab/>
        <w:t>Documents of title</w:t>
      </w:r>
      <w:bookmarkEnd w:id="46"/>
    </w:p>
    <w:p>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rPr>
          <w:snapToGrid w:val="0"/>
        </w:rPr>
      </w:pPr>
      <w:r>
        <w:rPr>
          <w:snapToGrid w:val="0"/>
        </w:rPr>
        <w:tab/>
        <w:t>(3)</w:t>
      </w:r>
      <w:r>
        <w:rPr>
          <w:snapToGrid w:val="0"/>
        </w:rPr>
        <w:tab/>
        <w:t xml:space="preserve">No person shall be entitled to an inspection of any of such instruments except upon the written order of the person who originally deposited the same or of some person claiming </w:t>
      </w:r>
      <w:r>
        <w:rPr>
          <w:snapToGrid w:val="0"/>
        </w:rPr>
        <w:lastRenderedPageBreak/>
        <w:t>through or under him or upon the order of a judge or of the Commissioner.</w:t>
      </w:r>
    </w:p>
    <w:p>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No. 19 of 2010 s. 51.]</w:t>
      </w:r>
    </w:p>
    <w:p>
      <w:pPr>
        <w:pStyle w:val="Heading5"/>
        <w:spacing w:before="180"/>
        <w:rPr>
          <w:snapToGrid w:val="0"/>
        </w:rPr>
      </w:pPr>
      <w:bookmarkStart w:id="47" w:name="_Toc141092662"/>
      <w:r>
        <w:rPr>
          <w:rStyle w:val="CharSectno"/>
        </w:rPr>
        <w:t>36</w:t>
      </w:r>
      <w:r>
        <w:rPr>
          <w:snapToGrid w:val="0"/>
        </w:rPr>
        <w:t>.</w:t>
      </w:r>
      <w:r>
        <w:rPr>
          <w:snapToGrid w:val="0"/>
        </w:rPr>
        <w:tab/>
        <w:t>Subsisting lease to be endorsed and returned</w:t>
      </w:r>
      <w:bookmarkEnd w:id="47"/>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spacing w:before="180"/>
        <w:rPr>
          <w:snapToGrid w:val="0"/>
        </w:rPr>
      </w:pPr>
      <w:bookmarkStart w:id="48" w:name="_Toc141092663"/>
      <w:r>
        <w:rPr>
          <w:rStyle w:val="CharSectno"/>
        </w:rPr>
        <w:t>37</w:t>
      </w:r>
      <w:r>
        <w:rPr>
          <w:snapToGrid w:val="0"/>
        </w:rPr>
        <w:t>.</w:t>
      </w:r>
      <w:r>
        <w:rPr>
          <w:snapToGrid w:val="0"/>
        </w:rPr>
        <w:tab/>
        <w:t>Additional evidence to be scheduled</w:t>
      </w:r>
      <w:bookmarkEnd w:id="48"/>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spacing w:before="180"/>
        <w:rPr>
          <w:snapToGrid w:val="0"/>
        </w:rPr>
      </w:pPr>
      <w:bookmarkStart w:id="49" w:name="_Toc141092664"/>
      <w:r>
        <w:rPr>
          <w:rStyle w:val="CharSectno"/>
        </w:rPr>
        <w:t>38</w:t>
      </w:r>
      <w:r>
        <w:rPr>
          <w:snapToGrid w:val="0"/>
        </w:rPr>
        <w:t>.</w:t>
      </w:r>
      <w:r>
        <w:rPr>
          <w:snapToGrid w:val="0"/>
        </w:rPr>
        <w:tab/>
        <w:t>Some certificates of title to issue in name of deceased person</w:t>
      </w:r>
      <w:bookmarkEnd w:id="4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lastRenderedPageBreak/>
        <w:tab/>
        <w:t>[Section 38 amended: No. 81 of 1996 s. 17.]</w:t>
      </w:r>
    </w:p>
    <w:p>
      <w:pPr>
        <w:pStyle w:val="Heading5"/>
        <w:keepLines w:val="0"/>
        <w:spacing w:before="180"/>
        <w:rPr>
          <w:snapToGrid w:val="0"/>
        </w:rPr>
      </w:pPr>
      <w:bookmarkStart w:id="50" w:name="_Toc141092665"/>
      <w:r>
        <w:rPr>
          <w:rStyle w:val="CharSectno"/>
        </w:rPr>
        <w:t>39</w:t>
      </w:r>
      <w:r>
        <w:rPr>
          <w:snapToGrid w:val="0"/>
        </w:rPr>
        <w:t>.</w:t>
      </w:r>
      <w:r>
        <w:rPr>
          <w:snapToGrid w:val="0"/>
        </w:rPr>
        <w:tab/>
        <w:t>Registration of leaseholds</w:t>
      </w:r>
      <w:bookmarkEnd w:id="50"/>
    </w:p>
    <w:p>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No. 19 of 2010 s. 51.]</w:t>
      </w:r>
    </w:p>
    <w:p>
      <w:pPr>
        <w:pStyle w:val="Ednotesection"/>
      </w:pPr>
      <w:r>
        <w:t>[</w:t>
      </w:r>
      <w:r>
        <w:rPr>
          <w:b/>
        </w:rPr>
        <w:t>40.</w:t>
      </w:r>
      <w:r>
        <w:tab/>
        <w:t>Deleted: No. 81 of 1996 s. 18.]</w:t>
      </w:r>
    </w:p>
    <w:p>
      <w:pPr>
        <w:pStyle w:val="Ednotesection"/>
      </w:pPr>
      <w:r>
        <w:t>[</w:t>
      </w:r>
      <w:r>
        <w:rPr>
          <w:b/>
        </w:rPr>
        <w:t>41.</w:t>
      </w:r>
      <w:r>
        <w:tab/>
        <w:t>Deleted: No. 81 of 1996 s. 19.]</w:t>
      </w:r>
    </w:p>
    <w:p>
      <w:pPr>
        <w:pStyle w:val="Heading5"/>
        <w:rPr>
          <w:snapToGrid w:val="0"/>
        </w:rPr>
      </w:pPr>
      <w:bookmarkStart w:id="51" w:name="_Toc141092666"/>
      <w:r>
        <w:rPr>
          <w:rStyle w:val="CharSectno"/>
        </w:rPr>
        <w:t>42</w:t>
      </w:r>
      <w:r>
        <w:rPr>
          <w:snapToGrid w:val="0"/>
        </w:rPr>
        <w:t>.</w:t>
      </w:r>
      <w:r>
        <w:rPr>
          <w:snapToGrid w:val="0"/>
        </w:rPr>
        <w:tab/>
        <w:t>Production of lease may be dispensed with on bringing land under this Act</w:t>
      </w:r>
      <w:bookmarkEnd w:id="51"/>
    </w:p>
    <w:p>
      <w:pPr>
        <w:pStyle w:val="Subsection"/>
        <w:rPr>
          <w:snapToGrid w:val="0"/>
        </w:rPr>
      </w:pPr>
      <w:r>
        <w:rPr>
          <w:snapToGrid w:val="0"/>
        </w:rPr>
        <w:tab/>
      </w:r>
      <w:r>
        <w:rPr>
          <w:snapToGrid w:val="0"/>
        </w:rPr>
        <w:tab/>
        <w:t xml:space="preserve">On any application to bring land under this Act the Commissioner may dispense with the production of any lease and may accept the memorial of the registration thereof as </w:t>
      </w:r>
      <w:r>
        <w:rPr>
          <w:snapToGrid w:val="0"/>
        </w:rPr>
        <w:lastRenderedPageBreak/>
        <w:t>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52" w:name="_Toc141092667"/>
      <w:r>
        <w:rPr>
          <w:rStyle w:val="CharSectno"/>
        </w:rPr>
        <w:t>43</w:t>
      </w:r>
      <w:r>
        <w:rPr>
          <w:snapToGrid w:val="0"/>
        </w:rPr>
        <w:t>.</w:t>
      </w:r>
      <w:r>
        <w:rPr>
          <w:snapToGrid w:val="0"/>
        </w:rPr>
        <w:tab/>
        <w:t>Certain memorials to be sufficient evidence of conveyances in fee</w:t>
      </w:r>
      <w:bookmarkEnd w:id="52"/>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No. 113 of 1965 s. 4; No. 81 of 1996 s. 20.]</w:t>
      </w:r>
    </w:p>
    <w:p>
      <w:pPr>
        <w:pStyle w:val="Ednotesection"/>
      </w:pPr>
      <w:r>
        <w:t>[</w:t>
      </w:r>
      <w:r>
        <w:rPr>
          <w:b/>
        </w:rPr>
        <w:t>44.</w:t>
      </w:r>
      <w:r>
        <w:tab/>
        <w:t>Deleted: No. 81 of 1996 s. 21.]</w:t>
      </w:r>
    </w:p>
    <w:p>
      <w:pPr>
        <w:pStyle w:val="Heading5"/>
        <w:rPr>
          <w:snapToGrid w:val="0"/>
        </w:rPr>
      </w:pPr>
      <w:bookmarkStart w:id="53" w:name="_Toc141092668"/>
      <w:r>
        <w:rPr>
          <w:rStyle w:val="CharSectno"/>
        </w:rPr>
        <w:t>45</w:t>
      </w:r>
      <w:r>
        <w:rPr>
          <w:snapToGrid w:val="0"/>
        </w:rPr>
        <w:t>.</w:t>
      </w:r>
      <w:r>
        <w:rPr>
          <w:snapToGrid w:val="0"/>
        </w:rPr>
        <w:tab/>
        <w:t>Commissioner may direct Registrar to bring land under this Act</w:t>
      </w:r>
      <w:bookmarkEnd w:id="53"/>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No. 81 of 1996 s. 22.]</w:t>
      </w:r>
    </w:p>
    <w:p>
      <w:pPr>
        <w:pStyle w:val="Heading5"/>
        <w:rPr>
          <w:snapToGrid w:val="0"/>
        </w:rPr>
      </w:pPr>
      <w:bookmarkStart w:id="54" w:name="_Toc141092669"/>
      <w:r>
        <w:rPr>
          <w:rStyle w:val="CharSectno"/>
        </w:rPr>
        <w:t>46</w:t>
      </w:r>
      <w:r>
        <w:rPr>
          <w:snapToGrid w:val="0"/>
        </w:rPr>
        <w:t>.</w:t>
      </w:r>
      <w:r>
        <w:rPr>
          <w:snapToGrid w:val="0"/>
        </w:rPr>
        <w:tab/>
        <w:t>Title to land sold under order or decree may be deemed sufficient</w:t>
      </w:r>
      <w:bookmarkEnd w:id="54"/>
    </w:p>
    <w:p>
      <w:pPr>
        <w:pStyle w:val="Subsection"/>
        <w:rPr>
          <w:snapToGrid w:val="0"/>
        </w:rPr>
      </w:pPr>
      <w:r>
        <w:rPr>
          <w:snapToGrid w:val="0"/>
        </w:rPr>
        <w:tab/>
      </w:r>
      <w:r>
        <w:rPr>
          <w:snapToGrid w:val="0"/>
        </w:rPr>
        <w:tab/>
        <w:t xml:space="preserve">An office copy of any order heretofore made or which shall hereafter be made by the Supreme Court (whether such order shall hereafter be in the form of an order confirming the report </w:t>
      </w:r>
      <w:r>
        <w:rPr>
          <w:snapToGrid w:val="0"/>
        </w:rPr>
        <w:lastRenderedPageBreak/>
        <w:t>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55" w:name="_Toc141092670"/>
      <w:r>
        <w:rPr>
          <w:rStyle w:val="CharSectno"/>
        </w:rPr>
        <w:t>47</w:t>
      </w:r>
      <w:r>
        <w:rPr>
          <w:snapToGrid w:val="0"/>
        </w:rPr>
        <w:t>.</w:t>
      </w:r>
      <w:r>
        <w:rPr>
          <w:snapToGrid w:val="0"/>
        </w:rPr>
        <w:tab/>
        <w:t>Formalities of order</w:t>
      </w:r>
      <w:bookmarkEnd w:id="55"/>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No. 81 of 1996 s. 146(1).]</w:t>
      </w:r>
    </w:p>
    <w:p>
      <w:pPr>
        <w:pStyle w:val="Heading2"/>
      </w:pPr>
      <w:bookmarkStart w:id="56" w:name="_Toc141092288"/>
      <w:bookmarkStart w:id="57" w:name="_Toc141092671"/>
      <w:r>
        <w:rPr>
          <w:rStyle w:val="CharPartNo"/>
        </w:rPr>
        <w:lastRenderedPageBreak/>
        <w:t>Part III</w:t>
      </w:r>
      <w:r>
        <w:rPr>
          <w:rStyle w:val="CharDivNo"/>
        </w:rPr>
        <w:t> </w:t>
      </w:r>
      <w:r>
        <w:t>—</w:t>
      </w:r>
      <w:r>
        <w:rPr>
          <w:rStyle w:val="CharDivText"/>
        </w:rPr>
        <w:t> </w:t>
      </w:r>
      <w:r>
        <w:rPr>
          <w:rStyle w:val="CharPartText"/>
        </w:rPr>
        <w:t>Certificates of titles and registration</w:t>
      </w:r>
      <w:bookmarkEnd w:id="56"/>
      <w:bookmarkEnd w:id="57"/>
    </w:p>
    <w:p>
      <w:pPr>
        <w:pStyle w:val="Heading5"/>
        <w:rPr>
          <w:snapToGrid w:val="0"/>
        </w:rPr>
      </w:pPr>
      <w:bookmarkStart w:id="58" w:name="_Toc141092672"/>
      <w:r>
        <w:rPr>
          <w:rStyle w:val="CharSectno"/>
        </w:rPr>
        <w:t>48</w:t>
      </w:r>
      <w:r>
        <w:rPr>
          <w:snapToGrid w:val="0"/>
        </w:rPr>
        <w:t>.</w:t>
      </w:r>
      <w:r>
        <w:rPr>
          <w:snapToGrid w:val="0"/>
        </w:rPr>
        <w:tab/>
        <w:t>Register</w:t>
      </w:r>
      <w:bookmarkEnd w:id="58"/>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lastRenderedPageBreak/>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No. 81 of 1996 s. 23; amended: No. 6 of 2003 s. 13.]</w:t>
      </w:r>
    </w:p>
    <w:p>
      <w:pPr>
        <w:pStyle w:val="Heading5"/>
        <w:rPr>
          <w:rFonts w:ascii="Times" w:hAnsi="Times"/>
          <w:snapToGrid w:val="0"/>
        </w:rPr>
      </w:pPr>
      <w:bookmarkStart w:id="59" w:name="_Toc141092673"/>
      <w:r>
        <w:rPr>
          <w:rStyle w:val="CharSectno"/>
          <w:rFonts w:ascii="Times" w:hAnsi="Times"/>
        </w:rPr>
        <w:t>48A</w:t>
      </w:r>
      <w:r>
        <w:rPr>
          <w:rFonts w:ascii="Times" w:hAnsi="Times"/>
          <w:snapToGrid w:val="0"/>
        </w:rPr>
        <w:t>.</w:t>
      </w:r>
      <w:r>
        <w:rPr>
          <w:rFonts w:ascii="Times" w:hAnsi="Times"/>
          <w:snapToGrid w:val="0"/>
        </w:rPr>
        <w:tab/>
        <w:t>Certificates of title</w:t>
      </w:r>
      <w:bookmarkEnd w:id="59"/>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lastRenderedPageBreak/>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No. 81 of 1996 s. 23; amended: No. 6 of 2003 s. 14.]</w:t>
      </w:r>
    </w:p>
    <w:p>
      <w:pPr>
        <w:pStyle w:val="Heading5"/>
        <w:rPr>
          <w:rFonts w:ascii="Times" w:hAnsi="Times"/>
          <w:snapToGrid w:val="0"/>
        </w:rPr>
      </w:pPr>
      <w:bookmarkStart w:id="60" w:name="_Toc141092674"/>
      <w:r>
        <w:rPr>
          <w:rStyle w:val="CharSectno"/>
          <w:rFonts w:ascii="Times" w:hAnsi="Times"/>
        </w:rPr>
        <w:t>48B</w:t>
      </w:r>
      <w:r>
        <w:rPr>
          <w:rFonts w:ascii="Times" w:hAnsi="Times"/>
          <w:snapToGrid w:val="0"/>
        </w:rPr>
        <w:t>.</w:t>
      </w:r>
      <w:r>
        <w:rPr>
          <w:rFonts w:ascii="Times" w:hAnsi="Times"/>
          <w:snapToGrid w:val="0"/>
        </w:rPr>
        <w:tab/>
        <w:t>Duplicate certificates of title</w:t>
      </w:r>
      <w:bookmarkEnd w:id="60"/>
    </w:p>
    <w:p>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pPr>
        <w:pStyle w:val="Subsection"/>
        <w:keepNext/>
      </w:pPr>
      <w:r>
        <w:lastRenderedPageBreak/>
        <w:tab/>
        <w:t>(4)</w:t>
      </w:r>
      <w:r>
        <w:tab/>
        <w:t xml:space="preserve">If land is the subject of a certificate of title, the Registrar may cancel the duplicate certificate of title for the land if — </w:t>
      </w:r>
    </w:p>
    <w:p>
      <w:pPr>
        <w:pStyle w:val="Indenta"/>
      </w:pPr>
      <w:r>
        <w:tab/>
        <w:t>(a)</w:t>
      </w:r>
      <w:r>
        <w:tab/>
        <w:t>a request is made in accordance with subsection (5A) for the cancellation of the duplicate certificate of title; and</w:t>
      </w:r>
    </w:p>
    <w:p>
      <w:pPr>
        <w:pStyle w:val="Indenta"/>
      </w:pPr>
      <w:r>
        <w:tab/>
        <w:t>(b)</w:t>
      </w:r>
      <w:r>
        <w:tab/>
        <w:t>the duplicate certificate of title is delivered to the Registrar for retention, disposal or destruction.</w:t>
      </w:r>
    </w:p>
    <w:p>
      <w:pPr>
        <w:pStyle w:val="Subsection"/>
      </w:pPr>
      <w:r>
        <w:tab/>
        <w:t>(5A)</w:t>
      </w:r>
      <w:r>
        <w:tab/>
        <w:t xml:space="preserve">A request may be made under subsection (4) by — </w:t>
      </w:r>
    </w:p>
    <w:p>
      <w:pPr>
        <w:pStyle w:val="Indenta"/>
      </w:pPr>
      <w:r>
        <w:tab/>
        <w:t>(a)</w:t>
      </w:r>
      <w:r>
        <w:tab/>
        <w:t>a proprietor of the land (including the proprietor of a registered mortgage or registered charge over the land); or</w:t>
      </w:r>
    </w:p>
    <w:p>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Subsection"/>
      </w:pPr>
      <w:r>
        <w:tab/>
        <w:t>(5B)</w:t>
      </w:r>
      <w:r>
        <w:tab/>
        <w:t>On cancelling a duplicate certificate of title under subsection (4), the Registrar must endorse the certificate of title to that effect.</w:t>
      </w:r>
    </w:p>
    <w:p>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No. 81 of 1996 s. 23; amended: No. 6 of 2003 s. 15; No. 2 of 2014 s. 66; No. 30 of 2018 s. 197.]</w:t>
      </w:r>
    </w:p>
    <w:p>
      <w:pPr>
        <w:pStyle w:val="Heading5"/>
        <w:spacing w:before="240"/>
        <w:rPr>
          <w:snapToGrid w:val="0"/>
        </w:rPr>
      </w:pPr>
      <w:bookmarkStart w:id="61" w:name="_Toc141092675"/>
      <w:r>
        <w:rPr>
          <w:rStyle w:val="CharSectno"/>
        </w:rPr>
        <w:lastRenderedPageBreak/>
        <w:t>48C</w:t>
      </w:r>
      <w:r>
        <w:rPr>
          <w:snapToGrid w:val="0"/>
        </w:rPr>
        <w:t>.</w:t>
      </w:r>
      <w:r>
        <w:rPr>
          <w:snapToGrid w:val="0"/>
        </w:rPr>
        <w:tab/>
        <w:t>Symbols</w:t>
      </w:r>
      <w:bookmarkEnd w:id="61"/>
    </w:p>
    <w:p>
      <w:pPr>
        <w:pStyle w:val="Subsection"/>
        <w:keepNext/>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No. 81 of 1996 s. 23.]</w:t>
      </w:r>
    </w:p>
    <w:p>
      <w:pPr>
        <w:pStyle w:val="Heading5"/>
        <w:spacing w:before="240"/>
        <w:rPr>
          <w:snapToGrid w:val="0"/>
        </w:rPr>
      </w:pPr>
      <w:bookmarkStart w:id="62" w:name="_Toc141092676"/>
      <w:r>
        <w:rPr>
          <w:rStyle w:val="CharSectno"/>
        </w:rPr>
        <w:t>49</w:t>
      </w:r>
      <w:r>
        <w:rPr>
          <w:snapToGrid w:val="0"/>
        </w:rPr>
        <w:t>.</w:t>
      </w:r>
      <w:r>
        <w:rPr>
          <w:snapToGrid w:val="0"/>
        </w:rPr>
        <w:tab/>
        <w:t>One certificate may be created for lands not contiguous</w:t>
      </w:r>
      <w:bookmarkEnd w:id="62"/>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No. 32 of 1917 s. 2; No. 81 of 1996 s. 24; No. 6 of 2003 s. 16.]</w:t>
      </w:r>
    </w:p>
    <w:p>
      <w:pPr>
        <w:pStyle w:val="Heading5"/>
        <w:rPr>
          <w:snapToGrid w:val="0"/>
        </w:rPr>
      </w:pPr>
      <w:bookmarkStart w:id="63" w:name="_Toc141092677"/>
      <w:r>
        <w:rPr>
          <w:rStyle w:val="CharSectno"/>
        </w:rPr>
        <w:t>50</w:t>
      </w:r>
      <w:r>
        <w:rPr>
          <w:snapToGrid w:val="0"/>
        </w:rPr>
        <w:t>.</w:t>
      </w:r>
      <w:r>
        <w:rPr>
          <w:snapToGrid w:val="0"/>
        </w:rPr>
        <w:tab/>
        <w:t>Area of land need not be mentioned in certificate</w:t>
      </w:r>
      <w:bookmarkEnd w:id="63"/>
    </w:p>
    <w:p>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No. 17 of 1950 s. 13; No. 94 of 1972 s. 4; No. 6 of 2003 s. 17.]</w:t>
      </w:r>
    </w:p>
    <w:p>
      <w:pPr>
        <w:pStyle w:val="Ednotesection"/>
      </w:pPr>
      <w:r>
        <w:t>[</w:t>
      </w:r>
      <w:r>
        <w:rPr>
          <w:b/>
        </w:rPr>
        <w:t>51.</w:t>
      </w:r>
      <w:r>
        <w:tab/>
        <w:t>Deleted: No. 81 of 1996 s. 25.]</w:t>
      </w:r>
    </w:p>
    <w:p>
      <w:pPr>
        <w:pStyle w:val="Heading5"/>
        <w:rPr>
          <w:snapToGrid w:val="0"/>
        </w:rPr>
      </w:pPr>
      <w:bookmarkStart w:id="64" w:name="_Toc141092678"/>
      <w:r>
        <w:rPr>
          <w:rStyle w:val="CharSectno"/>
        </w:rPr>
        <w:t>52</w:t>
      </w:r>
      <w:r>
        <w:rPr>
          <w:snapToGrid w:val="0"/>
        </w:rPr>
        <w:t>.</w:t>
      </w:r>
      <w:r>
        <w:rPr>
          <w:snapToGrid w:val="0"/>
        </w:rPr>
        <w:tab/>
        <w:t>Registration of certificates of title and instruments</w:t>
      </w:r>
      <w:bookmarkEnd w:id="64"/>
    </w:p>
    <w:p>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pPr>
      <w:r>
        <w:lastRenderedPageBreak/>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No. 81 of 1996 s. 26; amended: No. 6 of 2003 s. 18; No. 2 of 2014 s. 67.]</w:t>
      </w:r>
    </w:p>
    <w:p>
      <w:pPr>
        <w:pStyle w:val="Heading5"/>
        <w:spacing w:before="240"/>
        <w:rPr>
          <w:snapToGrid w:val="0"/>
        </w:rPr>
      </w:pPr>
      <w:bookmarkStart w:id="65" w:name="_Toc141092679"/>
      <w:r>
        <w:rPr>
          <w:rStyle w:val="CharSectno"/>
        </w:rPr>
        <w:t>53</w:t>
      </w:r>
      <w:r>
        <w:rPr>
          <w:snapToGrid w:val="0"/>
        </w:rPr>
        <w:t>.</w:t>
      </w:r>
      <w:r>
        <w:rPr>
          <w:snapToGrid w:val="0"/>
        </w:rPr>
        <w:tab/>
        <w:t>Priority of registration of instruments</w:t>
      </w:r>
      <w:bookmarkEnd w:id="65"/>
    </w:p>
    <w:p>
      <w:pPr>
        <w:pStyle w:val="Subsection"/>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No. 81 of 1996 s. 27.]</w:t>
      </w:r>
    </w:p>
    <w:p>
      <w:pPr>
        <w:pStyle w:val="Heading5"/>
        <w:rPr>
          <w:snapToGrid w:val="0"/>
        </w:rPr>
      </w:pPr>
      <w:bookmarkStart w:id="66" w:name="_Toc141092680"/>
      <w:r>
        <w:rPr>
          <w:rStyle w:val="CharSectno"/>
        </w:rPr>
        <w:lastRenderedPageBreak/>
        <w:t>54</w:t>
      </w:r>
      <w:r>
        <w:rPr>
          <w:snapToGrid w:val="0"/>
        </w:rPr>
        <w:t>.</w:t>
      </w:r>
      <w:r>
        <w:rPr>
          <w:snapToGrid w:val="0"/>
        </w:rPr>
        <w:tab/>
        <w:t>Incorporation of terms etc. of certain memoranda</w:t>
      </w:r>
      <w:bookmarkEnd w:id="66"/>
    </w:p>
    <w:p>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rPr>
          <w:snapToGrid w:val="0"/>
        </w:rPr>
      </w:pPr>
      <w:r>
        <w:rPr>
          <w:snapToGrid w:val="0"/>
        </w:rPr>
        <w:tab/>
        <w:t>(2)</w:t>
      </w:r>
      <w:r>
        <w:rPr>
          <w:snapToGrid w:val="0"/>
        </w:rPr>
        <w:tab/>
        <w:t>Any person may, on payment of the prescribed fee, lodge with the Registrar a memorandum in an approved form.</w:t>
      </w:r>
    </w:p>
    <w:p>
      <w:pPr>
        <w:pStyle w:val="Subsection"/>
        <w:keepNext/>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No. 81 of 1996 s. 28; amended: No. 2 of 2014 s. 68.]</w:t>
      </w:r>
    </w:p>
    <w:p>
      <w:pPr>
        <w:pStyle w:val="Heading5"/>
        <w:rPr>
          <w:snapToGrid w:val="0"/>
        </w:rPr>
      </w:pPr>
      <w:bookmarkStart w:id="67" w:name="_Toc141092681"/>
      <w:r>
        <w:rPr>
          <w:rStyle w:val="CharSectno"/>
        </w:rPr>
        <w:lastRenderedPageBreak/>
        <w:t>55</w:t>
      </w:r>
      <w:r>
        <w:rPr>
          <w:snapToGrid w:val="0"/>
        </w:rPr>
        <w:t>.</w:t>
      </w:r>
      <w:r>
        <w:rPr>
          <w:snapToGrid w:val="0"/>
        </w:rPr>
        <w:tab/>
        <w:t>Trusts</w:t>
      </w:r>
      <w:bookmarkEnd w:id="67"/>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No. 81 of 1996 s. 29; amended: No. 31 of 1997 s. 96; No. 6 of 2003 s. 19.]</w:t>
      </w:r>
    </w:p>
    <w:p>
      <w:pPr>
        <w:pStyle w:val="Heading5"/>
        <w:rPr>
          <w:snapToGrid w:val="0"/>
        </w:rPr>
      </w:pPr>
      <w:bookmarkStart w:id="68" w:name="_Toc141092682"/>
      <w:r>
        <w:rPr>
          <w:rStyle w:val="CharSectno"/>
        </w:rPr>
        <w:t>56</w:t>
      </w:r>
      <w:r>
        <w:rPr>
          <w:snapToGrid w:val="0"/>
        </w:rPr>
        <w:t>.</w:t>
      </w:r>
      <w:r>
        <w:rPr>
          <w:snapToGrid w:val="0"/>
        </w:rPr>
        <w:tab/>
        <w:t>Memorandum to state certain particulars</w:t>
      </w:r>
      <w:bookmarkEnd w:id="68"/>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No. 28 of 1969 s. 5; amended: No. 81 of 1996 s. 30 and 145(1).]</w:t>
      </w:r>
    </w:p>
    <w:p>
      <w:pPr>
        <w:pStyle w:val="Heading5"/>
        <w:rPr>
          <w:snapToGrid w:val="0"/>
        </w:rPr>
      </w:pPr>
      <w:bookmarkStart w:id="69" w:name="_Toc141092683"/>
      <w:r>
        <w:rPr>
          <w:rStyle w:val="CharSectno"/>
        </w:rPr>
        <w:t>57</w:t>
      </w:r>
      <w:r>
        <w:rPr>
          <w:snapToGrid w:val="0"/>
        </w:rPr>
        <w:t>.</w:t>
      </w:r>
      <w:r>
        <w:rPr>
          <w:snapToGrid w:val="0"/>
        </w:rPr>
        <w:tab/>
        <w:t>Memoranda of instruments to be entered</w:t>
      </w:r>
      <w:bookmarkEnd w:id="69"/>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pPr>
        <w:pStyle w:val="Ednotepara"/>
        <w:rPr>
          <w:snapToGrid w:val="0"/>
        </w:rPr>
      </w:pPr>
      <w:r>
        <w:lastRenderedPageBreak/>
        <w:tab/>
        <w:t>[(a)</w:t>
      </w:r>
      <w:r>
        <w:tab/>
        <w:t>deleted]</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No. 81 of 1996 s. 31; amended: No. 6 of 2003 s. 20; No. 2 of 2014 s. 69.]</w:t>
      </w:r>
    </w:p>
    <w:p>
      <w:pPr>
        <w:pStyle w:val="Heading5"/>
        <w:rPr>
          <w:snapToGrid w:val="0"/>
        </w:rPr>
      </w:pPr>
      <w:bookmarkStart w:id="70" w:name="_Toc141092684"/>
      <w:r>
        <w:rPr>
          <w:rStyle w:val="CharSectno"/>
        </w:rPr>
        <w:t>58</w:t>
      </w:r>
      <w:r>
        <w:rPr>
          <w:snapToGrid w:val="0"/>
        </w:rPr>
        <w:t>.</w:t>
      </w:r>
      <w:r>
        <w:rPr>
          <w:snapToGrid w:val="0"/>
        </w:rPr>
        <w:tab/>
        <w:t>Instruments not effectual until registered</w:t>
      </w:r>
      <w:bookmarkEnd w:id="70"/>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No. 81 of 1996 s. 32; No. 31 of 1997 s. 97.]</w:t>
      </w:r>
    </w:p>
    <w:p>
      <w:pPr>
        <w:pStyle w:val="Heading5"/>
        <w:rPr>
          <w:snapToGrid w:val="0"/>
        </w:rPr>
      </w:pPr>
      <w:bookmarkStart w:id="71" w:name="_Toc141092685"/>
      <w:r>
        <w:rPr>
          <w:rStyle w:val="CharSectno"/>
        </w:rPr>
        <w:t>59</w:t>
      </w:r>
      <w:r>
        <w:rPr>
          <w:snapToGrid w:val="0"/>
        </w:rPr>
        <w:t>.</w:t>
      </w:r>
      <w:r>
        <w:rPr>
          <w:snapToGrid w:val="0"/>
        </w:rPr>
        <w:tab/>
        <w:t>Notations as to legal disability of proprietor</w:t>
      </w:r>
      <w:bookmarkEnd w:id="71"/>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No. 81 of 1996 s. 33.]</w:t>
      </w:r>
    </w:p>
    <w:p>
      <w:pPr>
        <w:pStyle w:val="Heading5"/>
        <w:rPr>
          <w:snapToGrid w:val="0"/>
        </w:rPr>
      </w:pPr>
      <w:bookmarkStart w:id="72" w:name="_Toc141092686"/>
      <w:r>
        <w:rPr>
          <w:rStyle w:val="CharSectno"/>
        </w:rPr>
        <w:lastRenderedPageBreak/>
        <w:t>60</w:t>
      </w:r>
      <w:r>
        <w:rPr>
          <w:snapToGrid w:val="0"/>
        </w:rPr>
        <w:t>.</w:t>
      </w:r>
      <w:r>
        <w:rPr>
          <w:snapToGrid w:val="0"/>
        </w:rPr>
        <w:tab/>
        <w:t>Joint tenants and tenants in common</w:t>
      </w:r>
      <w:bookmarkEnd w:id="72"/>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73" w:name="_Toc141092687"/>
      <w:r>
        <w:rPr>
          <w:rStyle w:val="CharSectno"/>
        </w:rPr>
        <w:t>61.</w:t>
      </w:r>
      <w:r>
        <w:rPr>
          <w:rStyle w:val="CharSectno"/>
        </w:rPr>
        <w:tab/>
      </w:r>
      <w:r>
        <w:rPr>
          <w:snapToGrid w:val="0"/>
        </w:rPr>
        <w:t>Effect of insertion of words “no survivorship”</w:t>
      </w:r>
      <w:bookmarkEnd w:id="73"/>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No. 81 of 1996 s. 34; No. 19 of 2010 s. 51.]</w:t>
      </w:r>
    </w:p>
    <w:p>
      <w:pPr>
        <w:pStyle w:val="Heading5"/>
        <w:rPr>
          <w:snapToGrid w:val="0"/>
        </w:rPr>
      </w:pPr>
      <w:bookmarkStart w:id="74" w:name="_Toc141092688"/>
      <w:r>
        <w:rPr>
          <w:rStyle w:val="CharSectno"/>
        </w:rPr>
        <w:t>62</w:t>
      </w:r>
      <w:r>
        <w:rPr>
          <w:snapToGrid w:val="0"/>
        </w:rPr>
        <w:t>.</w:t>
      </w:r>
      <w:r>
        <w:rPr>
          <w:snapToGrid w:val="0"/>
        </w:rPr>
        <w:tab/>
        <w:t>Notice to be published before effect given to order</w:t>
      </w:r>
      <w:bookmarkEnd w:id="74"/>
    </w:p>
    <w:p>
      <w:pPr>
        <w:pStyle w:val="Subsection"/>
        <w:rPr>
          <w:snapToGrid w:val="0"/>
        </w:rPr>
      </w:pPr>
      <w:r>
        <w:rPr>
          <w:snapToGrid w:val="0"/>
        </w:rPr>
        <w:tab/>
        <w:t>(1)</w:t>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w:t>
      </w:r>
      <w:r>
        <w:rPr>
          <w:snapToGrid w:val="0"/>
        </w:rPr>
        <w:lastRenderedPageBreak/>
        <w:t>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No. 26 of 1999 s. 106(2); No. 74 of 2003 s. 120; No. 19 of 2010 s. 51.]</w:t>
      </w:r>
    </w:p>
    <w:p>
      <w:pPr>
        <w:pStyle w:val="Heading5"/>
        <w:rPr>
          <w:snapToGrid w:val="0"/>
        </w:rPr>
      </w:pPr>
      <w:bookmarkStart w:id="75" w:name="_Toc141092689"/>
      <w:r>
        <w:rPr>
          <w:rStyle w:val="CharSectno"/>
        </w:rPr>
        <w:t>63</w:t>
      </w:r>
      <w:r>
        <w:rPr>
          <w:snapToGrid w:val="0"/>
        </w:rPr>
        <w:t>.</w:t>
      </w:r>
      <w:r>
        <w:rPr>
          <w:snapToGrid w:val="0"/>
        </w:rPr>
        <w:tab/>
        <w:t>Certificate to be conclusive evidence of title</w:t>
      </w:r>
      <w:bookmarkEnd w:id="75"/>
    </w:p>
    <w:p>
      <w:pPr>
        <w:pStyle w:val="Subsection"/>
        <w:rPr>
          <w:snapToGrid w:val="0"/>
        </w:rPr>
      </w:pPr>
      <w:r>
        <w:rPr>
          <w:snapToGrid w:val="0"/>
        </w:rPr>
        <w:tab/>
        <w:t>(1)</w:t>
      </w:r>
      <w:r>
        <w:rPr>
          <w:snapToGrid w:val="0"/>
        </w:rPr>
        <w:tab/>
        <w:t xml:space="preserve">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w:t>
      </w:r>
      <w:r>
        <w:rPr>
          <w:snapToGrid w:val="0"/>
        </w:rPr>
        <w:lastRenderedPageBreak/>
        <w:t>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No. 81 of 1996 s. 35 and 145(1); No. 31 of 1997 s. 98.]</w:t>
      </w:r>
    </w:p>
    <w:p>
      <w:pPr>
        <w:pStyle w:val="Heading5"/>
        <w:rPr>
          <w:snapToGrid w:val="0"/>
        </w:rPr>
      </w:pPr>
      <w:bookmarkStart w:id="76" w:name="_Toc141092690"/>
      <w:r>
        <w:rPr>
          <w:rStyle w:val="CharSectno"/>
        </w:rPr>
        <w:t>63A</w:t>
      </w:r>
      <w:r>
        <w:rPr>
          <w:snapToGrid w:val="0"/>
        </w:rPr>
        <w:t>.</w:t>
      </w:r>
      <w:r>
        <w:rPr>
          <w:snapToGrid w:val="0"/>
        </w:rPr>
        <w:tab/>
        <w:t>Certificates may contain statement of easements</w:t>
      </w:r>
      <w:bookmarkEnd w:id="76"/>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No. 54 of 1909 s. 15 and 16 (as amended: No. 17 of 1950 s. 75); amended: No. 81 of 1996 s. 36; No. 6 of 2003 s. 21; No. 60 of 2006 s. 118(1).]</w:t>
      </w:r>
    </w:p>
    <w:p>
      <w:pPr>
        <w:pStyle w:val="Heading5"/>
        <w:spacing w:before="180"/>
        <w:rPr>
          <w:snapToGrid w:val="0"/>
        </w:rPr>
      </w:pPr>
      <w:bookmarkStart w:id="77" w:name="_Toc141092691"/>
      <w:r>
        <w:rPr>
          <w:rStyle w:val="CharSectno"/>
        </w:rPr>
        <w:t>64</w:t>
      </w:r>
      <w:r>
        <w:rPr>
          <w:snapToGrid w:val="0"/>
        </w:rPr>
        <w:t>.</w:t>
      </w:r>
      <w:r>
        <w:rPr>
          <w:snapToGrid w:val="0"/>
        </w:rPr>
        <w:tab/>
        <w:t>Certificate conclusive evidence as to title to easements</w:t>
      </w:r>
      <w:bookmarkEnd w:id="77"/>
    </w:p>
    <w:p>
      <w:pPr>
        <w:pStyle w:val="Subsection"/>
        <w:spacing w:before="180"/>
        <w:rPr>
          <w:snapToGrid w:val="0"/>
        </w:rPr>
      </w:pPr>
      <w:r>
        <w:rPr>
          <w:snapToGrid w:val="0"/>
        </w:rPr>
        <w:tab/>
      </w:r>
      <w:r>
        <w:rPr>
          <w:snapToGrid w:val="0"/>
        </w:rPr>
        <w:tab/>
        <w:t xml:space="preserve">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w:t>
      </w:r>
      <w:r>
        <w:rPr>
          <w:snapToGrid w:val="0"/>
        </w:rPr>
        <w:lastRenderedPageBreak/>
        <w:t>statement shall be received in all courts of law and equity as conclusive evidence that he is so entitled.</w:t>
      </w:r>
    </w:p>
    <w:p>
      <w:pPr>
        <w:pStyle w:val="Footnotesection"/>
        <w:spacing w:before="80"/>
        <w:ind w:left="890" w:hanging="890"/>
      </w:pPr>
      <w:r>
        <w:tab/>
        <w:t>[Section 64 amended: No. 6 of 2003 s. 22.]</w:t>
      </w:r>
    </w:p>
    <w:p>
      <w:pPr>
        <w:pStyle w:val="Heading5"/>
        <w:spacing w:before="240"/>
        <w:rPr>
          <w:snapToGrid w:val="0"/>
        </w:rPr>
      </w:pPr>
      <w:bookmarkStart w:id="78" w:name="_Toc141092692"/>
      <w:r>
        <w:rPr>
          <w:rStyle w:val="CharSectno"/>
        </w:rPr>
        <w:t>65</w:t>
      </w:r>
      <w:r>
        <w:rPr>
          <w:snapToGrid w:val="0"/>
        </w:rPr>
        <w:t>.</w:t>
      </w:r>
      <w:r>
        <w:rPr>
          <w:snapToGrid w:val="0"/>
        </w:rPr>
        <w:tab/>
        <w:t>Short forms etc. for easements, effect of</w:t>
      </w:r>
      <w:bookmarkEnd w:id="78"/>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[Section 65 inserted: No. 81 of 1996 s. 37</w:t>
      </w:r>
      <w:r>
        <w:rPr>
          <w:vertAlign w:val="superscript"/>
        </w:rPr>
        <w:t> 7</w:t>
      </w:r>
      <w:r>
        <w:t>; amended: No. 56 of 2003 s. 12; No. 19 of 2010 s. 38(3) .]</w:t>
      </w:r>
    </w:p>
    <w:p>
      <w:pPr>
        <w:pStyle w:val="Heading5"/>
        <w:rPr>
          <w:snapToGrid w:val="0"/>
        </w:rPr>
      </w:pPr>
      <w:bookmarkStart w:id="79" w:name="_Toc141092693"/>
      <w:r>
        <w:rPr>
          <w:rStyle w:val="CharSectno"/>
        </w:rPr>
        <w:lastRenderedPageBreak/>
        <w:t>65A</w:t>
      </w:r>
      <w:r>
        <w:rPr>
          <w:snapToGrid w:val="0"/>
        </w:rPr>
        <w:t>.</w:t>
      </w:r>
      <w:r>
        <w:rPr>
          <w:snapToGrid w:val="0"/>
        </w:rPr>
        <w:tab/>
        <w:t>Memorandum of easement</w:t>
      </w:r>
      <w:bookmarkEnd w:id="79"/>
    </w:p>
    <w:p>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pPr>
        <w:pStyle w:val="Footnotesection"/>
      </w:pPr>
      <w:r>
        <w:tab/>
        <w:t>[Section 65A inserted: No. 81 of 1996 s. 37; amended: No. 30 of 2018 s. 198; No. 32 of 2018 s. 254.]</w:t>
      </w:r>
    </w:p>
    <w:p>
      <w:pPr>
        <w:pStyle w:val="Ednotesection"/>
        <w:spacing w:before="240"/>
        <w:ind w:left="890" w:hanging="890"/>
      </w:pPr>
      <w:r>
        <w:t>[</w:t>
      </w:r>
      <w:r>
        <w:rPr>
          <w:b/>
        </w:rPr>
        <w:t>66.</w:t>
      </w:r>
      <w:r>
        <w:tab/>
        <w:t>Deleted: No. 81 of 1996 s. 38.]</w:t>
      </w:r>
    </w:p>
    <w:p>
      <w:pPr>
        <w:pStyle w:val="Heading5"/>
        <w:spacing w:before="240"/>
        <w:rPr>
          <w:snapToGrid w:val="0"/>
        </w:rPr>
      </w:pPr>
      <w:bookmarkStart w:id="80" w:name="_Toc141092694"/>
      <w:r>
        <w:rPr>
          <w:rStyle w:val="CharSectno"/>
        </w:rPr>
        <w:t>66A</w:t>
      </w:r>
      <w:r>
        <w:rPr>
          <w:snapToGrid w:val="0"/>
        </w:rPr>
        <w:t>.</w:t>
      </w:r>
      <w:r>
        <w:rPr>
          <w:snapToGrid w:val="0"/>
        </w:rPr>
        <w:tab/>
        <w:t>No separate certificate for easement</w:t>
      </w:r>
      <w:bookmarkEnd w:id="80"/>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No. 17 of 1950 s. 15; amended: No. 81 of 1996 s. 39.]</w:t>
      </w:r>
    </w:p>
    <w:p>
      <w:pPr>
        <w:pStyle w:val="Heading5"/>
        <w:spacing w:before="240"/>
        <w:rPr>
          <w:snapToGrid w:val="0"/>
        </w:rPr>
      </w:pPr>
      <w:bookmarkStart w:id="81" w:name="_Toc141092695"/>
      <w:r>
        <w:rPr>
          <w:rStyle w:val="CharSectno"/>
        </w:rPr>
        <w:t>67</w:t>
      </w:r>
      <w:r>
        <w:rPr>
          <w:snapToGrid w:val="0"/>
        </w:rPr>
        <w:t>.</w:t>
      </w:r>
      <w:r>
        <w:rPr>
          <w:snapToGrid w:val="0"/>
        </w:rPr>
        <w:tab/>
        <w:t>Certificate conclusive evidence in suit for specific performance or action for damages</w:t>
      </w:r>
      <w:bookmarkEnd w:id="81"/>
    </w:p>
    <w:p>
      <w:pPr>
        <w:pStyle w:val="Subsection"/>
        <w:rPr>
          <w:snapToGrid w:val="0"/>
        </w:rPr>
      </w:pPr>
      <w:r>
        <w:rPr>
          <w:snapToGrid w:val="0"/>
        </w:rPr>
        <w:tab/>
      </w:r>
      <w:r>
        <w:rPr>
          <w:snapToGrid w:val="0"/>
        </w:rPr>
        <w:tab/>
        <w:t xml:space="preserve">In any action for specific performance or for damages brought by a proprietor of any land under the operation of this Act </w:t>
      </w:r>
      <w:r>
        <w:rPr>
          <w:snapToGrid w:val="0"/>
        </w:rPr>
        <w:lastRenderedPageBreak/>
        <w:t>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82" w:name="_Toc141092696"/>
      <w:r>
        <w:rPr>
          <w:rStyle w:val="CharSectno"/>
        </w:rPr>
        <w:t>68</w:t>
      </w:r>
      <w:r>
        <w:rPr>
          <w:snapToGrid w:val="0"/>
        </w:rPr>
        <w:t>.</w:t>
      </w:r>
      <w:r>
        <w:rPr>
          <w:snapToGrid w:val="0"/>
        </w:rPr>
        <w:tab/>
        <w:t>Estate of registered proprietor paramount</w:t>
      </w:r>
      <w:bookmarkEnd w:id="82"/>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 xml:space="preserve">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w:t>
      </w:r>
      <w:r>
        <w:rPr>
          <w:snapToGrid w:val="0"/>
        </w:rPr>
        <w:lastRenderedPageBreak/>
        <w:t>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lastRenderedPageBreak/>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No. 17 of 1950 s. 16; No. 81 of 1996 s. 40; No. 31 of 1997 s. 99; No. 19 of 2010 s. 51.]</w:t>
      </w:r>
    </w:p>
    <w:p>
      <w:pPr>
        <w:pStyle w:val="Heading5"/>
        <w:rPr>
          <w:snapToGrid w:val="0"/>
        </w:rPr>
      </w:pPr>
      <w:bookmarkStart w:id="83" w:name="_Toc141092697"/>
      <w:r>
        <w:rPr>
          <w:rStyle w:val="CharSectno"/>
        </w:rPr>
        <w:t>69</w:t>
      </w:r>
      <w:r>
        <w:rPr>
          <w:snapToGrid w:val="0"/>
        </w:rPr>
        <w:t>.</w:t>
      </w:r>
      <w:r>
        <w:rPr>
          <w:snapToGrid w:val="0"/>
        </w:rPr>
        <w:tab/>
        <w:t>Certain easements and conditions to be noted as encumbrances</w:t>
      </w:r>
      <w:bookmarkEnd w:id="83"/>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 xml:space="preserve">Notwithstanding section 68(1A) the Registrar shall endorse as an encumbrance upon all future certificates of title and their duplicates (if any) any special building condition or condition against free alienation or other condition (not being a power of </w:t>
      </w:r>
      <w:r>
        <w:rPr>
          <w:snapToGrid w:val="0"/>
        </w:rPr>
        <w:lastRenderedPageBreak/>
        <w:t>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No. 81 of 1996 s. 41; No. 19 of 2010 s. 51.]</w:t>
      </w:r>
    </w:p>
    <w:p>
      <w:pPr>
        <w:pStyle w:val="Heading5"/>
        <w:spacing w:before="180"/>
        <w:rPr>
          <w:snapToGrid w:val="0"/>
        </w:rPr>
      </w:pPr>
      <w:bookmarkStart w:id="84" w:name="_Toc141092698"/>
      <w:r>
        <w:rPr>
          <w:rStyle w:val="CharSectno"/>
        </w:rPr>
        <w:t>70</w:t>
      </w:r>
      <w:r>
        <w:rPr>
          <w:snapToGrid w:val="0"/>
        </w:rPr>
        <w:t>.</w:t>
      </w:r>
      <w:r>
        <w:rPr>
          <w:snapToGrid w:val="0"/>
        </w:rPr>
        <w:tab/>
        <w:t>Reversions expectant on leases</w:t>
      </w:r>
      <w:bookmarkEnd w:id="84"/>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180"/>
        <w:rPr>
          <w:snapToGrid w:val="0"/>
        </w:rPr>
      </w:pPr>
      <w:bookmarkStart w:id="85" w:name="_Toc141092699"/>
      <w:r>
        <w:rPr>
          <w:rStyle w:val="CharSectno"/>
        </w:rPr>
        <w:t>70A</w:t>
      </w:r>
      <w:r>
        <w:rPr>
          <w:snapToGrid w:val="0"/>
        </w:rPr>
        <w:t>.</w:t>
      </w:r>
      <w:r>
        <w:rPr>
          <w:snapToGrid w:val="0"/>
        </w:rPr>
        <w:tab/>
        <w:t>Factors affecting use and enjoyment of land, notification on title</w:t>
      </w:r>
      <w:bookmarkEnd w:id="85"/>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spacing w:before="140"/>
        <w:rPr>
          <w:snapToGrid w:val="0"/>
        </w:rPr>
      </w:pPr>
      <w:r>
        <w:rPr>
          <w:snapToGrid w:val="0"/>
        </w:rPr>
        <w:tab/>
      </w:r>
      <w:r>
        <w:rPr>
          <w:snapToGrid w:val="0"/>
        </w:rPr>
        <w:tab/>
        <w:t xml:space="preserve">considers it desirable that proprietors or prospective proprietors of the land be made aware of a factor affecting the use or enjoyment of the land or part of the land, the local government </w:t>
      </w:r>
      <w:r>
        <w:rPr>
          <w:snapToGrid w:val="0"/>
        </w:rPr>
        <w:lastRenderedPageBreak/>
        <w:t>or the public authority may, on payment of the prescribed fee, cause a notification of the factor to be prepared in an approved form and lodged with the Registrar.</w:t>
      </w:r>
    </w:p>
    <w:p>
      <w:pPr>
        <w:pStyle w:val="Subsection"/>
        <w:keepNext/>
        <w:spacing w:before="140"/>
        <w:rPr>
          <w:snapToGrid w:val="0"/>
        </w:rPr>
      </w:pPr>
      <w:r>
        <w:rPr>
          <w:snapToGrid w:val="0"/>
        </w:rPr>
        <w:tab/>
        <w:t>(2)</w:t>
      </w:r>
      <w:r>
        <w:rPr>
          <w:snapToGrid w:val="0"/>
        </w:rPr>
        <w:tab/>
        <w:t>Where —</w:t>
      </w:r>
    </w:p>
    <w:p>
      <w:pPr>
        <w:pStyle w:val="Indenta"/>
        <w:keepNext/>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spacing w:before="80"/>
        <w:ind w:left="890" w:hanging="890"/>
      </w:pPr>
      <w:r>
        <w:tab/>
        <w:t>[Section 70A inserted: No. 81 of 1996 s. 42.]</w:t>
      </w:r>
    </w:p>
    <w:p>
      <w:pPr>
        <w:pStyle w:val="Heading5"/>
        <w:rPr>
          <w:snapToGrid w:val="0"/>
        </w:rPr>
      </w:pPr>
      <w:bookmarkStart w:id="86" w:name="_Toc141092700"/>
      <w:r>
        <w:rPr>
          <w:rStyle w:val="CharSectno"/>
        </w:rPr>
        <w:t>71</w:t>
      </w:r>
      <w:r>
        <w:rPr>
          <w:snapToGrid w:val="0"/>
        </w:rPr>
        <w:t>.</w:t>
      </w:r>
      <w:r>
        <w:rPr>
          <w:snapToGrid w:val="0"/>
        </w:rPr>
        <w:tab/>
        <w:t>Single certificate may be created instead of separate ones</w:t>
      </w:r>
      <w:bookmarkEnd w:id="86"/>
    </w:p>
    <w:p>
      <w:pPr>
        <w:pStyle w:val="Subsection"/>
        <w:rPr>
          <w:snapToGrid w:val="0"/>
        </w:rPr>
      </w:pPr>
      <w:r>
        <w:rPr>
          <w:snapToGrid w:val="0"/>
        </w:rPr>
        <w:tab/>
      </w:r>
      <w:r>
        <w:rPr>
          <w:snapToGrid w:val="0"/>
        </w:rPr>
        <w:tab/>
        <w:t xml:space="preserve">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w:t>
      </w:r>
      <w:r>
        <w:rPr>
          <w:snapToGrid w:val="0"/>
        </w:rPr>
        <w:lastRenderedPageBreak/>
        <w:t>cancel the previous certificate and shall endorse thereupon a memorandum setting forth the occasion of such cancellation and referring to the new certificate.</w:t>
      </w:r>
    </w:p>
    <w:p>
      <w:pPr>
        <w:pStyle w:val="Footnotesection"/>
        <w:ind w:left="890" w:hanging="890"/>
      </w:pPr>
      <w:r>
        <w:tab/>
        <w:t>[Section 71 amended: No. 81 of 1996 s. 43.]</w:t>
      </w:r>
    </w:p>
    <w:p>
      <w:pPr>
        <w:pStyle w:val="Heading5"/>
        <w:rPr>
          <w:snapToGrid w:val="0"/>
        </w:rPr>
      </w:pPr>
      <w:bookmarkStart w:id="87" w:name="_Toc141092701"/>
      <w:r>
        <w:rPr>
          <w:rStyle w:val="CharSectno"/>
        </w:rPr>
        <w:t>71A</w:t>
      </w:r>
      <w:r>
        <w:rPr>
          <w:snapToGrid w:val="0"/>
        </w:rPr>
        <w:t>.</w:t>
      </w:r>
      <w:r>
        <w:rPr>
          <w:snapToGrid w:val="0"/>
        </w:rPr>
        <w:tab/>
        <w:t>Separate certificates may be created instead of single one</w:t>
      </w:r>
      <w:bookmarkEnd w:id="87"/>
    </w:p>
    <w:p>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No. 17 of 1950 s. 17; amended: No. 81 of 1996 s. 44.]</w:t>
      </w:r>
    </w:p>
    <w:p>
      <w:pPr>
        <w:pStyle w:val="Heading5"/>
        <w:rPr>
          <w:snapToGrid w:val="0"/>
        </w:rPr>
      </w:pPr>
      <w:bookmarkStart w:id="88" w:name="_Toc141092702"/>
      <w:r>
        <w:rPr>
          <w:rStyle w:val="CharSectno"/>
        </w:rPr>
        <w:t>71B</w:t>
      </w:r>
      <w:r>
        <w:rPr>
          <w:snapToGrid w:val="0"/>
        </w:rPr>
        <w:t>.</w:t>
      </w:r>
      <w:r>
        <w:rPr>
          <w:snapToGrid w:val="0"/>
        </w:rPr>
        <w:tab/>
        <w:t>Replacing duplicate certificates of title</w:t>
      </w:r>
      <w:bookmarkEnd w:id="88"/>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lastRenderedPageBreak/>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No. 17 of 1950 s. 17; amended: No. 81 of 1996 s. 45.]</w:t>
      </w:r>
    </w:p>
    <w:p>
      <w:pPr>
        <w:pStyle w:val="Heading5"/>
        <w:rPr>
          <w:snapToGrid w:val="0"/>
        </w:rPr>
      </w:pPr>
      <w:bookmarkStart w:id="89" w:name="_Toc141092703"/>
      <w:r>
        <w:rPr>
          <w:rStyle w:val="CharSectno"/>
        </w:rPr>
        <w:t>72</w:t>
      </w:r>
      <w:r>
        <w:rPr>
          <w:snapToGrid w:val="0"/>
        </w:rPr>
        <w:t>.</w:t>
      </w:r>
      <w:r>
        <w:rPr>
          <w:snapToGrid w:val="0"/>
        </w:rPr>
        <w:tab/>
        <w:t>History of dealings to be preserved</w:t>
      </w:r>
      <w:bookmarkEnd w:id="89"/>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No. 81 of 1996 s. 145(1); No. 6 of 2003 s. 23.]</w:t>
      </w:r>
    </w:p>
    <w:p>
      <w:pPr>
        <w:pStyle w:val="Ednotesection"/>
      </w:pPr>
      <w:r>
        <w:t>[</w:t>
      </w:r>
      <w:r>
        <w:rPr>
          <w:b/>
        </w:rPr>
        <w:t>73.</w:t>
      </w:r>
      <w:r>
        <w:tab/>
        <w:t>Deleted: No. 31 of 1997 s. 100.]</w:t>
      </w:r>
    </w:p>
    <w:p>
      <w:pPr>
        <w:pStyle w:val="Heading5"/>
        <w:rPr>
          <w:snapToGrid w:val="0"/>
        </w:rPr>
      </w:pPr>
      <w:bookmarkStart w:id="90" w:name="_Toc141092704"/>
      <w:r>
        <w:rPr>
          <w:rStyle w:val="CharSectno"/>
        </w:rPr>
        <w:t>74</w:t>
      </w:r>
      <w:r>
        <w:rPr>
          <w:snapToGrid w:val="0"/>
        </w:rPr>
        <w:t>.</w:t>
      </w:r>
      <w:r>
        <w:rPr>
          <w:snapToGrid w:val="0"/>
        </w:rPr>
        <w:tab/>
        <w:t>Duplicate may be dispensed with in certain cases</w:t>
      </w:r>
      <w:bookmarkEnd w:id="90"/>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w:t>
      </w:r>
      <w:r>
        <w:lastRenderedPageBreak/>
        <w:t xml:space="preserve">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Footnotesection"/>
      </w:pPr>
      <w:r>
        <w:tab/>
        <w:t>[Section 74 amended: No. 81 of 1996 s. 46 and 145(1); No. 6 of 2003 s. 24; No. 19 of 2010 s. 51; No. 2 of 2014 s. 70.]</w:t>
      </w:r>
    </w:p>
    <w:p>
      <w:pPr>
        <w:pStyle w:val="Heading5"/>
        <w:spacing w:before="180"/>
        <w:rPr>
          <w:snapToGrid w:val="0"/>
        </w:rPr>
      </w:pPr>
      <w:bookmarkStart w:id="91" w:name="_Toc141092705"/>
      <w:r>
        <w:rPr>
          <w:rStyle w:val="CharSectno"/>
        </w:rPr>
        <w:t>74A</w:t>
      </w:r>
      <w:r>
        <w:rPr>
          <w:snapToGrid w:val="0"/>
        </w:rPr>
        <w:t>.</w:t>
      </w:r>
      <w:r>
        <w:rPr>
          <w:snapToGrid w:val="0"/>
        </w:rPr>
        <w:tab/>
        <w:t>Substitute certificates of title</w:t>
      </w:r>
      <w:bookmarkEnd w:id="91"/>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lastRenderedPageBreak/>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No. 81 of 1996 s. 47; amended: No. 6 of 2003 s. 25.]</w:t>
      </w:r>
    </w:p>
    <w:p>
      <w:pPr>
        <w:pStyle w:val="Heading5"/>
        <w:rPr>
          <w:snapToGrid w:val="0"/>
        </w:rPr>
      </w:pPr>
      <w:bookmarkStart w:id="92" w:name="_Toc141092706"/>
      <w:r>
        <w:rPr>
          <w:rStyle w:val="CharSectno"/>
        </w:rPr>
        <w:t>74B</w:t>
      </w:r>
      <w:r>
        <w:rPr>
          <w:snapToGrid w:val="0"/>
        </w:rPr>
        <w:t>.</w:t>
      </w:r>
      <w:r>
        <w:rPr>
          <w:snapToGrid w:val="0"/>
        </w:rPr>
        <w:tab/>
        <w:t>New duplicate certificates of title</w:t>
      </w:r>
      <w:bookmarkEnd w:id="92"/>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keepNext/>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pPr>
      <w:r>
        <w:tab/>
        <w:t>(3)</w:t>
      </w:r>
      <w:r>
        <w:tab/>
        <w:t xml:space="preserve">Subsection (4) applies if — </w:t>
      </w:r>
    </w:p>
    <w:p>
      <w:pPr>
        <w:pStyle w:val="Indenta"/>
      </w:pPr>
      <w:r>
        <w:tab/>
        <w:t>(a)</w:t>
      </w:r>
      <w:r>
        <w:tab/>
        <w:t xml:space="preserve">a document is lodged electronically under the </w:t>
      </w:r>
      <w:r>
        <w:rPr>
          <w:i/>
        </w:rPr>
        <w:t>Electronic Conveyancing Act 2014</w:t>
      </w:r>
      <w:r>
        <w:t>; and</w:t>
      </w:r>
    </w:p>
    <w:p>
      <w:pPr>
        <w:pStyle w:val="Indenta"/>
      </w:pPr>
      <w:r>
        <w:lastRenderedPageBreak/>
        <w:tab/>
        <w:t>(b)</w:t>
      </w:r>
      <w:r>
        <w:tab/>
        <w:t xml:space="preserve">in connection with the lodging of that document, a duplicate certificate of title is not produced but is dealt with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Indenta"/>
      </w:pPr>
      <w:r>
        <w:tab/>
      </w:r>
      <w:r>
        <w:tab/>
        <w:t>and</w:t>
      </w:r>
    </w:p>
    <w:p>
      <w:pPr>
        <w:pStyle w:val="Indenta"/>
      </w:pPr>
      <w:r>
        <w:tab/>
        <w:t>(c)</w:t>
      </w:r>
      <w:r>
        <w:tab/>
        <w:t>that document is later withdrawn from registration or is rejected.</w:t>
      </w:r>
    </w:p>
    <w:p>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Indenta"/>
      </w:pPr>
      <w:r>
        <w:tab/>
        <w:t>(a)</w:t>
      </w:r>
      <w:r>
        <w:tab/>
        <w:t>the proprietor of the land that is the subject of the certificate of title; or</w:t>
      </w:r>
    </w:p>
    <w:p>
      <w:pPr>
        <w:pStyle w:val="Indenta"/>
      </w:pPr>
      <w:r>
        <w:tab/>
        <w:t>(b)</w:t>
      </w:r>
      <w:r>
        <w:tab/>
        <w:t>a person named and authorised by the proprietor as the person to whom the duplicate may be issued.</w:t>
      </w:r>
    </w:p>
    <w:p>
      <w:pPr>
        <w:pStyle w:val="Footnotesection"/>
      </w:pPr>
      <w:r>
        <w:tab/>
        <w:t>[Section 74B inserted: No. 81 of 1996 s. 47; amended: No. 6 of 2003 s. 26; No. 2 of 2014 s. 71.]</w:t>
      </w:r>
    </w:p>
    <w:p>
      <w:pPr>
        <w:pStyle w:val="Heading5"/>
        <w:rPr>
          <w:snapToGrid w:val="0"/>
        </w:rPr>
      </w:pPr>
      <w:bookmarkStart w:id="93" w:name="_Toc141092707"/>
      <w:r>
        <w:rPr>
          <w:rStyle w:val="CharSectno"/>
        </w:rPr>
        <w:t>75</w:t>
      </w:r>
      <w:r>
        <w:rPr>
          <w:snapToGrid w:val="0"/>
        </w:rPr>
        <w:t>.</w:t>
      </w:r>
      <w:r>
        <w:rPr>
          <w:snapToGrid w:val="0"/>
        </w:rPr>
        <w:tab/>
        <w:t>Where duplicate certificate lost, destroyed or obliterated</w:t>
      </w:r>
      <w:bookmarkEnd w:id="93"/>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lastRenderedPageBreak/>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lastRenderedPageBreak/>
        <w:tab/>
        <w:t>(5)</w:t>
      </w:r>
      <w:r>
        <w:rPr>
          <w:snapToGrid w:val="0"/>
        </w:rPr>
        <w:tab/>
        <w:t>In this section, a reference to a Crown lease includes a reference to a Crown land lease issued by the Minister for Lands.</w:t>
      </w:r>
    </w:p>
    <w:p>
      <w:pPr>
        <w:pStyle w:val="Footnotesection"/>
        <w:ind w:left="890" w:hanging="890"/>
      </w:pPr>
      <w:r>
        <w:tab/>
        <w:t>[Section 75 inserted: No. 28 of 1944 s. 2 (as amended: No. 17 of 1950 s. 75); amended: No. 81 of 1996 s. 48; No. 31 of 1997 s. 101; No. 6 of 2003 s. 27; No. 19 of 2010 s. 51.]</w:t>
      </w:r>
    </w:p>
    <w:p>
      <w:pPr>
        <w:pStyle w:val="Heading5"/>
        <w:rPr>
          <w:snapToGrid w:val="0"/>
        </w:rPr>
      </w:pPr>
      <w:bookmarkStart w:id="94" w:name="_Toc141092708"/>
      <w:r>
        <w:rPr>
          <w:rStyle w:val="CharSectno"/>
        </w:rPr>
        <w:t>76</w:t>
      </w:r>
      <w:r>
        <w:rPr>
          <w:snapToGrid w:val="0"/>
        </w:rPr>
        <w:t>.</w:t>
      </w:r>
      <w:r>
        <w:rPr>
          <w:snapToGrid w:val="0"/>
        </w:rPr>
        <w:tab/>
        <w:t>Duplicate certificates etc. issued in error etc., powers to recover</w:t>
      </w:r>
      <w:bookmarkEnd w:id="94"/>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 xml:space="preserve">Where a person has not complied with a requisition under subsection (1) and the Registrar has not applied to a judge for the issue of a summons referred to in that subsection, nothing in </w:t>
      </w:r>
      <w:r>
        <w:rPr>
          <w:snapToGrid w:val="0"/>
        </w:rPr>
        <w:lastRenderedPageBreak/>
        <w:t>subsection (1) prevents any other interested person from applying to a judge to issue a summons referred to in that subsection.</w:t>
      </w:r>
    </w:p>
    <w:p>
      <w:pPr>
        <w:pStyle w:val="Footnotesection"/>
      </w:pPr>
      <w:r>
        <w:tab/>
        <w:t>[Section 76 amended: No. 81 of 1996 s. 49.]</w:t>
      </w:r>
    </w:p>
    <w:p>
      <w:pPr>
        <w:pStyle w:val="Heading5"/>
        <w:spacing w:before="280"/>
        <w:rPr>
          <w:snapToGrid w:val="0"/>
        </w:rPr>
      </w:pPr>
      <w:bookmarkStart w:id="95" w:name="_Toc141092709"/>
      <w:r>
        <w:rPr>
          <w:rStyle w:val="CharSectno"/>
        </w:rPr>
        <w:t>77</w:t>
      </w:r>
      <w:r>
        <w:rPr>
          <w:snapToGrid w:val="0"/>
        </w:rPr>
        <w:t>.</w:t>
      </w:r>
      <w:r>
        <w:rPr>
          <w:snapToGrid w:val="0"/>
        </w:rPr>
        <w:tab/>
        <w:t>Procedure when person summoned etc. under s. 76</w:t>
      </w:r>
      <w:bookmarkEnd w:id="95"/>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No. 81 of 1996 s. 50.]</w:t>
      </w:r>
    </w:p>
    <w:p>
      <w:pPr>
        <w:pStyle w:val="Heading5"/>
        <w:rPr>
          <w:snapToGrid w:val="0"/>
        </w:rPr>
      </w:pPr>
      <w:bookmarkStart w:id="96" w:name="_Toc141092710"/>
      <w:r>
        <w:rPr>
          <w:rStyle w:val="CharSectno"/>
        </w:rPr>
        <w:lastRenderedPageBreak/>
        <w:t>78</w:t>
      </w:r>
      <w:r>
        <w:rPr>
          <w:snapToGrid w:val="0"/>
        </w:rPr>
        <w:t>.</w:t>
      </w:r>
      <w:r>
        <w:rPr>
          <w:snapToGrid w:val="0"/>
        </w:rPr>
        <w:tab/>
        <w:t>Registrar may call in duplicate certificate etc.</w:t>
      </w:r>
      <w:bookmarkEnd w:id="96"/>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No. 54 of 1909 s. 11; No. 81 of 1996 s. 51; No. 6 of 2003 s. 28; No. 59 of 2004 s. 140; No. 60 of 2006 s. 118(1).]</w:t>
      </w:r>
    </w:p>
    <w:p>
      <w:pPr>
        <w:pStyle w:val="Heading5"/>
        <w:spacing w:before="180"/>
        <w:rPr>
          <w:snapToGrid w:val="0"/>
        </w:rPr>
      </w:pPr>
      <w:bookmarkStart w:id="97" w:name="_Toc141092711"/>
      <w:r>
        <w:rPr>
          <w:rStyle w:val="CharSectno"/>
        </w:rPr>
        <w:t>79</w:t>
      </w:r>
      <w:r>
        <w:rPr>
          <w:snapToGrid w:val="0"/>
        </w:rPr>
        <w:t>.</w:t>
      </w:r>
      <w:r>
        <w:rPr>
          <w:snapToGrid w:val="0"/>
        </w:rPr>
        <w:tab/>
        <w:t>Person who fails to bring in duplicate certificate etc. may be brought before Supreme Court</w:t>
      </w:r>
      <w:bookmarkEnd w:id="97"/>
    </w:p>
    <w:p>
      <w:pPr>
        <w:pStyle w:val="Subsection"/>
        <w:rPr>
          <w:snapToGrid w:val="0"/>
        </w:rPr>
      </w:pPr>
      <w:r>
        <w:rPr>
          <w:snapToGrid w:val="0"/>
        </w:rPr>
        <w:tab/>
      </w:r>
      <w:r>
        <w:rPr>
          <w:snapToGrid w:val="0"/>
        </w:rPr>
        <w:tab/>
        <w:t xml:space="preserve">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w:t>
      </w:r>
      <w:r>
        <w:rPr>
          <w:snapToGrid w:val="0"/>
        </w:rPr>
        <w:lastRenderedPageBreak/>
        <w:t>proceedings thereon shall be in the discretion of the court or judge.</w:t>
      </w:r>
    </w:p>
    <w:p>
      <w:pPr>
        <w:pStyle w:val="Ednotesection"/>
      </w:pPr>
      <w:r>
        <w:t>[</w:t>
      </w:r>
      <w:r>
        <w:rPr>
          <w:b/>
        </w:rPr>
        <w:t>80.</w:t>
      </w:r>
      <w:r>
        <w:tab/>
        <w:t>Deleted: No. 17 of 1950 s. 19.]</w:t>
      </w:r>
    </w:p>
    <w:p>
      <w:pPr>
        <w:pStyle w:val="Heading5"/>
        <w:rPr>
          <w:snapToGrid w:val="0"/>
        </w:rPr>
      </w:pPr>
      <w:bookmarkStart w:id="98" w:name="_Toc141092712"/>
      <w:r>
        <w:rPr>
          <w:rStyle w:val="CharSectno"/>
        </w:rPr>
        <w:t>81</w:t>
      </w:r>
      <w:r>
        <w:rPr>
          <w:snapToGrid w:val="0"/>
        </w:rPr>
        <w:t>.</w:t>
      </w:r>
      <w:r>
        <w:rPr>
          <w:snapToGrid w:val="0"/>
        </w:rPr>
        <w:tab/>
        <w:t>Words of inheritance or succession to be implied</w:t>
      </w:r>
      <w:bookmarkEnd w:id="98"/>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No. 31 of 1997 s. 102.]</w:t>
      </w:r>
    </w:p>
    <w:p>
      <w:pPr>
        <w:pStyle w:val="Heading2"/>
      </w:pPr>
      <w:bookmarkStart w:id="99" w:name="_Toc141092330"/>
      <w:bookmarkStart w:id="100" w:name="_Toc141092713"/>
      <w:r>
        <w:rPr>
          <w:rStyle w:val="CharPartNo"/>
        </w:rPr>
        <w:lastRenderedPageBreak/>
        <w:t>Part IIIA</w:t>
      </w:r>
      <w:r>
        <w:rPr>
          <w:rStyle w:val="CharDivNo"/>
        </w:rPr>
        <w:t> </w:t>
      </w:r>
      <w:r>
        <w:t>—</w:t>
      </w:r>
      <w:r>
        <w:rPr>
          <w:rStyle w:val="CharDivText"/>
        </w:rPr>
        <w:t> </w:t>
      </w:r>
      <w:r>
        <w:rPr>
          <w:rStyle w:val="CharPartText"/>
        </w:rPr>
        <w:t>Crown leases</w:t>
      </w:r>
      <w:bookmarkEnd w:id="99"/>
      <w:bookmarkEnd w:id="100"/>
    </w:p>
    <w:p>
      <w:pPr>
        <w:pStyle w:val="Footnoteheading"/>
        <w:spacing w:before="80"/>
      </w:pPr>
      <w:r>
        <w:tab/>
        <w:t>[Heading inserted: No. 54 of 1909 s. 2A (as amended: No. 17 of 1950 s. 75).]</w:t>
      </w:r>
    </w:p>
    <w:p>
      <w:pPr>
        <w:pStyle w:val="Heading5"/>
        <w:spacing w:before="160"/>
        <w:rPr>
          <w:snapToGrid w:val="0"/>
        </w:rPr>
      </w:pPr>
      <w:bookmarkStart w:id="101" w:name="_Toc141092714"/>
      <w:r>
        <w:rPr>
          <w:rStyle w:val="CharSectno"/>
        </w:rPr>
        <w:t>81A</w:t>
      </w:r>
      <w:r>
        <w:rPr>
          <w:snapToGrid w:val="0"/>
        </w:rPr>
        <w:t>.</w:t>
      </w:r>
      <w:r>
        <w:rPr>
          <w:snapToGrid w:val="0"/>
        </w:rPr>
        <w:tab/>
        <w:t>Registration of Crown leases issued on or after 2 May 1910</w:t>
      </w:r>
      <w:bookmarkEnd w:id="101"/>
    </w:p>
    <w:p>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pPr>
        <w:pStyle w:val="Subsection"/>
        <w:spacing w:before="100"/>
        <w:rPr>
          <w:snapToGrid w:val="0"/>
        </w:rPr>
      </w:pPr>
      <w:r>
        <w:rPr>
          <w:snapToGrid w:val="0"/>
        </w:rPr>
        <w:tab/>
        <w:t>(2)</w:t>
      </w:r>
      <w:r>
        <w:rPr>
          <w:snapToGrid w:val="0"/>
        </w:rPr>
        <w:tab/>
        <w:t>The Registrar shall —</w:t>
      </w:r>
    </w:p>
    <w:p>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60"/>
        <w:rPr>
          <w:snapToGrid w:val="0"/>
        </w:rPr>
      </w:pPr>
      <w:r>
        <w:rPr>
          <w:snapToGrid w:val="0"/>
        </w:rPr>
        <w:tab/>
        <w:t>(c)</w:t>
      </w:r>
      <w:r>
        <w:rPr>
          <w:snapToGrid w:val="0"/>
        </w:rPr>
        <w:tab/>
        <w:t>register the original in the Register of Leases.</w:t>
      </w:r>
    </w:p>
    <w:p>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pPr>
        <w:pStyle w:val="Footnotesection"/>
        <w:spacing w:before="80"/>
        <w:ind w:left="890" w:hanging="890"/>
      </w:pPr>
      <w:r>
        <w:tab/>
        <w:t>[Section 81A inserted: No. 54 of 1909 s. 3 (as amended: No. 17 of 1950 s. 75); amended: No. 81 of 1996 s. 52; No. 31 of 1997 s. 103.]</w:t>
      </w:r>
    </w:p>
    <w:p>
      <w:pPr>
        <w:pStyle w:val="Heading5"/>
        <w:spacing w:before="160"/>
        <w:rPr>
          <w:snapToGrid w:val="0"/>
        </w:rPr>
      </w:pPr>
      <w:bookmarkStart w:id="102" w:name="_Toc141092715"/>
      <w:r>
        <w:rPr>
          <w:rStyle w:val="CharSectno"/>
        </w:rPr>
        <w:t>81B</w:t>
      </w:r>
      <w:r>
        <w:rPr>
          <w:snapToGrid w:val="0"/>
        </w:rPr>
        <w:t>.</w:t>
      </w:r>
      <w:r>
        <w:rPr>
          <w:snapToGrid w:val="0"/>
        </w:rPr>
        <w:tab/>
        <w:t>Registration of Crown leases issued before 2 May 1910</w:t>
      </w:r>
      <w:bookmarkEnd w:id="102"/>
    </w:p>
    <w:p>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spacing w:before="60"/>
        <w:rPr>
          <w:snapToGrid w:val="0"/>
        </w:rPr>
      </w:pPr>
      <w:r>
        <w:rPr>
          <w:snapToGrid w:val="0"/>
        </w:rPr>
        <w:lastRenderedPageBreak/>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 xml:space="preserve">when so recorded, shall be read as if it contained all the covenants, powers, and conditions which by this Act are implied in mortgages or subleases or conferred upon the </w:t>
      </w:r>
      <w:r>
        <w:rPr>
          <w:snapToGrid w:val="0"/>
        </w:rPr>
        <w:lastRenderedPageBreak/>
        <w:t>parties thereto, except so far as such mortgage or sublease contains express provisions to the contrary.</w:t>
      </w:r>
    </w:p>
    <w:p>
      <w:pPr>
        <w:pStyle w:val="Footnotesection"/>
      </w:pPr>
      <w:r>
        <w:tab/>
        <w:t>[Section 81B inserted: No. 54 of 1909 s. 4 (as amended: No. 17 of 1950 s. 75).]</w:t>
      </w:r>
    </w:p>
    <w:p>
      <w:pPr>
        <w:pStyle w:val="Heading5"/>
        <w:rPr>
          <w:snapToGrid w:val="0"/>
        </w:rPr>
      </w:pPr>
      <w:bookmarkStart w:id="103" w:name="_Toc141092716"/>
      <w:r>
        <w:rPr>
          <w:rStyle w:val="CharSectno"/>
        </w:rPr>
        <w:t>81C</w:t>
      </w:r>
      <w:r>
        <w:rPr>
          <w:snapToGrid w:val="0"/>
        </w:rPr>
        <w:t>.</w:t>
      </w:r>
      <w:r>
        <w:rPr>
          <w:snapToGrid w:val="0"/>
        </w:rPr>
        <w:tab/>
        <w:t>Effect of registration</w:t>
      </w:r>
      <w:bookmarkEnd w:id="103"/>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No. 54 of 1909 s. 5 (as amended: No. 17 of 1950 s. 75).]</w:t>
      </w:r>
    </w:p>
    <w:p>
      <w:pPr>
        <w:pStyle w:val="Heading5"/>
        <w:rPr>
          <w:snapToGrid w:val="0"/>
        </w:rPr>
      </w:pPr>
      <w:bookmarkStart w:id="104" w:name="_Toc141092717"/>
      <w:r>
        <w:rPr>
          <w:rStyle w:val="CharSectno"/>
        </w:rPr>
        <w:t>81D</w:t>
      </w:r>
      <w:r>
        <w:rPr>
          <w:snapToGrid w:val="0"/>
        </w:rPr>
        <w:t>.</w:t>
      </w:r>
      <w:r>
        <w:rPr>
          <w:snapToGrid w:val="0"/>
        </w:rPr>
        <w:tab/>
        <w:t>Registration of transfer etc.</w:t>
      </w:r>
      <w:bookmarkEnd w:id="104"/>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pPr>
        <w:pStyle w:val="Subsection"/>
      </w:pPr>
      <w:r>
        <w:lastRenderedPageBreak/>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keepNext/>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No. 54 of 1909 s. 6 (as amended: No. 17 of 1950 s. 75); amended: No. 81 of 1996 s. 53; No. 59 of 2000 s. 51; No. 8 of 2010 s. 30.]</w:t>
      </w:r>
    </w:p>
    <w:p>
      <w:pPr>
        <w:pStyle w:val="Heading5"/>
        <w:tabs>
          <w:tab w:val="clear" w:pos="879"/>
          <w:tab w:val="left" w:pos="851"/>
        </w:tabs>
        <w:ind w:left="851" w:hanging="851"/>
        <w:rPr>
          <w:snapToGrid w:val="0"/>
        </w:rPr>
      </w:pPr>
      <w:bookmarkStart w:id="105" w:name="_Toc141092718"/>
      <w:r>
        <w:rPr>
          <w:rStyle w:val="CharSectno"/>
        </w:rPr>
        <w:lastRenderedPageBreak/>
        <w:t>81E</w:t>
      </w:r>
      <w:r>
        <w:rPr>
          <w:snapToGrid w:val="0"/>
        </w:rPr>
        <w:t>.</w:t>
      </w:r>
      <w:r>
        <w:rPr>
          <w:snapToGrid w:val="0"/>
        </w:rPr>
        <w:tab/>
        <w:t>No foreclosure without consent of Minister for Lands</w:t>
      </w:r>
      <w:bookmarkEnd w:id="105"/>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No. 54 of 1909 s. 7 (as amended: No. 17 of 1950 s. 75).]</w:t>
      </w:r>
    </w:p>
    <w:p>
      <w:pPr>
        <w:pStyle w:val="Heading5"/>
        <w:spacing w:before="180"/>
        <w:rPr>
          <w:snapToGrid w:val="0"/>
        </w:rPr>
      </w:pPr>
      <w:bookmarkStart w:id="106" w:name="_Toc141092719"/>
      <w:r>
        <w:rPr>
          <w:rStyle w:val="CharSectno"/>
        </w:rPr>
        <w:t>81F</w:t>
      </w:r>
      <w:r>
        <w:rPr>
          <w:snapToGrid w:val="0"/>
        </w:rPr>
        <w:t>.</w:t>
      </w:r>
      <w:r>
        <w:rPr>
          <w:snapToGrid w:val="0"/>
        </w:rPr>
        <w:tab/>
        <w:t>Entry of forfeiture</w:t>
      </w:r>
      <w:bookmarkEnd w:id="106"/>
    </w:p>
    <w:p>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40"/>
        <w:rPr>
          <w:snapToGrid w:val="0"/>
        </w:rPr>
      </w:pPr>
      <w:r>
        <w:rPr>
          <w:snapToGrid w:val="0"/>
        </w:rPr>
        <w:tab/>
        <w:t>(3)</w:t>
      </w:r>
      <w:r>
        <w:rPr>
          <w:snapToGrid w:val="0"/>
        </w:rPr>
        <w:tab/>
        <w:t>The Minister for Lands may, by notice to the Registrar, allow a longer period than 30 days.</w:t>
      </w:r>
    </w:p>
    <w:p>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80"/>
        <w:ind w:left="890" w:hanging="890"/>
      </w:pPr>
      <w:r>
        <w:tab/>
        <w:t>[Section 81F inserted: No. 54 of 1909 s. 8 (as amended: No. 17 of 1950 s. 75); amended: No. 81 of 1996 s. 54.]</w:t>
      </w:r>
    </w:p>
    <w:p>
      <w:pPr>
        <w:pStyle w:val="Heading5"/>
        <w:spacing w:before="180"/>
        <w:rPr>
          <w:snapToGrid w:val="0"/>
        </w:rPr>
      </w:pPr>
      <w:bookmarkStart w:id="107" w:name="_Toc141092720"/>
      <w:r>
        <w:rPr>
          <w:rStyle w:val="CharSectno"/>
        </w:rPr>
        <w:t>81G</w:t>
      </w:r>
      <w:r>
        <w:rPr>
          <w:snapToGrid w:val="0"/>
        </w:rPr>
        <w:t>.</w:t>
      </w:r>
      <w:r>
        <w:rPr>
          <w:snapToGrid w:val="0"/>
        </w:rPr>
        <w:tab/>
        <w:t>Crown lessee to be deemed of full age</w:t>
      </w:r>
      <w:bookmarkEnd w:id="107"/>
    </w:p>
    <w:p>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spacing w:before="120"/>
        <w:rPr>
          <w:snapToGrid w:val="0"/>
        </w:rPr>
      </w:pPr>
      <w:r>
        <w:rPr>
          <w:snapToGrid w:val="0"/>
        </w:rPr>
        <w:lastRenderedPageBreak/>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spacing w:before="80"/>
        <w:ind w:left="890" w:hanging="890"/>
      </w:pPr>
      <w:r>
        <w:tab/>
        <w:t>[Section 81G inserted: No. 54 of 1909 s. 9 (as amended: No. 17 of 1950 s. 75).]</w:t>
      </w:r>
    </w:p>
    <w:p>
      <w:pPr>
        <w:pStyle w:val="Heading5"/>
        <w:rPr>
          <w:snapToGrid w:val="0"/>
        </w:rPr>
      </w:pPr>
      <w:bookmarkStart w:id="108" w:name="_Toc141092721"/>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08"/>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No. 54 of 1909 s. 10 (as amended: No. 17 of 1950 s. 75); amended: No. 26 of 1911 s. 3.]</w:t>
      </w:r>
    </w:p>
    <w:p>
      <w:pPr>
        <w:pStyle w:val="Heading5"/>
        <w:rPr>
          <w:snapToGrid w:val="0"/>
        </w:rPr>
      </w:pPr>
      <w:bookmarkStart w:id="109" w:name="_Toc141092722"/>
      <w:r>
        <w:rPr>
          <w:rStyle w:val="CharSectno"/>
        </w:rPr>
        <w:t>81I</w:t>
      </w:r>
      <w:r>
        <w:rPr>
          <w:snapToGrid w:val="0"/>
        </w:rPr>
        <w:t>.</w:t>
      </w:r>
      <w:r>
        <w:rPr>
          <w:snapToGrid w:val="0"/>
        </w:rPr>
        <w:tab/>
        <w:t>Mortgage of Crown lease to be transferred to Crown grant</w:t>
      </w:r>
      <w:bookmarkEnd w:id="109"/>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xml:space="preserve">,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w:t>
      </w:r>
      <w:r>
        <w:rPr>
          <w:snapToGrid w:val="0"/>
        </w:rPr>
        <w:lastRenderedPageBreak/>
        <w:t>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pPr>
        <w:pStyle w:val="Footnotesection"/>
      </w:pPr>
      <w:r>
        <w:tab/>
        <w:t>[Section 81I inserted: No. 26 of 1911 s. 2 (as amended: No. 17 of 1950 s. 75); amended: No. 81 of 1996 s. 55.]</w:t>
      </w:r>
    </w:p>
    <w:p>
      <w:pPr>
        <w:pStyle w:val="Heading2"/>
      </w:pPr>
      <w:bookmarkStart w:id="110" w:name="_Toc141092340"/>
      <w:bookmarkStart w:id="111" w:name="_Toc141092723"/>
      <w:r>
        <w:rPr>
          <w:rStyle w:val="CharPartNo"/>
        </w:rPr>
        <w:lastRenderedPageBreak/>
        <w:t>Part IIIB</w:t>
      </w:r>
      <w:r>
        <w:t> — </w:t>
      </w:r>
      <w:r>
        <w:rPr>
          <w:rStyle w:val="CharPartText"/>
        </w:rPr>
        <w:t>Registration and recording in relation to Crown land</w:t>
      </w:r>
      <w:bookmarkEnd w:id="110"/>
      <w:bookmarkEnd w:id="111"/>
    </w:p>
    <w:p>
      <w:pPr>
        <w:pStyle w:val="Footnoteheading"/>
      </w:pPr>
      <w:r>
        <w:tab/>
        <w:t>[Heading inserted: No. 31 of 1997 s. 104(1).]</w:t>
      </w:r>
    </w:p>
    <w:p>
      <w:pPr>
        <w:pStyle w:val="Heading3"/>
      </w:pPr>
      <w:bookmarkStart w:id="112" w:name="_Toc141092341"/>
      <w:bookmarkStart w:id="113" w:name="_Toc141092724"/>
      <w:r>
        <w:rPr>
          <w:rStyle w:val="CharDivNo"/>
        </w:rPr>
        <w:t>Division 1</w:t>
      </w:r>
      <w:r>
        <w:t> — </w:t>
      </w:r>
      <w:r>
        <w:rPr>
          <w:rStyle w:val="CharDivText"/>
        </w:rPr>
        <w:t>General</w:t>
      </w:r>
      <w:bookmarkEnd w:id="112"/>
      <w:bookmarkEnd w:id="113"/>
    </w:p>
    <w:p>
      <w:pPr>
        <w:pStyle w:val="Footnoteheading"/>
      </w:pPr>
      <w:r>
        <w:tab/>
        <w:t>[Heading inserted: No. 31 of 1997 s. 104(1).]</w:t>
      </w:r>
    </w:p>
    <w:p>
      <w:pPr>
        <w:pStyle w:val="Heading5"/>
      </w:pPr>
      <w:bookmarkStart w:id="114" w:name="_Toc141092725"/>
      <w:r>
        <w:rPr>
          <w:rStyle w:val="CharSectno"/>
        </w:rPr>
        <w:t>81J</w:t>
      </w:r>
      <w:r>
        <w:t>.</w:t>
      </w:r>
      <w:r>
        <w:tab/>
        <w:t>Application of this Part</w:t>
      </w:r>
      <w:bookmarkEnd w:id="114"/>
    </w:p>
    <w:p>
      <w:pPr>
        <w:pStyle w:val="Subsection"/>
      </w:pPr>
      <w:r>
        <w:tab/>
      </w:r>
      <w:r>
        <w:tab/>
        <w:t>This Part applies solely to Crown land.</w:t>
      </w:r>
    </w:p>
    <w:p>
      <w:pPr>
        <w:pStyle w:val="Footnotesection"/>
      </w:pPr>
      <w:r>
        <w:tab/>
        <w:t>[Section 81J inserted: No. 31 of 1997 s. 104(1).]</w:t>
      </w:r>
    </w:p>
    <w:p>
      <w:pPr>
        <w:pStyle w:val="Heading5"/>
      </w:pPr>
      <w:bookmarkStart w:id="115" w:name="_Toc141092726"/>
      <w:r>
        <w:rPr>
          <w:rStyle w:val="CharSectno"/>
        </w:rPr>
        <w:t>81K</w:t>
      </w:r>
      <w:r>
        <w:t>.</w:t>
      </w:r>
      <w:r>
        <w:tab/>
        <w:t>Terms used</w:t>
      </w:r>
      <w:bookmarkEnd w:id="115"/>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No. 31 of 1997 s. 104(1).]</w:t>
      </w:r>
    </w:p>
    <w:p>
      <w:pPr>
        <w:pStyle w:val="Heading5"/>
      </w:pPr>
      <w:bookmarkStart w:id="116" w:name="_Toc141092727"/>
      <w:r>
        <w:rPr>
          <w:rStyle w:val="CharSectno"/>
        </w:rPr>
        <w:t>81L</w:t>
      </w:r>
      <w:r>
        <w:t>.</w:t>
      </w:r>
      <w:r>
        <w:tab/>
        <w:t>Creation and registration of certificates of Crown land title and qualified certificates of Crown land title</w:t>
      </w:r>
      <w:bookmarkEnd w:id="116"/>
    </w:p>
    <w:p>
      <w:pPr>
        <w:pStyle w:val="Subsection"/>
      </w:pPr>
      <w:r>
        <w:tab/>
      </w:r>
      <w:r>
        <w:tab/>
        <w:t xml:space="preserve">On receiving from the Minister for Lands an application requesting him to do so in respect of a parcel of Crown land, the Registrar shall create and register a certificate of Crown land title or a qualified certificate of Crown land title in an approved </w:t>
      </w:r>
      <w:r>
        <w:lastRenderedPageBreak/>
        <w:t>form for that parcel and may endorse on the certificate of Crown land title or qualified certificate of Crown land title such particulars of any dealing as he considers appropriate.</w:t>
      </w:r>
    </w:p>
    <w:p>
      <w:pPr>
        <w:pStyle w:val="Footnotesection"/>
      </w:pPr>
      <w:r>
        <w:tab/>
        <w:t>[Section 81L inserted: No. 31 of 1997 s. 104(1).]</w:t>
      </w:r>
    </w:p>
    <w:p>
      <w:pPr>
        <w:pStyle w:val="Heading5"/>
      </w:pPr>
      <w:bookmarkStart w:id="117" w:name="_Toc141092728"/>
      <w:r>
        <w:rPr>
          <w:rStyle w:val="CharSectno"/>
        </w:rPr>
        <w:t>81M</w:t>
      </w:r>
      <w:r>
        <w:t>.</w:t>
      </w:r>
      <w:r>
        <w:tab/>
        <w:t>Lodging etc. of management orders</w:t>
      </w:r>
      <w:bookmarkEnd w:id="117"/>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No. 31 of 1997 s. 104(1).]</w:t>
      </w:r>
    </w:p>
    <w:p>
      <w:pPr>
        <w:pStyle w:val="Heading5"/>
      </w:pPr>
      <w:bookmarkStart w:id="118" w:name="_Toc141092729"/>
      <w:r>
        <w:rPr>
          <w:rStyle w:val="CharSectno"/>
        </w:rPr>
        <w:t>81N</w:t>
      </w:r>
      <w:r>
        <w:t>.</w:t>
      </w:r>
      <w:r>
        <w:tab/>
        <w:t>Crown surveys</w:t>
      </w:r>
      <w:bookmarkEnd w:id="118"/>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No. 31 of 1997 s. 104(1).]</w:t>
      </w:r>
    </w:p>
    <w:p>
      <w:pPr>
        <w:pStyle w:val="Heading5"/>
      </w:pPr>
      <w:bookmarkStart w:id="119" w:name="_Toc141092730"/>
      <w:r>
        <w:rPr>
          <w:rStyle w:val="CharSectno"/>
        </w:rPr>
        <w:t>81O</w:t>
      </w:r>
      <w:r>
        <w:t>.</w:t>
      </w:r>
      <w:r>
        <w:tab/>
        <w:t>No duplicate certificates of Crown land title or duplicate qualified certificates of Crown land title to be issued</w:t>
      </w:r>
      <w:bookmarkEnd w:id="119"/>
    </w:p>
    <w:p>
      <w:pPr>
        <w:pStyle w:val="Subsection"/>
      </w:pPr>
      <w:r>
        <w:tab/>
      </w:r>
      <w:r>
        <w:tab/>
        <w:t>The Registrar shall not issue duplicate certificates of Crown land title or duplicate qualified certificates of Crown land title.</w:t>
      </w:r>
    </w:p>
    <w:p>
      <w:pPr>
        <w:pStyle w:val="Footnotesection"/>
      </w:pPr>
      <w:r>
        <w:tab/>
        <w:t>[Section 81O inserted: No. 31 of 1997 s. 104(1).]</w:t>
      </w:r>
    </w:p>
    <w:p>
      <w:pPr>
        <w:pStyle w:val="Heading5"/>
      </w:pPr>
      <w:bookmarkStart w:id="120" w:name="_Toc141092731"/>
      <w:r>
        <w:rPr>
          <w:rStyle w:val="CharSectno"/>
        </w:rPr>
        <w:t>81P</w:t>
      </w:r>
      <w:r>
        <w:t>.</w:t>
      </w:r>
      <w:r>
        <w:tab/>
        <w:t>Endorsements on certificates of Crown land title and qualified certificates of Crown land title</w:t>
      </w:r>
      <w:bookmarkEnd w:id="120"/>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w:t>
      </w:r>
      <w:r>
        <w:lastRenderedPageBreak/>
        <w:t xml:space="preserve">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No. 31 of 1997 s. 104(1).]</w:t>
      </w:r>
    </w:p>
    <w:p>
      <w:pPr>
        <w:pStyle w:val="Heading5"/>
      </w:pPr>
      <w:bookmarkStart w:id="121" w:name="_Toc141092732"/>
      <w:r>
        <w:rPr>
          <w:rStyle w:val="CharSectno"/>
        </w:rPr>
        <w:t>81Q</w:t>
      </w:r>
      <w:r>
        <w:t>.</w:t>
      </w:r>
      <w:r>
        <w:tab/>
        <w:t>Leases and subleases of Crown land, registration of</w:t>
      </w:r>
      <w:bookmarkEnd w:id="121"/>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lastRenderedPageBreak/>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[Section 81Q inserted: No. 31 of 1997 s. 104(1)</w:t>
      </w:r>
      <w:r>
        <w:rPr>
          <w:i w:val="0"/>
          <w:vertAlign w:val="superscript"/>
        </w:rPr>
        <w:t> 9</w:t>
      </w:r>
      <w:r>
        <w:t>; amended: No. 6 of 2003 s. 29.]</w:t>
      </w:r>
    </w:p>
    <w:p>
      <w:pPr>
        <w:pStyle w:val="Heading5"/>
      </w:pPr>
      <w:bookmarkStart w:id="122" w:name="_Toc141092733"/>
      <w:r>
        <w:rPr>
          <w:rStyle w:val="CharSectno"/>
        </w:rPr>
        <w:t>81R</w:t>
      </w:r>
      <w:r>
        <w:t>.</w:t>
      </w:r>
      <w:r>
        <w:tab/>
        <w:t>Profits à prendre, registration of</w:t>
      </w:r>
      <w:bookmarkEnd w:id="122"/>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No. 31 of 1997 s. 104(1).]</w:t>
      </w:r>
    </w:p>
    <w:p>
      <w:pPr>
        <w:pStyle w:val="Heading5"/>
      </w:pPr>
      <w:bookmarkStart w:id="123" w:name="_Toc141092734"/>
      <w:r>
        <w:rPr>
          <w:rStyle w:val="CharSectno"/>
        </w:rPr>
        <w:t>81RA</w:t>
      </w:r>
      <w:r>
        <w:t>.</w:t>
      </w:r>
      <w:r>
        <w:tab/>
        <w:t>Other encumbrances in respect of fee simple in Crown land</w:t>
      </w:r>
      <w:bookmarkEnd w:id="123"/>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lastRenderedPageBreak/>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No. 59 of 2000 s. 51.]</w:t>
      </w:r>
    </w:p>
    <w:p>
      <w:pPr>
        <w:pStyle w:val="Heading5"/>
      </w:pPr>
      <w:bookmarkStart w:id="124" w:name="_Toc141092735"/>
      <w:r>
        <w:rPr>
          <w:rStyle w:val="CharSectno"/>
        </w:rPr>
        <w:t>81S</w:t>
      </w:r>
      <w:r>
        <w:t>.</w:t>
      </w:r>
      <w:r>
        <w:tab/>
        <w:t>Prerequisites to registering dealings as to Crown land</w:t>
      </w:r>
      <w:bookmarkEnd w:id="124"/>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lastRenderedPageBreak/>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ind w:left="890" w:hanging="890"/>
      </w:pPr>
      <w:r>
        <w:tab/>
        <w:t>[Section 81S inserted: No. 31 of 1997 s. 104(1); amended: No. 59 of 2000 s. 51.]</w:t>
      </w:r>
    </w:p>
    <w:p>
      <w:pPr>
        <w:pStyle w:val="Heading5"/>
      </w:pPr>
      <w:bookmarkStart w:id="125" w:name="_Toc141092736"/>
      <w:r>
        <w:rPr>
          <w:rStyle w:val="CharSectno"/>
        </w:rPr>
        <w:t>81T</w:t>
      </w:r>
      <w:r>
        <w:t>.</w:t>
      </w:r>
      <w:r>
        <w:tab/>
        <w:t>Registered proprietors etc. protected against ejectment except in certain cases</w:t>
      </w:r>
      <w:bookmarkEnd w:id="125"/>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lastRenderedPageBreak/>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lastRenderedPageBreak/>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No. 31 of 1997 s. 104(1).]</w:t>
      </w:r>
    </w:p>
    <w:p>
      <w:pPr>
        <w:pStyle w:val="Heading3"/>
        <w:keepNext w:val="0"/>
        <w:pageBreakBefore/>
        <w:spacing w:before="0"/>
      </w:pPr>
      <w:bookmarkStart w:id="126" w:name="_Toc141092354"/>
      <w:bookmarkStart w:id="127" w:name="_Toc141092737"/>
      <w:r>
        <w:rPr>
          <w:rStyle w:val="CharDivNo"/>
        </w:rPr>
        <w:lastRenderedPageBreak/>
        <w:t>Division 2</w:t>
      </w:r>
      <w:r>
        <w:t> — </w:t>
      </w:r>
      <w:r>
        <w:rPr>
          <w:rStyle w:val="CharDivText"/>
        </w:rPr>
        <w:t>Transitional</w:t>
      </w:r>
      <w:bookmarkEnd w:id="126"/>
      <w:bookmarkEnd w:id="127"/>
    </w:p>
    <w:p>
      <w:pPr>
        <w:pStyle w:val="Footnoteheading"/>
        <w:keepNext/>
        <w:keepLines/>
      </w:pPr>
      <w:r>
        <w:tab/>
        <w:t>[Heading inserted: No. 31 of 1997 s. 104(1).]</w:t>
      </w:r>
    </w:p>
    <w:p>
      <w:pPr>
        <w:pStyle w:val="Heading5"/>
      </w:pPr>
      <w:bookmarkStart w:id="128" w:name="_Toc141092738"/>
      <w:r>
        <w:rPr>
          <w:rStyle w:val="CharSectno"/>
        </w:rPr>
        <w:t>81U</w:t>
      </w:r>
      <w:r>
        <w:t>.</w:t>
      </w:r>
      <w:r>
        <w:tab/>
        <w:t>Registrar may accept for registration signed and stamped duplicate original documents</w:t>
      </w:r>
      <w:bookmarkEnd w:id="128"/>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No. 31 of 1997 s. 104(1); amended: No. 45 of 2002 s. 25; No. 12 of 2008 Sch. 1 cl. 38(1).]</w:t>
      </w:r>
    </w:p>
    <w:p>
      <w:pPr>
        <w:pStyle w:val="Heading5"/>
      </w:pPr>
      <w:bookmarkStart w:id="129" w:name="_Toc141092739"/>
      <w:r>
        <w:rPr>
          <w:rStyle w:val="CharSectno"/>
        </w:rPr>
        <w:t>81V</w:t>
      </w:r>
      <w:r>
        <w:t>.</w:t>
      </w:r>
      <w:r>
        <w:tab/>
        <w:t>Minister for Lands may apply for cancellation, creation etc. of certificates of Crown land title etc.</w:t>
      </w:r>
      <w:bookmarkEnd w:id="129"/>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lastRenderedPageBreak/>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No. 31 of 1997 s. 104(1).]</w:t>
      </w:r>
    </w:p>
    <w:p>
      <w:pPr>
        <w:pStyle w:val="Heading5"/>
      </w:pPr>
      <w:bookmarkStart w:id="130" w:name="_Toc141092740"/>
      <w:r>
        <w:rPr>
          <w:rStyle w:val="CharSectno"/>
        </w:rPr>
        <w:t>81W</w:t>
      </w:r>
      <w:r>
        <w:t>.</w:t>
      </w:r>
      <w:r>
        <w:tab/>
        <w:t>Procedure when applications referred to Commissioner</w:t>
      </w:r>
      <w:bookmarkEnd w:id="130"/>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 xml:space="preserve">in the case of an application for the creation and registration of a certificate of Crown land title, </w:t>
      </w:r>
      <w:r>
        <w:lastRenderedPageBreak/>
        <w:t>direct the Registrar to create and register a qualified certificate of Crown land title in respect of the relevant Crown land.</w:t>
      </w:r>
    </w:p>
    <w:p>
      <w:pPr>
        <w:pStyle w:val="Subsection"/>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keepNext/>
      </w:pPr>
      <w:r>
        <w:lastRenderedPageBreak/>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pPr>
      <w:r>
        <w:rPr>
          <w:snapToGrid w:val="0"/>
        </w:rPr>
        <w:tab/>
        <w:t>(</w:t>
      </w:r>
      <w:r>
        <w:t>6)</w:t>
      </w:r>
      <w:r>
        <w:tab/>
        <w:t xml:space="preserve">Any person claiming an interest in Crown land the subject of an application referred to the Commissioner under </w:t>
      </w:r>
      <w:r>
        <w:lastRenderedPageBreak/>
        <w:t xml:space="preserve">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Footnotesection"/>
      </w:pPr>
      <w:r>
        <w:tab/>
        <w:t>[Section 81W inserted: No. 31 of 1997 s. 104(1); amended: No. 2 of 2014 s. 72.]</w:t>
      </w:r>
    </w:p>
    <w:p>
      <w:pPr>
        <w:pStyle w:val="Heading5"/>
      </w:pPr>
      <w:bookmarkStart w:id="131" w:name="_Toc141092741"/>
      <w:r>
        <w:rPr>
          <w:rStyle w:val="CharSectno"/>
        </w:rPr>
        <w:t>81X</w:t>
      </w:r>
      <w:r>
        <w:t>.</w:t>
      </w:r>
      <w:r>
        <w:tab/>
        <w:t>Procedure on lodging of caveat under s. 81W(6)</w:t>
      </w:r>
      <w:bookmarkEnd w:id="131"/>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lastRenderedPageBreak/>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No. 31 of 1997 s. 104(1).]</w:t>
      </w:r>
    </w:p>
    <w:p>
      <w:pPr>
        <w:pStyle w:val="Heading5"/>
      </w:pPr>
      <w:bookmarkStart w:id="132" w:name="_Toc141092742"/>
      <w:r>
        <w:rPr>
          <w:rStyle w:val="CharSectno"/>
        </w:rPr>
        <w:t>81Y</w:t>
      </w:r>
      <w:r>
        <w:t>.</w:t>
      </w:r>
      <w:r>
        <w:tab/>
        <w:t>Registrar’s duties when applications made under s. 81V(1)(a) granted</w:t>
      </w:r>
      <w:bookmarkEnd w:id="132"/>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 xml:space="preserve">create a certificate of Crown land title in an approved form in respect of the parcel of Crown land referred to in </w:t>
      </w:r>
      <w:r>
        <w:lastRenderedPageBreak/>
        <w:t>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No. 31 of 1997 s. 104(1).]</w:t>
      </w:r>
    </w:p>
    <w:p>
      <w:pPr>
        <w:pStyle w:val="Heading5"/>
      </w:pPr>
      <w:bookmarkStart w:id="133" w:name="_Toc141092743"/>
      <w:r>
        <w:rPr>
          <w:rStyle w:val="CharSectno"/>
        </w:rPr>
        <w:t>81Z</w:t>
      </w:r>
      <w:r>
        <w:t>.</w:t>
      </w:r>
      <w:r>
        <w:tab/>
        <w:t>Registrar’s duties when applications made under s. 81V(1)(b) granted</w:t>
      </w:r>
      <w:bookmarkEnd w:id="133"/>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lastRenderedPageBreak/>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No. 31 of 1997 s. 104(1).]</w:t>
      </w:r>
    </w:p>
    <w:p>
      <w:pPr>
        <w:pStyle w:val="Heading5"/>
      </w:pPr>
      <w:bookmarkStart w:id="134" w:name="_Toc141092744"/>
      <w:r>
        <w:rPr>
          <w:rStyle w:val="CharSectno"/>
        </w:rPr>
        <w:t>81ZA</w:t>
      </w:r>
      <w:r>
        <w:t>.</w:t>
      </w:r>
      <w:r>
        <w:tab/>
        <w:t>Procedure for registering interests for which no certificate of Crown land title or qualified certificate of Crown land title exists</w:t>
      </w:r>
      <w:bookmarkEnd w:id="134"/>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lastRenderedPageBreak/>
        <w:tab/>
      </w:r>
      <w:r>
        <w:tab/>
        <w:t>in respect of that parcel.</w:t>
      </w:r>
    </w:p>
    <w:p>
      <w:pPr>
        <w:pStyle w:val="Footnotesection"/>
      </w:pPr>
      <w:r>
        <w:tab/>
        <w:t>[Section 81ZA inserted: No. 31 of 1997 s. 104(1).]</w:t>
      </w:r>
    </w:p>
    <w:p>
      <w:pPr>
        <w:pStyle w:val="Heading5"/>
      </w:pPr>
      <w:bookmarkStart w:id="135" w:name="_Toc141092745"/>
      <w:r>
        <w:rPr>
          <w:rStyle w:val="CharSectno"/>
        </w:rPr>
        <w:t>81ZB</w:t>
      </w:r>
      <w:r>
        <w:t>.</w:t>
      </w:r>
      <w:r>
        <w:tab/>
        <w:t>Qualified certificates of Crown land title, general matters</w:t>
      </w:r>
      <w:bookmarkEnd w:id="135"/>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No. 31 of 1997 s. 104(1).]</w:t>
      </w:r>
    </w:p>
    <w:p>
      <w:pPr>
        <w:pStyle w:val="Heading5"/>
      </w:pPr>
      <w:bookmarkStart w:id="136" w:name="_Toc141092746"/>
      <w:r>
        <w:rPr>
          <w:rStyle w:val="CharSectno"/>
        </w:rPr>
        <w:t>81ZC</w:t>
      </w:r>
      <w:r>
        <w:t>.</w:t>
      </w:r>
      <w:r>
        <w:tab/>
        <w:t>Interests in Crown land not registered within transitional period void as against registered interests in Crown land etc.</w:t>
      </w:r>
      <w:bookmarkEnd w:id="136"/>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lastRenderedPageBreak/>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No. 31 of 1997 s. 104(1).]</w:t>
      </w:r>
    </w:p>
    <w:p>
      <w:pPr>
        <w:pStyle w:val="Heading5"/>
      </w:pPr>
      <w:bookmarkStart w:id="137" w:name="_Toc141092747"/>
      <w:r>
        <w:rPr>
          <w:rStyle w:val="CharSectno"/>
        </w:rPr>
        <w:t>81ZD</w:t>
      </w:r>
      <w:r>
        <w:t>.</w:t>
      </w:r>
      <w:r>
        <w:tab/>
        <w:t>Registrar may convert Crown leases into leases registered under s. 81Q</w:t>
      </w:r>
      <w:bookmarkEnd w:id="13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lastRenderedPageBreak/>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No. 31 of 1997 s. 104(1).]</w:t>
      </w:r>
    </w:p>
    <w:p>
      <w:pPr>
        <w:pStyle w:val="Heading2"/>
      </w:pPr>
      <w:bookmarkStart w:id="138" w:name="_Toc141092365"/>
      <w:bookmarkStart w:id="139" w:name="_Toc141092748"/>
      <w:r>
        <w:rPr>
          <w:rStyle w:val="CharPartNo"/>
        </w:rPr>
        <w:lastRenderedPageBreak/>
        <w:t>Part IV</w:t>
      </w:r>
      <w:r>
        <w:t> — </w:t>
      </w:r>
      <w:r>
        <w:rPr>
          <w:rStyle w:val="CharPartText"/>
        </w:rPr>
        <w:t>Dealings with land</w:t>
      </w:r>
      <w:bookmarkEnd w:id="138"/>
      <w:bookmarkEnd w:id="139"/>
    </w:p>
    <w:p>
      <w:pPr>
        <w:pStyle w:val="Heading3"/>
      </w:pPr>
      <w:bookmarkStart w:id="140" w:name="_Toc141092366"/>
      <w:bookmarkStart w:id="141" w:name="_Toc141092749"/>
      <w:r>
        <w:rPr>
          <w:rStyle w:val="CharDivNo"/>
        </w:rPr>
        <w:t>Division 1</w:t>
      </w:r>
      <w:r>
        <w:rPr>
          <w:snapToGrid w:val="0"/>
        </w:rPr>
        <w:t> — </w:t>
      </w:r>
      <w:r>
        <w:rPr>
          <w:rStyle w:val="CharDivText"/>
        </w:rPr>
        <w:t>Transfers</w:t>
      </w:r>
      <w:bookmarkEnd w:id="140"/>
      <w:bookmarkEnd w:id="141"/>
    </w:p>
    <w:p>
      <w:pPr>
        <w:pStyle w:val="Heading5"/>
        <w:rPr>
          <w:snapToGrid w:val="0"/>
        </w:rPr>
      </w:pPr>
      <w:bookmarkStart w:id="142" w:name="_Toc141092750"/>
      <w:r>
        <w:rPr>
          <w:rStyle w:val="CharSectno"/>
        </w:rPr>
        <w:t>82</w:t>
      </w:r>
      <w:r>
        <w:rPr>
          <w:snapToGrid w:val="0"/>
        </w:rPr>
        <w:t>.</w:t>
      </w:r>
      <w:r>
        <w:rPr>
          <w:snapToGrid w:val="0"/>
        </w:rPr>
        <w:tab/>
        <w:t>Transfers</w:t>
      </w:r>
      <w:bookmarkEnd w:id="142"/>
    </w:p>
    <w:p>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ind w:left="890" w:hanging="890"/>
      </w:pPr>
      <w:r>
        <w:tab/>
        <w:t>[Section 82 amended: No. 17 of 1950 s. 20; No. 81 of 1996 s. 56; No. 6 of 2003 s. 30; No. 19 of 2010 s. 51.]</w:t>
      </w:r>
    </w:p>
    <w:p>
      <w:pPr>
        <w:pStyle w:val="Heading5"/>
        <w:rPr>
          <w:snapToGrid w:val="0"/>
        </w:rPr>
      </w:pPr>
      <w:bookmarkStart w:id="143" w:name="_Toc141092751"/>
      <w:r>
        <w:rPr>
          <w:rStyle w:val="CharSectno"/>
        </w:rPr>
        <w:t>83</w:t>
      </w:r>
      <w:r>
        <w:rPr>
          <w:snapToGrid w:val="0"/>
        </w:rPr>
        <w:t>.</w:t>
      </w:r>
      <w:r>
        <w:rPr>
          <w:snapToGrid w:val="0"/>
        </w:rPr>
        <w:tab/>
        <w:t>Transfer to include right to sue thereunder</w:t>
      </w:r>
      <w:bookmarkEnd w:id="143"/>
    </w:p>
    <w:p>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rPr>
          <w:snapToGrid w:val="0"/>
        </w:rPr>
      </w:pPr>
      <w:r>
        <w:rPr>
          <w:snapToGrid w:val="0"/>
        </w:rPr>
        <w:tab/>
        <w:t>(2)</w:t>
      </w:r>
      <w:r>
        <w:rPr>
          <w:snapToGrid w:val="0"/>
        </w:rPr>
        <w:tab/>
        <w:t xml:space="preserve">Nothing herein contained shall prevent a court in its equitable jurisdiction from giving effect to any trusts affecting such debt </w:t>
      </w:r>
      <w:r>
        <w:rPr>
          <w:snapToGrid w:val="0"/>
        </w:rPr>
        <w:lastRenderedPageBreak/>
        <w:t>sum of money annuity or damages in case the transferee shall as between himself and any other person hold the same as a trustee.</w:t>
      </w:r>
    </w:p>
    <w:p>
      <w:pPr>
        <w:pStyle w:val="Footnotesection"/>
        <w:spacing w:before="160"/>
        <w:ind w:left="890" w:hanging="890"/>
      </w:pPr>
      <w:r>
        <w:tab/>
        <w:t>[Section 83 amended: No. 19 of 2010 s. 51.]</w:t>
      </w:r>
    </w:p>
    <w:p>
      <w:pPr>
        <w:pStyle w:val="Heading5"/>
        <w:spacing w:before="180"/>
        <w:rPr>
          <w:snapToGrid w:val="0"/>
        </w:rPr>
      </w:pPr>
      <w:bookmarkStart w:id="144" w:name="_Toc141092752"/>
      <w:r>
        <w:rPr>
          <w:rStyle w:val="CharSectno"/>
        </w:rPr>
        <w:t>84</w:t>
      </w:r>
      <w:r>
        <w:rPr>
          <w:snapToGrid w:val="0"/>
        </w:rPr>
        <w:t>.</w:t>
      </w:r>
      <w:r>
        <w:rPr>
          <w:snapToGrid w:val="0"/>
        </w:rPr>
        <w:tab/>
        <w:t>Transfers may be to proprietor and others jointly etc.</w:t>
      </w:r>
      <w:bookmarkEnd w:id="144"/>
    </w:p>
    <w:p>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No. 28 of 2003 s. 129(3).]</w:t>
      </w:r>
    </w:p>
    <w:p>
      <w:pPr>
        <w:pStyle w:val="Heading5"/>
        <w:spacing w:before="180"/>
        <w:rPr>
          <w:snapToGrid w:val="0"/>
        </w:rPr>
      </w:pPr>
      <w:bookmarkStart w:id="145" w:name="_Toc141092753"/>
      <w:r>
        <w:rPr>
          <w:rStyle w:val="CharSectno"/>
        </w:rPr>
        <w:t>85</w:t>
      </w:r>
      <w:r>
        <w:rPr>
          <w:snapToGrid w:val="0"/>
        </w:rPr>
        <w:t>.</w:t>
      </w:r>
      <w:r>
        <w:rPr>
          <w:snapToGrid w:val="0"/>
        </w:rPr>
        <w:tab/>
        <w:t>Signed and registered instruments have efficacy of deeds</w:t>
      </w:r>
      <w:bookmarkEnd w:id="145"/>
    </w:p>
    <w:p>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spacing w:before="80"/>
        <w:ind w:left="890" w:hanging="890"/>
      </w:pPr>
      <w:r>
        <w:lastRenderedPageBreak/>
        <w:tab/>
        <w:t>[Section 85 amended: No. 81 of 1996 s. 145(1); No. 28 of 2003 s. 129(4).]</w:t>
      </w:r>
    </w:p>
    <w:p>
      <w:pPr>
        <w:pStyle w:val="Heading5"/>
        <w:rPr>
          <w:snapToGrid w:val="0"/>
        </w:rPr>
      </w:pPr>
      <w:bookmarkStart w:id="146" w:name="_Toc141092754"/>
      <w:r>
        <w:rPr>
          <w:rStyle w:val="CharSectno"/>
        </w:rPr>
        <w:t>86</w:t>
      </w:r>
      <w:r>
        <w:rPr>
          <w:snapToGrid w:val="0"/>
        </w:rPr>
        <w:t>.</w:t>
      </w:r>
      <w:r>
        <w:rPr>
          <w:snapToGrid w:val="0"/>
        </w:rPr>
        <w:tab/>
        <w:t>Duplicate certificate to be delivered to Registrar on transfer</w:t>
      </w:r>
      <w:bookmarkEnd w:id="146"/>
    </w:p>
    <w:p>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spacing w:before="80"/>
        <w:ind w:left="890" w:hanging="890"/>
      </w:pPr>
      <w:r>
        <w:tab/>
        <w:t>[Section 86 inserted: No. 81 of 1996 s. 57; amended: No. 6 of 2003 s. 31.]</w:t>
      </w:r>
    </w:p>
    <w:p>
      <w:pPr>
        <w:pStyle w:val="Heading5"/>
        <w:spacing w:before="160"/>
      </w:pPr>
      <w:bookmarkStart w:id="147" w:name="_Toc141092755"/>
      <w:r>
        <w:rPr>
          <w:rStyle w:val="CharSectno"/>
        </w:rPr>
        <w:t>87</w:t>
      </w:r>
      <w:r>
        <w:t>.</w:t>
      </w:r>
      <w:r>
        <w:tab/>
        <w:t>Total transfer by endorsement on paper title or by entering transferee’s name on digital title</w:t>
      </w:r>
      <w:bookmarkEnd w:id="147"/>
    </w:p>
    <w:p>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lastRenderedPageBreak/>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spacing w:before="60"/>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No. 6 of 2003 s. 32.]</w:t>
      </w:r>
    </w:p>
    <w:p>
      <w:pPr>
        <w:pStyle w:val="Heading5"/>
        <w:rPr>
          <w:snapToGrid w:val="0"/>
        </w:rPr>
      </w:pPr>
      <w:bookmarkStart w:id="148" w:name="_Toc141092756"/>
      <w:r>
        <w:rPr>
          <w:rStyle w:val="CharSectno"/>
        </w:rPr>
        <w:t>88</w:t>
      </w:r>
      <w:r>
        <w:rPr>
          <w:snapToGrid w:val="0"/>
        </w:rPr>
        <w:t>.</w:t>
      </w:r>
      <w:r>
        <w:rPr>
          <w:snapToGrid w:val="0"/>
        </w:rPr>
        <w:tab/>
        <w:t>Transferee of encumbered land to indemnify transferor</w:t>
      </w:r>
      <w:bookmarkEnd w:id="148"/>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49" w:name="_Toc141092757"/>
      <w:r>
        <w:rPr>
          <w:rStyle w:val="CharSectno"/>
        </w:rPr>
        <w:lastRenderedPageBreak/>
        <w:t>88A</w:t>
      </w:r>
      <w:r>
        <w:rPr>
          <w:snapToGrid w:val="0"/>
        </w:rPr>
        <w:t>.</w:t>
      </w:r>
      <w:r>
        <w:rPr>
          <w:snapToGrid w:val="0"/>
        </w:rPr>
        <w:tab/>
        <w:t>Memorial of easements to be registered</w:t>
      </w:r>
      <w:bookmarkEnd w:id="149"/>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No. 17 of 1950 s. 22; amended: No. 81 of 1996 s. 59.]</w:t>
      </w:r>
    </w:p>
    <w:p>
      <w:pPr>
        <w:pStyle w:val="Ednotesection"/>
        <w:ind w:left="890" w:hanging="890"/>
      </w:pPr>
      <w:r>
        <w:t>[</w:t>
      </w:r>
      <w:r>
        <w:rPr>
          <w:b/>
        </w:rPr>
        <w:t>89.</w:t>
      </w:r>
      <w:r>
        <w:tab/>
        <w:t>Deleted: No. 26 of 1999 s. 106(3).]</w:t>
      </w:r>
    </w:p>
    <w:p>
      <w:pPr>
        <w:pStyle w:val="Ednotesection"/>
        <w:ind w:left="890" w:hanging="890"/>
      </w:pPr>
      <w:r>
        <w:t>[</w:t>
      </w:r>
      <w:r>
        <w:rPr>
          <w:b/>
        </w:rPr>
        <w:t>90.</w:t>
      </w:r>
      <w:r>
        <w:tab/>
        <w:t>Deleted: No. 59 of 2004 s. 140.]</w:t>
      </w:r>
    </w:p>
    <w:p>
      <w:pPr>
        <w:pStyle w:val="Heading3"/>
        <w:spacing w:before="260"/>
      </w:pPr>
      <w:bookmarkStart w:id="150" w:name="_Toc141092375"/>
      <w:bookmarkStart w:id="151" w:name="_Toc141092758"/>
      <w:r>
        <w:rPr>
          <w:rStyle w:val="CharDivNo"/>
        </w:rPr>
        <w:t>Division 2</w:t>
      </w:r>
      <w:r>
        <w:t> — </w:t>
      </w:r>
      <w:r>
        <w:rPr>
          <w:rStyle w:val="CharDivText"/>
        </w:rPr>
        <w:t>Leases and subleases</w:t>
      </w:r>
      <w:bookmarkEnd w:id="150"/>
      <w:bookmarkEnd w:id="151"/>
    </w:p>
    <w:p>
      <w:pPr>
        <w:pStyle w:val="Heading5"/>
        <w:keepLines w:val="0"/>
        <w:rPr>
          <w:snapToGrid w:val="0"/>
        </w:rPr>
      </w:pPr>
      <w:bookmarkStart w:id="152" w:name="_Toc141092759"/>
      <w:r>
        <w:rPr>
          <w:rStyle w:val="CharSectno"/>
        </w:rPr>
        <w:t>91</w:t>
      </w:r>
      <w:r>
        <w:rPr>
          <w:snapToGrid w:val="0"/>
        </w:rPr>
        <w:t>.</w:t>
      </w:r>
      <w:r>
        <w:rPr>
          <w:snapToGrid w:val="0"/>
        </w:rPr>
        <w:tab/>
        <w:t>Leases</w:t>
      </w:r>
      <w:bookmarkEnd w:id="152"/>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No. 17 of 1950 s. 23; No. 81 of 1996 s. 61; No. 56 of 2003 s. 13.]</w:t>
      </w:r>
    </w:p>
    <w:p>
      <w:pPr>
        <w:pStyle w:val="Heading5"/>
        <w:rPr>
          <w:snapToGrid w:val="0"/>
        </w:rPr>
      </w:pPr>
      <w:bookmarkStart w:id="153" w:name="_Toc141092760"/>
      <w:r>
        <w:rPr>
          <w:rStyle w:val="CharSectno"/>
        </w:rPr>
        <w:t>92</w:t>
      </w:r>
      <w:r>
        <w:rPr>
          <w:snapToGrid w:val="0"/>
        </w:rPr>
        <w:t>.</w:t>
      </w:r>
      <w:r>
        <w:rPr>
          <w:snapToGrid w:val="0"/>
        </w:rPr>
        <w:tab/>
        <w:t>Covenants by lessee implied in leases</w:t>
      </w:r>
      <w:bookmarkEnd w:id="153"/>
    </w:p>
    <w:p>
      <w:pPr>
        <w:pStyle w:val="Subsection"/>
        <w:rPr>
          <w:snapToGrid w:val="0"/>
        </w:rPr>
      </w:pPr>
      <w:r>
        <w:rPr>
          <w:snapToGrid w:val="0"/>
        </w:rPr>
        <w:tab/>
      </w:r>
      <w:r>
        <w:rPr>
          <w:snapToGrid w:val="0"/>
        </w:rPr>
        <w:tab/>
        <w:t xml:space="preserve">In every lease made under the provisions of this Act there shall be implied the following covenants with the lessor and his </w:t>
      </w:r>
      <w:r>
        <w:rPr>
          <w:snapToGrid w:val="0"/>
        </w:rPr>
        <w:lastRenderedPageBreak/>
        <w:t>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No. 19 of 2010 s. 51.]</w:t>
      </w:r>
    </w:p>
    <w:p>
      <w:pPr>
        <w:pStyle w:val="Heading5"/>
        <w:spacing w:before="240"/>
        <w:rPr>
          <w:snapToGrid w:val="0"/>
        </w:rPr>
      </w:pPr>
      <w:bookmarkStart w:id="154" w:name="_Toc141092761"/>
      <w:r>
        <w:rPr>
          <w:rStyle w:val="CharSectno"/>
        </w:rPr>
        <w:t>93</w:t>
      </w:r>
      <w:r>
        <w:rPr>
          <w:snapToGrid w:val="0"/>
        </w:rPr>
        <w:t>.</w:t>
      </w:r>
      <w:r>
        <w:rPr>
          <w:snapToGrid w:val="0"/>
        </w:rPr>
        <w:tab/>
        <w:t>Lessor’s powers implied in leases</w:t>
      </w:r>
      <w:bookmarkEnd w:id="154"/>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No. 19 of 2010 s. 51.]</w:t>
      </w:r>
    </w:p>
    <w:p>
      <w:pPr>
        <w:pStyle w:val="Heading5"/>
        <w:spacing w:before="240"/>
        <w:rPr>
          <w:snapToGrid w:val="0"/>
        </w:rPr>
      </w:pPr>
      <w:bookmarkStart w:id="155" w:name="_Toc141092762"/>
      <w:r>
        <w:rPr>
          <w:rStyle w:val="CharSectno"/>
        </w:rPr>
        <w:lastRenderedPageBreak/>
        <w:t>94</w:t>
      </w:r>
      <w:r>
        <w:rPr>
          <w:snapToGrid w:val="0"/>
        </w:rPr>
        <w:t>.</w:t>
      </w:r>
      <w:r>
        <w:rPr>
          <w:snapToGrid w:val="0"/>
        </w:rPr>
        <w:tab/>
        <w:t>Short forms of covenants by lessees</w:t>
      </w:r>
      <w:bookmarkEnd w:id="155"/>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No. 19 of 2010 s. 51.]</w:t>
      </w:r>
    </w:p>
    <w:p>
      <w:pPr>
        <w:pStyle w:val="Heading5"/>
        <w:spacing w:before="240"/>
        <w:rPr>
          <w:snapToGrid w:val="0"/>
        </w:rPr>
      </w:pPr>
      <w:bookmarkStart w:id="156" w:name="_Toc141092763"/>
      <w:r>
        <w:rPr>
          <w:rStyle w:val="CharSectno"/>
        </w:rPr>
        <w:t>95</w:t>
      </w:r>
      <w:r>
        <w:rPr>
          <w:snapToGrid w:val="0"/>
        </w:rPr>
        <w:t>.</w:t>
      </w:r>
      <w:r>
        <w:rPr>
          <w:snapToGrid w:val="0"/>
        </w:rPr>
        <w:tab/>
        <w:t>Covenant to be implied on transfer of lease</w:t>
      </w:r>
      <w:bookmarkEnd w:id="156"/>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157" w:name="_Toc141092764"/>
      <w:r>
        <w:rPr>
          <w:rStyle w:val="CharSectno"/>
        </w:rPr>
        <w:lastRenderedPageBreak/>
        <w:t>96</w:t>
      </w:r>
      <w:r>
        <w:rPr>
          <w:snapToGrid w:val="0"/>
        </w:rPr>
        <w:t>.</w:t>
      </w:r>
      <w:r>
        <w:rPr>
          <w:snapToGrid w:val="0"/>
        </w:rPr>
        <w:tab/>
        <w:t>Recovery of possession by lessors to be entered in Register</w:t>
      </w:r>
      <w:bookmarkEnd w:id="157"/>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No. 81 of 1996 s. 145(1).]</w:t>
      </w:r>
    </w:p>
    <w:p>
      <w:pPr>
        <w:pStyle w:val="Heading5"/>
        <w:keepLines w:val="0"/>
        <w:rPr>
          <w:snapToGrid w:val="0"/>
        </w:rPr>
      </w:pPr>
      <w:bookmarkStart w:id="158" w:name="_Toc141092765"/>
      <w:r>
        <w:rPr>
          <w:rStyle w:val="CharSectno"/>
        </w:rPr>
        <w:t>97</w:t>
      </w:r>
      <w:r>
        <w:rPr>
          <w:snapToGrid w:val="0"/>
        </w:rPr>
        <w:t>.</w:t>
      </w:r>
      <w:r>
        <w:rPr>
          <w:snapToGrid w:val="0"/>
        </w:rPr>
        <w:tab/>
        <w:t>Mortgagee of interest of bankrupt lessee may apply to be entered as transferee of lease and on default lessor may apply</w:t>
      </w:r>
      <w:bookmarkEnd w:id="158"/>
    </w:p>
    <w:p>
      <w:pPr>
        <w:pStyle w:val="Subsection"/>
        <w:rPr>
          <w:snapToGrid w:val="0"/>
        </w:rPr>
      </w:pPr>
      <w:r>
        <w:rPr>
          <w:snapToGrid w:val="0"/>
        </w:rPr>
        <w:tab/>
      </w:r>
      <w:r>
        <w:rPr>
          <w:snapToGrid w:val="0"/>
        </w:rPr>
        <w:tab/>
        <w:t xml:space="preserve">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t>
      </w:r>
      <w:r>
        <w:rPr>
          <w:snapToGrid w:val="0"/>
        </w:rPr>
        <w:lastRenderedPageBreak/>
        <w:t>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No. 81 of 1996 s. 62 and 145(1).]</w:t>
      </w:r>
    </w:p>
    <w:p>
      <w:pPr>
        <w:pStyle w:val="Heading5"/>
        <w:keepLines w:val="0"/>
        <w:rPr>
          <w:snapToGrid w:val="0"/>
        </w:rPr>
      </w:pPr>
      <w:bookmarkStart w:id="159" w:name="_Toc141092766"/>
      <w:r>
        <w:rPr>
          <w:rStyle w:val="CharSectno"/>
        </w:rPr>
        <w:t>98</w:t>
      </w:r>
      <w:r>
        <w:rPr>
          <w:snapToGrid w:val="0"/>
        </w:rPr>
        <w:t>.</w:t>
      </w:r>
      <w:r>
        <w:rPr>
          <w:snapToGrid w:val="0"/>
        </w:rPr>
        <w:tab/>
        <w:t>Surrendering leases</w:t>
      </w:r>
      <w:bookmarkEnd w:id="159"/>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No. 81 of 1996 s. 145(1); No. 6 of 2003 s. 33; No. 19 of 2010 s. 51.]</w:t>
      </w:r>
    </w:p>
    <w:p>
      <w:pPr>
        <w:pStyle w:val="Heading5"/>
        <w:spacing w:before="180"/>
        <w:rPr>
          <w:snapToGrid w:val="0"/>
        </w:rPr>
      </w:pPr>
      <w:bookmarkStart w:id="160" w:name="_Toc141092767"/>
      <w:r>
        <w:rPr>
          <w:rStyle w:val="CharSectno"/>
        </w:rPr>
        <w:lastRenderedPageBreak/>
        <w:t>99</w:t>
      </w:r>
      <w:r>
        <w:rPr>
          <w:snapToGrid w:val="0"/>
        </w:rPr>
        <w:t>.</w:t>
      </w:r>
      <w:r>
        <w:rPr>
          <w:snapToGrid w:val="0"/>
        </w:rPr>
        <w:tab/>
        <w:t>Lessee may sublet</w:t>
      </w:r>
      <w:bookmarkEnd w:id="160"/>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No. 81 of 1996 s. 63; No. 31 of 1997 s. 106.]</w:t>
      </w:r>
    </w:p>
    <w:p>
      <w:pPr>
        <w:pStyle w:val="Heading5"/>
      </w:pPr>
      <w:bookmarkStart w:id="161" w:name="_Toc141092768"/>
      <w:r>
        <w:rPr>
          <w:rStyle w:val="CharSectno"/>
        </w:rPr>
        <w:t>100</w:t>
      </w:r>
      <w:r>
        <w:t>.</w:t>
      </w:r>
      <w:r>
        <w:tab/>
        <w:t>Registration of subleases</w:t>
      </w:r>
      <w:bookmarkEnd w:id="161"/>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No. 6 of 2003 s. 34.]</w:t>
      </w:r>
    </w:p>
    <w:p>
      <w:pPr>
        <w:pStyle w:val="Ednotesection"/>
        <w:rPr>
          <w:rFonts w:ascii="Times" w:hAnsi="Times"/>
        </w:rPr>
      </w:pPr>
      <w:r>
        <w:rPr>
          <w:rFonts w:ascii="Times" w:hAnsi="Times"/>
        </w:rPr>
        <w:lastRenderedPageBreak/>
        <w:t>[</w:t>
      </w:r>
      <w:r>
        <w:rPr>
          <w:rFonts w:ascii="Times" w:hAnsi="Times"/>
          <w:b/>
        </w:rPr>
        <w:t>101.</w:t>
      </w:r>
      <w:r>
        <w:rPr>
          <w:rFonts w:ascii="Times" w:hAnsi="Times"/>
        </w:rPr>
        <w:tab/>
        <w:t>Deleted: No. 6 of 2003 s. 35.]</w:t>
      </w:r>
    </w:p>
    <w:p>
      <w:pPr>
        <w:pStyle w:val="Heading5"/>
        <w:rPr>
          <w:rFonts w:ascii="Times" w:hAnsi="Times"/>
          <w:snapToGrid w:val="0"/>
        </w:rPr>
      </w:pPr>
      <w:bookmarkStart w:id="162" w:name="_Toc141092769"/>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62"/>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No. 17 of 1950 s. 24; No. 81 of 1996 s. 145(1); No. 6 of 2003 s. 36.]</w:t>
      </w:r>
    </w:p>
    <w:p>
      <w:pPr>
        <w:pStyle w:val="Heading5"/>
        <w:rPr>
          <w:snapToGrid w:val="0"/>
        </w:rPr>
      </w:pPr>
      <w:bookmarkStart w:id="163" w:name="_Toc141092770"/>
      <w:r>
        <w:rPr>
          <w:rStyle w:val="CharSectno"/>
        </w:rPr>
        <w:t>103</w:t>
      </w:r>
      <w:r>
        <w:rPr>
          <w:snapToGrid w:val="0"/>
        </w:rPr>
        <w:t>.</w:t>
      </w:r>
      <w:r>
        <w:rPr>
          <w:snapToGrid w:val="0"/>
        </w:rPr>
        <w:tab/>
        <w:t>Covenants implied in subleases</w:t>
      </w:r>
      <w:bookmarkEnd w:id="163"/>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w:t>
      </w:r>
      <w:r>
        <w:rPr>
          <w:snapToGrid w:val="0"/>
        </w:rPr>
        <w:lastRenderedPageBreak/>
        <w:t>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No. 19 of 2010 s. 51.]</w:t>
      </w:r>
    </w:p>
    <w:p>
      <w:pPr>
        <w:pStyle w:val="Heading5"/>
        <w:keepLines w:val="0"/>
        <w:rPr>
          <w:snapToGrid w:val="0"/>
        </w:rPr>
      </w:pPr>
      <w:bookmarkStart w:id="164" w:name="_Toc141092771"/>
      <w:r>
        <w:rPr>
          <w:rStyle w:val="CharSectno"/>
        </w:rPr>
        <w:t>104</w:t>
      </w:r>
      <w:r>
        <w:rPr>
          <w:snapToGrid w:val="0"/>
        </w:rPr>
        <w:t>.</w:t>
      </w:r>
      <w:r>
        <w:rPr>
          <w:snapToGrid w:val="0"/>
        </w:rPr>
        <w:tab/>
        <w:t>Determination of lease or sublease by re</w:t>
      </w:r>
      <w:r>
        <w:rPr>
          <w:snapToGrid w:val="0"/>
        </w:rPr>
        <w:noBreakHyphen/>
        <w:t>entry to be entered in Register</w:t>
      </w:r>
      <w:bookmarkEnd w:id="164"/>
    </w:p>
    <w:p>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 xml:space="preserve">he term for which the land was leased or subleased shall, upon such entry being made, determine and may be removed as an encumbrance from a certificate of title but without prejudice to any action or cause of action which shall previously have been </w:t>
      </w:r>
      <w:r>
        <w:rPr>
          <w:snapToGrid w:val="0"/>
        </w:rPr>
        <w:lastRenderedPageBreak/>
        <w:t>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No. 81 of 1996 s. 145(1); No. 31 of 1997 s. 107; No. 6 of 2003 s. 37; No. 19 of 2010 s. 51.]</w:t>
      </w:r>
    </w:p>
    <w:p>
      <w:pPr>
        <w:pStyle w:val="Heading3"/>
        <w:keepNext w:val="0"/>
        <w:pageBreakBefore/>
        <w:spacing w:before="0"/>
      </w:pPr>
      <w:bookmarkStart w:id="165" w:name="_Toc141092389"/>
      <w:bookmarkStart w:id="166" w:name="_Toc141092772"/>
      <w:r>
        <w:rPr>
          <w:rStyle w:val="CharDivNo"/>
        </w:rPr>
        <w:lastRenderedPageBreak/>
        <w:t>Division 2A</w:t>
      </w:r>
      <w:r>
        <w:t> — </w:t>
      </w:r>
      <w:r>
        <w:rPr>
          <w:rStyle w:val="CharDivText"/>
        </w:rPr>
        <w:t>Carbon rights and carbon covenants</w:t>
      </w:r>
      <w:bookmarkEnd w:id="165"/>
      <w:bookmarkEnd w:id="166"/>
    </w:p>
    <w:p>
      <w:pPr>
        <w:pStyle w:val="Footnoteheading"/>
        <w:keepNext/>
        <w:keepLines/>
      </w:pPr>
      <w:r>
        <w:tab/>
        <w:t>[Heading inserted: No. 56 of 2003 s. 14.]</w:t>
      </w:r>
    </w:p>
    <w:p>
      <w:pPr>
        <w:pStyle w:val="Heading5"/>
      </w:pPr>
      <w:bookmarkStart w:id="167" w:name="_Toc141092773"/>
      <w:r>
        <w:rPr>
          <w:rStyle w:val="CharSectno"/>
        </w:rPr>
        <w:t>104A</w:t>
      </w:r>
      <w:r>
        <w:t>.</w:t>
      </w:r>
      <w:r>
        <w:tab/>
        <w:t>Terms used</w:t>
      </w:r>
      <w:bookmarkEnd w:id="167"/>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No. 56 of 2003 s. 14.]</w:t>
      </w:r>
    </w:p>
    <w:p>
      <w:pPr>
        <w:pStyle w:val="Heading5"/>
      </w:pPr>
      <w:bookmarkStart w:id="168" w:name="_Toc141092774"/>
      <w:r>
        <w:rPr>
          <w:rStyle w:val="CharSectno"/>
        </w:rPr>
        <w:t>104B</w:t>
      </w:r>
      <w:r>
        <w:t>.</w:t>
      </w:r>
      <w:r>
        <w:tab/>
        <w:t>Registration of carbon right form</w:t>
      </w:r>
      <w:bookmarkEnd w:id="168"/>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No. 56 of 2003 s. 14.]</w:t>
      </w:r>
    </w:p>
    <w:p>
      <w:pPr>
        <w:pStyle w:val="Heading5"/>
      </w:pPr>
      <w:bookmarkStart w:id="169" w:name="_Toc141092775"/>
      <w:r>
        <w:rPr>
          <w:rStyle w:val="CharSectno"/>
        </w:rPr>
        <w:t>104C</w:t>
      </w:r>
      <w:r>
        <w:t>.</w:t>
      </w:r>
      <w:r>
        <w:tab/>
        <w:t>Extension of carbon right</w:t>
      </w:r>
      <w:bookmarkEnd w:id="169"/>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lastRenderedPageBreak/>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No. 56 of 2003 s. 14.]</w:t>
      </w:r>
    </w:p>
    <w:p>
      <w:pPr>
        <w:pStyle w:val="Heading5"/>
      </w:pPr>
      <w:bookmarkStart w:id="170" w:name="_Toc141092776"/>
      <w:r>
        <w:rPr>
          <w:rStyle w:val="CharSectno"/>
        </w:rPr>
        <w:t>104D</w:t>
      </w:r>
      <w:r>
        <w:t>.</w:t>
      </w:r>
      <w:r>
        <w:tab/>
        <w:t>Transfer of carbon right</w:t>
      </w:r>
      <w:bookmarkEnd w:id="17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w:t>
      </w:r>
      <w:r>
        <w:lastRenderedPageBreak/>
        <w:t xml:space="preserve">compliance with section 18 of the </w:t>
      </w:r>
      <w:r>
        <w:rPr>
          <w:i/>
        </w:rPr>
        <w:t>Land Administration Act 1997</w:t>
      </w:r>
      <w:r>
        <w:t>.</w:t>
      </w:r>
    </w:p>
    <w:p>
      <w:pPr>
        <w:pStyle w:val="Footnotesection"/>
      </w:pPr>
      <w:r>
        <w:tab/>
        <w:t>[Section 104D inserted: No. 56 of 2003 s. 14.]</w:t>
      </w:r>
    </w:p>
    <w:p>
      <w:pPr>
        <w:pStyle w:val="Heading5"/>
      </w:pPr>
      <w:bookmarkStart w:id="171" w:name="_Toc141092777"/>
      <w:r>
        <w:rPr>
          <w:rStyle w:val="CharSectno"/>
        </w:rPr>
        <w:t>104E</w:t>
      </w:r>
      <w:r>
        <w:t>.</w:t>
      </w:r>
      <w:r>
        <w:tab/>
        <w:t>Mortgage of carbon right</w:t>
      </w:r>
      <w:bookmarkEnd w:id="171"/>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No. 56 of 2003 s. 14.]</w:t>
      </w:r>
    </w:p>
    <w:p>
      <w:pPr>
        <w:pStyle w:val="Heading5"/>
      </w:pPr>
      <w:bookmarkStart w:id="172" w:name="_Toc141092778"/>
      <w:r>
        <w:rPr>
          <w:rStyle w:val="CharSectno"/>
        </w:rPr>
        <w:t>104F</w:t>
      </w:r>
      <w:r>
        <w:t>.</w:t>
      </w:r>
      <w:r>
        <w:tab/>
        <w:t>Surrender of carbon right</w:t>
      </w:r>
      <w:bookmarkEnd w:id="172"/>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lastRenderedPageBreak/>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No. 56 of 2003 s. 14.]</w:t>
      </w:r>
    </w:p>
    <w:p>
      <w:pPr>
        <w:pStyle w:val="Heading5"/>
        <w:keepNext w:val="0"/>
        <w:keepLines w:val="0"/>
      </w:pPr>
      <w:bookmarkStart w:id="173" w:name="_Toc141092779"/>
      <w:r>
        <w:rPr>
          <w:rStyle w:val="CharSectno"/>
        </w:rPr>
        <w:t>104G</w:t>
      </w:r>
      <w:r>
        <w:t>.</w:t>
      </w:r>
      <w:r>
        <w:tab/>
        <w:t>Registration of carbon covenant form</w:t>
      </w:r>
      <w:bookmarkEnd w:id="173"/>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No. 56 of 2003 s. 14.]</w:t>
      </w:r>
    </w:p>
    <w:p>
      <w:pPr>
        <w:pStyle w:val="Heading5"/>
      </w:pPr>
      <w:bookmarkStart w:id="174" w:name="_Toc141092780"/>
      <w:r>
        <w:rPr>
          <w:rStyle w:val="CharSectno"/>
        </w:rPr>
        <w:t>104H</w:t>
      </w:r>
      <w:r>
        <w:t>.</w:t>
      </w:r>
      <w:r>
        <w:tab/>
        <w:t>Extension of carbon covenant</w:t>
      </w:r>
      <w:bookmarkEnd w:id="174"/>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w:t>
      </w:r>
      <w:r>
        <w:lastRenderedPageBreak/>
        <w:t xml:space="preserve">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No. 56 of 2003 s. 14.]</w:t>
      </w:r>
    </w:p>
    <w:p>
      <w:pPr>
        <w:pStyle w:val="Heading5"/>
        <w:spacing w:before="180"/>
      </w:pPr>
      <w:bookmarkStart w:id="175" w:name="_Toc141092781"/>
      <w:r>
        <w:rPr>
          <w:rStyle w:val="CharSectno"/>
        </w:rPr>
        <w:t>104I</w:t>
      </w:r>
      <w:r>
        <w:t>.</w:t>
      </w:r>
      <w:r>
        <w:tab/>
        <w:t>Variation of carbon covenant</w:t>
      </w:r>
      <w:bookmarkEnd w:id="175"/>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lastRenderedPageBreak/>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No. 56 of 2003 s. 14.]</w:t>
      </w:r>
    </w:p>
    <w:p>
      <w:pPr>
        <w:pStyle w:val="Heading5"/>
      </w:pPr>
      <w:bookmarkStart w:id="176" w:name="_Toc141092782"/>
      <w:r>
        <w:rPr>
          <w:rStyle w:val="CharSectno"/>
        </w:rPr>
        <w:lastRenderedPageBreak/>
        <w:t>104J</w:t>
      </w:r>
      <w:r>
        <w:t>.</w:t>
      </w:r>
      <w:r>
        <w:tab/>
        <w:t>Transfer of benefits under carbon covenant</w:t>
      </w:r>
      <w:bookmarkEnd w:id="17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No. 56 of 2003 s. 14.]</w:t>
      </w:r>
    </w:p>
    <w:p>
      <w:pPr>
        <w:pStyle w:val="Heading5"/>
      </w:pPr>
      <w:bookmarkStart w:id="177" w:name="_Toc141092783"/>
      <w:r>
        <w:rPr>
          <w:rStyle w:val="CharSectno"/>
        </w:rPr>
        <w:t>104K</w:t>
      </w:r>
      <w:r>
        <w:t>.</w:t>
      </w:r>
      <w:r>
        <w:tab/>
        <w:t>Mortgage of carbon covenant</w:t>
      </w:r>
      <w:bookmarkEnd w:id="177"/>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No. 56 of 2003 s. 14.]</w:t>
      </w:r>
    </w:p>
    <w:p>
      <w:pPr>
        <w:pStyle w:val="Heading5"/>
      </w:pPr>
      <w:bookmarkStart w:id="178" w:name="_Toc141092784"/>
      <w:r>
        <w:rPr>
          <w:rStyle w:val="CharSectno"/>
        </w:rPr>
        <w:lastRenderedPageBreak/>
        <w:t>104L</w:t>
      </w:r>
      <w:r>
        <w:t>.</w:t>
      </w:r>
      <w:r>
        <w:tab/>
        <w:t>Surrender of carbon covenant</w:t>
      </w:r>
      <w:bookmarkEnd w:id="178"/>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No. 56 of 2003 s. 14.]</w:t>
      </w:r>
    </w:p>
    <w:p>
      <w:pPr>
        <w:pStyle w:val="Heading3"/>
      </w:pPr>
      <w:bookmarkStart w:id="179" w:name="_Toc141092402"/>
      <w:bookmarkStart w:id="180" w:name="_Toc141092785"/>
      <w:r>
        <w:rPr>
          <w:rStyle w:val="CharDivNo"/>
        </w:rPr>
        <w:t>Division 2B</w:t>
      </w:r>
      <w:r>
        <w:t> — </w:t>
      </w:r>
      <w:r>
        <w:rPr>
          <w:rStyle w:val="CharDivText"/>
        </w:rPr>
        <w:t>Tree plantation agreements and plantation interests</w:t>
      </w:r>
      <w:bookmarkEnd w:id="179"/>
      <w:bookmarkEnd w:id="180"/>
    </w:p>
    <w:p>
      <w:pPr>
        <w:pStyle w:val="Footnoteheading"/>
      </w:pPr>
      <w:r>
        <w:tab/>
        <w:t>[Heading inserted: No. 56 of 2003 s. 14.]</w:t>
      </w:r>
    </w:p>
    <w:p>
      <w:pPr>
        <w:pStyle w:val="Heading5"/>
      </w:pPr>
      <w:bookmarkStart w:id="181" w:name="_Toc141092786"/>
      <w:r>
        <w:rPr>
          <w:rStyle w:val="CharSectno"/>
        </w:rPr>
        <w:t>104M</w:t>
      </w:r>
      <w:r>
        <w:t>.</w:t>
      </w:r>
      <w:r>
        <w:tab/>
        <w:t>Terms used</w:t>
      </w:r>
      <w:bookmarkEnd w:id="181"/>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lastRenderedPageBreak/>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No. 56 of 2003 s. 14.]</w:t>
      </w:r>
    </w:p>
    <w:p>
      <w:pPr>
        <w:pStyle w:val="Heading5"/>
      </w:pPr>
      <w:bookmarkStart w:id="182" w:name="_Toc141092787"/>
      <w:r>
        <w:rPr>
          <w:rStyle w:val="CharSectno"/>
        </w:rPr>
        <w:t>104N</w:t>
      </w:r>
      <w:r>
        <w:t>.</w:t>
      </w:r>
      <w:r>
        <w:tab/>
        <w:t>Registration of tree plantation agreement</w:t>
      </w:r>
      <w:bookmarkEnd w:id="182"/>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No. 56 of 2003 s. 14.]</w:t>
      </w:r>
    </w:p>
    <w:p>
      <w:pPr>
        <w:pStyle w:val="Heading5"/>
      </w:pPr>
      <w:bookmarkStart w:id="183" w:name="_Toc141092788"/>
      <w:r>
        <w:rPr>
          <w:rStyle w:val="CharSectno"/>
        </w:rPr>
        <w:t>104O</w:t>
      </w:r>
      <w:r>
        <w:t>.</w:t>
      </w:r>
      <w:r>
        <w:tab/>
        <w:t>Extension of plantation interest</w:t>
      </w:r>
      <w:bookmarkEnd w:id="183"/>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w:t>
      </w:r>
      <w:r>
        <w:lastRenderedPageBreak/>
        <w:t xml:space="preserve">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lastRenderedPageBreak/>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No. 56 of 2003 s. 14.]</w:t>
      </w:r>
    </w:p>
    <w:p>
      <w:pPr>
        <w:pStyle w:val="Heading5"/>
      </w:pPr>
      <w:bookmarkStart w:id="184" w:name="_Toc141092789"/>
      <w:r>
        <w:rPr>
          <w:rStyle w:val="CharSectno"/>
        </w:rPr>
        <w:t>104P</w:t>
      </w:r>
      <w:r>
        <w:t>.</w:t>
      </w:r>
      <w:r>
        <w:tab/>
        <w:t>Variation of agreement</w:t>
      </w:r>
      <w:bookmarkEnd w:id="184"/>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lastRenderedPageBreak/>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No. 56 of 2003 s. 14.]</w:t>
      </w:r>
    </w:p>
    <w:p>
      <w:pPr>
        <w:pStyle w:val="Heading5"/>
      </w:pPr>
      <w:bookmarkStart w:id="185" w:name="_Toc141092790"/>
      <w:r>
        <w:rPr>
          <w:rStyle w:val="CharSectno"/>
        </w:rPr>
        <w:t>104Q</w:t>
      </w:r>
      <w:r>
        <w:t>.</w:t>
      </w:r>
      <w:r>
        <w:tab/>
        <w:t>Transfer of plantation interests</w:t>
      </w:r>
      <w:bookmarkEnd w:id="185"/>
    </w:p>
    <w:p>
      <w:pPr>
        <w:pStyle w:val="Subsection"/>
      </w:pPr>
      <w:r>
        <w:tab/>
        <w:t>(1)</w:t>
      </w:r>
      <w:r>
        <w:tab/>
        <w:t>The requirements of subsections (2) and (3) are in addition to the requirements of Part IV Division 1 and any other provision of this Act relevant to the transfer of land or an interest in land.</w:t>
      </w:r>
    </w:p>
    <w:p>
      <w:pPr>
        <w:pStyle w:val="Subsection"/>
      </w:pPr>
      <w:r>
        <w:lastRenderedPageBreak/>
        <w:tab/>
        <w:t>(2)</w:t>
      </w:r>
      <w:r>
        <w:tab/>
        <w:t>A plantation interest can only be transferred in relation to the whole of the area of the relevant agreement land.</w:t>
      </w:r>
    </w:p>
    <w:p>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ind w:left="890" w:hanging="890"/>
      </w:pPr>
      <w:r>
        <w:tab/>
        <w:t>[Section 104Q inserted: No. 56 of 2003 s. 14.]</w:t>
      </w:r>
    </w:p>
    <w:p>
      <w:pPr>
        <w:pStyle w:val="Heading5"/>
      </w:pPr>
      <w:bookmarkStart w:id="186" w:name="_Toc141092791"/>
      <w:r>
        <w:rPr>
          <w:rStyle w:val="CharSectno"/>
        </w:rPr>
        <w:t>104R</w:t>
      </w:r>
      <w:r>
        <w:t>.</w:t>
      </w:r>
      <w:r>
        <w:tab/>
        <w:t>Mortgage of plantation interests</w:t>
      </w:r>
      <w:bookmarkEnd w:id="186"/>
    </w:p>
    <w:p>
      <w:pPr>
        <w:pStyle w:val="Subsection"/>
      </w:pPr>
      <w:r>
        <w:tab/>
        <w:t>(1)</w:t>
      </w:r>
      <w:r>
        <w:tab/>
        <w:t>The requirements of subsection (2) are in addition to the requirements of Part IV Division 3 and any other provision of this Act relevant to the mortgage of land.</w:t>
      </w:r>
    </w:p>
    <w:p>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No. 56 of 2003 s. 14.]</w:t>
      </w:r>
    </w:p>
    <w:p>
      <w:pPr>
        <w:pStyle w:val="Heading5"/>
      </w:pPr>
      <w:bookmarkStart w:id="187" w:name="_Toc141092792"/>
      <w:r>
        <w:rPr>
          <w:rStyle w:val="CharSectno"/>
        </w:rPr>
        <w:t>104S</w:t>
      </w:r>
      <w:r>
        <w:t>.</w:t>
      </w:r>
      <w:r>
        <w:tab/>
        <w:t>Surrender of plantation interests</w:t>
      </w:r>
      <w:bookmarkEnd w:id="187"/>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lastRenderedPageBreak/>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No. 56 of 2003 s. 14.]</w:t>
      </w:r>
    </w:p>
    <w:p>
      <w:pPr>
        <w:pStyle w:val="Heading3"/>
      </w:pPr>
      <w:bookmarkStart w:id="188" w:name="_Toc141092410"/>
      <w:bookmarkStart w:id="189" w:name="_Toc141092793"/>
      <w:r>
        <w:rPr>
          <w:rStyle w:val="CharDivNo"/>
        </w:rPr>
        <w:t>Division 3</w:t>
      </w:r>
      <w:r>
        <w:rPr>
          <w:snapToGrid w:val="0"/>
        </w:rPr>
        <w:t> — </w:t>
      </w:r>
      <w:r>
        <w:rPr>
          <w:rStyle w:val="CharDivText"/>
        </w:rPr>
        <w:t>Mortgages and annuities</w:t>
      </w:r>
      <w:bookmarkEnd w:id="188"/>
      <w:bookmarkEnd w:id="189"/>
    </w:p>
    <w:p>
      <w:pPr>
        <w:pStyle w:val="Heading5"/>
        <w:rPr>
          <w:snapToGrid w:val="0"/>
        </w:rPr>
      </w:pPr>
      <w:bookmarkStart w:id="190" w:name="_Toc141092794"/>
      <w:r>
        <w:rPr>
          <w:rStyle w:val="CharSectno"/>
        </w:rPr>
        <w:t>105</w:t>
      </w:r>
      <w:r>
        <w:rPr>
          <w:snapToGrid w:val="0"/>
        </w:rPr>
        <w:t>.</w:t>
      </w:r>
      <w:r>
        <w:rPr>
          <w:snapToGrid w:val="0"/>
        </w:rPr>
        <w:tab/>
        <w:t>Mortgages and charges for annuities, creating</w:t>
      </w:r>
      <w:bookmarkEnd w:id="190"/>
    </w:p>
    <w:p>
      <w:pPr>
        <w:pStyle w:val="Subsection"/>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rPr>
          <w:snapToGrid w:val="0"/>
        </w:rPr>
      </w:pPr>
      <w:r>
        <w:rPr>
          <w:snapToGrid w:val="0"/>
        </w:rPr>
        <w:tab/>
        <w:t>(2)</w:t>
      </w:r>
      <w:r>
        <w:rPr>
          <w:snapToGrid w:val="0"/>
        </w:rPr>
        <w:tab/>
        <w:t>A mortgage or charge shall be in an approved form.</w:t>
      </w:r>
    </w:p>
    <w:p>
      <w:pPr>
        <w:pStyle w:val="Subsection"/>
      </w:pPr>
      <w:r>
        <w:tab/>
        <w:t>(3)</w:t>
      </w:r>
      <w:r>
        <w:tab/>
        <w:t xml:space="preserve">Subsection (4) applies if — </w:t>
      </w:r>
    </w:p>
    <w:p>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Indenta"/>
      </w:pPr>
      <w:r>
        <w:tab/>
        <w:t>(b)</w:t>
      </w:r>
      <w:r>
        <w:tab/>
        <w:t xml:space="preserve">the counterpart of the charging instrument lodged — </w:t>
      </w:r>
    </w:p>
    <w:p>
      <w:pPr>
        <w:pStyle w:val="Indenti"/>
      </w:pPr>
      <w:r>
        <w:tab/>
        <w:t>(i)</w:t>
      </w:r>
      <w:r>
        <w:tab/>
        <w:t>purports to be signed by the person who, on registration of the mortgage or charge, will become the proprietor of the mortgage or charge; but</w:t>
      </w:r>
    </w:p>
    <w:p>
      <w:pPr>
        <w:pStyle w:val="Indenti"/>
      </w:pPr>
      <w:r>
        <w:tab/>
        <w:t>(ii)</w:t>
      </w:r>
      <w:r>
        <w:tab/>
        <w:t>does not purport to be signed by the proprietor of the land;</w:t>
      </w:r>
    </w:p>
    <w:p>
      <w:pPr>
        <w:pStyle w:val="Indenta"/>
      </w:pPr>
      <w:r>
        <w:lastRenderedPageBreak/>
        <w:tab/>
      </w:r>
      <w:r>
        <w:tab/>
        <w:t>and</w:t>
      </w:r>
    </w:p>
    <w:p>
      <w:pPr>
        <w:pStyle w:val="Indenta"/>
      </w:pPr>
      <w:r>
        <w:tab/>
        <w:t>(c)</w:t>
      </w:r>
      <w:r>
        <w:tab/>
        <w:t>a counterpart of the charging instrument purporting to be signed by the proprietor of the land is not also lodged for registration; and</w:t>
      </w:r>
    </w:p>
    <w:p>
      <w:pPr>
        <w:pStyle w:val="Indenta"/>
      </w:pPr>
      <w:r>
        <w:tab/>
        <w:t>(d)</w:t>
      </w:r>
      <w:r>
        <w:tab/>
        <w:t>the charging instrument is registered.</w:t>
      </w:r>
    </w:p>
    <w:p>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Subsection"/>
        <w:rPr>
          <w:snapToGrid w:val="0"/>
        </w:rPr>
      </w:pPr>
      <w:r>
        <w:tab/>
        <w:t>(5)</w:t>
      </w:r>
      <w:r>
        <w:tab/>
        <w:t>Subsection (4) overrides section 58.</w:t>
      </w:r>
    </w:p>
    <w:p>
      <w:pPr>
        <w:pStyle w:val="Footnotesection"/>
        <w:ind w:left="890" w:hanging="890"/>
      </w:pPr>
      <w:r>
        <w:tab/>
        <w:t>[Section 105 inserted: No. 81 of 1996 s. 65; amended: No. 2 of 2014 s. 73.]</w:t>
      </w:r>
    </w:p>
    <w:p>
      <w:pPr>
        <w:pStyle w:val="Heading5"/>
        <w:rPr>
          <w:snapToGrid w:val="0"/>
        </w:rPr>
      </w:pPr>
      <w:bookmarkStart w:id="191" w:name="_Toc141092795"/>
      <w:r>
        <w:rPr>
          <w:rStyle w:val="CharSectno"/>
        </w:rPr>
        <w:t>105A</w:t>
      </w:r>
      <w:r>
        <w:rPr>
          <w:snapToGrid w:val="0"/>
        </w:rPr>
        <w:t>.</w:t>
      </w:r>
      <w:r>
        <w:rPr>
          <w:snapToGrid w:val="0"/>
        </w:rPr>
        <w:tab/>
        <w:t>Extension of mortgage, charge or lease</w:t>
      </w:r>
      <w:bookmarkEnd w:id="191"/>
    </w:p>
    <w:p>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spacing w:before="80"/>
        <w:ind w:left="890" w:hanging="890"/>
      </w:pPr>
      <w:r>
        <w:tab/>
        <w:t>[Section 105A inserted: No. 81 of 1996 s. 65; amended: No. 6 of 2003 s. 38; No. 60 of 2006 s. 118(1).]</w:t>
      </w:r>
    </w:p>
    <w:p>
      <w:pPr>
        <w:pStyle w:val="Heading5"/>
        <w:spacing w:before="180"/>
        <w:rPr>
          <w:snapToGrid w:val="0"/>
        </w:rPr>
      </w:pPr>
      <w:bookmarkStart w:id="192" w:name="_Toc141092796"/>
      <w:r>
        <w:rPr>
          <w:rStyle w:val="CharSectno"/>
        </w:rPr>
        <w:lastRenderedPageBreak/>
        <w:t>106</w:t>
      </w:r>
      <w:r>
        <w:rPr>
          <w:snapToGrid w:val="0"/>
        </w:rPr>
        <w:t>.</w:t>
      </w:r>
      <w:r>
        <w:rPr>
          <w:snapToGrid w:val="0"/>
        </w:rPr>
        <w:tab/>
        <w:t>Mortgage or charge not to operate as transfer; default procedures</w:t>
      </w:r>
      <w:bookmarkEnd w:id="192"/>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lastRenderedPageBreak/>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No. 81 of 1996 s. 66; No. 31 of 1997 s. 108; No. 10 of 1998 s. 69(1).]</w:t>
      </w:r>
    </w:p>
    <w:p>
      <w:pPr>
        <w:pStyle w:val="Heading5"/>
        <w:rPr>
          <w:snapToGrid w:val="0"/>
        </w:rPr>
      </w:pPr>
      <w:bookmarkStart w:id="193" w:name="_Toc141092797"/>
      <w:r>
        <w:rPr>
          <w:rStyle w:val="CharSectno"/>
        </w:rPr>
        <w:t>107</w:t>
      </w:r>
      <w:r>
        <w:rPr>
          <w:snapToGrid w:val="0"/>
        </w:rPr>
        <w:t>.</w:t>
      </w:r>
      <w:r>
        <w:rPr>
          <w:snapToGrid w:val="0"/>
        </w:rPr>
        <w:tab/>
        <w:t>Written demand equivalent to written notice</w:t>
      </w:r>
      <w:bookmarkEnd w:id="193"/>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ind w:left="890" w:hanging="890"/>
      </w:pPr>
      <w:r>
        <w:tab/>
        <w:t>[Section 107 amended: No. 31 of 1997 s. 109.]</w:t>
      </w:r>
    </w:p>
    <w:p>
      <w:pPr>
        <w:pStyle w:val="Heading5"/>
        <w:rPr>
          <w:snapToGrid w:val="0"/>
        </w:rPr>
      </w:pPr>
      <w:bookmarkStart w:id="194" w:name="_Toc141092798"/>
      <w:r>
        <w:rPr>
          <w:rStyle w:val="CharSectno"/>
        </w:rPr>
        <w:t>108</w:t>
      </w:r>
      <w:r>
        <w:rPr>
          <w:snapToGrid w:val="0"/>
        </w:rPr>
        <w:t>.</w:t>
      </w:r>
      <w:r>
        <w:rPr>
          <w:snapToGrid w:val="0"/>
        </w:rPr>
        <w:tab/>
        <w:t>Power to sell in cases of continuing default</w:t>
      </w:r>
      <w:bookmarkEnd w:id="194"/>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w:t>
      </w:r>
      <w:r>
        <w:rPr>
          <w:snapToGrid w:val="0"/>
        </w:rPr>
        <w:lastRenderedPageBreak/>
        <w:t>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ind w:left="890" w:hanging="890"/>
      </w:pPr>
      <w:r>
        <w:tab/>
        <w:t>[Section 108 amended: No. 17 of 1950 s. 25; No. 31 of 1997 s. 110.]</w:t>
      </w:r>
    </w:p>
    <w:p>
      <w:pPr>
        <w:pStyle w:val="Heading5"/>
        <w:rPr>
          <w:snapToGrid w:val="0"/>
        </w:rPr>
      </w:pPr>
      <w:bookmarkStart w:id="195" w:name="_Toc141092799"/>
      <w:r>
        <w:rPr>
          <w:rStyle w:val="CharSectno"/>
        </w:rPr>
        <w:t>109</w:t>
      </w:r>
      <w:r>
        <w:rPr>
          <w:snapToGrid w:val="0"/>
        </w:rPr>
        <w:t>.</w:t>
      </w:r>
      <w:r>
        <w:rPr>
          <w:snapToGrid w:val="0"/>
        </w:rPr>
        <w:tab/>
        <w:t>Application of purchase money</w:t>
      </w:r>
      <w:bookmarkEnd w:id="195"/>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lastRenderedPageBreak/>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No. 17 of 1950 s. 26; No. 31 of 1997 s. 111; No. 19 of 2010 s. 51.]</w:t>
      </w:r>
    </w:p>
    <w:p>
      <w:pPr>
        <w:pStyle w:val="Heading5"/>
        <w:spacing w:before="240"/>
        <w:rPr>
          <w:snapToGrid w:val="0"/>
        </w:rPr>
      </w:pPr>
      <w:bookmarkStart w:id="196" w:name="_Toc141092800"/>
      <w:r>
        <w:rPr>
          <w:rStyle w:val="CharSectno"/>
        </w:rPr>
        <w:t>110</w:t>
      </w:r>
      <w:r>
        <w:rPr>
          <w:snapToGrid w:val="0"/>
        </w:rPr>
        <w:t>.</w:t>
      </w:r>
      <w:r>
        <w:rPr>
          <w:snapToGrid w:val="0"/>
        </w:rPr>
        <w:tab/>
        <w:t>Transfer after sale by mortgagee etc., effect of</w:t>
      </w:r>
      <w:bookmarkEnd w:id="196"/>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w:t>
      </w:r>
      <w:r>
        <w:rPr>
          <w:snapToGrid w:val="0"/>
        </w:rPr>
        <w:lastRenderedPageBreak/>
        <w:t>the proprietor of the land on the existing certificate of title or create and register a new certificate of title in the purchaser’s name as proprietor of the land.</w:t>
      </w:r>
    </w:p>
    <w:p>
      <w:pPr>
        <w:pStyle w:val="Footnotesection"/>
        <w:ind w:left="890" w:hanging="890"/>
      </w:pPr>
      <w:r>
        <w:tab/>
        <w:t>[Section 110 amended: No. 17 of 1950 s. 27; No. 81 of 1996 s. 67; No. 31 of 1997 s. 112; No. 56 of 2003 s. 15; No. 60 of 2003 s. 100.]</w:t>
      </w:r>
    </w:p>
    <w:p>
      <w:pPr>
        <w:pStyle w:val="Heading5"/>
        <w:spacing w:before="240"/>
        <w:rPr>
          <w:snapToGrid w:val="0"/>
        </w:rPr>
      </w:pPr>
      <w:bookmarkStart w:id="197" w:name="_Toc141092801"/>
      <w:r>
        <w:rPr>
          <w:rStyle w:val="CharSectno"/>
        </w:rPr>
        <w:t>111</w:t>
      </w:r>
      <w:r>
        <w:rPr>
          <w:snapToGrid w:val="0"/>
        </w:rPr>
        <w:t>.</w:t>
      </w:r>
      <w:r>
        <w:rPr>
          <w:snapToGrid w:val="0"/>
        </w:rPr>
        <w:tab/>
        <w:t>Remedies of mortgagee or annuitant in cases of default</w:t>
      </w:r>
      <w:bookmarkEnd w:id="197"/>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No. 17 of 1950 s. 28.]</w:t>
      </w:r>
    </w:p>
    <w:p>
      <w:pPr>
        <w:pStyle w:val="Heading5"/>
        <w:rPr>
          <w:snapToGrid w:val="0"/>
        </w:rPr>
      </w:pPr>
      <w:bookmarkStart w:id="198" w:name="_Toc141092802"/>
      <w:r>
        <w:rPr>
          <w:rStyle w:val="CharSectno"/>
        </w:rPr>
        <w:t>112</w:t>
      </w:r>
      <w:r>
        <w:rPr>
          <w:snapToGrid w:val="0"/>
        </w:rPr>
        <w:t>.</w:t>
      </w:r>
      <w:r>
        <w:rPr>
          <w:snapToGrid w:val="0"/>
        </w:rPr>
        <w:tab/>
        <w:t>Further remedies of mortgagee or annuitant</w:t>
      </w:r>
      <w:bookmarkEnd w:id="198"/>
    </w:p>
    <w:p>
      <w:pPr>
        <w:pStyle w:val="Subsection"/>
        <w:rPr>
          <w:snapToGrid w:val="0"/>
        </w:rPr>
      </w:pPr>
      <w:r>
        <w:rPr>
          <w:snapToGrid w:val="0"/>
        </w:rPr>
        <w:tab/>
        <w:t>(1)</w:t>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w:t>
      </w:r>
      <w:r>
        <w:rPr>
          <w:snapToGrid w:val="0"/>
        </w:rPr>
        <w:lastRenderedPageBreak/>
        <w:t>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ind w:left="890" w:hanging="890"/>
      </w:pPr>
      <w:r>
        <w:tab/>
        <w:t>[Section 112 amended: No. 17 of 1950 s. 28; No. 19 of 2010 s. 51.]</w:t>
      </w:r>
    </w:p>
    <w:p>
      <w:pPr>
        <w:pStyle w:val="Heading5"/>
        <w:spacing w:before="180"/>
        <w:rPr>
          <w:snapToGrid w:val="0"/>
        </w:rPr>
      </w:pPr>
      <w:bookmarkStart w:id="199" w:name="_Toc141092803"/>
      <w:r>
        <w:rPr>
          <w:rStyle w:val="CharSectno"/>
        </w:rPr>
        <w:t>112A</w:t>
      </w:r>
      <w:r>
        <w:rPr>
          <w:snapToGrid w:val="0"/>
        </w:rPr>
        <w:t>.</w:t>
      </w:r>
      <w:r>
        <w:rPr>
          <w:snapToGrid w:val="0"/>
        </w:rPr>
        <w:tab/>
        <w:t>Abolition of power of distress</w:t>
      </w:r>
      <w:bookmarkEnd w:id="199"/>
    </w:p>
    <w:p>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No. 17 of 1950 s. 29.]</w:t>
      </w:r>
    </w:p>
    <w:p>
      <w:pPr>
        <w:pStyle w:val="Heading5"/>
        <w:spacing w:before="180"/>
        <w:rPr>
          <w:snapToGrid w:val="0"/>
        </w:rPr>
      </w:pPr>
      <w:bookmarkStart w:id="200" w:name="_Toc141092804"/>
      <w:r>
        <w:rPr>
          <w:rStyle w:val="CharSectno"/>
        </w:rPr>
        <w:t>113</w:t>
      </w:r>
      <w:r>
        <w:rPr>
          <w:snapToGrid w:val="0"/>
        </w:rPr>
        <w:t>.</w:t>
      </w:r>
      <w:r>
        <w:rPr>
          <w:snapToGrid w:val="0"/>
        </w:rPr>
        <w:tab/>
        <w:t>Covenants implied in mortgages</w:t>
      </w:r>
      <w:bookmarkEnd w:id="200"/>
    </w:p>
    <w:p>
      <w:pPr>
        <w:pStyle w:val="Subsection"/>
        <w:spacing w:before="120"/>
        <w:rPr>
          <w:snapToGrid w:val="0"/>
        </w:rPr>
      </w:pPr>
      <w:r>
        <w:rPr>
          <w:snapToGrid w:val="0"/>
        </w:rPr>
        <w:tab/>
      </w:r>
      <w:r>
        <w:rPr>
          <w:snapToGrid w:val="0"/>
        </w:rPr>
        <w:tab/>
        <w:t xml:space="preserve">In every mortgage made under the provisions of this Act there shall be implied covenants with the mortgagee and his transferees by the mortgagor binding the latter and his heirs executors administrators and transferees that he or they will pay </w:t>
      </w:r>
      <w:r>
        <w:rPr>
          <w:snapToGrid w:val="0"/>
        </w:rPr>
        <w:lastRenderedPageBreak/>
        <w:t>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180"/>
        <w:rPr>
          <w:snapToGrid w:val="0"/>
        </w:rPr>
      </w:pPr>
      <w:bookmarkStart w:id="201" w:name="_Toc141092805"/>
      <w:r>
        <w:rPr>
          <w:rStyle w:val="CharSectno"/>
        </w:rPr>
        <w:t>114</w:t>
      </w:r>
      <w:r>
        <w:rPr>
          <w:snapToGrid w:val="0"/>
        </w:rPr>
        <w:t>.</w:t>
      </w:r>
      <w:r>
        <w:rPr>
          <w:snapToGrid w:val="0"/>
        </w:rPr>
        <w:tab/>
        <w:t>Mortgagee or annuitant of leasehold entering into possession become liable to lessor</w:t>
      </w:r>
      <w:bookmarkEnd w:id="201"/>
    </w:p>
    <w:p>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180"/>
        <w:rPr>
          <w:snapToGrid w:val="0"/>
        </w:rPr>
      </w:pPr>
      <w:bookmarkStart w:id="202" w:name="_Toc141092806"/>
      <w:r>
        <w:rPr>
          <w:rStyle w:val="CharSectno"/>
        </w:rPr>
        <w:t>115</w:t>
      </w:r>
      <w:r>
        <w:rPr>
          <w:snapToGrid w:val="0"/>
        </w:rPr>
        <w:t>.</w:t>
      </w:r>
      <w:r>
        <w:rPr>
          <w:snapToGrid w:val="0"/>
        </w:rPr>
        <w:tab/>
        <w:t>Short form of covenant by mortgagor to insure</w:t>
      </w:r>
      <w:bookmarkEnd w:id="202"/>
    </w:p>
    <w:p>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spacing w:before="120"/>
        <w:rPr>
          <w:snapToGrid w:val="0"/>
        </w:rPr>
      </w:pPr>
      <w:r>
        <w:rPr>
          <w:snapToGrid w:val="0"/>
        </w:rPr>
        <w:lastRenderedPageBreak/>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No. 19 of 2010 s. 51.]</w:t>
      </w:r>
    </w:p>
    <w:p>
      <w:pPr>
        <w:pStyle w:val="Heading5"/>
        <w:keepNext w:val="0"/>
        <w:keepLines w:val="0"/>
        <w:spacing w:before="180"/>
        <w:rPr>
          <w:snapToGrid w:val="0"/>
        </w:rPr>
      </w:pPr>
      <w:bookmarkStart w:id="203" w:name="_Toc141092807"/>
      <w:r>
        <w:rPr>
          <w:rStyle w:val="CharSectno"/>
        </w:rPr>
        <w:t>116</w:t>
      </w:r>
      <w:r>
        <w:rPr>
          <w:snapToGrid w:val="0"/>
        </w:rPr>
        <w:t>.</w:t>
      </w:r>
      <w:r>
        <w:rPr>
          <w:snapToGrid w:val="0"/>
        </w:rPr>
        <w:tab/>
        <w:t>Rights of mortgagees generally</w:t>
      </w:r>
      <w:bookmarkEnd w:id="203"/>
    </w:p>
    <w:p>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ind w:left="890" w:hanging="890"/>
      </w:pPr>
      <w:r>
        <w:tab/>
        <w:t>[Section 116 amended: No. 81 of 1996 s. 145(1); No. 59 of 2004 s. 140; No. 19 of 2010 s. 51.]</w:t>
      </w:r>
    </w:p>
    <w:p>
      <w:pPr>
        <w:pStyle w:val="Heading5"/>
        <w:rPr>
          <w:snapToGrid w:val="0"/>
        </w:rPr>
      </w:pPr>
      <w:bookmarkStart w:id="204" w:name="_Toc141092808"/>
      <w:r>
        <w:rPr>
          <w:rStyle w:val="CharSectno"/>
        </w:rPr>
        <w:lastRenderedPageBreak/>
        <w:t>117</w:t>
      </w:r>
      <w:r>
        <w:rPr>
          <w:snapToGrid w:val="0"/>
        </w:rPr>
        <w:t>.</w:t>
      </w:r>
      <w:r>
        <w:rPr>
          <w:snapToGrid w:val="0"/>
        </w:rPr>
        <w:tab/>
        <w:t>Mortgagor not to sue on cause of action available to mortgagee without mortgagee’s consent</w:t>
      </w:r>
      <w:bookmarkEnd w:id="204"/>
    </w:p>
    <w:p>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No. 19 of 2010 s. 51.]</w:t>
      </w:r>
    </w:p>
    <w:p>
      <w:pPr>
        <w:pStyle w:val="Heading5"/>
        <w:rPr>
          <w:snapToGrid w:val="0"/>
        </w:rPr>
      </w:pPr>
      <w:bookmarkStart w:id="205" w:name="_Toc141092809"/>
      <w:r>
        <w:rPr>
          <w:rStyle w:val="CharSectno"/>
        </w:rPr>
        <w:t>118</w:t>
      </w:r>
      <w:r>
        <w:t>.</w:t>
      </w:r>
      <w:r>
        <w:rPr>
          <w:rStyle w:val="CharSectno"/>
        </w:rPr>
        <w:tab/>
      </w:r>
      <w:r>
        <w:rPr>
          <w:snapToGrid w:val="0"/>
        </w:rPr>
        <w:t>Application of money obtained by mortgagor in action for waste of or damage to mortgaged lands</w:t>
      </w:r>
      <w:bookmarkEnd w:id="205"/>
    </w:p>
    <w:p>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rPr>
          <w:snapToGrid w:val="0"/>
        </w:rPr>
      </w:pPr>
      <w:bookmarkStart w:id="206" w:name="_Toc141092810"/>
      <w:r>
        <w:rPr>
          <w:rStyle w:val="CharSectno"/>
        </w:rPr>
        <w:lastRenderedPageBreak/>
        <w:t>119</w:t>
      </w:r>
      <w:r>
        <w:rPr>
          <w:snapToGrid w:val="0"/>
        </w:rPr>
        <w:t>.</w:t>
      </w:r>
      <w:r>
        <w:rPr>
          <w:snapToGrid w:val="0"/>
        </w:rPr>
        <w:tab/>
        <w:t>Mortgagee may seek court order as to money recovered by mortgagor in action</w:t>
      </w:r>
      <w:bookmarkEnd w:id="206"/>
    </w:p>
    <w:p>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No. 113 of 1965 s. 4; No. 59 of 2004 s. 140; No. 19 of 2010 s. 51.]</w:t>
      </w:r>
    </w:p>
    <w:p>
      <w:pPr>
        <w:pStyle w:val="Heading5"/>
        <w:rPr>
          <w:snapToGrid w:val="0"/>
        </w:rPr>
      </w:pPr>
      <w:bookmarkStart w:id="207" w:name="_Toc141092811"/>
      <w:r>
        <w:rPr>
          <w:rStyle w:val="CharSectno"/>
        </w:rPr>
        <w:t>120</w:t>
      </w:r>
      <w:r>
        <w:rPr>
          <w:snapToGrid w:val="0"/>
        </w:rPr>
        <w:t>.</w:t>
      </w:r>
      <w:r>
        <w:rPr>
          <w:snapToGrid w:val="0"/>
        </w:rPr>
        <w:tab/>
        <w:t>Application of moneys obtained by mortgagee in action</w:t>
      </w:r>
      <w:bookmarkEnd w:id="207"/>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208" w:name="_Toc141092812"/>
      <w:r>
        <w:rPr>
          <w:rStyle w:val="CharSectno"/>
        </w:rPr>
        <w:t>121</w:t>
      </w:r>
      <w:r>
        <w:rPr>
          <w:snapToGrid w:val="0"/>
        </w:rPr>
        <w:t>.</w:t>
      </w:r>
      <w:r>
        <w:rPr>
          <w:snapToGrid w:val="0"/>
        </w:rPr>
        <w:tab/>
        <w:t>Foreclosure, application for order for</w:t>
      </w:r>
      <w:bookmarkEnd w:id="208"/>
    </w:p>
    <w:p>
      <w:pPr>
        <w:pStyle w:val="Subsection"/>
        <w:rPr>
          <w:snapToGrid w:val="0"/>
        </w:rPr>
      </w:pPr>
      <w:r>
        <w:rPr>
          <w:snapToGrid w:val="0"/>
        </w:rPr>
        <w:tab/>
        <w:t>(1)</w:t>
      </w:r>
      <w:r>
        <w:rPr>
          <w:snapToGrid w:val="0"/>
        </w:rPr>
        <w:tab/>
        <w:t xml:space="preserve">Whenever default has been made in payment of the principal or interest moneys secured by a mortgage and such default shall be </w:t>
      </w:r>
      <w:r>
        <w:rPr>
          <w:snapToGrid w:val="0"/>
        </w:rPr>
        <w:lastRenderedPageBreak/>
        <w:t>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60 Vict. No. 22 s. 3; No. 17 of 1950 s. 30; No. 81 of 1996 s. 68; No. 10 of 1998 s. 69(2); No. 19 of 2010 s. 51.]</w:t>
      </w:r>
    </w:p>
    <w:p>
      <w:pPr>
        <w:pStyle w:val="Heading5"/>
        <w:keepLines w:val="0"/>
        <w:rPr>
          <w:snapToGrid w:val="0"/>
        </w:rPr>
      </w:pPr>
      <w:bookmarkStart w:id="209" w:name="_Toc141092813"/>
      <w:r>
        <w:rPr>
          <w:rStyle w:val="CharSectno"/>
        </w:rPr>
        <w:t>122</w:t>
      </w:r>
      <w:r>
        <w:rPr>
          <w:snapToGrid w:val="0"/>
        </w:rPr>
        <w:t>.</w:t>
      </w:r>
      <w:r>
        <w:rPr>
          <w:snapToGrid w:val="0"/>
        </w:rPr>
        <w:tab/>
        <w:t>Application for foreclosure to be advertised</w:t>
      </w:r>
      <w:bookmarkEnd w:id="209"/>
    </w:p>
    <w:p>
      <w:pPr>
        <w:pStyle w:val="Subsection"/>
        <w:rPr>
          <w:snapToGrid w:val="0"/>
        </w:rPr>
      </w:pPr>
      <w:r>
        <w:rPr>
          <w:snapToGrid w:val="0"/>
        </w:rPr>
        <w:tab/>
      </w:r>
      <w:r>
        <w:rPr>
          <w:snapToGrid w:val="0"/>
        </w:rPr>
        <w:tab/>
        <w:t xml:space="preserve">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w:t>
      </w:r>
      <w:r>
        <w:rPr>
          <w:snapToGrid w:val="0"/>
        </w:rPr>
        <w:lastRenderedPageBreak/>
        <w:t>in the name of the mortgagee or the transferee as the proprietor of the land.</w:t>
      </w:r>
    </w:p>
    <w:p>
      <w:pPr>
        <w:pStyle w:val="Footnotesection"/>
        <w:keepLines w:val="0"/>
        <w:ind w:left="890" w:hanging="890"/>
      </w:pPr>
      <w:r>
        <w:tab/>
        <w:t>[Section 122 amended: No. 81 of 1996 s. 69 and 145(1).]</w:t>
      </w:r>
    </w:p>
    <w:p>
      <w:pPr>
        <w:pStyle w:val="Heading5"/>
        <w:rPr>
          <w:snapToGrid w:val="0"/>
        </w:rPr>
      </w:pPr>
      <w:bookmarkStart w:id="210" w:name="_Toc141092814"/>
      <w:r>
        <w:rPr>
          <w:rStyle w:val="CharSectno"/>
        </w:rPr>
        <w:t>123</w:t>
      </w:r>
      <w:r>
        <w:rPr>
          <w:snapToGrid w:val="0"/>
        </w:rPr>
        <w:t>.</w:t>
      </w:r>
      <w:r>
        <w:rPr>
          <w:snapToGrid w:val="0"/>
        </w:rPr>
        <w:tab/>
        <w:t>Discharge of mortgages and annuities</w:t>
      </w:r>
      <w:bookmarkEnd w:id="210"/>
    </w:p>
    <w:p>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No. 81 of 1996 s. 70 and 145(1); No. 6 of 2003 s. 39.]</w:t>
      </w:r>
    </w:p>
    <w:p>
      <w:pPr>
        <w:pStyle w:val="Heading5"/>
        <w:rPr>
          <w:snapToGrid w:val="0"/>
        </w:rPr>
      </w:pPr>
      <w:bookmarkStart w:id="211" w:name="_Toc141092815"/>
      <w:r>
        <w:rPr>
          <w:rStyle w:val="CharSectno"/>
        </w:rPr>
        <w:t>124</w:t>
      </w:r>
      <w:r>
        <w:rPr>
          <w:snapToGrid w:val="0"/>
        </w:rPr>
        <w:t>.</w:t>
      </w:r>
      <w:r>
        <w:rPr>
          <w:snapToGrid w:val="0"/>
        </w:rPr>
        <w:tab/>
        <w:t>Mortgages etc. made before land brought under this Act</w:t>
      </w:r>
      <w:bookmarkEnd w:id="211"/>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w:t>
      </w:r>
      <w:r>
        <w:rPr>
          <w:snapToGrid w:val="0"/>
        </w:rPr>
        <w:lastRenderedPageBreak/>
        <w:t>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2 Edw. VII. No. 10 s. 5; No. 81 of 1996 s. 71.]</w:t>
      </w:r>
    </w:p>
    <w:p>
      <w:pPr>
        <w:pStyle w:val="Heading5"/>
        <w:rPr>
          <w:snapToGrid w:val="0"/>
        </w:rPr>
      </w:pPr>
      <w:bookmarkStart w:id="212" w:name="_Toc141092816"/>
      <w:r>
        <w:rPr>
          <w:rStyle w:val="CharSectno"/>
        </w:rPr>
        <w:t>125</w:t>
      </w:r>
      <w:r>
        <w:rPr>
          <w:snapToGrid w:val="0"/>
        </w:rPr>
        <w:t>.</w:t>
      </w:r>
      <w:r>
        <w:rPr>
          <w:snapToGrid w:val="0"/>
        </w:rPr>
        <w:tab/>
        <w:t>Entry of satisfaction of annuity</w:t>
      </w:r>
      <w:bookmarkEnd w:id="212"/>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No. 17 of 1950 s. 31; No. 81 of 1996 s. 145(1); No. 6 of 2003 s. 40.]</w:t>
      </w:r>
    </w:p>
    <w:p>
      <w:pPr>
        <w:pStyle w:val="Heading5"/>
        <w:spacing w:before="180"/>
        <w:rPr>
          <w:snapToGrid w:val="0"/>
        </w:rPr>
      </w:pPr>
      <w:bookmarkStart w:id="213" w:name="_Toc141092817"/>
      <w:r>
        <w:rPr>
          <w:rStyle w:val="CharSectno"/>
        </w:rPr>
        <w:t>126</w:t>
      </w:r>
      <w:r>
        <w:rPr>
          <w:snapToGrid w:val="0"/>
        </w:rPr>
        <w:t>.</w:t>
      </w:r>
      <w:r>
        <w:rPr>
          <w:snapToGrid w:val="0"/>
        </w:rPr>
        <w:tab/>
        <w:t>Payments under and discharge of mortgages when mortgagee absent from State etc.</w:t>
      </w:r>
      <w:bookmarkEnd w:id="213"/>
    </w:p>
    <w:p>
      <w:pPr>
        <w:pStyle w:val="Subsection"/>
        <w:spacing w:before="120"/>
        <w:rPr>
          <w:snapToGrid w:val="0"/>
        </w:rPr>
      </w:pPr>
      <w:r>
        <w:rPr>
          <w:snapToGrid w:val="0"/>
        </w:rPr>
        <w:tab/>
        <w:t>(1)</w:t>
      </w:r>
      <w:r>
        <w:rPr>
          <w:snapToGrid w:val="0"/>
        </w:rPr>
        <w:tab/>
        <w:t xml:space="preserve">In case a mortgagee or his transferee shall be absent from Western Australia and there be no person authorised to give a </w:t>
      </w:r>
      <w:r>
        <w:rPr>
          <w:snapToGrid w:val="0"/>
        </w:rPr>
        <w:lastRenderedPageBreak/>
        <w:t>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spacing w:before="120"/>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lastRenderedPageBreak/>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No. 6 of 1946 s. 2; No. 17 of 1950 s. 32; No. 6 of 1993 s. 11; No. 81 of 1996 s. 72 and 145(1); No. 6 of 2003 s. 41; No. 77 of 2006 s. 4; No. 19 of 2010 s. 51.]</w:t>
      </w:r>
    </w:p>
    <w:p>
      <w:pPr>
        <w:pStyle w:val="Heading5"/>
      </w:pPr>
      <w:bookmarkStart w:id="214" w:name="_Toc141092818"/>
      <w:r>
        <w:rPr>
          <w:rStyle w:val="CharSectno"/>
        </w:rPr>
        <w:t>127A</w:t>
      </w:r>
      <w:r>
        <w:t>.</w:t>
      </w:r>
      <w:r>
        <w:tab/>
        <w:t>Subsequent mortgages or charges</w:t>
      </w:r>
      <w:bookmarkEnd w:id="214"/>
    </w:p>
    <w:p>
      <w:pPr>
        <w:pStyle w:val="Subsection"/>
        <w:keepNext/>
      </w:pPr>
      <w:r>
        <w:tab/>
        <w:t>(1)</w:t>
      </w:r>
      <w:r>
        <w:tab/>
        <w:t xml:space="preserve">In this section — </w:t>
      </w:r>
    </w:p>
    <w:p>
      <w:pPr>
        <w:pStyle w:val="Defstart"/>
      </w:pPr>
      <w:r>
        <w:tab/>
      </w:r>
      <w:r>
        <w:rPr>
          <w:rStyle w:val="CharDefText"/>
        </w:rPr>
        <w:t>mortgage</w:t>
      </w:r>
      <w:r>
        <w:t xml:space="preserve"> includes a charge;</w:t>
      </w:r>
    </w:p>
    <w:p>
      <w:pPr>
        <w:pStyle w:val="Defstart"/>
      </w:pPr>
      <w:r>
        <w:tab/>
      </w:r>
      <w:r>
        <w:rPr>
          <w:rStyle w:val="CharDefText"/>
        </w:rPr>
        <w:t>mortgagee</w:t>
      </w:r>
      <w:r>
        <w:t xml:space="preserve"> includes an annuitant.</w:t>
      </w:r>
    </w:p>
    <w:p>
      <w:pPr>
        <w:pStyle w:val="Subsection"/>
      </w:pPr>
      <w:r>
        <w:tab/>
        <w:t>(2)</w:t>
      </w:r>
      <w:r>
        <w:tab/>
        <w:t>If any land under the operation of this Act is subject to a mortgage, the registration of a subsequent mortgage does not require the consent of the existing mortgagee.</w:t>
      </w:r>
    </w:p>
    <w:p>
      <w:pPr>
        <w:pStyle w:val="Subsection"/>
      </w:pPr>
      <w:r>
        <w:lastRenderedPageBreak/>
        <w:tab/>
        <w:t>(3)</w:t>
      </w:r>
      <w:r>
        <w:tab/>
        <w:t xml:space="preserve">If any land under the operation of this Act is subject to a mortgage, the execution or attempted execution of a subsequent mortgage does not — </w:t>
      </w:r>
    </w:p>
    <w:p>
      <w:pPr>
        <w:pStyle w:val="Indenta"/>
      </w:pPr>
      <w:r>
        <w:tab/>
        <w:t>(a)</w:t>
      </w:r>
      <w:r>
        <w:tab/>
        <w:t>constitute a breach of any term, covenant or condition contained in the existing mortgage; or</w:t>
      </w:r>
    </w:p>
    <w:p>
      <w:pPr>
        <w:pStyle w:val="Indenta"/>
      </w:pPr>
      <w:r>
        <w:tab/>
        <w:t>(b)</w:t>
      </w:r>
      <w:r>
        <w:tab/>
        <w:t>give rise to any forfeiture or penalty; or</w:t>
      </w:r>
    </w:p>
    <w:p>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Subsection"/>
      </w:pPr>
      <w:r>
        <w:tab/>
        <w:t>(4)</w:t>
      </w:r>
      <w:r>
        <w:tab/>
        <w:t>This section has effect despite any provision to the contrary in any mortgage.</w:t>
      </w:r>
    </w:p>
    <w:p>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Footnotesection"/>
        <w:spacing w:before="100"/>
        <w:ind w:left="890" w:hanging="890"/>
      </w:pPr>
      <w:r>
        <w:tab/>
        <w:t>[Section 127A inserted: No. 2 of 2014 s. 74.]</w:t>
      </w:r>
    </w:p>
    <w:p>
      <w:pPr>
        <w:pStyle w:val="Heading5"/>
        <w:spacing w:before="180"/>
        <w:rPr>
          <w:snapToGrid w:val="0"/>
        </w:rPr>
      </w:pPr>
      <w:bookmarkStart w:id="215" w:name="_Toc141092819"/>
      <w:r>
        <w:rPr>
          <w:rStyle w:val="CharSectno"/>
        </w:rPr>
        <w:t>127</w:t>
      </w:r>
      <w:r>
        <w:rPr>
          <w:snapToGrid w:val="0"/>
        </w:rPr>
        <w:t>.</w:t>
      </w:r>
      <w:r>
        <w:rPr>
          <w:snapToGrid w:val="0"/>
        </w:rPr>
        <w:tab/>
        <w:t>First mortgagee to produce title for registration of subsequent instrument</w:t>
      </w:r>
      <w:bookmarkEnd w:id="215"/>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216" w:name="_Toc141092820"/>
      <w:r>
        <w:rPr>
          <w:rStyle w:val="CharSectno"/>
        </w:rPr>
        <w:lastRenderedPageBreak/>
        <w:t>128</w:t>
      </w:r>
      <w:r>
        <w:rPr>
          <w:snapToGrid w:val="0"/>
        </w:rPr>
        <w:t>.</w:t>
      </w:r>
      <w:r>
        <w:rPr>
          <w:snapToGrid w:val="0"/>
        </w:rPr>
        <w:tab/>
        <w:t>Land brought under this Act subject to mortgage, rights of mortgagee etc.</w:t>
      </w:r>
      <w:bookmarkEnd w:id="216"/>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rPr>
          <w:snapToGrid w:val="0"/>
        </w:rPr>
      </w:pPr>
      <w:bookmarkStart w:id="217" w:name="_Toc141092821"/>
      <w:r>
        <w:rPr>
          <w:rStyle w:val="CharSectno"/>
        </w:rPr>
        <w:t>128A</w:t>
      </w:r>
      <w:r>
        <w:rPr>
          <w:snapToGrid w:val="0"/>
        </w:rPr>
        <w:t>.</w:t>
      </w:r>
      <w:r>
        <w:rPr>
          <w:snapToGrid w:val="0"/>
        </w:rPr>
        <w:tab/>
        <w:t>Another mortgagee may tender payment</w:t>
      </w:r>
      <w:bookmarkEnd w:id="217"/>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No. 17 of 1950 s. 33.]</w:t>
      </w:r>
    </w:p>
    <w:p>
      <w:pPr>
        <w:pStyle w:val="Ednotesection"/>
        <w:spacing w:before="240"/>
        <w:ind w:left="890" w:hanging="890"/>
      </w:pPr>
      <w:r>
        <w:t>[</w:t>
      </w:r>
      <w:r>
        <w:rPr>
          <w:b/>
        </w:rPr>
        <w:t>129.</w:t>
      </w:r>
      <w:r>
        <w:tab/>
        <w:t>Deleted: No. 26 of 1999 s. 106(4).]</w:t>
      </w:r>
    </w:p>
    <w:p>
      <w:pPr>
        <w:pStyle w:val="Heading3"/>
      </w:pPr>
      <w:bookmarkStart w:id="218" w:name="_Toc141092439"/>
      <w:bookmarkStart w:id="219" w:name="_Toc141092822"/>
      <w:r>
        <w:rPr>
          <w:rStyle w:val="CharDivNo"/>
        </w:rPr>
        <w:t>Division 3A</w:t>
      </w:r>
      <w:r>
        <w:rPr>
          <w:snapToGrid w:val="0"/>
        </w:rPr>
        <w:t> — </w:t>
      </w:r>
      <w:r>
        <w:rPr>
          <w:rStyle w:val="CharDivText"/>
        </w:rPr>
        <w:t>Restrictive covenants and the modification, discharge and enforcement of restrictive covenants and easements</w:t>
      </w:r>
      <w:bookmarkEnd w:id="218"/>
      <w:bookmarkEnd w:id="219"/>
    </w:p>
    <w:p>
      <w:pPr>
        <w:pStyle w:val="Footnoteheading"/>
        <w:spacing w:before="160"/>
        <w:rPr>
          <w:snapToGrid w:val="0"/>
        </w:rPr>
      </w:pPr>
      <w:r>
        <w:rPr>
          <w:snapToGrid w:val="0"/>
        </w:rPr>
        <w:tab/>
        <w:t>[Heading inserted: No. 81 of 1996 s. 73.]</w:t>
      </w:r>
    </w:p>
    <w:p>
      <w:pPr>
        <w:pStyle w:val="Heading5"/>
        <w:rPr>
          <w:snapToGrid w:val="0"/>
        </w:rPr>
      </w:pPr>
      <w:bookmarkStart w:id="220" w:name="_Toc141092823"/>
      <w:r>
        <w:rPr>
          <w:rStyle w:val="CharSectno"/>
        </w:rPr>
        <w:lastRenderedPageBreak/>
        <w:t>129A</w:t>
      </w:r>
      <w:r>
        <w:rPr>
          <w:snapToGrid w:val="0"/>
        </w:rPr>
        <w:t>.</w:t>
      </w:r>
      <w:r>
        <w:rPr>
          <w:snapToGrid w:val="0"/>
        </w:rPr>
        <w:tab/>
        <w:t>Creation of restrictive covenants</w:t>
      </w:r>
      <w:bookmarkEnd w:id="220"/>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Subsection"/>
      </w:pPr>
      <w:r>
        <w:lastRenderedPageBreak/>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pPr>
        <w:pStyle w:val="Footnotesection"/>
        <w:ind w:left="890" w:hanging="890"/>
      </w:pPr>
      <w:r>
        <w:tab/>
        <w:t>[Section 129A inserted: No. 17 of 1950 s. 34; amended: No. 81 of 1996 s. 74; No. 56 of 2003 s. 16; No. 2 of 2014 s. 75; No. 30 of 2018 s. 199; No. 32 of 2018 s. 255.]</w:t>
      </w:r>
    </w:p>
    <w:p>
      <w:pPr>
        <w:pStyle w:val="Heading5"/>
        <w:keepLines w:val="0"/>
        <w:rPr>
          <w:snapToGrid w:val="0"/>
        </w:rPr>
      </w:pPr>
      <w:bookmarkStart w:id="221" w:name="_Toc141092824"/>
      <w:r>
        <w:rPr>
          <w:rStyle w:val="CharSectno"/>
        </w:rPr>
        <w:t>129B</w:t>
      </w:r>
      <w:r>
        <w:rPr>
          <w:snapToGrid w:val="0"/>
        </w:rPr>
        <w:t>.</w:t>
      </w:r>
      <w:r>
        <w:rPr>
          <w:snapToGrid w:val="0"/>
        </w:rPr>
        <w:tab/>
        <w:t>Discharge and modification of restrictive covenants</w:t>
      </w:r>
      <w:bookmarkEnd w:id="221"/>
    </w:p>
    <w:p>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keepNext/>
        <w:rPr>
          <w:snapToGrid w:val="0"/>
        </w:rPr>
      </w:pPr>
      <w:r>
        <w:rPr>
          <w:snapToGrid w:val="0"/>
        </w:rPr>
        <w:tab/>
        <w:t>(b)</w:t>
      </w:r>
      <w:r>
        <w:rPr>
          <w:snapToGrid w:val="0"/>
        </w:rPr>
        <w:tab/>
        <w:t>Part IVA shall be in accordance with section 136J.</w:t>
      </w:r>
    </w:p>
    <w:p>
      <w:pPr>
        <w:pStyle w:val="Footnotesection"/>
        <w:spacing w:before="80"/>
        <w:ind w:left="890" w:hanging="890"/>
      </w:pPr>
      <w:r>
        <w:tab/>
        <w:t>[Section 129B inserted: No. 17 of 1950 s. 34; amended: No. 81 of 1996 s. 75.]</w:t>
      </w:r>
    </w:p>
    <w:p>
      <w:pPr>
        <w:pStyle w:val="Heading5"/>
        <w:spacing w:before="180"/>
        <w:rPr>
          <w:snapToGrid w:val="0"/>
        </w:rPr>
      </w:pPr>
      <w:bookmarkStart w:id="222" w:name="_Toc141092825"/>
      <w:r>
        <w:rPr>
          <w:rStyle w:val="CharSectno"/>
        </w:rPr>
        <w:lastRenderedPageBreak/>
        <w:t>129BA</w:t>
      </w:r>
      <w:r>
        <w:rPr>
          <w:snapToGrid w:val="0"/>
        </w:rPr>
        <w:t>.</w:t>
      </w:r>
      <w:r>
        <w:rPr>
          <w:snapToGrid w:val="0"/>
        </w:rPr>
        <w:tab/>
        <w:t>Restrictive covenants benefiting local governments and public authorities</w:t>
      </w:r>
      <w:bookmarkEnd w:id="222"/>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No. 81 of 1996 s. 76.]</w:t>
      </w:r>
    </w:p>
    <w:p>
      <w:pPr>
        <w:pStyle w:val="Heading5"/>
        <w:keepLines w:val="0"/>
        <w:spacing w:before="180"/>
      </w:pPr>
      <w:bookmarkStart w:id="223" w:name="_Toc141092826"/>
      <w:r>
        <w:rPr>
          <w:rStyle w:val="CharSectno"/>
        </w:rPr>
        <w:t>129BB</w:t>
      </w:r>
      <w:r>
        <w:t>.</w:t>
      </w:r>
      <w:r>
        <w:tab/>
        <w:t>Discharge and modification of s. 129BA covenants</w:t>
      </w:r>
      <w:bookmarkEnd w:id="223"/>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keepNext/>
        <w:spacing w:before="100"/>
        <w:rPr>
          <w:snapToGrid w:val="0"/>
        </w:rPr>
      </w:pPr>
      <w:r>
        <w:rPr>
          <w:snapToGrid w:val="0"/>
        </w:rPr>
        <w:lastRenderedPageBreak/>
        <w:tab/>
        <w:t>(2)</w:t>
      </w:r>
      <w:r>
        <w:rPr>
          <w:snapToGrid w:val="0"/>
        </w:rPr>
        <w:tab/>
        <w:t xml:space="preserve">An application </w:t>
      </w:r>
      <w:r>
        <w:t>under</w:t>
      </w:r>
      <w:r>
        <w:rPr>
          <w:snapToGrid w:val="0"/>
        </w:rPr>
        <w:t xml:space="preserve">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 xml:space="preserve">the </w:t>
      </w:r>
      <w:r>
        <w:t>relevant</w:t>
      </w:r>
      <w:r>
        <w:rPr>
          <w:snapToGrid w:val="0"/>
        </w:rPr>
        <w:t xml:space="preserve"> authority; and</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 xml:space="preserve">the applicant’s address for service of notices of objection to the proposed </w:t>
      </w:r>
      <w:r>
        <w:rPr>
          <w:snapToGrid w:val="0"/>
        </w:rPr>
        <w:lastRenderedPageBreak/>
        <w:t>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ind w:left="890" w:hanging="890"/>
      </w:pPr>
      <w:r>
        <w:tab/>
        <w:t>[Section 129BB inserted: No. 81 of 1996 s. 76.]</w:t>
      </w:r>
    </w:p>
    <w:p>
      <w:pPr>
        <w:pStyle w:val="Heading5"/>
        <w:keepNext w:val="0"/>
        <w:keepLines w:val="0"/>
        <w:spacing w:before="240"/>
        <w:rPr>
          <w:snapToGrid w:val="0"/>
        </w:rPr>
      </w:pPr>
      <w:bookmarkStart w:id="224" w:name="_Toc141092827"/>
      <w:r>
        <w:rPr>
          <w:rStyle w:val="CharSectno"/>
        </w:rPr>
        <w:t>129C</w:t>
      </w:r>
      <w:r>
        <w:rPr>
          <w:snapToGrid w:val="0"/>
        </w:rPr>
        <w:t>.</w:t>
      </w:r>
      <w:r>
        <w:rPr>
          <w:snapToGrid w:val="0"/>
        </w:rPr>
        <w:tab/>
        <w:t>Supreme Court’s powers as to easements etc.</w:t>
      </w:r>
      <w:bookmarkEnd w:id="224"/>
    </w:p>
    <w:p>
      <w:pPr>
        <w:pStyle w:val="Subsection"/>
        <w:rPr>
          <w:snapToGrid w:val="0"/>
        </w:rPr>
      </w:pPr>
      <w:r>
        <w:rPr>
          <w:snapToGrid w:val="0"/>
        </w:rPr>
        <w:lastRenderedPageBreak/>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keepNext/>
      </w:pPr>
      <w:r>
        <w:lastRenderedPageBreak/>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lastRenderedPageBreak/>
        <w:tab/>
        <w:t>(1d)</w:t>
      </w:r>
      <w:r>
        <w:tab/>
        <w:t>In subsection (1a), (1b) and (1c) —</w:t>
      </w:r>
    </w:p>
    <w:p>
      <w:pPr>
        <w:pStyle w:val="Defstart"/>
      </w:pPr>
      <w:r>
        <w:tab/>
      </w:r>
      <w:r>
        <w:rPr>
          <w:rStyle w:val="CharDefText"/>
        </w:rPr>
        <w:t>lot</w:t>
      </w:r>
      <w:r>
        <w:t xml:space="preserve"> means a parcel of land that is shown on a plan (as defined in section 136A) as a lot;</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 xml:space="preserve">Notice of any application under this section shall, if the court or a judge so directs, be given to the local government of the district in which the land is situated and to such other persons and in such manner whether by advertisement or otherwise as </w:t>
      </w:r>
      <w:r>
        <w:rPr>
          <w:snapToGrid w:val="0"/>
        </w:rPr>
        <w:lastRenderedPageBreak/>
        <w:t>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No. 17 of 1950 s. 34; amended: No. 14 of 1972 s. 4; No. 14 of 1996, s. 4; No. 81 of 1996 s. 77 and 145(1) and (2); No. 31 of 1997 s. 113; No. 3 of 1999 s. 4; No. 30 of 2018 s. 200.]</w:t>
      </w:r>
    </w:p>
    <w:p>
      <w:pPr>
        <w:pStyle w:val="Heading3"/>
        <w:keepNext w:val="0"/>
      </w:pPr>
      <w:bookmarkStart w:id="225" w:name="_Toc141092445"/>
      <w:bookmarkStart w:id="226" w:name="_Toc141092828"/>
      <w:r>
        <w:rPr>
          <w:rStyle w:val="CharDivNo"/>
        </w:rPr>
        <w:t>Division 4</w:t>
      </w:r>
      <w:r>
        <w:rPr>
          <w:snapToGrid w:val="0"/>
        </w:rPr>
        <w:t> — </w:t>
      </w:r>
      <w:r>
        <w:rPr>
          <w:rStyle w:val="CharDivText"/>
        </w:rPr>
        <w:t>Miscellaneous</w:t>
      </w:r>
      <w:bookmarkEnd w:id="225"/>
      <w:bookmarkEnd w:id="226"/>
    </w:p>
    <w:p>
      <w:pPr>
        <w:pStyle w:val="Heading5"/>
        <w:spacing w:before="200"/>
        <w:rPr>
          <w:snapToGrid w:val="0"/>
        </w:rPr>
      </w:pPr>
      <w:bookmarkStart w:id="227" w:name="_Toc141092829"/>
      <w:r>
        <w:rPr>
          <w:rStyle w:val="CharSectno"/>
        </w:rPr>
        <w:lastRenderedPageBreak/>
        <w:t>130</w:t>
      </w:r>
      <w:r>
        <w:rPr>
          <w:snapToGrid w:val="0"/>
        </w:rPr>
        <w:t>.</w:t>
      </w:r>
      <w:r>
        <w:rPr>
          <w:snapToGrid w:val="0"/>
        </w:rPr>
        <w:tab/>
        <w:t>Seal of corporation substitute for signature</w:t>
      </w:r>
      <w:bookmarkEnd w:id="227"/>
    </w:p>
    <w:p>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80"/>
        <w:ind w:left="890" w:hanging="890"/>
      </w:pPr>
      <w:r>
        <w:tab/>
        <w:t>[Section 130 amended: No. 19 of 2010 s. 51.]</w:t>
      </w:r>
    </w:p>
    <w:p>
      <w:pPr>
        <w:pStyle w:val="Heading5"/>
        <w:spacing w:before="180"/>
        <w:rPr>
          <w:snapToGrid w:val="0"/>
        </w:rPr>
      </w:pPr>
      <w:bookmarkStart w:id="228" w:name="_Toc141092830"/>
      <w:r>
        <w:rPr>
          <w:rStyle w:val="CharSectno"/>
        </w:rPr>
        <w:t>131</w:t>
      </w:r>
      <w:r>
        <w:rPr>
          <w:snapToGrid w:val="0"/>
        </w:rPr>
        <w:t>.</w:t>
      </w:r>
      <w:r>
        <w:rPr>
          <w:snapToGrid w:val="0"/>
        </w:rPr>
        <w:tab/>
        <w:t>Implied covenants and powers may be modified or negatived</w:t>
      </w:r>
      <w:bookmarkEnd w:id="228"/>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80"/>
        <w:ind w:left="890" w:hanging="890"/>
      </w:pPr>
      <w:r>
        <w:tab/>
        <w:t>[Section 131 amended: No. 17 of 1950 s. 35.]</w:t>
      </w:r>
    </w:p>
    <w:p>
      <w:pPr>
        <w:pStyle w:val="Ednotesection"/>
      </w:pPr>
      <w:r>
        <w:lastRenderedPageBreak/>
        <w:t>[</w:t>
      </w:r>
      <w:r>
        <w:rPr>
          <w:b/>
        </w:rPr>
        <w:t>132.</w:t>
      </w:r>
      <w:r>
        <w:tab/>
        <w:t>Deleted: No. 17 of 1950 s. 36.]</w:t>
      </w:r>
    </w:p>
    <w:p>
      <w:pPr>
        <w:pStyle w:val="Heading5"/>
      </w:pPr>
      <w:bookmarkStart w:id="229" w:name="_Toc141092831"/>
      <w:r>
        <w:rPr>
          <w:rStyle w:val="CharSectno"/>
        </w:rPr>
        <w:t>133</w:t>
      </w:r>
      <w:r>
        <w:t>.</w:t>
      </w:r>
      <w:r>
        <w:tab/>
        <w:t>Property (seizure and sale) order, registration of etc.</w:t>
      </w:r>
      <w:bookmarkEnd w:id="229"/>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lastRenderedPageBreak/>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 xml:space="preserve">s dealing in relation to the interest is not valid as against </w:t>
      </w:r>
      <w:r>
        <w:lastRenderedPageBreak/>
        <w:t>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lastRenderedPageBreak/>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lastRenderedPageBreak/>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lastRenderedPageBreak/>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No. 59 of 2004 s. 138; amended: No. 5 of 2008 s. 122.]</w:t>
      </w:r>
    </w:p>
    <w:p>
      <w:pPr>
        <w:pStyle w:val="Heading5"/>
        <w:rPr>
          <w:snapToGrid w:val="0"/>
        </w:rPr>
      </w:pPr>
      <w:bookmarkStart w:id="230" w:name="_Toc141092832"/>
      <w:r>
        <w:rPr>
          <w:rStyle w:val="CharSectno"/>
        </w:rPr>
        <w:t>134</w:t>
      </w:r>
      <w:r>
        <w:rPr>
          <w:snapToGrid w:val="0"/>
        </w:rPr>
        <w:t>.</w:t>
      </w:r>
      <w:r>
        <w:rPr>
          <w:snapToGrid w:val="0"/>
        </w:rPr>
        <w:tab/>
        <w:t>Purchaser from registered proprietor not required to inquire into title and not affected by notice of unregistered interest etc.</w:t>
      </w:r>
      <w:bookmarkEnd w:id="230"/>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 xml:space="preserve">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w:t>
      </w:r>
      <w:r>
        <w:rPr>
          <w:snapToGrid w:val="0"/>
        </w:rPr>
        <w:lastRenderedPageBreak/>
        <w:t>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No. 17 of 1950 s. 37; No. 81 of 1996 s. 145(1); No. 31 of 1997 s. 114.]</w:t>
      </w:r>
    </w:p>
    <w:p>
      <w:pPr>
        <w:pStyle w:val="Heading5"/>
        <w:rPr>
          <w:snapToGrid w:val="0"/>
        </w:rPr>
      </w:pPr>
      <w:bookmarkStart w:id="231" w:name="_Toc141092833"/>
      <w:r>
        <w:rPr>
          <w:rStyle w:val="CharSectno"/>
        </w:rPr>
        <w:t>135</w:t>
      </w:r>
      <w:r>
        <w:rPr>
          <w:snapToGrid w:val="0"/>
        </w:rPr>
        <w:t>.</w:t>
      </w:r>
      <w:r>
        <w:rPr>
          <w:snapToGrid w:val="0"/>
        </w:rPr>
        <w:tab/>
        <w:t>Transferee of tenant in tail may be registered for larger estate which tenant in tail can confer</w:t>
      </w:r>
      <w:bookmarkEnd w:id="231"/>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No. 81 of 1996 s. 79.]</w:t>
      </w:r>
    </w:p>
    <w:p>
      <w:pPr>
        <w:pStyle w:val="Heading5"/>
        <w:rPr>
          <w:snapToGrid w:val="0"/>
        </w:rPr>
      </w:pPr>
      <w:bookmarkStart w:id="232" w:name="_Toc141092834"/>
      <w:r>
        <w:rPr>
          <w:rStyle w:val="CharSectno"/>
        </w:rPr>
        <w:t>136</w:t>
      </w:r>
      <w:r>
        <w:rPr>
          <w:snapToGrid w:val="0"/>
        </w:rPr>
        <w:t>.</w:t>
      </w:r>
      <w:r>
        <w:rPr>
          <w:snapToGrid w:val="0"/>
        </w:rPr>
        <w:tab/>
        <w:t>Registrar to furnish plan showing land dealt with where memorandum on certificate does not describe the land</w:t>
      </w:r>
      <w:bookmarkEnd w:id="232"/>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keepNext/>
        <w:keepLines/>
        <w:rPr>
          <w:snapToGrid w:val="0"/>
        </w:rPr>
      </w:pPr>
      <w:r>
        <w:rPr>
          <w:snapToGrid w:val="0"/>
        </w:rPr>
        <w:lastRenderedPageBreak/>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No. 81 of 1996 s. 80; No. 6 of 2003 s. 42; No. 19 of 2010 s. 51.]</w:t>
      </w:r>
    </w:p>
    <w:p>
      <w:pPr>
        <w:pStyle w:val="Heading2"/>
      </w:pPr>
      <w:bookmarkStart w:id="233" w:name="_Toc141092452"/>
      <w:bookmarkStart w:id="234" w:name="_Toc141092835"/>
      <w:r>
        <w:rPr>
          <w:rStyle w:val="CharPartNo"/>
        </w:rPr>
        <w:lastRenderedPageBreak/>
        <w:t>Part IVA</w:t>
      </w:r>
      <w:r>
        <w:rPr>
          <w:rStyle w:val="CharDivNo"/>
        </w:rPr>
        <w:t> </w:t>
      </w:r>
      <w:r>
        <w:t>—</w:t>
      </w:r>
      <w:r>
        <w:rPr>
          <w:rStyle w:val="CharDivText"/>
        </w:rPr>
        <w:t> </w:t>
      </w:r>
      <w:r>
        <w:rPr>
          <w:rStyle w:val="CharPartText"/>
        </w:rPr>
        <w:t>Creation of easements and restrictive covenants by notations on subdivision plans and diagrams</w:t>
      </w:r>
      <w:bookmarkEnd w:id="233"/>
      <w:bookmarkEnd w:id="234"/>
    </w:p>
    <w:p>
      <w:pPr>
        <w:pStyle w:val="Footnoteheading"/>
        <w:rPr>
          <w:snapToGrid w:val="0"/>
        </w:rPr>
      </w:pPr>
      <w:r>
        <w:rPr>
          <w:snapToGrid w:val="0"/>
        </w:rPr>
        <w:tab/>
        <w:t>[Heading inserted: No. 81 of 1996 s. 81.]</w:t>
      </w:r>
    </w:p>
    <w:p>
      <w:pPr>
        <w:pStyle w:val="Heading5"/>
        <w:spacing w:before="180"/>
        <w:rPr>
          <w:snapToGrid w:val="0"/>
        </w:rPr>
      </w:pPr>
      <w:bookmarkStart w:id="235" w:name="_Toc141092836"/>
      <w:r>
        <w:rPr>
          <w:rStyle w:val="CharSectno"/>
        </w:rPr>
        <w:t>136A</w:t>
      </w:r>
      <w:r>
        <w:rPr>
          <w:snapToGrid w:val="0"/>
        </w:rPr>
        <w:t>.</w:t>
      </w:r>
      <w:r>
        <w:rPr>
          <w:snapToGrid w:val="0"/>
        </w:rPr>
        <w:tab/>
        <w:t>Term used: plan</w:t>
      </w:r>
      <w:bookmarkEnd w:id="235"/>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pPr>
      <w:r>
        <w:tab/>
        <w:t>(ab)</w:t>
      </w:r>
      <w:r>
        <w:tab/>
        <w:t xml:space="preserve">a scheme plan lodged for registration under the </w:t>
      </w:r>
      <w:r>
        <w:rPr>
          <w:i/>
        </w:rPr>
        <w:t>Community Titles Act 2018</w:t>
      </w:r>
      <w:r>
        <w:t>; or</w:t>
      </w:r>
    </w:p>
    <w:p>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No. 81 of 1996 s. 81; amended: No. 31 of 1997 s. 115; No. 30 of 2018 s. 201; No. 32 of 2018 s. 256.]</w:t>
      </w:r>
    </w:p>
    <w:p>
      <w:pPr>
        <w:pStyle w:val="Heading5"/>
        <w:spacing w:before="180"/>
        <w:rPr>
          <w:snapToGrid w:val="0"/>
        </w:rPr>
      </w:pPr>
      <w:bookmarkStart w:id="236" w:name="_Toc141092837"/>
      <w:r>
        <w:rPr>
          <w:rStyle w:val="CharSectno"/>
        </w:rPr>
        <w:t>136B</w:t>
      </w:r>
      <w:r>
        <w:rPr>
          <w:snapToGrid w:val="0"/>
        </w:rPr>
        <w:t>.</w:t>
      </w:r>
      <w:r>
        <w:rPr>
          <w:snapToGrid w:val="0"/>
        </w:rPr>
        <w:tab/>
        <w:t>Application of this Part</w:t>
      </w:r>
      <w:bookmarkEnd w:id="236"/>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No. 81 of 1996 s. 81.]</w:t>
      </w:r>
    </w:p>
    <w:p>
      <w:pPr>
        <w:pStyle w:val="Heading5"/>
        <w:rPr>
          <w:snapToGrid w:val="0"/>
        </w:rPr>
      </w:pPr>
      <w:bookmarkStart w:id="237" w:name="_Toc141092838"/>
      <w:r>
        <w:rPr>
          <w:rStyle w:val="CharSectno"/>
        </w:rPr>
        <w:t>136C</w:t>
      </w:r>
      <w:r>
        <w:rPr>
          <w:snapToGrid w:val="0"/>
        </w:rPr>
        <w:t>.</w:t>
      </w:r>
      <w:r>
        <w:rPr>
          <w:snapToGrid w:val="0"/>
        </w:rPr>
        <w:tab/>
        <w:t>Notation of easements on subdivision plans</w:t>
      </w:r>
      <w:bookmarkEnd w:id="237"/>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rPr>
          <w:snapToGrid w:val="0"/>
        </w:rPr>
      </w:pPr>
      <w:r>
        <w:rPr>
          <w:snapToGrid w:val="0"/>
        </w:rPr>
        <w:lastRenderedPageBreak/>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No. 81 of 1996 s. 81; amended: No. 6 of 2003 s. 44.]</w:t>
      </w:r>
    </w:p>
    <w:p>
      <w:pPr>
        <w:pStyle w:val="Heading5"/>
        <w:rPr>
          <w:snapToGrid w:val="0"/>
        </w:rPr>
      </w:pPr>
      <w:bookmarkStart w:id="238" w:name="_Toc141092839"/>
      <w:r>
        <w:rPr>
          <w:rStyle w:val="CharSectno"/>
        </w:rPr>
        <w:t>136D</w:t>
      </w:r>
      <w:r>
        <w:rPr>
          <w:snapToGrid w:val="0"/>
        </w:rPr>
        <w:t>.</w:t>
      </w:r>
      <w:r>
        <w:rPr>
          <w:snapToGrid w:val="0"/>
        </w:rPr>
        <w:tab/>
        <w:t>Notation of restrictive covenants on subdivision plans</w:t>
      </w:r>
      <w:bookmarkEnd w:id="238"/>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lastRenderedPageBreak/>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No. 81 of 1996 s. 81; amended: No. 6 of 2003 s. 45.]</w:t>
      </w:r>
    </w:p>
    <w:p>
      <w:pPr>
        <w:pStyle w:val="Heading5"/>
        <w:rPr>
          <w:snapToGrid w:val="0"/>
        </w:rPr>
      </w:pPr>
      <w:bookmarkStart w:id="239" w:name="_Toc141092840"/>
      <w:r>
        <w:rPr>
          <w:rStyle w:val="CharSectno"/>
        </w:rPr>
        <w:t>136E</w:t>
      </w:r>
      <w:r>
        <w:rPr>
          <w:snapToGrid w:val="0"/>
        </w:rPr>
        <w:t>.</w:t>
      </w:r>
      <w:r>
        <w:rPr>
          <w:snapToGrid w:val="0"/>
        </w:rPr>
        <w:tab/>
        <w:t>Consent of certain persons required to creation of easements and restrictive covenants</w:t>
      </w:r>
      <w:bookmarkEnd w:id="239"/>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No. 81 of 1996 s. 81.]</w:t>
      </w:r>
    </w:p>
    <w:p>
      <w:pPr>
        <w:pStyle w:val="Heading5"/>
        <w:rPr>
          <w:snapToGrid w:val="0"/>
        </w:rPr>
      </w:pPr>
      <w:bookmarkStart w:id="240" w:name="_Toc141092841"/>
      <w:r>
        <w:rPr>
          <w:rStyle w:val="CharSectno"/>
        </w:rPr>
        <w:lastRenderedPageBreak/>
        <w:t>136F</w:t>
      </w:r>
      <w:r>
        <w:rPr>
          <w:snapToGrid w:val="0"/>
        </w:rPr>
        <w:t>.</w:t>
      </w:r>
      <w:r>
        <w:rPr>
          <w:snapToGrid w:val="0"/>
        </w:rPr>
        <w:tab/>
        <w:t>When easements and restrictive covenants under this Part have effect</w:t>
      </w:r>
      <w:bookmarkEnd w:id="240"/>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No. 81 of 1996 s. 81; amended: No. 30 of 2018 s. 202; No. 32 of 2018 s. 257.]</w:t>
      </w:r>
    </w:p>
    <w:p>
      <w:pPr>
        <w:pStyle w:val="Heading5"/>
        <w:spacing w:before="240"/>
        <w:rPr>
          <w:snapToGrid w:val="0"/>
        </w:rPr>
      </w:pPr>
      <w:bookmarkStart w:id="241" w:name="_Toc141092842"/>
      <w:r>
        <w:rPr>
          <w:rStyle w:val="CharSectno"/>
        </w:rPr>
        <w:t>136G</w:t>
      </w:r>
      <w:r>
        <w:rPr>
          <w:snapToGrid w:val="0"/>
        </w:rPr>
        <w:t>.</w:t>
      </w:r>
      <w:r>
        <w:rPr>
          <w:snapToGrid w:val="0"/>
        </w:rPr>
        <w:tab/>
        <w:t>Easements and restrictive covenants under this Part may be effective for specified term only</w:t>
      </w:r>
      <w:bookmarkEnd w:id="241"/>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No. 81 of 1996 s. 81.]</w:t>
      </w:r>
    </w:p>
    <w:p>
      <w:pPr>
        <w:pStyle w:val="Heading5"/>
        <w:spacing w:before="240"/>
        <w:rPr>
          <w:snapToGrid w:val="0"/>
        </w:rPr>
      </w:pPr>
      <w:bookmarkStart w:id="242" w:name="_Toc141092843"/>
      <w:r>
        <w:rPr>
          <w:rStyle w:val="CharSectno"/>
        </w:rPr>
        <w:t>136H</w:t>
      </w:r>
      <w:r>
        <w:rPr>
          <w:snapToGrid w:val="0"/>
        </w:rPr>
        <w:t>.</w:t>
      </w:r>
      <w:r>
        <w:rPr>
          <w:snapToGrid w:val="0"/>
        </w:rPr>
        <w:tab/>
        <w:t>Easements and restrictive covenants under this Part may both burden and benefit land of same proprietor</w:t>
      </w:r>
      <w:bookmarkEnd w:id="242"/>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w:t>
      </w:r>
      <w:r>
        <w:rPr>
          <w:snapToGrid w:val="0"/>
        </w:rPr>
        <w:lastRenderedPageBreak/>
        <w:t>restrictive covenant has the same proprietor as any land benefited by the easement or restrictive covenant.</w:t>
      </w:r>
    </w:p>
    <w:p>
      <w:pPr>
        <w:pStyle w:val="Footnotesection"/>
        <w:spacing w:before="160"/>
        <w:ind w:left="890" w:hanging="890"/>
      </w:pPr>
      <w:r>
        <w:tab/>
        <w:t>[Section 136H inserted: No. 81 of 1996 s. 81.]</w:t>
      </w:r>
    </w:p>
    <w:p>
      <w:pPr>
        <w:pStyle w:val="Heading5"/>
        <w:spacing w:before="240"/>
        <w:rPr>
          <w:snapToGrid w:val="0"/>
        </w:rPr>
      </w:pPr>
      <w:bookmarkStart w:id="243" w:name="_Toc141092844"/>
      <w:r>
        <w:rPr>
          <w:rStyle w:val="CharSectno"/>
        </w:rPr>
        <w:t>136I</w:t>
      </w:r>
      <w:r>
        <w:rPr>
          <w:snapToGrid w:val="0"/>
        </w:rPr>
        <w:t>.</w:t>
      </w:r>
      <w:r>
        <w:rPr>
          <w:snapToGrid w:val="0"/>
        </w:rPr>
        <w:tab/>
        <w:t>Recordings in Register</w:t>
      </w:r>
      <w:bookmarkEnd w:id="243"/>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No. 81 of 1996 s. 81.]</w:t>
      </w:r>
    </w:p>
    <w:p>
      <w:pPr>
        <w:pStyle w:val="Heading5"/>
        <w:rPr>
          <w:snapToGrid w:val="0"/>
        </w:rPr>
      </w:pPr>
      <w:bookmarkStart w:id="244" w:name="_Toc141092845"/>
      <w:r>
        <w:rPr>
          <w:rStyle w:val="CharSectno"/>
        </w:rPr>
        <w:t>136J</w:t>
      </w:r>
      <w:r>
        <w:rPr>
          <w:snapToGrid w:val="0"/>
        </w:rPr>
        <w:t>.</w:t>
      </w:r>
      <w:r>
        <w:rPr>
          <w:snapToGrid w:val="0"/>
        </w:rPr>
        <w:tab/>
        <w:t>Discharge and modification of easements and restrictive covenants under this Part</w:t>
      </w:r>
      <w:bookmarkEnd w:id="244"/>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lastRenderedPageBreak/>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w:t>
      </w:r>
      <w:r>
        <w:rPr>
          <w:snapToGrid w:val="0"/>
        </w:rPr>
        <w:lastRenderedPageBreak/>
        <w:t>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No. 81 of 1996 s. 81; amended: No. 3 of 1999 s. 5.]</w:t>
      </w:r>
    </w:p>
    <w:p>
      <w:pPr>
        <w:pStyle w:val="Heading2"/>
      </w:pPr>
      <w:bookmarkStart w:id="245" w:name="_Toc141092463"/>
      <w:bookmarkStart w:id="246" w:name="_Toc141092846"/>
      <w:r>
        <w:rPr>
          <w:rStyle w:val="CharPartNo"/>
        </w:rPr>
        <w:lastRenderedPageBreak/>
        <w:t>Part V</w:t>
      </w:r>
      <w:r>
        <w:rPr>
          <w:rStyle w:val="CharDivNo"/>
        </w:rPr>
        <w:t> </w:t>
      </w:r>
      <w:r>
        <w:t>—</w:t>
      </w:r>
      <w:r>
        <w:rPr>
          <w:rStyle w:val="CharDivText"/>
        </w:rPr>
        <w:t> </w:t>
      </w:r>
      <w:r>
        <w:rPr>
          <w:rStyle w:val="CharPartText"/>
        </w:rPr>
        <w:t>Caveats</w:t>
      </w:r>
      <w:bookmarkEnd w:id="245"/>
      <w:bookmarkEnd w:id="246"/>
    </w:p>
    <w:p>
      <w:pPr>
        <w:pStyle w:val="Heading5"/>
        <w:rPr>
          <w:snapToGrid w:val="0"/>
        </w:rPr>
      </w:pPr>
      <w:bookmarkStart w:id="247" w:name="_Toc141092847"/>
      <w:r>
        <w:rPr>
          <w:rStyle w:val="CharSectno"/>
        </w:rPr>
        <w:t>136K</w:t>
      </w:r>
      <w:r>
        <w:rPr>
          <w:snapToGrid w:val="0"/>
        </w:rPr>
        <w:t>.</w:t>
      </w:r>
      <w:r>
        <w:rPr>
          <w:snapToGrid w:val="0"/>
        </w:rPr>
        <w:tab/>
        <w:t>Term used: section 138A caveat; application of this Part</w:t>
      </w:r>
      <w:bookmarkEnd w:id="247"/>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No. 81 of 1996 s. 82; amended: No. 31 of 1997 s. 116; No. 59 of 2004 s. 140.]</w:t>
      </w:r>
    </w:p>
    <w:p>
      <w:pPr>
        <w:pStyle w:val="Heading5"/>
        <w:rPr>
          <w:snapToGrid w:val="0"/>
        </w:rPr>
      </w:pPr>
      <w:bookmarkStart w:id="248" w:name="_Toc141092848"/>
      <w:r>
        <w:rPr>
          <w:rStyle w:val="CharSectno"/>
        </w:rPr>
        <w:t>137</w:t>
      </w:r>
      <w:r>
        <w:rPr>
          <w:snapToGrid w:val="0"/>
        </w:rPr>
        <w:t>.</w:t>
      </w:r>
      <w:r>
        <w:rPr>
          <w:snapToGrid w:val="0"/>
        </w:rPr>
        <w:tab/>
        <w:t>Lodging caveats for land already under this Act</w:t>
      </w:r>
      <w:bookmarkEnd w:id="248"/>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lastRenderedPageBreak/>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pPr>
      <w:r>
        <w:tab/>
        <w:t>(1D)</w:t>
      </w:r>
      <w:r>
        <w:tab/>
        <w:t xml:space="preserve">A caveat under this section cannot be lodged unless one of the following is specified in it for the purposes of the service of notices in relation to the caveat — </w:t>
      </w:r>
    </w:p>
    <w:p>
      <w:pPr>
        <w:pStyle w:val="Indenta"/>
      </w:pPr>
      <w:r>
        <w:tab/>
        <w:t>(a)</w:t>
      </w:r>
      <w:r>
        <w:tab/>
        <w:t>an address in Australia;</w:t>
      </w:r>
    </w:p>
    <w:p>
      <w:pPr>
        <w:pStyle w:val="Indenta"/>
      </w:pPr>
      <w:r>
        <w:tab/>
        <w:t>(b)</w:t>
      </w:r>
      <w:r>
        <w:tab/>
        <w:t>a number for a facsimile machine in Australia;</w:t>
      </w:r>
    </w:p>
    <w:p>
      <w:pPr>
        <w:pStyle w:val="Indenta"/>
      </w:pPr>
      <w:r>
        <w:tab/>
        <w:t>(c)</w:t>
      </w:r>
      <w:r>
        <w:tab/>
        <w:t>a way of receiving notices electronically (for example, an email address) that is prescribed by the regulations for the purposes of this paragraph.</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60 Vict. No. 22 s. 4; No. 17 of 1950 s. 38; No. 81 of 1996 s. 83 and 146(1); No. 56 of 2003 s. 17; No. 19 of 2010 s. 51; No. 2 of 2014 s. 76.]</w:t>
      </w:r>
    </w:p>
    <w:p>
      <w:pPr>
        <w:pStyle w:val="Heading5"/>
        <w:rPr>
          <w:snapToGrid w:val="0"/>
        </w:rPr>
      </w:pPr>
      <w:bookmarkStart w:id="249" w:name="_Toc141092849"/>
      <w:r>
        <w:rPr>
          <w:rStyle w:val="CharSectno"/>
        </w:rPr>
        <w:t>138</w:t>
      </w:r>
      <w:r>
        <w:rPr>
          <w:snapToGrid w:val="0"/>
        </w:rPr>
        <w:t>.</w:t>
      </w:r>
      <w:r>
        <w:rPr>
          <w:snapToGrid w:val="0"/>
        </w:rPr>
        <w:tab/>
        <w:t>Consequences of lodging caveat</w:t>
      </w:r>
      <w:bookmarkEnd w:id="249"/>
    </w:p>
    <w:p>
      <w:pPr>
        <w:pStyle w:val="Subsection"/>
      </w:pPr>
      <w:r>
        <w:rPr>
          <w:snapToGrid w:val="0"/>
        </w:rPr>
        <w:tab/>
        <w:t>(1)</w:t>
      </w:r>
      <w:r>
        <w:rPr>
          <w:snapToGrid w:val="0"/>
        </w:rPr>
        <w:tab/>
        <w:t xml:space="preserve">Upon receipt of such caveat the Registrar shall notify the same to the person against whose application to be registered as </w:t>
      </w:r>
      <w:r>
        <w:rPr>
          <w:snapToGrid w:val="0"/>
        </w:rPr>
        <w:lastRenderedPageBreak/>
        <w:t xml:space="preserve">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 xml:space="preserve">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w:t>
      </w:r>
      <w:r>
        <w:rPr>
          <w:snapToGrid w:val="0"/>
        </w:rPr>
        <w:lastRenderedPageBreak/>
        <w:t>for a further period to be specified in such order or may make such other order as may be just.</w:t>
      </w:r>
    </w:p>
    <w:p>
      <w:pPr>
        <w:pStyle w:val="Footnotesection"/>
        <w:ind w:left="890" w:hanging="890"/>
      </w:pPr>
      <w:r>
        <w:tab/>
        <w:t>[Section 138 amended: No. 17 of 1950 s. 39; No. 81 of 1996 s. 145(1); No. 59 of 2004 s. 139; No. 5 of 2008 s. 123.]</w:t>
      </w:r>
    </w:p>
    <w:p>
      <w:pPr>
        <w:pStyle w:val="Heading5"/>
        <w:rPr>
          <w:snapToGrid w:val="0"/>
        </w:rPr>
      </w:pPr>
      <w:bookmarkStart w:id="250" w:name="_Toc141092850"/>
      <w:r>
        <w:rPr>
          <w:rStyle w:val="CharSectno"/>
        </w:rPr>
        <w:t>138A</w:t>
      </w:r>
      <w:r>
        <w:rPr>
          <w:snapToGrid w:val="0"/>
        </w:rPr>
        <w:t>.</w:t>
      </w:r>
      <w:r>
        <w:rPr>
          <w:snapToGrid w:val="0"/>
        </w:rPr>
        <w:tab/>
        <w:t>Caveats to which s. 138B to 138D apply</w:t>
      </w:r>
      <w:bookmarkEnd w:id="250"/>
    </w:p>
    <w:p>
      <w:pPr>
        <w:pStyle w:val="Subsection"/>
        <w:rPr>
          <w:snapToGrid w:val="0"/>
        </w:rPr>
      </w:pPr>
      <w:r>
        <w:rPr>
          <w:snapToGrid w:val="0"/>
        </w:rPr>
        <w:tab/>
      </w:r>
      <w:r>
        <w:rPr>
          <w:snapToGrid w:val="0"/>
        </w:rPr>
        <w:tab/>
        <w:t>A caveat that has not been lodged —</w:t>
      </w:r>
    </w:p>
    <w:p>
      <w:pPr>
        <w:pStyle w:val="Indenta"/>
        <w:rPr>
          <w:snapToGrid w:val="0"/>
        </w:rPr>
      </w:pPr>
      <w:r>
        <w:rPr>
          <w:snapToGrid w:val="0"/>
        </w:rPr>
        <w:tab/>
        <w:t>(a)</w:t>
      </w:r>
      <w:r>
        <w:rPr>
          <w:snapToGrid w:val="0"/>
        </w:rPr>
        <w:tab/>
        <w:t>under section 30, 176 or 223A; or</w:t>
      </w:r>
    </w:p>
    <w:p>
      <w:pPr>
        <w:pStyle w:val="Indenta"/>
        <w:rPr>
          <w:snapToGrid w:val="0"/>
        </w:rPr>
      </w:pPr>
      <w:r>
        <w:rPr>
          <w:snapToGrid w:val="0"/>
        </w:rPr>
        <w:tab/>
        <w:t>(b)</w:t>
      </w:r>
      <w:r>
        <w:rPr>
          <w:snapToGrid w:val="0"/>
        </w:rPr>
        <w:tab/>
        <w:t>by or on behalf of a beneficiary claiming under a will or settlement; or</w:t>
      </w:r>
    </w:p>
    <w:p>
      <w:pPr>
        <w:pStyle w:val="Indenta"/>
        <w:rPr>
          <w:snapToGrid w:val="0"/>
        </w:rPr>
      </w:pPr>
      <w:r>
        <w:rPr>
          <w:snapToGrid w:val="0"/>
        </w:rPr>
        <w:tab/>
        <w:t>(c)</w:t>
      </w:r>
      <w:r>
        <w:rPr>
          <w:snapToGrid w:val="0"/>
        </w:rPr>
        <w:tab/>
        <w:t>under a court order; or</w:t>
      </w:r>
    </w:p>
    <w:p>
      <w:pPr>
        <w:pStyle w:val="Indenta"/>
        <w:rPr>
          <w:snapToGrid w:val="0"/>
        </w:rPr>
      </w:pPr>
      <w:r>
        <w:rPr>
          <w:snapToGrid w:val="0"/>
        </w:rPr>
        <w:tab/>
        <w:t>(d)</w:t>
      </w:r>
      <w:r>
        <w:rPr>
          <w:snapToGrid w:val="0"/>
        </w:rPr>
        <w:tab/>
        <w:t>by the Registrar on the direction of the Commissioner; or</w:t>
      </w:r>
    </w:p>
    <w:p>
      <w:pPr>
        <w:pStyle w:val="Indenta"/>
        <w:rPr>
          <w:snapToGrid w:val="0"/>
        </w:rPr>
      </w:pPr>
      <w:r>
        <w:rPr>
          <w:snapToGrid w:val="0"/>
        </w:rPr>
        <w:tab/>
        <w:t>(e)</w:t>
      </w:r>
      <w:r>
        <w:rPr>
          <w:snapToGrid w:val="0"/>
        </w:rPr>
        <w:tab/>
        <w:t>under any written law other than this Act; or</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ind w:left="890" w:hanging="890"/>
      </w:pPr>
      <w:r>
        <w:tab/>
        <w:t>[Section 138A inserted: No. 81 of 1996 s. 84.]</w:t>
      </w:r>
    </w:p>
    <w:p>
      <w:pPr>
        <w:pStyle w:val="Heading5"/>
        <w:rPr>
          <w:snapToGrid w:val="0"/>
        </w:rPr>
      </w:pPr>
      <w:bookmarkStart w:id="251" w:name="_Toc141092851"/>
      <w:r>
        <w:rPr>
          <w:rStyle w:val="CharSectno"/>
        </w:rPr>
        <w:t>138B</w:t>
      </w:r>
      <w:r>
        <w:rPr>
          <w:snapToGrid w:val="0"/>
        </w:rPr>
        <w:t>.</w:t>
      </w:r>
      <w:r>
        <w:rPr>
          <w:snapToGrid w:val="0"/>
        </w:rPr>
        <w:tab/>
        <w:t>Requiring caveator to seek court order extending s. 138A caveat</w:t>
      </w:r>
      <w:bookmarkEnd w:id="251"/>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lastRenderedPageBreak/>
        <w:tab/>
        <w:t>(2)</w:t>
      </w:r>
      <w:r>
        <w:rPr>
          <w:snapToGrid w:val="0"/>
        </w:rPr>
        <w:tab/>
        <w:t>If the notice referred to in subsection (1) is served on the caveator then the caveat lapses 21 days after the day on which the notice was served unless, before that time, the caveator has —</w:t>
      </w:r>
    </w:p>
    <w:p>
      <w:pPr>
        <w:pStyle w:val="Indenta"/>
      </w:pPr>
      <w:r>
        <w:tab/>
        <w:t>(a)</w:t>
      </w:r>
      <w:r>
        <w:tab/>
        <w:t>obtained from the Supreme Court an order extending the operation of the caveat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lodged with the Registrar a copy of the order.</w:t>
      </w:r>
    </w:p>
    <w:p>
      <w:pPr>
        <w:pStyle w:val="Footnotesection"/>
        <w:ind w:left="890" w:hanging="890"/>
      </w:pPr>
      <w:r>
        <w:tab/>
        <w:t>[Section 138B inserted: No. 81 of 1996 s. 84; amended: No. 59 of 2004 s. 140.]</w:t>
      </w:r>
    </w:p>
    <w:p>
      <w:pPr>
        <w:pStyle w:val="Heading5"/>
        <w:rPr>
          <w:snapToGrid w:val="0"/>
        </w:rPr>
      </w:pPr>
      <w:bookmarkStart w:id="252" w:name="_Toc141092852"/>
      <w:r>
        <w:rPr>
          <w:rStyle w:val="CharSectno"/>
        </w:rPr>
        <w:t>138C</w:t>
      </w:r>
      <w:r>
        <w:rPr>
          <w:snapToGrid w:val="0"/>
        </w:rPr>
        <w:t>.</w:t>
      </w:r>
      <w:r>
        <w:rPr>
          <w:snapToGrid w:val="0"/>
        </w:rPr>
        <w:tab/>
        <w:t>Supreme Court’s powers on application by caveator</w:t>
      </w:r>
      <w:bookmarkEnd w:id="252"/>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w:t>
      </w:r>
    </w:p>
    <w:p>
      <w:pPr>
        <w:pStyle w:val="Indenta"/>
        <w:rPr>
          <w:snapToGrid w:val="0"/>
        </w:rPr>
      </w:pPr>
      <w:r>
        <w:rPr>
          <w:snapToGrid w:val="0"/>
        </w:rPr>
        <w:tab/>
        <w:t>(a)</w:t>
      </w:r>
      <w:r>
        <w:rPr>
          <w:snapToGrid w:val="0"/>
        </w:rPr>
        <w:tab/>
        <w:t>if satisfied that the caveator’s claim has or may have substance —</w:t>
      </w:r>
    </w:p>
    <w:p>
      <w:pPr>
        <w:pStyle w:val="Indenti"/>
        <w:rPr>
          <w:snapToGrid w:val="0"/>
        </w:rPr>
      </w:pPr>
      <w:r>
        <w:rPr>
          <w:snapToGrid w:val="0"/>
        </w:rPr>
        <w:tab/>
        <w:t>(i)</w:t>
      </w:r>
      <w:r>
        <w:rPr>
          <w:snapToGrid w:val="0"/>
        </w:rPr>
        <w:tab/>
        <w:t>may make an order extending the operation of the caveat for such period as is specified in the order; or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ind w:left="890" w:hanging="890"/>
      </w:pPr>
      <w:r>
        <w:tab/>
        <w:t>[Section 138C inserted: No. 81 of 1996 s. 84.]</w:t>
      </w:r>
    </w:p>
    <w:p>
      <w:pPr>
        <w:pStyle w:val="Heading5"/>
        <w:rPr>
          <w:snapToGrid w:val="0"/>
        </w:rPr>
      </w:pPr>
      <w:bookmarkStart w:id="253" w:name="_Toc141092853"/>
      <w:r>
        <w:rPr>
          <w:rStyle w:val="CharSectno"/>
        </w:rPr>
        <w:t>138D</w:t>
      </w:r>
      <w:r>
        <w:rPr>
          <w:snapToGrid w:val="0"/>
        </w:rPr>
        <w:t>.</w:t>
      </w:r>
      <w:r>
        <w:rPr>
          <w:snapToGrid w:val="0"/>
        </w:rPr>
        <w:tab/>
        <w:t>Restrictions on caveators lodging further s. 138A caveats</w:t>
      </w:r>
      <w:bookmarkEnd w:id="253"/>
    </w:p>
    <w:p>
      <w:pPr>
        <w:pStyle w:val="Subsection"/>
        <w:rPr>
          <w:snapToGrid w:val="0"/>
        </w:rPr>
      </w:pPr>
      <w:r>
        <w:rPr>
          <w:snapToGrid w:val="0"/>
        </w:rPr>
        <w:tab/>
        <w:t>(1)</w:t>
      </w:r>
      <w:r>
        <w:rPr>
          <w:snapToGrid w:val="0"/>
        </w:rPr>
        <w:tab/>
        <w:t>If a section 138A caveat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rPr>
          <w:snapToGrid w:val="0"/>
        </w:rPr>
      </w:pPr>
      <w:r>
        <w:rPr>
          <w:snapToGrid w:val="0"/>
        </w:rPr>
        <w:tab/>
        <w:t>(2)</w:t>
      </w:r>
      <w:r>
        <w:rPr>
          <w:snapToGrid w:val="0"/>
        </w:rPr>
        <w:tab/>
        <w:t xml:space="preserve">If a caveat has been withdrawn before a notice under section 138B(1), if any, is served on the caveator then nothing </w:t>
      </w:r>
      <w:r>
        <w:rPr>
          <w:snapToGrid w:val="0"/>
        </w:rPr>
        <w:lastRenderedPageBreak/>
        <w:t>in subsection (1) prevents the caveator from lodging a further section 138A caveat in respect of the same land.</w:t>
      </w:r>
    </w:p>
    <w:p>
      <w:pPr>
        <w:pStyle w:val="Footnotesection"/>
        <w:ind w:left="890" w:hanging="890"/>
      </w:pPr>
      <w:r>
        <w:tab/>
        <w:t>[Section 138D inserted: No. 81 of 1996 s. 84; amended: No. 59 of 2004 s. 140.]</w:t>
      </w:r>
    </w:p>
    <w:p>
      <w:pPr>
        <w:pStyle w:val="Heading5"/>
        <w:rPr>
          <w:snapToGrid w:val="0"/>
        </w:rPr>
      </w:pPr>
      <w:bookmarkStart w:id="254" w:name="_Toc141092854"/>
      <w:r>
        <w:rPr>
          <w:rStyle w:val="CharSectno"/>
        </w:rPr>
        <w:t>139</w:t>
      </w:r>
      <w:r>
        <w:rPr>
          <w:snapToGrid w:val="0"/>
        </w:rPr>
        <w:t>.</w:t>
      </w:r>
      <w:r>
        <w:rPr>
          <w:snapToGrid w:val="0"/>
        </w:rPr>
        <w:tab/>
        <w:t>Effect of caveats</w:t>
      </w:r>
      <w:bookmarkEnd w:id="254"/>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No. 17 of 1950 s. 40; No. 81 of 1996 s. 145(1); No. 5 of 2008 s. 124.]</w:t>
      </w:r>
    </w:p>
    <w:p>
      <w:pPr>
        <w:pStyle w:val="Heading5"/>
        <w:rPr>
          <w:snapToGrid w:val="0"/>
        </w:rPr>
      </w:pPr>
      <w:bookmarkStart w:id="255" w:name="_Toc141092855"/>
      <w:r>
        <w:rPr>
          <w:rStyle w:val="CharSectno"/>
        </w:rPr>
        <w:t>140</w:t>
      </w:r>
      <w:r>
        <w:rPr>
          <w:snapToGrid w:val="0"/>
        </w:rPr>
        <w:t>.</w:t>
      </w:r>
      <w:r>
        <w:rPr>
          <w:snapToGrid w:val="0"/>
        </w:rPr>
        <w:tab/>
        <w:t>Compensation for caveat lodged without reasonable cause</w:t>
      </w:r>
      <w:bookmarkEnd w:id="255"/>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w:t>
      </w:r>
      <w:r>
        <w:rPr>
          <w:snapToGrid w:val="0"/>
        </w:rPr>
        <w:lastRenderedPageBreak/>
        <w:t>sustained damage thereby such compensation as a judge on a summons in chambers shall deem just and order.</w:t>
      </w:r>
    </w:p>
    <w:p>
      <w:pPr>
        <w:pStyle w:val="Heading5"/>
        <w:rPr>
          <w:snapToGrid w:val="0"/>
        </w:rPr>
      </w:pPr>
      <w:bookmarkStart w:id="256" w:name="_Toc141092856"/>
      <w:r>
        <w:rPr>
          <w:rStyle w:val="CharSectno"/>
        </w:rPr>
        <w:t>141</w:t>
      </w:r>
      <w:r>
        <w:rPr>
          <w:snapToGrid w:val="0"/>
        </w:rPr>
        <w:t>.</w:t>
      </w:r>
      <w:r>
        <w:rPr>
          <w:snapToGrid w:val="0"/>
        </w:rPr>
        <w:tab/>
        <w:t>Registrar’s duties when caveat lodged or lapses</w:t>
      </w:r>
      <w:bookmarkEnd w:id="256"/>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ind w:left="890" w:hanging="890"/>
      </w:pPr>
      <w:r>
        <w:tab/>
        <w:t>[Section 141 inserted: No. 81 of 1996 s. 85.]</w:t>
      </w:r>
    </w:p>
    <w:p>
      <w:pPr>
        <w:pStyle w:val="Heading5"/>
        <w:rPr>
          <w:snapToGrid w:val="0"/>
        </w:rPr>
      </w:pPr>
      <w:bookmarkStart w:id="257" w:name="_Toc141092857"/>
      <w:r>
        <w:rPr>
          <w:rStyle w:val="CharSectno"/>
        </w:rPr>
        <w:t>141A</w:t>
      </w:r>
      <w:r>
        <w:rPr>
          <w:snapToGrid w:val="0"/>
        </w:rPr>
        <w:t>.</w:t>
      </w:r>
      <w:r>
        <w:rPr>
          <w:snapToGrid w:val="0"/>
        </w:rPr>
        <w:tab/>
        <w:t>Requiring caveators to withdraw caveats or substantiate their claims</w:t>
      </w:r>
      <w:bookmarkEnd w:id="257"/>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xml:space="preserve">,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w:t>
      </w:r>
      <w:r>
        <w:rPr>
          <w:snapToGrid w:val="0"/>
        </w:rPr>
        <w:lastRenderedPageBreak/>
        <w:t>from the Register and forward notice of such removal to the caveator.</w:t>
      </w:r>
    </w:p>
    <w:p>
      <w:pPr>
        <w:pStyle w:val="Subsection"/>
        <w:keepNext/>
      </w:pPr>
      <w:r>
        <w:tab/>
        <w:t>(1a)</w:t>
      </w:r>
      <w:r>
        <w:tab/>
        <w:t>If a caveator commences proceedings in court to substantiate his claim under this section, he shall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ind w:left="890" w:hanging="890"/>
      </w:pPr>
      <w:r>
        <w:tab/>
        <w:t>[Section 141A inserted: No. 17 of 1950 s. 41; amended: No. 81 of 1996 s. 86 and 145(1); No. 24 of 2000 s. 42(1) and (2); No. 59 of 2004 s. 140.]</w:t>
      </w:r>
    </w:p>
    <w:p>
      <w:pPr>
        <w:pStyle w:val="Heading5"/>
        <w:rPr>
          <w:snapToGrid w:val="0"/>
        </w:rPr>
      </w:pPr>
      <w:bookmarkStart w:id="258" w:name="_Toc141092858"/>
      <w:r>
        <w:rPr>
          <w:rStyle w:val="CharSectno"/>
        </w:rPr>
        <w:t>142</w:t>
      </w:r>
      <w:r>
        <w:rPr>
          <w:snapToGrid w:val="0"/>
        </w:rPr>
        <w:t>.</w:t>
      </w:r>
      <w:r>
        <w:rPr>
          <w:snapToGrid w:val="0"/>
        </w:rPr>
        <w:tab/>
        <w:t>Caveat on behalf of beneficiary under will or settlement does not bar registration in certain cases</w:t>
      </w:r>
      <w:bookmarkEnd w:id="258"/>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59" w:name="_Toc141092476"/>
      <w:bookmarkStart w:id="260" w:name="_Toc141092859"/>
      <w:r>
        <w:rPr>
          <w:rStyle w:val="CharPartNo"/>
        </w:rPr>
        <w:lastRenderedPageBreak/>
        <w:t>Part VI</w:t>
      </w:r>
      <w:r>
        <w:rPr>
          <w:rStyle w:val="CharDivNo"/>
        </w:rPr>
        <w:t> </w:t>
      </w:r>
      <w:r>
        <w:t>—</w:t>
      </w:r>
      <w:r>
        <w:rPr>
          <w:rStyle w:val="CharDivText"/>
        </w:rPr>
        <w:t> </w:t>
      </w:r>
      <w:r>
        <w:rPr>
          <w:rStyle w:val="CharPartText"/>
        </w:rPr>
        <w:t>Powers of attorney and attestation of instruments</w:t>
      </w:r>
      <w:bookmarkEnd w:id="259"/>
      <w:bookmarkEnd w:id="260"/>
    </w:p>
    <w:p>
      <w:pPr>
        <w:pStyle w:val="Heading5"/>
        <w:rPr>
          <w:snapToGrid w:val="0"/>
        </w:rPr>
      </w:pPr>
      <w:bookmarkStart w:id="261" w:name="_Toc141092860"/>
      <w:r>
        <w:rPr>
          <w:rStyle w:val="CharSectno"/>
        </w:rPr>
        <w:t>143</w:t>
      </w:r>
      <w:r>
        <w:rPr>
          <w:snapToGrid w:val="0"/>
        </w:rPr>
        <w:t>.</w:t>
      </w:r>
      <w:r>
        <w:rPr>
          <w:snapToGrid w:val="0"/>
        </w:rPr>
        <w:tab/>
        <w:t>Powers of attorney, creation and filing of</w:t>
      </w:r>
      <w:bookmarkEnd w:id="261"/>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lastRenderedPageBreak/>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ind w:left="890" w:hanging="890"/>
      </w:pPr>
      <w:r>
        <w:tab/>
        <w:t xml:space="preserve">[Section 143 amended: 62 Vict. No. 22 s. 2; No. 17 of 1950 s. 42; No. 10 of 1982 s. 28; No. 31 of 1997 s. 117; No. 8 of 2009 s. 10; No. 19 of 2010 s. 51.] </w:t>
      </w:r>
    </w:p>
    <w:p>
      <w:pPr>
        <w:pStyle w:val="Heading5"/>
        <w:rPr>
          <w:snapToGrid w:val="0"/>
        </w:rPr>
      </w:pPr>
      <w:bookmarkStart w:id="262" w:name="_Toc141092861"/>
      <w:r>
        <w:rPr>
          <w:rStyle w:val="CharSectno"/>
        </w:rPr>
        <w:t>144</w:t>
      </w:r>
      <w:r>
        <w:rPr>
          <w:snapToGrid w:val="0"/>
        </w:rPr>
        <w:t>.</w:t>
      </w:r>
      <w:r>
        <w:rPr>
          <w:snapToGrid w:val="0"/>
        </w:rPr>
        <w:tab/>
        <w:t>Powers of attorney, effect of</w:t>
      </w:r>
      <w:bookmarkEnd w:id="262"/>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No. 17 of 1950 s. 43.]</w:t>
      </w:r>
    </w:p>
    <w:p>
      <w:pPr>
        <w:pStyle w:val="Heading5"/>
        <w:rPr>
          <w:snapToGrid w:val="0"/>
        </w:rPr>
      </w:pPr>
      <w:bookmarkStart w:id="263" w:name="_Toc141092862"/>
      <w:r>
        <w:rPr>
          <w:rStyle w:val="CharSectno"/>
        </w:rPr>
        <w:t>145</w:t>
      </w:r>
      <w:r>
        <w:rPr>
          <w:snapToGrid w:val="0"/>
        </w:rPr>
        <w:t>.</w:t>
      </w:r>
      <w:r>
        <w:rPr>
          <w:snapToGrid w:val="0"/>
        </w:rPr>
        <w:tab/>
        <w:t>Signatures on documents, witnessing requirements</w:t>
      </w:r>
      <w:bookmarkEnd w:id="263"/>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lastRenderedPageBreak/>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 xml:space="preserve">If it appears to the Registrar that a signature of a party to an instrument or a power of attorney under this Act has not been </w:t>
      </w:r>
      <w:r>
        <w:rPr>
          <w:snapToGrid w:val="0"/>
        </w:rPr>
        <w:lastRenderedPageBreak/>
        <w:t>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No. 81 of 1996 s. 87; amended: No. 31 of 1997 s. 118.]</w:t>
      </w:r>
    </w:p>
    <w:p>
      <w:pPr>
        <w:pStyle w:val="Heading2"/>
      </w:pPr>
      <w:bookmarkStart w:id="264" w:name="_Toc141092480"/>
      <w:bookmarkStart w:id="265" w:name="_Toc141092863"/>
      <w:r>
        <w:rPr>
          <w:rStyle w:val="CharPartNo"/>
        </w:rPr>
        <w:lastRenderedPageBreak/>
        <w:t>Part VII</w:t>
      </w:r>
      <w:r>
        <w:rPr>
          <w:rStyle w:val="CharDivNo"/>
        </w:rPr>
        <w:t> </w:t>
      </w:r>
      <w:r>
        <w:t>—</w:t>
      </w:r>
      <w:r>
        <w:rPr>
          <w:rStyle w:val="CharDivText"/>
        </w:rPr>
        <w:t> </w:t>
      </w:r>
      <w:r>
        <w:rPr>
          <w:rStyle w:val="CharPartText"/>
        </w:rPr>
        <w:t>Search certificates and stay orders</w:t>
      </w:r>
      <w:bookmarkEnd w:id="264"/>
      <w:bookmarkEnd w:id="265"/>
    </w:p>
    <w:p>
      <w:pPr>
        <w:pStyle w:val="Heading5"/>
        <w:rPr>
          <w:snapToGrid w:val="0"/>
        </w:rPr>
      </w:pPr>
      <w:bookmarkStart w:id="266" w:name="_Toc141092864"/>
      <w:r>
        <w:rPr>
          <w:rStyle w:val="CharSectno"/>
        </w:rPr>
        <w:t>146</w:t>
      </w:r>
      <w:r>
        <w:rPr>
          <w:snapToGrid w:val="0"/>
        </w:rPr>
        <w:t>.</w:t>
      </w:r>
      <w:r>
        <w:rPr>
          <w:snapToGrid w:val="0"/>
        </w:rPr>
        <w:tab/>
        <w:t>Finding out whether proprietor is free to deal with land</w:t>
      </w:r>
      <w:bookmarkEnd w:id="266"/>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No. 81 of 1996 s. 88.]</w:t>
      </w:r>
    </w:p>
    <w:p>
      <w:pPr>
        <w:pStyle w:val="Heading5"/>
        <w:rPr>
          <w:snapToGrid w:val="0"/>
        </w:rPr>
      </w:pPr>
      <w:bookmarkStart w:id="267" w:name="_Toc141092865"/>
      <w:r>
        <w:rPr>
          <w:rStyle w:val="CharSectno"/>
        </w:rPr>
        <w:t>147</w:t>
      </w:r>
      <w:r>
        <w:rPr>
          <w:snapToGrid w:val="0"/>
        </w:rPr>
        <w:t>.</w:t>
      </w:r>
      <w:r>
        <w:rPr>
          <w:snapToGrid w:val="0"/>
        </w:rPr>
        <w:tab/>
        <w:t>Person issued search certificate under s. 146 entitled to inspect certificate of title</w:t>
      </w:r>
      <w:bookmarkEnd w:id="267"/>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ind w:left="890" w:hanging="890"/>
      </w:pPr>
      <w:r>
        <w:tab/>
        <w:t>[Section 147 amended: No. 81 of 1996 s. 145(2).]</w:t>
      </w:r>
    </w:p>
    <w:p>
      <w:pPr>
        <w:pStyle w:val="Heading5"/>
        <w:rPr>
          <w:snapToGrid w:val="0"/>
        </w:rPr>
      </w:pPr>
      <w:bookmarkStart w:id="268" w:name="_Toc141092866"/>
      <w:r>
        <w:rPr>
          <w:rStyle w:val="CharSectno"/>
        </w:rPr>
        <w:t>148</w:t>
      </w:r>
      <w:r>
        <w:rPr>
          <w:snapToGrid w:val="0"/>
        </w:rPr>
        <w:t>.</w:t>
      </w:r>
      <w:r>
        <w:rPr>
          <w:snapToGrid w:val="0"/>
        </w:rPr>
        <w:tab/>
        <w:t>Person proposing to deal with proprietor may obtain stay of registration for 48 hours if title is clear</w:t>
      </w:r>
      <w:bookmarkEnd w:id="268"/>
    </w:p>
    <w:p>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w:t>
      </w:r>
      <w:r>
        <w:rPr>
          <w:snapToGrid w:val="0"/>
        </w:rPr>
        <w:lastRenderedPageBreak/>
        <w:t>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No. 81 of 1996 s. 89.]</w:t>
      </w:r>
    </w:p>
    <w:p>
      <w:pPr>
        <w:pStyle w:val="Heading5"/>
        <w:rPr>
          <w:snapToGrid w:val="0"/>
        </w:rPr>
      </w:pPr>
      <w:bookmarkStart w:id="269" w:name="_Toc141092867"/>
      <w:r>
        <w:rPr>
          <w:rStyle w:val="CharSectno"/>
        </w:rPr>
        <w:t>149</w:t>
      </w:r>
      <w:r>
        <w:rPr>
          <w:snapToGrid w:val="0"/>
        </w:rPr>
        <w:t>.</w:t>
      </w:r>
      <w:r>
        <w:rPr>
          <w:snapToGrid w:val="0"/>
        </w:rPr>
        <w:tab/>
        <w:t>Instrument effecting proposed dealing entitled to priority if lodged within 48 hour stay granted under s. 148</w:t>
      </w:r>
      <w:bookmarkEnd w:id="269"/>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No. 81 of 1996 s. 90; No. 59 of 2004 s. 140;</w:t>
      </w:r>
      <w:r>
        <w:rPr>
          <w:spacing w:val="-4"/>
        </w:rPr>
        <w:t xml:space="preserve"> No. 60 of 2006 s. 118(1)</w:t>
      </w:r>
      <w:r>
        <w:t>.]</w:t>
      </w:r>
    </w:p>
    <w:p>
      <w:pPr>
        <w:pStyle w:val="Heading5"/>
        <w:rPr>
          <w:snapToGrid w:val="0"/>
        </w:rPr>
      </w:pPr>
      <w:bookmarkStart w:id="270" w:name="_Toc141092868"/>
      <w:r>
        <w:rPr>
          <w:rStyle w:val="CharSectno"/>
        </w:rPr>
        <w:t>150</w:t>
      </w:r>
      <w:r>
        <w:rPr>
          <w:snapToGrid w:val="0"/>
        </w:rPr>
        <w:t>.</w:t>
      </w:r>
      <w:r>
        <w:rPr>
          <w:snapToGrid w:val="0"/>
        </w:rPr>
        <w:tab/>
        <w:t>Other instruments received in the 48 hours to have usual priority if proposed dealing not lodged under s. 149</w:t>
      </w:r>
      <w:bookmarkEnd w:id="270"/>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No. 81 of 1996 s. 91; No. 59 of 2004 s. 140; </w:t>
      </w:r>
      <w:r>
        <w:rPr>
          <w:spacing w:val="-4"/>
        </w:rPr>
        <w:t>No. 60 of 2006 s. 118(1)</w:t>
      </w:r>
      <w:r>
        <w:t>.]</w:t>
      </w:r>
    </w:p>
    <w:p>
      <w:pPr>
        <w:pStyle w:val="Heading2"/>
      </w:pPr>
      <w:bookmarkStart w:id="271" w:name="_Toc141092486"/>
      <w:bookmarkStart w:id="272" w:name="_Toc141092869"/>
      <w:r>
        <w:rPr>
          <w:rStyle w:val="CharPartNo"/>
        </w:rPr>
        <w:lastRenderedPageBreak/>
        <w:t>Part VIII</w:t>
      </w:r>
      <w:r>
        <w:rPr>
          <w:rStyle w:val="CharDivNo"/>
        </w:rPr>
        <w:t> </w:t>
      </w:r>
      <w:r>
        <w:t>—</w:t>
      </w:r>
      <w:r>
        <w:rPr>
          <w:rStyle w:val="CharDivText"/>
        </w:rPr>
        <w:t> </w:t>
      </w:r>
      <w:r>
        <w:rPr>
          <w:rStyle w:val="CharPartText"/>
        </w:rPr>
        <w:t>Surveys, plans, parcels and boundaries</w:t>
      </w:r>
      <w:bookmarkEnd w:id="271"/>
      <w:bookmarkEnd w:id="272"/>
    </w:p>
    <w:p>
      <w:pPr>
        <w:pStyle w:val="Heading5"/>
        <w:rPr>
          <w:snapToGrid w:val="0"/>
        </w:rPr>
      </w:pPr>
      <w:bookmarkStart w:id="273" w:name="_Toc141092870"/>
      <w:r>
        <w:rPr>
          <w:rStyle w:val="CharSectno"/>
        </w:rPr>
        <w:t>151</w:t>
      </w:r>
      <w:r>
        <w:rPr>
          <w:snapToGrid w:val="0"/>
        </w:rPr>
        <w:t>.</w:t>
      </w:r>
      <w:r>
        <w:rPr>
          <w:snapToGrid w:val="0"/>
        </w:rPr>
        <w:tab/>
        <w:t>Crown survey boundaries as marked on ground are true boundaries</w:t>
      </w:r>
      <w:bookmarkEnd w:id="273"/>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No. 126 of 1987 s. 34; No. 31 of 1997 s. 119; No. 6 of 2003 s. 47.]</w:t>
      </w:r>
    </w:p>
    <w:p>
      <w:pPr>
        <w:pStyle w:val="Heading5"/>
        <w:rPr>
          <w:snapToGrid w:val="0"/>
        </w:rPr>
      </w:pPr>
      <w:bookmarkStart w:id="274" w:name="_Toc141092871"/>
      <w:r>
        <w:rPr>
          <w:rStyle w:val="CharSectno"/>
        </w:rPr>
        <w:t>152</w:t>
      </w:r>
      <w:r>
        <w:rPr>
          <w:snapToGrid w:val="0"/>
        </w:rPr>
        <w:t>.</w:t>
      </w:r>
      <w:r>
        <w:rPr>
          <w:snapToGrid w:val="0"/>
        </w:rPr>
        <w:tab/>
        <w:t>Crown grant or lease conveys land within survey boundaries</w:t>
      </w:r>
      <w:bookmarkEnd w:id="274"/>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lastRenderedPageBreak/>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No. 31 of 1997 s. 120; No. 19 of 2010 s. 51.]</w:t>
      </w:r>
    </w:p>
    <w:p>
      <w:pPr>
        <w:pStyle w:val="Heading5"/>
        <w:spacing w:before="240"/>
        <w:rPr>
          <w:snapToGrid w:val="0"/>
        </w:rPr>
      </w:pPr>
      <w:bookmarkStart w:id="275" w:name="_Toc141092872"/>
      <w:r>
        <w:rPr>
          <w:rStyle w:val="CharSectno"/>
        </w:rPr>
        <w:t>153</w:t>
      </w:r>
      <w:r>
        <w:rPr>
          <w:snapToGrid w:val="0"/>
        </w:rPr>
        <w:t>.</w:t>
      </w:r>
      <w:r>
        <w:rPr>
          <w:snapToGrid w:val="0"/>
        </w:rPr>
        <w:tab/>
        <w:t>Aliquot parts of Crown section having excess of area</w:t>
      </w:r>
      <w:bookmarkEnd w:id="275"/>
    </w:p>
    <w:p>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No. 31 of 1997 s. 121.]</w:t>
      </w:r>
    </w:p>
    <w:p>
      <w:pPr>
        <w:pStyle w:val="Heading5"/>
        <w:spacing w:before="240"/>
        <w:rPr>
          <w:snapToGrid w:val="0"/>
        </w:rPr>
      </w:pPr>
      <w:bookmarkStart w:id="276" w:name="_Toc141092873"/>
      <w:r>
        <w:rPr>
          <w:rStyle w:val="CharSectno"/>
        </w:rPr>
        <w:t>153A</w:t>
      </w:r>
      <w:r>
        <w:rPr>
          <w:snapToGrid w:val="0"/>
        </w:rPr>
        <w:t>.</w:t>
      </w:r>
      <w:r>
        <w:rPr>
          <w:snapToGrid w:val="0"/>
        </w:rPr>
        <w:tab/>
        <w:t>Land not in grant etc. but included in certificate due to error in survey may be deemed included in grant etc.</w:t>
      </w:r>
      <w:bookmarkEnd w:id="276"/>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w:t>
      </w:r>
      <w:r>
        <w:rPr>
          <w:snapToGrid w:val="0"/>
        </w:rPr>
        <w:lastRenderedPageBreak/>
        <w:t>of land shall be deemed to have been included in the grant or transfer.</w:t>
      </w:r>
    </w:p>
    <w:p>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pPr>
        <w:pStyle w:val="Heading5"/>
        <w:rPr>
          <w:snapToGrid w:val="0"/>
        </w:rPr>
      </w:pPr>
      <w:bookmarkStart w:id="277" w:name="_Toc141092874"/>
      <w:r>
        <w:rPr>
          <w:rStyle w:val="CharSectno"/>
        </w:rPr>
        <w:t>154</w:t>
      </w:r>
      <w:r>
        <w:rPr>
          <w:snapToGrid w:val="0"/>
        </w:rPr>
        <w:t>.</w:t>
      </w:r>
      <w:r>
        <w:rPr>
          <w:snapToGrid w:val="0"/>
        </w:rPr>
        <w:tab/>
        <w:t>How boundaries may be proved in absence of survey marks</w:t>
      </w:r>
      <w:bookmarkEnd w:id="277"/>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No. 19 of 2010 s. 51.]</w:t>
      </w:r>
    </w:p>
    <w:p>
      <w:pPr>
        <w:pStyle w:val="Heading5"/>
        <w:rPr>
          <w:snapToGrid w:val="0"/>
        </w:rPr>
      </w:pPr>
      <w:bookmarkStart w:id="278" w:name="_Toc141092875"/>
      <w:r>
        <w:rPr>
          <w:rStyle w:val="CharSectno"/>
        </w:rPr>
        <w:lastRenderedPageBreak/>
        <w:t>155</w:t>
      </w:r>
      <w:r>
        <w:rPr>
          <w:snapToGrid w:val="0"/>
        </w:rPr>
        <w:t>.</w:t>
      </w:r>
      <w:r>
        <w:rPr>
          <w:snapToGrid w:val="0"/>
        </w:rPr>
        <w:tab/>
        <w:t>Margin of error allowed in description of boundaries</w:t>
      </w:r>
      <w:bookmarkEnd w:id="278"/>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No. 94 of 1972 s. 4; No. 6 of 2003 s. 48; No. 19 of 2010 s. 51.]</w:t>
      </w:r>
    </w:p>
    <w:p>
      <w:pPr>
        <w:pStyle w:val="Heading5"/>
        <w:rPr>
          <w:snapToGrid w:val="0"/>
        </w:rPr>
      </w:pPr>
      <w:bookmarkStart w:id="279" w:name="_Toc141092876"/>
      <w:r>
        <w:rPr>
          <w:rStyle w:val="CharSectno"/>
        </w:rPr>
        <w:t>156</w:t>
      </w:r>
      <w:r>
        <w:rPr>
          <w:snapToGrid w:val="0"/>
        </w:rPr>
        <w:t>.</w:t>
      </w:r>
      <w:r>
        <w:rPr>
          <w:snapToGrid w:val="0"/>
        </w:rPr>
        <w:tab/>
        <w:t>Commissioner may require special survey of land</w:t>
      </w:r>
      <w:bookmarkEnd w:id="279"/>
    </w:p>
    <w:p>
      <w:pPr>
        <w:pStyle w:val="Subsection"/>
        <w:rPr>
          <w:snapToGrid w:val="0"/>
        </w:rPr>
      </w:pPr>
      <w:r>
        <w:rPr>
          <w:snapToGrid w:val="0"/>
        </w:rPr>
        <w:tab/>
        <w:t>(1)</w:t>
      </w:r>
      <w:r>
        <w:rPr>
          <w:snapToGrid w:val="0"/>
        </w:rPr>
        <w:tab/>
        <w:t xml:space="preserve">On any application made to bring land under this Act or to have a certificate of title amended or to have a relevant graphic amended or replaced as to the description of land therein as </w:t>
      </w:r>
      <w:r>
        <w:rPr>
          <w:snapToGrid w:val="0"/>
        </w:rPr>
        <w:lastRenderedPageBreak/>
        <w:t>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No. 17 of 1950 s. 45; No. 6 of 2003 s. 49; No. 19 of 2010 s. 51.]</w:t>
      </w:r>
    </w:p>
    <w:p>
      <w:pPr>
        <w:pStyle w:val="Heading5"/>
        <w:rPr>
          <w:snapToGrid w:val="0"/>
        </w:rPr>
      </w:pPr>
      <w:bookmarkStart w:id="280" w:name="_Toc141092877"/>
      <w:r>
        <w:rPr>
          <w:rStyle w:val="CharSectno"/>
        </w:rPr>
        <w:t>157</w:t>
      </w:r>
      <w:r>
        <w:rPr>
          <w:snapToGrid w:val="0"/>
        </w:rPr>
        <w:t>.</w:t>
      </w:r>
      <w:r>
        <w:rPr>
          <w:snapToGrid w:val="0"/>
        </w:rPr>
        <w:tab/>
        <w:t>Commissioner may require accuracy of survey to be verified</w:t>
      </w:r>
      <w:bookmarkEnd w:id="280"/>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81" w:name="_Toc141092878"/>
      <w:r>
        <w:rPr>
          <w:rStyle w:val="CharSectno"/>
        </w:rPr>
        <w:t>158</w:t>
      </w:r>
      <w:r>
        <w:rPr>
          <w:snapToGrid w:val="0"/>
        </w:rPr>
        <w:t>.</w:t>
      </w:r>
      <w:r>
        <w:rPr>
          <w:snapToGrid w:val="0"/>
        </w:rPr>
        <w:tab/>
        <w:t>Commissioner may disregard minute errors of dimensions</w:t>
      </w:r>
      <w:bookmarkEnd w:id="281"/>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No. 94 of 1972 s. 4.]</w:t>
      </w:r>
    </w:p>
    <w:p>
      <w:pPr>
        <w:pStyle w:val="Heading5"/>
        <w:rPr>
          <w:snapToGrid w:val="0"/>
        </w:rPr>
      </w:pPr>
      <w:bookmarkStart w:id="282" w:name="_Toc141092879"/>
      <w:r>
        <w:rPr>
          <w:rStyle w:val="CharSectno"/>
        </w:rPr>
        <w:lastRenderedPageBreak/>
        <w:t>159</w:t>
      </w:r>
      <w:r>
        <w:rPr>
          <w:snapToGrid w:val="0"/>
        </w:rPr>
        <w:t>.</w:t>
      </w:r>
      <w:r>
        <w:rPr>
          <w:snapToGrid w:val="0"/>
        </w:rPr>
        <w:tab/>
        <w:t>Excess land may be apportioned between different owners or proprietors</w:t>
      </w:r>
      <w:bookmarkEnd w:id="282"/>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No. 81 of 1996 s. 93; No. 6 of 2003 s. 50.]</w:t>
      </w:r>
    </w:p>
    <w:p>
      <w:pPr>
        <w:pStyle w:val="Heading5"/>
        <w:rPr>
          <w:snapToGrid w:val="0"/>
        </w:rPr>
      </w:pPr>
      <w:bookmarkStart w:id="283" w:name="_Toc141092880"/>
      <w:r>
        <w:rPr>
          <w:rStyle w:val="CharSectno"/>
        </w:rPr>
        <w:t>160</w:t>
      </w:r>
      <w:r>
        <w:rPr>
          <w:snapToGrid w:val="0"/>
        </w:rPr>
        <w:t>.</w:t>
      </w:r>
      <w:r>
        <w:rPr>
          <w:snapToGrid w:val="0"/>
        </w:rPr>
        <w:tab/>
        <w:t>Commissioner’s powers where boundaries unclear in subdivision</w:t>
      </w:r>
      <w:bookmarkEnd w:id="283"/>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w:t>
      </w:r>
      <w:r>
        <w:rPr>
          <w:snapToGrid w:val="0"/>
        </w:rPr>
        <w:lastRenderedPageBreak/>
        <w:t xml:space="preserve">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w:t>
      </w:r>
      <w:r>
        <w:rPr>
          <w:spacing w:val="-4"/>
        </w:rPr>
        <w:t xml:space="preserve">2 Edw. VII. No. 10 </w:t>
      </w:r>
      <w:r>
        <w:t>s. 6; No. 81 of 1996 s. 94; No. 6 of 2003 s. 51.]</w:t>
      </w:r>
    </w:p>
    <w:p>
      <w:pPr>
        <w:pStyle w:val="Heading5"/>
        <w:rPr>
          <w:snapToGrid w:val="0"/>
        </w:rPr>
      </w:pPr>
      <w:bookmarkStart w:id="284" w:name="_Toc141092881"/>
      <w:r>
        <w:rPr>
          <w:rStyle w:val="CharSectno"/>
        </w:rPr>
        <w:lastRenderedPageBreak/>
        <w:t>161</w:t>
      </w:r>
      <w:r>
        <w:rPr>
          <w:snapToGrid w:val="0"/>
        </w:rPr>
        <w:t>.</w:t>
      </w:r>
      <w:r>
        <w:rPr>
          <w:snapToGrid w:val="0"/>
        </w:rPr>
        <w:tab/>
        <w:t>Plan to be made of subdivision proposed under s. 160</w:t>
      </w:r>
      <w:bookmarkEnd w:id="284"/>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85" w:name="_Toc141092882"/>
      <w:r>
        <w:rPr>
          <w:rStyle w:val="CharSectno"/>
        </w:rPr>
        <w:t>162</w:t>
      </w:r>
      <w:r>
        <w:rPr>
          <w:snapToGrid w:val="0"/>
        </w:rPr>
        <w:t>.</w:t>
      </w:r>
      <w:r>
        <w:rPr>
          <w:snapToGrid w:val="0"/>
        </w:rPr>
        <w:tab/>
        <w:t>Subdivision proposed under s. 160 to be advertised etc.</w:t>
      </w:r>
      <w:bookmarkEnd w:id="285"/>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No. 81 of 1996 s. 95; No. 60 of 2006 s. 118(2); No. 19 of 2010 s. 51.]</w:t>
      </w:r>
    </w:p>
    <w:p>
      <w:pPr>
        <w:pStyle w:val="Heading5"/>
        <w:spacing w:before="240"/>
        <w:rPr>
          <w:snapToGrid w:val="0"/>
        </w:rPr>
      </w:pPr>
      <w:bookmarkStart w:id="286" w:name="_Toc141092883"/>
      <w:r>
        <w:rPr>
          <w:rStyle w:val="CharSectno"/>
        </w:rPr>
        <w:t>163</w:t>
      </w:r>
      <w:r>
        <w:rPr>
          <w:snapToGrid w:val="0"/>
        </w:rPr>
        <w:t>.</w:t>
      </w:r>
      <w:r>
        <w:rPr>
          <w:snapToGrid w:val="0"/>
        </w:rPr>
        <w:tab/>
        <w:t>Finalised subdivision, verification and effect of plan of</w:t>
      </w:r>
      <w:bookmarkEnd w:id="286"/>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w:t>
      </w:r>
      <w:r>
        <w:rPr>
          <w:snapToGrid w:val="0"/>
        </w:rPr>
        <w:lastRenderedPageBreak/>
        <w:t>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ind w:left="890" w:hanging="890"/>
      </w:pPr>
      <w:r>
        <w:tab/>
        <w:t>[Section 163 amended: No. 81 of 1996 s. 96; No. 6 of 2003 s. 52; No. 19 of 2010 s. 51.]</w:t>
      </w:r>
    </w:p>
    <w:p>
      <w:pPr>
        <w:pStyle w:val="Heading5"/>
        <w:keepLines w:val="0"/>
        <w:rPr>
          <w:snapToGrid w:val="0"/>
        </w:rPr>
      </w:pPr>
      <w:bookmarkStart w:id="287" w:name="_Toc141092884"/>
      <w:r>
        <w:rPr>
          <w:rStyle w:val="CharSectno"/>
        </w:rPr>
        <w:t>164</w:t>
      </w:r>
      <w:r>
        <w:rPr>
          <w:snapToGrid w:val="0"/>
        </w:rPr>
        <w:t>.</w:t>
      </w:r>
      <w:r>
        <w:rPr>
          <w:snapToGrid w:val="0"/>
        </w:rPr>
        <w:tab/>
        <w:t>Public notice to be given of finalised subdivision and plan</w:t>
      </w:r>
      <w:bookmarkEnd w:id="287"/>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88" w:name="_Toc141092885"/>
      <w:r>
        <w:rPr>
          <w:rStyle w:val="CharSectno"/>
        </w:rPr>
        <w:t>165</w:t>
      </w:r>
      <w:r>
        <w:rPr>
          <w:snapToGrid w:val="0"/>
        </w:rPr>
        <w:t>.</w:t>
      </w:r>
      <w:r>
        <w:rPr>
          <w:snapToGrid w:val="0"/>
        </w:rPr>
        <w:tab/>
        <w:t>Expense of survey ordered under s. 160, how paid</w:t>
      </w:r>
      <w:bookmarkEnd w:id="288"/>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w:t>
      </w:r>
      <w:r>
        <w:rPr>
          <w:snapToGrid w:val="0"/>
        </w:rPr>
        <w:lastRenderedPageBreak/>
        <w:t>an equitable share of such expense to be contributed in respect of the land comprised in such application.</w:t>
      </w:r>
    </w:p>
    <w:p>
      <w:pPr>
        <w:pStyle w:val="Footnotesection"/>
        <w:ind w:left="890" w:hanging="890"/>
      </w:pPr>
      <w:r>
        <w:tab/>
        <w:t>[Section 165 amended: No. 6 of 1993 s. 12; No. 81 of 1996 s. 97; No. 6 of 2003 s. 53; No. 77 of 2006 s. 4.]</w:t>
      </w:r>
    </w:p>
    <w:p>
      <w:pPr>
        <w:pStyle w:val="Heading5"/>
        <w:rPr>
          <w:snapToGrid w:val="0"/>
        </w:rPr>
      </w:pPr>
      <w:bookmarkStart w:id="289" w:name="_Toc141092886"/>
      <w:r>
        <w:rPr>
          <w:rStyle w:val="CharSectno"/>
        </w:rPr>
        <w:t>166</w:t>
      </w:r>
      <w:r>
        <w:rPr>
          <w:snapToGrid w:val="0"/>
        </w:rPr>
        <w:t>.</w:t>
      </w:r>
      <w:r>
        <w:rPr>
          <w:snapToGrid w:val="0"/>
        </w:rPr>
        <w:tab/>
        <w:t>New certificates of title on subdivision of land</w:t>
      </w:r>
      <w:bookmarkEnd w:id="289"/>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lastRenderedPageBreak/>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No. 25 of 1909 s. 2; No. 28 of 1969 s. 7; No. 81 of 1996 s. 98; No. 31 of 1997 s. 123; No. 6 of 2003 s. 54; No. 38 of 2005 s. 15.]</w:t>
      </w:r>
    </w:p>
    <w:p>
      <w:pPr>
        <w:pStyle w:val="Heading5"/>
      </w:pPr>
      <w:bookmarkStart w:id="290" w:name="_Toc141092887"/>
      <w:r>
        <w:rPr>
          <w:rStyle w:val="CharSectno"/>
        </w:rPr>
        <w:t>166A</w:t>
      </w:r>
      <w:r>
        <w:t>.</w:t>
      </w:r>
      <w:r>
        <w:tab/>
        <w:t>Subdivisions of Crown land</w:t>
      </w:r>
      <w:bookmarkEnd w:id="290"/>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No. 31 of 1997 s. 124; amended: No. 6 of 2003 s. 55.]</w:t>
      </w:r>
    </w:p>
    <w:p>
      <w:pPr>
        <w:pStyle w:val="Heading5"/>
        <w:spacing w:before="180"/>
      </w:pPr>
      <w:bookmarkStart w:id="291" w:name="_Toc141092888"/>
      <w:r>
        <w:rPr>
          <w:rStyle w:val="CharSectno"/>
        </w:rPr>
        <w:lastRenderedPageBreak/>
        <w:t>166B</w:t>
      </w:r>
      <w:r>
        <w:t>.</w:t>
      </w:r>
      <w:r>
        <w:tab/>
        <w:t>Subsidiary certificates of Crown land title</w:t>
      </w:r>
      <w:bookmarkEnd w:id="291"/>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No. 31 of 1997 s. 124.]</w:t>
      </w:r>
    </w:p>
    <w:p>
      <w:pPr>
        <w:pStyle w:val="Heading5"/>
        <w:keepLines w:val="0"/>
        <w:rPr>
          <w:snapToGrid w:val="0"/>
        </w:rPr>
      </w:pPr>
      <w:bookmarkStart w:id="292" w:name="_Toc141092889"/>
      <w:r>
        <w:rPr>
          <w:rStyle w:val="CharSectno"/>
        </w:rPr>
        <w:t>167</w:t>
      </w:r>
      <w:r>
        <w:rPr>
          <w:snapToGrid w:val="0"/>
        </w:rPr>
        <w:t>.</w:t>
      </w:r>
      <w:r>
        <w:rPr>
          <w:snapToGrid w:val="0"/>
        </w:rPr>
        <w:tab/>
        <w:t>Number of allotment on plan of subdivision sufficient description for purposes of dealing</w:t>
      </w:r>
      <w:bookmarkEnd w:id="292"/>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No. 81 of 1996 s. 99; No. 31 of 1997 s. 125.]</w:t>
      </w:r>
    </w:p>
    <w:p>
      <w:pPr>
        <w:pStyle w:val="Heading5"/>
        <w:rPr>
          <w:snapToGrid w:val="0"/>
        </w:rPr>
      </w:pPr>
      <w:bookmarkStart w:id="293" w:name="_Toc141092890"/>
      <w:r>
        <w:rPr>
          <w:rStyle w:val="CharSectno"/>
        </w:rPr>
        <w:t>167A</w:t>
      </w:r>
      <w:r>
        <w:rPr>
          <w:snapToGrid w:val="0"/>
        </w:rPr>
        <w:t>.</w:t>
      </w:r>
      <w:r>
        <w:rPr>
          <w:snapToGrid w:val="0"/>
        </w:rPr>
        <w:tab/>
        <w:t>Rights of way generally not public ways or thoroughfares</w:t>
      </w:r>
      <w:bookmarkEnd w:id="293"/>
    </w:p>
    <w:p>
      <w:pPr>
        <w:pStyle w:val="Subsection"/>
        <w:rPr>
          <w:snapToGrid w:val="0"/>
        </w:rPr>
      </w:pPr>
      <w:r>
        <w:rPr>
          <w:snapToGrid w:val="0"/>
        </w:rPr>
        <w:tab/>
        <w:t>(1)</w:t>
      </w:r>
      <w:r>
        <w:rPr>
          <w:snapToGrid w:val="0"/>
        </w:rPr>
        <w:tab/>
        <w:t xml:space="preserve">Subject to subsection (2), every right of way shown and marked as such upon any map or plan deposited with the Registrar, </w:t>
      </w:r>
      <w:r>
        <w:rPr>
          <w:snapToGrid w:val="0"/>
        </w:rPr>
        <w:lastRenderedPageBreak/>
        <w:t>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pPr>
        <w:pStyle w:val="Footnotesection"/>
      </w:pPr>
      <w:r>
        <w:tab/>
        <w:t>[Section 167A inserted: 2 Edw. VII. No. 10 s. 8 (as amended: No. 17 of 1950 s. 75); amended: No. 57 of 1991 s. 22; No. 81 of 1996 s. 100; No. 38 of 2005 s. 15.]</w:t>
      </w:r>
    </w:p>
    <w:p>
      <w:pPr>
        <w:pStyle w:val="Heading5"/>
        <w:keepNext w:val="0"/>
        <w:keepLines w:val="0"/>
        <w:rPr>
          <w:snapToGrid w:val="0"/>
        </w:rPr>
      </w:pPr>
      <w:bookmarkStart w:id="294" w:name="_Toc141092891"/>
      <w:r>
        <w:rPr>
          <w:rStyle w:val="CharSectno"/>
        </w:rPr>
        <w:t>168</w:t>
      </w:r>
      <w:r>
        <w:rPr>
          <w:snapToGrid w:val="0"/>
        </w:rPr>
        <w:t>.</w:t>
      </w:r>
      <w:r>
        <w:rPr>
          <w:snapToGrid w:val="0"/>
        </w:rPr>
        <w:tab/>
        <w:t>Abuttals may be used in description of land in certificate</w:t>
      </w:r>
      <w:bookmarkEnd w:id="294"/>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lastRenderedPageBreak/>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ind w:left="890" w:hanging="890"/>
      </w:pPr>
      <w:r>
        <w:tab/>
        <w:t>[Section 168 amended: No. 81 of 1996 s. 101; No. 6 of 2003 s. 58; No. 19 of 2010 s. 51.]</w:t>
      </w:r>
    </w:p>
    <w:p>
      <w:pPr>
        <w:pStyle w:val="Heading5"/>
        <w:rPr>
          <w:snapToGrid w:val="0"/>
        </w:rPr>
      </w:pPr>
      <w:bookmarkStart w:id="295" w:name="_Toc141092892"/>
      <w:r>
        <w:rPr>
          <w:rStyle w:val="CharSectno"/>
        </w:rPr>
        <w:t>169</w:t>
      </w:r>
      <w:r>
        <w:rPr>
          <w:snapToGrid w:val="0"/>
        </w:rPr>
        <w:t>.</w:t>
      </w:r>
      <w:r>
        <w:rPr>
          <w:snapToGrid w:val="0"/>
        </w:rPr>
        <w:tab/>
        <w:t>Objects which may constitute abuttals</w:t>
      </w:r>
      <w:bookmarkEnd w:id="295"/>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No. 6 of 2003 s. 59; No. 19 of 2010 s. 51.]</w:t>
      </w:r>
    </w:p>
    <w:p>
      <w:pPr>
        <w:pStyle w:val="Heading2"/>
      </w:pPr>
      <w:bookmarkStart w:id="296" w:name="_Toc141092510"/>
      <w:bookmarkStart w:id="297" w:name="_Toc141092893"/>
      <w:r>
        <w:rPr>
          <w:rStyle w:val="CharPartNo"/>
        </w:rPr>
        <w:lastRenderedPageBreak/>
        <w:t>Part IX</w:t>
      </w:r>
      <w:r>
        <w:rPr>
          <w:rStyle w:val="CharDivNo"/>
        </w:rPr>
        <w:t> </w:t>
      </w:r>
      <w:r>
        <w:t>—</w:t>
      </w:r>
      <w:r>
        <w:rPr>
          <w:rStyle w:val="CharDivText"/>
        </w:rPr>
        <w:t> </w:t>
      </w:r>
      <w:r>
        <w:rPr>
          <w:rStyle w:val="CharPartText"/>
        </w:rPr>
        <w:t>Amendment of certificates and amendment or replacement of graphics</w:t>
      </w:r>
      <w:bookmarkEnd w:id="296"/>
      <w:bookmarkEnd w:id="297"/>
    </w:p>
    <w:p>
      <w:pPr>
        <w:pStyle w:val="Footnoteheading"/>
      </w:pPr>
      <w:r>
        <w:tab/>
        <w:t>[Heading inserted: No. 6 of 2003 s. 60.]</w:t>
      </w:r>
    </w:p>
    <w:p>
      <w:pPr>
        <w:pStyle w:val="Heading5"/>
      </w:pPr>
      <w:bookmarkStart w:id="298" w:name="_Toc141092894"/>
      <w:r>
        <w:rPr>
          <w:rStyle w:val="CharSectno"/>
        </w:rPr>
        <w:t>169A</w:t>
      </w:r>
      <w:r>
        <w:t>.</w:t>
      </w:r>
      <w:r>
        <w:tab/>
        <w:t>Only Minister for Lands may alter areas, boundaries or positions of parcels of Crown land</w:t>
      </w:r>
      <w:bookmarkEnd w:id="298"/>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No. 31 of 1997 s. 126.]</w:t>
      </w:r>
    </w:p>
    <w:p>
      <w:pPr>
        <w:pStyle w:val="Heading5"/>
        <w:rPr>
          <w:snapToGrid w:val="0"/>
        </w:rPr>
      </w:pPr>
      <w:bookmarkStart w:id="299" w:name="_Toc141092895"/>
      <w:r>
        <w:rPr>
          <w:rStyle w:val="CharSectno"/>
        </w:rPr>
        <w:t>170</w:t>
      </w:r>
      <w:r>
        <w:rPr>
          <w:snapToGrid w:val="0"/>
        </w:rPr>
        <w:t>.</w:t>
      </w:r>
      <w:r>
        <w:rPr>
          <w:snapToGrid w:val="0"/>
        </w:rPr>
        <w:tab/>
        <w:t>Proprietor may apply for amendment of certificate to make boundaries coincide with land occupied under certificate</w:t>
      </w:r>
      <w:bookmarkEnd w:id="299"/>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No. 81 of 1996 s. 102; No. 6 of 2003 s. 61.]</w:t>
      </w:r>
    </w:p>
    <w:p>
      <w:pPr>
        <w:pStyle w:val="Heading5"/>
        <w:rPr>
          <w:snapToGrid w:val="0"/>
        </w:rPr>
      </w:pPr>
      <w:bookmarkStart w:id="300" w:name="_Toc141092896"/>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00"/>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w:t>
      </w:r>
      <w:r>
        <w:rPr>
          <w:snapToGrid w:val="0"/>
        </w:rPr>
        <w:lastRenderedPageBreak/>
        <w:t>misdescription is included in the land described in any other certificate or</w:t>
      </w:r>
      <w:r>
        <w:t xml:space="preserve"> relevant graphic.</w:t>
      </w:r>
    </w:p>
    <w:p>
      <w:pPr>
        <w:pStyle w:val="Footnotesection"/>
        <w:ind w:left="890" w:hanging="890"/>
      </w:pPr>
      <w:r>
        <w:tab/>
        <w:t>[Section 171 amended: No. 81 of 1996 s. 103; No. 6 of 2003 s. 62.]</w:t>
      </w:r>
    </w:p>
    <w:p>
      <w:pPr>
        <w:pStyle w:val="Heading5"/>
        <w:rPr>
          <w:snapToGrid w:val="0"/>
        </w:rPr>
      </w:pPr>
      <w:bookmarkStart w:id="301" w:name="_Toc141092897"/>
      <w:r>
        <w:rPr>
          <w:rStyle w:val="CharSectno"/>
        </w:rPr>
        <w:t>172</w:t>
      </w:r>
      <w:r>
        <w:rPr>
          <w:snapToGrid w:val="0"/>
        </w:rPr>
        <w:t>.</w:t>
      </w:r>
      <w:r>
        <w:rPr>
          <w:snapToGrid w:val="0"/>
        </w:rPr>
        <w:tab/>
        <w:t>Form of application under s. 170 or 171</w:t>
      </w:r>
      <w:bookmarkEnd w:id="301"/>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No. 6 of 2003 s. 63; No. 60 of 2006 s. 118(2).]</w:t>
      </w:r>
    </w:p>
    <w:p>
      <w:pPr>
        <w:pStyle w:val="Heading5"/>
        <w:rPr>
          <w:snapToGrid w:val="0"/>
        </w:rPr>
      </w:pPr>
      <w:bookmarkStart w:id="302" w:name="_Toc141092898"/>
      <w:r>
        <w:rPr>
          <w:rStyle w:val="CharSectno"/>
        </w:rPr>
        <w:t>173</w:t>
      </w:r>
      <w:r>
        <w:rPr>
          <w:snapToGrid w:val="0"/>
        </w:rPr>
        <w:t>.</w:t>
      </w:r>
      <w:r>
        <w:rPr>
          <w:snapToGrid w:val="0"/>
        </w:rPr>
        <w:tab/>
        <w:t>How application under s. 170 or 171 to be dealt with</w:t>
      </w:r>
      <w:bookmarkEnd w:id="302"/>
    </w:p>
    <w:p>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w:t>
      </w:r>
      <w:r>
        <w:rPr>
          <w:snapToGrid w:val="0"/>
        </w:rPr>
        <w:lastRenderedPageBreak/>
        <w:t>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303" w:name="_Toc141092899"/>
      <w:r>
        <w:rPr>
          <w:rStyle w:val="CharSectno"/>
        </w:rPr>
        <w:t>174</w:t>
      </w:r>
      <w:r>
        <w:t>.</w:t>
      </w:r>
      <w:r>
        <w:tab/>
        <w:t>Notice of s. 170 or 171 application to be given to owners etc. of adjourning land affected by it</w:t>
      </w:r>
      <w:bookmarkEnd w:id="303"/>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No. 6 of 2003 s. 64; amended: No. 56 of 2003 s. 18.]</w:t>
      </w:r>
    </w:p>
    <w:p>
      <w:pPr>
        <w:pStyle w:val="Heading5"/>
        <w:rPr>
          <w:snapToGrid w:val="0"/>
        </w:rPr>
      </w:pPr>
      <w:bookmarkStart w:id="304" w:name="_Toc141092900"/>
      <w:r>
        <w:rPr>
          <w:rStyle w:val="CharSectno"/>
        </w:rPr>
        <w:t>175</w:t>
      </w:r>
      <w:r>
        <w:rPr>
          <w:snapToGrid w:val="0"/>
        </w:rPr>
        <w:t>.</w:t>
      </w:r>
      <w:r>
        <w:rPr>
          <w:snapToGrid w:val="0"/>
        </w:rPr>
        <w:tab/>
        <w:t>Notice of s. 170 or 171 application to be published and publicly displayed</w:t>
      </w:r>
      <w:bookmarkEnd w:id="304"/>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w:t>
      </w:r>
      <w:r>
        <w:rPr>
          <w:snapToGrid w:val="0"/>
        </w:rPr>
        <w:lastRenderedPageBreak/>
        <w:t>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No. 81 of 1996 s. 105; No. 6 of 2003 s. 65; No. 60 of 2006 s. 118(2).]</w:t>
      </w:r>
    </w:p>
    <w:p>
      <w:pPr>
        <w:pStyle w:val="Heading5"/>
        <w:rPr>
          <w:snapToGrid w:val="0"/>
        </w:rPr>
      </w:pPr>
      <w:bookmarkStart w:id="305" w:name="_Toc141092901"/>
      <w:r>
        <w:rPr>
          <w:rStyle w:val="CharSectno"/>
        </w:rPr>
        <w:t>176</w:t>
      </w:r>
      <w:r>
        <w:rPr>
          <w:snapToGrid w:val="0"/>
        </w:rPr>
        <w:t>.</w:t>
      </w:r>
      <w:r>
        <w:rPr>
          <w:snapToGrid w:val="0"/>
        </w:rPr>
        <w:tab/>
        <w:t>Person opposing s. 170 or 171 application may lodge caveat</w:t>
      </w:r>
      <w:bookmarkEnd w:id="305"/>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306" w:name="_Toc141092902"/>
      <w:r>
        <w:rPr>
          <w:rStyle w:val="CharSectno"/>
        </w:rPr>
        <w:t>177</w:t>
      </w:r>
      <w:r>
        <w:rPr>
          <w:snapToGrid w:val="0"/>
        </w:rPr>
        <w:t>.</w:t>
      </w:r>
      <w:r>
        <w:rPr>
          <w:snapToGrid w:val="0"/>
        </w:rPr>
        <w:tab/>
        <w:t>Applications under s. 170, 171 or 20 may be granted although other certificates may be affected</w:t>
      </w:r>
      <w:bookmarkEnd w:id="306"/>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No. 81 of 1996 s. 106 and 145(2); No. 6 of 2003 s. 66.]</w:t>
      </w:r>
    </w:p>
    <w:p>
      <w:pPr>
        <w:pStyle w:val="Heading5"/>
      </w:pPr>
      <w:bookmarkStart w:id="307" w:name="_Toc141092903"/>
      <w:r>
        <w:rPr>
          <w:rStyle w:val="CharSectno"/>
        </w:rPr>
        <w:lastRenderedPageBreak/>
        <w:t>178</w:t>
      </w:r>
      <w:r>
        <w:t>.</w:t>
      </w:r>
      <w:r>
        <w:tab/>
        <w:t>On granting application other certificates, relevant graphics and duplicate certificates may be amended, replaced or reissued</w:t>
      </w:r>
      <w:bookmarkEnd w:id="307"/>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No. 6 of 2003 s. 67; amended: No. 60 of 2006 s. 118</w:t>
      </w:r>
      <w:r>
        <w:rPr>
          <w:spacing w:val="-4"/>
        </w:rPr>
        <w:t>(1)</w:t>
      </w:r>
      <w:r>
        <w:t>.]</w:t>
      </w:r>
    </w:p>
    <w:p>
      <w:pPr>
        <w:pStyle w:val="Ednotesection"/>
      </w:pPr>
      <w:r>
        <w:lastRenderedPageBreak/>
        <w:t>[</w:t>
      </w:r>
      <w:r>
        <w:rPr>
          <w:b/>
        </w:rPr>
        <w:t>179.</w:t>
      </w:r>
      <w:r>
        <w:tab/>
        <w:t>Deleted: No. 6 of 2003 s. 68.]</w:t>
      </w:r>
    </w:p>
    <w:p>
      <w:pPr>
        <w:pStyle w:val="Heading2"/>
      </w:pPr>
      <w:bookmarkStart w:id="308" w:name="_Toc141092521"/>
      <w:bookmarkStart w:id="309" w:name="_Toc141092904"/>
      <w:r>
        <w:rPr>
          <w:rStyle w:val="CharPartNo"/>
        </w:rPr>
        <w:lastRenderedPageBreak/>
        <w:t>Part X</w:t>
      </w:r>
      <w:r>
        <w:rPr>
          <w:rStyle w:val="CharDivNo"/>
        </w:rPr>
        <w:t> </w:t>
      </w:r>
      <w:r>
        <w:t>—</w:t>
      </w:r>
      <w:r>
        <w:rPr>
          <w:rStyle w:val="CharDivText"/>
        </w:rPr>
        <w:t> </w:t>
      </w:r>
      <w:r>
        <w:rPr>
          <w:rStyle w:val="CharPartText"/>
        </w:rPr>
        <w:t>Special powers and duties of the Commissioner and Registrar</w:t>
      </w:r>
      <w:bookmarkEnd w:id="308"/>
      <w:bookmarkEnd w:id="309"/>
    </w:p>
    <w:p>
      <w:pPr>
        <w:pStyle w:val="Heading5"/>
      </w:pPr>
      <w:bookmarkStart w:id="310" w:name="_Toc141092905"/>
      <w:r>
        <w:rPr>
          <w:rStyle w:val="CharSectno"/>
        </w:rPr>
        <w:t>180</w:t>
      </w:r>
      <w:r>
        <w:t>.</w:t>
      </w:r>
      <w:r>
        <w:tab/>
        <w:t>Commissioner may summons people to provide information</w:t>
      </w:r>
      <w:bookmarkEnd w:id="310"/>
    </w:p>
    <w:p>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Indenta"/>
      </w:pPr>
      <w:r>
        <w:tab/>
        <w:t>(a)</w:t>
      </w:r>
      <w:r>
        <w:tab/>
        <w:t xml:space="preserve">to give an explanation concerning — </w:t>
      </w:r>
    </w:p>
    <w:p>
      <w:pPr>
        <w:pStyle w:val="Indenti"/>
      </w:pPr>
      <w:r>
        <w:tab/>
        <w:t>(i)</w:t>
      </w:r>
      <w:r>
        <w:tab/>
        <w:t>any land; or</w:t>
      </w:r>
    </w:p>
    <w:p>
      <w:pPr>
        <w:pStyle w:val="Indenti"/>
      </w:pPr>
      <w:r>
        <w:tab/>
        <w:t>(ii)</w:t>
      </w:r>
      <w:r>
        <w:tab/>
        <w:t>any document affecting the title to any land; or</w:t>
      </w:r>
    </w:p>
    <w:p>
      <w:pPr>
        <w:pStyle w:val="Indenti"/>
      </w:pPr>
      <w:r>
        <w:tab/>
        <w:t>(iii)</w:t>
      </w:r>
      <w:r>
        <w:tab/>
        <w:t>any conveyancing transaction;</w:t>
      </w:r>
    </w:p>
    <w:p>
      <w:pPr>
        <w:pStyle w:val="Indenta"/>
      </w:pPr>
      <w:r>
        <w:tab/>
        <w:t>(b)</w:t>
      </w:r>
      <w:r>
        <w:tab/>
        <w:t xml:space="preserve">to produce any grant, certificate of title, will, mortgage or other instrument or document in the person’s possession or within the person’s control — </w:t>
      </w:r>
    </w:p>
    <w:p>
      <w:pPr>
        <w:pStyle w:val="Indenti"/>
      </w:pPr>
      <w:r>
        <w:tab/>
        <w:t>(i)</w:t>
      </w:r>
      <w:r>
        <w:tab/>
        <w:t>affecting any land or the title to any land; or</w:t>
      </w:r>
    </w:p>
    <w:p>
      <w:pPr>
        <w:pStyle w:val="Indenti"/>
      </w:pPr>
      <w:r>
        <w:tab/>
        <w:t>(ii)</w:t>
      </w:r>
      <w:r>
        <w:tab/>
        <w:t>relating to any conveyancing transaction.</w:t>
      </w:r>
    </w:p>
    <w:p>
      <w:pPr>
        <w:pStyle w:val="Subsection"/>
      </w:pPr>
      <w:r>
        <w:tab/>
        <w:t>(2)</w:t>
      </w:r>
      <w:r>
        <w:tab/>
        <w:t xml:space="preserve">The persons referred to in subsection (1) are the following — </w:t>
      </w:r>
    </w:p>
    <w:p>
      <w:pPr>
        <w:pStyle w:val="Indenta"/>
      </w:pPr>
      <w:r>
        <w:tab/>
        <w:t>(a)</w:t>
      </w:r>
      <w:r>
        <w:tab/>
        <w:t xml:space="preserve">the proprietor, mortgagee or other person interested in any land under, or proposed to be brought under, the operation of this Act in respect of which — </w:t>
      </w:r>
    </w:p>
    <w:p>
      <w:pPr>
        <w:pStyle w:val="Indenti"/>
      </w:pPr>
      <w:r>
        <w:tab/>
        <w:t>(i)</w:t>
      </w:r>
      <w:r>
        <w:tab/>
        <w:t>any transfer, lease, mortgage, charge, carbon right, carbon covenant, tree plantation agreement or other dealing is proposed to be transacted or registered; or</w:t>
      </w:r>
    </w:p>
    <w:p>
      <w:pPr>
        <w:pStyle w:val="Indenti"/>
      </w:pPr>
      <w:r>
        <w:tab/>
        <w:t>(ii)</w:t>
      </w:r>
      <w:r>
        <w:tab/>
        <w:t>any discharge from any mortgage or charge, or any surrender of a carbon right, carbon covenant or plantation interest, is proposed to be transacted or registered; or</w:t>
      </w:r>
    </w:p>
    <w:p>
      <w:pPr>
        <w:pStyle w:val="Indenti"/>
      </w:pPr>
      <w:r>
        <w:tab/>
        <w:t>(iii)</w:t>
      </w:r>
      <w:r>
        <w:tab/>
        <w:t>any transmission is proposed to be registered;</w:t>
      </w:r>
    </w:p>
    <w:p>
      <w:pPr>
        <w:pStyle w:val="Indenta"/>
      </w:pPr>
      <w:r>
        <w:lastRenderedPageBreak/>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Indenti"/>
      </w:pPr>
      <w:r>
        <w:tab/>
        <w:t>(i)</w:t>
      </w:r>
      <w:r>
        <w:tab/>
        <w:t>a subscriber;</w:t>
      </w:r>
    </w:p>
    <w:p>
      <w:pPr>
        <w:pStyle w:val="Indenti"/>
      </w:pPr>
      <w:r>
        <w:tab/>
        <w:t>(ii)</w:t>
      </w:r>
      <w:r>
        <w:tab/>
        <w:t>any of a subscriber’s employees, agents, contractors or officers;</w:t>
      </w:r>
    </w:p>
    <w:p>
      <w:pPr>
        <w:pStyle w:val="Indenti"/>
      </w:pPr>
      <w:r>
        <w:tab/>
        <w:t>(iii)</w:t>
      </w:r>
      <w:r>
        <w:tab/>
        <w:t>a lawyer;</w:t>
      </w:r>
    </w:p>
    <w:p>
      <w:pPr>
        <w:pStyle w:val="Indenti"/>
      </w:pPr>
      <w:r>
        <w:tab/>
        <w:t>(iv)</w:t>
      </w:r>
      <w:r>
        <w:tab/>
        <w:t xml:space="preserve">a settlement agent as defined in the </w:t>
      </w:r>
      <w:r>
        <w:rPr>
          <w:i/>
        </w:rPr>
        <w:t>Settlement Agents Act 1981</w:t>
      </w:r>
      <w:r>
        <w:t xml:space="preserve"> section 3(1);</w:t>
      </w:r>
    </w:p>
    <w:p>
      <w:pPr>
        <w:pStyle w:val="Indenti"/>
      </w:pPr>
      <w:r>
        <w:tab/>
        <w:t>(v)</w:t>
      </w:r>
      <w:r>
        <w:tab/>
        <w:t>an ELNO;</w:t>
      </w:r>
    </w:p>
    <w:p>
      <w:pPr>
        <w:pStyle w:val="Indenti"/>
      </w:pPr>
      <w:r>
        <w:tab/>
        <w:t>(vi)</w:t>
      </w:r>
      <w:r>
        <w:tab/>
        <w:t>any of an ELNO’s employees, agents, contractors or officers.</w:t>
      </w:r>
    </w:p>
    <w:p>
      <w:pPr>
        <w:pStyle w:val="Subsection"/>
      </w:pPr>
      <w:r>
        <w:tab/>
        <w:t>(3)</w:t>
      </w:r>
      <w:r>
        <w:tab/>
        <w:t xml:space="preserve">A summons under subsection (1) must be — </w:t>
      </w:r>
    </w:p>
    <w:p>
      <w:pPr>
        <w:pStyle w:val="Indenta"/>
      </w:pPr>
      <w:r>
        <w:tab/>
        <w:t>(a)</w:t>
      </w:r>
      <w:r>
        <w:tab/>
        <w:t>in an approved form; and</w:t>
      </w:r>
    </w:p>
    <w:p>
      <w:pPr>
        <w:pStyle w:val="Indenta"/>
      </w:pPr>
      <w:r>
        <w:tab/>
        <w:t>(b)</w:t>
      </w:r>
      <w:r>
        <w:tab/>
        <w:t>signed by the Commissioner; and</w:t>
      </w:r>
    </w:p>
    <w:p>
      <w:pPr>
        <w:pStyle w:val="Indenta"/>
      </w:pPr>
      <w:r>
        <w:tab/>
        <w:t>(c)</w:t>
      </w:r>
      <w:r>
        <w:tab/>
        <w:t>served on the person summoned in accordance with section 240 as if it were a notice to which that section applies.</w:t>
      </w:r>
    </w:p>
    <w:p>
      <w:pPr>
        <w:pStyle w:val="Subsection"/>
      </w:pPr>
      <w:r>
        <w:tab/>
        <w:t>(4)</w:t>
      </w:r>
      <w:r>
        <w:tab/>
        <w:t xml:space="preserve">For the purposes of this section — </w:t>
      </w:r>
    </w:p>
    <w:p>
      <w:pPr>
        <w:pStyle w:val="Indenta"/>
      </w:pPr>
      <w:r>
        <w:tab/>
        <w:t>(a)</w:t>
      </w:r>
      <w:r>
        <w:tab/>
        <w:t>the Commissioner may require a person summoned under subsection (1) to take an oath or to make an affirmation; and</w:t>
      </w:r>
    </w:p>
    <w:p>
      <w:pPr>
        <w:pStyle w:val="Indenta"/>
      </w:pPr>
      <w:r>
        <w:tab/>
        <w:t>(b)</w:t>
      </w:r>
      <w:r>
        <w:tab/>
        <w:t>the Commissioner may administer an oath or affirmation to the person.</w:t>
      </w:r>
    </w:p>
    <w:p>
      <w:pPr>
        <w:pStyle w:val="Subsection"/>
      </w:pPr>
      <w:r>
        <w:tab/>
        <w:t>(5)</w:t>
      </w:r>
      <w:r>
        <w:tab/>
        <w:t xml:space="preserve">If a person is summoned under subsection (1), the Commissioner may deal with the person as in the case of contempt of the Supreme Court if the person — </w:t>
      </w:r>
    </w:p>
    <w:p>
      <w:pPr>
        <w:pStyle w:val="Indenta"/>
      </w:pPr>
      <w:r>
        <w:tab/>
        <w:t>(a)</w:t>
      </w:r>
      <w:r>
        <w:tab/>
        <w:t xml:space="preserve">fails, refuses or neglects — </w:t>
      </w:r>
    </w:p>
    <w:p>
      <w:pPr>
        <w:pStyle w:val="Indenti"/>
      </w:pPr>
      <w:r>
        <w:lastRenderedPageBreak/>
        <w:tab/>
        <w:t>(i)</w:t>
      </w:r>
      <w:r>
        <w:tab/>
        <w:t>to attend the Commissioner for the purpose of being examined; or</w:t>
      </w:r>
    </w:p>
    <w:p>
      <w:pPr>
        <w:pStyle w:val="Indenti"/>
      </w:pPr>
      <w:r>
        <w:tab/>
        <w:t>(ii)</w:t>
      </w:r>
      <w:r>
        <w:tab/>
        <w:t>to produce any document as required by the summons; or</w:t>
      </w:r>
    </w:p>
    <w:p>
      <w:pPr>
        <w:pStyle w:val="Indenti"/>
      </w:pPr>
      <w:r>
        <w:tab/>
        <w:t>(iii)</w:t>
      </w:r>
      <w:r>
        <w:tab/>
        <w:t>to allow any document to which subparagraph (ii) applies to be inspected;</w:t>
      </w:r>
    </w:p>
    <w:p>
      <w:pPr>
        <w:pStyle w:val="Indenta"/>
      </w:pPr>
      <w:r>
        <w:tab/>
      </w:r>
      <w:r>
        <w:tab/>
        <w:t>or</w:t>
      </w:r>
    </w:p>
    <w:p>
      <w:pPr>
        <w:pStyle w:val="Indenta"/>
      </w:pPr>
      <w:r>
        <w:tab/>
        <w:t>(b)</w:t>
      </w:r>
      <w:r>
        <w:tab/>
        <w:t>refuses or neglects to give any explanation required by the Commissioner.</w:t>
      </w:r>
    </w:p>
    <w:p>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Footnotesection"/>
        <w:spacing w:before="100"/>
        <w:ind w:left="890" w:hanging="890"/>
      </w:pPr>
      <w:r>
        <w:tab/>
        <w:t>[Section 180 inserted: No. 2 of 2014 s. 77; amended: No. 9 of 2022 s. 424.]</w:t>
      </w:r>
    </w:p>
    <w:p>
      <w:pPr>
        <w:pStyle w:val="Heading5"/>
      </w:pPr>
      <w:bookmarkStart w:id="311" w:name="_Toc141092906"/>
      <w:r>
        <w:rPr>
          <w:rStyle w:val="CharSectno"/>
        </w:rPr>
        <w:t>181A</w:t>
      </w:r>
      <w:r>
        <w:t>.</w:t>
      </w:r>
      <w:r>
        <w:tab/>
        <w:t>Commissioner and Registrar may require supporting documentation or evidence or verification</w:t>
      </w:r>
      <w:bookmarkEnd w:id="311"/>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Indenta"/>
      </w:pPr>
      <w:r>
        <w:tab/>
        <w:t>(a)</w:t>
      </w:r>
      <w:r>
        <w:tab/>
        <w:t>to submit or produce any document supporting or authenticating the document;</w:t>
      </w:r>
    </w:p>
    <w:p>
      <w:pPr>
        <w:pStyle w:val="Indenta"/>
      </w:pPr>
      <w:r>
        <w:tab/>
        <w:t>(b)</w:t>
      </w:r>
      <w:r>
        <w:tab/>
        <w:t>to provide specified information relating to the document;</w:t>
      </w:r>
    </w:p>
    <w:p>
      <w:pPr>
        <w:pStyle w:val="Indenta"/>
      </w:pPr>
      <w:r>
        <w:tab/>
        <w:t>(c)</w:t>
      </w:r>
      <w:r>
        <w:tab/>
        <w:t xml:space="preserve">to submit or produce evidence relating to a certification given in or with the document, including (without limitation) — </w:t>
      </w:r>
    </w:p>
    <w:p>
      <w:pPr>
        <w:pStyle w:val="Indenti"/>
      </w:pPr>
      <w:r>
        <w:lastRenderedPageBreak/>
        <w:tab/>
        <w:t>(i)</w:t>
      </w:r>
      <w:r>
        <w:tab/>
        <w:t>evidence showing the truth of the certification;</w:t>
      </w:r>
    </w:p>
    <w:p>
      <w:pPr>
        <w:pStyle w:val="Indenti"/>
      </w:pPr>
      <w:r>
        <w:tab/>
        <w:t>(ii)</w:t>
      </w:r>
      <w:r>
        <w:tab/>
        <w:t>evidence that the person who gave the certification was entitled to give it;</w:t>
      </w:r>
    </w:p>
    <w:p>
      <w:pPr>
        <w:pStyle w:val="Indenta"/>
      </w:pPr>
      <w:r>
        <w:tab/>
        <w:t>(d)</w:t>
      </w:r>
      <w:r>
        <w:tab/>
        <w:t>to verify any document, information, evidence, certification or other matter by statutory declaration.</w:t>
      </w:r>
    </w:p>
    <w:p>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Indenta"/>
      </w:pPr>
      <w:r>
        <w:tab/>
        <w:t>(a)</w:t>
      </w:r>
      <w:r>
        <w:tab/>
        <w:t>to give a certification in or in relation to the document;</w:t>
      </w:r>
    </w:p>
    <w:p>
      <w:pPr>
        <w:pStyle w:val="Indenta"/>
      </w:pPr>
      <w:r>
        <w:tab/>
        <w:t>(b)</w:t>
      </w:r>
      <w:r>
        <w:tab/>
        <w:t xml:space="preserve">to verify the identity and authority of — </w:t>
      </w:r>
    </w:p>
    <w:p>
      <w:pPr>
        <w:pStyle w:val="Indenti"/>
      </w:pPr>
      <w:r>
        <w:tab/>
        <w:t>(i)</w:t>
      </w:r>
      <w:r>
        <w:tab/>
        <w:t>any person who is a party to the conveyancing transaction to which the document relates;</w:t>
      </w:r>
    </w:p>
    <w:p>
      <w:pPr>
        <w:pStyle w:val="Indenti"/>
      </w:pPr>
      <w:r>
        <w:tab/>
        <w:t>(ii)</w:t>
      </w:r>
      <w:r>
        <w:tab/>
        <w:t>any person who signed or authorised the signing of the document.</w:t>
      </w:r>
    </w:p>
    <w:p>
      <w:pPr>
        <w:pStyle w:val="Subsection"/>
      </w:pPr>
      <w:r>
        <w:tab/>
        <w:t>(4)</w:t>
      </w:r>
      <w:r>
        <w:tab/>
        <w:t xml:space="preserve">A requirement made under subsection (2) or (3) — </w:t>
      </w:r>
    </w:p>
    <w:p>
      <w:pPr>
        <w:pStyle w:val="Indenta"/>
      </w:pPr>
      <w:r>
        <w:tab/>
        <w:t>(a)</w:t>
      </w:r>
      <w:r>
        <w:tab/>
        <w:t>must be given by notice served on the person to whom the requirement relates; and</w:t>
      </w:r>
    </w:p>
    <w:p>
      <w:pPr>
        <w:pStyle w:val="Indenta"/>
      </w:pPr>
      <w:r>
        <w:tab/>
        <w:t>(b)</w:t>
      </w:r>
      <w:r>
        <w:tab/>
        <w:t>must specify a period within which the requirement must be complied with; and</w:t>
      </w:r>
    </w:p>
    <w:p>
      <w:pPr>
        <w:pStyle w:val="Indenta"/>
      </w:pPr>
      <w:r>
        <w:tab/>
        <w:t>(c)</w:t>
      </w:r>
      <w:r>
        <w:tab/>
        <w:t>may specify how the requirement is to be complied with.</w:t>
      </w:r>
    </w:p>
    <w:p>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Indenta"/>
      </w:pPr>
      <w:r>
        <w:tab/>
        <w:t>(a)</w:t>
      </w:r>
      <w:r>
        <w:tab/>
        <w:t>may reject the document; and</w:t>
      </w:r>
    </w:p>
    <w:p>
      <w:pPr>
        <w:pStyle w:val="Indenta"/>
      </w:pPr>
      <w:r>
        <w:tab/>
        <w:t>(b)</w:t>
      </w:r>
      <w:r>
        <w:tab/>
        <w:t>if the document is rejected, must notify the refusal to the person lodging the document.</w:t>
      </w:r>
    </w:p>
    <w:p>
      <w:pPr>
        <w:pStyle w:val="Subsection"/>
      </w:pPr>
      <w:r>
        <w:lastRenderedPageBreak/>
        <w:tab/>
        <w:t>(6)</w:t>
      </w:r>
      <w:r>
        <w:tab/>
        <w:t>If a document is rejected under subsection (5), section 192(2) applies as if the document had been rejected under section 192(1).</w:t>
      </w:r>
    </w:p>
    <w:p>
      <w:pPr>
        <w:pStyle w:val="Footnotesection"/>
        <w:spacing w:before="100"/>
        <w:ind w:left="890" w:hanging="890"/>
      </w:pPr>
      <w:r>
        <w:tab/>
        <w:t>[Section 181A inserted: No. 2 of 2014 s. 77.]</w:t>
      </w:r>
    </w:p>
    <w:p>
      <w:pPr>
        <w:pStyle w:val="Heading5"/>
      </w:pPr>
      <w:bookmarkStart w:id="312" w:name="_Toc141092907"/>
      <w:r>
        <w:rPr>
          <w:rStyle w:val="CharSectno"/>
        </w:rPr>
        <w:t>181B</w:t>
      </w:r>
      <w:r>
        <w:t>.</w:t>
      </w:r>
      <w:r>
        <w:tab/>
        <w:t>Commissioner and Registrar may require verification by statutory declaration</w:t>
      </w:r>
      <w:bookmarkEnd w:id="312"/>
    </w:p>
    <w:p>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Footnotesection"/>
        <w:spacing w:before="100"/>
        <w:ind w:left="890" w:hanging="890"/>
      </w:pPr>
      <w:r>
        <w:tab/>
        <w:t>[Section 181B inserted: No. 2 of 2014 s. 77.]</w:t>
      </w:r>
    </w:p>
    <w:p>
      <w:pPr>
        <w:pStyle w:val="Heading5"/>
        <w:rPr>
          <w:snapToGrid w:val="0"/>
        </w:rPr>
      </w:pPr>
      <w:bookmarkStart w:id="313" w:name="_Toc141092908"/>
      <w:r>
        <w:rPr>
          <w:rStyle w:val="CharSectno"/>
        </w:rPr>
        <w:t>181</w:t>
      </w:r>
      <w:r>
        <w:rPr>
          <w:snapToGrid w:val="0"/>
        </w:rPr>
        <w:t>.</w:t>
      </w:r>
      <w:r>
        <w:rPr>
          <w:snapToGrid w:val="0"/>
        </w:rPr>
        <w:tab/>
        <w:t>Regulations</w:t>
      </w:r>
      <w:bookmarkEnd w:id="313"/>
    </w:p>
    <w:p>
      <w:pPr>
        <w:pStyle w:val="Subsection"/>
      </w:pPr>
      <w:r>
        <w:tab/>
        <w:t>(1AA)</w:t>
      </w:r>
      <w:r>
        <w:tab/>
        <w:t>In this section —</w:t>
      </w:r>
    </w:p>
    <w:p>
      <w:pPr>
        <w:pStyle w:val="Defstart"/>
      </w:pPr>
      <w:r>
        <w:tab/>
      </w:r>
      <w:r>
        <w:rPr>
          <w:rStyle w:val="CharDefText"/>
        </w:rPr>
        <w:t>lodge</w:t>
      </w:r>
      <w:r>
        <w:t xml:space="preserve"> includes deposit, present and file.</w:t>
      </w:r>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 xml:space="preserve">or </w:t>
      </w:r>
      <w:r>
        <w:rPr>
          <w:snapToGrid w:val="0"/>
        </w:rPr>
        <w:lastRenderedPageBreak/>
        <w:t>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pPr>
      <w:r>
        <w:tab/>
        <w:t>(bc)</w:t>
      </w:r>
      <w:r>
        <w:tab/>
        <w:t xml:space="preserve">prescribing requirements relating to 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r>
      <w:r>
        <w:tab/>
        <w:t>and</w:t>
      </w:r>
    </w:p>
    <w:p>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Indenti"/>
      </w:pPr>
      <w:r>
        <w:tab/>
        <w:t>(i)</w:t>
      </w:r>
      <w:r>
        <w:tab/>
        <w:t xml:space="preserve">dispensing with, or authorising the Registrar to dispense with, any requirement of this Act to produce or present or deliver up to the Registrar, </w:t>
      </w:r>
      <w:r>
        <w:lastRenderedPageBreak/>
        <w:t>or to bring in or lodge, a duplicate certificate of title;</w:t>
      </w:r>
    </w:p>
    <w:p>
      <w:pPr>
        <w:pStyle w:val="Indenti"/>
      </w:pPr>
      <w:r>
        <w:tab/>
        <w:t>(ii)</w:t>
      </w:r>
      <w:r>
        <w:tab/>
        <w:t>prescribing 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Indenta"/>
      </w:pPr>
      <w:r>
        <w:tab/>
      </w:r>
      <w:r>
        <w:tab/>
        <w:t>and</w:t>
      </w:r>
    </w:p>
    <w:p>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can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lastRenderedPageBreak/>
        <w:tab/>
      </w:r>
      <w:r>
        <w:tab/>
        <w:t>and</w:t>
      </w:r>
    </w:p>
    <w:p>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Indenta"/>
      </w:pPr>
      <w:r>
        <w:tab/>
      </w:r>
      <w:r>
        <w:tab/>
        <w:t>and</w:t>
      </w:r>
    </w:p>
    <w:p>
      <w:pPr>
        <w:pStyle w:val="Ednotepara"/>
        <w:rPr>
          <w:snapToGrid w:val="0"/>
        </w:rPr>
      </w:pPr>
      <w:r>
        <w:tab/>
        <w:t>[(bg)</w:t>
      </w:r>
      <w:r>
        <w:tab/>
        <w:t>deleted]</w:t>
      </w:r>
    </w:p>
    <w:p>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 xml:space="preserve">the evidence showing the steps taken to satisfy the verification requirements that must be </w:t>
      </w:r>
      <w:r>
        <w:lastRenderedPageBreak/>
        <w:t>retained and how long the evidence must be retained;</w:t>
      </w:r>
    </w:p>
    <w:p>
      <w:pPr>
        <w:pStyle w:val="Indenta"/>
      </w:pPr>
      <w:r>
        <w:tab/>
      </w:r>
      <w:r>
        <w:tab/>
        <w:t>and</w:t>
      </w:r>
    </w:p>
    <w:p>
      <w:pPr>
        <w:pStyle w:val="Indenta"/>
      </w:pPr>
      <w:r>
        <w:tab/>
        <w:t>(bi)</w:t>
      </w:r>
      <w:r>
        <w:tab/>
        <w:t>prescribing requirements relating to applications made under this Act to the Commissioner; and</w:t>
      </w:r>
    </w:p>
    <w:p>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lastRenderedPageBreak/>
        <w:tab/>
        <w:t>(2a)</w:t>
      </w:r>
      <w:r>
        <w:tab/>
        <w:t>Subsection (1a) does not prevent the Governor from amending regulations to which that subsection applies.</w:t>
      </w:r>
    </w:p>
    <w:p>
      <w:pPr>
        <w:pStyle w:val="Ednotesubsection"/>
      </w:pPr>
      <w:r>
        <w:tab/>
        <w:t>[(3)</w:t>
      </w:r>
      <w:r>
        <w:tab/>
        <w:t>deleted]</w:t>
      </w:r>
    </w:p>
    <w:p>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w:t>
      </w:r>
    </w:p>
    <w:p>
      <w:pPr>
        <w:pStyle w:val="Heading5"/>
      </w:pPr>
      <w:bookmarkStart w:id="314" w:name="_Toc141092909"/>
      <w:r>
        <w:rPr>
          <w:rStyle w:val="CharSectno"/>
        </w:rPr>
        <w:t>182AA</w:t>
      </w:r>
      <w:r>
        <w:t>.</w:t>
      </w:r>
      <w:r>
        <w:tab/>
        <w:t>Prescribed fees may exceed cost recovery</w:t>
      </w:r>
      <w:bookmarkEnd w:id="314"/>
    </w:p>
    <w:p>
      <w:pPr>
        <w:pStyle w:val="Subsection"/>
      </w:pPr>
      <w:r>
        <w:tab/>
        <w:t>(1)</w:t>
      </w:r>
      <w:r>
        <w:tab/>
        <w:t xml:space="preserve">Regulations made under section 181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pPr>
      <w:r>
        <w:tab/>
        <w:t>(2A)</w:t>
      </w:r>
      <w:r>
        <w:tab/>
        <w:t>To the extent that regulations to which subsection (1) applies prescribe a fee that includes an amount that is a tax, the regulations may impose the tax.</w:t>
      </w:r>
    </w:p>
    <w:p>
      <w:pPr>
        <w:pStyle w:val="Subsection"/>
      </w:pPr>
      <w:r>
        <w:tab/>
        <w:t>(2)</w:t>
      </w:r>
      <w:r>
        <w:tab/>
        <w:t xml:space="preserve">This section does not limit — </w:t>
      </w:r>
    </w:p>
    <w:p>
      <w:pPr>
        <w:pStyle w:val="Indenta"/>
      </w:pPr>
      <w:r>
        <w:tab/>
        <w:t>(a)</w:t>
      </w:r>
      <w:r>
        <w:tab/>
        <w:t xml:space="preserve">the </w:t>
      </w:r>
      <w:r>
        <w:rPr>
          <w:i/>
        </w:rPr>
        <w:t>Interpretation Act 1984</w:t>
      </w:r>
      <w:r>
        <w:t xml:space="preserve"> section 45A; or</w:t>
      </w:r>
    </w:p>
    <w:p>
      <w:pPr>
        <w:pStyle w:val="Indenta"/>
      </w:pPr>
      <w:r>
        <w:tab/>
        <w:t>(b)</w:t>
      </w:r>
      <w:r>
        <w:tab/>
        <w:t>the extent to which fees prescribed under section 181 may take into account the indemnity of any amount payable out of the Consolidated Account under Part XII that is not recovered under Part XI.</w:t>
      </w:r>
    </w:p>
    <w:p>
      <w:pPr>
        <w:pStyle w:val="Footnotesection"/>
        <w:spacing w:before="160"/>
        <w:ind w:left="890" w:hanging="890"/>
      </w:pPr>
      <w:r>
        <w:lastRenderedPageBreak/>
        <w:tab/>
        <w:t>[Section 182AA inserted: No. 11 of 2015 s. 10; amended: No. 12 of 2015 s. 8.]</w:t>
      </w:r>
    </w:p>
    <w:p>
      <w:pPr>
        <w:pStyle w:val="Heading5"/>
      </w:pPr>
      <w:bookmarkStart w:id="315" w:name="_Toc141092910"/>
      <w:r>
        <w:rPr>
          <w:rStyle w:val="CharSectno"/>
        </w:rPr>
        <w:t>182AB</w:t>
      </w:r>
      <w:r>
        <w:t>.</w:t>
      </w:r>
      <w:r>
        <w:tab/>
        <w:t>Expiry of s. 182AA</w:t>
      </w:r>
      <w:bookmarkEnd w:id="315"/>
    </w:p>
    <w:p>
      <w:pPr>
        <w:pStyle w:val="Subsection"/>
      </w:pPr>
      <w:r>
        <w:tab/>
        <w:t>(1)</w:t>
      </w:r>
      <w:r>
        <w:tab/>
        <w:t>Section 182AA expires at the end of 31 December 2019</w:t>
      </w:r>
      <w:r>
        <w:rPr>
          <w:vertAlign w:val="superscript"/>
        </w:rPr>
        <w:t> 20</w:t>
      </w:r>
      <w:r>
        <w:t>.</w:t>
      </w:r>
    </w:p>
    <w:p>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pPr>
      <w:r>
        <w:tab/>
        <w:t>(6)</w:t>
      </w:r>
      <w:r>
        <w:tab/>
        <w:t>The expiry of section 182AA does not affect the validity of any regulations made under section 181 and in effect immediately before that expiry.</w:t>
      </w:r>
    </w:p>
    <w:p>
      <w:pPr>
        <w:pStyle w:val="Footnotesection"/>
        <w:spacing w:before="160"/>
        <w:ind w:left="890" w:hanging="890"/>
      </w:pPr>
      <w:r>
        <w:tab/>
        <w:t>[Section 182AB inserted: No. 11 of 2015 s. 10.]</w:t>
      </w:r>
    </w:p>
    <w:p>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pPr>
        <w:pStyle w:val="Heading5"/>
      </w:pPr>
      <w:bookmarkStart w:id="316" w:name="_Toc141092911"/>
      <w:r>
        <w:rPr>
          <w:rStyle w:val="CharSectno"/>
        </w:rPr>
        <w:lastRenderedPageBreak/>
        <w:t>182A</w:t>
      </w:r>
      <w:r>
        <w:t>.</w:t>
      </w:r>
      <w:r>
        <w:tab/>
        <w:t>Commissioner and Registrar may determine requirements</w:t>
      </w:r>
      <w:bookmarkEnd w:id="316"/>
    </w:p>
    <w:p>
      <w:pPr>
        <w:pStyle w:val="Subsection"/>
      </w:pPr>
      <w:r>
        <w:tab/>
        <w:t>(1AA)</w:t>
      </w:r>
      <w:r>
        <w:tab/>
        <w:t xml:space="preserve">In this section — </w:t>
      </w:r>
    </w:p>
    <w:p>
      <w:pPr>
        <w:pStyle w:val="Defstart"/>
      </w:pPr>
      <w:r>
        <w:tab/>
      </w:r>
      <w:r>
        <w:rPr>
          <w:rStyle w:val="CharDefText"/>
        </w:rPr>
        <w:t>lodge</w:t>
      </w:r>
      <w:r>
        <w:t xml:space="preserve"> includes deposit, present and file.</w:t>
      </w:r>
    </w:p>
    <w:p>
      <w:pPr>
        <w:pStyle w:val="Subsection"/>
      </w:pPr>
      <w:r>
        <w:tab/>
        <w:t>(1)</w:t>
      </w:r>
      <w:r>
        <w:tab/>
        <w:t xml:space="preserve">The Commissioner or the Registrar may determine requirements relating to all or any of the following matters — </w:t>
      </w:r>
    </w:p>
    <w:p>
      <w:pPr>
        <w:pStyle w:val="Indenta"/>
      </w:pPr>
      <w:r>
        <w:tab/>
        <w:t>(a)</w:t>
      </w:r>
      <w:r>
        <w:tab/>
        <w:t xml:space="preserve">the lodgment of documents with the Authority, the Commissioner or the Registrar, including (without limitation) — </w:t>
      </w:r>
    </w:p>
    <w:p>
      <w:pPr>
        <w:pStyle w:val="Indenti"/>
      </w:pPr>
      <w:r>
        <w:tab/>
        <w:t>(i)</w:t>
      </w:r>
      <w:r>
        <w:tab/>
        <w:t xml:space="preserve">the types of document that can be lodged electronically under the </w:t>
      </w:r>
      <w:r>
        <w:rPr>
          <w:i/>
        </w:rPr>
        <w:t>Electronic Conveyancing Act 2014</w:t>
      </w:r>
      <w:r>
        <w:t xml:space="preserve"> section 7(1);</w:t>
      </w:r>
    </w:p>
    <w:p>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Indenti"/>
      </w:pPr>
      <w:r>
        <w:tab/>
        <w:t>(iv)</w:t>
      </w:r>
      <w:r>
        <w:tab/>
        <w:t>how long documents must be retained;</w:t>
      </w:r>
    </w:p>
    <w:p>
      <w:pPr>
        <w:pStyle w:val="Indenti"/>
      </w:pPr>
      <w:r>
        <w:tab/>
        <w:t>(v)</w:t>
      </w:r>
      <w:r>
        <w:tab/>
        <w:t xml:space="preserve">the documents required to support or authenticate a document lodged electronically under the </w:t>
      </w:r>
      <w:r>
        <w:rPr>
          <w:i/>
        </w:rPr>
        <w:t>Electronic Conveyancing Act 2014</w:t>
      </w:r>
      <w:r>
        <w:t xml:space="preserve"> section 7(1);</w:t>
      </w:r>
    </w:p>
    <w:p>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Indenti"/>
      </w:pPr>
      <w:r>
        <w:tab/>
        <w:t>(i)</w:t>
      </w:r>
      <w:r>
        <w:tab/>
        <w:t>dispensing with, or authorising the Registrar to dispense with, any requirement of this Act to produce or present or deliver up to the Registrar, or to bring in or lodge, a duplicate certificate of title;</w:t>
      </w:r>
    </w:p>
    <w:p>
      <w:pPr>
        <w:pStyle w:val="Indenti"/>
      </w:pPr>
      <w:r>
        <w:lastRenderedPageBreak/>
        <w:tab/>
        <w:t>(ii)</w:t>
      </w:r>
      <w:r>
        <w:tab/>
        <w:t>how a duplicate certificate of title is to be dealt with if its production, presentation, delivery up, lodging or bringing in is dispensed with;</w:t>
      </w:r>
    </w:p>
    <w:p>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Indenta"/>
      </w:pPr>
      <w:r>
        <w:tab/>
        <w:t>(c)</w:t>
      </w:r>
      <w:r>
        <w:tab/>
        <w:t xml:space="preserve">certifications that must be included in or with documents lodged with the Authority, the Commissioner or the Registrar (whether electronically or in paper form), including (without limitation) — </w:t>
      </w:r>
    </w:p>
    <w:p>
      <w:pPr>
        <w:pStyle w:val="Indenti"/>
      </w:pPr>
      <w:r>
        <w:tab/>
        <w:t>(i)</w:t>
      </w:r>
      <w:r>
        <w:tab/>
        <w:t>the matters that are required to be certified;</w:t>
      </w:r>
    </w:p>
    <w:p>
      <w:pPr>
        <w:pStyle w:val="Indenti"/>
      </w:pPr>
      <w:r>
        <w:tab/>
        <w:t>(ii)</w:t>
      </w:r>
      <w:r>
        <w:tab/>
        <w:t>the persons or classes of persons who may give certifications;</w:t>
      </w:r>
    </w:p>
    <w:p>
      <w:pPr>
        <w:pStyle w:val="Indenti"/>
      </w:pPr>
      <w:r>
        <w:tab/>
        <w:t>(iii)</w:t>
      </w:r>
      <w:r>
        <w:tab/>
        <w:t>the form of certifications;</w:t>
      </w:r>
    </w:p>
    <w:p>
      <w:pPr>
        <w:pStyle w:val="Indenti"/>
      </w:pPr>
      <w:r>
        <w:tab/>
        <w:t>(iv)</w:t>
      </w:r>
      <w:r>
        <w:tab/>
        <w:t>the evidence showing the truth of a certification that must be retained and how long the evidence must be retained;</w:t>
      </w:r>
    </w:p>
    <w:p>
      <w:pPr>
        <w:pStyle w:val="Indenta"/>
      </w:pPr>
      <w:r>
        <w:tab/>
        <w:t>(d)</w:t>
      </w:r>
      <w:r>
        <w:tab/>
        <w:t xml:space="preserve">things (including consents, permissions or approvals) that are required or authorised under this Act or any other written law to accompany or be endorsed on, included in, lodged with or given in relation to a </w:t>
      </w:r>
      <w:r>
        <w:lastRenderedPageBreak/>
        <w:t xml:space="preserve">document lodged with the Authority, the Commissioner or the Registrar (whether electronically or in paper form), including (without limitation) — </w:t>
      </w:r>
    </w:p>
    <w:p>
      <w:pPr>
        <w:pStyle w:val="Indenti"/>
      </w:pPr>
      <w:r>
        <w:tab/>
        <w:t>(i)</w:t>
      </w:r>
      <w:r>
        <w:tab/>
        <w:t>requiring or permitting action in relation to a thing to be done by electronic means; and</w:t>
      </w:r>
    </w:p>
    <w:p>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pPr>
        <w:pStyle w:val="Ednotepara"/>
        <w:rPr>
          <w:snapToGrid w:val="0"/>
        </w:rPr>
      </w:pPr>
      <w:r>
        <w:tab/>
        <w:t>[(e)</w:t>
      </w:r>
      <w:r>
        <w:tab/>
        <w:t>deleted]</w:t>
      </w:r>
    </w:p>
    <w:p>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pPr>
        <w:pStyle w:val="Indenti"/>
      </w:pPr>
      <w:r>
        <w:tab/>
        <w:t>(i)</w:t>
      </w:r>
      <w:r>
        <w:tab/>
        <w:t>the standards to which identity and authority are to be verified;</w:t>
      </w:r>
    </w:p>
    <w:p>
      <w:pPr>
        <w:pStyle w:val="Indenti"/>
      </w:pPr>
      <w:r>
        <w:tab/>
        <w:t>(ii)</w:t>
      </w:r>
      <w:r>
        <w:tab/>
        <w:t>the documents or classes of documents in relation to which verification requirements apply;</w:t>
      </w:r>
    </w:p>
    <w:p>
      <w:pPr>
        <w:pStyle w:val="Indenti"/>
      </w:pPr>
      <w:r>
        <w:tab/>
        <w:t>(iii)</w:t>
      </w:r>
      <w:r>
        <w:tab/>
        <w:t>the persons or classes of persons who can undertake verification;</w:t>
      </w:r>
    </w:p>
    <w:p>
      <w:pPr>
        <w:pStyle w:val="Indenti"/>
      </w:pPr>
      <w:r>
        <w:tab/>
        <w:t>(iv)</w:t>
      </w:r>
      <w:r>
        <w:tab/>
        <w:t>the evidence showing the steps taken to satisfy the verification requirements that must be retained and how long the evidence must be retained;</w:t>
      </w:r>
    </w:p>
    <w:p>
      <w:pPr>
        <w:pStyle w:val="Indenta"/>
      </w:pPr>
      <w:r>
        <w:tab/>
        <w:t>(g)</w:t>
      </w:r>
      <w:r>
        <w:tab/>
        <w:t>applications made under this Act to the Commissioner.</w:t>
      </w:r>
    </w:p>
    <w:p>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Subsection"/>
      </w:pPr>
      <w:r>
        <w:lastRenderedPageBreak/>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Subsection"/>
      </w:pPr>
      <w:r>
        <w:tab/>
        <w:t>(5)</w:t>
      </w:r>
      <w:r>
        <w:tab/>
        <w:t>This section does not limit the matters that may be prescribed under section 181.</w:t>
      </w:r>
    </w:p>
    <w:p>
      <w:pPr>
        <w:pStyle w:val="Footnotesection"/>
        <w:spacing w:before="100"/>
        <w:ind w:left="890" w:hanging="890"/>
      </w:pPr>
      <w:r>
        <w:tab/>
        <w:t>[Section 182A inserted: No. 2 of 2014 s. 79; amended: No. 32 of 2018 s. 259.]</w:t>
      </w:r>
    </w:p>
    <w:p>
      <w:pPr>
        <w:pStyle w:val="Heading5"/>
        <w:spacing w:before="180"/>
      </w:pPr>
      <w:bookmarkStart w:id="317" w:name="_Toc141092912"/>
      <w:r>
        <w:rPr>
          <w:rStyle w:val="CharSectno"/>
        </w:rPr>
        <w:t>182B</w:t>
      </w:r>
      <w:r>
        <w:t>.</w:t>
      </w:r>
      <w:r>
        <w:tab/>
        <w:t>Publication of requirements</w:t>
      </w:r>
      <w:bookmarkEnd w:id="317"/>
    </w:p>
    <w:p>
      <w:pPr>
        <w:pStyle w:val="Subsection"/>
        <w:keepNext/>
      </w:pPr>
      <w:r>
        <w:tab/>
        <w:t>(1)</w:t>
      </w:r>
      <w:r>
        <w:tab/>
        <w:t xml:space="preserve">In this section — </w:t>
      </w:r>
    </w:p>
    <w:p>
      <w:pPr>
        <w:pStyle w:val="Defstart"/>
      </w:pPr>
      <w:r>
        <w:tab/>
      </w:r>
      <w:r>
        <w:rPr>
          <w:rStyle w:val="CharDefText"/>
        </w:rPr>
        <w:t>requirement</w:t>
      </w:r>
      <w:r>
        <w:t xml:space="preserve"> means a requirement determined under section 182A;</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The Registrar must ensure — </w:t>
      </w:r>
    </w:p>
    <w:p>
      <w:pPr>
        <w:pStyle w:val="Indenta"/>
      </w:pPr>
      <w:r>
        <w:tab/>
        <w:t>(a)</w:t>
      </w:r>
      <w:r>
        <w:tab/>
        <w:t>that all current requirements are publicly available free of charge; and</w:t>
      </w:r>
    </w:p>
    <w:p>
      <w:pPr>
        <w:pStyle w:val="Indenta"/>
      </w:pPr>
      <w:r>
        <w:tab/>
        <w:t>(b)</w:t>
      </w:r>
      <w:r>
        <w:tab/>
        <w:t>that requirements, and any changes to requirements, are made publicly available at least 20 working days before the requirements or, as the case requires, the changes to them take effect.</w:t>
      </w:r>
    </w:p>
    <w:p>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Subsection"/>
      </w:pPr>
      <w:r>
        <w:lastRenderedPageBreak/>
        <w:tab/>
        <w:t>(4)</w:t>
      </w:r>
      <w:r>
        <w:tab/>
        <w:t xml:space="preserve">Requirements may be made publicly available in accordance with this section in any manner the Registrar considers appropriate, including (without limitation) by all or any of the following means — </w:t>
      </w:r>
    </w:p>
    <w:p>
      <w:pPr>
        <w:pStyle w:val="Indenta"/>
      </w:pPr>
      <w:r>
        <w:tab/>
        <w:t>(a)</w:t>
      </w:r>
      <w:r>
        <w:tab/>
        <w:t>by means of a website;</w:t>
      </w:r>
    </w:p>
    <w:p>
      <w:pPr>
        <w:pStyle w:val="Indenta"/>
      </w:pPr>
      <w:r>
        <w:tab/>
        <w:t>(b)</w:t>
      </w:r>
      <w:r>
        <w:tab/>
        <w:t>by publication in a practice manual, customer information bulletin or other similar publication issued by the Authority.</w:t>
      </w:r>
    </w:p>
    <w:p>
      <w:pPr>
        <w:pStyle w:val="Footnotesection"/>
        <w:ind w:left="890" w:hanging="890"/>
      </w:pPr>
      <w:r>
        <w:tab/>
        <w:t>[Section 182B inserted: No. 2 of 2014 s. 79.]</w:t>
      </w:r>
    </w:p>
    <w:p>
      <w:pPr>
        <w:pStyle w:val="Heading5"/>
        <w:rPr>
          <w:snapToGrid w:val="0"/>
        </w:rPr>
      </w:pPr>
      <w:bookmarkStart w:id="318" w:name="_Toc141092913"/>
      <w:r>
        <w:rPr>
          <w:rStyle w:val="CharSectno"/>
        </w:rPr>
        <w:t>182</w:t>
      </w:r>
      <w:r>
        <w:rPr>
          <w:snapToGrid w:val="0"/>
        </w:rPr>
        <w:t>.</w:t>
      </w:r>
      <w:r>
        <w:rPr>
          <w:snapToGrid w:val="0"/>
        </w:rPr>
        <w:tab/>
        <w:t>Orders vesting trust estate</w:t>
      </w:r>
      <w:bookmarkEnd w:id="318"/>
    </w:p>
    <w:p>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lastRenderedPageBreak/>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No. 17 of 1950 s. 46; No. 81 of 1996 s. 145(1) and 146(1); No. 6 of 2003 s. 69.]</w:t>
      </w:r>
    </w:p>
    <w:p>
      <w:pPr>
        <w:pStyle w:val="Heading5"/>
        <w:keepNext w:val="0"/>
        <w:keepLines w:val="0"/>
        <w:rPr>
          <w:snapToGrid w:val="0"/>
        </w:rPr>
      </w:pPr>
      <w:bookmarkStart w:id="319" w:name="_Toc141092914"/>
      <w:r>
        <w:rPr>
          <w:rStyle w:val="CharSectno"/>
        </w:rPr>
        <w:t>183</w:t>
      </w:r>
      <w:r>
        <w:rPr>
          <w:snapToGrid w:val="0"/>
        </w:rPr>
        <w:t>.</w:t>
      </w:r>
      <w:r>
        <w:rPr>
          <w:snapToGrid w:val="0"/>
        </w:rPr>
        <w:tab/>
        <w:t>Commissioner may make vesting order in cases of completed purchase</w:t>
      </w:r>
      <w:bookmarkEnd w:id="319"/>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320" w:name="_Toc141092915"/>
      <w:r>
        <w:rPr>
          <w:rStyle w:val="CharSectno"/>
        </w:rPr>
        <w:lastRenderedPageBreak/>
        <w:t>184</w:t>
      </w:r>
      <w:r>
        <w:rPr>
          <w:snapToGrid w:val="0"/>
        </w:rPr>
        <w:t>.</w:t>
      </w:r>
      <w:r>
        <w:rPr>
          <w:snapToGrid w:val="0"/>
        </w:rPr>
        <w:tab/>
        <w:t>Encumbrances which no longer affect title, powers to deal with</w:t>
      </w:r>
      <w:bookmarkEnd w:id="320"/>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No. 17 of 1950 s. 48; No. 81 of 1996 s. 110; No. 6 of 2003 s. 70.]</w:t>
      </w:r>
    </w:p>
    <w:p>
      <w:pPr>
        <w:pStyle w:val="Ednotesection"/>
        <w:ind w:left="0" w:firstLine="0"/>
      </w:pPr>
      <w:r>
        <w:t>[</w:t>
      </w:r>
      <w:r>
        <w:rPr>
          <w:b/>
        </w:rPr>
        <w:t>185.</w:t>
      </w:r>
      <w:r>
        <w:tab/>
        <w:t>Deleted: No. 59 of 2004 s. 140.]</w:t>
      </w:r>
    </w:p>
    <w:p>
      <w:pPr>
        <w:pStyle w:val="Ednotesection"/>
        <w:ind w:left="0" w:firstLine="0"/>
      </w:pPr>
      <w:r>
        <w:t>[</w:t>
      </w:r>
      <w:r>
        <w:rPr>
          <w:b/>
        </w:rPr>
        <w:t>186.</w:t>
      </w:r>
      <w:r>
        <w:tab/>
        <w:t>Deleted: No. 20 of 1905 s. 20.]</w:t>
      </w:r>
    </w:p>
    <w:p>
      <w:pPr>
        <w:pStyle w:val="Heading5"/>
        <w:rPr>
          <w:snapToGrid w:val="0"/>
        </w:rPr>
      </w:pPr>
      <w:bookmarkStart w:id="321" w:name="_Toc141092916"/>
      <w:r>
        <w:rPr>
          <w:rStyle w:val="CharSectno"/>
        </w:rPr>
        <w:t>187</w:t>
      </w:r>
      <w:r>
        <w:rPr>
          <w:snapToGrid w:val="0"/>
        </w:rPr>
        <w:t>.</w:t>
      </w:r>
      <w:r>
        <w:rPr>
          <w:snapToGrid w:val="0"/>
        </w:rPr>
        <w:tab/>
        <w:t>Appointment of executor, administrator or Public Trustee, entry on Register and effect</w:t>
      </w:r>
      <w:bookmarkEnd w:id="321"/>
    </w:p>
    <w:p>
      <w:pPr>
        <w:pStyle w:val="Subsection"/>
        <w:rPr>
          <w:snapToGrid w:val="0"/>
        </w:rPr>
      </w:pPr>
      <w:r>
        <w:rPr>
          <w:snapToGrid w:val="0"/>
        </w:rPr>
        <w:tab/>
        <w:t>(1)</w:t>
      </w:r>
      <w:r>
        <w:rPr>
          <w:snapToGrid w:val="0"/>
        </w:rPr>
        <w:tab/>
        <w:t xml:space="preserve">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w:t>
      </w:r>
      <w:r>
        <w:rPr>
          <w:snapToGrid w:val="0"/>
        </w:rPr>
        <w:lastRenderedPageBreak/>
        <w:t>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No. 17 of 1950 s. 50; No. 81 of 1996 s. 111.]</w:t>
      </w:r>
    </w:p>
    <w:p>
      <w:pPr>
        <w:pStyle w:val="Heading5"/>
        <w:rPr>
          <w:snapToGrid w:val="0"/>
        </w:rPr>
      </w:pPr>
      <w:bookmarkStart w:id="322" w:name="_Toc141092917"/>
      <w:r>
        <w:rPr>
          <w:rStyle w:val="CharSectno"/>
        </w:rPr>
        <w:t>188</w:t>
      </w:r>
      <w:r>
        <w:rPr>
          <w:snapToGrid w:val="0"/>
        </w:rPr>
        <w:t>.</w:t>
      </w:r>
      <w:r>
        <w:rPr>
          <w:snapToGrid w:val="0"/>
        </w:rPr>
        <w:tab/>
        <w:t>Powers of Registrar</w:t>
      </w:r>
      <w:bookmarkEnd w:id="322"/>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lastRenderedPageBreak/>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pPr>
      <w:r>
        <w:tab/>
        <w:t>(8)</w:t>
      </w:r>
      <w:r>
        <w:tab/>
        <w:t xml:space="preserve">Despite any other provision of this Act, the Registrar may destroy any document that is lodged, presented, filed or deposited with the Authority or registered in its office if — </w:t>
      </w:r>
    </w:p>
    <w:p>
      <w:pPr>
        <w:pStyle w:val="Indenta"/>
      </w:pPr>
      <w:r>
        <w:tab/>
        <w:t>(a)</w:t>
      </w:r>
      <w:r>
        <w:tab/>
        <w:t>the Commissioner and the Registrar are of the opinion that the retention of the document serves no useful purpose; and</w:t>
      </w:r>
    </w:p>
    <w:p>
      <w:pPr>
        <w:pStyle w:val="Indenta"/>
      </w:pPr>
      <w:r>
        <w:tab/>
        <w:t>(b)</w:t>
      </w:r>
      <w:r>
        <w:tab/>
        <w:t xml:space="preserve">the Minister approves the destruction of — </w:t>
      </w:r>
    </w:p>
    <w:p>
      <w:pPr>
        <w:pStyle w:val="Indenti"/>
      </w:pPr>
      <w:r>
        <w:lastRenderedPageBreak/>
        <w:tab/>
        <w:t>(i)</w:t>
      </w:r>
      <w:r>
        <w:tab/>
        <w:t>the document; or</w:t>
      </w:r>
    </w:p>
    <w:p>
      <w:pPr>
        <w:pStyle w:val="Indenti"/>
      </w:pPr>
      <w:r>
        <w:tab/>
        <w:t>(ii)</w:t>
      </w:r>
      <w:r>
        <w:tab/>
        <w:t>a class of documents in which that document is included.</w:t>
      </w:r>
    </w:p>
    <w:p>
      <w:pPr>
        <w:pStyle w:val="Subsection"/>
      </w:pPr>
      <w:r>
        <w:tab/>
        <w:t>(9)</w:t>
      </w:r>
      <w:r>
        <w:tab/>
        <w:t>The destruction of a cancelled duplicate certificate of title does not require the Minister’s approval under subsection (8).</w:t>
      </w:r>
    </w:p>
    <w:p>
      <w:pPr>
        <w:pStyle w:val="Footnotesection"/>
        <w:spacing w:before="80"/>
        <w:ind w:left="890" w:hanging="890"/>
      </w:pPr>
      <w:r>
        <w:tab/>
        <w:t>[Section 188 amended: No. 9 of 1959 s. 2; No. 81 of 1996 s. 112 and 145(1); No. 6 of 2003 s. 72; No. 28 of 2003 s. 129(5); No. 60 of 2006 s. 114; No. 19 of 2010 s. 51; No. 2 of 2014 s. 80.]</w:t>
      </w:r>
    </w:p>
    <w:p>
      <w:pPr>
        <w:pStyle w:val="Heading5"/>
        <w:rPr>
          <w:snapToGrid w:val="0"/>
        </w:rPr>
      </w:pPr>
      <w:bookmarkStart w:id="323" w:name="_Toc141092918"/>
      <w:r>
        <w:rPr>
          <w:rStyle w:val="CharSectno"/>
        </w:rPr>
        <w:t>189</w:t>
      </w:r>
      <w:r>
        <w:rPr>
          <w:snapToGrid w:val="0"/>
        </w:rPr>
        <w:t>.</w:t>
      </w:r>
      <w:r>
        <w:rPr>
          <w:snapToGrid w:val="0"/>
        </w:rPr>
        <w:tab/>
        <w:t>Registrar may correct apparent errors in instruments without direction of Commissioner</w:t>
      </w:r>
      <w:bookmarkEnd w:id="323"/>
    </w:p>
    <w:p>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No. 81 of 1996 s. 113; No. 6 of 2003 s. 73; No. 60 of 2006 s. 118(1); No. 19 of 2010 s. 51; No. 2 of 2014 s. 81.]</w:t>
      </w:r>
    </w:p>
    <w:p>
      <w:pPr>
        <w:pStyle w:val="Heading5"/>
      </w:pPr>
      <w:bookmarkStart w:id="324" w:name="_Toc141092919"/>
      <w:r>
        <w:rPr>
          <w:rStyle w:val="CharSectno"/>
        </w:rPr>
        <w:t>190</w:t>
      </w:r>
      <w:r>
        <w:t>.</w:t>
      </w:r>
      <w:r>
        <w:tab/>
        <w:t>Money received by Registrar</w:t>
      </w:r>
      <w:bookmarkEnd w:id="324"/>
    </w:p>
    <w:p>
      <w:pPr>
        <w:pStyle w:val="Subsection"/>
      </w:pPr>
      <w:r>
        <w:tab/>
      </w:r>
      <w:r>
        <w:tab/>
        <w:t>The Registrar is to pay to the Authority any money paid to the Registrar under this Act.</w:t>
      </w:r>
    </w:p>
    <w:p>
      <w:pPr>
        <w:pStyle w:val="Footnotesection"/>
      </w:pPr>
      <w:r>
        <w:tab/>
        <w:t>[Section 190 inserted: No. 60 of 2006 s. 115.]</w:t>
      </w:r>
    </w:p>
    <w:p>
      <w:pPr>
        <w:pStyle w:val="Heading5"/>
        <w:rPr>
          <w:snapToGrid w:val="0"/>
        </w:rPr>
      </w:pPr>
      <w:bookmarkStart w:id="325" w:name="_Toc141092920"/>
      <w:r>
        <w:rPr>
          <w:rStyle w:val="CharSectno"/>
        </w:rPr>
        <w:t>191</w:t>
      </w:r>
      <w:r>
        <w:rPr>
          <w:snapToGrid w:val="0"/>
        </w:rPr>
        <w:t>.</w:t>
      </w:r>
      <w:r>
        <w:rPr>
          <w:snapToGrid w:val="0"/>
        </w:rPr>
        <w:tab/>
        <w:t>Registrar may demand prescribed fees</w:t>
      </w:r>
      <w:bookmarkEnd w:id="325"/>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No. 17 of 1950 s. 52.]</w:t>
      </w:r>
    </w:p>
    <w:p>
      <w:pPr>
        <w:pStyle w:val="Heading5"/>
      </w:pPr>
      <w:bookmarkStart w:id="326" w:name="_Toc141092921"/>
      <w:r>
        <w:rPr>
          <w:rStyle w:val="CharSectno"/>
        </w:rPr>
        <w:lastRenderedPageBreak/>
        <w:t>192A</w:t>
      </w:r>
      <w:r>
        <w:t>.</w:t>
      </w:r>
      <w:r>
        <w:tab/>
        <w:t>Registrar entitled to assume that lodging party has certain authorities from other interested parties</w:t>
      </w:r>
      <w:bookmarkEnd w:id="326"/>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Indenta"/>
      </w:pPr>
      <w:r>
        <w:tab/>
        <w:t>(a)</w:t>
      </w:r>
      <w:r>
        <w:tab/>
        <w:t>to lodge it;</w:t>
      </w:r>
    </w:p>
    <w:p>
      <w:pPr>
        <w:pStyle w:val="Indenta"/>
      </w:pPr>
      <w:r>
        <w:tab/>
        <w:t>(b)</w:t>
      </w:r>
      <w:r>
        <w:tab/>
        <w:t>if applicable, to withdraw it from registration;</w:t>
      </w:r>
    </w:p>
    <w:p>
      <w:pPr>
        <w:pStyle w:val="Indenta"/>
      </w:pPr>
      <w:r>
        <w:tab/>
        <w:t>(c)</w:t>
      </w:r>
      <w:r>
        <w:tab/>
        <w:t>to uplift it for amendment;</w:t>
      </w:r>
    </w:p>
    <w:p>
      <w:pPr>
        <w:pStyle w:val="Indenta"/>
      </w:pPr>
      <w:r>
        <w:tab/>
        <w:t>(d)</w:t>
      </w:r>
      <w:r>
        <w:tab/>
        <w:t>to do anything to or in relation to the document that a person claiming under, or having an interest in, the document could do if they had lodged it;</w:t>
      </w:r>
    </w:p>
    <w:p>
      <w:pPr>
        <w:pStyle w:val="Indenta"/>
      </w:pPr>
      <w:r>
        <w:tab/>
        <w:t>(e)</w:t>
      </w:r>
      <w:r>
        <w:tab/>
        <w:t>to receive requisitions, communications and notices in respect of it;</w:t>
      </w:r>
    </w:p>
    <w:p>
      <w:pPr>
        <w:pStyle w:val="Indenta"/>
      </w:pPr>
      <w:r>
        <w:tab/>
        <w:t>(f)</w:t>
      </w:r>
      <w:r>
        <w:tab/>
        <w:t xml:space="preserve">to attend to all other matters that may arise — </w:t>
      </w:r>
    </w:p>
    <w:p>
      <w:pPr>
        <w:pStyle w:val="Indenti"/>
      </w:pPr>
      <w:r>
        <w:tab/>
        <w:t>(i)</w:t>
      </w:r>
      <w:r>
        <w:tab/>
        <w:t>in the course of registration of the document (if applicable); or</w:t>
      </w:r>
    </w:p>
    <w:p>
      <w:pPr>
        <w:pStyle w:val="Indenti"/>
      </w:pPr>
      <w:r>
        <w:tab/>
        <w:t>(ii)</w:t>
      </w:r>
      <w:r>
        <w:tab/>
        <w:t>in the course of any other action that the Registrar is authorised under this Act or any other Act to take with respect to the document.</w:t>
      </w:r>
    </w:p>
    <w:p>
      <w:pPr>
        <w:pStyle w:val="Subsection"/>
      </w:pPr>
      <w:r>
        <w:tab/>
        <w:t>(4)</w:t>
      </w:r>
      <w:r>
        <w:tab/>
        <w:t xml:space="preserve">This section does not apply to any document lodged before the </w:t>
      </w:r>
      <w:r>
        <w:rPr>
          <w:i/>
        </w:rPr>
        <w:t>Electronic Conveyancing Act 2014</w:t>
      </w:r>
      <w:r>
        <w:t xml:space="preserve"> section 82 comes into operation.</w:t>
      </w:r>
    </w:p>
    <w:p>
      <w:pPr>
        <w:pStyle w:val="Footnotesection"/>
        <w:spacing w:before="100"/>
        <w:ind w:left="890" w:hanging="890"/>
      </w:pPr>
      <w:r>
        <w:tab/>
        <w:t>[Section 192A inserted: No. 2 of 2014 s. 82.]</w:t>
      </w:r>
    </w:p>
    <w:p>
      <w:pPr>
        <w:pStyle w:val="Heading5"/>
      </w:pPr>
      <w:bookmarkStart w:id="327" w:name="_Toc141092922"/>
      <w:r>
        <w:rPr>
          <w:rStyle w:val="CharSectno"/>
        </w:rPr>
        <w:lastRenderedPageBreak/>
        <w:t>192B</w:t>
      </w:r>
      <w:r>
        <w:t>.</w:t>
      </w:r>
      <w:r>
        <w:tab/>
        <w:t>Registrar may refuse lodgment for non</w:t>
      </w:r>
      <w:r>
        <w:noBreakHyphen/>
        <w:t>compliance with certain requirements</w:t>
      </w:r>
      <w:bookmarkEnd w:id="327"/>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The Registrar may refuse to accept a document for lodgment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lodging of the document is not complied with.</w:t>
      </w:r>
    </w:p>
    <w:p>
      <w:pPr>
        <w:pStyle w:val="Subsection"/>
        <w:keepNext/>
      </w:pPr>
      <w:r>
        <w:tab/>
        <w:t>(3)</w:t>
      </w:r>
      <w:r>
        <w:tab/>
        <w:t>This section does not limit or affect any other obligation or power to refuse to accept a document for lodgment.</w:t>
      </w:r>
    </w:p>
    <w:p>
      <w:pPr>
        <w:pStyle w:val="Footnotesection"/>
        <w:spacing w:before="100"/>
        <w:ind w:left="890" w:hanging="890"/>
      </w:pPr>
      <w:r>
        <w:tab/>
        <w:t>[Section 192B inserted: No. 2 of 2014 s. 82; amended: No. 32 of 2018 s. 260.]</w:t>
      </w:r>
    </w:p>
    <w:p>
      <w:pPr>
        <w:pStyle w:val="Heading5"/>
      </w:pPr>
      <w:bookmarkStart w:id="328" w:name="_Toc141092923"/>
      <w:r>
        <w:rPr>
          <w:rStyle w:val="CharSectno"/>
        </w:rPr>
        <w:t>192C</w:t>
      </w:r>
      <w:r>
        <w:t>.</w:t>
      </w:r>
      <w:r>
        <w:tab/>
        <w:t>Commissioner may refuse to take action if requirements not complied with</w:t>
      </w:r>
      <w:bookmarkEnd w:id="328"/>
    </w:p>
    <w:p>
      <w:pPr>
        <w:pStyle w:val="Subsection"/>
      </w:pPr>
      <w:r>
        <w:tab/>
        <w:t>(1)</w:t>
      </w:r>
      <w:r>
        <w:tab/>
        <w:t xml:space="preserve">The Commissioner may refuse to take any action that the Commissioner is required or authorised to take under this Act if — </w:t>
      </w:r>
    </w:p>
    <w:p>
      <w:pPr>
        <w:pStyle w:val="Indenta"/>
      </w:pPr>
      <w:r>
        <w:tab/>
        <w:t>(a)</w:t>
      </w:r>
      <w:r>
        <w:tab/>
        <w:t xml:space="preserve">the taking of that action is dependent on compliance with — </w:t>
      </w:r>
    </w:p>
    <w:p>
      <w:pPr>
        <w:pStyle w:val="Indenti"/>
      </w:pPr>
      <w:r>
        <w:lastRenderedPageBreak/>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a requirement of the </w:t>
      </w:r>
      <w:r>
        <w:rPr>
          <w:i/>
        </w:rPr>
        <w:t>Electronic Conveyancing Act 2014</w:t>
      </w:r>
      <w:r>
        <w:t xml:space="preserve"> or any participation rules;</w:t>
      </w:r>
    </w:p>
    <w:p>
      <w:pPr>
        <w:pStyle w:val="Indenta"/>
      </w:pPr>
      <w:r>
        <w:tab/>
      </w:r>
      <w:r>
        <w:tab/>
        <w:t>and</w:t>
      </w:r>
    </w:p>
    <w:p>
      <w:pPr>
        <w:pStyle w:val="Indenta"/>
      </w:pPr>
      <w:r>
        <w:tab/>
        <w:t>(b)</w:t>
      </w:r>
      <w:r>
        <w:tab/>
        <w:t>that requirement has not been complied with.</w:t>
      </w:r>
    </w:p>
    <w:p>
      <w:pPr>
        <w:pStyle w:val="Subsection"/>
      </w:pPr>
      <w:r>
        <w:tab/>
        <w:t>(2)</w:t>
      </w:r>
      <w:r>
        <w:tab/>
        <w:t xml:space="preserve">For the purposes of subsection (1), taking an action includes (without limiting subsection (1)) — </w:t>
      </w:r>
    </w:p>
    <w:p>
      <w:pPr>
        <w:pStyle w:val="Indenta"/>
      </w:pPr>
      <w:r>
        <w:tab/>
        <w:t>(a)</w:t>
      </w:r>
      <w:r>
        <w:tab/>
        <w:t>accepting an application under this Act or any regulations made under this Act; and</w:t>
      </w:r>
    </w:p>
    <w:p>
      <w:pPr>
        <w:pStyle w:val="Indenta"/>
      </w:pPr>
      <w:r>
        <w:tab/>
        <w:t>(b)</w:t>
      </w:r>
      <w:r>
        <w:tab/>
        <w:t>giving a direction to the Registrar.</w:t>
      </w:r>
    </w:p>
    <w:p>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Subsection"/>
      </w:pPr>
      <w:r>
        <w:tab/>
        <w:t>(4)</w:t>
      </w:r>
      <w:r>
        <w:tab/>
        <w:t xml:space="preserve">A notice given under subsection (3) — </w:t>
      </w:r>
    </w:p>
    <w:p>
      <w:pPr>
        <w:pStyle w:val="Indenta"/>
      </w:pPr>
      <w:r>
        <w:tab/>
        <w:t>(a)</w:t>
      </w:r>
      <w:r>
        <w:tab/>
        <w:t>must be served on the person to whom it is directed;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(5)</w:t>
      </w:r>
      <w:r>
        <w:tab/>
        <w:t>If a notice of non</w:t>
      </w:r>
      <w:r>
        <w:noBreakHyphen/>
        <w:t xml:space="preserve">compliance given under subsection (3) relates to a document — </w:t>
      </w:r>
    </w:p>
    <w:p>
      <w:pPr>
        <w:pStyle w:val="Indenta"/>
      </w:pPr>
      <w:r>
        <w:tab/>
        <w:t>(a)</w:t>
      </w:r>
      <w:r>
        <w:tab/>
        <w:t>the notice is to be taken to be a notice given under section 192(1) by the Registrar in relation to the document; and</w:t>
      </w:r>
    </w:p>
    <w:p>
      <w:pPr>
        <w:pStyle w:val="Indenta"/>
      </w:pPr>
      <w:r>
        <w:tab/>
        <w:t>(b)</w:t>
      </w:r>
      <w:r>
        <w:tab/>
        <w:t>section 192 applies accordingly with all necessary changes.</w:t>
      </w:r>
    </w:p>
    <w:p>
      <w:pPr>
        <w:pStyle w:val="Subsection"/>
      </w:pPr>
      <w:r>
        <w:tab/>
        <w:t>(6)</w:t>
      </w:r>
      <w:r>
        <w:tab/>
        <w:t>This section does not limit or affect any other obligation or power to refuse to take any action.</w:t>
      </w:r>
    </w:p>
    <w:p>
      <w:pPr>
        <w:pStyle w:val="Footnotesection"/>
        <w:spacing w:before="100"/>
        <w:ind w:left="890" w:hanging="890"/>
      </w:pPr>
      <w:r>
        <w:lastRenderedPageBreak/>
        <w:tab/>
        <w:t>[Section 192C inserted: No. 2 of 2014 s. 82; amended: No. 32 of 2018 s. 261.]</w:t>
      </w:r>
    </w:p>
    <w:p>
      <w:pPr>
        <w:pStyle w:val="Heading5"/>
        <w:spacing w:before="180"/>
      </w:pPr>
      <w:bookmarkStart w:id="329" w:name="_Toc141092924"/>
      <w:r>
        <w:rPr>
          <w:rStyle w:val="CharSectno"/>
        </w:rPr>
        <w:t>192D</w:t>
      </w:r>
      <w:r>
        <w:t>.</w:t>
      </w:r>
      <w:r>
        <w:tab/>
        <w:t>Registrar may refuse registration, noting or recording for non</w:t>
      </w:r>
      <w:r>
        <w:noBreakHyphen/>
        <w:t>compliance with requirements</w:t>
      </w:r>
      <w:bookmarkEnd w:id="329"/>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This section applies to any document that is lodged — </w:t>
      </w:r>
    </w:p>
    <w:p>
      <w:pPr>
        <w:pStyle w:val="Indenta"/>
      </w:pPr>
      <w:r>
        <w:tab/>
        <w:t>(a)</w:t>
      </w:r>
      <w:r>
        <w:tab/>
        <w:t>for registration; or</w:t>
      </w:r>
    </w:p>
    <w:p>
      <w:pPr>
        <w:pStyle w:val="Indenta"/>
      </w:pPr>
      <w:r>
        <w:tab/>
        <w:t>(b)</w:t>
      </w:r>
      <w:r>
        <w:tab/>
        <w:t>in relation to any land, title, estate or interest; or</w:t>
      </w:r>
    </w:p>
    <w:p>
      <w:pPr>
        <w:pStyle w:val="Indenta"/>
      </w:pPr>
      <w:r>
        <w:tab/>
        <w:t>(c)</w:t>
      </w:r>
      <w:r>
        <w:tab/>
        <w:t>in connection with any application or dealing.</w:t>
      </w:r>
    </w:p>
    <w:p>
      <w:pPr>
        <w:pStyle w:val="Subsection"/>
      </w:pPr>
      <w:r>
        <w:tab/>
        <w:t>(3)</w:t>
      </w:r>
      <w:r>
        <w:tab/>
        <w:t xml:space="preserve">The Registrar may refuse to register, note, file or record a document to which this section applies if — </w:t>
      </w:r>
    </w:p>
    <w:p>
      <w:pPr>
        <w:pStyle w:val="Indenta"/>
      </w:pPr>
      <w:r>
        <w:tab/>
        <w:t>(a)</w:t>
      </w:r>
      <w:r>
        <w:tab/>
        <w:t xml:space="preserve">the document does not comply with — </w:t>
      </w:r>
    </w:p>
    <w:p>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pPr>
        <w:pStyle w:val="Indenti"/>
      </w:pPr>
      <w:r>
        <w:tab/>
        <w:t>(ii)</w:t>
      </w:r>
      <w:r>
        <w:tab/>
        <w:t>a requirement determined under section 182A; or</w:t>
      </w:r>
    </w:p>
    <w:p>
      <w:pPr>
        <w:pStyle w:val="Indenti"/>
      </w:pPr>
      <w:r>
        <w:tab/>
        <w:t>(iii)</w:t>
      </w:r>
      <w:r>
        <w:tab/>
        <w:t xml:space="preserve">the requirements of the </w:t>
      </w:r>
      <w:r>
        <w:rPr>
          <w:i/>
        </w:rPr>
        <w:t>Electronic Conveyancing Act 2014</w:t>
      </w:r>
      <w:r>
        <w:t xml:space="preserve"> or any participation rules;</w:t>
      </w:r>
    </w:p>
    <w:p>
      <w:pPr>
        <w:pStyle w:val="Indenta"/>
      </w:pPr>
      <w:r>
        <w:tab/>
      </w:r>
      <w:r>
        <w:tab/>
        <w:t>or</w:t>
      </w:r>
    </w:p>
    <w:p>
      <w:pPr>
        <w:pStyle w:val="Indenta"/>
      </w:pPr>
      <w:r>
        <w:tab/>
        <w:t>(b)</w:t>
      </w:r>
      <w:r>
        <w:tab/>
        <w:t>any requirement mentioned in paragraph (a)(i) to (iii) that relates to the registration, noting, filing or recording of the document is not complied with.</w:t>
      </w:r>
    </w:p>
    <w:p>
      <w:pPr>
        <w:pStyle w:val="Subsection"/>
      </w:pPr>
      <w:r>
        <w:tab/>
        <w:t>(4)</w:t>
      </w:r>
      <w:r>
        <w:tab/>
        <w:t xml:space="preserve">For the purposes of subsection (3), noting a document (the </w:t>
      </w:r>
      <w:r>
        <w:rPr>
          <w:rStyle w:val="CharDefText"/>
        </w:rPr>
        <w:t>first document</w:t>
      </w:r>
      <w:r>
        <w:t xml:space="preserve">) includes (without limiting subsection (3)) — </w:t>
      </w:r>
    </w:p>
    <w:p>
      <w:pPr>
        <w:pStyle w:val="Indenta"/>
      </w:pPr>
      <w:r>
        <w:tab/>
        <w:t>(a)</w:t>
      </w:r>
      <w:r>
        <w:tab/>
        <w:t>noting another document to the effect that a provision of the first document is incorporated in the other document; and</w:t>
      </w:r>
    </w:p>
    <w:p>
      <w:pPr>
        <w:pStyle w:val="Indenta"/>
      </w:pPr>
      <w:r>
        <w:lastRenderedPageBreak/>
        <w:tab/>
        <w:t>(b)</w:t>
      </w:r>
      <w:r>
        <w:tab/>
        <w:t>endorsing another document to an effect stated in the first document; and</w:t>
      </w:r>
    </w:p>
    <w:p>
      <w:pPr>
        <w:pStyle w:val="Indenta"/>
      </w:pPr>
      <w:r>
        <w:tab/>
        <w:t>(c)</w:t>
      </w:r>
      <w:r>
        <w:tab/>
        <w:t>removing a notification from, or modifying a notification in, another document in a way requested in the first document.</w:t>
      </w:r>
    </w:p>
    <w:p>
      <w:pPr>
        <w:pStyle w:val="Subsection"/>
      </w:pPr>
      <w:r>
        <w:tab/>
        <w:t>(5)</w:t>
      </w:r>
      <w:r>
        <w:tab/>
        <w:t>This section does not limit or affect any other obligation or power to refuse to register, note or record a document.</w:t>
      </w:r>
    </w:p>
    <w:p>
      <w:pPr>
        <w:pStyle w:val="Footnotesection"/>
        <w:spacing w:before="100"/>
        <w:ind w:left="890" w:hanging="890"/>
      </w:pPr>
      <w:r>
        <w:tab/>
        <w:t>[Section 192D inserted: No. 2 of 2014 s. 82; amended: No. 32 of 2018 s. 262.]</w:t>
      </w:r>
    </w:p>
    <w:p>
      <w:pPr>
        <w:pStyle w:val="Heading5"/>
      </w:pPr>
      <w:bookmarkStart w:id="330" w:name="_Toc141092925"/>
      <w:r>
        <w:rPr>
          <w:rStyle w:val="CharSectno"/>
        </w:rPr>
        <w:t>192E</w:t>
      </w:r>
      <w:r>
        <w:t>.</w:t>
      </w:r>
      <w:r>
        <w:tab/>
        <w:t>Notice of non</w:t>
      </w:r>
      <w:r>
        <w:noBreakHyphen/>
        <w:t>compliance under s. 192D</w:t>
      </w:r>
      <w:bookmarkEnd w:id="330"/>
    </w:p>
    <w:p>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Subsection"/>
      </w:pPr>
      <w:r>
        <w:tab/>
        <w:t>(2)</w:t>
      </w:r>
      <w:r>
        <w:tab/>
        <w:t xml:space="preserve">A notice given under subsection (1) — </w:t>
      </w:r>
    </w:p>
    <w:p>
      <w:pPr>
        <w:pStyle w:val="Indenta"/>
      </w:pPr>
      <w:r>
        <w:tab/>
        <w:t>(a)</w:t>
      </w:r>
      <w:r>
        <w:tab/>
        <w:t>must be served on the person who lodged the document; and</w:t>
      </w:r>
    </w:p>
    <w:p>
      <w:pPr>
        <w:pStyle w:val="Indenta"/>
      </w:pPr>
      <w:r>
        <w:tab/>
        <w:t>(b)</w:t>
      </w:r>
      <w:r>
        <w:tab/>
        <w:t>must specify a period within which the non</w:t>
      </w:r>
      <w:r>
        <w:noBreakHyphen/>
        <w:t>compliance must be rectified; and</w:t>
      </w:r>
    </w:p>
    <w:p>
      <w:pPr>
        <w:pStyle w:val="Indenta"/>
      </w:pPr>
      <w:r>
        <w:tab/>
        <w:t>(c)</w:t>
      </w:r>
      <w:r>
        <w:tab/>
        <w:t>may specify how the non</w:t>
      </w:r>
      <w:r>
        <w:noBreakHyphen/>
        <w:t>compliance is to be rectified.</w:t>
      </w:r>
    </w:p>
    <w:p>
      <w:pPr>
        <w:pStyle w:val="Subsection"/>
      </w:pPr>
      <w:r>
        <w:tab/>
        <w:t>(3)</w:t>
      </w:r>
      <w:r>
        <w:tab/>
        <w:t>If a notice of non</w:t>
      </w:r>
      <w:r>
        <w:noBreakHyphen/>
        <w:t xml:space="preserve">compliance is given under subsection (2) in relation to a document — </w:t>
      </w:r>
    </w:p>
    <w:p>
      <w:pPr>
        <w:pStyle w:val="Indenta"/>
      </w:pPr>
      <w:r>
        <w:tab/>
        <w:t>(a)</w:t>
      </w:r>
      <w:r>
        <w:tab/>
        <w:t>the notice is to be taken to be a notice given under section 192(1) in relation to the document; and</w:t>
      </w:r>
    </w:p>
    <w:p>
      <w:pPr>
        <w:pStyle w:val="Indenta"/>
      </w:pPr>
      <w:r>
        <w:tab/>
        <w:t>(b)</w:t>
      </w:r>
      <w:r>
        <w:tab/>
        <w:t>section 192 applies accordingly with all necessary changes.</w:t>
      </w:r>
    </w:p>
    <w:p>
      <w:pPr>
        <w:pStyle w:val="Footnotesection"/>
        <w:spacing w:before="100"/>
        <w:ind w:left="890" w:hanging="890"/>
      </w:pPr>
      <w:r>
        <w:tab/>
        <w:t>[Section 192E inserted: No. 2 of 2014 s. 82.]</w:t>
      </w:r>
    </w:p>
    <w:p>
      <w:pPr>
        <w:pStyle w:val="Heading5"/>
        <w:rPr>
          <w:snapToGrid w:val="0"/>
        </w:rPr>
      </w:pPr>
      <w:bookmarkStart w:id="331" w:name="_Toc141092926"/>
      <w:r>
        <w:rPr>
          <w:rStyle w:val="CharSectno"/>
        </w:rPr>
        <w:t>192</w:t>
      </w:r>
      <w:r>
        <w:rPr>
          <w:snapToGrid w:val="0"/>
        </w:rPr>
        <w:t>.</w:t>
      </w:r>
      <w:r>
        <w:rPr>
          <w:snapToGrid w:val="0"/>
        </w:rPr>
        <w:tab/>
        <w:t>Defective documents, rejection of</w:t>
      </w:r>
      <w:bookmarkEnd w:id="331"/>
    </w:p>
    <w:p>
      <w:pPr>
        <w:pStyle w:val="Subsection"/>
        <w:rPr>
          <w:snapToGrid w:val="0"/>
        </w:rPr>
      </w:pPr>
      <w:r>
        <w:rPr>
          <w:snapToGrid w:val="0"/>
        </w:rPr>
        <w:tab/>
        <w:t>(1)</w:t>
      </w:r>
      <w:r>
        <w:rPr>
          <w:snapToGrid w:val="0"/>
        </w:rPr>
        <w:tab/>
        <w:t xml:space="preserve">Whenever any instrument caveat surrender discharge of encumbrance court order or other document lodged for </w:t>
      </w:r>
      <w:r>
        <w:rPr>
          <w:snapToGrid w:val="0"/>
        </w:rPr>
        <w:lastRenderedPageBreak/>
        <w:t>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keepNext/>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the prescribed amount shall be forfeited and dealt with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No. 28 of 1969 s. 8; No. 6 of 2003 s. 74; No. 59 of 2004 s. 140; No. 2 of 2014 s. 83.]</w:t>
      </w:r>
    </w:p>
    <w:p>
      <w:pPr>
        <w:pStyle w:val="Heading5"/>
        <w:keepNext w:val="0"/>
        <w:keepLines w:val="0"/>
        <w:rPr>
          <w:snapToGrid w:val="0"/>
        </w:rPr>
      </w:pPr>
      <w:bookmarkStart w:id="332" w:name="_Toc141092927"/>
      <w:r>
        <w:rPr>
          <w:rStyle w:val="CharSectno"/>
        </w:rPr>
        <w:t>193</w:t>
      </w:r>
      <w:r>
        <w:rPr>
          <w:snapToGrid w:val="0"/>
        </w:rPr>
        <w:t>.</w:t>
      </w:r>
      <w:r>
        <w:rPr>
          <w:snapToGrid w:val="0"/>
        </w:rPr>
        <w:tab/>
        <w:t>Power to state case for Supreme Court</w:t>
      </w:r>
      <w:bookmarkEnd w:id="332"/>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pPr>
      <w:r>
        <w:tab/>
        <w:t>[Section 193 amended: No. 2 of 2014 s. 84.]</w:t>
      </w:r>
    </w:p>
    <w:p>
      <w:pPr>
        <w:pStyle w:val="Heading2"/>
      </w:pPr>
      <w:bookmarkStart w:id="333" w:name="_Toc141092545"/>
      <w:bookmarkStart w:id="334" w:name="_Toc141092928"/>
      <w:r>
        <w:rPr>
          <w:rStyle w:val="CharPartNo"/>
        </w:rPr>
        <w:lastRenderedPageBreak/>
        <w:t>Part XI</w:t>
      </w:r>
      <w:r>
        <w:rPr>
          <w:rStyle w:val="CharDivNo"/>
        </w:rPr>
        <w:t> </w:t>
      </w:r>
      <w:r>
        <w:t>—</w:t>
      </w:r>
      <w:r>
        <w:rPr>
          <w:rStyle w:val="CharDivText"/>
        </w:rPr>
        <w:t> </w:t>
      </w:r>
      <w:r>
        <w:rPr>
          <w:rStyle w:val="CharPartText"/>
        </w:rPr>
        <w:t>Restrictions on, and recovery of, payments of compensation by State</w:t>
      </w:r>
      <w:bookmarkEnd w:id="333"/>
      <w:bookmarkEnd w:id="334"/>
    </w:p>
    <w:p>
      <w:pPr>
        <w:pStyle w:val="Footnoteheading"/>
      </w:pPr>
      <w:r>
        <w:tab/>
        <w:t>[Heading inserted: No. 81 of 1996 s. 115.]</w:t>
      </w:r>
    </w:p>
    <w:p>
      <w:pPr>
        <w:pStyle w:val="Ednotesection"/>
      </w:pPr>
      <w:r>
        <w:t>[</w:t>
      </w:r>
      <w:r>
        <w:rPr>
          <w:b/>
        </w:rPr>
        <w:t>194.</w:t>
      </w:r>
      <w:r>
        <w:tab/>
        <w:t>Deleted: No. 81 of 1996 s. 116.]</w:t>
      </w:r>
    </w:p>
    <w:p>
      <w:pPr>
        <w:pStyle w:val="Heading5"/>
        <w:rPr>
          <w:snapToGrid w:val="0"/>
        </w:rPr>
      </w:pPr>
      <w:bookmarkStart w:id="335" w:name="_Toc141092929"/>
      <w:r>
        <w:rPr>
          <w:rStyle w:val="CharSectno"/>
        </w:rPr>
        <w:t>195</w:t>
      </w:r>
      <w:r>
        <w:rPr>
          <w:snapToGrid w:val="0"/>
        </w:rPr>
        <w:t>.</w:t>
      </w:r>
      <w:r>
        <w:rPr>
          <w:snapToGrid w:val="0"/>
        </w:rPr>
        <w:tab/>
        <w:t>Moneys paid by State under s. 201 may be recovered</w:t>
      </w:r>
      <w:bookmarkEnd w:id="335"/>
    </w:p>
    <w:p>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w:t>
      </w:r>
      <w:r>
        <w:rPr>
          <w:snapToGrid w:val="0"/>
        </w:rPr>
        <w:lastRenderedPageBreak/>
        <w:t>any time thereafter if he shall be found within the jurisdiction of the Supreme Court.</w:t>
      </w:r>
    </w:p>
    <w:p>
      <w:pPr>
        <w:pStyle w:val="Footnotesection"/>
      </w:pPr>
      <w:r>
        <w:tab/>
        <w:t>[Section 195 amended: No. 17 of 1950 s. 54; No. 81 of 1996 s. 117.]</w:t>
      </w:r>
    </w:p>
    <w:p>
      <w:pPr>
        <w:pStyle w:val="Heading5"/>
        <w:rPr>
          <w:snapToGrid w:val="0"/>
        </w:rPr>
      </w:pPr>
      <w:bookmarkStart w:id="336" w:name="_Toc141092930"/>
      <w:r>
        <w:rPr>
          <w:rStyle w:val="CharSectno"/>
        </w:rPr>
        <w:t>196</w:t>
      </w:r>
      <w:r>
        <w:rPr>
          <w:snapToGrid w:val="0"/>
        </w:rPr>
        <w:t>.</w:t>
      </w:r>
      <w:r>
        <w:rPr>
          <w:snapToGrid w:val="0"/>
        </w:rPr>
        <w:tab/>
        <w:t>State not liable in certain cases</w:t>
      </w:r>
      <w:bookmarkEnd w:id="336"/>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lastRenderedPageBreak/>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No. 54 of 1909 s. 17 (as amended: No. 17 of 1950 s. 75); No. 81 of 1996 s. 118; No. 31 of 1997 s. 127; No. 19 of 2010 s. 51.]</w:t>
      </w:r>
    </w:p>
    <w:p>
      <w:pPr>
        <w:pStyle w:val="Ednotesection"/>
      </w:pPr>
      <w:r>
        <w:t>[</w:t>
      </w:r>
      <w:r>
        <w:rPr>
          <w:b/>
        </w:rPr>
        <w:t>197.</w:t>
      </w:r>
      <w:r>
        <w:tab/>
        <w:t>Deleted: No. 81 of 1996 s. 119.]</w:t>
      </w:r>
    </w:p>
    <w:p>
      <w:pPr>
        <w:pStyle w:val="Heading2"/>
      </w:pPr>
      <w:bookmarkStart w:id="337" w:name="_Toc141092548"/>
      <w:bookmarkStart w:id="338" w:name="_Toc141092931"/>
      <w:r>
        <w:rPr>
          <w:rStyle w:val="CharPartNo"/>
        </w:rPr>
        <w:lastRenderedPageBreak/>
        <w:t>Part XII</w:t>
      </w:r>
      <w:r>
        <w:rPr>
          <w:rStyle w:val="CharDivNo"/>
        </w:rPr>
        <w:t> </w:t>
      </w:r>
      <w:r>
        <w:t>—</w:t>
      </w:r>
      <w:r>
        <w:rPr>
          <w:rStyle w:val="CharDivText"/>
        </w:rPr>
        <w:t> </w:t>
      </w:r>
      <w:r>
        <w:rPr>
          <w:rStyle w:val="CharPartText"/>
        </w:rPr>
        <w:t>Actions and other remedies</w:t>
      </w:r>
      <w:bookmarkEnd w:id="337"/>
      <w:bookmarkEnd w:id="338"/>
    </w:p>
    <w:p>
      <w:pPr>
        <w:pStyle w:val="Heading5"/>
        <w:spacing w:before="180"/>
        <w:rPr>
          <w:snapToGrid w:val="0"/>
        </w:rPr>
      </w:pPr>
      <w:bookmarkStart w:id="339" w:name="_Toc141092932"/>
      <w:r>
        <w:rPr>
          <w:rStyle w:val="CharSectno"/>
        </w:rPr>
        <w:t>198</w:t>
      </w:r>
      <w:r>
        <w:rPr>
          <w:snapToGrid w:val="0"/>
        </w:rPr>
        <w:t>.</w:t>
      </w:r>
      <w:r>
        <w:rPr>
          <w:snapToGrid w:val="0"/>
        </w:rPr>
        <w:tab/>
        <w:t>Officers not to be liable for acts done bona fide</w:t>
      </w:r>
      <w:bookmarkEnd w:id="339"/>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pPr>
        <w:pStyle w:val="Footnotesection"/>
      </w:pPr>
      <w:r>
        <w:tab/>
        <w:t>[Section 198 amended: No. 8 of 2010 s. 32; No. 2 of 2014 s. 85; No. 30 of 2018 s. 203; No. 32 of 2018 s. 263.]</w:t>
      </w:r>
    </w:p>
    <w:p>
      <w:pPr>
        <w:pStyle w:val="Heading5"/>
        <w:rPr>
          <w:snapToGrid w:val="0"/>
        </w:rPr>
      </w:pPr>
      <w:bookmarkStart w:id="340" w:name="_Toc141092933"/>
      <w:r>
        <w:rPr>
          <w:rStyle w:val="CharSectno"/>
        </w:rPr>
        <w:t>199</w:t>
      </w:r>
      <w:r>
        <w:rPr>
          <w:snapToGrid w:val="0"/>
        </w:rPr>
        <w:t>.</w:t>
      </w:r>
      <w:r>
        <w:rPr>
          <w:snapToGrid w:val="0"/>
        </w:rPr>
        <w:tab/>
        <w:t>Registered proprietor protected against ejectment except in certain cases</w:t>
      </w:r>
      <w:bookmarkEnd w:id="340"/>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lastRenderedPageBreak/>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No. 31 of 1997 s. 128; No. 19 of 2010 s. 51.]</w:t>
      </w:r>
    </w:p>
    <w:p>
      <w:pPr>
        <w:pStyle w:val="Heading5"/>
        <w:rPr>
          <w:snapToGrid w:val="0"/>
        </w:rPr>
      </w:pPr>
      <w:bookmarkStart w:id="341" w:name="_Toc141092934"/>
      <w:r>
        <w:rPr>
          <w:rStyle w:val="CharSectno"/>
        </w:rPr>
        <w:t>200</w:t>
      </w:r>
      <w:r>
        <w:rPr>
          <w:snapToGrid w:val="0"/>
        </w:rPr>
        <w:t>.</w:t>
      </w:r>
      <w:r>
        <w:rPr>
          <w:snapToGrid w:val="0"/>
        </w:rPr>
        <w:tab/>
        <w:t>Court may direct cancellation of certificate or entry in Register in certain cases</w:t>
      </w:r>
      <w:bookmarkEnd w:id="341"/>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No. 81 of 1996 s. 145(1).]</w:t>
      </w:r>
    </w:p>
    <w:p>
      <w:pPr>
        <w:pStyle w:val="Heading5"/>
        <w:rPr>
          <w:snapToGrid w:val="0"/>
        </w:rPr>
      </w:pPr>
      <w:bookmarkStart w:id="342" w:name="_Toc141092935"/>
      <w:r>
        <w:rPr>
          <w:rStyle w:val="CharSectno"/>
        </w:rPr>
        <w:t>201</w:t>
      </w:r>
      <w:r>
        <w:rPr>
          <w:snapToGrid w:val="0"/>
        </w:rPr>
        <w:t>.</w:t>
      </w:r>
      <w:r>
        <w:rPr>
          <w:snapToGrid w:val="0"/>
        </w:rPr>
        <w:tab/>
        <w:t>Compensation of person deprived of land</w:t>
      </w:r>
      <w:bookmarkEnd w:id="342"/>
    </w:p>
    <w:p>
      <w:pPr>
        <w:pStyle w:val="Subsection"/>
        <w:rPr>
          <w:snapToGrid w:val="0"/>
        </w:rPr>
      </w:pPr>
      <w:r>
        <w:rPr>
          <w:snapToGrid w:val="0"/>
        </w:rPr>
        <w:tab/>
        <w:t>(1)</w:t>
      </w:r>
      <w:r>
        <w:rPr>
          <w:snapToGrid w:val="0"/>
        </w:rPr>
        <w:tab/>
        <w:t xml:space="preserve">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w:t>
      </w:r>
      <w:r>
        <w:rPr>
          <w:snapToGrid w:val="0"/>
        </w:rPr>
        <w:lastRenderedPageBreak/>
        <w:t>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No. 81 of 1996 s. 120 and 145(1); No. 77 of 2006 s. 4; No. 19 of 2010 s. 51.]</w:t>
      </w:r>
    </w:p>
    <w:p>
      <w:pPr>
        <w:pStyle w:val="Heading5"/>
        <w:rPr>
          <w:snapToGrid w:val="0"/>
        </w:rPr>
      </w:pPr>
      <w:bookmarkStart w:id="343" w:name="_Toc141092936"/>
      <w:r>
        <w:rPr>
          <w:rStyle w:val="CharSectno"/>
        </w:rPr>
        <w:lastRenderedPageBreak/>
        <w:t>202</w:t>
      </w:r>
      <w:r>
        <w:rPr>
          <w:snapToGrid w:val="0"/>
        </w:rPr>
        <w:t>.</w:t>
      </w:r>
      <w:r>
        <w:rPr>
          <w:snapToGrid w:val="0"/>
        </w:rPr>
        <w:tab/>
        <w:t>Purchasers protected</w:t>
      </w:r>
      <w:bookmarkEnd w:id="343"/>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344" w:name="_Toc141092937"/>
      <w:r>
        <w:rPr>
          <w:rStyle w:val="CharSectno"/>
        </w:rPr>
        <w:t>203</w:t>
      </w:r>
      <w:r>
        <w:rPr>
          <w:snapToGrid w:val="0"/>
        </w:rPr>
        <w:t>.</w:t>
      </w:r>
      <w:r>
        <w:rPr>
          <w:snapToGrid w:val="0"/>
        </w:rPr>
        <w:tab/>
        <w:t>Owner may require Commissioner or Registrar to substantiate decision before Supreme Court</w:t>
      </w:r>
      <w:bookmarkEnd w:id="344"/>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lastRenderedPageBreak/>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No. 17 of 1950 s. 56; No. 81 of 1996 s. 121; No. 19 of 2010 s. 51.]</w:t>
      </w:r>
    </w:p>
    <w:p>
      <w:pPr>
        <w:pStyle w:val="Heading5"/>
        <w:rPr>
          <w:snapToGrid w:val="0"/>
        </w:rPr>
      </w:pPr>
      <w:bookmarkStart w:id="345" w:name="_Toc141092938"/>
      <w:r>
        <w:rPr>
          <w:rStyle w:val="CharSectno"/>
        </w:rPr>
        <w:t>204</w:t>
      </w:r>
      <w:r>
        <w:rPr>
          <w:snapToGrid w:val="0"/>
        </w:rPr>
        <w:t>.</w:t>
      </w:r>
      <w:r>
        <w:rPr>
          <w:snapToGrid w:val="0"/>
        </w:rPr>
        <w:tab/>
        <w:t>Cost of summons and proceedings under s. 203 to be in discretion of court</w:t>
      </w:r>
      <w:bookmarkEnd w:id="345"/>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No. 17 of 1950 s. 57; No. 81 of 1996 s. 122; No. 77 of 2006 s. 4.]</w:t>
      </w:r>
    </w:p>
    <w:p>
      <w:pPr>
        <w:pStyle w:val="Heading5"/>
        <w:rPr>
          <w:snapToGrid w:val="0"/>
        </w:rPr>
      </w:pPr>
      <w:bookmarkStart w:id="346" w:name="_Toc141092939"/>
      <w:r>
        <w:rPr>
          <w:rStyle w:val="CharSectno"/>
        </w:rPr>
        <w:t>205</w:t>
      </w:r>
      <w:r>
        <w:rPr>
          <w:snapToGrid w:val="0"/>
        </w:rPr>
        <w:t>.</w:t>
      </w:r>
      <w:r>
        <w:rPr>
          <w:snapToGrid w:val="0"/>
        </w:rPr>
        <w:tab/>
        <w:t>Actions for damages may in some cases be brought against Registrar as nominal defendant</w:t>
      </w:r>
      <w:bookmarkEnd w:id="346"/>
    </w:p>
    <w:p>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w:t>
      </w:r>
      <w:r>
        <w:rPr>
          <w:snapToGrid w:val="0"/>
        </w:rPr>
        <w:lastRenderedPageBreak/>
        <w:t>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No. 81 of 1996 s. 123 and 145(1); No. 19 of 2010 s. 51.]</w:t>
      </w:r>
    </w:p>
    <w:p>
      <w:pPr>
        <w:pStyle w:val="Heading5"/>
        <w:rPr>
          <w:snapToGrid w:val="0"/>
        </w:rPr>
      </w:pPr>
      <w:bookmarkStart w:id="347" w:name="_Toc141092940"/>
      <w:r>
        <w:rPr>
          <w:rStyle w:val="CharSectno"/>
        </w:rPr>
        <w:t>206</w:t>
      </w:r>
      <w:r>
        <w:rPr>
          <w:snapToGrid w:val="0"/>
        </w:rPr>
        <w:t>.</w:t>
      </w:r>
      <w:r>
        <w:rPr>
          <w:snapToGrid w:val="0"/>
        </w:rPr>
        <w:tab/>
        <w:t>Actions for damages for loss due to inaccurate survey</w:t>
      </w:r>
      <w:bookmarkEnd w:id="347"/>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No. 81 of 1996 s. 124; No. 6 of 2003 s. 75.]</w:t>
      </w:r>
    </w:p>
    <w:p>
      <w:pPr>
        <w:pStyle w:val="Heading5"/>
        <w:rPr>
          <w:snapToGrid w:val="0"/>
        </w:rPr>
      </w:pPr>
      <w:bookmarkStart w:id="348" w:name="_Toc141092941"/>
      <w:r>
        <w:rPr>
          <w:rStyle w:val="CharSectno"/>
        </w:rPr>
        <w:t>207</w:t>
      </w:r>
      <w:r>
        <w:rPr>
          <w:snapToGrid w:val="0"/>
        </w:rPr>
        <w:t>.</w:t>
      </w:r>
      <w:r>
        <w:rPr>
          <w:snapToGrid w:val="0"/>
        </w:rPr>
        <w:tab/>
        <w:t>Actions for damages in certain other cases</w:t>
      </w:r>
      <w:bookmarkEnd w:id="348"/>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w:t>
      </w:r>
      <w:r>
        <w:rPr>
          <w:snapToGrid w:val="0"/>
        </w:rPr>
        <w:lastRenderedPageBreak/>
        <w:t>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No. 81 of 1996 s. 125; No. 19 of 2010 s. 51.]</w:t>
      </w:r>
    </w:p>
    <w:p>
      <w:pPr>
        <w:pStyle w:val="Heading5"/>
        <w:rPr>
          <w:snapToGrid w:val="0"/>
        </w:rPr>
      </w:pPr>
      <w:bookmarkStart w:id="349" w:name="_Toc141092942"/>
      <w:r>
        <w:rPr>
          <w:rStyle w:val="CharSectno"/>
        </w:rPr>
        <w:t>208</w:t>
      </w:r>
      <w:r>
        <w:rPr>
          <w:snapToGrid w:val="0"/>
        </w:rPr>
        <w:t>.</w:t>
      </w:r>
      <w:r>
        <w:rPr>
          <w:snapToGrid w:val="0"/>
        </w:rPr>
        <w:tab/>
        <w:t>Claims for damages may be made to Commissioner before commencing court action</w:t>
      </w:r>
      <w:bookmarkEnd w:id="349"/>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No. 81 of 1996 s. 126; No. 77 of 2006 s. 4; No. 19 of 2010 s. 51.]</w:t>
      </w:r>
    </w:p>
    <w:p>
      <w:pPr>
        <w:pStyle w:val="Heading5"/>
        <w:rPr>
          <w:snapToGrid w:val="0"/>
        </w:rPr>
      </w:pPr>
      <w:bookmarkStart w:id="350" w:name="_Toc141092943"/>
      <w:r>
        <w:rPr>
          <w:rStyle w:val="CharSectno"/>
        </w:rPr>
        <w:lastRenderedPageBreak/>
        <w:t>209</w:t>
      </w:r>
      <w:r>
        <w:rPr>
          <w:snapToGrid w:val="0"/>
        </w:rPr>
        <w:t>.</w:t>
      </w:r>
      <w:r>
        <w:rPr>
          <w:snapToGrid w:val="0"/>
        </w:rPr>
        <w:tab/>
        <w:t>Notice of action to be served</w:t>
      </w:r>
      <w:bookmarkEnd w:id="350"/>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No. 17 of 1950 s. 58; No. 81 of 1996 s. 127.]</w:t>
      </w:r>
    </w:p>
    <w:p>
      <w:pPr>
        <w:pStyle w:val="Heading5"/>
        <w:rPr>
          <w:snapToGrid w:val="0"/>
        </w:rPr>
      </w:pPr>
      <w:bookmarkStart w:id="351" w:name="_Toc141092944"/>
      <w:r>
        <w:rPr>
          <w:rStyle w:val="CharSectno"/>
        </w:rPr>
        <w:t>210</w:t>
      </w:r>
      <w:r>
        <w:rPr>
          <w:snapToGrid w:val="0"/>
        </w:rPr>
        <w:t>.</w:t>
      </w:r>
      <w:r>
        <w:rPr>
          <w:snapToGrid w:val="0"/>
        </w:rPr>
        <w:tab/>
        <w:t>Damages etc. awarded to be charged to Consolidated Account</w:t>
      </w:r>
      <w:bookmarkEnd w:id="351"/>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No. 81 of 1996 s. 128; amended: No. 77 of 2006 s. 4.]</w:t>
      </w:r>
    </w:p>
    <w:p>
      <w:pPr>
        <w:pStyle w:val="Heading5"/>
        <w:rPr>
          <w:snapToGrid w:val="0"/>
        </w:rPr>
      </w:pPr>
      <w:bookmarkStart w:id="352" w:name="_Toc141092945"/>
      <w:r>
        <w:rPr>
          <w:rStyle w:val="CharSectno"/>
        </w:rPr>
        <w:lastRenderedPageBreak/>
        <w:t>211</w:t>
      </w:r>
      <w:r>
        <w:rPr>
          <w:snapToGrid w:val="0"/>
        </w:rPr>
        <w:t>.</w:t>
      </w:r>
      <w:r>
        <w:rPr>
          <w:snapToGrid w:val="0"/>
        </w:rPr>
        <w:tab/>
        <w:t>Limitation of actions</w:t>
      </w:r>
      <w:bookmarkEnd w:id="352"/>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No. 17 of 1950 s. 59; No. 73 of 1954 s. 5; No. 81 of 1996 s. 129; No. 19 of 2010 s. 51.]</w:t>
      </w:r>
    </w:p>
    <w:p>
      <w:pPr>
        <w:pStyle w:val="Heading5"/>
        <w:rPr>
          <w:snapToGrid w:val="0"/>
        </w:rPr>
      </w:pPr>
      <w:bookmarkStart w:id="353" w:name="_Toc141092946"/>
      <w:r>
        <w:rPr>
          <w:rStyle w:val="CharSectno"/>
        </w:rPr>
        <w:t>212</w:t>
      </w:r>
      <w:r>
        <w:rPr>
          <w:snapToGrid w:val="0"/>
        </w:rPr>
        <w:t>.</w:t>
      </w:r>
      <w:r>
        <w:rPr>
          <w:snapToGrid w:val="0"/>
        </w:rPr>
        <w:tab/>
        <w:t>Rules of Supreme Court to apply and same right of appeal as in ordinary actions</w:t>
      </w:r>
      <w:bookmarkEnd w:id="353"/>
    </w:p>
    <w:p>
      <w:pPr>
        <w:pStyle w:val="Subsection"/>
        <w:rPr>
          <w:snapToGrid w:val="0"/>
        </w:rPr>
      </w:pPr>
      <w:r>
        <w:rPr>
          <w:snapToGrid w:val="0"/>
        </w:rPr>
        <w:tab/>
        <w:t>(1)</w:t>
      </w:r>
      <w:r>
        <w:rPr>
          <w:snapToGrid w:val="0"/>
        </w:rPr>
        <w:tab/>
        <w:t xml:space="preserve">In the conduct of actions under this Act the same rules of procedure and practice shall apply and there shall be the same rights of appeal as shall be in force or exist for the time being in </w:t>
      </w:r>
      <w:r>
        <w:rPr>
          <w:snapToGrid w:val="0"/>
        </w:rPr>
        <w:lastRenderedPageBreak/>
        <w:t>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No. 19 of 2010 s. 51.]</w:t>
      </w:r>
    </w:p>
    <w:p>
      <w:pPr>
        <w:pStyle w:val="Heading5"/>
        <w:rPr>
          <w:snapToGrid w:val="0"/>
        </w:rPr>
      </w:pPr>
      <w:bookmarkStart w:id="354" w:name="_Toc141092947"/>
      <w:r>
        <w:rPr>
          <w:rStyle w:val="CharSectno"/>
        </w:rPr>
        <w:t>213</w:t>
      </w:r>
      <w:r>
        <w:rPr>
          <w:snapToGrid w:val="0"/>
        </w:rPr>
        <w:t>.</w:t>
      </w:r>
      <w:r>
        <w:rPr>
          <w:snapToGrid w:val="0"/>
        </w:rPr>
        <w:tab/>
        <w:t>Obligation to make discovery not excluded</w:t>
      </w:r>
      <w:bookmarkEnd w:id="354"/>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55" w:name="_Toc141092565"/>
      <w:bookmarkStart w:id="356" w:name="_Toc141092948"/>
      <w:r>
        <w:rPr>
          <w:rStyle w:val="CharPartNo"/>
        </w:rPr>
        <w:lastRenderedPageBreak/>
        <w:t>Part XIII</w:t>
      </w:r>
      <w:r>
        <w:rPr>
          <w:rStyle w:val="CharDivNo"/>
        </w:rPr>
        <w:t> </w:t>
      </w:r>
      <w:r>
        <w:t>—</w:t>
      </w:r>
      <w:r>
        <w:rPr>
          <w:rStyle w:val="CharDivText"/>
        </w:rPr>
        <w:t> </w:t>
      </w:r>
      <w:r>
        <w:rPr>
          <w:rStyle w:val="CharPartText"/>
        </w:rPr>
        <w:t>Offences</w:t>
      </w:r>
      <w:bookmarkEnd w:id="355"/>
      <w:bookmarkEnd w:id="356"/>
    </w:p>
    <w:p>
      <w:pPr>
        <w:pStyle w:val="Heading5"/>
        <w:spacing w:before="180"/>
      </w:pPr>
      <w:bookmarkStart w:id="357" w:name="_Toc141092949"/>
      <w:r>
        <w:rPr>
          <w:rStyle w:val="CharSectno"/>
        </w:rPr>
        <w:t>214</w:t>
      </w:r>
      <w:r>
        <w:t>.</w:t>
      </w:r>
      <w:r>
        <w:tab/>
        <w:t>Offences</w:t>
      </w:r>
      <w:bookmarkEnd w:id="357"/>
    </w:p>
    <w:p>
      <w:pPr>
        <w:pStyle w:val="Subsection"/>
        <w:spacing w:before="120"/>
      </w:pPr>
      <w:r>
        <w:tab/>
        <w:t>(1)</w:t>
      </w:r>
      <w:r>
        <w:tab/>
        <w:t>A person must not do any of the things set out in subsection (3).</w:t>
      </w:r>
    </w:p>
    <w:p>
      <w:pPr>
        <w:pStyle w:val="Penstart"/>
      </w:pPr>
      <w:r>
        <w:tab/>
        <w:t>Penalty: imprisonment for 10 years and a fine of $100 000.</w:t>
      </w:r>
    </w:p>
    <w:p>
      <w:pPr>
        <w:pStyle w:val="Penstart"/>
      </w:pPr>
      <w:r>
        <w:tab/>
        <w:t>Summary conviction penalty: imprisonment for 3 years and a fine of $40 000.</w:t>
      </w:r>
    </w:p>
    <w:p>
      <w:pPr>
        <w:pStyle w:val="Subsection"/>
        <w:spacing w:before="120"/>
      </w:pPr>
      <w:r>
        <w:tab/>
        <w:t>(2)</w:t>
      </w:r>
      <w:r>
        <w:tab/>
        <w:t>An offence under subsection (1) is a crime.</w:t>
      </w:r>
    </w:p>
    <w:p>
      <w:pPr>
        <w:pStyle w:val="Subsection"/>
        <w:spacing w:before="120"/>
      </w:pPr>
      <w:r>
        <w:tab/>
        <w:t>(3)</w:t>
      </w:r>
      <w:r>
        <w:tab/>
        <w:t xml:space="preserve">The things to which subsection (1) applies are — </w:t>
      </w:r>
    </w:p>
    <w:p>
      <w:pPr>
        <w:pStyle w:val="Indenta"/>
      </w:pPr>
      <w:r>
        <w:tab/>
        <w:t>(a)</w:t>
      </w:r>
      <w:r>
        <w:tab/>
        <w:t xml:space="preserve">making any statement or declaration that the person making it knows is false or misleading in a material particular in — </w:t>
      </w:r>
    </w:p>
    <w:p>
      <w:pPr>
        <w:pStyle w:val="Indenti"/>
      </w:pPr>
      <w:r>
        <w:tab/>
        <w:t>(i)</w:t>
      </w:r>
      <w:r>
        <w:tab/>
        <w:t>any application under this Act; or</w:t>
      </w:r>
    </w:p>
    <w:p>
      <w:pPr>
        <w:pStyle w:val="Indenti"/>
      </w:pPr>
      <w:r>
        <w:tab/>
        <w:t>(ii)</w:t>
      </w:r>
      <w:r>
        <w:tab/>
        <w:t>any document lodged, deposited, presented or filed under this or any other Act;</w:t>
      </w:r>
    </w:p>
    <w:p>
      <w:pPr>
        <w:pStyle w:val="Indenta"/>
      </w:pPr>
      <w:r>
        <w:tab/>
        <w:t>(b)</w:t>
      </w:r>
      <w:r>
        <w:tab/>
        <w:t>making or giving any certification required under this Act that the person making or giving it knows is false or misleading in a material particular;</w:t>
      </w:r>
    </w:p>
    <w:p>
      <w:pPr>
        <w:pStyle w:val="Indenta"/>
      </w:pPr>
      <w:r>
        <w:tab/>
        <w:t>(c)</w:t>
      </w:r>
      <w:r>
        <w:tab/>
        <w:t>providing to the Commissioner or Registrar any material, document, fact or information that the person providing it knows is false or misleading in a material particular;</w:t>
      </w:r>
    </w:p>
    <w:p>
      <w:pPr>
        <w:pStyle w:val="Indenta"/>
      </w:pPr>
      <w:r>
        <w:tab/>
        <w:t>(d)</w:t>
      </w:r>
      <w:r>
        <w:tab/>
        <w:t>suppressing, withholding or concealing from the Commissioner or Registrar any material, document, fact or information;</w:t>
      </w:r>
    </w:p>
    <w:p>
      <w:pPr>
        <w:pStyle w:val="Indenta"/>
      </w:pPr>
      <w:r>
        <w:tab/>
        <w:t>(e)</w:t>
      </w:r>
      <w:r>
        <w:tab/>
        <w:t>making any statutory declaration authorised or required under this Act that the person making it knows is false or misleading in a material particular;</w:t>
      </w:r>
    </w:p>
    <w:p>
      <w:pPr>
        <w:pStyle w:val="Indenta"/>
      </w:pPr>
      <w:r>
        <w:tab/>
        <w:t>(f)</w:t>
      </w:r>
      <w:r>
        <w:tab/>
        <w:t>giving evidence in the course of an examination before the Commissioner that the person giving it knows is false or misleading in a material particular;</w:t>
      </w:r>
    </w:p>
    <w:p>
      <w:pPr>
        <w:pStyle w:val="Indenta"/>
        <w:keepNext/>
      </w:pPr>
      <w:r>
        <w:lastRenderedPageBreak/>
        <w:tab/>
        <w:t>(g)</w:t>
      </w:r>
      <w:r>
        <w:tab/>
        <w:t xml:space="preserve">fraudulently procuring — </w:t>
      </w:r>
    </w:p>
    <w:p>
      <w:pPr>
        <w:pStyle w:val="Indenti"/>
      </w:pPr>
      <w:r>
        <w:tab/>
        <w:t>(i)</w:t>
      </w:r>
      <w:r>
        <w:tab/>
        <w:t>a certificate of title or instrument; or</w:t>
      </w:r>
    </w:p>
    <w:p>
      <w:pPr>
        <w:pStyle w:val="Indenti"/>
      </w:pPr>
      <w:r>
        <w:tab/>
        <w:t>(ii)</w:t>
      </w:r>
      <w:r>
        <w:tab/>
        <w:t>an entry in the Register; or</w:t>
      </w:r>
    </w:p>
    <w:p>
      <w:pPr>
        <w:pStyle w:val="Indenti"/>
      </w:pPr>
      <w:r>
        <w:tab/>
        <w:t>(iii)</w:t>
      </w:r>
      <w:r>
        <w:tab/>
        <w:t>any erasure or alteration in any entry in the Register;</w:t>
      </w:r>
    </w:p>
    <w:p>
      <w:pPr>
        <w:pStyle w:val="Indenta"/>
      </w:pPr>
      <w:r>
        <w:tab/>
        <w:t>(h)</w:t>
      </w:r>
      <w:r>
        <w:tab/>
        <w:t xml:space="preserve">whether fraudulently or not, without lawful excuse — </w:t>
      </w:r>
    </w:p>
    <w:p>
      <w:pPr>
        <w:pStyle w:val="Indenti"/>
      </w:pPr>
      <w:r>
        <w:tab/>
        <w:t>(i)</w:t>
      </w:r>
      <w:r>
        <w:tab/>
        <w:t>defacing, erasing or altering any words, memorandum or diagram in or on any duplicate certificate or duplicate instrument; or</w:t>
      </w:r>
    </w:p>
    <w:p>
      <w:pPr>
        <w:pStyle w:val="Indenti"/>
      </w:pPr>
      <w:r>
        <w:tab/>
        <w:t>(ii)</w:t>
      </w:r>
      <w:r>
        <w:tab/>
        <w:t>destroying any duplicate certificate or duplicate instrument;</w:t>
      </w:r>
    </w:p>
    <w:p>
      <w:pPr>
        <w:pStyle w:val="Indenta"/>
      </w:pPr>
      <w:r>
        <w:tab/>
        <w:t>(i)</w:t>
      </w:r>
      <w:r>
        <w:tab/>
        <w:t xml:space="preserve">misleading or deceiving any person authorised to require an explanation or information in respect of — </w:t>
      </w:r>
    </w:p>
    <w:p>
      <w:pPr>
        <w:pStyle w:val="Indenti"/>
      </w:pPr>
      <w:r>
        <w:tab/>
        <w:t>(i)</w:t>
      </w:r>
      <w:r>
        <w:tab/>
        <w:t>any land, or the title to any land, under the operation of this Act; or</w:t>
      </w:r>
    </w:p>
    <w:p>
      <w:pPr>
        <w:pStyle w:val="Indenti"/>
      </w:pPr>
      <w:r>
        <w:tab/>
        <w:t>(ii)</w:t>
      </w:r>
      <w:r>
        <w:tab/>
        <w:t>any land, or the title to any land, that is the subject of an application to bring it under the operation of this Act; or</w:t>
      </w:r>
    </w:p>
    <w:p>
      <w:pPr>
        <w:pStyle w:val="Indenti"/>
      </w:pPr>
      <w:r>
        <w:tab/>
        <w:t>(iii)</w:t>
      </w:r>
      <w:r>
        <w:tab/>
        <w:t>any land or the title to any land in respect of which any dealing or transmission is proposed to be registered;</w:t>
      </w:r>
    </w:p>
    <w:p>
      <w:pPr>
        <w:pStyle w:val="Indenta"/>
      </w:pPr>
      <w:r>
        <w:tab/>
        <w:t>(j)</w:t>
      </w:r>
      <w:r>
        <w:tab/>
        <w:t>without reasonable excuse, neglecting to lodge with the Registrar a duplicate certificate of title or Crown lease when required to do so under this Act.</w:t>
      </w:r>
    </w:p>
    <w:p>
      <w:pPr>
        <w:pStyle w:val="Footnotesection"/>
        <w:spacing w:before="100"/>
        <w:ind w:left="890" w:hanging="890"/>
      </w:pPr>
      <w:r>
        <w:tab/>
        <w:t>[Section 214 inserted: No. 2 of 2014 s. 86; amended: No. 32 of 2018 s. 264.]</w:t>
      </w:r>
    </w:p>
    <w:p>
      <w:pPr>
        <w:pStyle w:val="Heading5"/>
      </w:pPr>
      <w:bookmarkStart w:id="358" w:name="_Toc141092950"/>
      <w:r>
        <w:rPr>
          <w:rStyle w:val="CharSectno"/>
        </w:rPr>
        <w:t>214A</w:t>
      </w:r>
      <w:r>
        <w:t>.</w:t>
      </w:r>
      <w:r>
        <w:tab/>
        <w:t>Effect of fraud</w:t>
      </w:r>
      <w:bookmarkEnd w:id="358"/>
    </w:p>
    <w:p>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Footnotesection"/>
        <w:spacing w:before="100"/>
        <w:ind w:left="890" w:hanging="890"/>
      </w:pPr>
      <w:r>
        <w:lastRenderedPageBreak/>
        <w:tab/>
        <w:t>[Section 214A inserted: No. 2 of 2014 s. 86.]</w:t>
      </w:r>
    </w:p>
    <w:p>
      <w:pPr>
        <w:pStyle w:val="Ednotesection"/>
        <w:spacing w:before="160"/>
        <w:ind w:left="890" w:hanging="890"/>
        <w:rPr>
          <w:rStyle w:val="CharSectno"/>
          <w:i w:val="0"/>
          <w:snapToGrid/>
        </w:rPr>
      </w:pPr>
      <w:r>
        <w:t>[</w:t>
      </w:r>
      <w:r>
        <w:rPr>
          <w:b/>
        </w:rPr>
        <w:t>214B.</w:t>
      </w:r>
      <w:r>
        <w:tab/>
        <w:t>Deleted: No. 2 of 2014 s. 86.]</w:t>
      </w:r>
    </w:p>
    <w:p>
      <w:pPr>
        <w:pStyle w:val="Ednotesection"/>
        <w:spacing w:before="160"/>
        <w:ind w:left="890" w:hanging="890"/>
      </w:pPr>
      <w:r>
        <w:t>[</w:t>
      </w:r>
      <w:r>
        <w:rPr>
          <w:b/>
        </w:rPr>
        <w:t>215</w:t>
      </w:r>
      <w:r>
        <w:rPr>
          <w:b/>
        </w:rPr>
        <w:noBreakHyphen/>
        <w:t>218.</w:t>
      </w:r>
      <w:r>
        <w:tab/>
        <w:t>Deleted: No. 17 of 1950 s. 63.]</w:t>
      </w:r>
    </w:p>
    <w:p>
      <w:pPr>
        <w:pStyle w:val="Heading2"/>
      </w:pPr>
      <w:bookmarkStart w:id="359" w:name="_Toc141092568"/>
      <w:bookmarkStart w:id="360" w:name="_Toc141092951"/>
      <w:r>
        <w:rPr>
          <w:rStyle w:val="CharPartNo"/>
        </w:rPr>
        <w:lastRenderedPageBreak/>
        <w:t>Part XIV</w:t>
      </w:r>
      <w:r>
        <w:rPr>
          <w:rStyle w:val="CharDivNo"/>
        </w:rPr>
        <w:t> </w:t>
      </w:r>
      <w:r>
        <w:t>—</w:t>
      </w:r>
      <w:r>
        <w:rPr>
          <w:rStyle w:val="CharDivText"/>
        </w:rPr>
        <w:t> </w:t>
      </w:r>
      <w:r>
        <w:rPr>
          <w:rStyle w:val="CharPartText"/>
        </w:rPr>
        <w:t>Miscellaneous</w:t>
      </w:r>
      <w:bookmarkEnd w:id="359"/>
      <w:bookmarkEnd w:id="360"/>
    </w:p>
    <w:p>
      <w:pPr>
        <w:pStyle w:val="Heading5"/>
        <w:rPr>
          <w:snapToGrid w:val="0"/>
        </w:rPr>
      </w:pPr>
      <w:bookmarkStart w:id="361" w:name="_Toc141092952"/>
      <w:r>
        <w:rPr>
          <w:rStyle w:val="CharSectno"/>
        </w:rPr>
        <w:t>219</w:t>
      </w:r>
      <w:r>
        <w:rPr>
          <w:snapToGrid w:val="0"/>
        </w:rPr>
        <w:t>.</w:t>
      </w:r>
      <w:r>
        <w:rPr>
          <w:snapToGrid w:val="0"/>
        </w:rPr>
        <w:tab/>
        <w:t>Person entitled under will etc. may apply to be registered</w:t>
      </w:r>
      <w:bookmarkEnd w:id="361"/>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No. 81 of 1996 s. 131; No. 19 of 2010 s. 51.]</w:t>
      </w:r>
    </w:p>
    <w:p>
      <w:pPr>
        <w:pStyle w:val="Heading5"/>
        <w:rPr>
          <w:snapToGrid w:val="0"/>
        </w:rPr>
      </w:pPr>
      <w:bookmarkStart w:id="362" w:name="_Toc141092953"/>
      <w:r>
        <w:rPr>
          <w:rStyle w:val="CharSectno"/>
        </w:rPr>
        <w:t>220</w:t>
      </w:r>
      <w:r>
        <w:rPr>
          <w:snapToGrid w:val="0"/>
        </w:rPr>
        <w:t>.</w:t>
      </w:r>
      <w:r>
        <w:rPr>
          <w:snapToGrid w:val="0"/>
        </w:rPr>
        <w:tab/>
        <w:t>Application under s. 219, how dealt with</w:t>
      </w:r>
      <w:bookmarkEnd w:id="362"/>
    </w:p>
    <w:p>
      <w:pPr>
        <w:pStyle w:val="Subsection"/>
        <w:rPr>
          <w:snapToGrid w:val="0"/>
        </w:rPr>
      </w:pPr>
      <w:r>
        <w:rPr>
          <w:snapToGrid w:val="0"/>
          <w:spacing w:val="-4"/>
        </w:rPr>
        <w:tab/>
        <w:t>(1)</w:t>
      </w:r>
      <w:r>
        <w:rPr>
          <w:snapToGrid w:val="0"/>
          <w:spacing w:val="-4"/>
        </w:rPr>
        <w:tab/>
      </w:r>
      <w:r>
        <w:rPr>
          <w:snapToGrid w:val="0"/>
        </w:rPr>
        <w:t xml:space="preserve">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w:t>
      </w:r>
      <w:r>
        <w:rPr>
          <w:snapToGrid w:val="0"/>
        </w:rPr>
        <w:lastRenderedPageBreak/>
        <w:t>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ind w:left="890" w:hanging="890"/>
      </w:pPr>
      <w:r>
        <w:tab/>
        <w:t>[Section 220 amended: No. 81 of 1996 s. 145(1); No. 19 of 2010 s. 51.]</w:t>
      </w:r>
    </w:p>
    <w:p>
      <w:pPr>
        <w:pStyle w:val="Heading5"/>
        <w:rPr>
          <w:snapToGrid w:val="0"/>
        </w:rPr>
      </w:pPr>
      <w:bookmarkStart w:id="363" w:name="_Toc141092954"/>
      <w:r>
        <w:rPr>
          <w:rStyle w:val="CharSectno"/>
        </w:rPr>
        <w:t>221</w:t>
      </w:r>
      <w:r>
        <w:rPr>
          <w:snapToGrid w:val="0"/>
        </w:rPr>
        <w:t>.</w:t>
      </w:r>
      <w:r>
        <w:rPr>
          <w:snapToGrid w:val="0"/>
        </w:rPr>
        <w:tab/>
        <w:t>Remainder</w:t>
      </w:r>
      <w:r>
        <w:rPr>
          <w:snapToGrid w:val="0"/>
        </w:rPr>
        <w:noBreakHyphen/>
        <w:t>man or reversioner may apply to be registered</w:t>
      </w:r>
      <w:bookmarkEnd w:id="363"/>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 xml:space="preserve">Such application shall be dealt with in like manner as is mentioned in the last preceding section; and any entry made thereupon shall have the same effect and the person registered </w:t>
      </w:r>
      <w:r>
        <w:rPr>
          <w:snapToGrid w:val="0"/>
        </w:rPr>
        <w:lastRenderedPageBreak/>
        <w:t>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No. 19 of 2010 s. 51.]</w:t>
      </w:r>
    </w:p>
    <w:p>
      <w:pPr>
        <w:pStyle w:val="Heading5"/>
        <w:rPr>
          <w:snapToGrid w:val="0"/>
        </w:rPr>
      </w:pPr>
      <w:bookmarkStart w:id="364" w:name="_Toc141092955"/>
      <w:r>
        <w:rPr>
          <w:rStyle w:val="CharSectno"/>
        </w:rPr>
        <w:t>222</w:t>
      </w:r>
      <w:r>
        <w:rPr>
          <w:snapToGrid w:val="0"/>
        </w:rPr>
        <w:t>.</w:t>
      </w:r>
      <w:r>
        <w:rPr>
          <w:snapToGrid w:val="0"/>
        </w:rPr>
        <w:tab/>
        <w:t>Person claiming title under statute of limitations may apply to be registered</w:t>
      </w:r>
      <w:bookmarkEnd w:id="364"/>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ind w:left="890" w:hanging="890"/>
      </w:pPr>
      <w:r>
        <w:tab/>
        <w:t>[Section 222 amended: No. 19 of 2010 s. 51.]</w:t>
      </w:r>
    </w:p>
    <w:p>
      <w:pPr>
        <w:pStyle w:val="Heading5"/>
        <w:rPr>
          <w:snapToGrid w:val="0"/>
        </w:rPr>
      </w:pPr>
      <w:bookmarkStart w:id="365" w:name="_Toc141092956"/>
      <w:r>
        <w:rPr>
          <w:rStyle w:val="CharSectno"/>
        </w:rPr>
        <w:t>223</w:t>
      </w:r>
      <w:r>
        <w:rPr>
          <w:snapToGrid w:val="0"/>
        </w:rPr>
        <w:t>.</w:t>
      </w:r>
      <w:r>
        <w:rPr>
          <w:snapToGrid w:val="0"/>
        </w:rPr>
        <w:tab/>
        <w:t>Application under s. 222, how dealt with</w:t>
      </w:r>
      <w:bookmarkEnd w:id="365"/>
    </w:p>
    <w:p>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w:t>
      </w:r>
      <w:r>
        <w:rPr>
          <w:snapToGrid w:val="0"/>
        </w:rPr>
        <w:lastRenderedPageBreak/>
        <w:t>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No. 14 of 1996 s. 4; No. 81 of 1996 s. 145(1); No. 19 of 2010 s. 51.]</w:t>
      </w:r>
    </w:p>
    <w:p>
      <w:pPr>
        <w:pStyle w:val="Heading5"/>
        <w:spacing w:before="180"/>
        <w:rPr>
          <w:snapToGrid w:val="0"/>
        </w:rPr>
      </w:pPr>
      <w:bookmarkStart w:id="366" w:name="_Toc141092957"/>
      <w:r>
        <w:rPr>
          <w:rStyle w:val="CharSectno"/>
        </w:rPr>
        <w:t>223A</w:t>
      </w:r>
      <w:r>
        <w:rPr>
          <w:snapToGrid w:val="0"/>
        </w:rPr>
        <w:t>.</w:t>
      </w:r>
      <w:r>
        <w:rPr>
          <w:snapToGrid w:val="0"/>
        </w:rPr>
        <w:tab/>
        <w:t>Caveat against application</w:t>
      </w:r>
      <w:bookmarkEnd w:id="366"/>
    </w:p>
    <w:p>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spacing w:before="80"/>
        <w:ind w:left="890" w:hanging="890"/>
      </w:pPr>
      <w:r>
        <w:tab/>
        <w:t>[Section 223A inserted: No. 17 of 1950 s. 64; amended: No. 19 of 2010 s. 51.]</w:t>
      </w:r>
    </w:p>
    <w:p>
      <w:pPr>
        <w:pStyle w:val="Ednotesection"/>
        <w:spacing w:before="160"/>
        <w:ind w:left="890" w:hanging="890"/>
      </w:pPr>
      <w:r>
        <w:t>[</w:t>
      </w:r>
      <w:r>
        <w:rPr>
          <w:b/>
        </w:rPr>
        <w:t>224.</w:t>
      </w:r>
      <w:r>
        <w:tab/>
        <w:t>Deleted: No. 81 of 1996 s. 132.]</w:t>
      </w:r>
    </w:p>
    <w:p>
      <w:pPr>
        <w:pStyle w:val="Ednotesection"/>
        <w:spacing w:before="160"/>
        <w:ind w:left="890" w:hanging="890"/>
      </w:pPr>
      <w:r>
        <w:t>[</w:t>
      </w:r>
      <w:r>
        <w:rPr>
          <w:b/>
        </w:rPr>
        <w:t>225.</w:t>
      </w:r>
      <w:r>
        <w:tab/>
        <w:t>Deleted: No. 81 of 1996 s. 133.]</w:t>
      </w:r>
    </w:p>
    <w:p>
      <w:pPr>
        <w:pStyle w:val="Ednotesection"/>
        <w:spacing w:before="160"/>
        <w:ind w:left="890" w:hanging="890"/>
      </w:pPr>
      <w:r>
        <w:t>[</w:t>
      </w:r>
      <w:r>
        <w:rPr>
          <w:b/>
        </w:rPr>
        <w:t>226.</w:t>
      </w:r>
      <w:r>
        <w:tab/>
        <w:t>Deleted: No. 6 of 2003 s. 76.]</w:t>
      </w:r>
    </w:p>
    <w:p>
      <w:pPr>
        <w:pStyle w:val="Heading5"/>
        <w:keepNext w:val="0"/>
        <w:keepLines w:val="0"/>
        <w:spacing w:before="180"/>
        <w:rPr>
          <w:snapToGrid w:val="0"/>
        </w:rPr>
      </w:pPr>
      <w:bookmarkStart w:id="367" w:name="_Toc141092958"/>
      <w:r>
        <w:rPr>
          <w:rStyle w:val="CharSectno"/>
        </w:rPr>
        <w:lastRenderedPageBreak/>
        <w:t>227</w:t>
      </w:r>
      <w:r>
        <w:rPr>
          <w:snapToGrid w:val="0"/>
        </w:rPr>
        <w:t>.</w:t>
      </w:r>
      <w:r>
        <w:rPr>
          <w:snapToGrid w:val="0"/>
        </w:rPr>
        <w:tab/>
        <w:t>Survivor of joint proprietors may apply to be registered</w:t>
      </w:r>
      <w:bookmarkEnd w:id="367"/>
    </w:p>
    <w:p>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No. 6 of 2003 s. 77.]</w:t>
      </w:r>
    </w:p>
    <w:p>
      <w:pPr>
        <w:pStyle w:val="Heading5"/>
        <w:rPr>
          <w:snapToGrid w:val="0"/>
        </w:rPr>
      </w:pPr>
      <w:bookmarkStart w:id="368" w:name="_Toc141092959"/>
      <w:r>
        <w:rPr>
          <w:rStyle w:val="CharSectno"/>
        </w:rPr>
        <w:t>228</w:t>
      </w:r>
      <w:r>
        <w:rPr>
          <w:snapToGrid w:val="0"/>
        </w:rPr>
        <w:t>.</w:t>
      </w:r>
      <w:r>
        <w:rPr>
          <w:snapToGrid w:val="0"/>
        </w:rPr>
        <w:tab/>
        <w:t>Proprietors and transferees for time being to stand in place of previous owners</w:t>
      </w:r>
      <w:bookmarkEnd w:id="368"/>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No. 56 of 2003 s. 20.]</w:t>
      </w:r>
    </w:p>
    <w:p>
      <w:pPr>
        <w:pStyle w:val="Heading5"/>
        <w:rPr>
          <w:snapToGrid w:val="0"/>
        </w:rPr>
      </w:pPr>
      <w:bookmarkStart w:id="369" w:name="_Toc141092960"/>
      <w:r>
        <w:rPr>
          <w:rStyle w:val="CharSectno"/>
        </w:rPr>
        <w:t>229</w:t>
      </w:r>
      <w:r>
        <w:rPr>
          <w:snapToGrid w:val="0"/>
        </w:rPr>
        <w:t>.</w:t>
      </w:r>
      <w:r>
        <w:rPr>
          <w:snapToGrid w:val="0"/>
        </w:rPr>
        <w:tab/>
        <w:t>Proprietor’s name, use of in court action by beneficiary etc.</w:t>
      </w:r>
      <w:bookmarkEnd w:id="369"/>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w:t>
      </w:r>
      <w:r>
        <w:rPr>
          <w:snapToGrid w:val="0"/>
        </w:rPr>
        <w:lastRenderedPageBreak/>
        <w:t xml:space="preserve">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No. 19 of 2010 s. 51.]</w:t>
      </w:r>
    </w:p>
    <w:p>
      <w:pPr>
        <w:pStyle w:val="Heading5"/>
        <w:rPr>
          <w:snapToGrid w:val="0"/>
        </w:rPr>
      </w:pPr>
      <w:bookmarkStart w:id="370" w:name="_Toc141092961"/>
      <w:r>
        <w:rPr>
          <w:rStyle w:val="CharSectno"/>
        </w:rPr>
        <w:t>229A</w:t>
      </w:r>
      <w:r>
        <w:rPr>
          <w:snapToGrid w:val="0"/>
        </w:rPr>
        <w:t>.</w:t>
      </w:r>
      <w:r>
        <w:rPr>
          <w:snapToGrid w:val="0"/>
        </w:rPr>
        <w:tab/>
        <w:t>Easement not used or enjoyed for 20 years, removal of</w:t>
      </w:r>
      <w:bookmarkEnd w:id="370"/>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lastRenderedPageBreak/>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No. 17 of 1950 s. 65; amended: No. 14 of 1972 s. 7; No. 81 of 1996 s. 134; No. 31 of 1997 s. 130.]</w:t>
      </w:r>
    </w:p>
    <w:p>
      <w:pPr>
        <w:pStyle w:val="Heading5"/>
        <w:rPr>
          <w:snapToGrid w:val="0"/>
        </w:rPr>
      </w:pPr>
      <w:bookmarkStart w:id="371" w:name="_Toc141092962"/>
      <w:r>
        <w:rPr>
          <w:rStyle w:val="CharSectno"/>
        </w:rPr>
        <w:t>229B</w:t>
      </w:r>
      <w:r>
        <w:rPr>
          <w:snapToGrid w:val="0"/>
        </w:rPr>
        <w:t>.</w:t>
      </w:r>
      <w:r>
        <w:rPr>
          <w:snapToGrid w:val="0"/>
        </w:rPr>
        <w:tab/>
        <w:t>Orders made under s. 229A, effect of</w:t>
      </w:r>
      <w:bookmarkEnd w:id="371"/>
    </w:p>
    <w:p>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spacing w:before="120"/>
        <w:rPr>
          <w:snapToGrid w:val="0"/>
        </w:rPr>
      </w:pPr>
      <w:r>
        <w:rPr>
          <w:snapToGrid w:val="0"/>
        </w:rPr>
        <w:lastRenderedPageBreak/>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spacing w:before="80"/>
        <w:ind w:left="890" w:hanging="890"/>
      </w:pPr>
      <w:r>
        <w:tab/>
        <w:t>[Section 229B inserted: No. 17 of 1950 s. 65; amended: No. 81 of 1996 s. 135; No. 31 of 1997 s. 131; No. 6 of 2003 s. 78.]</w:t>
      </w:r>
    </w:p>
    <w:p>
      <w:pPr>
        <w:pStyle w:val="Heading5"/>
        <w:keepNext w:val="0"/>
        <w:keepLines w:val="0"/>
        <w:spacing w:before="180"/>
        <w:rPr>
          <w:snapToGrid w:val="0"/>
        </w:rPr>
      </w:pPr>
      <w:bookmarkStart w:id="372" w:name="_Toc141092963"/>
      <w:r>
        <w:rPr>
          <w:rStyle w:val="CharSectno"/>
        </w:rPr>
        <w:t>230</w:t>
      </w:r>
      <w:r>
        <w:rPr>
          <w:snapToGrid w:val="0"/>
        </w:rPr>
        <w:t>.</w:t>
      </w:r>
      <w:r>
        <w:rPr>
          <w:snapToGrid w:val="0"/>
        </w:rPr>
        <w:tab/>
        <w:t>On s. 20 applications, easements not used for 20 years or more may be omitted from certificate</w:t>
      </w:r>
      <w:bookmarkEnd w:id="372"/>
    </w:p>
    <w:p>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spacing w:before="80"/>
        <w:ind w:left="890" w:hanging="890"/>
      </w:pPr>
      <w:r>
        <w:tab/>
        <w:t>[Section 230 inserted: No. 14 of 1972 s. 8; amended: No. 81 of 1996 s. 136.]</w:t>
      </w:r>
    </w:p>
    <w:p>
      <w:pPr>
        <w:pStyle w:val="Heading5"/>
        <w:spacing w:before="180"/>
        <w:rPr>
          <w:snapToGrid w:val="0"/>
        </w:rPr>
      </w:pPr>
      <w:bookmarkStart w:id="373" w:name="_Toc141092964"/>
      <w:r>
        <w:rPr>
          <w:rStyle w:val="CharSectno"/>
        </w:rPr>
        <w:t>231</w:t>
      </w:r>
      <w:r>
        <w:rPr>
          <w:snapToGrid w:val="0"/>
        </w:rPr>
        <w:t>.</w:t>
      </w:r>
      <w:r>
        <w:rPr>
          <w:snapToGrid w:val="0"/>
        </w:rPr>
        <w:tab/>
        <w:t>Buildings on public roads etc. in Perth or Fremantle for 20 years or more</w:t>
      </w:r>
      <w:bookmarkEnd w:id="373"/>
    </w:p>
    <w:p>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spacing w:before="120"/>
        <w:rPr>
          <w:snapToGrid w:val="0"/>
        </w:rPr>
      </w:pPr>
      <w:r>
        <w:rPr>
          <w:snapToGrid w:val="0"/>
        </w:rPr>
        <w:lastRenderedPageBreak/>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spacing w:before="120"/>
        <w:rPr>
          <w:snapToGrid w:val="0"/>
        </w:rPr>
      </w:pPr>
      <w:r>
        <w:rPr>
          <w:snapToGrid w:val="0"/>
        </w:rPr>
        <w:tab/>
        <w:t>(3)</w:t>
      </w:r>
      <w:r>
        <w:rPr>
          <w:snapToGrid w:val="0"/>
        </w:rPr>
        <w:tab/>
        <w:t>Despite subsection (1), no encroachment so allowed by the Commissioner shall exceed one metre.</w:t>
      </w:r>
    </w:p>
    <w:p>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spacing w:before="80"/>
        <w:ind w:left="890" w:hanging="890"/>
      </w:pPr>
      <w:r>
        <w:tab/>
        <w:t>[Section 231 amended: No. 94 of 1972 s. 4; No. 14 of 1996 s. 4; No. 81 of 1996 s. 137; No. 6 of 2003 s. 79; No. 19 of 2010 s. 51.]</w:t>
      </w:r>
    </w:p>
    <w:p>
      <w:pPr>
        <w:pStyle w:val="Heading5"/>
        <w:spacing w:before="180"/>
      </w:pPr>
      <w:bookmarkStart w:id="374" w:name="_Toc141092965"/>
      <w:r>
        <w:rPr>
          <w:rStyle w:val="CharSectno"/>
        </w:rPr>
        <w:t>232A</w:t>
      </w:r>
      <w:r>
        <w:t>.</w:t>
      </w:r>
      <w:r>
        <w:tab/>
        <w:t>Effect of dealing with duplicate certificate of title in accordance with requirements as alternative to production</w:t>
      </w:r>
      <w:bookmarkEnd w:id="374"/>
    </w:p>
    <w:p>
      <w:pPr>
        <w:pStyle w:val="Subsection"/>
        <w:spacing w:before="120"/>
      </w:pPr>
      <w:r>
        <w:tab/>
        <w:t>(1)</w:t>
      </w:r>
      <w:r>
        <w:tab/>
        <w:t xml:space="preserve">In this section — </w:t>
      </w:r>
    </w:p>
    <w:p>
      <w:pPr>
        <w:pStyle w:val="Defstart"/>
      </w:pPr>
      <w:r>
        <w:tab/>
      </w:r>
      <w:r>
        <w:rPr>
          <w:rStyle w:val="CharDefText"/>
        </w:rPr>
        <w:t>lodge</w:t>
      </w:r>
      <w:r>
        <w:t xml:space="preserve"> includes deposit, present and file;</w:t>
      </w:r>
    </w:p>
    <w:p>
      <w:pPr>
        <w:pStyle w:val="Defstart"/>
      </w:pPr>
      <w:r>
        <w:tab/>
      </w:r>
      <w:r>
        <w:rPr>
          <w:rStyle w:val="CharDefText"/>
        </w:rPr>
        <w:t>produce</w:t>
      </w:r>
      <w:r>
        <w:t xml:space="preserve"> includes present, deliver up, bring in and provide.</w:t>
      </w:r>
    </w:p>
    <w:p>
      <w:pPr>
        <w:pStyle w:val="Subsection"/>
        <w:spacing w:before="120"/>
      </w:pPr>
      <w:r>
        <w:tab/>
        <w:t>(2)</w:t>
      </w:r>
      <w:r>
        <w:tab/>
        <w:t xml:space="preserve">This section applies if — </w:t>
      </w:r>
    </w:p>
    <w:p>
      <w:pPr>
        <w:pStyle w:val="Indenta"/>
      </w:pPr>
      <w:r>
        <w:tab/>
        <w:t>(a)</w:t>
      </w:r>
      <w:r>
        <w:tab/>
        <w:t xml:space="preserve">a document is lodged — </w:t>
      </w:r>
    </w:p>
    <w:p>
      <w:pPr>
        <w:pStyle w:val="Indenti"/>
      </w:pPr>
      <w:r>
        <w:tab/>
        <w:t>(i)</w:t>
      </w:r>
      <w:r>
        <w:tab/>
        <w:t>for registration; or</w:t>
      </w:r>
    </w:p>
    <w:p>
      <w:pPr>
        <w:pStyle w:val="Indenti"/>
      </w:pPr>
      <w:r>
        <w:tab/>
        <w:t>(ii)</w:t>
      </w:r>
      <w:r>
        <w:tab/>
        <w:t>in relation to any land, title, estate or interest; or</w:t>
      </w:r>
    </w:p>
    <w:p>
      <w:pPr>
        <w:pStyle w:val="Indenti"/>
      </w:pPr>
      <w:r>
        <w:tab/>
        <w:t>(iii)</w:t>
      </w:r>
      <w:r>
        <w:tab/>
        <w:t>in connection with any application or dealing;</w:t>
      </w:r>
    </w:p>
    <w:p>
      <w:pPr>
        <w:pStyle w:val="Indenta"/>
      </w:pPr>
      <w:r>
        <w:tab/>
      </w:r>
      <w:r>
        <w:tab/>
        <w:t>and</w:t>
      </w:r>
    </w:p>
    <w:p>
      <w:pPr>
        <w:pStyle w:val="Indenta"/>
      </w:pPr>
      <w:r>
        <w:tab/>
        <w:t>(b)</w:t>
      </w:r>
      <w:r>
        <w:tab/>
        <w:t>a provision of this Act requires a duplicate certificate of title to be produced in connection with the lodging of that document; and</w:t>
      </w:r>
    </w:p>
    <w:p>
      <w:pPr>
        <w:pStyle w:val="Indenta"/>
      </w:pPr>
      <w:r>
        <w:lastRenderedPageBreak/>
        <w:tab/>
        <w:t>(c)</w:t>
      </w:r>
      <w:r>
        <w:tab/>
        <w:t xml:space="preserve">that duplicate certificate of title is not produced but is dealt with in another way in accordance with — </w:t>
      </w:r>
    </w:p>
    <w:p>
      <w:pPr>
        <w:pStyle w:val="Indenti"/>
      </w:pPr>
      <w:r>
        <w:tab/>
        <w:t>(i)</w:t>
      </w:r>
      <w:r>
        <w:tab/>
        <w:t>regulations made under this Act; or</w:t>
      </w:r>
    </w:p>
    <w:p>
      <w:pPr>
        <w:pStyle w:val="Indenti"/>
        <w:spacing w:before="60"/>
      </w:pPr>
      <w:r>
        <w:tab/>
        <w:t>(ii)</w:t>
      </w:r>
      <w:r>
        <w:tab/>
        <w:t>requirements determined under section 182A.</w:t>
      </w:r>
    </w:p>
    <w:p>
      <w:pPr>
        <w:pStyle w:val="Subsection"/>
        <w:spacing w:before="120"/>
      </w:pPr>
      <w:r>
        <w:tab/>
        <w:t>(3)</w:t>
      </w:r>
      <w:r>
        <w:tab/>
        <w:t xml:space="preserve">If this section applies — </w:t>
      </w:r>
    </w:p>
    <w:p>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Footnotesection"/>
        <w:spacing w:before="60"/>
        <w:ind w:left="890" w:hanging="890"/>
      </w:pPr>
      <w:r>
        <w:tab/>
        <w:t>[Section 232A inserted: No. 2 of 2014 s. 87.]</w:t>
      </w:r>
    </w:p>
    <w:p>
      <w:pPr>
        <w:pStyle w:val="Heading5"/>
        <w:spacing w:before="180"/>
      </w:pPr>
      <w:bookmarkStart w:id="375" w:name="_Toc141092966"/>
      <w:r>
        <w:rPr>
          <w:rStyle w:val="CharSectno"/>
        </w:rPr>
        <w:t>232B</w:t>
      </w:r>
      <w:r>
        <w:t>.</w:t>
      </w:r>
      <w:r>
        <w:tab/>
        <w:t>Effect of using alternative means to provide consent, permission or approval</w:t>
      </w:r>
      <w:bookmarkEnd w:id="375"/>
    </w:p>
    <w:p>
      <w:pPr>
        <w:pStyle w:val="Subsection"/>
        <w:spacing w:before="120"/>
      </w:pPr>
      <w:r>
        <w:tab/>
        <w:t>(1)</w:t>
      </w:r>
      <w:r>
        <w:tab/>
        <w:t xml:space="preserve">This section applies if — </w:t>
      </w:r>
    </w:p>
    <w:p>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Indenta"/>
      </w:pPr>
      <w:r>
        <w:tab/>
        <w:t>(b)</w:t>
      </w:r>
      <w:r>
        <w:tab/>
        <w:t xml:space="preserve">the consent, permission or approval is not provided in the way required or authorised under this Act or the other written law but is provided in another way in accordance with — </w:t>
      </w:r>
    </w:p>
    <w:p>
      <w:pPr>
        <w:pStyle w:val="Indenti"/>
      </w:pPr>
      <w:r>
        <w:tab/>
        <w:t>(i)</w:t>
      </w:r>
      <w:r>
        <w:tab/>
        <w:t>regulations made under this Act; or</w:t>
      </w:r>
    </w:p>
    <w:p>
      <w:pPr>
        <w:pStyle w:val="Indenti"/>
      </w:pPr>
      <w:r>
        <w:tab/>
        <w:t>(ii)</w:t>
      </w:r>
      <w:r>
        <w:tab/>
        <w:t>requirements determined under section 182A.</w:t>
      </w:r>
    </w:p>
    <w:p>
      <w:pPr>
        <w:pStyle w:val="Subsection"/>
        <w:spacing w:before="120"/>
      </w:pPr>
      <w:r>
        <w:lastRenderedPageBreak/>
        <w:tab/>
        <w:t>(2)</w:t>
      </w:r>
      <w:r>
        <w:tab/>
        <w:t xml:space="preserve">If this section applies — </w:t>
      </w:r>
    </w:p>
    <w:p>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Indenta"/>
        <w:spacing w:before="60"/>
      </w:pPr>
      <w:r>
        <w:tab/>
        <w:t>(b)</w:t>
      </w:r>
      <w:r>
        <w:tab/>
        <w:t xml:space="preserve">for the purposes of this Act and any other written law, the consent, permission or approval provided as mentioned in subsection (1)(b) — </w:t>
      </w:r>
    </w:p>
    <w:p>
      <w:pPr>
        <w:pStyle w:val="Indenti"/>
        <w:spacing w:before="60"/>
      </w:pPr>
      <w:r>
        <w:tab/>
        <w:t>(i)</w:t>
      </w:r>
      <w:r>
        <w:tab/>
        <w:t>is to be taken to have been provided in the way required or authorised under this Act or, as the case requires, the other written law; and</w:t>
      </w:r>
    </w:p>
    <w:p>
      <w:pPr>
        <w:pStyle w:val="Indenti"/>
      </w:pPr>
      <w:r>
        <w:tab/>
        <w:t>(ii)</w:t>
      </w:r>
      <w:r>
        <w:tab/>
        <w:t>has the same effect as if it had been provided in the way required or authorised under this Act or, as the case requires, the other written law;</w:t>
      </w:r>
    </w:p>
    <w:p>
      <w:pPr>
        <w:pStyle w:val="Indenta"/>
      </w:pPr>
      <w:r>
        <w:tab/>
      </w:r>
      <w:r>
        <w:tab/>
        <w:t>and</w:t>
      </w:r>
    </w:p>
    <w:p>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Footnotesection"/>
        <w:spacing w:before="100"/>
        <w:ind w:left="890" w:hanging="890"/>
      </w:pPr>
      <w:r>
        <w:tab/>
        <w:t>[Section 232B inserted: No. 2 of 2014 s. 87.]</w:t>
      </w:r>
    </w:p>
    <w:p>
      <w:pPr>
        <w:pStyle w:val="Heading5"/>
        <w:rPr>
          <w:snapToGrid w:val="0"/>
        </w:rPr>
      </w:pPr>
      <w:bookmarkStart w:id="376" w:name="_Toc141092967"/>
      <w:r>
        <w:rPr>
          <w:rStyle w:val="CharSectno"/>
        </w:rPr>
        <w:t>232</w:t>
      </w:r>
      <w:r>
        <w:rPr>
          <w:snapToGrid w:val="0"/>
        </w:rPr>
        <w:t>.</w:t>
      </w:r>
      <w:r>
        <w:rPr>
          <w:snapToGrid w:val="0"/>
        </w:rPr>
        <w:tab/>
        <w:t>Receipt for documents lodged</w:t>
      </w:r>
      <w:bookmarkEnd w:id="376"/>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lastRenderedPageBreak/>
        <w:tab/>
        <w:t>[Section 232 amended: No. 81 of 1996 s. 138; No. 19 of 2010 s. 51.]</w:t>
      </w:r>
    </w:p>
    <w:p>
      <w:pPr>
        <w:pStyle w:val="Heading5"/>
        <w:rPr>
          <w:snapToGrid w:val="0"/>
        </w:rPr>
      </w:pPr>
      <w:bookmarkStart w:id="377" w:name="_Toc141092968"/>
      <w:r>
        <w:rPr>
          <w:rStyle w:val="CharSectno"/>
        </w:rPr>
        <w:t>233</w:t>
      </w:r>
      <w:r>
        <w:rPr>
          <w:snapToGrid w:val="0"/>
        </w:rPr>
        <w:t>.</w:t>
      </w:r>
      <w:r>
        <w:rPr>
          <w:snapToGrid w:val="0"/>
        </w:rPr>
        <w:tab/>
        <w:t>Pending actions etc. not to affect dealings</w:t>
      </w:r>
      <w:bookmarkEnd w:id="377"/>
    </w:p>
    <w:p>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keepNext w:val="0"/>
        <w:keepLines w:val="0"/>
        <w:pageBreakBefore/>
        <w:spacing w:before="0"/>
        <w:rPr>
          <w:snapToGrid w:val="0"/>
        </w:rPr>
      </w:pPr>
      <w:bookmarkStart w:id="378" w:name="_Toc141092969"/>
      <w:r>
        <w:rPr>
          <w:rStyle w:val="CharSectno"/>
        </w:rPr>
        <w:lastRenderedPageBreak/>
        <w:t>234</w:t>
      </w:r>
      <w:r>
        <w:rPr>
          <w:snapToGrid w:val="0"/>
        </w:rPr>
        <w:t>.</w:t>
      </w:r>
      <w:r>
        <w:rPr>
          <w:snapToGrid w:val="0"/>
        </w:rPr>
        <w:tab/>
        <w:t>Trustees etc. of bankrupts etc. may apply to be registered</w:t>
      </w:r>
      <w:bookmarkEnd w:id="378"/>
    </w:p>
    <w:p>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60 Vict. No. 22 s. 5; No. 81 of 1996 s. 139; No. 19 of 2010 s. 51; No. 2 of 2014 s. 88.]</w:t>
      </w:r>
    </w:p>
    <w:p>
      <w:pPr>
        <w:pStyle w:val="Heading5"/>
        <w:keepNext w:val="0"/>
        <w:keepLines w:val="0"/>
        <w:spacing w:before="180"/>
        <w:rPr>
          <w:snapToGrid w:val="0"/>
        </w:rPr>
      </w:pPr>
      <w:bookmarkStart w:id="379" w:name="_Toc141092970"/>
      <w:r>
        <w:rPr>
          <w:rStyle w:val="CharSectno"/>
        </w:rPr>
        <w:t>235</w:t>
      </w:r>
      <w:r>
        <w:rPr>
          <w:snapToGrid w:val="0"/>
        </w:rPr>
        <w:t>.</w:t>
      </w:r>
      <w:r>
        <w:rPr>
          <w:snapToGrid w:val="0"/>
        </w:rPr>
        <w:tab/>
        <w:t>Bankruptcy of proprietor not to affect dealings until s. 234 application or caveat lodged</w:t>
      </w:r>
      <w:bookmarkEnd w:id="379"/>
    </w:p>
    <w:p>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80" w:name="_Toc141092971"/>
      <w:r>
        <w:rPr>
          <w:rStyle w:val="CharSectno"/>
        </w:rPr>
        <w:t>236</w:t>
      </w:r>
      <w:r>
        <w:rPr>
          <w:snapToGrid w:val="0"/>
        </w:rPr>
        <w:t>.</w:t>
      </w:r>
      <w:r>
        <w:rPr>
          <w:snapToGrid w:val="0"/>
        </w:rPr>
        <w:tab/>
        <w:t>Tenant in tail</w:t>
      </w:r>
      <w:bookmarkEnd w:id="380"/>
    </w:p>
    <w:p>
      <w:pPr>
        <w:pStyle w:val="Subsection"/>
        <w:rPr>
          <w:snapToGrid w:val="0"/>
        </w:rPr>
      </w:pPr>
      <w:r>
        <w:rPr>
          <w:snapToGrid w:val="0"/>
        </w:rPr>
        <w:tab/>
      </w:r>
      <w:r>
        <w:rPr>
          <w:snapToGrid w:val="0"/>
        </w:rPr>
        <w:tab/>
        <w:t xml:space="preserve">An estate tail under this Act shall have the same incidents as a similar estate under the general law and the proprietor of such an estate shall have the same power to bar the estate tail and </w:t>
      </w:r>
      <w:r>
        <w:rPr>
          <w:snapToGrid w:val="0"/>
        </w:rPr>
        <w:lastRenderedPageBreak/>
        <w:t>create an estate in fee simple absolute as against all persons whose estates are to take effect after the determination or in defeasance of the estate tail.</w:t>
      </w:r>
    </w:p>
    <w:p>
      <w:pPr>
        <w:pStyle w:val="Heading5"/>
        <w:spacing w:before="180"/>
        <w:rPr>
          <w:snapToGrid w:val="0"/>
        </w:rPr>
      </w:pPr>
      <w:bookmarkStart w:id="381" w:name="_Toc141092972"/>
      <w:r>
        <w:rPr>
          <w:rStyle w:val="CharSectno"/>
        </w:rPr>
        <w:t>237</w:t>
      </w:r>
      <w:r>
        <w:rPr>
          <w:snapToGrid w:val="0"/>
        </w:rPr>
        <w:t>.</w:t>
      </w:r>
      <w:r>
        <w:rPr>
          <w:snapToGrid w:val="0"/>
        </w:rPr>
        <w:tab/>
        <w:t>Conditions of sale in Twenty</w:t>
      </w:r>
      <w:r>
        <w:rPr>
          <w:snapToGrid w:val="0"/>
        </w:rPr>
        <w:noBreakHyphen/>
        <w:t>sixth Schedule, adoption of</w:t>
      </w:r>
      <w:bookmarkEnd w:id="381"/>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82" w:name="_Toc141092973"/>
      <w:r>
        <w:rPr>
          <w:rStyle w:val="CharSectno"/>
        </w:rPr>
        <w:t>238</w:t>
      </w:r>
      <w:r>
        <w:rPr>
          <w:snapToGrid w:val="0"/>
        </w:rPr>
        <w:t>.</w:t>
      </w:r>
      <w:r>
        <w:rPr>
          <w:snapToGrid w:val="0"/>
        </w:rPr>
        <w:tab/>
        <w:t>Forms may be modified</w:t>
      </w:r>
      <w:bookmarkEnd w:id="382"/>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83" w:name="_Toc141092974"/>
      <w:r>
        <w:rPr>
          <w:rStyle w:val="CharSectno"/>
        </w:rPr>
        <w:t>238A</w:t>
      </w:r>
      <w:r>
        <w:t>.</w:t>
      </w:r>
      <w:r>
        <w:tab/>
        <w:t>Registrar’s copy to be definitive</w:t>
      </w:r>
      <w:bookmarkEnd w:id="383"/>
    </w:p>
    <w:p>
      <w:pPr>
        <w:pStyle w:val="Subsection"/>
      </w:pPr>
      <w:r>
        <w:tab/>
        <w:t>(1)</w:t>
      </w:r>
      <w:r>
        <w:tab/>
        <w:t xml:space="preserve">In this section — </w:t>
      </w:r>
    </w:p>
    <w:p>
      <w:pPr>
        <w:pStyle w:val="Defstart"/>
      </w:pPr>
      <w:r>
        <w:tab/>
      </w:r>
      <w:r>
        <w:rPr>
          <w:rStyle w:val="CharDefText"/>
        </w:rPr>
        <w:t>lodge</w:t>
      </w:r>
      <w:r>
        <w:t xml:space="preserve"> includes deposit, present and file.</w:t>
      </w:r>
    </w:p>
    <w:p>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Subsection"/>
        <w:spacing w:before="120"/>
      </w:pPr>
      <w:r>
        <w:lastRenderedPageBreak/>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Indenta"/>
      </w:pPr>
      <w:r>
        <w:tab/>
        <w:t>(a)</w:t>
      </w:r>
      <w:r>
        <w:tab/>
        <w:t xml:space="preserve">is lodged electronically under the </w:t>
      </w:r>
      <w:r>
        <w:rPr>
          <w:i/>
        </w:rPr>
        <w:t>Electronic Conveyancing Act 2014</w:t>
      </w:r>
      <w:r>
        <w:t xml:space="preserve"> section 7(1); and</w:t>
      </w:r>
    </w:p>
    <w:p>
      <w:pPr>
        <w:pStyle w:val="Indenta"/>
      </w:pPr>
      <w:r>
        <w:tab/>
        <w:t>(b)</w:t>
      </w:r>
      <w:r>
        <w:tab/>
        <w:t>is registered, noted or recorded in the Register.</w:t>
      </w:r>
    </w:p>
    <w:p>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Footnotesection"/>
        <w:spacing w:before="100"/>
        <w:ind w:left="890" w:hanging="890"/>
      </w:pPr>
      <w:r>
        <w:tab/>
        <w:t>[Section 238A inserted: No. 2 of 2014 s. 89.]</w:t>
      </w:r>
    </w:p>
    <w:p>
      <w:pPr>
        <w:pStyle w:val="Heading5"/>
      </w:pPr>
      <w:bookmarkStart w:id="384" w:name="_Toc141092975"/>
      <w:r>
        <w:rPr>
          <w:rStyle w:val="CharSectno"/>
        </w:rPr>
        <w:t>238B</w:t>
      </w:r>
      <w:r>
        <w:t>.</w:t>
      </w:r>
      <w:r>
        <w:tab/>
        <w:t>Resubmission of document lodged electronically if data capture defective</w:t>
      </w:r>
      <w:bookmarkEnd w:id="384"/>
    </w:p>
    <w:p>
      <w:pPr>
        <w:pStyle w:val="Subsection"/>
        <w:keepNext/>
      </w:pPr>
      <w:r>
        <w:tab/>
        <w:t>(1)</w:t>
      </w:r>
      <w:r>
        <w:tab/>
        <w:t xml:space="preserve">This section applies if — </w:t>
      </w:r>
    </w:p>
    <w:p>
      <w:pPr>
        <w:pStyle w:val="Indenta"/>
      </w:pPr>
      <w:r>
        <w:tab/>
        <w:t>(a)</w:t>
      </w:r>
      <w:r>
        <w:tab/>
        <w:t xml:space="preserve">a document is lodged electronically under the </w:t>
      </w:r>
      <w:r>
        <w:rPr>
          <w:i/>
        </w:rPr>
        <w:t>Electronic Conveyancing Act 2014</w:t>
      </w:r>
      <w:r>
        <w:t xml:space="preserve"> section 7(1); and</w:t>
      </w:r>
    </w:p>
    <w:p>
      <w:pPr>
        <w:pStyle w:val="Indenta"/>
      </w:pPr>
      <w:r>
        <w:tab/>
        <w:t>(b)</w:t>
      </w:r>
      <w:r>
        <w:tab/>
        <w:t>for any reason it is impracticable to properly capture the data in the document.</w:t>
      </w:r>
    </w:p>
    <w:p>
      <w:pPr>
        <w:pStyle w:val="Subsection"/>
      </w:pPr>
      <w:r>
        <w:tab/>
        <w:t>(2)</w:t>
      </w:r>
      <w:r>
        <w:tab/>
        <w:t xml:space="preserve">If this section applies — </w:t>
      </w:r>
    </w:p>
    <w:p>
      <w:pPr>
        <w:pStyle w:val="Indenta"/>
      </w:pPr>
      <w:r>
        <w:tab/>
        <w:t>(a)</w:t>
      </w:r>
      <w:r>
        <w:tab/>
        <w:t>the Registrar may refuse to complete or to proceed with the registration of the document or, as the case requires, to make any entry or do any other act in relation to the document; and</w:t>
      </w:r>
    </w:p>
    <w:p>
      <w:pPr>
        <w:pStyle w:val="Indenta"/>
      </w:pPr>
      <w:r>
        <w:tab/>
        <w:t>(b)</w:t>
      </w:r>
      <w:r>
        <w:tab/>
        <w:t xml:space="preserve">the Registrar must — </w:t>
      </w:r>
    </w:p>
    <w:p>
      <w:pPr>
        <w:pStyle w:val="Indenti"/>
      </w:pPr>
      <w:r>
        <w:tab/>
        <w:t>(i)</w:t>
      </w:r>
      <w:r>
        <w:tab/>
        <w:t>notify the refusal to the subscriber lodging the document; and</w:t>
      </w:r>
    </w:p>
    <w:p>
      <w:pPr>
        <w:pStyle w:val="Indenti"/>
      </w:pPr>
      <w:r>
        <w:tab/>
        <w:t>(ii)</w:t>
      </w:r>
      <w:r>
        <w:tab/>
        <w:t>request the subscriber to resubmit the document.</w:t>
      </w:r>
    </w:p>
    <w:p>
      <w:pPr>
        <w:pStyle w:val="Subsection"/>
      </w:pPr>
      <w:r>
        <w:tab/>
        <w:t>(3)</w:t>
      </w:r>
      <w:r>
        <w:tab/>
        <w:t xml:space="preserve">If subsection (2) applies — </w:t>
      </w:r>
    </w:p>
    <w:p>
      <w:pPr>
        <w:pStyle w:val="Indenta"/>
      </w:pPr>
      <w:r>
        <w:lastRenderedPageBreak/>
        <w:tab/>
        <w:t>(a)</w:t>
      </w:r>
      <w:r>
        <w:tab/>
        <w:t>the priority of the document is not affected as long as it is resubmitted within 2 months after the date on which it was lodged or any longer period the Registrar allows; and</w:t>
      </w:r>
    </w:p>
    <w:p>
      <w:pPr>
        <w:pStyle w:val="Indenta"/>
      </w:pPr>
      <w:r>
        <w:tab/>
        <w:t>(b)</w:t>
      </w:r>
      <w:r>
        <w:tab/>
        <w:t>if the document is not resubmitted in accordance with this section within the period applicable under paragraph (a), it is to be taken never to have been lodged.</w:t>
      </w:r>
    </w:p>
    <w:p>
      <w:pPr>
        <w:pStyle w:val="Subsection"/>
      </w:pPr>
      <w:r>
        <w:tab/>
        <w:t>(4)</w:t>
      </w:r>
      <w:r>
        <w:tab/>
        <w:t xml:space="preserve">If subsection (3)(b) applies to the document, then — </w:t>
      </w:r>
    </w:p>
    <w:p>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Indenta"/>
      </w:pPr>
      <w:r>
        <w:tab/>
        <w:t>(b)</w:t>
      </w:r>
      <w:r>
        <w:tab/>
        <w:t xml:space="preserve">if paragraph (a) does not apply — </w:t>
      </w:r>
    </w:p>
    <w:p>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Indenti"/>
      </w:pPr>
      <w:r>
        <w:tab/>
        <w:t>(ii)</w:t>
      </w:r>
      <w:r>
        <w:tab/>
        <w:t>the prescribed amount is forfeited and must be dealt with under section 190; and</w:t>
      </w:r>
    </w:p>
    <w:p>
      <w:pPr>
        <w:pStyle w:val="Indenti"/>
      </w:pPr>
      <w:r>
        <w:tab/>
        <w:t>(iii)</w:t>
      </w:r>
      <w:r>
        <w:tab/>
        <w:t>the amount (if any) that is the difference between the fees and the prescribed amount must be returned to the subscriber that lodged the document when the document is withdrawn from lodgment.</w:t>
      </w:r>
    </w:p>
    <w:p>
      <w:pPr>
        <w:pStyle w:val="Subsection"/>
      </w:pPr>
      <w:r>
        <w:tab/>
        <w:t>(5)</w:t>
      </w:r>
      <w:r>
        <w:tab/>
        <w:t>This section is in addition to the powers conferred by section 192.</w:t>
      </w:r>
    </w:p>
    <w:p>
      <w:pPr>
        <w:pStyle w:val="Footnotesection"/>
        <w:spacing w:before="100"/>
        <w:ind w:left="890" w:hanging="890"/>
      </w:pPr>
      <w:r>
        <w:tab/>
        <w:t>[Section 238B inserted: No. 2 of 2014 s. 89.]</w:t>
      </w:r>
    </w:p>
    <w:p>
      <w:pPr>
        <w:pStyle w:val="Heading5"/>
        <w:keepNext w:val="0"/>
        <w:keepLines w:val="0"/>
        <w:pageBreakBefore/>
        <w:spacing w:before="0"/>
      </w:pPr>
      <w:bookmarkStart w:id="385" w:name="_Toc141092976"/>
      <w:r>
        <w:rPr>
          <w:rStyle w:val="CharSectno"/>
        </w:rPr>
        <w:lastRenderedPageBreak/>
        <w:t>239</w:t>
      </w:r>
      <w:r>
        <w:t>.</w:t>
      </w:r>
      <w:r>
        <w:tab/>
        <w:t>Inspection of Register and related documents; obtaining copies and print</w:t>
      </w:r>
      <w:r>
        <w:noBreakHyphen/>
        <w:t>outs</w:t>
      </w:r>
      <w:bookmarkEnd w:id="385"/>
    </w:p>
    <w:p>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pPr>
        <w:pStyle w:val="Indenta"/>
      </w:pPr>
      <w:r>
        <w:tab/>
        <w:t>(ba)</w:t>
      </w:r>
      <w:r>
        <w:tab/>
        <w:t xml:space="preserve">a scheme document, community development statement or any item registered for a community titles scheme under the </w:t>
      </w:r>
      <w:r>
        <w:rPr>
          <w:i/>
        </w:rPr>
        <w:t>Community Titles Act 2018</w:t>
      </w:r>
      <w:r>
        <w:t>;</w:t>
      </w:r>
    </w:p>
    <w:p>
      <w:pPr>
        <w:pStyle w:val="Indenta"/>
      </w:pPr>
      <w:r>
        <w:tab/>
        <w:t>(bb)</w:t>
      </w:r>
      <w:r>
        <w:tab/>
        <w:t xml:space="preserve">a scheme document or any item registered or recorded for a strata titles scheme under the </w:t>
      </w:r>
      <w:r>
        <w:rPr>
          <w:i/>
        </w:rPr>
        <w:t>Strata Titles Act 1985;</w:t>
      </w:r>
    </w:p>
    <w:p>
      <w:pPr>
        <w:pStyle w:val="Indenta"/>
      </w:pPr>
      <w:r>
        <w:tab/>
        <w:t>(c)</w:t>
      </w:r>
      <w:r>
        <w:tab/>
        <w:t>in relation to land that is the subject of a digital title, the record of an endorsement referred to in section 48(1)(b) in relation to the land;</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a —</w:t>
      </w:r>
    </w:p>
    <w:p>
      <w:pPr>
        <w:pStyle w:val="Indenti"/>
      </w:pPr>
      <w:r>
        <w:tab/>
        <w:t>(i)</w:t>
      </w:r>
      <w:r>
        <w:tab/>
        <w:t>notification or memorial under this or any other Act; or</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lastRenderedPageBreak/>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pPr>
      <w:r>
        <w:tab/>
        <w:t>(4)</w:t>
      </w:r>
      <w:r>
        <w:tab/>
        <w:t xml:space="preserve">Subsection (5) applies if — </w:t>
      </w:r>
    </w:p>
    <w:p>
      <w:pPr>
        <w:pStyle w:val="Indenta"/>
      </w:pPr>
      <w:r>
        <w:tab/>
        <w:t>(a)</w:t>
      </w:r>
      <w:r>
        <w:tab/>
        <w:t xml:space="preserve">2 or more counterpart documents are lodged electronically under the </w:t>
      </w:r>
      <w:r>
        <w:rPr>
          <w:i/>
        </w:rPr>
        <w:t>Electronic Conveyancing Act 2014</w:t>
      </w:r>
      <w:r>
        <w:t xml:space="preserve"> section 7(1); and</w:t>
      </w:r>
    </w:p>
    <w:p>
      <w:pPr>
        <w:pStyle w:val="Indenta"/>
      </w:pPr>
      <w:r>
        <w:tab/>
        <w:t>(b)</w:t>
      </w:r>
      <w:r>
        <w:tab/>
        <w:t>those counterpart documents are consolidated electronically into one document, with or without the addition of further material.</w:t>
      </w:r>
    </w:p>
    <w:p>
      <w:pPr>
        <w:pStyle w:val="Subsection"/>
        <w:keepNext/>
      </w:pPr>
      <w:r>
        <w:tab/>
        <w:t>(5)</w:t>
      </w:r>
      <w:r>
        <w:tab/>
        <w:t xml:space="preserve">If this subsection applies — </w:t>
      </w:r>
    </w:p>
    <w:p>
      <w:pPr>
        <w:pStyle w:val="Indenta"/>
      </w:pPr>
      <w:r>
        <w:tab/>
        <w:t>(a)</w:t>
      </w:r>
      <w:r>
        <w:tab/>
        <w:t>the consolidated document, but not those counterpart documents, is available for inspection in accordance with subsection (1); and</w:t>
      </w:r>
    </w:p>
    <w:p>
      <w:pPr>
        <w:pStyle w:val="Indenta"/>
      </w:pPr>
      <w:r>
        <w:tab/>
        <w:t>(b)</w:t>
      </w:r>
      <w:r>
        <w:tab/>
        <w:t>a copy of the consolidated document, but not of the counterpart documents, may be produced in accordance with subsection (2); and</w:t>
      </w:r>
    </w:p>
    <w:p>
      <w:pPr>
        <w:pStyle w:val="Indenta"/>
      </w:pPr>
      <w:r>
        <w:tab/>
        <w:t>(c)</w:t>
      </w:r>
      <w:r>
        <w:tab/>
        <w:t>a copy or print</w:t>
      </w:r>
      <w:r>
        <w:noBreakHyphen/>
        <w:t>out of the consolidated document, but not of the counterpart documents, is available for purchase in accordance with subsection (3); and</w:t>
      </w:r>
    </w:p>
    <w:p>
      <w:pPr>
        <w:pStyle w:val="Indenta"/>
        <w:rPr>
          <w:snapToGrid w:val="0"/>
        </w:rPr>
      </w:pPr>
      <w:r>
        <w:tab/>
        <w:t>(d)</w:t>
      </w:r>
      <w:r>
        <w:tab/>
        <w:t>section 239B applies as if the consolidated document, but not the counterpart documents, were a document referred to in subsection (1).</w:t>
      </w:r>
    </w:p>
    <w:p>
      <w:pPr>
        <w:pStyle w:val="Footnotesection"/>
      </w:pPr>
      <w:r>
        <w:lastRenderedPageBreak/>
        <w:tab/>
        <w:t>[Section 239 inserted: No. 6 of 2003 s. 80; amended: No. 59 of 2004 s. 140; No. 60 of 2006 s. 116; No. 2 of 2014 s. 90; No. 30 of 2018 s. 204; No. 32 of 2018 s. 265.]</w:t>
      </w:r>
    </w:p>
    <w:p>
      <w:pPr>
        <w:pStyle w:val="Ednotesection"/>
      </w:pPr>
      <w:r>
        <w:t>[</w:t>
      </w:r>
      <w:r>
        <w:rPr>
          <w:b/>
        </w:rPr>
        <w:t>239A.</w:t>
      </w:r>
      <w:r>
        <w:tab/>
        <w:t>Deleted: No. 60 of 2006 s. 117.]</w:t>
      </w:r>
    </w:p>
    <w:p>
      <w:pPr>
        <w:pStyle w:val="Heading5"/>
      </w:pPr>
      <w:bookmarkStart w:id="386" w:name="_Toc141092977"/>
      <w:r>
        <w:rPr>
          <w:rStyle w:val="CharSectno"/>
        </w:rPr>
        <w:t>239B</w:t>
      </w:r>
      <w:r>
        <w:t>.</w:t>
      </w:r>
      <w:r>
        <w:tab/>
        <w:t>Evidentiary documents as to current and historical matters</w:t>
      </w:r>
      <w:bookmarkEnd w:id="386"/>
    </w:p>
    <w:p>
      <w:pPr>
        <w:pStyle w:val="Subsection"/>
      </w:pPr>
      <w:r>
        <w:tab/>
        <w:t>(1)</w:t>
      </w:r>
      <w:r>
        <w:tab/>
        <w:t>The Registrar, on receiving payment of the prescribed fee, shall provide to a person applying for the same —</w:t>
      </w:r>
    </w:p>
    <w:p>
      <w:pPr>
        <w:pStyle w:val="Indenta"/>
        <w:spacing w:before="60"/>
      </w:pPr>
      <w:r>
        <w:tab/>
        <w:t>(a)</w:t>
      </w:r>
      <w:r>
        <w:tab/>
        <w:t>a certified copy or print</w:t>
      </w:r>
      <w:r>
        <w:noBreakHyphen/>
        <w:t>out of any document referred to in section 239(1); or</w:t>
      </w:r>
    </w:p>
    <w:p>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No. 6 of 2003 s. 82; amended: No. 2 of 2014 s. 91.]</w:t>
      </w:r>
    </w:p>
    <w:p>
      <w:pPr>
        <w:pStyle w:val="Heading5"/>
        <w:rPr>
          <w:snapToGrid w:val="0"/>
        </w:rPr>
      </w:pPr>
      <w:bookmarkStart w:id="387" w:name="_Toc141092978"/>
      <w:r>
        <w:rPr>
          <w:rStyle w:val="CharSectno"/>
        </w:rPr>
        <w:t>240</w:t>
      </w:r>
      <w:r>
        <w:rPr>
          <w:snapToGrid w:val="0"/>
        </w:rPr>
        <w:t>.</w:t>
      </w:r>
      <w:r>
        <w:rPr>
          <w:snapToGrid w:val="0"/>
        </w:rPr>
        <w:tab/>
        <w:t>Service of notices</w:t>
      </w:r>
      <w:bookmarkEnd w:id="387"/>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pPr>
        <w:pStyle w:val="Indenta"/>
      </w:pPr>
      <w:r>
        <w:lastRenderedPageBreak/>
        <w:tab/>
        <w:t>(d)</w:t>
      </w:r>
      <w:r>
        <w:tab/>
        <w:t>by sending the notice by electronic means in accordance with the regulations.</w:t>
      </w:r>
    </w:p>
    <w:p>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lastRenderedPageBreak/>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p>
    <w:p>
      <w:pPr>
        <w:pStyle w:val="Indenta"/>
      </w:pPr>
      <w:r>
        <w:tab/>
      </w:r>
      <w:r>
        <w:tab/>
        <w:t>and</w:t>
      </w:r>
    </w:p>
    <w:p>
      <w:pPr>
        <w:pStyle w:val="Indenta"/>
      </w:pPr>
      <w:r>
        <w:tab/>
        <w:t>(c)</w:t>
      </w:r>
      <w:r>
        <w:tab/>
        <w:t>service by electronic means is deemed to be effected as prescribed in the regulations.</w:t>
      </w:r>
    </w:p>
    <w:p>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spacing w:before="60"/>
        <w:rPr>
          <w:snapToGrid w:val="0"/>
        </w:rPr>
      </w:pPr>
      <w:r>
        <w:rPr>
          <w:snapToGrid w:val="0"/>
        </w:rPr>
        <w:tab/>
        <w:t>(a)</w:t>
      </w:r>
      <w:r>
        <w:rPr>
          <w:snapToGrid w:val="0"/>
        </w:rPr>
        <w:tab/>
        <w:t>direct any further notice to be served; or</w:t>
      </w:r>
    </w:p>
    <w:p>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spacing w:before="60"/>
        <w:rPr>
          <w:snapToGrid w:val="0"/>
        </w:rPr>
      </w:pPr>
      <w:r>
        <w:rPr>
          <w:snapToGrid w:val="0"/>
        </w:rPr>
        <w:tab/>
        <w:t>(c)</w:t>
      </w:r>
      <w:r>
        <w:rPr>
          <w:snapToGrid w:val="0"/>
        </w:rPr>
        <w:tab/>
        <w:t>proceed without the notice being served.</w:t>
      </w:r>
    </w:p>
    <w:p>
      <w:pPr>
        <w:pStyle w:val="Footnotesection"/>
        <w:spacing w:before="80"/>
        <w:ind w:left="890" w:hanging="890"/>
      </w:pPr>
      <w:r>
        <w:lastRenderedPageBreak/>
        <w:tab/>
        <w:t xml:space="preserve">[Section 240 inserted: No. 81 of 1996 s. 142; amended: No. 26 of 1999 s. 106(5); No. 10 of 2001 s. 220; </w:t>
      </w:r>
      <w:r>
        <w:rPr>
          <w:spacing w:val="-4"/>
        </w:rPr>
        <w:t>No. 60 of 2006 s. 118(1); No. 2 of 2014 s. 92</w:t>
      </w:r>
      <w:r>
        <w:t>.]</w:t>
      </w:r>
    </w:p>
    <w:p>
      <w:pPr>
        <w:pStyle w:val="Heading5"/>
      </w:pPr>
      <w:bookmarkStart w:id="388" w:name="_Toc141092979"/>
      <w:r>
        <w:rPr>
          <w:rStyle w:val="CharSectno"/>
        </w:rPr>
        <w:t>240A</w:t>
      </w:r>
      <w:r>
        <w:t>.</w:t>
      </w:r>
      <w:r>
        <w:tab/>
        <w:t>Notification of change of address, fax number or way of receiving notices electronically</w:t>
      </w:r>
      <w:bookmarkEnd w:id="388"/>
    </w:p>
    <w:p>
      <w:pPr>
        <w:pStyle w:val="Subsection"/>
      </w:pPr>
      <w:r>
        <w:tab/>
        <w:t>(1)</w:t>
      </w:r>
      <w:r>
        <w:tab/>
        <w:t xml:space="preserve">In this section — </w:t>
      </w:r>
    </w:p>
    <w:p>
      <w:pPr>
        <w:pStyle w:val="Defstart"/>
      </w:pPr>
      <w:r>
        <w:tab/>
      </w:r>
      <w:r>
        <w:rPr>
          <w:rStyle w:val="CharDefText"/>
        </w:rPr>
        <w:t>notification details</w:t>
      </w:r>
      <w:r>
        <w:t xml:space="preserve"> means — </w:t>
      </w:r>
    </w:p>
    <w:p>
      <w:pPr>
        <w:pStyle w:val="Defpara"/>
      </w:pPr>
      <w:r>
        <w:tab/>
        <w:t>(a)</w:t>
      </w:r>
      <w:r>
        <w:tab/>
        <w:t>an address for service; or</w:t>
      </w:r>
    </w:p>
    <w:p>
      <w:pPr>
        <w:pStyle w:val="Defpara"/>
      </w:pPr>
      <w:r>
        <w:tab/>
        <w:t>(b)</w:t>
      </w:r>
      <w:r>
        <w:tab/>
        <w:t>a facsimile number for service; or</w:t>
      </w:r>
    </w:p>
    <w:p>
      <w:pPr>
        <w:pStyle w:val="Defpara"/>
      </w:pPr>
      <w:r>
        <w:tab/>
        <w:t>(c)</w:t>
      </w:r>
      <w:r>
        <w:tab/>
        <w:t>a way of receiving notices electronically.</w:t>
      </w:r>
    </w:p>
    <w:p>
      <w:pPr>
        <w:pStyle w:val="Subsection"/>
      </w:pPr>
      <w:r>
        <w:tab/>
        <w:t>(2)</w:t>
      </w:r>
      <w:r>
        <w:tab/>
        <w:t xml:space="preserve">A person may apply to the Registrar to — </w:t>
      </w:r>
    </w:p>
    <w:p>
      <w:pPr>
        <w:pStyle w:val="Indenta"/>
      </w:pPr>
      <w:r>
        <w:tab/>
        <w:t>(a)</w:t>
      </w:r>
      <w:r>
        <w:tab/>
        <w:t>change the record of the person’s notification details that have been specified in an approved form for the purposes of section 240 or in a caveat; or</w:t>
      </w:r>
    </w:p>
    <w:p>
      <w:pPr>
        <w:pStyle w:val="Indenta"/>
      </w:pPr>
      <w:r>
        <w:tab/>
        <w:t>(b)</w:t>
      </w:r>
      <w:r>
        <w:tab/>
        <w:t>notify the Registrar of any change to the notification details recorded in the Register in respect of the person.</w:t>
      </w:r>
    </w:p>
    <w:p>
      <w:pPr>
        <w:pStyle w:val="Subsection"/>
      </w:pPr>
      <w:r>
        <w:tab/>
        <w:t>(3)</w:t>
      </w:r>
      <w:r>
        <w:tab/>
        <w:t>An application must be in an approved form and accompanied by the prescribed fee.</w:t>
      </w:r>
    </w:p>
    <w:p>
      <w:pPr>
        <w:pStyle w:val="Subsection"/>
      </w:pPr>
      <w:r>
        <w:tab/>
        <w:t>(4)</w:t>
      </w:r>
      <w:r>
        <w:tab/>
        <w:t>On receiving an application, the Registrar, if satisfied that it would be in order to do so, must alter the notification details accordingly.</w:t>
      </w:r>
    </w:p>
    <w:p>
      <w:pPr>
        <w:pStyle w:val="Footnotesection"/>
        <w:spacing w:before="100"/>
        <w:ind w:left="890" w:hanging="890"/>
      </w:pPr>
      <w:r>
        <w:tab/>
        <w:t>[Section 240A inserted: No. 2 of 2014 s. 93.]</w:t>
      </w:r>
    </w:p>
    <w:p>
      <w:pPr>
        <w:pStyle w:val="Ednotesection"/>
      </w:pPr>
      <w:r>
        <w:t>[</w:t>
      </w:r>
      <w:r>
        <w:rPr>
          <w:b/>
        </w:rPr>
        <w:t>241.</w:t>
      </w:r>
      <w:r>
        <w:tab/>
        <w:t>Deleted: No. 24 of 2000 s. 42(4).]</w:t>
      </w:r>
    </w:p>
    <w:p>
      <w:pPr>
        <w:pStyle w:val="Heading5"/>
        <w:keepNext w:val="0"/>
        <w:widowControl w:val="0"/>
        <w:rPr>
          <w:snapToGrid w:val="0"/>
        </w:rPr>
      </w:pPr>
      <w:bookmarkStart w:id="389" w:name="_Toc141092980"/>
      <w:r>
        <w:rPr>
          <w:rStyle w:val="CharSectno"/>
        </w:rPr>
        <w:t>242</w:t>
      </w:r>
      <w:r>
        <w:rPr>
          <w:snapToGrid w:val="0"/>
        </w:rPr>
        <w:t>.</w:t>
      </w:r>
      <w:r>
        <w:rPr>
          <w:snapToGrid w:val="0"/>
        </w:rPr>
        <w:tab/>
        <w:t>Interests disposed of or created by court order etc., registration of</w:t>
      </w:r>
      <w:bookmarkEnd w:id="389"/>
    </w:p>
    <w:p>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w:t>
      </w:r>
      <w:r>
        <w:rPr>
          <w:snapToGrid w:val="0"/>
        </w:rPr>
        <w:lastRenderedPageBreak/>
        <w:t>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lastRenderedPageBreak/>
        <w:tab/>
        <w:t>[Section 242 inserted: No. 17 of 1950 s. 70; amended: No. 81 of 1996 s. 145(1); No. 56 of 2003 s. 21; No. 19 of 2010 s. 51; No. 32 of 2018 s. 266.]</w:t>
      </w:r>
    </w:p>
    <w:p>
      <w:pPr>
        <w:pStyle w:val="Heading5"/>
      </w:pPr>
      <w:bookmarkStart w:id="390" w:name="_Toc141092981"/>
      <w:r>
        <w:rPr>
          <w:rStyle w:val="CharSectno"/>
        </w:rPr>
        <w:t>243</w:t>
      </w:r>
      <w:r>
        <w:t>.</w:t>
      </w:r>
      <w:r>
        <w:tab/>
        <w:t>Revesting of land held by Crown in fee simple as Crown land</w:t>
      </w:r>
      <w:bookmarkEnd w:id="390"/>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pPr>
      <w:r>
        <w:tab/>
        <w:t>[Section 243 inserted: No. 31 of 1997 s. 132.]</w:t>
      </w:r>
    </w:p>
    <w:p>
      <w:pPr>
        <w:pStyle w:val="Heading2"/>
      </w:pPr>
      <w:bookmarkStart w:id="391" w:name="_Toc141092599"/>
      <w:bookmarkStart w:id="392" w:name="_Toc141092982"/>
      <w:r>
        <w:rPr>
          <w:rStyle w:val="CharPartNo"/>
        </w:rPr>
        <w:lastRenderedPageBreak/>
        <w:t>Part XV</w:t>
      </w:r>
      <w:r>
        <w:rPr>
          <w:b w:val="0"/>
        </w:rPr>
        <w:t> </w:t>
      </w:r>
      <w:r>
        <w:t>—</w:t>
      </w:r>
      <w:r>
        <w:rPr>
          <w:b w:val="0"/>
        </w:rPr>
        <w:t> </w:t>
      </w:r>
      <w:r>
        <w:rPr>
          <w:rStyle w:val="CharPartText"/>
        </w:rPr>
        <w:t xml:space="preserve">Transitional provisions for </w:t>
      </w:r>
      <w:r>
        <w:rPr>
          <w:rStyle w:val="CharPartText"/>
          <w:i/>
        </w:rPr>
        <w:t>Electronic Conveyancing Act 2014</w:t>
      </w:r>
      <w:bookmarkEnd w:id="391"/>
      <w:bookmarkEnd w:id="392"/>
    </w:p>
    <w:p>
      <w:pPr>
        <w:pStyle w:val="Footnoteheading"/>
      </w:pPr>
      <w:r>
        <w:tab/>
        <w:t>[Heading inserted: No. 2 of 2014 s. 94.]</w:t>
      </w:r>
    </w:p>
    <w:p>
      <w:pPr>
        <w:pStyle w:val="Heading5"/>
      </w:pPr>
      <w:bookmarkStart w:id="393" w:name="_Toc141092983"/>
      <w:r>
        <w:rPr>
          <w:rStyle w:val="CharSectno"/>
        </w:rPr>
        <w:t>244</w:t>
      </w:r>
      <w:r>
        <w:t>.</w:t>
      </w:r>
      <w:r>
        <w:tab/>
        <w:t>Term used: amending Act</w:t>
      </w:r>
      <w:bookmarkEnd w:id="393"/>
    </w:p>
    <w:p>
      <w:pPr>
        <w:pStyle w:val="Subsection"/>
      </w:pPr>
      <w:r>
        <w:tab/>
      </w:r>
      <w:r>
        <w:tab/>
        <w:t xml:space="preserve">In this Part — </w:t>
      </w:r>
    </w:p>
    <w:p>
      <w:pPr>
        <w:pStyle w:val="Defstart"/>
      </w:pPr>
      <w:r>
        <w:tab/>
      </w:r>
      <w:r>
        <w:rPr>
          <w:rStyle w:val="CharDefText"/>
        </w:rPr>
        <w:t>amending Act</w:t>
      </w:r>
      <w:r>
        <w:t xml:space="preserve"> means the </w:t>
      </w:r>
      <w:r>
        <w:rPr>
          <w:i/>
        </w:rPr>
        <w:t>Electronic Conveyancing Act 2014</w:t>
      </w:r>
      <w:r>
        <w:t>.</w:t>
      </w:r>
    </w:p>
    <w:p>
      <w:pPr>
        <w:pStyle w:val="Footnotesection"/>
        <w:spacing w:before="100"/>
        <w:ind w:left="890" w:hanging="890"/>
      </w:pPr>
      <w:r>
        <w:tab/>
        <w:t>[Section 244 inserted: No. 2 of 2014 s. 94.]</w:t>
      </w:r>
    </w:p>
    <w:p>
      <w:pPr>
        <w:pStyle w:val="Heading5"/>
      </w:pPr>
      <w:bookmarkStart w:id="394" w:name="_Toc141092984"/>
      <w:r>
        <w:rPr>
          <w:rStyle w:val="CharSectno"/>
        </w:rPr>
        <w:t>245</w:t>
      </w:r>
      <w:r>
        <w:t>.</w:t>
      </w:r>
      <w:r>
        <w:tab/>
        <w:t>Transitional provision for s. 52(2)</w:t>
      </w:r>
      <w:bookmarkEnd w:id="394"/>
    </w:p>
    <w:p>
      <w:pPr>
        <w:pStyle w:val="Subsection"/>
      </w:pPr>
      <w:r>
        <w:tab/>
      </w:r>
      <w:r>
        <w:tab/>
        <w:t>An instrument referred to in section 52(2) (as replaced by the amending Act) includes an instrument presented for registration before the day on which the amending Act section 67 comes into operation.</w:t>
      </w:r>
    </w:p>
    <w:p>
      <w:pPr>
        <w:pStyle w:val="Footnotesection"/>
        <w:spacing w:before="100"/>
        <w:ind w:left="890" w:hanging="890"/>
      </w:pPr>
      <w:r>
        <w:tab/>
        <w:t>[Section 245 inserted: No. 2 of 2014 s. 94.]</w:t>
      </w:r>
    </w:p>
    <w:p>
      <w:pPr>
        <w:pStyle w:val="Heading5"/>
      </w:pPr>
      <w:bookmarkStart w:id="395" w:name="_Toc141092985"/>
      <w:r>
        <w:rPr>
          <w:rStyle w:val="CharSectno"/>
        </w:rPr>
        <w:t>246</w:t>
      </w:r>
      <w:r>
        <w:t>.</w:t>
      </w:r>
      <w:r>
        <w:tab/>
        <w:t>Transitional provision for s. 105(4)</w:t>
      </w:r>
      <w:bookmarkEnd w:id="395"/>
    </w:p>
    <w:p>
      <w:pPr>
        <w:pStyle w:val="Subsection"/>
      </w:pPr>
      <w:r>
        <w:tab/>
      </w:r>
      <w:r>
        <w:tab/>
        <w:t>Section 105(4) (as inserted by the amending Act) applies only to and in relation to instruments registered after the amending Act section 73 comes into operation.</w:t>
      </w:r>
    </w:p>
    <w:p>
      <w:pPr>
        <w:pStyle w:val="Footnotesection"/>
        <w:spacing w:before="100"/>
        <w:ind w:left="890" w:hanging="890"/>
      </w:pPr>
      <w:r>
        <w:tab/>
        <w:t>[Section 246 inserted: No. 2 of 2014 s. 94.]</w:t>
      </w:r>
    </w:p>
    <w:p>
      <w:pPr>
        <w:pStyle w:val="Heading5"/>
      </w:pPr>
      <w:bookmarkStart w:id="396" w:name="_Toc141092986"/>
      <w:r>
        <w:rPr>
          <w:rStyle w:val="CharSectno"/>
        </w:rPr>
        <w:t>247</w:t>
      </w:r>
      <w:r>
        <w:t>.</w:t>
      </w:r>
      <w:r>
        <w:tab/>
        <w:t>Transitional provision for s. 182A (requirements)</w:t>
      </w:r>
      <w:bookmarkEnd w:id="396"/>
    </w:p>
    <w:p>
      <w:pPr>
        <w:pStyle w:val="Subsection"/>
      </w:pPr>
      <w:r>
        <w:tab/>
        <w:t>(1)</w:t>
      </w:r>
      <w:r>
        <w:tab/>
        <w:t xml:space="preserve">This section applies to any statement that — </w:t>
      </w:r>
    </w:p>
    <w:p>
      <w:pPr>
        <w:pStyle w:val="Indenta"/>
      </w:pPr>
      <w:r>
        <w:tab/>
        <w:t>(a)</w:t>
      </w:r>
      <w:r>
        <w:tab/>
        <w:t>is included in any practice manual, customer information bulletin or other similar publication issued by the Authority before the amending Act section 79 comes into operation; and</w:t>
      </w:r>
    </w:p>
    <w:p>
      <w:pPr>
        <w:pStyle w:val="Indenta"/>
      </w:pPr>
      <w:r>
        <w:tab/>
        <w:t>(b)</w:t>
      </w:r>
      <w:r>
        <w:tab/>
        <w:t>relates to any matter in relation to which a requirement can be determined under section 182A(1); and</w:t>
      </w:r>
    </w:p>
    <w:p>
      <w:pPr>
        <w:pStyle w:val="Indenta"/>
      </w:pPr>
      <w:r>
        <w:tab/>
        <w:t>(c)</w:t>
      </w:r>
      <w:r>
        <w:tab/>
        <w:t>specifies or has the effect of specifying a requirement in relation to one of those matters; and</w:t>
      </w:r>
    </w:p>
    <w:p>
      <w:pPr>
        <w:pStyle w:val="Indenta"/>
      </w:pPr>
      <w:r>
        <w:lastRenderedPageBreak/>
        <w:tab/>
        <w:t>(d)</w:t>
      </w:r>
      <w:r>
        <w:tab/>
        <w:t>has not been superseded or overridden by any other statement included in any publication of the kind mentioned in paragraph (a) and issued before the amending Act section 79 comes into operation.</w:t>
      </w:r>
    </w:p>
    <w:p>
      <w:pPr>
        <w:pStyle w:val="Subsection"/>
      </w:pPr>
      <w:r>
        <w:tab/>
        <w:t>(2)</w:t>
      </w:r>
      <w:r>
        <w:tab/>
        <w:t>A statement to which this section applies is to be taken to be a requirement determined under section 182A in the same terms as the original statement, and to continue in force under and subject to this Act.</w:t>
      </w:r>
    </w:p>
    <w:p>
      <w:pPr>
        <w:pStyle w:val="Footnotesection"/>
        <w:spacing w:before="100"/>
        <w:ind w:left="890" w:hanging="890"/>
      </w:pPr>
      <w:r>
        <w:tab/>
        <w:t>[Section 247 inserted: No. 2 of 2014 s. 94.]</w:t>
      </w:r>
    </w:p>
    <w:p>
      <w:pPr>
        <w:pStyle w:val="Footnotesection"/>
        <w:spacing w:before="80"/>
        <w:ind w:left="890" w:hanging="890"/>
      </w:pP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397" w:name="_Toc141092604"/>
      <w:bookmarkStart w:id="398" w:name="_Toc141092987"/>
      <w:r>
        <w:rPr>
          <w:rStyle w:val="CharSchNo"/>
          <w:rFonts w:eastAsia="MS Mincho"/>
        </w:rPr>
        <w:lastRenderedPageBreak/>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397"/>
      <w:bookmarkEnd w:id="398"/>
    </w:p>
    <w:p>
      <w:pPr>
        <w:pStyle w:val="yShoulderClause"/>
        <w:rPr>
          <w:rFonts w:eastAsia="MS Mincho"/>
        </w:rPr>
      </w:pPr>
      <w:r>
        <w:rPr>
          <w:rFonts w:eastAsia="MS Mincho"/>
        </w:rPr>
        <w:t>[s. 2]</w:t>
      </w:r>
    </w:p>
    <w:p>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399" w:name="_Toc141092605"/>
      <w:bookmarkStart w:id="400" w:name="_Toc141092988"/>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399"/>
      <w:bookmarkEnd w:id="400"/>
    </w:p>
    <w:p>
      <w:pPr>
        <w:pStyle w:val="yShoulderClause"/>
        <w:rPr>
          <w:rFonts w:eastAsia="MS Mincho"/>
        </w:rPr>
      </w:pPr>
      <w:r>
        <w:rPr>
          <w:rFonts w:eastAsia="MS Mincho"/>
        </w:rPr>
        <w:t>[s. 20]</w:t>
      </w:r>
    </w:p>
    <w:p>
      <w:pPr>
        <w:pStyle w:val="yFootnoteheading"/>
        <w:rPr>
          <w:snapToGrid w:val="0"/>
        </w:rPr>
      </w:pPr>
      <w:r>
        <w:rPr>
          <w:snapToGrid w:val="0"/>
        </w:rPr>
        <w:tab/>
        <w:t>[Heading inserted: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lastRenderedPageBreak/>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5pt;height:63.35pt" o:ole="" fillcolor="window">
                  <v:imagedata r:id="rId24" o:title=""/>
                </v:shape>
                <o:OLEObject Type="Embed" ProgID="Word.Picture.8" ShapeID="_x0000_i1025" DrawAspect="Content" ObjectID="_1751869812" r:id="rId25"/>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No. 17 of 1950 s. 71; No. 113 of 1965 s. 4; No. 81 of 1996 s. 146(3); No. 24 of 2005 s. 63.]</w:t>
      </w:r>
    </w:p>
    <w:p>
      <w:pPr>
        <w:pStyle w:val="yScheduleHeading"/>
        <w:rPr>
          <w:rFonts w:eastAsia="MS Mincho"/>
        </w:rPr>
      </w:pPr>
      <w:bookmarkStart w:id="401" w:name="_Toc141092606"/>
      <w:bookmarkStart w:id="402" w:name="_Toc141092989"/>
      <w:r>
        <w:rPr>
          <w:rStyle w:val="CharSchNo"/>
          <w:rFonts w:eastAsia="MS Mincho"/>
        </w:rPr>
        <w:lastRenderedPageBreak/>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01"/>
      <w:bookmarkEnd w:id="402"/>
    </w:p>
    <w:p>
      <w:pPr>
        <w:pStyle w:val="yShoulderClause"/>
        <w:rPr>
          <w:rFonts w:eastAsia="MS Mincho"/>
        </w:rPr>
      </w:pPr>
      <w:r>
        <w:rPr>
          <w:rFonts w:eastAsia="MS Mincho"/>
        </w:rPr>
        <w:t>[s. 24]</w:t>
      </w:r>
    </w:p>
    <w:p>
      <w:pPr>
        <w:pStyle w:val="yFootnoteheading"/>
        <w:rPr>
          <w:snapToGrid w:val="0"/>
        </w:rPr>
      </w:pPr>
      <w:r>
        <w:rPr>
          <w:snapToGrid w:val="0"/>
        </w:rPr>
        <w:tab/>
        <w:t>[Heading inserted: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No. 81 of 1996 s. 147; </w:t>
      </w:r>
      <w:r>
        <w:rPr>
          <w:spacing w:val="-4"/>
        </w:rPr>
        <w:t>No. 60 of 2006 s. 118(1)</w:t>
      </w:r>
      <w:r>
        <w:t>.]</w:t>
      </w:r>
    </w:p>
    <w:p>
      <w:pPr>
        <w:pStyle w:val="yScheduleHeading"/>
        <w:rPr>
          <w:rFonts w:eastAsia="MS Mincho"/>
        </w:rPr>
      </w:pPr>
      <w:bookmarkStart w:id="403" w:name="_Toc141092607"/>
      <w:bookmarkStart w:id="404" w:name="_Toc141092990"/>
      <w:r>
        <w:rPr>
          <w:rStyle w:val="CharSchNo"/>
          <w:rFonts w:eastAsia="MS Mincho"/>
        </w:rPr>
        <w:lastRenderedPageBreak/>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03"/>
      <w:bookmarkEnd w:id="404"/>
    </w:p>
    <w:p>
      <w:pPr>
        <w:pStyle w:val="yShoulderClause"/>
        <w:rPr>
          <w:rFonts w:eastAsia="MS Mincho"/>
        </w:rPr>
      </w:pPr>
      <w:r>
        <w:rPr>
          <w:rFonts w:eastAsia="MS Mincho"/>
        </w:rPr>
        <w:t>[s. 222]</w:t>
      </w:r>
    </w:p>
    <w:p>
      <w:pPr>
        <w:pStyle w:val="yFootnoteheading"/>
        <w:rPr>
          <w:snapToGrid w:val="0"/>
        </w:rPr>
      </w:pPr>
      <w:r>
        <w:rPr>
          <w:snapToGrid w:val="0"/>
        </w:rPr>
        <w:tab/>
        <w:t>[Heading inserted: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object w:dxaOrig="181" w:dyaOrig="1246">
                <v:shape id="_x0000_i1026" type="#_x0000_t75" style="width:8.65pt;height:63.35pt" o:ole="" fillcolor="window">
                  <v:imagedata r:id="rId24" o:title=""/>
                </v:shape>
                <o:OLEObject Type="Embed" ProgID="Word.Picture.8" ShapeID="_x0000_i1026" DrawAspect="Content" ObjectID="_1751869813" r:id="rId26"/>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No. 113 of 1965 s. 4; No. 94 of 1972 s. 4; No. 81 of 1996 s. 146(2); No. 24 of 2005 s. 63.]</w:t>
      </w:r>
    </w:p>
    <w:p>
      <w:pPr>
        <w:pStyle w:val="yEdnoteschedule"/>
      </w:pPr>
      <w:r>
        <w:t>[Fifth, Sixth and Seventh Schedules deleted: No. 81 of 1996 s. 151.]</w:t>
      </w:r>
    </w:p>
    <w:p>
      <w:pPr>
        <w:pStyle w:val="yEdnoteschedule"/>
      </w:pPr>
      <w:r>
        <w:t>[Eighth Schedule deleted: No. 26 of 1999 s. 106(6).]</w:t>
      </w:r>
    </w:p>
    <w:p>
      <w:pPr>
        <w:pStyle w:val="yScheduleHeading"/>
        <w:rPr>
          <w:rFonts w:eastAsia="MS Mincho"/>
        </w:rPr>
      </w:pPr>
      <w:bookmarkStart w:id="405" w:name="_Toc141092608"/>
      <w:bookmarkStart w:id="406" w:name="_Toc141092991"/>
      <w:r>
        <w:rPr>
          <w:rStyle w:val="CharSchNo"/>
          <w:rFonts w:eastAsia="MS Mincho"/>
        </w:rPr>
        <w:lastRenderedPageBreak/>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05"/>
      <w:bookmarkEnd w:id="406"/>
    </w:p>
    <w:p>
      <w:pPr>
        <w:pStyle w:val="yShoulderClause"/>
      </w:pPr>
      <w:r>
        <w:rPr>
          <w:rFonts w:eastAsia="MS Mincho"/>
        </w:rPr>
        <w:t>[s. 65]</w:t>
      </w:r>
    </w:p>
    <w:p>
      <w:pPr>
        <w:pStyle w:val="yFootnoteheading"/>
        <w:rPr>
          <w:snapToGrid w:val="0"/>
        </w:rPr>
      </w:pPr>
      <w:r>
        <w:rPr>
          <w:snapToGrid w:val="0"/>
        </w:rPr>
        <w:tab/>
        <w:t>[Heading inserted: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rPr>
          <w:i/>
        </w:rPr>
      </w:pPr>
      <w:r>
        <w:rPr>
          <w:i/>
        </w:rPr>
        <w:t>Creation of Right of Carriage</w:t>
      </w:r>
      <w:r>
        <w:rPr>
          <w:i/>
        </w:rPr>
        <w:noBreakHyphen/>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No. 81 of 1996 s. 148</w:t>
      </w:r>
      <w:r>
        <w:rPr>
          <w:i w:val="0"/>
          <w:vertAlign w:val="superscript"/>
        </w:rPr>
        <w:t> 7</w:t>
      </w:r>
      <w:r>
        <w:t>.]</w:t>
      </w:r>
    </w:p>
    <w:p>
      <w:pPr>
        <w:pStyle w:val="yScheduleHeading"/>
        <w:rPr>
          <w:rFonts w:eastAsia="MS Mincho"/>
        </w:rPr>
      </w:pPr>
      <w:bookmarkStart w:id="407" w:name="_Toc141092609"/>
      <w:bookmarkStart w:id="408" w:name="_Toc141092992"/>
      <w:r>
        <w:rPr>
          <w:rStyle w:val="CharSchNo"/>
          <w:rFonts w:eastAsia="MS Mincho"/>
        </w:rPr>
        <w:lastRenderedPageBreak/>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07"/>
      <w:bookmarkEnd w:id="408"/>
    </w:p>
    <w:p>
      <w:pPr>
        <w:pStyle w:val="yShoulderClause"/>
      </w:pPr>
      <w:r>
        <w:t>[s. 65(3)]</w:t>
      </w:r>
    </w:p>
    <w:p>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lastRenderedPageBreak/>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lastRenderedPageBreak/>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No. 81 of 1996 s. 149; amended: No. 6 of 2003 s. 83; renumbered as Tenth Schedule: No. 19 of 2010 s. 38(9).]</w:t>
      </w:r>
    </w:p>
    <w:p>
      <w:pPr>
        <w:pStyle w:val="yEdnoteschedule"/>
      </w:pPr>
      <w:r>
        <w:t>[Eleventh Schedule deleted: No. 81 of 1996 s. 151.]</w:t>
      </w:r>
    </w:p>
    <w:p>
      <w:pPr>
        <w:pStyle w:val="yScheduleHeading"/>
        <w:rPr>
          <w:rFonts w:eastAsia="MS Mincho"/>
        </w:rPr>
      </w:pPr>
      <w:bookmarkStart w:id="409" w:name="_Toc141092610"/>
      <w:bookmarkStart w:id="410" w:name="_Toc141092993"/>
      <w:r>
        <w:rPr>
          <w:rStyle w:val="CharSchNo"/>
          <w:rFonts w:eastAsia="MS Mincho"/>
        </w:rPr>
        <w:lastRenderedPageBreak/>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09"/>
      <w:bookmarkEnd w:id="410"/>
    </w:p>
    <w:p>
      <w:pPr>
        <w:pStyle w:val="yShoulderClause"/>
        <w:rPr>
          <w:rFonts w:eastAsia="MS Mincho"/>
        </w:rPr>
      </w:pPr>
      <w:r>
        <w:rPr>
          <w:rFonts w:eastAsia="MS Mincho"/>
        </w:rPr>
        <w:t>[s. 94]</w:t>
      </w:r>
    </w:p>
    <w:p>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w:t>
            </w:r>
            <w:r>
              <w:rPr>
                <w:sz w:val="18"/>
              </w:rPr>
              <w:lastRenderedPageBreak/>
              <w:t xml:space="preserve">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lastRenderedPageBreak/>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No. 81 of 1996 s. 151.]</w:t>
      </w:r>
    </w:p>
    <w:p>
      <w:pPr>
        <w:pStyle w:val="yScheduleHeading"/>
        <w:rPr>
          <w:rFonts w:eastAsia="MS Mincho"/>
        </w:rPr>
      </w:pPr>
      <w:bookmarkStart w:id="411" w:name="_Toc141092611"/>
      <w:bookmarkStart w:id="412" w:name="_Toc141092994"/>
      <w:r>
        <w:rPr>
          <w:rStyle w:val="CharSchNo"/>
          <w:rFonts w:eastAsia="MS Mincho"/>
        </w:rPr>
        <w:lastRenderedPageBreak/>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11"/>
      <w:bookmarkEnd w:id="412"/>
    </w:p>
    <w:p>
      <w:pPr>
        <w:pStyle w:val="yShoulderClause"/>
        <w:rPr>
          <w:rFonts w:eastAsia="MS Mincho"/>
        </w:rPr>
      </w:pPr>
      <w:r>
        <w:rPr>
          <w:rFonts w:eastAsia="MS Mincho"/>
        </w:rPr>
        <w:t>[s. 115]</w:t>
      </w:r>
    </w:p>
    <w:p>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No. 81 of 1996 s. 151.]</w:t>
      </w:r>
    </w:p>
    <w:p>
      <w:pPr>
        <w:pStyle w:val="yScheduleHeading"/>
        <w:rPr>
          <w:rFonts w:eastAsia="MS Mincho"/>
        </w:rPr>
      </w:pPr>
      <w:bookmarkStart w:id="413" w:name="_Toc141092612"/>
      <w:bookmarkStart w:id="414" w:name="_Toc141092995"/>
      <w:r>
        <w:rPr>
          <w:rStyle w:val="CharSchNo"/>
          <w:rFonts w:eastAsia="MS Mincho"/>
        </w:rPr>
        <w:lastRenderedPageBreak/>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13"/>
      <w:bookmarkEnd w:id="414"/>
    </w:p>
    <w:p>
      <w:pPr>
        <w:pStyle w:val="yShoulderClause"/>
        <w:rPr>
          <w:rFonts w:eastAsia="MS Mincho"/>
        </w:rPr>
      </w:pPr>
      <w:r>
        <w:rPr>
          <w:rFonts w:eastAsia="MS Mincho"/>
        </w:rPr>
        <w:t>[s. 143(1)]</w:t>
      </w:r>
    </w:p>
    <w:p>
      <w:pPr>
        <w:pStyle w:val="yFootnoteheading"/>
      </w:pPr>
      <w:r>
        <w:rPr>
          <w:snapToGrid w:val="0"/>
        </w:rPr>
        <w:tab/>
        <w:t>[Heading inserted: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lastRenderedPageBreak/>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object w:dxaOrig="180" w:dyaOrig="340">
                <v:shape id="_x0000_i1027" type="#_x0000_t75" style="width:8.65pt;height:18.25pt" o:ole="" fillcolor="window">
                  <v:imagedata r:id="rId28" o:title=""/>
                </v:shape>
                <o:OLEObject Type="Embed" ProgID="Equation.3" ShapeID="_x0000_i1027" DrawAspect="Content" ObjectID="_1751869814" r:id="rId29"/>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Gazette 24 Feb 1970 p. 544</w:t>
      </w:r>
      <w:r>
        <w:noBreakHyphen/>
        <w:t>5; amended: No. 31 of 1997 s. 133.]</w:t>
      </w:r>
    </w:p>
    <w:p>
      <w:pPr>
        <w:pStyle w:val="yEdnoteschedule"/>
      </w:pPr>
      <w:r>
        <w:t>[Twentieth to Twenty</w:t>
      </w:r>
      <w:r>
        <w:noBreakHyphen/>
        <w:t>third Schedules deleted: No. 81 of 1996 s. 151.]</w:t>
      </w:r>
    </w:p>
    <w:p>
      <w:pPr>
        <w:pStyle w:val="yHeading2"/>
        <w:pageBreakBefore/>
        <w:spacing w:before="0"/>
        <w:rPr>
          <w:rFonts w:eastAsia="MS Mincho"/>
        </w:rPr>
      </w:pPr>
      <w:bookmarkStart w:id="415" w:name="_Toc141092613"/>
      <w:bookmarkStart w:id="416" w:name="_Toc141092996"/>
      <w:r>
        <w:rPr>
          <w:rStyle w:val="CharSchNo"/>
          <w:rFonts w:eastAsia="MS Mincho"/>
        </w:rPr>
        <w:lastRenderedPageBreak/>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15"/>
      <w:bookmarkEnd w:id="416"/>
    </w:p>
    <w:p>
      <w:pPr>
        <w:pStyle w:val="yShoulderClause"/>
        <w:rPr>
          <w:rFonts w:eastAsia="MS Mincho"/>
        </w:rPr>
      </w:pPr>
      <w:r>
        <w:rPr>
          <w:rFonts w:eastAsia="MS Mincho"/>
        </w:rPr>
        <w:t>[s. 172]</w:t>
      </w:r>
    </w:p>
    <w:p>
      <w:pPr>
        <w:pStyle w:val="yFootnoteheading"/>
        <w:spacing w:before="40"/>
      </w:pPr>
      <w:r>
        <w:rPr>
          <w:snapToGrid w:val="0"/>
        </w:rPr>
        <w:tab/>
        <w:t>[Heading inserted: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lastRenderedPageBreak/>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w:t>
      </w:r>
      <w:r>
        <w:rPr>
          <w:snapToGrid w:val="0"/>
        </w:rPr>
        <w:lastRenderedPageBreak/>
        <w:t xml:space="preserve">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No. 81 of 1996 s. 145(2); No. 6 of 2003 s. 84.]</w:t>
      </w:r>
    </w:p>
    <w:p>
      <w:pPr>
        <w:pStyle w:val="yEdnoteschedule"/>
      </w:pPr>
      <w:r>
        <w:t>[Twenty-fifth Schedule deleted: No. 2 of 2014 s. 95.]</w:t>
      </w:r>
    </w:p>
    <w:p>
      <w:pPr>
        <w:pStyle w:val="yScheduleHeading"/>
      </w:pPr>
      <w:bookmarkStart w:id="417" w:name="_Toc141092614"/>
      <w:bookmarkStart w:id="418" w:name="_Toc141092997"/>
      <w:r>
        <w:rPr>
          <w:rStyle w:val="CharSchNo"/>
        </w:rPr>
        <w:lastRenderedPageBreak/>
        <w:t>Twenty</w:t>
      </w:r>
      <w:r>
        <w:rPr>
          <w:rStyle w:val="CharSchNo"/>
        </w:rPr>
        <w:noBreakHyphen/>
        <w:t>sixth Schedule</w:t>
      </w:r>
      <w:r>
        <w:rPr>
          <w:rStyle w:val="CharSDivNo"/>
        </w:rPr>
        <w:t> </w:t>
      </w:r>
      <w:r>
        <w:t>—</w:t>
      </w:r>
      <w:r>
        <w:rPr>
          <w:rStyle w:val="CharSDivText"/>
        </w:rPr>
        <w:t> </w:t>
      </w:r>
      <w:r>
        <w:rPr>
          <w:rStyle w:val="CharSchText"/>
        </w:rPr>
        <w:t>General conditions of sale</w:t>
      </w:r>
      <w:bookmarkEnd w:id="417"/>
      <w:bookmarkEnd w:id="418"/>
    </w:p>
    <w:p>
      <w:pPr>
        <w:pStyle w:val="yShoulderClause"/>
      </w:pPr>
      <w:r>
        <w:t>[s. 237]</w:t>
      </w:r>
    </w:p>
    <w:p>
      <w:pPr>
        <w:pStyle w:val="yFootnoteheading"/>
      </w:pPr>
      <w:r>
        <w:rPr>
          <w:snapToGrid w:val="0"/>
        </w:rPr>
        <w:tab/>
        <w:t>[Heading inserted: No. 19 of 2010 s. 38(15).]</w:t>
      </w:r>
    </w:p>
    <w:p>
      <w:pPr>
        <w:pStyle w:val="yMiscellaneousHeading"/>
        <w:rPr>
          <w:b/>
          <w:bCs/>
        </w:rPr>
      </w:pPr>
      <w:r>
        <w:rPr>
          <w:b/>
          <w:bCs/>
        </w:rPr>
        <w:t>Table A</w:t>
      </w:r>
    </w:p>
    <w:p>
      <w:pPr>
        <w:pStyle w:val="yFootnoteheading"/>
      </w:pPr>
      <w:r>
        <w:rPr>
          <w:snapToGrid w:val="0"/>
        </w:rPr>
        <w:tab/>
        <w:t>[Heading inserted: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 xml:space="preserve">In case the purchaser shall within the time aforesaid make any objection to or requisition on the title or otherwise which the vendor shall be unable or </w:t>
      </w:r>
      <w:r>
        <w:rPr>
          <w:snapToGrid w:val="0"/>
        </w:rPr>
        <w:lastRenderedPageBreak/>
        <w:t>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 xml:space="preserve">paying unto such defaulter within 7 days after the completion of the sale </w:t>
      </w:r>
      <w:r>
        <w:rPr>
          <w:snapToGrid w:val="0"/>
        </w:rPr>
        <w:lastRenderedPageBreak/>
        <w:t>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No. 113 of 1965 s. 8; No. 12 of 2008 Sch. 1 cl. 38(2).]</w:t>
      </w:r>
    </w:p>
    <w:p>
      <w:pPr>
        <w:pStyle w:val="yEdnoteschedule"/>
      </w:pPr>
      <w:r>
        <w:t>[Twenty</w:t>
      </w:r>
      <w:r>
        <w:noBreakHyphen/>
        <w:t>seventh Schedule deleted: No. 25 of 1909 s. 2.]</w:t>
      </w:r>
    </w:p>
    <w:p>
      <w:pPr>
        <w:pStyle w:val="yScheduleHeading"/>
      </w:pPr>
      <w:bookmarkStart w:id="419" w:name="_Toc141092615"/>
      <w:bookmarkStart w:id="420" w:name="_Toc141092998"/>
      <w:r>
        <w:rPr>
          <w:rStyle w:val="CharSchNo"/>
        </w:rPr>
        <w:lastRenderedPageBreak/>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19"/>
      <w:bookmarkEnd w:id="420"/>
    </w:p>
    <w:p>
      <w:pPr>
        <w:pStyle w:val="yShoulderClause"/>
      </w:pPr>
      <w:r>
        <w:t>[s. 81B]</w:t>
      </w:r>
    </w:p>
    <w:p>
      <w:pPr>
        <w:pStyle w:val="yFootnoteheading"/>
      </w:pPr>
      <w:r>
        <w:rPr>
          <w:snapToGrid w:val="0"/>
        </w:rPr>
        <w:tab/>
        <w:t>[Heading inserted: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No. 54 of 1909 s. 19 (as amended: No. 17 of 1950 s. 75); amended: No. 24 of 2005 s. 63.]</w:t>
      </w:r>
    </w:p>
    <w:p>
      <w:pPr>
        <w:pStyle w:val="yEdnoteschedule"/>
      </w:pPr>
      <w:r>
        <w:t>[Schedule titled The Last Schedule deleted: No. 17 of 1950 s. 74.]</w:t>
      </w:r>
    </w:p>
    <w:p>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81" w:right="2409" w:bottom="3543" w:left="2409" w:header="720" w:footer="3544" w:gutter="0"/>
          <w:cols w:space="720"/>
          <w:noEndnote/>
          <w:docGrid w:linePitch="326"/>
        </w:sectPr>
      </w:pPr>
    </w:p>
    <w:p>
      <w:pPr>
        <w:pStyle w:val="nHeading2"/>
      </w:pPr>
      <w:bookmarkStart w:id="422" w:name="_Toc141092616"/>
      <w:bookmarkStart w:id="423" w:name="_Toc141092999"/>
      <w:r>
        <w:lastRenderedPageBreak/>
        <w:t>Notes</w:t>
      </w:r>
      <w:bookmarkEnd w:id="422"/>
      <w:bookmarkEnd w:id="423"/>
    </w:p>
    <w:p>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24" w:name="_Toc141093000"/>
      <w:r>
        <w:t>Compilation table</w:t>
      </w:r>
      <w:bookmarkEnd w:id="424"/>
    </w:p>
    <w:tbl>
      <w:tblPr>
        <w:tblW w:w="709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trPr>
          <w:tblHeader/>
        </w:trPr>
        <w:tc>
          <w:tcPr>
            <w:tcW w:w="2269" w:type="dxa"/>
          </w:tcPr>
          <w:p>
            <w:pPr>
              <w:pStyle w:val="nTable"/>
              <w:spacing w:after="40"/>
              <w:rPr>
                <w:b/>
              </w:rPr>
            </w:pPr>
            <w:r>
              <w:rPr>
                <w:b/>
              </w:rPr>
              <w:t>Short title</w:t>
            </w:r>
          </w:p>
        </w:tc>
        <w:tc>
          <w:tcPr>
            <w:tcW w:w="1136"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The Transfer of Land Act 1893</w:t>
            </w:r>
          </w:p>
        </w:tc>
        <w:tc>
          <w:tcPr>
            <w:tcW w:w="1136" w:type="dxa"/>
          </w:tcPr>
          <w:p>
            <w:pPr>
              <w:pStyle w:val="nTable"/>
              <w:spacing w:after="40"/>
            </w:pPr>
            <w:r>
              <w:t>1893 (56 Vict. No. 14)</w:t>
            </w:r>
          </w:p>
        </w:tc>
        <w:tc>
          <w:tcPr>
            <w:tcW w:w="1134" w:type="dxa"/>
          </w:tcPr>
          <w:p>
            <w:pPr>
              <w:pStyle w:val="nTable"/>
              <w:spacing w:after="40"/>
            </w:pPr>
            <w:r>
              <w:t>13 Jan 1893</w:t>
            </w:r>
          </w:p>
        </w:tc>
        <w:tc>
          <w:tcPr>
            <w:tcW w:w="2552" w:type="dxa"/>
          </w:tcPr>
          <w:p>
            <w:pPr>
              <w:pStyle w:val="nTable"/>
              <w:spacing w:after="40"/>
            </w:pPr>
            <w:r>
              <w:t>13 Jan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1893 Amendment Act 1896 </w:t>
            </w:r>
            <w:r>
              <w:rPr>
                <w:vertAlign w:val="superscript"/>
              </w:rPr>
              <w:t>12</w:t>
            </w:r>
          </w:p>
        </w:tc>
        <w:tc>
          <w:tcPr>
            <w:tcW w:w="1136" w:type="dxa"/>
          </w:tcPr>
          <w:p>
            <w:pPr>
              <w:pStyle w:val="nTable"/>
              <w:spacing w:after="40"/>
            </w:pPr>
            <w:r>
              <w:t>1896 (60 Vict. No. 22) (as amended by No. 17 of 1950 s. 75)</w:t>
            </w:r>
          </w:p>
        </w:tc>
        <w:tc>
          <w:tcPr>
            <w:tcW w:w="1134" w:type="dxa"/>
          </w:tcPr>
          <w:p>
            <w:pPr>
              <w:pStyle w:val="nTable"/>
              <w:spacing w:after="40"/>
            </w:pPr>
            <w:r>
              <w:t>27 Oct 1896</w:t>
            </w:r>
          </w:p>
        </w:tc>
        <w:tc>
          <w:tcPr>
            <w:tcW w:w="2552" w:type="dxa"/>
          </w:tcPr>
          <w:p>
            <w:pPr>
              <w:pStyle w:val="nTable"/>
              <w:spacing w:after="40"/>
            </w:pPr>
            <w:r>
              <w:t>27 Oct 1896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Criminal Code Act 1902</w:t>
            </w:r>
            <w:r>
              <w:t xml:space="preserve"> s. 3</w:t>
            </w:r>
          </w:p>
        </w:tc>
        <w:tc>
          <w:tcPr>
            <w:tcW w:w="1136" w:type="dxa"/>
          </w:tcPr>
          <w:p>
            <w:pPr>
              <w:pStyle w:val="nTable"/>
              <w:spacing w:after="40"/>
            </w:pPr>
            <w:r>
              <w:t>1902 (1 &amp; 2 Edw. VII No. 14)</w:t>
            </w:r>
          </w:p>
        </w:tc>
        <w:tc>
          <w:tcPr>
            <w:tcW w:w="1134" w:type="dxa"/>
          </w:tcPr>
          <w:p>
            <w:pPr>
              <w:pStyle w:val="nTable"/>
              <w:spacing w:after="40"/>
            </w:pPr>
            <w:r>
              <w:t>19 Feb 1902</w:t>
            </w:r>
          </w:p>
        </w:tc>
        <w:tc>
          <w:tcPr>
            <w:tcW w:w="2552" w:type="dxa"/>
          </w:tcPr>
          <w:p>
            <w:pPr>
              <w:pStyle w:val="nTable"/>
              <w:spacing w:after="40"/>
            </w:pPr>
            <w:r>
              <w:t>1 May 1902 (see s. 2 and 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1902 </w:t>
            </w:r>
            <w:r>
              <w:rPr>
                <w:vertAlign w:val="superscript"/>
              </w:rPr>
              <w:t>12</w:t>
            </w:r>
          </w:p>
        </w:tc>
        <w:tc>
          <w:tcPr>
            <w:tcW w:w="1136" w:type="dxa"/>
          </w:tcPr>
          <w:p>
            <w:pPr>
              <w:pStyle w:val="nTable"/>
              <w:spacing w:after="40"/>
            </w:pPr>
            <w:r>
              <w:t>1902 (2 Edw. VII No. 10) (as amended by No. 17 of 1950 s. 75)</w:t>
            </w:r>
          </w:p>
        </w:tc>
        <w:tc>
          <w:tcPr>
            <w:tcW w:w="1134" w:type="dxa"/>
          </w:tcPr>
          <w:p>
            <w:pPr>
              <w:pStyle w:val="nTable"/>
              <w:spacing w:after="40"/>
            </w:pPr>
            <w:r>
              <w:t>18 Nov 1902</w:t>
            </w:r>
          </w:p>
        </w:tc>
        <w:tc>
          <w:tcPr>
            <w:tcW w:w="2552" w:type="dxa"/>
          </w:tcPr>
          <w:p>
            <w:pPr>
              <w:pStyle w:val="nTable"/>
              <w:spacing w:after="40"/>
            </w:pPr>
            <w:r>
              <w:t>18 Nov 1902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Stamp Act Amendment Act 1905 </w:t>
            </w:r>
            <w:r>
              <w:t>s. 20</w:t>
            </w:r>
          </w:p>
        </w:tc>
        <w:tc>
          <w:tcPr>
            <w:tcW w:w="1136" w:type="dxa"/>
          </w:tcPr>
          <w:p>
            <w:pPr>
              <w:pStyle w:val="nTable"/>
              <w:spacing w:after="40"/>
            </w:pPr>
            <w:r>
              <w:t>20 of 1905 (5 Edw. VII No. 20)</w:t>
            </w:r>
          </w:p>
        </w:tc>
        <w:tc>
          <w:tcPr>
            <w:tcW w:w="1134" w:type="dxa"/>
          </w:tcPr>
          <w:p>
            <w:pPr>
              <w:pStyle w:val="nTable"/>
              <w:spacing w:after="40"/>
            </w:pPr>
            <w:r>
              <w:t>23 Dec 1905</w:t>
            </w:r>
          </w:p>
        </w:tc>
        <w:tc>
          <w:tcPr>
            <w:tcW w:w="2552" w:type="dxa"/>
          </w:tcPr>
          <w:p>
            <w:pPr>
              <w:pStyle w:val="nTable"/>
              <w:spacing w:after="40"/>
            </w:pPr>
            <w:r>
              <w:t>1 Jan 1906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Licensed Surveyors Act 1909 </w:t>
            </w:r>
            <w:r>
              <w:t>s. 28 and 29</w:t>
            </w:r>
          </w:p>
        </w:tc>
        <w:tc>
          <w:tcPr>
            <w:tcW w:w="1136" w:type="dxa"/>
          </w:tcPr>
          <w:p>
            <w:pPr>
              <w:pStyle w:val="nTable"/>
              <w:spacing w:after="40"/>
            </w:pPr>
            <w:r>
              <w:t>25 of 1909 (9 Edw. VII No. 21)</w:t>
            </w:r>
          </w:p>
        </w:tc>
        <w:tc>
          <w:tcPr>
            <w:tcW w:w="1134" w:type="dxa"/>
          </w:tcPr>
          <w:p>
            <w:pPr>
              <w:pStyle w:val="nTable"/>
              <w:spacing w:after="40"/>
            </w:pPr>
            <w:r>
              <w:t>29 Oct 1909</w:t>
            </w:r>
          </w:p>
        </w:tc>
        <w:tc>
          <w:tcPr>
            <w:tcW w:w="2552" w:type="dxa"/>
          </w:tcPr>
          <w:p>
            <w:pPr>
              <w:pStyle w:val="nTable"/>
              <w:spacing w:after="40"/>
            </w:pPr>
            <w:r>
              <w:t>1 Jan 1910 (see s. 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1909 </w:t>
            </w:r>
            <w:r>
              <w:rPr>
                <w:vertAlign w:val="superscript"/>
              </w:rPr>
              <w:t>13</w:t>
            </w:r>
          </w:p>
        </w:tc>
        <w:tc>
          <w:tcPr>
            <w:tcW w:w="1136" w:type="dxa"/>
          </w:tcPr>
          <w:p>
            <w:pPr>
              <w:pStyle w:val="nTable"/>
              <w:widowControl w:val="0"/>
              <w:spacing w:after="40"/>
            </w:pPr>
            <w:r>
              <w:t>54 of 1909 (9 Edw. VII No. 50) (as amended by No. 28 of 1944 s. 3; No. 17 of 1950 s. 75)</w:t>
            </w:r>
          </w:p>
        </w:tc>
        <w:tc>
          <w:tcPr>
            <w:tcW w:w="1134" w:type="dxa"/>
          </w:tcPr>
          <w:p>
            <w:pPr>
              <w:pStyle w:val="nTable"/>
              <w:spacing w:after="40"/>
            </w:pPr>
            <w:r>
              <w:t>21 Dec 1909</w:t>
            </w:r>
          </w:p>
        </w:tc>
        <w:tc>
          <w:tcPr>
            <w:tcW w:w="2552" w:type="dxa"/>
          </w:tcPr>
          <w:p>
            <w:pPr>
              <w:pStyle w:val="nTable"/>
              <w:spacing w:after="40"/>
            </w:pPr>
            <w:r>
              <w:t xml:space="preserve">2 May 1910 (see s. 1 and </w:t>
            </w:r>
            <w:r>
              <w:rPr>
                <w:i/>
              </w:rPr>
              <w:t>Gazette</w:t>
            </w:r>
            <w:r>
              <w:t xml:space="preserve"> 4 Mar 1910 p. 649)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lastRenderedPageBreak/>
              <w:t>Transfer of Land Act Amendment Act 1911 </w:t>
            </w:r>
            <w:r>
              <w:rPr>
                <w:vertAlign w:val="superscript"/>
              </w:rPr>
              <w:t>12</w:t>
            </w:r>
          </w:p>
        </w:tc>
        <w:tc>
          <w:tcPr>
            <w:tcW w:w="1136" w:type="dxa"/>
          </w:tcPr>
          <w:p>
            <w:pPr>
              <w:pStyle w:val="nTable"/>
              <w:spacing w:after="40"/>
            </w:pPr>
            <w:r>
              <w:t>26 of 1911 (1 Geo. V No. 37) (as amended by No. 17 of 1950 s. 75)</w:t>
            </w:r>
          </w:p>
        </w:tc>
        <w:tc>
          <w:tcPr>
            <w:tcW w:w="1134" w:type="dxa"/>
          </w:tcPr>
          <w:p>
            <w:pPr>
              <w:pStyle w:val="nTable"/>
              <w:spacing w:after="40"/>
            </w:pPr>
            <w:r>
              <w:t>16 Feb 1911</w:t>
            </w:r>
          </w:p>
        </w:tc>
        <w:tc>
          <w:tcPr>
            <w:tcW w:w="2552" w:type="dxa"/>
          </w:tcPr>
          <w:p>
            <w:pPr>
              <w:pStyle w:val="nTable"/>
              <w:spacing w:after="40"/>
            </w:pPr>
            <w:r>
              <w:t>16 Feb 1911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1917</w:t>
            </w:r>
          </w:p>
        </w:tc>
        <w:tc>
          <w:tcPr>
            <w:tcW w:w="1136" w:type="dxa"/>
          </w:tcPr>
          <w:p>
            <w:pPr>
              <w:pStyle w:val="nTable"/>
              <w:spacing w:after="40"/>
            </w:pPr>
            <w:r>
              <w:t>32 of 1917 (8 Geo. V No. 13)</w:t>
            </w:r>
          </w:p>
        </w:tc>
        <w:tc>
          <w:tcPr>
            <w:tcW w:w="1134" w:type="dxa"/>
          </w:tcPr>
          <w:p>
            <w:pPr>
              <w:pStyle w:val="nTable"/>
              <w:spacing w:after="40"/>
            </w:pPr>
            <w:r>
              <w:t>11 Dec 1917</w:t>
            </w:r>
          </w:p>
        </w:tc>
        <w:tc>
          <w:tcPr>
            <w:tcW w:w="2552" w:type="dxa"/>
          </w:tcPr>
          <w:p>
            <w:pPr>
              <w:pStyle w:val="nTable"/>
              <w:spacing w:after="40"/>
            </w:pPr>
            <w:r>
              <w:t>11 Dec 1917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1920</w:t>
            </w:r>
          </w:p>
        </w:tc>
        <w:tc>
          <w:tcPr>
            <w:tcW w:w="1136" w:type="dxa"/>
          </w:tcPr>
          <w:p>
            <w:pPr>
              <w:pStyle w:val="nTable"/>
              <w:spacing w:after="40"/>
            </w:pPr>
            <w:r>
              <w:t>30 of 1920 (11 Geo. V No. 30)</w:t>
            </w:r>
          </w:p>
        </w:tc>
        <w:tc>
          <w:tcPr>
            <w:tcW w:w="1134" w:type="dxa"/>
          </w:tcPr>
          <w:p>
            <w:pPr>
              <w:pStyle w:val="nTable"/>
              <w:spacing w:after="40"/>
            </w:pPr>
            <w:r>
              <w:t>31 Dec 1920</w:t>
            </w:r>
          </w:p>
        </w:tc>
        <w:tc>
          <w:tcPr>
            <w:tcW w:w="2552" w:type="dxa"/>
          </w:tcPr>
          <w:p>
            <w:pPr>
              <w:pStyle w:val="nTable"/>
              <w:spacing w:after="40"/>
            </w:pPr>
            <w:r>
              <w:t>31 Dec 1920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1925</w:t>
            </w:r>
          </w:p>
        </w:tc>
        <w:tc>
          <w:tcPr>
            <w:tcW w:w="1136" w:type="dxa"/>
          </w:tcPr>
          <w:p>
            <w:pPr>
              <w:pStyle w:val="nTable"/>
              <w:spacing w:after="40"/>
            </w:pPr>
            <w:r>
              <w:t>5 of 1925 (16 Geo. V No. 5)</w:t>
            </w:r>
          </w:p>
        </w:tc>
        <w:tc>
          <w:tcPr>
            <w:tcW w:w="1134" w:type="dxa"/>
          </w:tcPr>
          <w:p>
            <w:pPr>
              <w:pStyle w:val="nTable"/>
              <w:spacing w:after="40"/>
            </w:pPr>
            <w:r>
              <w:t>24 Sep 1925</w:t>
            </w:r>
          </w:p>
        </w:tc>
        <w:tc>
          <w:tcPr>
            <w:tcW w:w="2552" w:type="dxa"/>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w:t>
            </w:r>
            <w:r>
              <w:rPr>
                <w:vertAlign w:val="superscript"/>
              </w:rPr>
              <w:t>12</w:t>
            </w:r>
          </w:p>
        </w:tc>
        <w:tc>
          <w:tcPr>
            <w:tcW w:w="1136" w:type="dxa"/>
          </w:tcPr>
          <w:p>
            <w:pPr>
              <w:pStyle w:val="nTable"/>
              <w:spacing w:after="40"/>
            </w:pPr>
            <w:r>
              <w:t>14 of 1929 (20 Geo. V No. 12) (as amended by No. 17 of 1950 s. 75)</w:t>
            </w:r>
          </w:p>
        </w:tc>
        <w:tc>
          <w:tcPr>
            <w:tcW w:w="1134" w:type="dxa"/>
          </w:tcPr>
          <w:p>
            <w:pPr>
              <w:pStyle w:val="nTable"/>
              <w:spacing w:after="40"/>
            </w:pPr>
            <w:r>
              <w:t>30 Oct 1929</w:t>
            </w:r>
          </w:p>
        </w:tc>
        <w:tc>
          <w:tcPr>
            <w:tcW w:w="2552" w:type="dxa"/>
          </w:tcPr>
          <w:p>
            <w:pPr>
              <w:pStyle w:val="nTable"/>
              <w:spacing w:after="40"/>
            </w:pPr>
            <w:r>
              <w:t>30 Oct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1929 (No. 2) </w:t>
            </w:r>
            <w:r>
              <w:rPr>
                <w:vertAlign w:val="superscript"/>
              </w:rPr>
              <w:t>13</w:t>
            </w:r>
          </w:p>
        </w:tc>
        <w:tc>
          <w:tcPr>
            <w:tcW w:w="1136" w:type="dxa"/>
          </w:tcPr>
          <w:p>
            <w:pPr>
              <w:pStyle w:val="nTable"/>
              <w:spacing w:after="40"/>
            </w:pPr>
            <w:r>
              <w:t>42 of 1929 (20 Geo. V No. 41) (as amended by No. 17 of 1950 s. 75)</w:t>
            </w:r>
          </w:p>
        </w:tc>
        <w:tc>
          <w:tcPr>
            <w:tcW w:w="1134" w:type="dxa"/>
          </w:tcPr>
          <w:p>
            <w:pPr>
              <w:pStyle w:val="nTable"/>
              <w:spacing w:after="40"/>
            </w:pPr>
            <w:r>
              <w:t>31 Dec 1929</w:t>
            </w:r>
          </w:p>
        </w:tc>
        <w:tc>
          <w:tcPr>
            <w:tcW w:w="2552" w:type="dxa"/>
          </w:tcPr>
          <w:p>
            <w:pPr>
              <w:pStyle w:val="nTable"/>
              <w:spacing w:after="40"/>
            </w:pPr>
            <w:r>
              <w:t>31 Dec 1929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1939</w:t>
            </w:r>
          </w:p>
        </w:tc>
        <w:tc>
          <w:tcPr>
            <w:tcW w:w="1136" w:type="dxa"/>
          </w:tcPr>
          <w:p>
            <w:pPr>
              <w:pStyle w:val="nTable"/>
              <w:spacing w:after="40"/>
            </w:pPr>
            <w:r>
              <w:t>23 of 1939 (3 Geo. VI No. 23)</w:t>
            </w:r>
          </w:p>
        </w:tc>
        <w:tc>
          <w:tcPr>
            <w:tcW w:w="1134" w:type="dxa"/>
          </w:tcPr>
          <w:p>
            <w:pPr>
              <w:pStyle w:val="nTable"/>
              <w:spacing w:after="40"/>
            </w:pPr>
            <w:r>
              <w:t>22 Nov 1939</w:t>
            </w:r>
          </w:p>
        </w:tc>
        <w:tc>
          <w:tcPr>
            <w:tcW w:w="2552" w:type="dxa"/>
          </w:tcPr>
          <w:p>
            <w:pPr>
              <w:pStyle w:val="nTable"/>
              <w:spacing w:after="40"/>
            </w:pPr>
            <w:r>
              <w:t>22 Nov 1939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1944 </w:t>
            </w:r>
            <w:r>
              <w:rPr>
                <w:vertAlign w:val="superscript"/>
              </w:rPr>
              <w:t>12</w:t>
            </w:r>
          </w:p>
        </w:tc>
        <w:tc>
          <w:tcPr>
            <w:tcW w:w="1136" w:type="dxa"/>
          </w:tcPr>
          <w:p>
            <w:pPr>
              <w:pStyle w:val="nTable"/>
              <w:spacing w:after="40"/>
            </w:pPr>
            <w:r>
              <w:t>28 of 1944 (8 and 9 Geo. VI No. 28) (as amended by No. 17 of 1950 s. 75)</w:t>
            </w:r>
          </w:p>
        </w:tc>
        <w:tc>
          <w:tcPr>
            <w:tcW w:w="1134" w:type="dxa"/>
          </w:tcPr>
          <w:p>
            <w:pPr>
              <w:pStyle w:val="nTable"/>
              <w:spacing w:after="40"/>
            </w:pPr>
            <w:r>
              <w:t>23 Dec 1944</w:t>
            </w:r>
          </w:p>
        </w:tc>
        <w:tc>
          <w:tcPr>
            <w:tcW w:w="2552" w:type="dxa"/>
          </w:tcPr>
          <w:p>
            <w:pPr>
              <w:pStyle w:val="nTable"/>
              <w:spacing w:after="40"/>
            </w:pPr>
            <w:r>
              <w:t>23 Dec 1944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1946 </w:t>
            </w:r>
            <w:r>
              <w:rPr>
                <w:vertAlign w:val="superscript"/>
              </w:rPr>
              <w:t>14</w:t>
            </w:r>
          </w:p>
        </w:tc>
        <w:tc>
          <w:tcPr>
            <w:tcW w:w="1136" w:type="dxa"/>
          </w:tcPr>
          <w:p>
            <w:pPr>
              <w:pStyle w:val="nTable"/>
              <w:spacing w:after="40"/>
            </w:pPr>
            <w:r>
              <w:t xml:space="preserve">6 of 1946 (10 Geo. VI No. 6) </w:t>
            </w:r>
          </w:p>
        </w:tc>
        <w:tc>
          <w:tcPr>
            <w:tcW w:w="1134" w:type="dxa"/>
          </w:tcPr>
          <w:p>
            <w:pPr>
              <w:pStyle w:val="nTable"/>
              <w:spacing w:after="40"/>
            </w:pPr>
            <w:r>
              <w:t>13 Nov 1946</w:t>
            </w:r>
          </w:p>
        </w:tc>
        <w:tc>
          <w:tcPr>
            <w:tcW w:w="2552" w:type="dxa"/>
          </w:tcPr>
          <w:p>
            <w:pPr>
              <w:pStyle w:val="nTable"/>
              <w:spacing w:after="40"/>
            </w:pPr>
            <w:r>
              <w:t>13 Nov 1946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lastRenderedPageBreak/>
              <w:t>Transfer of Land Act Amendment Act 1946 (No. 2)</w:t>
            </w:r>
          </w:p>
        </w:tc>
        <w:tc>
          <w:tcPr>
            <w:tcW w:w="1136" w:type="dxa"/>
          </w:tcPr>
          <w:p>
            <w:pPr>
              <w:pStyle w:val="nTable"/>
              <w:spacing w:after="40"/>
            </w:pPr>
            <w:r>
              <w:t>21 of 1946 (10 and 11 Geo. VI No. 21)</w:t>
            </w:r>
          </w:p>
        </w:tc>
        <w:tc>
          <w:tcPr>
            <w:tcW w:w="1134" w:type="dxa"/>
          </w:tcPr>
          <w:p>
            <w:pPr>
              <w:pStyle w:val="nTable"/>
              <w:spacing w:after="40"/>
            </w:pPr>
            <w:r>
              <w:t>14 Jan 1947</w:t>
            </w:r>
          </w:p>
        </w:tc>
        <w:tc>
          <w:tcPr>
            <w:tcW w:w="2552" w:type="dxa"/>
          </w:tcPr>
          <w:p>
            <w:pPr>
              <w:pStyle w:val="nTable"/>
              <w:spacing w:after="40"/>
            </w:pPr>
            <w:r>
              <w:t>14 Jan 1947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vertAlign w:val="superscript"/>
              </w:rPr>
            </w:pPr>
            <w:r>
              <w:rPr>
                <w:i/>
              </w:rPr>
              <w:t>Transfer of Land Act Amendment Act 1950 </w:t>
            </w:r>
            <w:r>
              <w:rPr>
                <w:vertAlign w:val="superscript"/>
              </w:rPr>
              <w:t>15</w:t>
            </w:r>
          </w:p>
        </w:tc>
        <w:tc>
          <w:tcPr>
            <w:tcW w:w="1136" w:type="dxa"/>
          </w:tcPr>
          <w:p>
            <w:pPr>
              <w:pStyle w:val="nTable"/>
              <w:spacing w:after="40"/>
            </w:pPr>
            <w:r>
              <w:t>17 of 1950 (14 Geo. VI No. 17)</w:t>
            </w:r>
          </w:p>
        </w:tc>
        <w:tc>
          <w:tcPr>
            <w:tcW w:w="1134" w:type="dxa"/>
          </w:tcPr>
          <w:p>
            <w:pPr>
              <w:pStyle w:val="nTable"/>
              <w:spacing w:after="40"/>
            </w:pPr>
            <w:r>
              <w:t>29 Nov 1950</w:t>
            </w:r>
          </w:p>
        </w:tc>
        <w:tc>
          <w:tcPr>
            <w:tcW w:w="2552" w:type="dxa"/>
          </w:tcPr>
          <w:p>
            <w:pPr>
              <w:pStyle w:val="nTable"/>
              <w:spacing w:after="40"/>
            </w:pPr>
            <w:r>
              <w:t xml:space="preserve">16 Mar 1951 (see s. 2 and </w:t>
            </w:r>
            <w:r>
              <w:rPr>
                <w:i/>
              </w:rPr>
              <w:t>Gazette</w:t>
            </w:r>
            <w:r>
              <w:t xml:space="preserve"> 16 Mar 1951 p. 567)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Limitation Act 1935</w:t>
            </w:r>
            <w:r>
              <w:t xml:space="preserve"> s. 48A(1)</w:t>
            </w:r>
          </w:p>
        </w:tc>
        <w:tc>
          <w:tcPr>
            <w:tcW w:w="1136" w:type="dxa"/>
          </w:tcPr>
          <w:p>
            <w:pPr>
              <w:pStyle w:val="nTable"/>
              <w:spacing w:after="40"/>
            </w:pPr>
            <w:r>
              <w:t xml:space="preserve">35 of 1935 (26 Geo. V No. 35) </w:t>
            </w:r>
            <w:r>
              <w:br/>
              <w:t>(as amended by No. 73 of 1954 s. 8)</w:t>
            </w:r>
          </w:p>
        </w:tc>
        <w:tc>
          <w:tcPr>
            <w:tcW w:w="1134" w:type="dxa"/>
          </w:tcPr>
          <w:p>
            <w:pPr>
              <w:pStyle w:val="nTable"/>
              <w:keepNext/>
              <w:spacing w:after="40"/>
            </w:pPr>
            <w:r>
              <w:t>14 Jan 1955</w:t>
            </w:r>
          </w:p>
        </w:tc>
        <w:tc>
          <w:tcPr>
            <w:tcW w:w="2552" w:type="dxa"/>
          </w:tcPr>
          <w:p>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1959</w:t>
            </w:r>
          </w:p>
        </w:tc>
        <w:tc>
          <w:tcPr>
            <w:tcW w:w="1136" w:type="dxa"/>
          </w:tcPr>
          <w:p>
            <w:pPr>
              <w:pStyle w:val="nTable"/>
              <w:spacing w:after="40"/>
            </w:pPr>
            <w:r>
              <w:t>9 of 1959 (8 Eliz. II No. 9)</w:t>
            </w:r>
          </w:p>
        </w:tc>
        <w:tc>
          <w:tcPr>
            <w:tcW w:w="1134" w:type="dxa"/>
          </w:tcPr>
          <w:p>
            <w:pPr>
              <w:pStyle w:val="nTable"/>
              <w:spacing w:after="40"/>
            </w:pPr>
            <w:r>
              <w:t>25 Sep 1959</w:t>
            </w:r>
          </w:p>
        </w:tc>
        <w:tc>
          <w:tcPr>
            <w:tcW w:w="2552" w:type="dxa"/>
          </w:tcPr>
          <w:p>
            <w:pPr>
              <w:pStyle w:val="nTable"/>
              <w:spacing w:after="40"/>
            </w:pPr>
            <w:r>
              <w:t>25 Sep 1959</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Decimal Currency Act 1965</w:t>
            </w:r>
          </w:p>
        </w:tc>
        <w:tc>
          <w:tcPr>
            <w:tcW w:w="1136"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1969</w:t>
            </w:r>
          </w:p>
        </w:tc>
        <w:tc>
          <w:tcPr>
            <w:tcW w:w="1136" w:type="dxa"/>
          </w:tcPr>
          <w:p>
            <w:pPr>
              <w:pStyle w:val="nTable"/>
              <w:spacing w:after="40"/>
            </w:pPr>
            <w:r>
              <w:t>28 of 1969</w:t>
            </w:r>
          </w:p>
        </w:tc>
        <w:tc>
          <w:tcPr>
            <w:tcW w:w="1134" w:type="dxa"/>
          </w:tcPr>
          <w:p>
            <w:pPr>
              <w:pStyle w:val="nTable"/>
              <w:spacing w:after="40"/>
            </w:pPr>
            <w:r>
              <w:t>16 May 1969</w:t>
            </w:r>
          </w:p>
        </w:tc>
        <w:tc>
          <w:tcPr>
            <w:tcW w:w="2552" w:type="dxa"/>
          </w:tcPr>
          <w:p>
            <w:pPr>
              <w:pStyle w:val="nTable"/>
              <w:spacing w:after="40"/>
            </w:pPr>
            <w:r>
              <w:t>16 May 1969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(No. 3) 1969</w:t>
            </w:r>
          </w:p>
        </w:tc>
        <w:tc>
          <w:tcPr>
            <w:tcW w:w="1136" w:type="dxa"/>
          </w:tcPr>
          <w:p>
            <w:pPr>
              <w:pStyle w:val="nTable"/>
              <w:spacing w:after="40"/>
            </w:pPr>
            <w:r>
              <w:t>88 of 1969</w:t>
            </w:r>
          </w:p>
        </w:tc>
        <w:tc>
          <w:tcPr>
            <w:tcW w:w="1134" w:type="dxa"/>
          </w:tcPr>
          <w:p>
            <w:pPr>
              <w:pStyle w:val="nTable"/>
              <w:spacing w:after="40"/>
            </w:pPr>
            <w:r>
              <w:t>17 Nov 1969</w:t>
            </w:r>
          </w:p>
        </w:tc>
        <w:tc>
          <w:tcPr>
            <w:tcW w:w="2552" w:type="dxa"/>
          </w:tcPr>
          <w:p>
            <w:pPr>
              <w:pStyle w:val="nTable"/>
              <w:spacing w:after="40"/>
            </w:pPr>
            <w:r>
              <w:t>17 Nov 1969</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24 Feb 1970 p. 516</w:t>
            </w:r>
            <w:r>
              <w:noBreakHyphen/>
              <w:t>45</w:t>
            </w:r>
          </w:p>
        </w:tc>
        <w:tc>
          <w:tcPr>
            <w:tcW w:w="2552" w:type="dxa"/>
          </w:tcPr>
          <w:p>
            <w:pPr>
              <w:pStyle w:val="nTable"/>
              <w:spacing w:after="40"/>
            </w:pPr>
            <w:r>
              <w:t>24 Feb 1970</w:t>
            </w:r>
          </w:p>
        </w:tc>
      </w:tr>
      <w:tr>
        <w:tblPrEx>
          <w:tblBorders>
            <w:top w:val="none" w:sz="0" w:space="0" w:color="auto"/>
            <w:bottom w:val="none" w:sz="0" w:space="0" w:color="auto"/>
            <w:insideH w:val="none" w:sz="0" w:space="0" w:color="auto"/>
          </w:tblBorders>
        </w:tblPrEx>
        <w:trPr>
          <w:cantSplit/>
        </w:trPr>
        <w:tc>
          <w:tcPr>
            <w:tcW w:w="4539" w:type="dxa"/>
            <w:gridSpan w:val="3"/>
          </w:tcPr>
          <w:p>
            <w:pPr>
              <w:pStyle w:val="nTable"/>
              <w:spacing w:after="40"/>
            </w:pPr>
            <w:r>
              <w:t xml:space="preserve">Untitled regulations published in </w:t>
            </w:r>
            <w:r>
              <w:rPr>
                <w:i/>
              </w:rPr>
              <w:t xml:space="preserve">Gazette </w:t>
            </w:r>
            <w:r>
              <w:t>8 Feb 1972 p. 244</w:t>
            </w:r>
          </w:p>
        </w:tc>
        <w:tc>
          <w:tcPr>
            <w:tcW w:w="2552"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Act Amendment Act 1972</w:t>
            </w:r>
          </w:p>
        </w:tc>
        <w:tc>
          <w:tcPr>
            <w:tcW w:w="1136" w:type="dxa"/>
          </w:tcPr>
          <w:p>
            <w:pPr>
              <w:pStyle w:val="nTable"/>
              <w:spacing w:after="40"/>
            </w:pPr>
            <w:r>
              <w:t>14 of 1972</w:t>
            </w:r>
          </w:p>
        </w:tc>
        <w:tc>
          <w:tcPr>
            <w:tcW w:w="1134" w:type="dxa"/>
          </w:tcPr>
          <w:p>
            <w:pPr>
              <w:pStyle w:val="nTable"/>
              <w:spacing w:after="40"/>
            </w:pPr>
            <w:r>
              <w:t>25 May 1972</w:t>
            </w:r>
          </w:p>
        </w:tc>
        <w:tc>
          <w:tcPr>
            <w:tcW w:w="2552" w:type="dxa"/>
          </w:tcPr>
          <w:p>
            <w:pPr>
              <w:pStyle w:val="nTable"/>
              <w:spacing w:after="40"/>
            </w:pPr>
            <w:r>
              <w:t>25 May 1972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Metric Conversion Act 1972</w:t>
            </w:r>
          </w:p>
        </w:tc>
        <w:tc>
          <w:tcPr>
            <w:tcW w:w="1136" w:type="dxa"/>
          </w:tcPr>
          <w:p>
            <w:pPr>
              <w:pStyle w:val="nTable"/>
              <w:spacing w:after="40"/>
            </w:pPr>
            <w:r>
              <w:t>94 of 1972</w:t>
            </w:r>
          </w:p>
        </w:tc>
        <w:tc>
          <w:tcPr>
            <w:tcW w:w="1134" w:type="dxa"/>
          </w:tcPr>
          <w:p>
            <w:pPr>
              <w:pStyle w:val="nTable"/>
              <w:spacing w:after="40"/>
            </w:pPr>
            <w:r>
              <w:t>4 Dec 1972</w:t>
            </w:r>
          </w:p>
        </w:tc>
        <w:tc>
          <w:tcPr>
            <w:tcW w:w="2552" w:type="dxa"/>
          </w:tcPr>
          <w:p>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lastRenderedPageBreak/>
              <w:t xml:space="preserve">Reprint of </w:t>
            </w:r>
            <w:r>
              <w:rPr>
                <w:b/>
                <w:i/>
              </w:rPr>
              <w:t>The Transfer of Land Act 1893</w:t>
            </w:r>
            <w:r>
              <w:rPr>
                <w:b/>
              </w:rPr>
              <w:t xml:space="preserve"> approved 7 Jul 1975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Valuers) Act 1978 </w:t>
            </w:r>
            <w:r>
              <w:t>Pt. I and II</w:t>
            </w:r>
          </w:p>
        </w:tc>
        <w:tc>
          <w:tcPr>
            <w:tcW w:w="1136" w:type="dxa"/>
          </w:tcPr>
          <w:p>
            <w:pPr>
              <w:pStyle w:val="nTable"/>
              <w:spacing w:after="40"/>
            </w:pPr>
            <w:r>
              <w:t>56 of 1978</w:t>
            </w:r>
          </w:p>
        </w:tc>
        <w:tc>
          <w:tcPr>
            <w:tcW w:w="1134" w:type="dxa"/>
          </w:tcPr>
          <w:p>
            <w:pPr>
              <w:pStyle w:val="nTable"/>
              <w:spacing w:after="40"/>
            </w:pPr>
            <w:r>
              <w:t>6 Sep 1978</w:t>
            </w:r>
          </w:p>
        </w:tc>
        <w:tc>
          <w:tcPr>
            <w:tcW w:w="2552" w:type="dxa"/>
          </w:tcPr>
          <w:p>
            <w:pPr>
              <w:pStyle w:val="nTable"/>
              <w:spacing w:after="40"/>
            </w:pPr>
            <w:r>
              <w:t xml:space="preserve">1 Jul 1979 (see s. 2 and </w:t>
            </w:r>
            <w:r>
              <w:rPr>
                <w:i/>
              </w:rPr>
              <w:t>Gazette</w:t>
            </w:r>
            <w:r>
              <w:t xml:space="preserve"> 22 Jun 1979 p. 1677)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Companies (Consequential Amendments) Act 1982 </w:t>
            </w:r>
            <w:r>
              <w:t>s. 28</w:t>
            </w:r>
          </w:p>
        </w:tc>
        <w:tc>
          <w:tcPr>
            <w:tcW w:w="1136"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(Land Administration) Act 1987 </w:t>
            </w:r>
            <w:r>
              <w:t>Pt. VII</w:t>
            </w:r>
          </w:p>
        </w:tc>
        <w:tc>
          <w:tcPr>
            <w:tcW w:w="1136"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Reserves and Land Revestment Act 1991 </w:t>
            </w:r>
            <w:r>
              <w:t>s. 22</w:t>
            </w:r>
          </w:p>
        </w:tc>
        <w:tc>
          <w:tcPr>
            <w:tcW w:w="1136" w:type="dxa"/>
          </w:tcPr>
          <w:p>
            <w:pPr>
              <w:pStyle w:val="nTable"/>
              <w:spacing w:after="40"/>
            </w:pPr>
            <w:r>
              <w:t>57 of 1991</w:t>
            </w:r>
          </w:p>
        </w:tc>
        <w:tc>
          <w:tcPr>
            <w:tcW w:w="1134" w:type="dxa"/>
          </w:tcPr>
          <w:p>
            <w:pPr>
              <w:pStyle w:val="nTable"/>
              <w:spacing w:after="40"/>
            </w:pPr>
            <w:r>
              <w:t>17 Dec 1991</w:t>
            </w:r>
          </w:p>
        </w:tc>
        <w:tc>
          <w:tcPr>
            <w:tcW w:w="2552" w:type="dxa"/>
          </w:tcPr>
          <w:p>
            <w:pPr>
              <w:pStyle w:val="nTable"/>
              <w:spacing w:after="40"/>
            </w:pPr>
            <w:r>
              <w:t>17 Dec 1991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Financial Administration Legislation Amendment Act 1993 </w:t>
            </w:r>
            <w:r>
              <w:t>s. 11 and 12</w:t>
            </w:r>
          </w:p>
        </w:tc>
        <w:tc>
          <w:tcPr>
            <w:tcW w:w="1136"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18</w:t>
            </w:r>
          </w:p>
        </w:tc>
        <w:tc>
          <w:tcPr>
            <w:tcW w:w="1136"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t>s. 4</w:t>
            </w:r>
          </w:p>
        </w:tc>
        <w:tc>
          <w:tcPr>
            <w:tcW w:w="1136"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Transfer of Land Amendment Act 1996 </w:t>
            </w:r>
            <w:r>
              <w:rPr>
                <w:vertAlign w:val="superscript"/>
              </w:rPr>
              <w:t>3, 7, 18</w:t>
            </w:r>
          </w:p>
        </w:tc>
        <w:tc>
          <w:tcPr>
            <w:tcW w:w="1136"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Acts Amendment (Land Administration) Act 1997 </w:t>
            </w:r>
            <w:r>
              <w:t>Pt. 60</w:t>
            </w:r>
            <w:r>
              <w:rPr>
                <w:vertAlign w:val="superscript"/>
              </w:rPr>
              <w:t> 4, 5, 9</w:t>
            </w:r>
          </w:p>
        </w:tc>
        <w:tc>
          <w:tcPr>
            <w:tcW w:w="1136"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lastRenderedPageBreak/>
              <w:t xml:space="preserve">Statutes (Repeals and Minor Amendments) Act (No. 2) 1998 </w:t>
            </w:r>
            <w:r>
              <w:t>s. 69</w:t>
            </w:r>
          </w:p>
        </w:tc>
        <w:tc>
          <w:tcPr>
            <w:tcW w:w="1136"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Transfer of Land Amendment Act 1999</w:t>
            </w:r>
          </w:p>
        </w:tc>
        <w:tc>
          <w:tcPr>
            <w:tcW w:w="1136" w:type="dxa"/>
          </w:tcPr>
          <w:p>
            <w:pPr>
              <w:pStyle w:val="nTable"/>
              <w:spacing w:after="40"/>
            </w:pPr>
            <w:r>
              <w:t>3 of 1999</w:t>
            </w:r>
          </w:p>
        </w:tc>
        <w:tc>
          <w:tcPr>
            <w:tcW w:w="1134" w:type="dxa"/>
          </w:tcPr>
          <w:p>
            <w:pPr>
              <w:pStyle w:val="nTable"/>
              <w:spacing w:after="40"/>
            </w:pPr>
            <w:r>
              <w:t>25 Mar 1999</w:t>
            </w:r>
          </w:p>
        </w:tc>
        <w:tc>
          <w:tcPr>
            <w:tcW w:w="2552" w:type="dxa"/>
          </w:tcPr>
          <w:p>
            <w:pPr>
              <w:pStyle w:val="nTable"/>
              <w:spacing w:after="40"/>
            </w:pPr>
            <w:r>
              <w:t>s. 1 and 2: 25 Mar 1999;</w:t>
            </w:r>
            <w:r>
              <w:br/>
              <w:t xml:space="preserve">Act other than s. 1 and 2: 1 Jun 1999 (see s. 2 and </w:t>
            </w:r>
            <w:r>
              <w:rPr>
                <w:i/>
              </w:rPr>
              <w:t>Gazette</w:t>
            </w:r>
            <w:r>
              <w:t xml:space="preserve"> 11 May 1999 p. 1905)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and Repeal (Financial Sector Reform) Act 1999 </w:t>
            </w:r>
            <w:r>
              <w:t>s. 106</w:t>
            </w:r>
          </w:p>
        </w:tc>
        <w:tc>
          <w:tcPr>
            <w:tcW w:w="1136"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2000 </w:t>
            </w:r>
            <w:r>
              <w:t>s. 42</w:t>
            </w:r>
          </w:p>
        </w:tc>
        <w:tc>
          <w:tcPr>
            <w:tcW w:w="1136"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Forest Products Act 2000 </w:t>
            </w:r>
            <w:r>
              <w:t>s. 72</w:t>
            </w:r>
          </w:p>
        </w:tc>
        <w:tc>
          <w:tcPr>
            <w:tcW w:w="1136"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Land Administration Amendment Act 2000 </w:t>
            </w:r>
            <w:r>
              <w:t>s. 51</w:t>
            </w:r>
          </w:p>
        </w:tc>
        <w:tc>
          <w:tcPr>
            <w:tcW w:w="1136" w:type="dxa"/>
          </w:tcPr>
          <w:p>
            <w:pPr>
              <w:pStyle w:val="nTable"/>
              <w:spacing w:after="40"/>
            </w:pPr>
            <w:r>
              <w:t>59 of 2000</w:t>
            </w:r>
          </w:p>
        </w:tc>
        <w:tc>
          <w:tcPr>
            <w:tcW w:w="1134" w:type="dxa"/>
          </w:tcPr>
          <w:p>
            <w:pPr>
              <w:pStyle w:val="nTable"/>
              <w:spacing w:after="40"/>
            </w:pPr>
            <w:r>
              <w:t>7 Dec 2000</w:t>
            </w:r>
          </w:p>
        </w:tc>
        <w:tc>
          <w:tcPr>
            <w:tcW w:w="2552" w:type="dxa"/>
          </w:tcPr>
          <w:p>
            <w:pPr>
              <w:pStyle w:val="nTable"/>
              <w:spacing w:after="40"/>
            </w:pPr>
            <w:r>
              <w:t xml:space="preserve">10 Apr 2001 (see s. 2(2) and </w:t>
            </w:r>
            <w:r>
              <w:rPr>
                <w:i/>
              </w:rPr>
              <w:t xml:space="preserve">Gazette </w:t>
            </w:r>
            <w:r>
              <w:t>10 Apr 2001 p. 2073)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Corporations (Consequential Amendments) Act 2001</w:t>
            </w:r>
            <w:r>
              <w:t xml:space="preserve"> s. 220</w:t>
            </w:r>
          </w:p>
        </w:tc>
        <w:tc>
          <w:tcPr>
            <w:tcW w:w="1136"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 xml:space="preserve">Taxation Administration (Consequential Provisions) Act 2002 </w:t>
            </w:r>
            <w:r>
              <w:t>s. 25</w:t>
            </w:r>
          </w:p>
        </w:tc>
        <w:tc>
          <w:tcPr>
            <w:tcW w:w="1136"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pPr>
              <w:pStyle w:val="nTable"/>
              <w:spacing w:after="40"/>
            </w:pPr>
            <w:r>
              <w:t>6 of 2003</w:t>
            </w:r>
          </w:p>
        </w:tc>
        <w:tc>
          <w:tcPr>
            <w:tcW w:w="1134" w:type="dxa"/>
          </w:tcPr>
          <w:p>
            <w:pPr>
              <w:pStyle w:val="nTable"/>
              <w:spacing w:after="40"/>
            </w:pPr>
            <w:r>
              <w:t>25 Mar 2003</w:t>
            </w:r>
          </w:p>
        </w:tc>
        <w:tc>
          <w:tcPr>
            <w:tcW w:w="2552" w:type="dxa"/>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(Equality of Status) Act 2003</w:t>
            </w:r>
            <w:r>
              <w:t xml:space="preserve"> s. 129</w:t>
            </w:r>
          </w:p>
        </w:tc>
        <w:tc>
          <w:tcPr>
            <w:tcW w:w="1136"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lastRenderedPageBreak/>
              <w:t>Acts Amendment (Carbon Rights and Tree Plantation Agreements) Act 2003</w:t>
            </w:r>
            <w:r>
              <w:t xml:space="preserve"> Pt. 5</w:t>
            </w:r>
          </w:p>
        </w:tc>
        <w:tc>
          <w:tcPr>
            <w:tcW w:w="1136" w:type="dxa"/>
          </w:tcPr>
          <w:p>
            <w:pPr>
              <w:pStyle w:val="nTable"/>
              <w:spacing w:after="40"/>
            </w:pPr>
            <w:r>
              <w:t>56 of 2003</w:t>
            </w:r>
          </w:p>
        </w:tc>
        <w:tc>
          <w:tcPr>
            <w:tcW w:w="1134" w:type="dxa"/>
          </w:tcPr>
          <w:p>
            <w:pPr>
              <w:pStyle w:val="nTable"/>
              <w:spacing w:after="40"/>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c>
          <w:tcPr>
            <w:tcW w:w="2269" w:type="dxa"/>
          </w:tcPr>
          <w:p>
            <w:pPr>
              <w:pStyle w:val="nTable"/>
              <w:spacing w:after="40"/>
              <w:ind w:right="57"/>
            </w:pPr>
            <w:r>
              <w:rPr>
                <w:i/>
                <w:noProof/>
                <w:snapToGrid w:val="0"/>
              </w:rPr>
              <w:t>Contaminated Sites Act 2003</w:t>
            </w:r>
            <w:r>
              <w:rPr>
                <w:noProof/>
                <w:snapToGrid w:val="0"/>
              </w:rPr>
              <w:t xml:space="preserve"> s. 100</w:t>
            </w:r>
          </w:p>
        </w:tc>
        <w:tc>
          <w:tcPr>
            <w:tcW w:w="1136" w:type="dxa"/>
          </w:tcPr>
          <w:p>
            <w:pPr>
              <w:pStyle w:val="nTable"/>
              <w:spacing w:after="40"/>
            </w:pPr>
            <w:r>
              <w:t>60 of 2003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Acts Amendment and Repeal (Courts and Legal Practice) Act 2003</w:t>
            </w:r>
            <w:r>
              <w:t xml:space="preserve"> s. 120</w:t>
            </w:r>
          </w:p>
        </w:tc>
        <w:tc>
          <w:tcPr>
            <w:tcW w:w="1136"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Statutes (Repeals and Minor Amendments) Act 2003</w:t>
            </w:r>
            <w:r>
              <w:t xml:space="preserve"> s. 120</w:t>
            </w:r>
          </w:p>
        </w:tc>
        <w:tc>
          <w:tcPr>
            <w:tcW w:w="1136"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c>
          <w:tcPr>
            <w:tcW w:w="2269" w:type="dxa"/>
          </w:tcPr>
          <w:p>
            <w:pPr>
              <w:pStyle w:val="nTable"/>
              <w:spacing w:after="40"/>
              <w:rPr>
                <w:i/>
              </w:rPr>
            </w:pPr>
            <w:r>
              <w:rPr>
                <w:i/>
              </w:rPr>
              <w:t xml:space="preserve">Courts Legislation Amendment and Repeal Act 2004 </w:t>
            </w:r>
            <w:r>
              <w:t>Pt. 20 Div. 2</w:t>
            </w:r>
          </w:p>
        </w:tc>
        <w:tc>
          <w:tcPr>
            <w:tcW w:w="1136"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c>
          <w:tcPr>
            <w:tcW w:w="2269"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t xml:space="preserve"> s. 63</w:t>
            </w:r>
          </w:p>
        </w:tc>
        <w:tc>
          <w:tcPr>
            <w:tcW w:w="1136"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6"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2"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lastRenderedPageBreak/>
              <w:t>Petroleum Amendment Act 2007</w:t>
            </w:r>
            <w:r>
              <w:rPr>
                <w:iCs/>
                <w:snapToGrid w:val="0"/>
              </w:rPr>
              <w:t xml:space="preserve"> s. 106</w:t>
            </w:r>
          </w:p>
        </w:tc>
        <w:tc>
          <w:tcPr>
            <w:tcW w:w="1136"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Acts Amendment (Justice) Act 2008</w:t>
            </w:r>
            <w:r>
              <w:rPr>
                <w:iCs/>
              </w:rPr>
              <w:t xml:space="preserve"> Pt. 24</w:t>
            </w:r>
          </w:p>
        </w:tc>
        <w:tc>
          <w:tcPr>
            <w:tcW w:w="1136" w:type="dxa"/>
          </w:tcPr>
          <w:p>
            <w:pPr>
              <w:pStyle w:val="nTable"/>
              <w:keepNext/>
              <w:spacing w:after="40"/>
            </w:pPr>
            <w:r>
              <w:t>5 of 2008</w:t>
            </w:r>
          </w:p>
        </w:tc>
        <w:tc>
          <w:tcPr>
            <w:tcW w:w="1134" w:type="dxa"/>
          </w:tcPr>
          <w:p>
            <w:pPr>
              <w:pStyle w:val="nTable"/>
              <w:spacing w:after="40"/>
            </w:pPr>
            <w:r>
              <w:t>31 Mar 2008</w:t>
            </w:r>
          </w:p>
        </w:tc>
        <w:tc>
          <w:tcPr>
            <w:tcW w:w="2552"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vertAlign w:val="superscript"/>
              </w:rPr>
            </w:pPr>
            <w:r>
              <w:rPr>
                <w:i/>
              </w:rPr>
              <w:t>Duties Legislation Amendment Act 2008</w:t>
            </w:r>
            <w:r>
              <w:rPr>
                <w:iCs/>
              </w:rPr>
              <w:t xml:space="preserve"> Sch. 1 cl. 38</w:t>
            </w:r>
          </w:p>
        </w:tc>
        <w:tc>
          <w:tcPr>
            <w:tcW w:w="113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pPr>
              <w:pStyle w:val="nTable"/>
              <w:spacing w:after="40"/>
            </w:pPr>
            <w:r>
              <w:t>21 of 2008</w:t>
            </w:r>
          </w:p>
        </w:tc>
        <w:tc>
          <w:tcPr>
            <w:tcW w:w="1134" w:type="dxa"/>
          </w:tcPr>
          <w:p>
            <w:pPr>
              <w:pStyle w:val="nTable"/>
              <w:spacing w:after="40"/>
            </w:pPr>
            <w:r>
              <w:t>27 May 2008</w:t>
            </w:r>
          </w:p>
        </w:tc>
        <w:tc>
          <w:tcPr>
            <w:tcW w:w="2552"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10</w:t>
            </w:r>
          </w:p>
        </w:tc>
        <w:tc>
          <w:tcPr>
            <w:tcW w:w="113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c>
          <w:tcPr>
            <w:tcW w:w="2269" w:type="dxa"/>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91" w:type="dxa"/>
            <w:gridSpan w:val="4"/>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pPr>
            <w:r>
              <w:t>24 Mar 2014</w:t>
            </w:r>
          </w:p>
        </w:tc>
        <w:tc>
          <w:tcPr>
            <w:tcW w:w="2552" w:type="dxa"/>
            <w:shd w:val="clear" w:color="auto" w:fill="auto"/>
          </w:tcPr>
          <w:p>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rPr>
              <w:t>Land Legislation Amendment Act 2015</w:t>
            </w:r>
            <w:r>
              <w:t xml:space="preserve"> Pt. 5</w:t>
            </w:r>
          </w:p>
        </w:tc>
        <w:tc>
          <w:tcPr>
            <w:tcW w:w="1136" w:type="dxa"/>
            <w:shd w:val="clear" w:color="auto" w:fill="auto"/>
          </w:tcPr>
          <w:p>
            <w:pPr>
              <w:pStyle w:val="nTable"/>
              <w:spacing w:after="40"/>
              <w:rPr>
                <w:snapToGrid w:val="0"/>
              </w:rPr>
            </w:pPr>
            <w:r>
              <w:t>11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rPr>
                <w:snapToGrid w:val="0"/>
              </w:rPr>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rPr>
            </w:pPr>
            <w:r>
              <w:rPr>
                <w:i/>
              </w:rPr>
              <w:t>Land Legislation Amendment (Taxing) Act 2015</w:t>
            </w:r>
            <w:r>
              <w:t xml:space="preserve"> Pt. 4</w:t>
            </w:r>
          </w:p>
        </w:tc>
        <w:tc>
          <w:tcPr>
            <w:tcW w:w="1136" w:type="dxa"/>
            <w:shd w:val="clear" w:color="auto" w:fill="auto"/>
          </w:tcPr>
          <w:p>
            <w:pPr>
              <w:pStyle w:val="nTable"/>
              <w:spacing w:after="40"/>
            </w:pPr>
            <w:r>
              <w:t>12 of 2015</w:t>
            </w:r>
          </w:p>
        </w:tc>
        <w:tc>
          <w:tcPr>
            <w:tcW w:w="1134" w:type="dxa"/>
            <w:shd w:val="clear" w:color="auto" w:fill="auto"/>
          </w:tcPr>
          <w:p>
            <w:pPr>
              <w:pStyle w:val="nTable"/>
              <w:spacing w:after="40"/>
            </w:pPr>
            <w:r>
              <w:t>29 Apr 2015</w:t>
            </w:r>
          </w:p>
        </w:tc>
        <w:tc>
          <w:tcPr>
            <w:tcW w:w="2552" w:type="dxa"/>
            <w:shd w:val="clear" w:color="auto" w:fill="auto"/>
          </w:tcPr>
          <w:p>
            <w:pPr>
              <w:pStyle w:val="nTable"/>
              <w:spacing w:after="40"/>
            </w:pPr>
            <w:r>
              <w:t xml:space="preserve">30 Jun 2015 (see s. 2(b) and </w:t>
            </w:r>
            <w:r>
              <w:rPr>
                <w:i/>
              </w:rPr>
              <w:t>Gazette</w:t>
            </w:r>
            <w:r>
              <w:t xml:space="preserve"> 2 Jun 2015 p. 1937)</w:t>
            </w:r>
          </w:p>
        </w:tc>
      </w:tr>
      <w:tr>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tc>
          <w:tcPr>
            <w:tcW w:w="2269" w:type="dxa"/>
            <w:tcBorders>
              <w:top w:val="nil"/>
              <w:bottom w:val="nil"/>
            </w:tcBorders>
          </w:tcPr>
          <w:p>
            <w:pPr>
              <w:pStyle w:val="nTable"/>
              <w:spacing w:after="40"/>
            </w:pPr>
            <w:r>
              <w:rPr>
                <w:i/>
              </w:rPr>
              <w:t>Strata Titles Amendment Act 2018</w:t>
            </w:r>
            <w:r>
              <w:t xml:space="preserve"> Pt. 3 Div. 23</w:t>
            </w:r>
          </w:p>
        </w:tc>
        <w:tc>
          <w:tcPr>
            <w:tcW w:w="1136"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2269" w:type="dxa"/>
            <w:tcBorders>
              <w:top w:val="nil"/>
              <w:bottom w:val="nil"/>
            </w:tcBorders>
          </w:tcPr>
          <w:p>
            <w:pPr>
              <w:pStyle w:val="nTable"/>
              <w:spacing w:after="40"/>
              <w:rPr>
                <w:i/>
              </w:rPr>
            </w:pPr>
            <w:r>
              <w:rPr>
                <w:i/>
              </w:rPr>
              <w:t>Community Titles Act 2018</w:t>
            </w:r>
            <w:r>
              <w:t xml:space="preserve"> Pt. 14 Div. 23 (other than s. 253) </w:t>
            </w:r>
          </w:p>
        </w:tc>
        <w:tc>
          <w:tcPr>
            <w:tcW w:w="1136"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9" w:type="dxa"/>
            <w:tcBorders>
              <w:top w:val="nil"/>
              <w:bottom w:val="nil"/>
            </w:tcBorders>
          </w:tcPr>
          <w:p>
            <w:pPr>
              <w:pStyle w:val="nTable"/>
              <w:spacing w:after="40"/>
            </w:pPr>
            <w:r>
              <w:rPr>
                <w:i/>
              </w:rPr>
              <w:lastRenderedPageBreak/>
              <w:t>COVID</w:t>
            </w:r>
            <w:r>
              <w:rPr>
                <w:i/>
              </w:rPr>
              <w:noBreakHyphen/>
              <w:t>19 Response and Economic Recovery Omnibus Act 2020</w:t>
            </w:r>
            <w:r>
              <w:t xml:space="preserve"> s. 102</w:t>
            </w:r>
          </w:p>
        </w:tc>
        <w:tc>
          <w:tcPr>
            <w:tcW w:w="1136"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9" w:type="dxa"/>
            <w:tcBorders>
              <w:top w:val="nil"/>
            </w:tcBorders>
          </w:tcPr>
          <w:p>
            <w:pPr>
              <w:pStyle w:val="nTable"/>
              <w:spacing w:after="40"/>
              <w:rPr>
                <w:i/>
              </w:rPr>
            </w:pPr>
            <w:r>
              <w:rPr>
                <w:i/>
              </w:rPr>
              <w:t>Legal Profession Uniform Law Application Act 2022</w:t>
            </w:r>
            <w:r>
              <w:t xml:space="preserve"> s. 424</w:t>
            </w:r>
          </w:p>
        </w:tc>
        <w:tc>
          <w:tcPr>
            <w:tcW w:w="1136" w:type="dxa"/>
            <w:tcBorders>
              <w:top w:val="nil"/>
            </w:tcBorders>
          </w:tcPr>
          <w:p>
            <w:pPr>
              <w:pStyle w:val="nTable"/>
              <w:spacing w:after="40"/>
            </w:pPr>
            <w:r>
              <w:t>9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rPr>
                <w:snapToGrid w:val="0"/>
              </w:rPr>
            </w:pPr>
            <w:r>
              <w:rPr>
                <w:snapToGrid w:val="0"/>
              </w:rPr>
              <w:t>1 Jul 2022 (see s. 2(c) and SL 2022/113 cl. 2)</w:t>
            </w:r>
          </w:p>
        </w:tc>
      </w:tr>
    </w:tbl>
    <w:p>
      <w:pPr>
        <w:pStyle w:val="nHeading3"/>
      </w:pPr>
      <w:bookmarkStart w:id="425" w:name="_Toc141093001"/>
      <w:r>
        <w:t>Uncommenced provisions table</w:t>
      </w:r>
      <w:bookmarkEnd w:id="425"/>
    </w:p>
    <w:p>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trPr>
          <w:tblHeader/>
        </w:trPr>
        <w:tc>
          <w:tcPr>
            <w:tcW w:w="2273" w:type="dxa"/>
          </w:tcPr>
          <w:p>
            <w:pPr>
              <w:pStyle w:val="nTable"/>
              <w:keepNext/>
              <w:spacing w:after="40"/>
              <w:rPr>
                <w:b/>
              </w:rPr>
            </w:pPr>
            <w:r>
              <w:rPr>
                <w:b/>
              </w:rPr>
              <w:t>Short title</w:t>
            </w:r>
          </w:p>
        </w:tc>
        <w:tc>
          <w:tcPr>
            <w:tcW w:w="1139" w:type="dxa"/>
          </w:tcPr>
          <w:p>
            <w:pPr>
              <w:pStyle w:val="nTable"/>
              <w:keepNext/>
              <w:spacing w:after="40"/>
              <w:rPr>
                <w:b/>
              </w:rPr>
            </w:pPr>
            <w:r>
              <w:rPr>
                <w:b/>
              </w:rPr>
              <w:t>Number and year</w:t>
            </w:r>
          </w:p>
        </w:tc>
        <w:tc>
          <w:tcPr>
            <w:tcW w:w="1152"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pPr>
              <w:pStyle w:val="nTable"/>
              <w:spacing w:after="40"/>
            </w:pPr>
            <w:r>
              <w:t>6 of 2003</w:t>
            </w:r>
            <w:r>
              <w:br/>
              <w:t>(as amended by No. 60 of 2006 s. 164)</w:t>
            </w:r>
          </w:p>
        </w:tc>
        <w:tc>
          <w:tcPr>
            <w:tcW w:w="1152" w:type="dxa"/>
            <w:tcBorders>
              <w:top w:val="single" w:sz="8" w:space="0" w:color="auto"/>
            </w:tcBorders>
            <w:shd w:val="clear" w:color="auto" w:fill="auto"/>
          </w:tcPr>
          <w:p>
            <w:pPr>
              <w:pStyle w:val="nTable"/>
              <w:spacing w:after="40"/>
            </w:pPr>
            <w:r>
              <w:t>25 Mar 2003</w:t>
            </w:r>
          </w:p>
        </w:tc>
        <w:tc>
          <w:tcPr>
            <w:tcW w:w="2552" w:type="dxa"/>
            <w:tcBorders>
              <w:top w:val="single" w:sz="8" w:space="0" w:color="auto"/>
            </w:tcBorders>
            <w:shd w:val="clear" w:color="auto" w:fill="auto"/>
          </w:tcPr>
          <w:p>
            <w:pPr>
              <w:pStyle w:val="nTable"/>
              <w:spacing w:after="40"/>
            </w:pPr>
            <w:r>
              <w:t>To be proclaimed (see s. 2)</w:t>
            </w:r>
          </w:p>
        </w:tc>
      </w:tr>
      <w:tr>
        <w:tc>
          <w:tcPr>
            <w:tcW w:w="2273" w:type="dxa"/>
            <w:tcBorders>
              <w:top w:val="nil"/>
              <w:bottom w:val="nil"/>
            </w:tcBorders>
            <w:shd w:val="clear" w:color="auto" w:fill="auto"/>
          </w:tcPr>
          <w:p>
            <w:pPr>
              <w:pStyle w:val="nTable"/>
              <w:spacing w:after="40"/>
              <w:rPr>
                <w:i/>
              </w:rPr>
            </w:pPr>
            <w:r>
              <w:rPr>
                <w:i/>
              </w:rPr>
              <w:t>Community Titles Act 2018</w:t>
            </w:r>
            <w:r>
              <w:t xml:space="preserve"> s. 253</w:t>
            </w:r>
          </w:p>
        </w:tc>
        <w:tc>
          <w:tcPr>
            <w:tcW w:w="1139" w:type="dxa"/>
            <w:tcBorders>
              <w:top w:val="nil"/>
              <w:bottom w:val="nil"/>
            </w:tcBorders>
            <w:shd w:val="clear" w:color="auto" w:fill="auto"/>
          </w:tcPr>
          <w:p>
            <w:pPr>
              <w:pStyle w:val="nTable"/>
              <w:spacing w:after="40"/>
            </w:pPr>
            <w:r>
              <w:t>32 of 2018</w:t>
            </w:r>
          </w:p>
        </w:tc>
        <w:tc>
          <w:tcPr>
            <w:tcW w:w="1152"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pPr>
            <w:r>
              <w:t>To be proclaimed (see s. 2(b))</w:t>
            </w:r>
          </w:p>
        </w:tc>
      </w:tr>
      <w:tr>
        <w:tc>
          <w:tcPr>
            <w:tcW w:w="2273" w:type="dxa"/>
            <w:tcBorders>
              <w:top w:val="nil"/>
              <w:bottom w:val="nil"/>
            </w:tcBorders>
            <w:shd w:val="clear" w:color="auto" w:fill="auto"/>
          </w:tcPr>
          <w:p>
            <w:pPr>
              <w:pStyle w:val="nTable"/>
              <w:spacing w:after="40"/>
            </w:pPr>
            <w:r>
              <w:rPr>
                <w:i/>
              </w:rPr>
              <w:t>Transfer of Land Amendment Act 2022</w:t>
            </w:r>
            <w:r>
              <w:t xml:space="preserve"> Pt. 2</w:t>
            </w:r>
          </w:p>
        </w:tc>
        <w:tc>
          <w:tcPr>
            <w:tcW w:w="1139" w:type="dxa"/>
            <w:tcBorders>
              <w:top w:val="nil"/>
              <w:bottom w:val="nil"/>
            </w:tcBorders>
            <w:shd w:val="clear" w:color="auto" w:fill="auto"/>
          </w:tcPr>
          <w:p>
            <w:pPr>
              <w:pStyle w:val="nTable"/>
              <w:spacing w:after="40"/>
            </w:pPr>
            <w:r>
              <w:t>21 of 2022</w:t>
            </w:r>
          </w:p>
        </w:tc>
        <w:tc>
          <w:tcPr>
            <w:tcW w:w="1152" w:type="dxa"/>
            <w:tcBorders>
              <w:top w:val="nil"/>
              <w:bottom w:val="nil"/>
            </w:tcBorders>
            <w:shd w:val="clear" w:color="auto" w:fill="auto"/>
          </w:tcPr>
          <w:p>
            <w:pPr>
              <w:pStyle w:val="nTable"/>
              <w:spacing w:after="40"/>
            </w:pPr>
            <w:r>
              <w:t>24 Jun 2022</w:t>
            </w:r>
          </w:p>
        </w:tc>
        <w:tc>
          <w:tcPr>
            <w:tcW w:w="2552" w:type="dxa"/>
            <w:tcBorders>
              <w:top w:val="nil"/>
              <w:bottom w:val="nil"/>
            </w:tcBorders>
            <w:shd w:val="clear" w:color="auto" w:fill="auto"/>
          </w:tcPr>
          <w:p>
            <w:pPr>
              <w:pStyle w:val="nTable"/>
              <w:spacing w:after="40"/>
            </w:pPr>
            <w:r>
              <w:t>7 Aug 2023 (see s. 2(b) and SL 2023/111 cl. 2)</w:t>
            </w:r>
          </w:p>
        </w:tc>
      </w:tr>
      <w:tr>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pPr>
              <w:pStyle w:val="nTable"/>
              <w:spacing w:after="40"/>
            </w:pPr>
            <w:r>
              <w:rPr>
                <w:i/>
              </w:rPr>
              <w:t>Land and Public Works Legislation Amendment Act 2023</w:t>
            </w:r>
            <w:r>
              <w:t xml:space="preserve"> Pt. 4 Div. 12</w:t>
            </w:r>
          </w:p>
        </w:tc>
        <w:tc>
          <w:tcPr>
            <w:tcW w:w="1139" w:type="dxa"/>
            <w:tcBorders>
              <w:bottom w:val="single" w:sz="8" w:space="0" w:color="auto"/>
            </w:tcBorders>
            <w:shd w:val="clear" w:color="auto" w:fill="auto"/>
          </w:tcPr>
          <w:p>
            <w:pPr>
              <w:pStyle w:val="nTable"/>
              <w:spacing w:after="40"/>
            </w:pPr>
            <w:r>
              <w:t>4 of 2023</w:t>
            </w:r>
          </w:p>
        </w:tc>
        <w:tc>
          <w:tcPr>
            <w:tcW w:w="1152" w:type="dxa"/>
            <w:tcBorders>
              <w:bottom w:val="single" w:sz="8" w:space="0" w:color="auto"/>
            </w:tcBorders>
            <w:shd w:val="clear" w:color="auto" w:fill="auto"/>
          </w:tcPr>
          <w:p>
            <w:pPr>
              <w:pStyle w:val="nTable"/>
              <w:spacing w:after="40"/>
            </w:pPr>
            <w:r>
              <w:t>24 Mar 2023</w:t>
            </w:r>
          </w:p>
        </w:tc>
        <w:tc>
          <w:tcPr>
            <w:tcW w:w="2552" w:type="dxa"/>
            <w:tcBorders>
              <w:bottom w:val="single" w:sz="8" w:space="0" w:color="auto"/>
            </w:tcBorders>
            <w:shd w:val="clear" w:color="auto" w:fill="auto"/>
          </w:tcPr>
          <w:p>
            <w:pPr>
              <w:pStyle w:val="nTable"/>
              <w:spacing w:after="40"/>
            </w:pPr>
            <w:r>
              <w:t>To be proclaimed (see s. 2(b))</w:t>
            </w:r>
          </w:p>
        </w:tc>
      </w:tr>
    </w:tbl>
    <w:p>
      <w:pPr>
        <w:pStyle w:val="nHeading3"/>
      </w:pPr>
      <w:bookmarkStart w:id="426" w:name="_Toc141093002"/>
      <w:r>
        <w:t>Other notes</w:t>
      </w:r>
      <w:bookmarkEnd w:id="426"/>
    </w:p>
    <w:p>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Note"/>
        <w:keepNext/>
        <w:rPr>
          <w:snapToGrid w:val="0"/>
        </w:rPr>
      </w:pPr>
      <w:r>
        <w:rPr>
          <w:snapToGrid w:val="0"/>
          <w:vertAlign w:val="superscript"/>
        </w:rPr>
        <w:lastRenderedPageBreak/>
        <w:t>4</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Note"/>
        <w:keepNext/>
        <w:rPr>
          <w:snapToGrid w:val="0"/>
        </w:rPr>
      </w:pPr>
      <w:r>
        <w:rPr>
          <w:snapToGrid w:val="0"/>
          <w:vertAlign w:val="superscript"/>
        </w:rPr>
        <w:lastRenderedPageBreak/>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sz w:val="16"/>
          <w:szCs w:val="16"/>
        </w:rPr>
      </w:pPr>
    </w:p>
    <w:p>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sz w:val="20"/>
          <w:szCs w:val="2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rPr>
          <w:sz w:val="28"/>
        </w:rPr>
      </w:pPr>
      <w:bookmarkStart w:id="428" w:name="_Toc141092620"/>
      <w:bookmarkStart w:id="429" w:name="_Toc141093003"/>
      <w:r>
        <w:rPr>
          <w:sz w:val="28"/>
        </w:rPr>
        <w:lastRenderedPageBreak/>
        <w:t>Defined terms</w:t>
      </w:r>
      <w:bookmarkEnd w:id="428"/>
      <w:bookmarkEnd w:id="4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240(2)</w:t>
      </w:r>
    </w:p>
    <w:p>
      <w:pPr>
        <w:pStyle w:val="DefinedTerms"/>
      </w:pPr>
      <w:r>
        <w:t>affected land</w:t>
      </w:r>
      <w:r>
        <w:tab/>
        <w:t>104A</w:t>
      </w:r>
    </w:p>
    <w:p>
      <w:pPr>
        <w:pStyle w:val="DefinedTerms"/>
      </w:pPr>
      <w:r>
        <w:t>agreement</w:t>
      </w:r>
      <w:r>
        <w:tab/>
        <w:t>104M</w:t>
      </w:r>
    </w:p>
    <w:p>
      <w:pPr>
        <w:pStyle w:val="DefinedTerms"/>
      </w:pPr>
      <w:r>
        <w:t>agreement land</w:t>
      </w:r>
      <w:r>
        <w:tab/>
        <w:t>104M</w:t>
      </w:r>
    </w:p>
    <w:p>
      <w:pPr>
        <w:pStyle w:val="DefinedTerms"/>
      </w:pPr>
      <w:r>
        <w:t>amending Act</w:t>
      </w:r>
      <w:r>
        <w:tab/>
        <w:t>244</w:t>
      </w:r>
    </w:p>
    <w:p>
      <w:pPr>
        <w:pStyle w:val="DefinedTerms"/>
      </w:pPr>
      <w:r>
        <w:t>annuitant</w:t>
      </w:r>
      <w:r>
        <w:tab/>
        <w:t>4(1)</w:t>
      </w:r>
    </w:p>
    <w:p>
      <w:pPr>
        <w:pStyle w:val="DefinedTerms"/>
      </w:pPr>
      <w:r>
        <w:t>annuity</w:t>
      </w:r>
      <w:r>
        <w:tab/>
        <w:t>4(1)</w:t>
      </w:r>
    </w:p>
    <w:p>
      <w:pPr>
        <w:pStyle w:val="DefinedTerms"/>
      </w:pPr>
      <w:r>
        <w:t>approved form</w:t>
      </w:r>
      <w:r>
        <w:tab/>
        <w:t>4(1), 81K</w:t>
      </w:r>
    </w:p>
    <w:p>
      <w:pPr>
        <w:pStyle w:val="DefinedTerms"/>
      </w:pPr>
      <w:r>
        <w:t>Australian consular officer</w:t>
      </w:r>
      <w:r>
        <w:tab/>
        <w:t>145(4)</w:t>
      </w:r>
    </w:p>
    <w:p>
      <w:pPr>
        <w:pStyle w:val="DefinedTerms"/>
      </w:pPr>
      <w:r>
        <w:t>authorised land officer</w:t>
      </w:r>
      <w:r>
        <w:tab/>
        <w:t>4(1)</w:t>
      </w:r>
    </w:p>
    <w:p>
      <w:pPr>
        <w:pStyle w:val="DefinedTerms"/>
      </w:pPr>
      <w:r>
        <w:t>Authority</w:t>
      </w:r>
      <w:r>
        <w:tab/>
        <w:t>4(1)</w:t>
      </w:r>
    </w:p>
    <w:p>
      <w:pPr>
        <w:pStyle w:val="DefinedTerms"/>
      </w:pPr>
      <w:r>
        <w:t>burdened land</w:t>
      </w:r>
      <w:r>
        <w:tab/>
        <w:t>104A</w:t>
      </w:r>
    </w:p>
    <w:p>
      <w:pPr>
        <w:pStyle w:val="DefinedTerms"/>
      </w:pPr>
      <w:r>
        <w:t>carbon covenant</w:t>
      </w:r>
      <w:r>
        <w:tab/>
        <w:t>4(1)</w:t>
      </w:r>
    </w:p>
    <w:p>
      <w:pPr>
        <w:pStyle w:val="DefinedTerms"/>
      </w:pPr>
      <w:r>
        <w:t>carbon covenant form</w:t>
      </w:r>
      <w:r>
        <w:tab/>
        <w:t>4(1)</w:t>
      </w:r>
    </w:p>
    <w:p>
      <w:pPr>
        <w:pStyle w:val="DefinedTerms"/>
      </w:pPr>
      <w:r>
        <w:t>carbon right</w:t>
      </w:r>
      <w:r>
        <w:tab/>
        <w:t>4(1)</w:t>
      </w:r>
    </w:p>
    <w:p>
      <w:pPr>
        <w:pStyle w:val="DefinedTerms"/>
      </w:pPr>
      <w:r>
        <w:t>carbon right form</w:t>
      </w:r>
      <w:r>
        <w:tab/>
        <w:t>4(1)</w:t>
      </w:r>
    </w:p>
    <w:p>
      <w:pPr>
        <w:pStyle w:val="DefinedTerms"/>
      </w:pPr>
      <w:r>
        <w:t>certificate of Crown land title</w:t>
      </w:r>
      <w:r>
        <w:tab/>
        <w:t>4(1)</w:t>
      </w:r>
    </w:p>
    <w:p>
      <w:pPr>
        <w:pStyle w:val="DefinedTerms"/>
      </w:pPr>
      <w:r>
        <w:t>charge</w:t>
      </w:r>
      <w:r>
        <w:tab/>
        <w:t>4(1)</w:t>
      </w:r>
    </w:p>
    <w:p>
      <w:pPr>
        <w:pStyle w:val="DefinedTerms"/>
      </w:pPr>
      <w:r>
        <w:t>charging instrument</w:t>
      </w:r>
      <w:r>
        <w:tab/>
        <w:t>105(3)</w:t>
      </w:r>
    </w:p>
    <w:p>
      <w:pPr>
        <w:pStyle w:val="DefinedTerms"/>
      </w:pPr>
      <w:r>
        <w:t>commencement</w:t>
      </w:r>
      <w:r>
        <w:tab/>
        <w:t>181(1a)</w:t>
      </w:r>
    </w:p>
    <w:p>
      <w:pPr>
        <w:pStyle w:val="DefinedTerms"/>
      </w:pPr>
      <w:r>
        <w:t>Commissioner</w:t>
      </w:r>
      <w:r>
        <w:tab/>
        <w:t>81K</w:t>
      </w:r>
    </w:p>
    <w:p>
      <w:pPr>
        <w:pStyle w:val="DefinedTerms"/>
      </w:pPr>
      <w:r>
        <w:t>conveyancing transaction</w:t>
      </w:r>
      <w:r>
        <w:tab/>
        <w:t>4(1)</w:t>
      </w:r>
    </w:p>
    <w:p>
      <w:pPr>
        <w:pStyle w:val="DefinedTerms"/>
      </w:pPr>
      <w:r>
        <w:t>counterpart</w:t>
      </w:r>
      <w:r>
        <w:tab/>
        <w:t>4(1) and (1b)</w:t>
      </w:r>
    </w:p>
    <w:p>
      <w:pPr>
        <w:pStyle w:val="DefinedTerms"/>
      </w:pPr>
      <w:r>
        <w:t>Crown land</w:t>
      </w:r>
      <w:r>
        <w:tab/>
        <w:t>4(1)</w:t>
      </w:r>
    </w:p>
    <w:p>
      <w:pPr>
        <w:pStyle w:val="DefinedTerms"/>
      </w:pPr>
      <w:r>
        <w:t>Crown land lease</w:t>
      </w:r>
      <w:r>
        <w:tab/>
        <w:t>4(1)</w:t>
      </w:r>
    </w:p>
    <w:p>
      <w:pPr>
        <w:pStyle w:val="DefinedTerms"/>
      </w:pPr>
      <w:r>
        <w:t>Crown lease</w:t>
      </w:r>
      <w:r>
        <w:tab/>
        <w:t>4(1)</w:t>
      </w:r>
    </w:p>
    <w:p>
      <w:pPr>
        <w:pStyle w:val="DefinedTerms"/>
      </w:pPr>
      <w:r>
        <w:t>dealing</w:t>
      </w:r>
      <w:r>
        <w:tab/>
        <w:t>4(1)</w:t>
      </w:r>
    </w:p>
    <w:p>
      <w:pPr>
        <w:pStyle w:val="DefinedTerms"/>
      </w:pPr>
      <w:r>
        <w:t>digitally sign</w:t>
      </w:r>
      <w:r>
        <w:tab/>
        <w:t>4(1)</w:t>
      </w:r>
    </w:p>
    <w:p>
      <w:pPr>
        <w:pStyle w:val="DefinedTerms"/>
      </w:pPr>
      <w:r>
        <w:t>digital signature</w:t>
      </w:r>
      <w:r>
        <w:tab/>
        <w:t>4(1)</w:t>
      </w:r>
    </w:p>
    <w:p>
      <w:pPr>
        <w:pStyle w:val="DefinedTerms"/>
      </w:pPr>
      <w:r>
        <w:t>digital title</w:t>
      </w:r>
      <w:r>
        <w:tab/>
        <w:t>4(1)</w:t>
      </w:r>
    </w:p>
    <w:p>
      <w:pPr>
        <w:pStyle w:val="DefinedTerms"/>
      </w:pPr>
      <w:r>
        <w:t>disposition</w:t>
      </w:r>
      <w:r>
        <w:tab/>
        <w:t>242(4)</w:t>
      </w:r>
    </w:p>
    <w:p>
      <w:pPr>
        <w:pStyle w:val="DefinedTerms"/>
      </w:pPr>
      <w:r>
        <w:t>document</w:t>
      </w:r>
      <w:r>
        <w:tab/>
        <w:t>4(1), 54(4)</w:t>
      </w:r>
    </w:p>
    <w:p>
      <w:pPr>
        <w:pStyle w:val="DefinedTerms"/>
      </w:pPr>
      <w:r>
        <w:t>ELN</w:t>
      </w:r>
      <w:r>
        <w:tab/>
        <w:t>4(1)</w:t>
      </w:r>
    </w:p>
    <w:p>
      <w:pPr>
        <w:pStyle w:val="DefinedTerms"/>
      </w:pPr>
      <w:r>
        <w:t>ELNO</w:t>
      </w:r>
      <w:r>
        <w:tab/>
        <w:t>4(1)</w:t>
      </w:r>
    </w:p>
    <w:p>
      <w:pPr>
        <w:pStyle w:val="DefinedTerms"/>
      </w:pPr>
      <w:r>
        <w:t>encumbrance</w:t>
      </w:r>
      <w:r>
        <w:tab/>
        <w:t>81RA(1)</w:t>
      </w:r>
    </w:p>
    <w:p>
      <w:pPr>
        <w:pStyle w:val="DefinedTerms"/>
      </w:pPr>
      <w:r>
        <w:t>encumbrances</w:t>
      </w:r>
      <w:r>
        <w:tab/>
        <w:t>4(1)</w:t>
      </w:r>
    </w:p>
    <w:p>
      <w:pPr>
        <w:pStyle w:val="DefinedTerms"/>
      </w:pPr>
      <w:r>
        <w:t>endorsed</w:t>
      </w:r>
      <w:r>
        <w:tab/>
        <w:t>4(1)</w:t>
      </w:r>
    </w:p>
    <w:p>
      <w:pPr>
        <w:pStyle w:val="DefinedTerms"/>
      </w:pPr>
      <w:r>
        <w:t>Examiner of Titles</w:t>
      </w:r>
      <w:r>
        <w:tab/>
        <w:t>4(1)</w:t>
      </w:r>
    </w:p>
    <w:p>
      <w:pPr>
        <w:pStyle w:val="DefinedTerms"/>
      </w:pPr>
      <w:r>
        <w:t>fees</w:t>
      </w:r>
      <w:r>
        <w:tab/>
        <w:t>238B(4)</w:t>
      </w:r>
    </w:p>
    <w:p>
      <w:pPr>
        <w:pStyle w:val="DefinedTerms"/>
      </w:pPr>
      <w:r>
        <w:lastRenderedPageBreak/>
        <w:t>first document</w:t>
      </w:r>
      <w:r>
        <w:tab/>
        <w:t>192D(4)</w:t>
      </w:r>
    </w:p>
    <w:p>
      <w:pPr>
        <w:pStyle w:val="DefinedTerms"/>
      </w:pPr>
      <w:r>
        <w:t>geothermal energy</w:t>
      </w:r>
      <w:r>
        <w:tab/>
        <w:t>3(3)</w:t>
      </w:r>
    </w:p>
    <w:p>
      <w:pPr>
        <w:pStyle w:val="DefinedTerms"/>
      </w:pPr>
      <w:r>
        <w:t>geothermal energy resources</w:t>
      </w:r>
      <w:r>
        <w:tab/>
        <w:t>3(3)</w:t>
      </w:r>
    </w:p>
    <w:p>
      <w:pPr>
        <w:pStyle w:val="DefinedTerms"/>
      </w:pPr>
      <w:r>
        <w:t>grant</w:t>
      </w:r>
      <w:r>
        <w:tab/>
        <w:t>4(1)</w:t>
      </w:r>
    </w:p>
    <w:p>
      <w:pPr>
        <w:pStyle w:val="DefinedTerms"/>
      </w:pPr>
      <w:r>
        <w:t>grantor</w:t>
      </w:r>
      <w:r>
        <w:tab/>
        <w:t>4(1)</w:t>
      </w:r>
    </w:p>
    <w:p>
      <w:pPr>
        <w:pStyle w:val="DefinedTerms"/>
      </w:pPr>
      <w:r>
        <w:t>graphic</w:t>
      </w:r>
      <w:r>
        <w:tab/>
        <w:t>4(1)</w:t>
      </w:r>
    </w:p>
    <w:p>
      <w:pPr>
        <w:pStyle w:val="DefinedTerms"/>
      </w:pPr>
      <w:r>
        <w:t>incoming mortgagee</w:t>
      </w:r>
      <w:r>
        <w:tab/>
        <w:t>48B(5A)</w:t>
      </w:r>
    </w:p>
    <w:p>
      <w:pPr>
        <w:pStyle w:val="DefinedTerms"/>
      </w:pPr>
      <w:r>
        <w:t>inspector of plans and surveys</w:t>
      </w:r>
      <w:r>
        <w:tab/>
        <w:t>163(2)</w:t>
      </w:r>
    </w:p>
    <w:p>
      <w:pPr>
        <w:pStyle w:val="DefinedTerms"/>
      </w:pPr>
      <w:r>
        <w:t>instrument</w:t>
      </w:r>
      <w:r>
        <w:tab/>
        <w:t>4(1)</w:t>
      </w:r>
    </w:p>
    <w:p>
      <w:pPr>
        <w:pStyle w:val="DefinedTerms"/>
      </w:pPr>
      <w:r>
        <w:t>interest</w:t>
      </w:r>
      <w:r>
        <w:tab/>
        <w:t>4(1)</w:t>
      </w:r>
    </w:p>
    <w:p>
      <w:pPr>
        <w:pStyle w:val="DefinedTerms"/>
      </w:pPr>
      <w:r>
        <w:t>judge</w:t>
      </w:r>
      <w:r>
        <w:tab/>
        <w:t>4(1)</w:t>
      </w:r>
    </w:p>
    <w:p>
      <w:pPr>
        <w:pStyle w:val="DefinedTerms"/>
      </w:pPr>
      <w:r>
        <w:t>land</w:t>
      </w:r>
      <w:r>
        <w:tab/>
        <w:t>4(1)</w:t>
      </w:r>
    </w:p>
    <w:p>
      <w:pPr>
        <w:pStyle w:val="DefinedTerms"/>
      </w:pPr>
      <w:r>
        <w:t>lodge</w:t>
      </w:r>
      <w:r>
        <w:tab/>
        <w:t>181A(1), 181(1AA), 182A(1AA), 192A(1), 192B(1),</w:t>
      </w:r>
      <w:r>
        <w:br/>
      </w:r>
      <w:r>
        <w:tab/>
        <w:t>192D(1), 232A(1), 238A(1)</w:t>
      </w:r>
    </w:p>
    <w:p>
      <w:pPr>
        <w:pStyle w:val="DefinedTerms"/>
      </w:pPr>
      <w:r>
        <w:t>lodged</w:t>
      </w:r>
      <w:r>
        <w:tab/>
        <w:t>133(1)</w:t>
      </w:r>
    </w:p>
    <w:p>
      <w:pPr>
        <w:pStyle w:val="DefinedTerms"/>
      </w:pPr>
      <w:r>
        <w:t>lot</w:t>
      </w:r>
      <w:r>
        <w:tab/>
        <w:t>129C(1d)</w:t>
      </w:r>
    </w:p>
    <w:p>
      <w:pPr>
        <w:pStyle w:val="DefinedTerms"/>
      </w:pPr>
      <w:r>
        <w:t>management body</w:t>
      </w:r>
      <w:r>
        <w:tab/>
        <w:t>4(1)</w:t>
      </w:r>
    </w:p>
    <w:p>
      <w:pPr>
        <w:pStyle w:val="DefinedTerms"/>
      </w:pPr>
      <w:r>
        <w:t>management order</w:t>
      </w:r>
      <w:r>
        <w:tab/>
        <w:t>81K</w:t>
      </w:r>
    </w:p>
    <w:p>
      <w:pPr>
        <w:pStyle w:val="DefinedTerms"/>
      </w:pPr>
      <w:r>
        <w:t>memorandum</w:t>
      </w:r>
      <w:r>
        <w:tab/>
        <w:t>54(1)</w:t>
      </w:r>
    </w:p>
    <w:p>
      <w:pPr>
        <w:pStyle w:val="DefinedTerms"/>
      </w:pPr>
      <w:r>
        <w:t>metropolitan region</w:t>
      </w:r>
      <w:r>
        <w:tab/>
        <w:t>4(1)</w:t>
      </w:r>
    </w:p>
    <w:p>
      <w:pPr>
        <w:pStyle w:val="DefinedTerms"/>
      </w:pPr>
      <w:r>
        <w:t>mining, petroleum or geothermal energy rights</w:t>
      </w:r>
      <w:r>
        <w:tab/>
        <w:t>3(3)</w:t>
      </w:r>
    </w:p>
    <w:p>
      <w:pPr>
        <w:pStyle w:val="DefinedTerms"/>
      </w:pPr>
      <w:r>
        <w:t>Minister for Lands</w:t>
      </w:r>
      <w:r>
        <w:tab/>
        <w:t>4(1)</w:t>
      </w:r>
    </w:p>
    <w:p>
      <w:pPr>
        <w:pStyle w:val="DefinedTerms"/>
      </w:pPr>
      <w:r>
        <w:t>ministerial order</w:t>
      </w:r>
      <w:r>
        <w:tab/>
        <w:t>4(1)</w:t>
      </w:r>
    </w:p>
    <w:p>
      <w:pPr>
        <w:pStyle w:val="DefinedTerms"/>
      </w:pPr>
      <w:r>
        <w:t>mortgage</w:t>
      </w:r>
      <w:r>
        <w:tab/>
        <w:t>127A(1)</w:t>
      </w:r>
    </w:p>
    <w:p>
      <w:pPr>
        <w:pStyle w:val="DefinedTerms"/>
      </w:pPr>
      <w:r>
        <w:t>mortgagee</w:t>
      </w:r>
      <w:r>
        <w:tab/>
        <w:t>127A(1)</w:t>
      </w:r>
    </w:p>
    <w:p>
      <w:pPr>
        <w:pStyle w:val="DefinedTerms"/>
      </w:pPr>
      <w:r>
        <w:t>mortgage money</w:t>
      </w:r>
      <w:r>
        <w:tab/>
        <w:t>126(1E)</w:t>
      </w:r>
    </w:p>
    <w:p>
      <w:pPr>
        <w:pStyle w:val="DefinedTerms"/>
      </w:pPr>
      <w:r>
        <w:t>notification details</w:t>
      </w:r>
      <w:r>
        <w:tab/>
        <w:t>240A(1)</w:t>
      </w:r>
    </w:p>
    <w:p>
      <w:pPr>
        <w:pStyle w:val="DefinedTerms"/>
      </w:pPr>
      <w:r>
        <w:t>paper title</w:t>
      </w:r>
      <w:r>
        <w:tab/>
        <w:t>4(1)</w:t>
      </w:r>
    </w:p>
    <w:p>
      <w:pPr>
        <w:pStyle w:val="DefinedTerms"/>
      </w:pPr>
      <w:r>
        <w:t>participation rules</w:t>
      </w:r>
      <w:r>
        <w:tab/>
        <w:t>4(1)</w:t>
      </w:r>
    </w:p>
    <w:p>
      <w:pPr>
        <w:pStyle w:val="DefinedTerms"/>
      </w:pPr>
      <w:r>
        <w:t>person</w:t>
      </w:r>
      <w:r>
        <w:tab/>
        <w:t>4(1)</w:t>
      </w:r>
    </w:p>
    <w:p>
      <w:pPr>
        <w:pStyle w:val="DefinedTerms"/>
      </w:pPr>
      <w:r>
        <w:t>plan</w:t>
      </w:r>
      <w:r>
        <w:tab/>
        <w:t>136A</w:t>
      </w:r>
    </w:p>
    <w:p>
      <w:pPr>
        <w:pStyle w:val="DefinedTerms"/>
      </w:pPr>
      <w:r>
        <w:t>plantation interest</w:t>
      </w:r>
      <w:r>
        <w:tab/>
        <w:t>4(1)</w:t>
      </w:r>
    </w:p>
    <w:p>
      <w:pPr>
        <w:pStyle w:val="DefinedTerms"/>
      </w:pPr>
      <w:r>
        <w:t>prescribed amount</w:t>
      </w:r>
      <w:r>
        <w:tab/>
        <w:t>192(2), 238B(4)</w:t>
      </w:r>
    </w:p>
    <w:p>
      <w:pPr>
        <w:pStyle w:val="DefinedTerms"/>
      </w:pPr>
      <w:r>
        <w:t>produce</w:t>
      </w:r>
      <w:r>
        <w:tab/>
        <w:t>232A(1)</w:t>
      </w:r>
    </w:p>
    <w:p>
      <w:pPr>
        <w:pStyle w:val="DefinedTerms"/>
      </w:pPr>
      <w:r>
        <w:t>profit à prendre</w:t>
      </w:r>
      <w:r>
        <w:tab/>
        <w:t>4(1)</w:t>
      </w:r>
    </w:p>
    <w:p>
      <w:pPr>
        <w:pStyle w:val="DefinedTerms"/>
      </w:pPr>
      <w:r>
        <w:t>property (seizure and sale) order</w:t>
      </w:r>
      <w:r>
        <w:tab/>
        <w:t>133(1)</w:t>
      </w:r>
    </w:p>
    <w:p>
      <w:pPr>
        <w:pStyle w:val="DefinedTerms"/>
      </w:pPr>
      <w:r>
        <w:t>proprietor</w:t>
      </w:r>
      <w:r>
        <w:tab/>
        <w:t>4(1)</w:t>
      </w:r>
    </w:p>
    <w:p>
      <w:pPr>
        <w:pStyle w:val="DefinedTerms"/>
      </w:pPr>
      <w:r>
        <w:t>public authority</w:t>
      </w:r>
      <w:r>
        <w:tab/>
        <w:t>4(1)</w:t>
      </w:r>
    </w:p>
    <w:p>
      <w:pPr>
        <w:pStyle w:val="DefinedTerms"/>
      </w:pPr>
      <w:r>
        <w:t>qualified certificate of Crown land title</w:t>
      </w:r>
      <w:r>
        <w:tab/>
        <w:t>4(1)</w:t>
      </w:r>
    </w:p>
    <w:p>
      <w:pPr>
        <w:pStyle w:val="DefinedTerms"/>
      </w:pPr>
      <w:r>
        <w:t>qualified valuer</w:t>
      </w:r>
      <w:r>
        <w:tab/>
        <w:t>4(1)</w:t>
      </w:r>
    </w:p>
    <w:p>
      <w:pPr>
        <w:pStyle w:val="DefinedTerms"/>
      </w:pPr>
      <w:r>
        <w:t>record</w:t>
      </w:r>
      <w:r>
        <w:tab/>
        <w:t>4(1)</w:t>
      </w:r>
    </w:p>
    <w:p>
      <w:pPr>
        <w:pStyle w:val="DefinedTerms"/>
      </w:pPr>
      <w:r>
        <w:t>Register</w:t>
      </w:r>
      <w:r>
        <w:tab/>
        <w:t>4(1)</w:t>
      </w:r>
    </w:p>
    <w:p>
      <w:pPr>
        <w:pStyle w:val="DefinedTerms"/>
      </w:pPr>
      <w:r>
        <w:t>register</w:t>
      </w:r>
      <w:r>
        <w:tab/>
        <w:t>133(1)</w:t>
      </w:r>
    </w:p>
    <w:p>
      <w:pPr>
        <w:pStyle w:val="DefinedTerms"/>
      </w:pPr>
      <w:r>
        <w:t>registered disposition</w:t>
      </w:r>
      <w:r>
        <w:tab/>
        <w:t>242(4)</w:t>
      </w:r>
    </w:p>
    <w:p>
      <w:pPr>
        <w:pStyle w:val="DefinedTerms"/>
      </w:pPr>
      <w:r>
        <w:lastRenderedPageBreak/>
        <w:t>relevant authority</w:t>
      </w:r>
      <w:r>
        <w:tab/>
        <w:t>129BB(1), 136J(1)</w:t>
      </w:r>
    </w:p>
    <w:p>
      <w:pPr>
        <w:pStyle w:val="DefinedTerms"/>
      </w:pPr>
      <w:r>
        <w:t>relevant carbon right</w:t>
      </w:r>
      <w:r>
        <w:tab/>
        <w:t>104A</w:t>
      </w:r>
    </w:p>
    <w:p>
      <w:pPr>
        <w:pStyle w:val="DefinedTerms"/>
      </w:pPr>
      <w:r>
        <w:t>relevant graphic</w:t>
      </w:r>
      <w:r>
        <w:tab/>
        <w:t>4(1)</w:t>
      </w:r>
    </w:p>
    <w:p>
      <w:pPr>
        <w:pStyle w:val="DefinedTerms"/>
      </w:pPr>
      <w:r>
        <w:t>repealed Act</w:t>
      </w:r>
      <w:r>
        <w:tab/>
        <w:t>81K</w:t>
      </w:r>
    </w:p>
    <w:p>
      <w:pPr>
        <w:pStyle w:val="DefinedTerms"/>
      </w:pPr>
      <w:r>
        <w:t>requirement</w:t>
      </w:r>
      <w:r>
        <w:tab/>
        <w:t>182B(1)</w:t>
      </w:r>
    </w:p>
    <w:p>
      <w:pPr>
        <w:pStyle w:val="DefinedTerms"/>
      </w:pPr>
      <w:r>
        <w:t>reserve</w:t>
      </w:r>
      <w:r>
        <w:tab/>
        <w:t>4(1)</w:t>
      </w:r>
    </w:p>
    <w:p>
      <w:pPr>
        <w:pStyle w:val="DefinedTerms"/>
      </w:pPr>
      <w:r>
        <w:t>saleable interest</w:t>
      </w:r>
      <w:r>
        <w:tab/>
        <w:t>133(1)</w:t>
      </w:r>
    </w:p>
    <w:p>
      <w:pPr>
        <w:pStyle w:val="DefinedTerms"/>
      </w:pPr>
      <w:r>
        <w:t>sale period</w:t>
      </w:r>
      <w:r>
        <w:tab/>
        <w:t>133(1)</w:t>
      </w:r>
    </w:p>
    <w:p>
      <w:pPr>
        <w:pStyle w:val="DefinedTerms"/>
      </w:pPr>
      <w:r>
        <w:t>section 138A caveat</w:t>
      </w:r>
      <w:r>
        <w:tab/>
        <w:t>136K(1)</w:t>
      </w:r>
    </w:p>
    <w:p>
      <w:pPr>
        <w:pStyle w:val="DefinedTerms"/>
      </w:pPr>
      <w:r>
        <w:t>settlement</w:t>
      </w:r>
      <w:r>
        <w:tab/>
        <w:t>4(1)</w:t>
      </w:r>
    </w:p>
    <w:p>
      <w:pPr>
        <w:pStyle w:val="DefinedTerms"/>
      </w:pPr>
      <w:r>
        <w:t>sheriff</w:t>
      </w:r>
      <w:r>
        <w:tab/>
        <w:t>4(1)</w:t>
      </w:r>
    </w:p>
    <w:p>
      <w:pPr>
        <w:pStyle w:val="DefinedTerms"/>
      </w:pPr>
      <w:r>
        <w:t>sheriff’s dealing</w:t>
      </w:r>
      <w:r>
        <w:tab/>
        <w:t>133(1)</w:t>
      </w:r>
    </w:p>
    <w:p>
      <w:pPr>
        <w:pStyle w:val="DefinedTerms"/>
      </w:pPr>
      <w:r>
        <w:t>short form</w:t>
      </w:r>
      <w:r>
        <w:tab/>
        <w:t>4(3)</w:t>
      </w:r>
    </w:p>
    <w:p>
      <w:pPr>
        <w:pStyle w:val="DefinedTerms"/>
      </w:pPr>
      <w:r>
        <w:t>sign</w:t>
      </w:r>
      <w:r>
        <w:tab/>
        <w:t>4(1)</w:t>
      </w:r>
    </w:p>
    <w:p>
      <w:pPr>
        <w:pStyle w:val="DefinedTerms"/>
      </w:pPr>
      <w:r>
        <w:t>signature</w:t>
      </w:r>
      <w:r>
        <w:tab/>
        <w:t>4(1)</w:t>
      </w:r>
    </w:p>
    <w:p>
      <w:pPr>
        <w:pStyle w:val="DefinedTerms"/>
      </w:pPr>
      <w:r>
        <w:t>single dwelling covenant</w:t>
      </w:r>
      <w:r>
        <w:tab/>
        <w:t>129C(1d)</w:t>
      </w:r>
    </w:p>
    <w:p>
      <w:pPr>
        <w:pStyle w:val="DefinedTerms"/>
      </w:pPr>
      <w:r>
        <w:t>stamped</w:t>
      </w:r>
      <w:r>
        <w:tab/>
        <w:t>81U(3)</w:t>
      </w:r>
    </w:p>
    <w:p>
      <w:pPr>
        <w:pStyle w:val="DefinedTerms"/>
      </w:pPr>
      <w:r>
        <w:t>statutory declaration</w:t>
      </w:r>
      <w:r>
        <w:tab/>
        <w:t>188(2)</w:t>
      </w:r>
    </w:p>
    <w:p>
      <w:pPr>
        <w:pStyle w:val="DefinedTerms"/>
      </w:pPr>
      <w:r>
        <w:t>subscriber</w:t>
      </w:r>
      <w:r>
        <w:tab/>
        <w:t>4(1)</w:t>
      </w:r>
    </w:p>
    <w:p>
      <w:pPr>
        <w:pStyle w:val="DefinedTerms"/>
      </w:pPr>
      <w:r>
        <w:t>symbol</w:t>
      </w:r>
      <w:r>
        <w:tab/>
        <w:t>4(1)</w:t>
      </w:r>
    </w:p>
    <w:p>
      <w:pPr>
        <w:pStyle w:val="DefinedTerms"/>
      </w:pPr>
      <w:r>
        <w:t>transitional period</w:t>
      </w:r>
      <w:r>
        <w:tab/>
        <w:t>81K</w:t>
      </w:r>
    </w:p>
    <w:p>
      <w:pPr>
        <w:pStyle w:val="DefinedTerms"/>
      </w:pPr>
      <w:r>
        <w:t>transmission</w:t>
      </w:r>
      <w:r>
        <w:tab/>
        <w:t>4(1)</w:t>
      </w:r>
    </w:p>
    <w:p>
      <w:pPr>
        <w:pStyle w:val="DefinedTerms"/>
      </w:pPr>
      <w:r>
        <w:t>tree plantation agreement</w:t>
      </w:r>
      <w:r>
        <w:tab/>
        <w:t>4(1)</w:t>
      </w:r>
    </w:p>
    <w:p>
      <w:pPr>
        <w:pStyle w:val="DefinedTerms"/>
      </w:pPr>
      <w:r>
        <w:t>working day</w:t>
      </w:r>
      <w:r>
        <w:tab/>
        <w:t>182B(1)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rPr>
        <w:jc w:val="center"/>
      </w:trPr>
      <w:tc>
        <w:tcPr>
          <w:tcW w:w="2472" w:type="dxa"/>
        </w:tcPr>
        <w:p>
          <w:pPr>
            <w:pStyle w:val="Header"/>
            <w:spacing w:before="40"/>
          </w:pPr>
        </w:p>
      </w:tc>
      <w:tc>
        <w:tcPr>
          <w:tcW w:w="4791" w:type="dxa"/>
          <w:vAlign w:val="bottom"/>
        </w:tcPr>
        <w:p>
          <w:pPr>
            <w:pStyle w:val="Header"/>
            <w:spacing w:before="40"/>
          </w:pPr>
        </w:p>
      </w:tc>
    </w:tr>
    <w:tr>
      <w:trPr>
        <w:jc w:val="center"/>
      </w:trP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rPr>
        <w:jc w:val="center"/>
      </w:trP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632" w:type="dxa"/>
          <w:vAlign w:val="bottom"/>
        </w:tcPr>
        <w:p>
          <w:pPr>
            <w:pStyle w:val="Header"/>
            <w:spacing w:before="40"/>
            <w:jc w:val="right"/>
          </w:pPr>
        </w:p>
      </w:tc>
      <w:tc>
        <w:tcPr>
          <w:tcW w:w="2631" w:type="dxa"/>
        </w:tcPr>
        <w:p>
          <w:pPr>
            <w:pStyle w:val="Header"/>
            <w:spacing w:before="40"/>
            <w:ind w:right="17"/>
            <w:jc w:val="right"/>
          </w:pPr>
        </w:p>
      </w:tc>
    </w:tr>
    <w:tr>
      <w:trPr>
        <w:jc w:val="center"/>
      </w:trP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421" w:name="Schedule"/>
    <w:bookmarkEnd w:id="4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Act 1893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30" w:name="DefinedTerms"/>
    <w:bookmarkEnd w:id="4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724114525"/>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F1110-17F5-47A0-9D76-AF15281F6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88830</Words>
  <Characters>417501</Characters>
  <Application>Microsoft Office Word</Application>
  <DocSecurity>0</DocSecurity>
  <Lines>10705</Lines>
  <Paragraphs>4732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501599</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1893 - 11-i0-01</dc:title>
  <dc:subject/>
  <dc:creator/>
  <cp:keywords/>
  <dc:description/>
  <cp:lastModifiedBy>Master Repository Process</cp:lastModifiedBy>
  <cp:revision>4</cp:revision>
  <cp:lastPrinted>2021-06-25T03:30:00Z</cp:lastPrinted>
  <dcterms:created xsi:type="dcterms:W3CDTF">2023-07-26T01:43:00Z</dcterms:created>
  <dcterms:modified xsi:type="dcterms:W3CDTF">2023-07-26T01:43:00Z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24 Mar 2023</vt:lpwstr>
  </property>
  <property fmtid="{D5CDD505-2E9C-101B-9397-08002B2CF9AE}" pid="8" name="Suffix">
    <vt:lpwstr>11-i0-01</vt:lpwstr>
  </property>
  <property fmtid="{D5CDD505-2E9C-101B-9397-08002B2CF9AE}" pid="9" name="CommencementDate">
    <vt:lpwstr>20230324</vt:lpwstr>
  </property>
</Properties>
</file>