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_Toc131519321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_Toc131519322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_Toc131519323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_Toc131519324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_Toc131519325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_Toc131519326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_Toc131519327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_Toc131519328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_Toc131519329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_Toc131519332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_Toc131519333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_Toc131519334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_Toc131519335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_Toc131519337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_Toc131519338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_Toc131519339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_Toc131519340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_Toc131519341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_Toc131519342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_Toc131519343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_Toc131519345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_Toc131519346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_Toc131519347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_Toc131519348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_Toc131519350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_Toc131519351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_Toc131519352 \h </w:instrText>
      </w:r>
      <w:r>
        <w:fldChar w:fldCharType="separate"/>
      </w:r>
      <w:r>
        <w:t>29</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_Toc131519353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_Toc131519354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_Toc131519355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_Toc131519357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_Toc131519358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_Toc131519359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_Toc131519360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_Toc131519361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_Toc131519362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_Toc131519363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_Toc131519364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_Toc131519365 \h </w:instrText>
      </w:r>
      <w:r>
        <w:fldChar w:fldCharType="separate"/>
      </w:r>
      <w:r>
        <w:t>37</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_Toc131519366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_Toc131519367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_Toc131519368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_Toc131519369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_Toc131519370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w:t>
      </w:r>
      <w:r>
        <w:rPr>
          <w:b w:val="0"/>
        </w:rPr>
        <w:t> </w:t>
      </w:r>
      <w:r>
        <w:t>—</w:t>
      </w:r>
      <w:r>
        <w:rPr>
          <w:b w:val="0"/>
        </w:rPr>
        <w:t> </w:t>
      </w:r>
      <w:r>
        <w:t>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_Toc131519372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_Toc131519373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_Toc131519374 \h </w:instrText>
      </w:r>
      <w:r>
        <w:fldChar w:fldCharType="separate"/>
      </w:r>
      <w:r>
        <w:t>46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_Toc131519375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_Toc131519376 \h </w:instrText>
      </w:r>
      <w:r>
        <w:fldChar w:fldCharType="separate"/>
      </w:r>
      <w:r>
        <w:t>53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_Toc131519377 \h </w:instrText>
      </w:r>
      <w:r>
        <w:fldChar w:fldCharType="separate"/>
      </w:r>
      <w:r>
        <w:t>56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_Toc131519378 \h </w:instrText>
      </w:r>
      <w:r>
        <w:fldChar w:fldCharType="separate"/>
      </w:r>
      <w:r>
        <w:t>59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_Toc131519379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_Toc131519380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_Toc131519381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_Toc131519382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_Toc131519384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_Toc131519385 \h </w:instrText>
      </w:r>
      <w:r>
        <w:fldChar w:fldCharType="separate"/>
      </w:r>
      <w:r>
        <w:t>71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_Toc131519386 \h </w:instrText>
      </w:r>
      <w:r>
        <w:fldChar w:fldCharType="separate"/>
      </w:r>
      <w:r>
        <w:t>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_Toc131519387 \h </w:instrText>
      </w:r>
      <w:r>
        <w:fldChar w:fldCharType="separate"/>
      </w:r>
      <w:r>
        <w:t>76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_Toc131519388 \h </w:instrText>
      </w:r>
      <w:r>
        <w:fldChar w:fldCharType="separate"/>
      </w:r>
      <w:r>
        <w:t>76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_Toc131519389 \h </w:instrText>
      </w:r>
      <w:r>
        <w:fldChar w:fldCharType="separate"/>
      </w:r>
      <w:r>
        <w:t>77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_Toc131519390 \h </w:instrText>
      </w:r>
      <w:r>
        <w:fldChar w:fldCharType="separate"/>
      </w:r>
      <w:r>
        <w:t>79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_Toc131519391 \h </w:instrText>
      </w:r>
      <w:r>
        <w:fldChar w:fldCharType="separate"/>
      </w:r>
      <w:r>
        <w:t>80</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_Toc131519392 \h </w:instrText>
      </w:r>
      <w:r>
        <w:fldChar w:fldCharType="separate"/>
      </w:r>
      <w:r>
        <w:t>80</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_Toc131519393 \h </w:instrText>
      </w:r>
      <w:r>
        <w:fldChar w:fldCharType="separate"/>
      </w:r>
      <w:r>
        <w:t>81</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_Toc131519394 \h </w:instrText>
      </w:r>
      <w:r>
        <w:fldChar w:fldCharType="separate"/>
      </w:r>
      <w:r>
        <w:t>82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_Toc131519395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_Toc131519397 \h </w:instrText>
      </w:r>
      <w:r>
        <w:fldChar w:fldCharType="separate"/>
      </w:r>
      <w:r>
        <w:t>85</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_Toc131519398 \h </w:instrText>
      </w:r>
      <w:r>
        <w:fldChar w:fldCharType="separate"/>
      </w:r>
      <w:r>
        <w:t>85</w:t>
      </w:r>
      <w:r>
        <w:fldChar w:fldCharType="end"/>
      </w:r>
    </w:p>
    <w:p>
      <w:pPr>
        <w:pStyle w:val="TOC8"/>
        <w:rPr>
          <w:rFonts w:asciiTheme="minorHAnsi" w:eastAsiaTheme="minorEastAsia" w:hAnsiTheme="minorHAnsi" w:cstheme="minorBidi"/>
          <w:szCs w:val="22"/>
        </w:rPr>
      </w:pPr>
      <w:r>
        <w:lastRenderedPageBreak/>
        <w:t>20A.</w:t>
      </w:r>
      <w:r>
        <w:tab/>
        <w:t>Powers of Commission representative</w:t>
      </w:r>
      <w:r>
        <w:tab/>
      </w:r>
      <w:r>
        <w:fldChar w:fldCharType="begin"/>
      </w:r>
      <w:r>
        <w:instrText xml:space="preserve"> PAGEREF _Toc131519399 \h </w:instrText>
      </w:r>
      <w:r>
        <w:fldChar w:fldCharType="separate"/>
      </w:r>
      <w:r>
        <w:t>87</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_Toc131519400 \h </w:instrText>
      </w:r>
      <w:r>
        <w:fldChar w:fldCharType="separate"/>
      </w:r>
      <w:r>
        <w:t>89</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_Toc131519401 \h </w:instrText>
      </w:r>
      <w:r>
        <w:fldChar w:fldCharType="separate"/>
      </w:r>
      <w:r>
        <w:t>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_Toc131519402 \h </w:instrText>
      </w:r>
      <w:r>
        <w:fldChar w:fldCharType="separate"/>
      </w:r>
      <w:r>
        <w:t>91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_Toc131519403 \h </w:instrText>
      </w:r>
      <w:r>
        <w:fldChar w:fldCharType="separate"/>
      </w:r>
      <w:r>
        <w:t>93</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_Toc131519404 \h </w:instrText>
      </w:r>
      <w:r>
        <w:fldChar w:fldCharType="separate"/>
      </w:r>
      <w:r>
        <w:t>94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_Toc131519405 \h </w:instrText>
      </w:r>
      <w:r>
        <w:fldChar w:fldCharType="separate"/>
      </w:r>
      <w:r>
        <w:t>95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_Toc131519406 \h </w:instrText>
      </w:r>
      <w:r>
        <w:fldChar w:fldCharType="separate"/>
      </w:r>
      <w:r>
        <w:t>96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_Toc131519407 \h </w:instrText>
      </w:r>
      <w:r>
        <w:fldChar w:fldCharType="separate"/>
      </w:r>
      <w:r>
        <w:t>98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_Toc131519408 \h </w:instrText>
      </w:r>
      <w:r>
        <w:fldChar w:fldCharType="separate"/>
      </w:r>
      <w:r>
        <w:t>98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_Toc131519409 \h </w:instrText>
      </w:r>
      <w:r>
        <w:fldChar w:fldCharType="separate"/>
      </w:r>
      <w:r>
        <w:t>99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_Toc131519410 \h </w:instrText>
      </w:r>
      <w:r>
        <w:fldChar w:fldCharType="separate"/>
      </w:r>
      <w:r>
        <w:t>99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_Toc131519411 \h </w:instrText>
      </w:r>
      <w:r>
        <w:fldChar w:fldCharType="separate"/>
      </w:r>
      <w:r>
        <w:t>100</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_Toc131519412 \h </w:instrText>
      </w:r>
      <w:r>
        <w:fldChar w:fldCharType="separate"/>
      </w:r>
      <w:r>
        <w:t>102</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_Toc131519413 \h </w:instrText>
      </w:r>
      <w:r>
        <w:fldChar w:fldCharType="separate"/>
      </w:r>
      <w:r>
        <w:t>103</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_Toc131519414 \h </w:instrText>
      </w:r>
      <w:r>
        <w:fldChar w:fldCharType="separate"/>
      </w:r>
      <w:r>
        <w:t>105</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_Toc131519415 \h </w:instrText>
      </w:r>
      <w:r>
        <w:fldChar w:fldCharType="separate"/>
      </w:r>
      <w:r>
        <w:t>107</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_Toc131519416 \h </w:instrText>
      </w:r>
      <w:r>
        <w:fldChar w:fldCharType="separate"/>
      </w:r>
      <w:r>
        <w:t>108</w:t>
      </w:r>
      <w:r>
        <w:fldChar w:fldCharType="end"/>
      </w:r>
    </w:p>
    <w:p>
      <w:pPr>
        <w:pStyle w:val="TOC8"/>
        <w:rPr>
          <w:rFonts w:asciiTheme="minorHAnsi" w:eastAsiaTheme="minorEastAsia" w:hAnsiTheme="minorHAnsi" w:cstheme="minorBidi"/>
          <w:szCs w:val="22"/>
        </w:rPr>
      </w:pPr>
      <w:r>
        <w:t>27G.</w:t>
      </w:r>
      <w:r>
        <w:tab/>
        <w:t>Liability of officers for offence by body corporate</w:t>
      </w:r>
      <w:r>
        <w:tab/>
      </w:r>
      <w:r>
        <w:fldChar w:fldCharType="begin"/>
      </w:r>
      <w:r>
        <w:instrText xml:space="preserve"> PAGEREF _Toc131519417 \h </w:instrText>
      </w:r>
      <w:r>
        <w:fldChar w:fldCharType="separate"/>
      </w:r>
      <w:r>
        <w:t>110</w:t>
      </w:r>
      <w:r>
        <w:fldChar w:fldCharType="end"/>
      </w:r>
    </w:p>
    <w:p>
      <w:pPr>
        <w:pStyle w:val="TOC8"/>
        <w:rPr>
          <w:rFonts w:asciiTheme="minorHAnsi" w:eastAsiaTheme="minorEastAsia" w:hAnsiTheme="minorHAnsi" w:cstheme="minorBidi"/>
          <w:szCs w:val="22"/>
        </w:rPr>
      </w:pPr>
      <w:r>
        <w:t>27H.</w:t>
      </w:r>
      <w:r>
        <w:tab/>
        <w:t>Liability of individuals, partners, bodies corporate and licensed managers</w:t>
      </w:r>
      <w:r>
        <w:tab/>
      </w:r>
      <w:r>
        <w:fldChar w:fldCharType="begin"/>
      </w:r>
      <w:r>
        <w:instrText xml:space="preserve"> PAGEREF _Toc131519418 \h </w:instrText>
      </w:r>
      <w:r>
        <w:fldChar w:fldCharType="separate"/>
      </w:r>
      <w:r>
        <w:t>110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_Toc131519419 \h </w:instrText>
      </w:r>
      <w:r>
        <w:fldChar w:fldCharType="separate"/>
      </w:r>
      <w:r>
        <w:t>111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_Toc131519420 \h </w:instrText>
      </w:r>
      <w:r>
        <w:fldChar w:fldCharType="separate"/>
      </w:r>
      <w:r>
        <w:t>111</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_Toc131519421 \h </w:instrText>
      </w:r>
      <w:r>
        <w:fldChar w:fldCharType="separate"/>
      </w:r>
      <w:r>
        <w:t>113</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_Toc131519422 \h </w:instrText>
      </w:r>
      <w:r>
        <w:fldChar w:fldCharType="separate"/>
      </w:r>
      <w:r>
        <w:t>114</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_Toc131519423 \h </w:instrText>
      </w:r>
      <w:r>
        <w:fldChar w:fldCharType="separate"/>
      </w:r>
      <w:r>
        <w:t>115</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_Toc131519424 \h </w:instrText>
      </w:r>
      <w:r>
        <w:fldChar w:fldCharType="separate"/>
      </w:r>
      <w:r>
        <w:t>115</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_Toc131519425 \h </w:instrText>
      </w:r>
      <w:r>
        <w:fldChar w:fldCharType="separate"/>
      </w:r>
      <w:r>
        <w:t>116</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_Toc131519426 \h </w:instrText>
      </w:r>
      <w:r>
        <w:fldChar w:fldCharType="separate"/>
      </w:r>
      <w:r>
        <w:t>117</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_Toc131519427 \h </w:instrText>
      </w:r>
      <w:r>
        <w:fldChar w:fldCharType="separate"/>
      </w:r>
      <w:r>
        <w:t>117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_Toc131519428 \h </w:instrText>
      </w:r>
      <w:r>
        <w:fldChar w:fldCharType="separate"/>
      </w:r>
      <w:r>
        <w:t>118</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_Toc131519429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31</w:t>
      </w:r>
      <w:r>
        <w:rPr>
          <w:snapToGrid w:val="0"/>
        </w:rPr>
        <w:t>.</w:t>
      </w:r>
      <w:r>
        <w:rPr>
          <w:snapToGrid w:val="0"/>
        </w:rPr>
        <w:tab/>
        <w:t>Conduct of betting</w:t>
      </w:r>
      <w:r>
        <w:tab/>
      </w:r>
      <w:r>
        <w:fldChar w:fldCharType="begin"/>
      </w:r>
      <w:r>
        <w:instrText xml:space="preserve"> PAGEREF _Toc131519430 \h </w:instrText>
      </w:r>
      <w:r>
        <w:fldChar w:fldCharType="separate"/>
      </w:r>
      <w:r>
        <w:t>118</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_Toc131519431 \h </w:instrText>
      </w:r>
      <w:r>
        <w:fldChar w:fldCharType="separate"/>
      </w:r>
      <w:r>
        <w:t>120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_Toc131519432 \h </w:instrText>
      </w:r>
      <w:r>
        <w:fldChar w:fldCharType="separate"/>
      </w:r>
      <w:r>
        <w:t>123</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_Toc131519433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_Toc131519435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_Toc131519438 \h </w:instrText>
      </w:r>
      <w:r>
        <w:fldChar w:fldCharType="separate"/>
      </w:r>
      <w:r>
        <w:t>132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_Toc131519439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_Toc131519440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3" w:name="_Toc106004619"/>
      <w:bookmarkStart w:id="4" w:name="_Toc106004741"/>
      <w:bookmarkStart w:id="5" w:name="_Toc106096378"/>
      <w:bookmarkStart w:id="6" w:name="_Toc107154029"/>
      <w:bookmarkStart w:id="7" w:name="_Toc107239612"/>
      <w:bookmarkStart w:id="8" w:name="_Toc131496449"/>
      <w:bookmarkStart w:id="9" w:name="_Toc131497274"/>
      <w:bookmarkStart w:id="10" w:name="_Toc131519320"/>
      <w:r>
        <w:rPr>
          <w:rStyle w:val="CharPartNo"/>
        </w:rPr>
        <w:lastRenderedPageBreak/>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p>
    <w:p>
      <w:pPr>
        <w:pStyle w:val="Footnoteheading"/>
        <w:tabs>
          <w:tab w:val="left" w:pos="851"/>
        </w:tabs>
      </w:pPr>
      <w:r>
        <w:tab/>
        <w:t>[Heading inserted: No. 35 of 2003 s. 101(1).]</w:t>
      </w:r>
    </w:p>
    <w:p>
      <w:pPr>
        <w:pStyle w:val="Heading5"/>
        <w:spacing w:before="180"/>
        <w:rPr>
          <w:snapToGrid w:val="0"/>
        </w:rPr>
      </w:pPr>
      <w:bookmarkStart w:id="11" w:name="_Toc131519321"/>
      <w:r>
        <w:rPr>
          <w:rStyle w:val="CharSectno"/>
        </w:rPr>
        <w:t>1</w:t>
      </w:r>
      <w:r>
        <w:rPr>
          <w:snapToGrid w:val="0"/>
        </w:rPr>
        <w:t>.</w:t>
      </w:r>
      <w:r>
        <w:rPr>
          <w:snapToGrid w:val="0"/>
        </w:rPr>
        <w:tab/>
        <w:t>Short title</w:t>
      </w:r>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12" w:name="_Toc131519322"/>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3" w:name="_Toc131519323"/>
      <w:r>
        <w:rPr>
          <w:rStyle w:val="CharSectno"/>
        </w:rPr>
        <w:t>4</w:t>
      </w:r>
      <w:r>
        <w:rPr>
          <w:snapToGrid w:val="0"/>
        </w:rPr>
        <w:t>.</w:t>
      </w:r>
      <w:r>
        <w:rPr>
          <w:snapToGrid w:val="0"/>
        </w:rPr>
        <w:tab/>
        <w:t>Terms used</w:t>
      </w:r>
      <w:bookmarkEnd w:id="1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lastRenderedPageBreak/>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lastRenderedPageBreak/>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lastRenderedPageBreak/>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lastRenderedPageBreak/>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lastRenderedPageBreak/>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lastRenderedPageBreak/>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4" w:name="_Toc131519324"/>
      <w:r>
        <w:rPr>
          <w:rStyle w:val="CharSectno"/>
        </w:rPr>
        <w:lastRenderedPageBreak/>
        <w:t>4AA</w:t>
      </w:r>
      <w:r>
        <w:t>.</w:t>
      </w:r>
      <w:r>
        <w:tab/>
        <w:t>Term used: betting exchange</w:t>
      </w:r>
      <w:bookmarkEnd w:id="14"/>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5" w:name="_Toc131519325"/>
      <w:r>
        <w:rPr>
          <w:rStyle w:val="CharSectno"/>
        </w:rPr>
        <w:t>4A</w:t>
      </w:r>
      <w:r>
        <w:t>.</w:t>
      </w:r>
      <w:r>
        <w:tab/>
        <w:t>Application of this Act to certain sporting events other than races</w:t>
      </w:r>
      <w:bookmarkEnd w:id="15"/>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lastRenderedPageBreak/>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6" w:name="_Toc131519326"/>
      <w:r>
        <w:rPr>
          <w:rStyle w:val="CharSectno"/>
        </w:rPr>
        <w:lastRenderedPageBreak/>
        <w:t>4B</w:t>
      </w:r>
      <w:r>
        <w:rPr>
          <w:snapToGrid w:val="0"/>
        </w:rPr>
        <w:t>.</w:t>
      </w:r>
      <w:r>
        <w:rPr>
          <w:snapToGrid w:val="0"/>
        </w:rPr>
        <w:tab/>
        <w:t>Application of this Act to events</w:t>
      </w:r>
      <w:bookmarkEnd w:id="16"/>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7" w:name="_Toc131519327"/>
      <w:r>
        <w:rPr>
          <w:rStyle w:val="CharSectno"/>
        </w:rPr>
        <w:lastRenderedPageBreak/>
        <w:t>5</w:t>
      </w:r>
      <w:r>
        <w:rPr>
          <w:snapToGrid w:val="0"/>
        </w:rPr>
        <w:t>.</w:t>
      </w:r>
      <w:r>
        <w:rPr>
          <w:snapToGrid w:val="0"/>
        </w:rPr>
        <w:tab/>
        <w:t>Legalisation of betting</w:t>
      </w:r>
      <w:bookmarkEnd w:id="17"/>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lastRenderedPageBreak/>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8" w:name="_Toc131519328"/>
      <w:r>
        <w:rPr>
          <w:rStyle w:val="CharSectno"/>
        </w:rPr>
        <w:t>5A</w:t>
      </w:r>
      <w:r>
        <w:t>.</w:t>
      </w:r>
      <w:r>
        <w:tab/>
        <w:t>Communication and broadcasting of information</w:t>
      </w:r>
      <w:bookmarkEnd w:id="18"/>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9" w:name="_Toc131519329"/>
      <w:r>
        <w:rPr>
          <w:rStyle w:val="CharSectno"/>
        </w:rPr>
        <w:lastRenderedPageBreak/>
        <w:t>5C</w:t>
      </w:r>
      <w:r>
        <w:t>.</w:t>
      </w:r>
      <w:r>
        <w:tab/>
        <w:t>Betting on simulated races</w:t>
      </w:r>
      <w:bookmarkEnd w:id="19"/>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20" w:name="_Toc106004629"/>
      <w:bookmarkStart w:id="21" w:name="_Toc106004751"/>
      <w:bookmarkStart w:id="22" w:name="_Toc106096388"/>
      <w:bookmarkStart w:id="23" w:name="_Toc107154039"/>
      <w:bookmarkStart w:id="24" w:name="_Toc107239622"/>
      <w:bookmarkStart w:id="25" w:name="_Toc131496459"/>
      <w:bookmarkStart w:id="26" w:name="_Toc131497284"/>
      <w:bookmarkStart w:id="27" w:name="_Toc131519330"/>
      <w:r>
        <w:rPr>
          <w:rStyle w:val="CharPartNo"/>
        </w:rPr>
        <w:lastRenderedPageBreak/>
        <w:t>Part 1A</w:t>
      </w:r>
      <w:r>
        <w:t> — </w:t>
      </w:r>
      <w:r>
        <w:rPr>
          <w:rStyle w:val="CharPartText"/>
        </w:rPr>
        <w:t>Wagering licences</w:t>
      </w:r>
      <w:bookmarkEnd w:id="20"/>
      <w:bookmarkEnd w:id="21"/>
      <w:bookmarkEnd w:id="22"/>
      <w:bookmarkEnd w:id="23"/>
      <w:bookmarkEnd w:id="24"/>
      <w:bookmarkEnd w:id="25"/>
      <w:bookmarkEnd w:id="26"/>
      <w:bookmarkEnd w:id="27"/>
    </w:p>
    <w:p>
      <w:pPr>
        <w:pStyle w:val="Footnoteheading"/>
        <w:rPr>
          <w:iCs/>
        </w:rPr>
      </w:pPr>
      <w:r>
        <w:rPr>
          <w:iCs/>
        </w:rPr>
        <w:tab/>
        <w:t xml:space="preserve">[Heading inserted: </w:t>
      </w:r>
      <w:r>
        <w:t>No. 21 of 2009 s. 47</w:t>
      </w:r>
      <w:r>
        <w:rPr>
          <w:iCs/>
        </w:rPr>
        <w:t>.]</w:t>
      </w:r>
    </w:p>
    <w:p>
      <w:pPr>
        <w:pStyle w:val="Heading3"/>
      </w:pPr>
      <w:bookmarkStart w:id="28" w:name="_Toc106004630"/>
      <w:bookmarkStart w:id="29" w:name="_Toc106004752"/>
      <w:bookmarkStart w:id="30" w:name="_Toc106096389"/>
      <w:bookmarkStart w:id="31" w:name="_Toc107154040"/>
      <w:bookmarkStart w:id="32" w:name="_Toc107239623"/>
      <w:bookmarkStart w:id="33" w:name="_Toc131496460"/>
      <w:bookmarkStart w:id="34" w:name="_Toc131497285"/>
      <w:bookmarkStart w:id="35" w:name="_Toc131519331"/>
      <w:r>
        <w:rPr>
          <w:rStyle w:val="CharDivNo"/>
        </w:rPr>
        <w:t>Division 1</w:t>
      </w:r>
      <w:r>
        <w:t> — </w:t>
      </w:r>
      <w:r>
        <w:rPr>
          <w:rStyle w:val="CharDivText"/>
        </w:rPr>
        <w:t>General</w:t>
      </w:r>
      <w:bookmarkEnd w:id="28"/>
      <w:bookmarkEnd w:id="29"/>
      <w:bookmarkEnd w:id="30"/>
      <w:bookmarkEnd w:id="31"/>
      <w:bookmarkEnd w:id="32"/>
      <w:bookmarkEnd w:id="33"/>
      <w:bookmarkEnd w:id="34"/>
      <w:bookmarkEnd w:id="35"/>
    </w:p>
    <w:p>
      <w:pPr>
        <w:pStyle w:val="Footnoteheading"/>
        <w:rPr>
          <w:iCs/>
        </w:rPr>
      </w:pPr>
      <w:r>
        <w:rPr>
          <w:iCs/>
        </w:rPr>
        <w:tab/>
        <w:t>[Heading inserted: No. 21 of 2009 s. 47.]</w:t>
      </w:r>
    </w:p>
    <w:p>
      <w:pPr>
        <w:pStyle w:val="Heading5"/>
      </w:pPr>
      <w:bookmarkStart w:id="36" w:name="_Toc131519332"/>
      <w:r>
        <w:rPr>
          <w:rStyle w:val="CharSectno"/>
        </w:rPr>
        <w:t>6</w:t>
      </w:r>
      <w:r>
        <w:t>.</w:t>
      </w:r>
      <w:r>
        <w:tab/>
        <w:t>Wagering licence and wagering licensee</w:t>
      </w:r>
      <w:bookmarkEnd w:id="36"/>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37" w:name="_Toc131519333"/>
      <w:r>
        <w:rPr>
          <w:rStyle w:val="CharSectno"/>
        </w:rPr>
        <w:t>7</w:t>
      </w:r>
      <w:r>
        <w:t>.</w:t>
      </w:r>
      <w:r>
        <w:tab/>
        <w:t>Associates</w:t>
      </w:r>
      <w:bookmarkEnd w:id="37"/>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lastRenderedPageBreak/>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lastRenderedPageBreak/>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38" w:name="_Toc131519334"/>
      <w:r>
        <w:rPr>
          <w:rStyle w:val="CharSectno"/>
        </w:rPr>
        <w:t>8</w:t>
      </w:r>
      <w:r>
        <w:t>.</w:t>
      </w:r>
      <w:r>
        <w:tab/>
        <w:t>Key employees</w:t>
      </w:r>
      <w:bookmarkEnd w:id="38"/>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lastRenderedPageBreak/>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39" w:name="_Toc131519335"/>
      <w:r>
        <w:rPr>
          <w:rStyle w:val="CharSectno"/>
        </w:rPr>
        <w:t>9</w:t>
      </w:r>
      <w:r>
        <w:t>.</w:t>
      </w:r>
      <w:r>
        <w:tab/>
        <w:t>Determinations of good repute and public interest</w:t>
      </w:r>
      <w:bookmarkEnd w:id="39"/>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40" w:name="_Toc106004635"/>
      <w:bookmarkStart w:id="41" w:name="_Toc106004757"/>
      <w:bookmarkStart w:id="42" w:name="_Toc106096394"/>
      <w:bookmarkStart w:id="43" w:name="_Toc107154045"/>
      <w:bookmarkStart w:id="44" w:name="_Toc107239628"/>
      <w:bookmarkStart w:id="45" w:name="_Toc131496465"/>
      <w:bookmarkStart w:id="46" w:name="_Toc131497290"/>
      <w:bookmarkStart w:id="47" w:name="_Toc131519336"/>
      <w:r>
        <w:rPr>
          <w:rStyle w:val="CharDivNo"/>
        </w:rPr>
        <w:t>Division 2</w:t>
      </w:r>
      <w:r>
        <w:t> — </w:t>
      </w:r>
      <w:r>
        <w:rPr>
          <w:rStyle w:val="CharDivText"/>
        </w:rPr>
        <w:t>Applications for and grant of wagering licences</w:t>
      </w:r>
      <w:bookmarkEnd w:id="40"/>
      <w:bookmarkEnd w:id="41"/>
      <w:bookmarkEnd w:id="42"/>
      <w:bookmarkEnd w:id="43"/>
      <w:bookmarkEnd w:id="44"/>
      <w:bookmarkEnd w:id="45"/>
      <w:bookmarkEnd w:id="46"/>
      <w:bookmarkEnd w:id="47"/>
    </w:p>
    <w:p>
      <w:pPr>
        <w:pStyle w:val="Footnoteheading"/>
        <w:rPr>
          <w:iCs/>
        </w:rPr>
      </w:pPr>
      <w:r>
        <w:rPr>
          <w:iCs/>
        </w:rPr>
        <w:tab/>
        <w:t xml:space="preserve">[Heading inserted: </w:t>
      </w:r>
      <w:r>
        <w:t>No. 21 of 2009 s. 47</w:t>
      </w:r>
      <w:r>
        <w:rPr>
          <w:iCs/>
        </w:rPr>
        <w:t>.]</w:t>
      </w:r>
    </w:p>
    <w:p>
      <w:pPr>
        <w:pStyle w:val="Heading5"/>
      </w:pPr>
      <w:bookmarkStart w:id="48" w:name="_Toc131519337"/>
      <w:r>
        <w:rPr>
          <w:rStyle w:val="CharSectno"/>
        </w:rPr>
        <w:t>10</w:t>
      </w:r>
      <w:r>
        <w:t>.</w:t>
      </w:r>
      <w:r>
        <w:tab/>
        <w:t>Application for wagering licence</w:t>
      </w:r>
      <w:bookmarkEnd w:id="48"/>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49" w:name="_Toc131519338"/>
      <w:r>
        <w:rPr>
          <w:rStyle w:val="CharSectno"/>
        </w:rPr>
        <w:lastRenderedPageBreak/>
        <w:t>10A</w:t>
      </w:r>
      <w:r>
        <w:t>.</w:t>
      </w:r>
      <w:r>
        <w:tab/>
        <w:t>Grant of wagering licence</w:t>
      </w:r>
      <w:bookmarkEnd w:id="49"/>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50" w:name="_Toc131519339"/>
      <w:r>
        <w:rPr>
          <w:rStyle w:val="CharSectno"/>
        </w:rPr>
        <w:t>10B</w:t>
      </w:r>
      <w:r>
        <w:t>.</w:t>
      </w:r>
      <w:r>
        <w:tab/>
        <w:t>Fee for wagering licence</w:t>
      </w:r>
      <w:bookmarkEnd w:id="50"/>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lastRenderedPageBreak/>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51" w:name="_Toc131519340"/>
      <w:r>
        <w:rPr>
          <w:rStyle w:val="CharSectno"/>
        </w:rPr>
        <w:t>10C</w:t>
      </w:r>
      <w:r>
        <w:t>.</w:t>
      </w:r>
      <w:r>
        <w:tab/>
        <w:t>Duration of wagering licence</w:t>
      </w:r>
      <w:bookmarkEnd w:id="51"/>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lastRenderedPageBreak/>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52" w:name="_Toc131519341"/>
      <w:r>
        <w:rPr>
          <w:rStyle w:val="CharSectno"/>
        </w:rPr>
        <w:t>10D</w:t>
      </w:r>
      <w:r>
        <w:t>.</w:t>
      </w:r>
      <w:r>
        <w:tab/>
        <w:t>Wagering licence may authorise preparatory action</w:t>
      </w:r>
      <w:bookmarkEnd w:id="52"/>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lastRenderedPageBreak/>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53" w:name="_Toc131519342"/>
      <w:r>
        <w:rPr>
          <w:rStyle w:val="CharSectno"/>
        </w:rPr>
        <w:t>10E</w:t>
      </w:r>
      <w:r>
        <w:t>.</w:t>
      </w:r>
      <w:r>
        <w:tab/>
        <w:t>Transfer of wagering licence</w:t>
      </w:r>
      <w:bookmarkEnd w:id="53"/>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lastRenderedPageBreak/>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54" w:name="_Toc131519343"/>
      <w:r>
        <w:rPr>
          <w:rStyle w:val="CharSectno"/>
        </w:rPr>
        <w:t>10F</w:t>
      </w:r>
      <w:r>
        <w:t>.</w:t>
      </w:r>
      <w:r>
        <w:tab/>
        <w:t>No proprietary right in wagering licence</w:t>
      </w:r>
      <w:bookmarkEnd w:id="54"/>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55" w:name="_Toc106004643"/>
      <w:bookmarkStart w:id="56" w:name="_Toc106004765"/>
      <w:bookmarkStart w:id="57" w:name="_Toc106096402"/>
      <w:bookmarkStart w:id="58" w:name="_Toc107154053"/>
      <w:bookmarkStart w:id="59" w:name="_Toc107239636"/>
      <w:bookmarkStart w:id="60" w:name="_Toc131496473"/>
      <w:bookmarkStart w:id="61" w:name="_Toc131497298"/>
      <w:bookmarkStart w:id="62" w:name="_Toc131519344"/>
      <w:r>
        <w:rPr>
          <w:rStyle w:val="CharDivNo"/>
        </w:rPr>
        <w:lastRenderedPageBreak/>
        <w:t>Division 3</w:t>
      </w:r>
      <w:r>
        <w:t> — </w:t>
      </w:r>
      <w:r>
        <w:rPr>
          <w:rStyle w:val="CharDivText"/>
        </w:rPr>
        <w:t>Conditions of wagering licences</w:t>
      </w:r>
      <w:bookmarkEnd w:id="55"/>
      <w:bookmarkEnd w:id="56"/>
      <w:bookmarkEnd w:id="57"/>
      <w:bookmarkEnd w:id="58"/>
      <w:bookmarkEnd w:id="59"/>
      <w:bookmarkEnd w:id="60"/>
      <w:bookmarkEnd w:id="61"/>
      <w:bookmarkEnd w:id="62"/>
    </w:p>
    <w:p>
      <w:pPr>
        <w:pStyle w:val="Footnotesection"/>
        <w:keepNext/>
        <w:rPr>
          <w:iCs/>
        </w:rPr>
      </w:pPr>
      <w:r>
        <w:rPr>
          <w:iCs/>
        </w:rPr>
        <w:tab/>
        <w:t>[Heading inserted: No. 21 of 2009 s. 47.]</w:t>
      </w:r>
    </w:p>
    <w:p>
      <w:pPr>
        <w:pStyle w:val="Heading5"/>
      </w:pPr>
      <w:bookmarkStart w:id="63" w:name="_Toc131519345"/>
      <w:r>
        <w:rPr>
          <w:rStyle w:val="CharSectno"/>
        </w:rPr>
        <w:t>10G</w:t>
      </w:r>
      <w:r>
        <w:t>.</w:t>
      </w:r>
      <w:r>
        <w:tab/>
        <w:t>Financial assurance</w:t>
      </w:r>
      <w:bookmarkEnd w:id="63"/>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64" w:name="_Toc131519346"/>
      <w:r>
        <w:rPr>
          <w:rStyle w:val="CharSectno"/>
        </w:rPr>
        <w:t>10H</w:t>
      </w:r>
      <w:r>
        <w:t>.</w:t>
      </w:r>
      <w:r>
        <w:tab/>
        <w:t>Racing industry arrangement</w:t>
      </w:r>
      <w:bookmarkEnd w:id="64"/>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65" w:name="_Toc131519347"/>
      <w:r>
        <w:rPr>
          <w:rStyle w:val="CharSectno"/>
        </w:rPr>
        <w:lastRenderedPageBreak/>
        <w:t>10I</w:t>
      </w:r>
      <w:r>
        <w:t>.</w:t>
      </w:r>
      <w:r>
        <w:tab/>
        <w:t>Consumer protection policy</w:t>
      </w:r>
      <w:bookmarkEnd w:id="65"/>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66" w:name="_Toc131519348"/>
      <w:r>
        <w:rPr>
          <w:rStyle w:val="CharSectno"/>
        </w:rPr>
        <w:t>10J</w:t>
      </w:r>
      <w:r>
        <w:t>.</w:t>
      </w:r>
      <w:r>
        <w:tab/>
        <w:t>General provisions relating to bets with wagering licensee</w:t>
      </w:r>
      <w:bookmarkEnd w:id="66"/>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67" w:name="_Toc106004648"/>
      <w:bookmarkStart w:id="68" w:name="_Toc106004770"/>
      <w:bookmarkStart w:id="69" w:name="_Toc106096407"/>
      <w:bookmarkStart w:id="70" w:name="_Toc107154058"/>
      <w:bookmarkStart w:id="71" w:name="_Toc107239641"/>
      <w:bookmarkStart w:id="72" w:name="_Toc131496478"/>
      <w:bookmarkStart w:id="73" w:name="_Toc131497303"/>
      <w:bookmarkStart w:id="74" w:name="_Toc131519349"/>
      <w:r>
        <w:rPr>
          <w:rStyle w:val="CharDivNo"/>
        </w:rPr>
        <w:t>Division 4</w:t>
      </w:r>
      <w:r>
        <w:t> — </w:t>
      </w:r>
      <w:r>
        <w:rPr>
          <w:rStyle w:val="CharDivText"/>
        </w:rPr>
        <w:t>Disciplinary and other actions concerning wagering licences</w:t>
      </w:r>
      <w:bookmarkEnd w:id="67"/>
      <w:bookmarkEnd w:id="68"/>
      <w:bookmarkEnd w:id="69"/>
      <w:bookmarkEnd w:id="70"/>
      <w:bookmarkEnd w:id="71"/>
      <w:bookmarkEnd w:id="72"/>
      <w:bookmarkEnd w:id="73"/>
      <w:bookmarkEnd w:id="74"/>
    </w:p>
    <w:p>
      <w:pPr>
        <w:pStyle w:val="Footnoteheading"/>
        <w:rPr>
          <w:iCs/>
        </w:rPr>
      </w:pPr>
      <w:r>
        <w:rPr>
          <w:iCs/>
        </w:rPr>
        <w:tab/>
        <w:t xml:space="preserve">[Heading inserted: </w:t>
      </w:r>
      <w:r>
        <w:t>No. 21 of 2009 s. 47</w:t>
      </w:r>
      <w:r>
        <w:rPr>
          <w:iCs/>
        </w:rPr>
        <w:t>.]</w:t>
      </w:r>
    </w:p>
    <w:p>
      <w:pPr>
        <w:pStyle w:val="Heading5"/>
      </w:pPr>
      <w:bookmarkStart w:id="75" w:name="_Toc131519350"/>
      <w:r>
        <w:rPr>
          <w:rStyle w:val="CharSectno"/>
        </w:rPr>
        <w:t>10K</w:t>
      </w:r>
      <w:r>
        <w:t>.</w:t>
      </w:r>
      <w:r>
        <w:tab/>
        <w:t>Commission may take or recommend disciplinary action</w:t>
      </w:r>
      <w:bookmarkEnd w:id="75"/>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lastRenderedPageBreak/>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lastRenderedPageBreak/>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lastRenderedPageBreak/>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76" w:name="_Toc131519351"/>
      <w:r>
        <w:rPr>
          <w:rStyle w:val="CharSectno"/>
        </w:rPr>
        <w:t>10L</w:t>
      </w:r>
      <w:r>
        <w:t>.</w:t>
      </w:r>
      <w:r>
        <w:tab/>
        <w:t>Minister’s power to amend, suspend or cancel wagering licence</w:t>
      </w:r>
      <w:bookmarkEnd w:id="76"/>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lastRenderedPageBreak/>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77" w:name="_Toc131519352"/>
      <w:r>
        <w:rPr>
          <w:rStyle w:val="CharSectno"/>
        </w:rPr>
        <w:t>10M</w:t>
      </w:r>
      <w:r>
        <w:t>.</w:t>
      </w:r>
      <w:r>
        <w:tab/>
        <w:t>Suspension of wagering licence</w:t>
      </w:r>
      <w:bookmarkEnd w:id="77"/>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lastRenderedPageBreak/>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78" w:name="_Toc131519353"/>
      <w:r>
        <w:rPr>
          <w:rStyle w:val="CharSectno"/>
        </w:rPr>
        <w:t>10N</w:t>
      </w:r>
      <w:r>
        <w:t>.</w:t>
      </w:r>
      <w:r>
        <w:tab/>
        <w:t>Surrender of wagering licence</w:t>
      </w:r>
      <w:bookmarkEnd w:id="78"/>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79" w:name="_Toc131519354"/>
      <w:r>
        <w:rPr>
          <w:rStyle w:val="CharSectno"/>
        </w:rPr>
        <w:t>10O</w:t>
      </w:r>
      <w:r>
        <w:t>.</w:t>
      </w:r>
      <w:r>
        <w:tab/>
        <w:t>Appointment of temporary licensee if wagering licence suspended, cancelled, surrendered</w:t>
      </w:r>
      <w:bookmarkEnd w:id="79"/>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lastRenderedPageBreak/>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80" w:name="_Toc131519355"/>
      <w:r>
        <w:rPr>
          <w:rStyle w:val="CharSectno"/>
        </w:rPr>
        <w:t>10P</w:t>
      </w:r>
      <w:r>
        <w:t>.</w:t>
      </w:r>
      <w:r>
        <w:tab/>
        <w:t>Directions necessary for transitioning to new wagering licence</w:t>
      </w:r>
      <w:bookmarkEnd w:id="80"/>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lastRenderedPageBreak/>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81" w:name="_Toc106004655"/>
      <w:bookmarkStart w:id="82" w:name="_Toc106004777"/>
      <w:bookmarkStart w:id="83" w:name="_Toc106096414"/>
      <w:bookmarkStart w:id="84" w:name="_Toc107154065"/>
      <w:bookmarkStart w:id="85" w:name="_Toc107239648"/>
      <w:bookmarkStart w:id="86" w:name="_Toc131496485"/>
      <w:bookmarkStart w:id="87" w:name="_Toc131497310"/>
      <w:bookmarkStart w:id="88" w:name="_Toc131519356"/>
      <w:r>
        <w:rPr>
          <w:rStyle w:val="CharDivNo"/>
        </w:rPr>
        <w:t>Division 5</w:t>
      </w:r>
      <w:r>
        <w:t> — </w:t>
      </w:r>
      <w:r>
        <w:rPr>
          <w:rStyle w:val="CharDivText"/>
        </w:rPr>
        <w:t>Miscellaneous</w:t>
      </w:r>
      <w:bookmarkEnd w:id="81"/>
      <w:bookmarkEnd w:id="82"/>
      <w:bookmarkEnd w:id="83"/>
      <w:bookmarkEnd w:id="84"/>
      <w:bookmarkEnd w:id="85"/>
      <w:bookmarkEnd w:id="86"/>
      <w:bookmarkEnd w:id="87"/>
      <w:bookmarkEnd w:id="88"/>
    </w:p>
    <w:p>
      <w:pPr>
        <w:pStyle w:val="Footnoteheading"/>
        <w:rPr>
          <w:iCs/>
        </w:rPr>
      </w:pPr>
      <w:r>
        <w:rPr>
          <w:iCs/>
        </w:rPr>
        <w:tab/>
        <w:t xml:space="preserve">[Heading inserted: </w:t>
      </w:r>
      <w:r>
        <w:t>No. 21 of 2009 s. 47</w:t>
      </w:r>
      <w:r>
        <w:rPr>
          <w:iCs/>
        </w:rPr>
        <w:t>.]</w:t>
      </w:r>
    </w:p>
    <w:p>
      <w:pPr>
        <w:pStyle w:val="Heading5"/>
      </w:pPr>
      <w:bookmarkStart w:id="89" w:name="_Toc131519357"/>
      <w:r>
        <w:rPr>
          <w:rStyle w:val="CharSectno"/>
        </w:rPr>
        <w:t>10Q</w:t>
      </w:r>
      <w:r>
        <w:t>.</w:t>
      </w:r>
      <w:r>
        <w:tab/>
        <w:t>Wagering licence agreements</w:t>
      </w:r>
      <w:bookmarkEnd w:id="89"/>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90" w:name="_Toc131519358"/>
      <w:r>
        <w:rPr>
          <w:rStyle w:val="CharSectno"/>
        </w:rPr>
        <w:t>10R</w:t>
      </w:r>
      <w:r>
        <w:t>.</w:t>
      </w:r>
      <w:r>
        <w:tab/>
        <w:t>Minister may amend wagering licence on request</w:t>
      </w:r>
      <w:bookmarkEnd w:id="90"/>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lastRenderedPageBreak/>
        <w:tab/>
        <w:t>(b)</w:t>
      </w:r>
      <w:r>
        <w:tab/>
        <w:t>on a later date specified in the notice.</w:t>
      </w:r>
    </w:p>
    <w:p>
      <w:pPr>
        <w:pStyle w:val="Footnotesection"/>
        <w:rPr>
          <w:iCs/>
        </w:rPr>
      </w:pPr>
      <w:r>
        <w:rPr>
          <w:iCs/>
        </w:rPr>
        <w:tab/>
        <w:t>[Section 10R inserted: No. 21 of 2019 s. 47.]</w:t>
      </w:r>
    </w:p>
    <w:p>
      <w:pPr>
        <w:pStyle w:val="Heading5"/>
      </w:pPr>
      <w:bookmarkStart w:id="91" w:name="_Toc131519359"/>
      <w:r>
        <w:rPr>
          <w:rStyle w:val="CharSectno"/>
        </w:rPr>
        <w:t>10S</w:t>
      </w:r>
      <w:r>
        <w:t>.</w:t>
      </w:r>
      <w:r>
        <w:tab/>
        <w:t>Combined totalisator pool and fixed odds schemes</w:t>
      </w:r>
      <w:bookmarkEnd w:id="91"/>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92" w:name="_Toc131519360"/>
      <w:r>
        <w:rPr>
          <w:rStyle w:val="CharSectno"/>
        </w:rPr>
        <w:lastRenderedPageBreak/>
        <w:t>10T</w:t>
      </w:r>
      <w:r>
        <w:t>.</w:t>
      </w:r>
      <w:r>
        <w:tab/>
        <w:t>Engaging contractors and appointing agents to assist wagering licensee</w:t>
      </w:r>
      <w:bookmarkEnd w:id="92"/>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93" w:name="_Toc131519361"/>
      <w:r>
        <w:rPr>
          <w:rStyle w:val="CharSectno"/>
        </w:rPr>
        <w:t>10U</w:t>
      </w:r>
      <w:r>
        <w:t>.</w:t>
      </w:r>
      <w:r>
        <w:tab/>
        <w:t>Betting agencies</w:t>
      </w:r>
      <w:bookmarkEnd w:id="93"/>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94" w:name="_Toc131519362"/>
      <w:r>
        <w:rPr>
          <w:rStyle w:val="CharSectno"/>
        </w:rPr>
        <w:lastRenderedPageBreak/>
        <w:t>10V</w:t>
      </w:r>
      <w:r>
        <w:t>.</w:t>
      </w:r>
      <w:r>
        <w:tab/>
        <w:t>Directions relating to betting agencies</w:t>
      </w:r>
      <w:bookmarkEnd w:id="94"/>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95" w:name="_Toc131519363"/>
      <w:r>
        <w:rPr>
          <w:rStyle w:val="CharSectno"/>
        </w:rPr>
        <w:t>10W</w:t>
      </w:r>
      <w:r>
        <w:t>.</w:t>
      </w:r>
      <w:r>
        <w:tab/>
        <w:t>Wagering licensee to give notice to Commission about certain matters</w:t>
      </w:r>
      <w:bookmarkEnd w:id="95"/>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96" w:name="_Toc131519364"/>
      <w:r>
        <w:rPr>
          <w:rStyle w:val="CharSectno"/>
        </w:rPr>
        <w:lastRenderedPageBreak/>
        <w:t>10X</w:t>
      </w:r>
      <w:r>
        <w:t>.</w:t>
      </w:r>
      <w:r>
        <w:tab/>
        <w:t>Approval of associates of wagering licensee</w:t>
      </w:r>
      <w:bookmarkEnd w:id="96"/>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lastRenderedPageBreak/>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97" w:name="_Toc131519365"/>
      <w:r>
        <w:rPr>
          <w:rStyle w:val="CharSectno"/>
        </w:rPr>
        <w:t>10Y</w:t>
      </w:r>
      <w:r>
        <w:t>.</w:t>
      </w:r>
      <w:r>
        <w:tab/>
        <w:t>Commission may give directions to wagering licensee in relation to wagering business</w:t>
      </w:r>
      <w:bookmarkEnd w:id="97"/>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lastRenderedPageBreak/>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98" w:name="_Toc131519366"/>
      <w:r>
        <w:rPr>
          <w:rStyle w:val="CharSectno"/>
        </w:rPr>
        <w:t>10Z</w:t>
      </w:r>
      <w:r>
        <w:t>.</w:t>
      </w:r>
      <w:r>
        <w:tab/>
        <w:t>Disclosure of certain information authorised</w:t>
      </w:r>
      <w:bookmarkEnd w:id="98"/>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lastRenderedPageBreak/>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99" w:name="_Toc131519367"/>
      <w:r>
        <w:rPr>
          <w:rStyle w:val="CharSectno"/>
        </w:rPr>
        <w:t>10ZA</w:t>
      </w:r>
      <w:r>
        <w:t>.</w:t>
      </w:r>
      <w:r>
        <w:tab/>
        <w:t>Amount deducted as commission by wagering licensee</w:t>
      </w:r>
      <w:bookmarkEnd w:id="99"/>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00" w:name="_Toc131519368"/>
      <w:r>
        <w:rPr>
          <w:rStyle w:val="CharSectno"/>
        </w:rPr>
        <w:t>10ZB</w:t>
      </w:r>
      <w:r>
        <w:t>.</w:t>
      </w:r>
      <w:r>
        <w:tab/>
        <w:t>Unclaimed moneys</w:t>
      </w:r>
      <w:bookmarkEnd w:id="100"/>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lastRenderedPageBreak/>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01" w:name="_Toc131519369"/>
      <w:r>
        <w:rPr>
          <w:rStyle w:val="CharSectno"/>
        </w:rPr>
        <w:t>10ZC</w:t>
      </w:r>
      <w:r>
        <w:t>.</w:t>
      </w:r>
      <w:r>
        <w:tab/>
        <w:t xml:space="preserve">Authorisation for </w:t>
      </w:r>
      <w:r>
        <w:rPr>
          <w:i/>
        </w:rPr>
        <w:t xml:space="preserve">Competition and Consumer Act 2010 </w:t>
      </w:r>
      <w:r>
        <w:t>(Cth) and Competition Code</w:t>
      </w:r>
      <w:bookmarkEnd w:id="101"/>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lastRenderedPageBreak/>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02" w:name="_Toc131519370"/>
      <w:r>
        <w:rPr>
          <w:rStyle w:val="CharSectno"/>
        </w:rPr>
        <w:t>10ZD</w:t>
      </w:r>
      <w:r>
        <w:t>.</w:t>
      </w:r>
      <w:r>
        <w:tab/>
        <w:t>Confidential police information</w:t>
      </w:r>
      <w:bookmarkEnd w:id="102"/>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lastRenderedPageBreak/>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03" w:name="_Toc106004670"/>
      <w:bookmarkStart w:id="104" w:name="_Toc106004792"/>
      <w:bookmarkStart w:id="105" w:name="_Toc106096429"/>
      <w:bookmarkStart w:id="106" w:name="_Toc107154080"/>
      <w:bookmarkStart w:id="107" w:name="_Toc107239663"/>
      <w:bookmarkStart w:id="108" w:name="_Toc131496500"/>
      <w:bookmarkStart w:id="109" w:name="_Toc131497325"/>
      <w:bookmarkStart w:id="110" w:name="_Toc131519371"/>
      <w:r>
        <w:rPr>
          <w:rStyle w:val="CharPartNo"/>
        </w:rPr>
        <w:lastRenderedPageBreak/>
        <w:t>Part 2</w:t>
      </w:r>
      <w:r>
        <w:rPr>
          <w:b w:val="0"/>
        </w:rPr>
        <w:t> </w:t>
      </w:r>
      <w:r>
        <w:t>—</w:t>
      </w:r>
      <w:r>
        <w:rPr>
          <w:b w:val="0"/>
        </w:rPr>
        <w:t> </w:t>
      </w:r>
      <w:r>
        <w:rPr>
          <w:rStyle w:val="CharPartText"/>
        </w:rPr>
        <w:t>Other licences, approvals and permits</w:t>
      </w:r>
      <w:bookmarkEnd w:id="103"/>
      <w:bookmarkEnd w:id="104"/>
      <w:bookmarkEnd w:id="105"/>
      <w:bookmarkEnd w:id="106"/>
      <w:bookmarkEnd w:id="107"/>
      <w:bookmarkEnd w:id="108"/>
      <w:bookmarkEnd w:id="109"/>
      <w:bookmarkEnd w:id="110"/>
    </w:p>
    <w:p>
      <w:pPr>
        <w:pStyle w:val="Footnoteheading"/>
        <w:tabs>
          <w:tab w:val="left" w:pos="851"/>
        </w:tabs>
      </w:pPr>
      <w:r>
        <w:tab/>
        <w:t>[Heading inserted: No. 35 of 2003 s. 101(2); amended:  No. 21 of 2019 s. 48.]</w:t>
      </w:r>
    </w:p>
    <w:p>
      <w:pPr>
        <w:pStyle w:val="Heading5"/>
      </w:pPr>
      <w:bookmarkStart w:id="111" w:name="_Toc131519372"/>
      <w:r>
        <w:rPr>
          <w:rStyle w:val="CharSectno"/>
        </w:rPr>
        <w:t>11</w:t>
      </w:r>
      <w:r>
        <w:t>.</w:t>
      </w:r>
      <w:r>
        <w:tab/>
        <w:t>Licences and approvals relating to bookmaking</w:t>
      </w:r>
      <w:bookmarkEnd w:id="11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lastRenderedPageBreak/>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 xml:space="preserve">the full name and usual residential address of every person who on 30 June preceding the lodging of the return was a person who occupied a position of authority </w:t>
      </w:r>
      <w:r>
        <w:rPr>
          <w:snapToGrid w:val="0"/>
        </w:rPr>
        <w:lastRenderedPageBreak/>
        <w:t>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112" w:name="_Toc131519373"/>
      <w:r>
        <w:rPr>
          <w:rStyle w:val="CharSectno"/>
        </w:rPr>
        <w:t>11A</w:t>
      </w:r>
      <w:r>
        <w:t>.</w:t>
      </w:r>
      <w:r>
        <w:tab/>
        <w:t>Bookmaker’s licence — natural person</w:t>
      </w:r>
      <w:bookmarkEnd w:id="112"/>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lastRenderedPageBreak/>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113" w:name="_Toc131519374"/>
      <w:r>
        <w:rPr>
          <w:rStyle w:val="CharSectno"/>
        </w:rPr>
        <w:t>11B</w:t>
      </w:r>
      <w:r>
        <w:t>.</w:t>
      </w:r>
      <w:r>
        <w:tab/>
        <w:t>Bookmaker’s licence — partnership</w:t>
      </w:r>
      <w:bookmarkEnd w:id="113"/>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 xml:space="preserve">member of the partnership is a body corporate, that a person who occupies a position of authority in the body </w:t>
      </w:r>
      <w:r>
        <w:lastRenderedPageBreak/>
        <w:t>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lastRenderedPageBreak/>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lastRenderedPageBreak/>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 xml:space="preserve">If a person ceases to be the licensed manager of a licensee that is a partnership, each person who is a member of the partnership shall ensure that a new licensed manager is appointed within </w:t>
      </w:r>
      <w:r>
        <w:lastRenderedPageBreak/>
        <w:t>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114" w:name="_Toc131519375"/>
      <w:r>
        <w:rPr>
          <w:rStyle w:val="CharSectno"/>
        </w:rPr>
        <w:t>11C</w:t>
      </w:r>
      <w:r>
        <w:t>.</w:t>
      </w:r>
      <w:r>
        <w:tab/>
        <w:t>Bookmaker’s licences — body corporate</w:t>
      </w:r>
      <w:bookmarkEnd w:id="114"/>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lastRenderedPageBreak/>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lastRenderedPageBreak/>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lastRenderedPageBreak/>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115" w:name="_Toc131519376"/>
      <w:r>
        <w:rPr>
          <w:rStyle w:val="CharSectno"/>
        </w:rPr>
        <w:t>11D</w:t>
      </w:r>
      <w:r>
        <w:t>.</w:t>
      </w:r>
      <w:r>
        <w:tab/>
        <w:t>Licences — manager or employee</w:t>
      </w:r>
      <w:bookmarkEnd w:id="115"/>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lastRenderedPageBreak/>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lastRenderedPageBreak/>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lastRenderedPageBreak/>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16" w:name="_Toc131519377"/>
      <w:r>
        <w:rPr>
          <w:rStyle w:val="CharSectno"/>
        </w:rPr>
        <w:t>11E</w:t>
      </w:r>
      <w:r>
        <w:t>.</w:t>
      </w:r>
      <w:r>
        <w:tab/>
        <w:t>Security</w:t>
      </w:r>
      <w:bookmarkEnd w:id="116"/>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 xml:space="preserve">as security for the due observance by the bookmaker, a licensed manager of the bookmaker and a licensed employee of the bookmaker of the provisions of this Act </w:t>
      </w:r>
      <w:r>
        <w:rPr>
          <w:snapToGrid w:val="0"/>
        </w:rPr>
        <w:lastRenderedPageBreak/>
        <w:t>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lastRenderedPageBreak/>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lastRenderedPageBreak/>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w:t>
      </w:r>
    </w:p>
    <w:p>
      <w:pPr>
        <w:pStyle w:val="Heading5"/>
        <w:spacing w:before="180"/>
      </w:pPr>
      <w:bookmarkStart w:id="117" w:name="_Toc131519378"/>
      <w:r>
        <w:rPr>
          <w:rStyle w:val="CharSectno"/>
        </w:rPr>
        <w:t>11F</w:t>
      </w:r>
      <w:r>
        <w:t>.</w:t>
      </w:r>
      <w:r>
        <w:tab/>
        <w:t>Notification of Commission in relation to licensed manager</w:t>
      </w:r>
      <w:bookmarkEnd w:id="117"/>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lastRenderedPageBreak/>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18" w:name="_Toc131519379"/>
      <w:r>
        <w:rPr>
          <w:rStyle w:val="CharSectno"/>
        </w:rPr>
        <w:t>11G</w:t>
      </w:r>
      <w:r>
        <w:t>.</w:t>
      </w:r>
      <w:r>
        <w:tab/>
        <w:t>Offences</w:t>
      </w:r>
      <w:bookmarkEnd w:id="118"/>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lastRenderedPageBreak/>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w:t>
      </w:r>
      <w:r>
        <w:lastRenderedPageBreak/>
        <w:t>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19" w:name="_Toc131519380"/>
      <w:r>
        <w:rPr>
          <w:rStyle w:val="CharSectno"/>
        </w:rPr>
        <w:t>12</w:t>
      </w:r>
      <w:r>
        <w:rPr>
          <w:snapToGrid w:val="0"/>
        </w:rPr>
        <w:t>.</w:t>
      </w:r>
      <w:r>
        <w:rPr>
          <w:snapToGrid w:val="0"/>
        </w:rPr>
        <w:tab/>
        <w:t>Bookmaking on racecourses</w:t>
      </w:r>
      <w:bookmarkEnd w:id="11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lastRenderedPageBreak/>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lastRenderedPageBreak/>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lastRenderedPageBreak/>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lastRenderedPageBreak/>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20" w:name="_Toc131519381"/>
      <w:r>
        <w:rPr>
          <w:rStyle w:val="CharSectno"/>
        </w:rPr>
        <w:t>12A</w:t>
      </w:r>
      <w:r>
        <w:t>.</w:t>
      </w:r>
      <w:r>
        <w:tab/>
        <w:t>Temporary bookmakers’ employees’ licences</w:t>
      </w:r>
      <w:bookmarkEnd w:id="12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lastRenderedPageBreak/>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lastRenderedPageBreak/>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21" w:name="_Toc131519382"/>
      <w:r>
        <w:rPr>
          <w:rStyle w:val="CharSectno"/>
        </w:rPr>
        <w:t>13</w:t>
      </w:r>
      <w:r>
        <w:rPr>
          <w:snapToGrid w:val="0"/>
        </w:rPr>
        <w:t>.</w:t>
      </w:r>
      <w:r>
        <w:rPr>
          <w:snapToGrid w:val="0"/>
        </w:rPr>
        <w:tab/>
        <w:t>Bookmakers’ annual licence fee</w:t>
      </w:r>
      <w:bookmarkEnd w:id="121"/>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lastRenderedPageBreak/>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lastRenderedPageBreak/>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22" w:name="_Toc106004682"/>
      <w:bookmarkStart w:id="123" w:name="_Toc106004804"/>
      <w:bookmarkStart w:id="124" w:name="_Toc106096441"/>
      <w:bookmarkStart w:id="125" w:name="_Toc107154092"/>
      <w:bookmarkStart w:id="126" w:name="_Toc107239675"/>
      <w:bookmarkStart w:id="127" w:name="_Toc131496512"/>
      <w:bookmarkStart w:id="128" w:name="_Toc131497337"/>
      <w:bookmarkStart w:id="129" w:name="_Toc131519383"/>
      <w:r>
        <w:rPr>
          <w:rStyle w:val="CharPartNo"/>
        </w:rPr>
        <w:lastRenderedPageBreak/>
        <w:t>Part 3</w:t>
      </w:r>
      <w:r>
        <w:rPr>
          <w:b w:val="0"/>
        </w:rPr>
        <w:t> </w:t>
      </w:r>
      <w:r>
        <w:t>—</w:t>
      </w:r>
      <w:r>
        <w:rPr>
          <w:b w:val="0"/>
        </w:rPr>
        <w:t> </w:t>
      </w:r>
      <w:r>
        <w:rPr>
          <w:rStyle w:val="CharPartText"/>
        </w:rPr>
        <w:t>Levies and totalisators</w:t>
      </w:r>
      <w:bookmarkEnd w:id="122"/>
      <w:bookmarkEnd w:id="123"/>
      <w:bookmarkEnd w:id="124"/>
      <w:bookmarkEnd w:id="125"/>
      <w:bookmarkEnd w:id="126"/>
      <w:bookmarkEnd w:id="127"/>
      <w:bookmarkEnd w:id="128"/>
      <w:bookmarkEnd w:id="129"/>
    </w:p>
    <w:p>
      <w:pPr>
        <w:pStyle w:val="Footnoteheading"/>
        <w:tabs>
          <w:tab w:val="left" w:pos="851"/>
        </w:tabs>
      </w:pPr>
      <w:r>
        <w:tab/>
        <w:t>[Heading inserted: No. 35 of 2003 s. 101(3).]</w:t>
      </w:r>
    </w:p>
    <w:p>
      <w:pPr>
        <w:pStyle w:val="Heading5"/>
      </w:pPr>
      <w:bookmarkStart w:id="130" w:name="_Toc131519384"/>
      <w:r>
        <w:rPr>
          <w:rStyle w:val="CharSectno"/>
        </w:rPr>
        <w:t>14</w:t>
      </w:r>
      <w:r>
        <w:t>.</w:t>
      </w:r>
      <w:r>
        <w:tab/>
        <w:t>Bets transmitted from racing club to wagering licensee</w:t>
      </w:r>
      <w:bookmarkEnd w:id="130"/>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31" w:name="_Toc131519385"/>
      <w:r>
        <w:rPr>
          <w:rStyle w:val="CharSectno"/>
        </w:rPr>
        <w:t>14A</w:t>
      </w:r>
      <w:r>
        <w:t>.</w:t>
      </w:r>
      <w:r>
        <w:tab/>
        <w:t>Betting operators’ liability to lodge returns and to pay racing bets levy</w:t>
      </w:r>
      <w:bookmarkEnd w:id="131"/>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lastRenderedPageBreak/>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lastRenderedPageBreak/>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32" w:name="_Toc131519386"/>
      <w:r>
        <w:rPr>
          <w:rStyle w:val="CharSectno"/>
        </w:rPr>
        <w:t>16A</w:t>
      </w:r>
      <w:r>
        <w:rPr>
          <w:snapToGrid w:val="0"/>
        </w:rPr>
        <w:t>.</w:t>
      </w:r>
      <w:r>
        <w:rPr>
          <w:snapToGrid w:val="0"/>
        </w:rPr>
        <w:tab/>
        <w:t>Books of account, records etc.</w:t>
      </w:r>
      <w:bookmarkEnd w:id="132"/>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 xml:space="preserve">setting out the financial position of the business carried on, in such a way as will enable the </w:t>
      </w:r>
      <w:r>
        <w:rPr>
          <w:snapToGrid w:val="0"/>
        </w:rPr>
        <w:lastRenderedPageBreak/>
        <w:t>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lastRenderedPageBreak/>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33" w:name="_Toc131519387"/>
      <w:r>
        <w:rPr>
          <w:rStyle w:val="CharSectno"/>
        </w:rPr>
        <w:lastRenderedPageBreak/>
        <w:t>17</w:t>
      </w:r>
      <w:r>
        <w:rPr>
          <w:snapToGrid w:val="0"/>
        </w:rPr>
        <w:t>.</w:t>
      </w:r>
      <w:r>
        <w:rPr>
          <w:snapToGrid w:val="0"/>
        </w:rPr>
        <w:tab/>
        <w:t>Effect on annual licence fee of not being entitled to receive or retain consideration</w:t>
      </w:r>
      <w:bookmarkEnd w:id="133"/>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34" w:name="_Toc131519388"/>
      <w:r>
        <w:rPr>
          <w:rStyle w:val="CharSectno"/>
        </w:rPr>
        <w:t>17A</w:t>
      </w:r>
      <w:r>
        <w:rPr>
          <w:snapToGrid w:val="0"/>
        </w:rPr>
        <w:t>.</w:t>
      </w:r>
      <w:r>
        <w:rPr>
          <w:snapToGrid w:val="0"/>
        </w:rPr>
        <w:tab/>
        <w:t>Annual licence fee in respect of totalisators</w:t>
      </w:r>
      <w:bookmarkEnd w:id="134"/>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lastRenderedPageBreak/>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35" w:name="_Toc131519389"/>
      <w:r>
        <w:rPr>
          <w:rStyle w:val="CharSectno"/>
        </w:rPr>
        <w:t>17B</w:t>
      </w:r>
      <w:r>
        <w:rPr>
          <w:snapToGrid w:val="0"/>
        </w:rPr>
        <w:t>.</w:t>
      </w:r>
      <w:r>
        <w:rPr>
          <w:snapToGrid w:val="0"/>
        </w:rPr>
        <w:tab/>
        <w:t>Use of the totalisator by racing clubs</w:t>
      </w:r>
      <w:bookmarkEnd w:id="135"/>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w:t>
      </w:r>
      <w:r>
        <w:rPr>
          <w:snapToGrid w:val="0"/>
        </w:rPr>
        <w:lastRenderedPageBreak/>
        <w:t>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36" w:name="_Toc131519390"/>
      <w:r>
        <w:rPr>
          <w:rStyle w:val="CharSectno"/>
        </w:rPr>
        <w:t>17C</w:t>
      </w:r>
      <w:r>
        <w:rPr>
          <w:snapToGrid w:val="0"/>
        </w:rPr>
        <w:t>.</w:t>
      </w:r>
      <w:r>
        <w:rPr>
          <w:snapToGrid w:val="0"/>
        </w:rPr>
        <w:tab/>
        <w:t>Making of bets on designated sporting events not authorised</w:t>
      </w:r>
      <w:bookmarkEnd w:id="136"/>
    </w:p>
    <w:p>
      <w:pPr>
        <w:pStyle w:val="Subsection"/>
        <w:rPr>
          <w:snapToGrid w:val="0"/>
        </w:rPr>
      </w:pPr>
      <w:r>
        <w:rPr>
          <w:snapToGrid w:val="0"/>
        </w:rPr>
        <w:tab/>
      </w:r>
      <w:r>
        <w:rPr>
          <w:snapToGrid w:val="0"/>
        </w:rPr>
        <w:tab/>
        <w:t xml:space="preserve">Notwithstanding the application of this Act to designated sporting events conducted by a permittee at a registered place, and the deeming provisions of section 4A, section 17B shall not </w:t>
      </w:r>
      <w:r>
        <w:rPr>
          <w:snapToGrid w:val="0"/>
        </w:rPr>
        <w:lastRenderedPageBreak/>
        <w:t>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37" w:name="_Toc131519391"/>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3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38" w:name="_Toc131519392"/>
      <w:r>
        <w:rPr>
          <w:rStyle w:val="CharSectno"/>
        </w:rPr>
        <w:t>17E</w:t>
      </w:r>
      <w:r>
        <w:rPr>
          <w:snapToGrid w:val="0"/>
        </w:rPr>
        <w:t>.</w:t>
      </w:r>
      <w:r>
        <w:rPr>
          <w:snapToGrid w:val="0"/>
        </w:rPr>
        <w:tab/>
        <w:t>Percentage of off course bets to belong to RWWA</w:t>
      </w:r>
      <w:bookmarkEnd w:id="138"/>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lastRenderedPageBreak/>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39" w:name="_Toc131519393"/>
      <w:r>
        <w:rPr>
          <w:rStyle w:val="CharSectno"/>
        </w:rPr>
        <w:t>17EA</w:t>
      </w:r>
      <w:r>
        <w:t>.</w:t>
      </w:r>
      <w:r>
        <w:tab/>
        <w:t xml:space="preserve">Management of fixed odds </w:t>
      </w:r>
      <w:r>
        <w:rPr>
          <w:snapToGrid w:val="0"/>
        </w:rPr>
        <w:t>—</w:t>
      </w:r>
      <w:r>
        <w:t xml:space="preserve"> prescribed margin</w:t>
      </w:r>
      <w:bookmarkEnd w:id="139"/>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25pt;height:18.35pt" o:ole="">
            <v:imagedata r:id="rId21" o:title=""/>
          </v:shape>
          <o:OLEObject Type="Embed" ProgID="Equation.3" ShapeID="_x0000_i1025" DrawAspect="Content" ObjectID="_1742297532" r:id="rId22"/>
        </w:object>
      </w:r>
    </w:p>
    <w:p>
      <w:pPr>
        <w:pStyle w:val="Subsection"/>
        <w:spacing w:before="100"/>
      </w:pPr>
      <w:r>
        <w:lastRenderedPageBreak/>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40" w:name="_Toc131519394"/>
      <w:r>
        <w:rPr>
          <w:rStyle w:val="CharSectno"/>
        </w:rPr>
        <w:t>17F</w:t>
      </w:r>
      <w:r>
        <w:rPr>
          <w:snapToGrid w:val="0"/>
        </w:rPr>
        <w:t>.</w:t>
      </w:r>
      <w:r>
        <w:rPr>
          <w:snapToGrid w:val="0"/>
        </w:rPr>
        <w:tab/>
        <w:t>Percentage of bets to belong to racing club</w:t>
      </w:r>
      <w:bookmarkEnd w:id="140"/>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41" w:name="_Toc131519395"/>
      <w:r>
        <w:rPr>
          <w:rStyle w:val="CharSectno"/>
        </w:rPr>
        <w:lastRenderedPageBreak/>
        <w:t>18B</w:t>
      </w:r>
      <w:r>
        <w:rPr>
          <w:snapToGrid w:val="0"/>
        </w:rPr>
        <w:t>.</w:t>
      </w:r>
      <w:r>
        <w:rPr>
          <w:snapToGrid w:val="0"/>
        </w:rPr>
        <w:tab/>
        <w:t>Assessment of annual licence fee</w:t>
      </w:r>
      <w:bookmarkEnd w:id="141"/>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w:t>
      </w:r>
      <w:r>
        <w:rPr>
          <w:snapToGrid w:val="0"/>
        </w:rPr>
        <w:lastRenderedPageBreak/>
        <w:t xml:space="preserve">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42" w:name="_Toc106004695"/>
      <w:bookmarkStart w:id="143" w:name="_Toc106004817"/>
      <w:bookmarkStart w:id="144" w:name="_Toc106096454"/>
      <w:bookmarkStart w:id="145" w:name="_Toc107154105"/>
      <w:bookmarkStart w:id="146" w:name="_Toc107239688"/>
      <w:bookmarkStart w:id="147" w:name="_Toc131496525"/>
      <w:bookmarkStart w:id="148" w:name="_Toc131497350"/>
      <w:bookmarkStart w:id="149" w:name="_Toc131519396"/>
      <w:r>
        <w:rPr>
          <w:rStyle w:val="CharPartNo"/>
        </w:rPr>
        <w:lastRenderedPageBreak/>
        <w:t>Part 4</w:t>
      </w:r>
      <w:r>
        <w:rPr>
          <w:b w:val="0"/>
        </w:rPr>
        <w:t> </w:t>
      </w:r>
      <w:r>
        <w:t>—</w:t>
      </w:r>
      <w:r>
        <w:rPr>
          <w:b w:val="0"/>
        </w:rPr>
        <w:t> </w:t>
      </w:r>
      <w:r>
        <w:rPr>
          <w:rStyle w:val="CharPartText"/>
        </w:rPr>
        <w:t>Enforcement and offences</w:t>
      </w:r>
      <w:bookmarkEnd w:id="142"/>
      <w:bookmarkEnd w:id="143"/>
      <w:bookmarkEnd w:id="144"/>
      <w:bookmarkEnd w:id="145"/>
      <w:bookmarkEnd w:id="146"/>
      <w:bookmarkEnd w:id="147"/>
      <w:bookmarkEnd w:id="148"/>
      <w:bookmarkEnd w:id="149"/>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50" w:name="_Toc131519397"/>
      <w:r>
        <w:rPr>
          <w:rStyle w:val="CharSectno"/>
        </w:rPr>
        <w:t>19A</w:t>
      </w:r>
      <w:r>
        <w:rPr>
          <w:snapToGrid w:val="0"/>
        </w:rPr>
        <w:t>.</w:t>
      </w:r>
      <w:r>
        <w:rPr>
          <w:snapToGrid w:val="0"/>
        </w:rPr>
        <w:tab/>
      </w:r>
      <w:r>
        <w:t>Commission</w:t>
      </w:r>
      <w:r>
        <w:rPr>
          <w:snapToGrid w:val="0"/>
        </w:rPr>
        <w:t xml:space="preserve"> may recover unpaid money in respect of annual licence fee</w:t>
      </w:r>
      <w:bookmarkEnd w:id="15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51" w:name="_Toc131519398"/>
      <w:r>
        <w:rPr>
          <w:rStyle w:val="CharSectno"/>
        </w:rPr>
        <w:t>20</w:t>
      </w:r>
      <w:r>
        <w:t>.</w:t>
      </w:r>
      <w:r>
        <w:tab/>
        <w:t>Entry and inspection of racecourses and certain other premises</w:t>
      </w:r>
      <w:bookmarkEnd w:id="151"/>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lastRenderedPageBreak/>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lastRenderedPageBreak/>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52" w:name="_Toc131519399"/>
      <w:r>
        <w:rPr>
          <w:rStyle w:val="CharSectno"/>
        </w:rPr>
        <w:t>20A</w:t>
      </w:r>
      <w:r>
        <w:t>.</w:t>
      </w:r>
      <w:r>
        <w:tab/>
        <w:t>Powers of Commission representative</w:t>
      </w:r>
      <w:bookmarkEnd w:id="15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 xml:space="preserve">to give the Commission representative any information, record or other thing in the person’s </w:t>
      </w:r>
      <w:r>
        <w:lastRenderedPageBreak/>
        <w:t>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53" w:name="_Toc131519400"/>
      <w:r>
        <w:rPr>
          <w:rStyle w:val="CharSectno"/>
        </w:rPr>
        <w:t>20B</w:t>
      </w:r>
      <w:r>
        <w:t>.</w:t>
      </w:r>
      <w:r>
        <w:tab/>
        <w:t>Requirement to provide information</w:t>
      </w:r>
      <w:bookmarkEnd w:id="15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lastRenderedPageBreak/>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lastRenderedPageBreak/>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154" w:name="_Toc131519401"/>
      <w:r>
        <w:rPr>
          <w:rStyle w:val="CharSectno"/>
        </w:rPr>
        <w:t>20C</w:t>
      </w:r>
      <w:r>
        <w:t>.</w:t>
      </w:r>
      <w:r>
        <w:tab/>
        <w:t>Complying with information requirements</w:t>
      </w:r>
      <w:bookmarkEnd w:id="15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55" w:name="_Toc131519402"/>
      <w:r>
        <w:rPr>
          <w:rStyle w:val="CharSectno"/>
        </w:rPr>
        <w:t>21</w:t>
      </w:r>
      <w:r>
        <w:rPr>
          <w:snapToGrid w:val="0"/>
        </w:rPr>
        <w:t>.</w:t>
      </w:r>
      <w:r>
        <w:rPr>
          <w:snapToGrid w:val="0"/>
        </w:rPr>
        <w:tab/>
        <w:t>Prohibition of betting with minors, intoxicated persons, etc.</w:t>
      </w:r>
      <w:bookmarkEnd w:id="15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lastRenderedPageBreak/>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lastRenderedPageBreak/>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56" w:name="_Toc131519403"/>
      <w:r>
        <w:rPr>
          <w:rStyle w:val="CharSectno"/>
        </w:rPr>
        <w:t>22</w:t>
      </w:r>
      <w:r>
        <w:rPr>
          <w:snapToGrid w:val="0"/>
        </w:rPr>
        <w:t>.</w:t>
      </w:r>
      <w:r>
        <w:rPr>
          <w:snapToGrid w:val="0"/>
        </w:rPr>
        <w:tab/>
        <w:t>Offences by minors</w:t>
      </w:r>
      <w:bookmarkEnd w:id="15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lastRenderedPageBreak/>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157" w:name="_Toc131519404"/>
      <w:r>
        <w:rPr>
          <w:rStyle w:val="CharSectno"/>
        </w:rPr>
        <w:t>22A</w:t>
      </w:r>
      <w:r>
        <w:t>.</w:t>
      </w:r>
      <w:r>
        <w:tab/>
        <w:t>Prohibition on assisting minors to bet</w:t>
      </w:r>
      <w:bookmarkEnd w:id="15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lastRenderedPageBreak/>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158" w:name="_Toc131519405"/>
      <w:r>
        <w:rPr>
          <w:rStyle w:val="CharSectno"/>
        </w:rPr>
        <w:t>23</w:t>
      </w:r>
      <w:r>
        <w:rPr>
          <w:snapToGrid w:val="0"/>
        </w:rPr>
        <w:t>.</w:t>
      </w:r>
      <w:r>
        <w:rPr>
          <w:snapToGrid w:val="0"/>
        </w:rPr>
        <w:tab/>
        <w:t>Prohibition of betting unless in accordance with this Act</w:t>
      </w:r>
      <w:bookmarkEnd w:id="15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lastRenderedPageBreak/>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159" w:name="_Toc131519406"/>
      <w:r>
        <w:rPr>
          <w:rStyle w:val="CharSectno"/>
        </w:rPr>
        <w:t>24</w:t>
      </w:r>
      <w:r>
        <w:rPr>
          <w:snapToGrid w:val="0"/>
        </w:rPr>
        <w:t>.</w:t>
      </w:r>
      <w:r>
        <w:rPr>
          <w:snapToGrid w:val="0"/>
        </w:rPr>
        <w:tab/>
        <w:t>Unlawful betting</w:t>
      </w:r>
      <w:bookmarkEnd w:id="15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lastRenderedPageBreak/>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160" w:name="_Toc131519407"/>
      <w:r>
        <w:rPr>
          <w:rStyle w:val="CharSectno"/>
        </w:rPr>
        <w:lastRenderedPageBreak/>
        <w:t>25</w:t>
      </w:r>
      <w:r>
        <w:rPr>
          <w:snapToGrid w:val="0"/>
        </w:rPr>
        <w:t>.</w:t>
      </w:r>
      <w:r>
        <w:rPr>
          <w:snapToGrid w:val="0"/>
        </w:rPr>
        <w:tab/>
        <w:t>Bookmakers may be ordered not to bet</w:t>
      </w:r>
      <w:bookmarkEnd w:id="160"/>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161" w:name="_Toc131519408"/>
      <w:r>
        <w:rPr>
          <w:rStyle w:val="CharSectno"/>
        </w:rPr>
        <w:t>26</w:t>
      </w:r>
      <w:r>
        <w:rPr>
          <w:snapToGrid w:val="0"/>
        </w:rPr>
        <w:t>.</w:t>
      </w:r>
      <w:r>
        <w:rPr>
          <w:snapToGrid w:val="0"/>
        </w:rPr>
        <w:tab/>
        <w:t>Loitering in street or public place</w:t>
      </w:r>
      <w:bookmarkEnd w:id="161"/>
      <w:r>
        <w:rPr>
          <w:snapToGrid w:val="0"/>
        </w:rPr>
        <w:t xml:space="preserve"> </w:t>
      </w:r>
    </w:p>
    <w:p>
      <w:pPr>
        <w:pStyle w:val="Subsection"/>
        <w:rPr>
          <w:snapToGrid w:val="0"/>
        </w:rPr>
      </w:pPr>
      <w:r>
        <w:rPr>
          <w:snapToGrid w:val="0"/>
        </w:rPr>
        <w:tab/>
      </w:r>
      <w:r>
        <w:rPr>
          <w:snapToGrid w:val="0"/>
        </w:rPr>
        <w:tab/>
        <w:t xml:space="preserve">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w:t>
      </w:r>
      <w:r>
        <w:rPr>
          <w:snapToGrid w:val="0"/>
        </w:rPr>
        <w:lastRenderedPageBreak/>
        <w:t>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162" w:name="_Toc131519409"/>
      <w:r>
        <w:rPr>
          <w:rStyle w:val="CharSectno"/>
        </w:rPr>
        <w:t>26A</w:t>
      </w:r>
      <w:r>
        <w:rPr>
          <w:snapToGrid w:val="0"/>
        </w:rPr>
        <w:t>.</w:t>
      </w:r>
      <w:r>
        <w:rPr>
          <w:snapToGrid w:val="0"/>
        </w:rPr>
        <w:tab/>
        <w:t>Removal of persons</w:t>
      </w:r>
      <w:bookmarkEnd w:id="16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163" w:name="_Toc131519410"/>
      <w:r>
        <w:rPr>
          <w:rStyle w:val="CharSectno"/>
        </w:rPr>
        <w:t>26B</w:t>
      </w:r>
      <w:r>
        <w:rPr>
          <w:snapToGrid w:val="0"/>
        </w:rPr>
        <w:t>.</w:t>
      </w:r>
      <w:r>
        <w:rPr>
          <w:snapToGrid w:val="0"/>
        </w:rPr>
        <w:tab/>
        <w:t>Penalty for persons warning offenders of approach of member of Police Force</w:t>
      </w:r>
      <w:bookmarkEnd w:id="163"/>
      <w:r>
        <w:rPr>
          <w:snapToGrid w:val="0"/>
        </w:rPr>
        <w:t xml:space="preserve"> </w:t>
      </w:r>
    </w:p>
    <w:p>
      <w:pPr>
        <w:pStyle w:val="Subsection"/>
        <w:spacing w:before="120"/>
        <w:rPr>
          <w:snapToGrid w:val="0"/>
        </w:rPr>
      </w:pPr>
      <w:r>
        <w:rPr>
          <w:snapToGrid w:val="0"/>
        </w:rPr>
        <w:tab/>
      </w:r>
      <w:r>
        <w:rPr>
          <w:snapToGrid w:val="0"/>
        </w:rPr>
        <w:tab/>
        <w:t xml:space="preserve">A person who is in or near to any place, whether a public place or not, for the purpose of giving warning to any other person of </w:t>
      </w:r>
      <w:r>
        <w:rPr>
          <w:snapToGrid w:val="0"/>
        </w:rPr>
        <w:lastRenderedPageBreak/>
        <w:t>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164" w:name="_Toc131519411"/>
      <w:r>
        <w:rPr>
          <w:rStyle w:val="CharSectno"/>
        </w:rPr>
        <w:t>26C</w:t>
      </w:r>
      <w:r>
        <w:rPr>
          <w:snapToGrid w:val="0"/>
        </w:rPr>
        <w:t>.</w:t>
      </w:r>
      <w:r>
        <w:rPr>
          <w:snapToGrid w:val="0"/>
        </w:rPr>
        <w:tab/>
        <w:t>Unlawful betting on licensed premises</w:t>
      </w:r>
      <w:bookmarkEnd w:id="1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 xml:space="preserve">that the accused person or, if the accused person was not on the premises at the time the offence against section 23 or 24 was committed, the person then in charge of the premises, did not know and could not by </w:t>
      </w:r>
      <w:r>
        <w:rPr>
          <w:snapToGrid w:val="0"/>
        </w:rPr>
        <w:lastRenderedPageBreak/>
        <w:t>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165" w:name="_Toc131519412"/>
      <w:r>
        <w:rPr>
          <w:rStyle w:val="CharSectno"/>
        </w:rPr>
        <w:lastRenderedPageBreak/>
        <w:t>27</w:t>
      </w:r>
      <w:r>
        <w:t>.</w:t>
      </w:r>
      <w:r>
        <w:tab/>
        <w:t>Penalty on owner or occupier of premises used for unlawful betting</w:t>
      </w:r>
      <w:bookmarkEnd w:id="165"/>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166" w:name="_Toc131519413"/>
      <w:r>
        <w:rPr>
          <w:rStyle w:val="CharSectno"/>
        </w:rPr>
        <w:lastRenderedPageBreak/>
        <w:t>27A</w:t>
      </w:r>
      <w:r>
        <w:t>.</w:t>
      </w:r>
      <w:r>
        <w:tab/>
        <w:t>Interstate and offshore betting</w:t>
      </w:r>
      <w:bookmarkEnd w:id="166"/>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lastRenderedPageBreak/>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lastRenderedPageBreak/>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167" w:name="_Toc131519414"/>
      <w:r>
        <w:rPr>
          <w:rStyle w:val="CharSectno"/>
        </w:rPr>
        <w:t>27D</w:t>
      </w:r>
      <w:r>
        <w:t>.</w:t>
      </w:r>
      <w:r>
        <w:tab/>
        <w:t>Publication of WA race fields restricted</w:t>
      </w:r>
      <w:bookmarkEnd w:id="167"/>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lastRenderedPageBreak/>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lastRenderedPageBreak/>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168" w:name="_Toc131519415"/>
      <w:r>
        <w:rPr>
          <w:rStyle w:val="CharSectno"/>
        </w:rPr>
        <w:t>27E</w:t>
      </w:r>
      <w:r>
        <w:t>.</w:t>
      </w:r>
      <w:r>
        <w:tab/>
        <w:t>Confidentiality</w:t>
      </w:r>
      <w:bookmarkEnd w:id="16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lastRenderedPageBreak/>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169" w:name="_Toc131519416"/>
      <w:r>
        <w:rPr>
          <w:rStyle w:val="CharSectno"/>
        </w:rPr>
        <w:t>27F</w:t>
      </w:r>
      <w:r>
        <w:t>.</w:t>
      </w:r>
      <w:r>
        <w:tab/>
        <w:t>Authorisation of publication of WA race fields by domestic betting operators</w:t>
      </w:r>
      <w:bookmarkEnd w:id="169"/>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 xml:space="preserve">that the domestic betting operator provide the Commission or an officer of RWWA approved in </w:t>
      </w:r>
      <w:r>
        <w:lastRenderedPageBreak/>
        <w:t>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pPr>
      <w:bookmarkStart w:id="170" w:name="_Toc130918352"/>
      <w:bookmarkStart w:id="171" w:name="_Toc131519417"/>
      <w:r>
        <w:rPr>
          <w:rStyle w:val="CharSectno"/>
        </w:rPr>
        <w:lastRenderedPageBreak/>
        <w:t>27G</w:t>
      </w:r>
      <w:r>
        <w:t>.</w:t>
      </w:r>
      <w:r>
        <w:tab/>
        <w:t>Liability of officers for offence by body corporate</w:t>
      </w:r>
      <w:bookmarkEnd w:id="170"/>
      <w:bookmarkEnd w:id="171"/>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11C(9) and (13)</w:t>
            </w:r>
          </w:p>
        </w:tc>
        <w:tc>
          <w:tcPr>
            <w:tcW w:w="2410" w:type="dxa"/>
            <w:noWrap/>
          </w:tcPr>
          <w:p>
            <w:pPr>
              <w:pStyle w:val="TableNAm"/>
            </w:pPr>
            <w:r>
              <w:t>s. 11E(5)</w:t>
            </w:r>
          </w:p>
        </w:tc>
      </w:tr>
      <w:tr>
        <w:trPr>
          <w:cantSplit/>
        </w:trPr>
        <w:tc>
          <w:tcPr>
            <w:tcW w:w="2409" w:type="dxa"/>
            <w:noWrap/>
          </w:tcPr>
          <w:p>
            <w:pPr>
              <w:pStyle w:val="TableNAm"/>
            </w:pPr>
            <w:r>
              <w:t>s. 11G(1) and (2)</w:t>
            </w:r>
          </w:p>
        </w:tc>
        <w:tc>
          <w:tcPr>
            <w:tcW w:w="2410" w:type="dxa"/>
            <w:noWrap/>
          </w:tcPr>
          <w:p>
            <w:pPr>
              <w:pStyle w:val="TableNAm"/>
            </w:pPr>
            <w:r>
              <w:t>s. 14A(2)</w:t>
            </w:r>
          </w:p>
        </w:tc>
      </w:tr>
      <w:tr>
        <w:trPr>
          <w:cantSplit/>
        </w:trPr>
        <w:tc>
          <w:tcPr>
            <w:tcW w:w="2409" w:type="dxa"/>
            <w:noWrap/>
          </w:tcPr>
          <w:p>
            <w:pPr>
              <w:pStyle w:val="TableNAm"/>
            </w:pPr>
            <w:r>
              <w:t>s. 20A(2)</w:t>
            </w:r>
          </w:p>
        </w:tc>
        <w:tc>
          <w:tcPr>
            <w:tcW w:w="2410" w:type="dxa"/>
            <w:noWrap/>
          </w:tcPr>
          <w:p>
            <w:pPr>
              <w:pStyle w:val="TableNAm"/>
            </w:pPr>
            <w:r>
              <w:t>s. 20B(6)</w:t>
            </w:r>
          </w:p>
        </w:tc>
      </w:tr>
      <w:tr>
        <w:trPr>
          <w:cantSplit/>
        </w:trPr>
        <w:tc>
          <w:tcPr>
            <w:tcW w:w="2409" w:type="dxa"/>
            <w:noWrap/>
          </w:tcPr>
          <w:p>
            <w:pPr>
              <w:pStyle w:val="TableNAm"/>
            </w:pPr>
            <w:r>
              <w:t>s. 23(1)</w:t>
            </w:r>
          </w:p>
        </w:tc>
        <w:tc>
          <w:tcPr>
            <w:tcW w:w="2410" w:type="dxa"/>
            <w:noWrap/>
          </w:tcPr>
          <w:p>
            <w:pPr>
              <w:pStyle w:val="TableNAm"/>
            </w:pPr>
            <w:r>
              <w:t>s. 24(1)</w:t>
            </w:r>
          </w:p>
        </w:tc>
      </w:tr>
      <w:tr>
        <w:trPr>
          <w:cantSplit/>
        </w:trPr>
        <w:tc>
          <w:tcPr>
            <w:tcW w:w="2409" w:type="dxa"/>
            <w:noWrap/>
          </w:tcPr>
          <w:p>
            <w:pPr>
              <w:pStyle w:val="TableNAm"/>
            </w:pPr>
            <w:r>
              <w:t>s. 26C(1)</w:t>
            </w:r>
          </w:p>
        </w:tc>
        <w:tc>
          <w:tcPr>
            <w:tcW w:w="2410" w:type="dxa"/>
            <w:noWrap/>
          </w:tcPr>
          <w:p>
            <w:pPr>
              <w:pStyle w:val="TableNAm"/>
            </w:pPr>
            <w:r>
              <w:t>s. 27</w:t>
            </w:r>
          </w:p>
        </w:tc>
      </w:tr>
      <w:tr>
        <w:trPr>
          <w:cantSplit/>
        </w:trPr>
        <w:tc>
          <w:tcPr>
            <w:tcW w:w="2409" w:type="dxa"/>
            <w:noWrap/>
          </w:tcPr>
          <w:p>
            <w:pPr>
              <w:pStyle w:val="TableNAm"/>
            </w:pPr>
            <w:r>
              <w:t>s. 27A(2), (2B), (2C) and (3)</w:t>
            </w:r>
          </w:p>
        </w:tc>
        <w:tc>
          <w:tcPr>
            <w:tcW w:w="2410" w:type="dxa"/>
            <w:noWrap/>
          </w:tcPr>
          <w:p>
            <w:pPr>
              <w:pStyle w:val="TableNAm"/>
            </w:pPr>
            <w:r>
              <w:t>s. 27D(2A)</w:t>
            </w:r>
          </w:p>
        </w:tc>
      </w:tr>
      <w:tr>
        <w:trPr>
          <w:cantSplit/>
        </w:trPr>
        <w:tc>
          <w:tcPr>
            <w:tcW w:w="2409" w:type="dxa"/>
            <w:noWrap/>
          </w:tcPr>
          <w:p>
            <w:pPr>
              <w:pStyle w:val="TableNAm"/>
            </w:pPr>
            <w:r>
              <w:t>s. 28C</w:t>
            </w:r>
          </w:p>
        </w:tc>
        <w:tc>
          <w:tcPr>
            <w:tcW w:w="2410" w:type="dxa"/>
            <w:noWrap/>
          </w:tcPr>
          <w:p>
            <w:pPr>
              <w:pStyle w:val="TableNAm"/>
            </w:pPr>
            <w:r>
              <w:t>s. 28D</w:t>
            </w:r>
          </w:p>
        </w:tc>
      </w:tr>
    </w:tbl>
    <w:p>
      <w:pPr>
        <w:pStyle w:val="Footnotesection"/>
      </w:pPr>
      <w:r>
        <w:tab/>
        <w:t>[Section 27G inserted: No. 9 of 2023 s. 26.]</w:t>
      </w:r>
    </w:p>
    <w:p>
      <w:pPr>
        <w:pStyle w:val="Heading5"/>
        <w:spacing w:before="240"/>
      </w:pPr>
      <w:bookmarkStart w:id="172" w:name="_Toc131519418"/>
      <w:r>
        <w:rPr>
          <w:rStyle w:val="CharSectno"/>
        </w:rPr>
        <w:t>27H</w:t>
      </w:r>
      <w:r>
        <w:t>.</w:t>
      </w:r>
      <w:r>
        <w:tab/>
        <w:t>Liability of individuals, partners, bodies corporate and licensed managers</w:t>
      </w:r>
      <w:bookmarkEnd w:id="172"/>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lastRenderedPageBreak/>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Ednotesubsection"/>
      </w:pPr>
      <w:r>
        <w:tab/>
        <w:t>[(3)</w:t>
      </w:r>
      <w:r>
        <w:tab/>
        <w:t>deleted]</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 amended: No. 9 of 2023 s. 28.]</w:t>
      </w:r>
    </w:p>
    <w:p>
      <w:pPr>
        <w:pStyle w:val="Heading5"/>
        <w:spacing w:before="240"/>
        <w:rPr>
          <w:snapToGrid w:val="0"/>
        </w:rPr>
      </w:pPr>
      <w:bookmarkStart w:id="173" w:name="_Toc131519419"/>
      <w:r>
        <w:rPr>
          <w:rStyle w:val="CharSectno"/>
        </w:rPr>
        <w:t>28</w:t>
      </w:r>
      <w:r>
        <w:rPr>
          <w:snapToGrid w:val="0"/>
        </w:rPr>
        <w:t>.</w:t>
      </w:r>
      <w:r>
        <w:rPr>
          <w:snapToGrid w:val="0"/>
        </w:rPr>
        <w:tab/>
        <w:t>Forfeiture of betting material and money in certain cases</w:t>
      </w:r>
      <w:bookmarkEnd w:id="173"/>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74" w:name="_Toc131519420"/>
      <w:r>
        <w:rPr>
          <w:rStyle w:val="CharSectno"/>
        </w:rPr>
        <w:t>28A</w:t>
      </w:r>
      <w:r>
        <w:rPr>
          <w:snapToGrid w:val="0"/>
        </w:rPr>
        <w:t>.</w:t>
      </w:r>
      <w:r>
        <w:rPr>
          <w:snapToGrid w:val="0"/>
        </w:rPr>
        <w:tab/>
        <w:t>Search warrant</w:t>
      </w:r>
      <w:bookmarkEnd w:id="174"/>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lastRenderedPageBreak/>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lastRenderedPageBreak/>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75" w:name="_Toc131519421"/>
      <w:r>
        <w:rPr>
          <w:rStyle w:val="CharSectno"/>
        </w:rPr>
        <w:t>28B</w:t>
      </w:r>
      <w:r>
        <w:rPr>
          <w:snapToGrid w:val="0"/>
        </w:rPr>
        <w:t>.</w:t>
      </w:r>
      <w:r>
        <w:rPr>
          <w:snapToGrid w:val="0"/>
        </w:rPr>
        <w:tab/>
        <w:t>Prima facie evidence of offence</w:t>
      </w:r>
      <w:bookmarkEnd w:id="175"/>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lastRenderedPageBreak/>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76" w:name="_Toc131519422"/>
      <w:r>
        <w:rPr>
          <w:rStyle w:val="CharSectno"/>
        </w:rPr>
        <w:t>28C</w:t>
      </w:r>
      <w:r>
        <w:rPr>
          <w:snapToGrid w:val="0"/>
        </w:rPr>
        <w:t>.</w:t>
      </w:r>
      <w:r>
        <w:rPr>
          <w:snapToGrid w:val="0"/>
        </w:rPr>
        <w:tab/>
        <w:t>Offences in respect of conducting betting agencies</w:t>
      </w:r>
      <w:bookmarkEnd w:id="17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lastRenderedPageBreak/>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77" w:name="_Toc131519423"/>
      <w:r>
        <w:rPr>
          <w:rStyle w:val="CharSectno"/>
        </w:rPr>
        <w:t>28D</w:t>
      </w:r>
      <w:r>
        <w:rPr>
          <w:snapToGrid w:val="0"/>
        </w:rPr>
        <w:t>.</w:t>
      </w:r>
      <w:r>
        <w:rPr>
          <w:snapToGrid w:val="0"/>
        </w:rPr>
        <w:tab/>
        <w:t>Penalty for acting as totalisator agent</w:t>
      </w:r>
      <w:bookmarkEnd w:id="177"/>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78" w:name="_Toc131519424"/>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7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lastRenderedPageBreak/>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79" w:name="_Toc131519425"/>
      <w:r>
        <w:rPr>
          <w:rStyle w:val="CharSectno"/>
        </w:rPr>
        <w:t>28F</w:t>
      </w:r>
      <w:r>
        <w:rPr>
          <w:snapToGrid w:val="0"/>
        </w:rPr>
        <w:t>.</w:t>
      </w:r>
      <w:r>
        <w:rPr>
          <w:snapToGrid w:val="0"/>
        </w:rPr>
        <w:tab/>
        <w:t>Non</w:t>
      </w:r>
      <w:r>
        <w:rPr>
          <w:snapToGrid w:val="0"/>
        </w:rPr>
        <w:noBreakHyphen/>
        <w:t>application of sections 28D and 28E</w:t>
      </w:r>
      <w:bookmarkEnd w:id="179"/>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lastRenderedPageBreak/>
        <w:tab/>
        <w:t xml:space="preserve">[Section 28F inserted: No. 63 of 1995 s. 80; amended: No. 35 of 2003 s. 103.] </w:t>
      </w:r>
    </w:p>
    <w:p>
      <w:pPr>
        <w:pStyle w:val="Heading5"/>
        <w:spacing w:before="180"/>
        <w:rPr>
          <w:snapToGrid w:val="0"/>
        </w:rPr>
      </w:pPr>
      <w:bookmarkStart w:id="180" w:name="_Toc131519426"/>
      <w:r>
        <w:rPr>
          <w:rStyle w:val="CharSectno"/>
        </w:rPr>
        <w:t>28G</w:t>
      </w:r>
      <w:r>
        <w:rPr>
          <w:snapToGrid w:val="0"/>
        </w:rPr>
        <w:t>.</w:t>
      </w:r>
      <w:r>
        <w:rPr>
          <w:snapToGrid w:val="0"/>
        </w:rPr>
        <w:tab/>
        <w:t>Penalty for accepting bets after closing time</w:t>
      </w:r>
      <w:bookmarkEnd w:id="180"/>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81" w:name="_Toc131519427"/>
      <w:r>
        <w:rPr>
          <w:rStyle w:val="CharSectno"/>
        </w:rPr>
        <w:t>29</w:t>
      </w:r>
      <w:r>
        <w:t>.</w:t>
      </w:r>
      <w:r>
        <w:tab/>
        <w:t>Penalty for providing credit</w:t>
      </w:r>
      <w:bookmarkEnd w:id="181"/>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lastRenderedPageBreak/>
        <w:tab/>
        <w:t>[Section 29 inserted: No. 40 of 1999 s. 36; amended: No. 35 of 2003 s. 93 and 103; No. 41 of 2018 s. 15(3).]</w:t>
      </w:r>
    </w:p>
    <w:p>
      <w:pPr>
        <w:pStyle w:val="Heading5"/>
        <w:rPr>
          <w:snapToGrid w:val="0"/>
        </w:rPr>
      </w:pPr>
      <w:bookmarkStart w:id="182" w:name="_Toc131519428"/>
      <w:r>
        <w:rPr>
          <w:rStyle w:val="CharSectno"/>
        </w:rPr>
        <w:t>30</w:t>
      </w:r>
      <w:r>
        <w:rPr>
          <w:snapToGrid w:val="0"/>
        </w:rPr>
        <w:t>.</w:t>
      </w:r>
      <w:r>
        <w:rPr>
          <w:snapToGrid w:val="0"/>
        </w:rPr>
        <w:tab/>
        <w:t>General penalty</w:t>
      </w:r>
      <w:bookmarkEnd w:id="182"/>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83" w:name="_Toc131519429"/>
      <w:r>
        <w:rPr>
          <w:rStyle w:val="CharSectno"/>
        </w:rPr>
        <w:t>30A</w:t>
      </w:r>
      <w:r>
        <w:t>.</w:t>
      </w:r>
      <w:r>
        <w:rPr>
          <w:b w:val="0"/>
        </w:rPr>
        <w:tab/>
      </w:r>
      <w:r>
        <w:rPr>
          <w:snapToGrid w:val="0"/>
        </w:rPr>
        <w:t>Offences to be dealt with by magistrate</w:t>
      </w:r>
      <w:bookmarkEnd w:id="183"/>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84" w:name="_Toc131519430"/>
      <w:r>
        <w:rPr>
          <w:rStyle w:val="CharSectno"/>
        </w:rPr>
        <w:t>31</w:t>
      </w:r>
      <w:r>
        <w:rPr>
          <w:snapToGrid w:val="0"/>
        </w:rPr>
        <w:t>.</w:t>
      </w:r>
      <w:r>
        <w:rPr>
          <w:snapToGrid w:val="0"/>
        </w:rPr>
        <w:tab/>
        <w:t>Conduct of betting</w:t>
      </w:r>
      <w:bookmarkEnd w:id="184"/>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lastRenderedPageBreak/>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pay or give, or promise to pay or give, to a person any payment, fee, commission, remuneration, reward or any </w:t>
      </w:r>
      <w:r>
        <w:rPr>
          <w:snapToGrid w:val="0"/>
        </w:rPr>
        <w:lastRenderedPageBreak/>
        <w:t>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85" w:name="_Toc131519431"/>
      <w:r>
        <w:rPr>
          <w:rStyle w:val="CharSectno"/>
        </w:rPr>
        <w:t>31A</w:t>
      </w:r>
      <w:r>
        <w:rPr>
          <w:snapToGrid w:val="0"/>
        </w:rPr>
        <w:t>.</w:t>
      </w:r>
      <w:r>
        <w:rPr>
          <w:snapToGrid w:val="0"/>
        </w:rPr>
        <w:tab/>
        <w:t>Evidence</w:t>
      </w:r>
      <w:bookmarkEnd w:id="185"/>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lastRenderedPageBreak/>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lastRenderedPageBreak/>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w:t>
      </w:r>
      <w:r>
        <w:rPr>
          <w:snapToGrid w:val="0"/>
        </w:rPr>
        <w:lastRenderedPageBreak/>
        <w:t>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86" w:name="_Toc131519432"/>
      <w:r>
        <w:rPr>
          <w:rStyle w:val="CharSectno"/>
        </w:rPr>
        <w:t>32</w:t>
      </w:r>
      <w:r>
        <w:rPr>
          <w:snapToGrid w:val="0"/>
        </w:rPr>
        <w:t>.</w:t>
      </w:r>
      <w:r>
        <w:rPr>
          <w:snapToGrid w:val="0"/>
        </w:rPr>
        <w:tab/>
        <w:t>Disputes as to bets with bookmakers</w:t>
      </w:r>
      <w:bookmarkEnd w:id="186"/>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lastRenderedPageBreak/>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87" w:name="_Toc131519433"/>
      <w:r>
        <w:rPr>
          <w:rStyle w:val="CharSectno"/>
        </w:rPr>
        <w:t>32A</w:t>
      </w:r>
      <w:r>
        <w:rPr>
          <w:snapToGrid w:val="0"/>
        </w:rPr>
        <w:t>.</w:t>
      </w:r>
      <w:r>
        <w:rPr>
          <w:snapToGrid w:val="0"/>
        </w:rPr>
        <w:tab/>
        <w:t>Disciplinary powers for licensees other than wagering licensee</w:t>
      </w:r>
      <w:bookmarkEnd w:id="187"/>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w:t>
      </w:r>
      <w:r>
        <w:rPr>
          <w:snapToGrid w:val="0"/>
        </w:rPr>
        <w:lastRenderedPageBreak/>
        <w:t>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lastRenderedPageBreak/>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lastRenderedPageBreak/>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88" w:name="_Toc106004733"/>
      <w:bookmarkStart w:id="189" w:name="_Toc106004855"/>
      <w:bookmarkStart w:id="190" w:name="_Toc106096492"/>
      <w:bookmarkStart w:id="191" w:name="_Toc107154143"/>
      <w:bookmarkStart w:id="192" w:name="_Toc107239726"/>
      <w:bookmarkStart w:id="193" w:name="_Toc131496563"/>
      <w:bookmarkStart w:id="194" w:name="_Toc131497388"/>
      <w:bookmarkStart w:id="195" w:name="_Toc131519434"/>
      <w:r>
        <w:rPr>
          <w:rStyle w:val="CharPartNo"/>
        </w:rPr>
        <w:lastRenderedPageBreak/>
        <w:t>Part 5</w:t>
      </w:r>
      <w:r>
        <w:rPr>
          <w:b w:val="0"/>
        </w:rPr>
        <w:t> </w:t>
      </w:r>
      <w:r>
        <w:t>—</w:t>
      </w:r>
      <w:r>
        <w:rPr>
          <w:b w:val="0"/>
        </w:rPr>
        <w:t> </w:t>
      </w:r>
      <w:r>
        <w:rPr>
          <w:rStyle w:val="CharPartText"/>
        </w:rPr>
        <w:t>Miscellaneous</w:t>
      </w:r>
      <w:bookmarkEnd w:id="188"/>
      <w:bookmarkEnd w:id="189"/>
      <w:bookmarkEnd w:id="190"/>
      <w:bookmarkEnd w:id="191"/>
      <w:bookmarkEnd w:id="192"/>
      <w:bookmarkEnd w:id="193"/>
      <w:bookmarkEnd w:id="194"/>
      <w:bookmarkEnd w:id="195"/>
    </w:p>
    <w:p>
      <w:pPr>
        <w:pStyle w:val="Footnoteheading"/>
        <w:tabs>
          <w:tab w:val="left" w:pos="851"/>
        </w:tabs>
      </w:pPr>
      <w:r>
        <w:tab/>
        <w:t>[Heading inserted: No. 35 of 2003 s. 101(5).]</w:t>
      </w:r>
    </w:p>
    <w:p>
      <w:pPr>
        <w:pStyle w:val="Heading5"/>
        <w:rPr>
          <w:snapToGrid w:val="0"/>
        </w:rPr>
      </w:pPr>
      <w:bookmarkStart w:id="196" w:name="_Toc131519435"/>
      <w:r>
        <w:rPr>
          <w:rStyle w:val="CharSectno"/>
        </w:rPr>
        <w:t>33</w:t>
      </w:r>
      <w:r>
        <w:rPr>
          <w:snapToGrid w:val="0"/>
        </w:rPr>
        <w:t>.</w:t>
      </w:r>
      <w:r>
        <w:rPr>
          <w:snapToGrid w:val="0"/>
        </w:rPr>
        <w:tab/>
        <w:t>Regulations</w:t>
      </w:r>
      <w:bookmarkEnd w:id="1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lastRenderedPageBreak/>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 xml:space="preserve">the kinds of bet that may be made or accepted and Rules of Betting regulating betting by or with bookmakers generally or in specific circumstances, the maximum amount which a </w:t>
      </w:r>
      <w:r>
        <w:rPr>
          <w:snapToGrid w:val="0"/>
        </w:rPr>
        <w:lastRenderedPageBreak/>
        <w:t>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97" w:name="_Toc106004735"/>
      <w:bookmarkStart w:id="198" w:name="_Toc106004857"/>
      <w:bookmarkStart w:id="199" w:name="_Toc106096494"/>
      <w:bookmarkStart w:id="200" w:name="_Toc107154145"/>
      <w:bookmarkStart w:id="201" w:name="_Toc107239728"/>
      <w:bookmarkStart w:id="202" w:name="_Toc131496565"/>
      <w:bookmarkStart w:id="203" w:name="_Toc131497390"/>
      <w:bookmarkStart w:id="204" w:name="_Toc131519436"/>
      <w:r>
        <w:rPr>
          <w:rStyle w:val="CharSchNo"/>
        </w:rPr>
        <w:lastRenderedPageBreak/>
        <w:t>Schedule 3</w:t>
      </w:r>
      <w:r>
        <w:t xml:space="preserve"> — </w:t>
      </w:r>
      <w:r>
        <w:rPr>
          <w:rStyle w:val="CharSchText"/>
        </w:rPr>
        <w:t>Requirements for licensing of a body corporate and continuation of the licence of a body corporate</w:t>
      </w:r>
      <w:bookmarkEnd w:id="197"/>
      <w:bookmarkEnd w:id="198"/>
      <w:bookmarkEnd w:id="199"/>
      <w:bookmarkEnd w:id="200"/>
      <w:bookmarkEnd w:id="201"/>
      <w:bookmarkEnd w:id="202"/>
      <w:bookmarkEnd w:id="203"/>
      <w:bookmarkEnd w:id="204"/>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06" w:name="_Toc106004736"/>
      <w:bookmarkStart w:id="207" w:name="_Toc106004858"/>
      <w:bookmarkStart w:id="208" w:name="_Toc106096495"/>
      <w:bookmarkStart w:id="209" w:name="_Toc107154146"/>
      <w:bookmarkStart w:id="210" w:name="_Toc107239729"/>
      <w:bookmarkStart w:id="211" w:name="_Toc131496566"/>
      <w:bookmarkStart w:id="212" w:name="_Toc131497391"/>
      <w:bookmarkStart w:id="213" w:name="_Toc131519437"/>
      <w:r>
        <w:lastRenderedPageBreak/>
        <w:t>Notes</w:t>
      </w:r>
      <w:bookmarkEnd w:id="206"/>
      <w:bookmarkEnd w:id="207"/>
      <w:bookmarkEnd w:id="208"/>
      <w:bookmarkEnd w:id="209"/>
      <w:bookmarkEnd w:id="210"/>
      <w:bookmarkEnd w:id="211"/>
      <w:bookmarkEnd w:id="212"/>
      <w:bookmarkEnd w:id="213"/>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4" w:name="_Toc131519438"/>
      <w:r>
        <w:t>Compilation table</w:t>
      </w:r>
      <w:bookmarkEnd w:id="214"/>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lastRenderedPageBreak/>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nil"/>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nil"/>
              <w:right w:val="nil"/>
            </w:tcBorders>
          </w:tcPr>
          <w:p>
            <w:pPr>
              <w:pStyle w:val="nTable"/>
              <w:spacing w:after="40"/>
            </w:pPr>
            <w:r>
              <w:t>7 of 2022</w:t>
            </w:r>
          </w:p>
        </w:tc>
        <w:tc>
          <w:tcPr>
            <w:tcW w:w="1134" w:type="dxa"/>
            <w:tcBorders>
              <w:top w:val="nil"/>
              <w:left w:val="nil"/>
              <w:bottom w:val="nil"/>
              <w:right w:val="nil"/>
            </w:tcBorders>
          </w:tcPr>
          <w:p>
            <w:pPr>
              <w:pStyle w:val="nTable"/>
              <w:spacing w:after="40"/>
            </w:pPr>
            <w:r>
              <w:t>29 Mar 2022</w:t>
            </w:r>
          </w:p>
        </w:tc>
        <w:tc>
          <w:tcPr>
            <w:tcW w:w="2552" w:type="dxa"/>
            <w:tcBorders>
              <w:top w:val="nil"/>
              <w:left w:val="nil"/>
              <w:bottom w:val="nil"/>
            </w:tcBorders>
          </w:tcPr>
          <w:p>
            <w:pPr>
              <w:pStyle w:val="nTable"/>
              <w:spacing w:after="40"/>
            </w:pPr>
            <w:r>
              <w:t>1 Jul 2022 (see s. 2(b) and SL 2022/80 cl. 2)</w:t>
            </w:r>
          </w:p>
        </w:tc>
      </w:tr>
      <w:tr>
        <w:tc>
          <w:tcPr>
            <w:tcW w:w="2269" w:type="dxa"/>
            <w:tcBorders>
              <w:top w:val="nil"/>
              <w:bottom w:val="single" w:sz="8" w:space="0" w:color="auto"/>
              <w:right w:val="nil"/>
            </w:tcBorders>
          </w:tcPr>
          <w:p>
            <w:pPr>
              <w:pStyle w:val="nTable"/>
              <w:spacing w:after="40"/>
            </w:pPr>
            <w:r>
              <w:rPr>
                <w:i/>
              </w:rPr>
              <w:lastRenderedPageBreak/>
              <w:t>Directors’ Liability Reform Act 2023</w:t>
            </w:r>
            <w:r>
              <w:t xml:space="preserve"> Pt. 3 Div. 8 (other than s. 27)</w:t>
            </w:r>
          </w:p>
        </w:tc>
        <w:tc>
          <w:tcPr>
            <w:tcW w:w="1134" w:type="dxa"/>
            <w:tcBorders>
              <w:top w:val="nil"/>
              <w:left w:val="nil"/>
              <w:bottom w:val="single" w:sz="8" w:space="0" w:color="auto"/>
              <w:right w:val="nil"/>
            </w:tcBorders>
          </w:tcPr>
          <w:p>
            <w:pPr>
              <w:pStyle w:val="nTable"/>
              <w:spacing w:after="40"/>
            </w:pPr>
            <w:r>
              <w:t>9 of 2023</w:t>
            </w:r>
          </w:p>
        </w:tc>
        <w:tc>
          <w:tcPr>
            <w:tcW w:w="1134" w:type="dxa"/>
            <w:tcBorders>
              <w:top w:val="nil"/>
              <w:left w:val="nil"/>
              <w:bottom w:val="single" w:sz="8" w:space="0" w:color="auto"/>
              <w:right w:val="nil"/>
            </w:tcBorders>
          </w:tcPr>
          <w:p>
            <w:pPr>
              <w:pStyle w:val="nTable"/>
              <w:spacing w:after="40"/>
            </w:pPr>
            <w:r>
              <w:t>4 Apr 2023</w:t>
            </w:r>
          </w:p>
        </w:tc>
        <w:tc>
          <w:tcPr>
            <w:tcW w:w="2552" w:type="dxa"/>
            <w:tcBorders>
              <w:top w:val="nil"/>
              <w:left w:val="nil"/>
              <w:bottom w:val="single" w:sz="8" w:space="0" w:color="auto"/>
            </w:tcBorders>
          </w:tcPr>
          <w:p>
            <w:pPr>
              <w:pStyle w:val="nTable"/>
              <w:spacing w:after="40"/>
            </w:pPr>
            <w:r>
              <w:t>5 Apr 2023 (see s. 2(d)(ii) and (j))</w:t>
            </w:r>
          </w:p>
        </w:tc>
      </w:tr>
    </w:tbl>
    <w:p>
      <w:pPr>
        <w:pStyle w:val="nHeading3"/>
      </w:pPr>
      <w:bookmarkStart w:id="215" w:name="_Toc131519439"/>
      <w:r>
        <w:t>Uncommenced provisions table</w:t>
      </w:r>
      <w:bookmarkEnd w:id="2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single" w:sz="4" w:space="0" w:color="auto"/>
            </w:tcBorders>
          </w:tcPr>
          <w:p>
            <w:pPr>
              <w:pStyle w:val="nTable"/>
              <w:spacing w:after="40"/>
              <w:rPr>
                <w:i/>
              </w:rPr>
            </w:pPr>
            <w:r>
              <w:rPr>
                <w:i/>
              </w:rPr>
              <w:t>Directors’ Liability Reform Act 2023</w:t>
            </w:r>
            <w:r>
              <w:t xml:space="preserve"> s. 27</w:t>
            </w:r>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pPr>
            <w:r>
              <w:t xml:space="preserve">On the day on which the </w:t>
            </w:r>
            <w:r>
              <w:rPr>
                <w:i/>
              </w:rPr>
              <w:t>TAB (Disposal) Act 2019</w:t>
            </w:r>
            <w:r>
              <w:t xml:space="preserve"> s. 70 comes into operation (see s. 2(d)(ii))</w:t>
            </w:r>
          </w:p>
        </w:tc>
      </w:tr>
    </w:tbl>
    <w:p>
      <w:pPr>
        <w:pStyle w:val="nHeading3"/>
      </w:pPr>
      <w:bookmarkStart w:id="216" w:name="_Toc131519440"/>
      <w:r>
        <w:t>Other notes</w:t>
      </w:r>
      <w:bookmarkEnd w:id="216"/>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lastRenderedPageBreak/>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 xml:space="preserve">any act, matter or thing done or omitted to be done in relation to the assets, rights and liabilities referred to in paragraphs (a) and (b) before the appointed day by, to or in </w:t>
      </w:r>
      <w:r>
        <w:rPr>
          <w:spacing w:val="-4"/>
        </w:rPr>
        <w:lastRenderedPageBreak/>
        <w:t>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lastRenderedPageBreak/>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lastRenderedPageBreak/>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lastRenderedPageBreak/>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18" w:name="_Toc106004740"/>
      <w:bookmarkStart w:id="219" w:name="_Toc106004862"/>
      <w:bookmarkStart w:id="220" w:name="_Toc106096499"/>
      <w:bookmarkStart w:id="221" w:name="_Toc107154150"/>
      <w:bookmarkStart w:id="222" w:name="_Toc107239733"/>
      <w:bookmarkStart w:id="223" w:name="_Toc131496570"/>
      <w:bookmarkStart w:id="224" w:name="_Toc131497395"/>
      <w:bookmarkStart w:id="225" w:name="_Toc131519441"/>
      <w:r>
        <w:rPr>
          <w:sz w:val="28"/>
        </w:rPr>
        <w:lastRenderedPageBreak/>
        <w:t>Defined terms</w:t>
      </w:r>
      <w:bookmarkEnd w:id="218"/>
      <w:bookmarkEnd w:id="219"/>
      <w:bookmarkEnd w:id="220"/>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lastRenderedPageBreak/>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 meeting</w:t>
      </w:r>
      <w:r>
        <w:tab/>
        <w:t>4(1)</w:t>
      </w:r>
    </w:p>
    <w:p>
      <w:pPr>
        <w:pStyle w:val="DefinedTerms"/>
      </w:pPr>
      <w:r>
        <w:t>racecourse</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w:t>
      </w:r>
    </w:p>
    <w:p>
      <w:pPr>
        <w:pStyle w:val="DefinedTerms"/>
      </w:pPr>
      <w:r>
        <w:lastRenderedPageBreak/>
        <w:t>total turnover</w:t>
      </w:r>
      <w:r>
        <w:tab/>
        <w:t>13(1A), 17A(1A)</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 race field</w:t>
      </w:r>
      <w:r>
        <w:tab/>
        <w:t>4(1)</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6" w:name="DefinedTerms"/>
    <w:bookmarkEnd w:id="2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4FF5C-4A71-470C-8728-C17E20076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38216</Words>
  <Characters>178855</Characters>
  <Application>Microsoft Office Word</Application>
  <DocSecurity>0</DocSecurity>
  <Lines>4968</Lines>
  <Paragraphs>2747</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214324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1954 - 10-i0-00</dc:title>
  <dc:subject/>
  <dc:creator/>
  <cp:keywords/>
  <dc:description/>
  <cp:lastModifiedBy>Master Repository Process</cp:lastModifiedBy>
  <cp:revision>4</cp:revision>
  <cp:lastPrinted>2019-09-20T03:40:00Z</cp:lastPrinted>
  <dcterms:created xsi:type="dcterms:W3CDTF">2023-04-06T06:46:00Z</dcterms:created>
  <dcterms:modified xsi:type="dcterms:W3CDTF">2023-04-06T06:46:00Z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05 Apr 2023</vt:lpwstr>
  </property>
  <property fmtid="{D5CDD505-2E9C-101B-9397-08002B2CF9AE}" pid="8" name="Suffix">
    <vt:lpwstr>10-i0-00</vt:lpwstr>
  </property>
  <property fmtid="{D5CDD505-2E9C-101B-9397-08002B2CF9AE}" pid="9" name="CommencementDate">
    <vt:lpwstr>20230405</vt:lpwstr>
  </property>
</Properties>
</file>