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Goods Safety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_Toc131512483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_Toc131512484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and abbreviations</w:t>
      </w:r>
      <w:r>
        <w:tab/>
      </w:r>
      <w:r>
        <w:fldChar w:fldCharType="begin"/>
      </w:r>
      <w:r>
        <w:instrText xml:space="preserve"> PAGEREF _Toc131512485 \h </w:instrText>
      </w:r>
      <w:r>
        <w:fldChar w:fldCharType="separate"/>
      </w:r>
      <w:r>
        <w:t>2</w:t>
      </w:r>
      <w:r>
        <w:fldChar w:fldCharType="end"/>
      </w:r>
    </w:p>
    <w:p>
      <w:pPr>
        <w:pStyle w:val="TOC8"/>
        <w:rPr>
          <w:rFonts w:asciiTheme="minorHAnsi" w:eastAsiaTheme="minorEastAsia" w:hAnsiTheme="minorHAnsi" w:cstheme="minorBidi"/>
          <w:szCs w:val="22"/>
        </w:rPr>
      </w:pPr>
      <w:r>
        <w:t>4.</w:t>
      </w:r>
      <w:r>
        <w:tab/>
        <w:t>Risk from dangerous goods, assessment of</w:t>
      </w:r>
      <w:r>
        <w:tab/>
      </w:r>
      <w:r>
        <w:fldChar w:fldCharType="begin"/>
      </w:r>
      <w:r>
        <w:instrText xml:space="preserve"> PAGEREF _Toc131512486 \h </w:instrText>
      </w:r>
      <w:r>
        <w:fldChar w:fldCharType="separate"/>
      </w:r>
      <w:r>
        <w:t>5</w:t>
      </w:r>
      <w:r>
        <w:fldChar w:fldCharType="end"/>
      </w:r>
    </w:p>
    <w:p>
      <w:pPr>
        <w:pStyle w:val="TOC8"/>
        <w:rPr>
          <w:rFonts w:asciiTheme="minorHAnsi" w:eastAsiaTheme="minorEastAsia" w:hAnsiTheme="minorHAnsi" w:cstheme="minorBidi"/>
          <w:szCs w:val="22"/>
        </w:rPr>
      </w:pPr>
      <w:r>
        <w:t>5.</w:t>
      </w:r>
      <w:r>
        <w:tab/>
        <w:t>Unreasonable harm, assessment of</w:t>
      </w:r>
      <w:r>
        <w:tab/>
      </w:r>
      <w:r>
        <w:fldChar w:fldCharType="begin"/>
      </w:r>
      <w:r>
        <w:instrText xml:space="preserve"> PAGEREF _Toc131512487 \h </w:instrText>
      </w:r>
      <w:r>
        <w:fldChar w:fldCharType="separate"/>
      </w:r>
      <w:r>
        <w:t>5</w:t>
      </w:r>
      <w:r>
        <w:fldChar w:fldCharType="end"/>
      </w:r>
    </w:p>
    <w:p>
      <w:pPr>
        <w:pStyle w:val="TOC8"/>
        <w:rPr>
          <w:rFonts w:asciiTheme="minorHAnsi" w:eastAsiaTheme="minorEastAsia" w:hAnsiTheme="minorHAnsi" w:cstheme="minorBidi"/>
          <w:szCs w:val="22"/>
        </w:rPr>
      </w:pPr>
      <w:r>
        <w:t>6.</w:t>
      </w:r>
      <w:r>
        <w:tab/>
        <w:t>Relationship with other laws</w:t>
      </w:r>
      <w:r>
        <w:tab/>
      </w:r>
      <w:r>
        <w:fldChar w:fldCharType="begin"/>
      </w:r>
      <w:r>
        <w:instrText xml:space="preserve"> PAGEREF _Toc131512488 \h </w:instrText>
      </w:r>
      <w:r>
        <w:fldChar w:fldCharType="separate"/>
      </w:r>
      <w:r>
        <w:t>6</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_Toc131512489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as to dangerous goods</w:t>
      </w:r>
    </w:p>
    <w:p>
      <w:pPr>
        <w:pStyle w:val="TOC8"/>
        <w:rPr>
          <w:rFonts w:asciiTheme="minorHAnsi" w:eastAsiaTheme="minorEastAsia" w:hAnsiTheme="minorHAnsi" w:cstheme="minorBidi"/>
          <w:szCs w:val="22"/>
        </w:rPr>
      </w:pPr>
      <w:r>
        <w:t>8.</w:t>
      </w:r>
      <w:r>
        <w:tab/>
        <w:t>Duty to minimise risk from dangerous goods</w:t>
      </w:r>
      <w:r>
        <w:tab/>
      </w:r>
      <w:r>
        <w:fldChar w:fldCharType="begin"/>
      </w:r>
      <w:r>
        <w:instrText xml:space="preserve"> PAGEREF _Toc131512491 \h </w:instrText>
      </w:r>
      <w:r>
        <w:fldChar w:fldCharType="separate"/>
      </w:r>
      <w:r>
        <w:t>7</w:t>
      </w:r>
      <w:r>
        <w:fldChar w:fldCharType="end"/>
      </w:r>
    </w:p>
    <w:p>
      <w:pPr>
        <w:pStyle w:val="TOC8"/>
        <w:rPr>
          <w:rFonts w:asciiTheme="minorHAnsi" w:eastAsiaTheme="minorEastAsia" w:hAnsiTheme="minorHAnsi" w:cstheme="minorBidi"/>
          <w:szCs w:val="22"/>
        </w:rPr>
      </w:pPr>
      <w:r>
        <w:t>9.</w:t>
      </w:r>
      <w:r>
        <w:tab/>
        <w:t>Duty to report certain situations</w:t>
      </w:r>
      <w:r>
        <w:tab/>
      </w:r>
      <w:r>
        <w:fldChar w:fldCharType="begin"/>
      </w:r>
      <w:r>
        <w:instrText xml:space="preserve"> PAGEREF _Toc131512492 \h </w:instrText>
      </w:r>
      <w:r>
        <w:fldChar w:fldCharType="separate"/>
      </w:r>
      <w:r>
        <w:t>8</w:t>
      </w:r>
      <w:r>
        <w:fldChar w:fldCharType="end"/>
      </w:r>
    </w:p>
    <w:p>
      <w:pPr>
        <w:pStyle w:val="TOC8"/>
        <w:rPr>
          <w:rFonts w:asciiTheme="minorHAnsi" w:eastAsiaTheme="minorEastAsia" w:hAnsiTheme="minorHAnsi" w:cstheme="minorBidi"/>
          <w:szCs w:val="22"/>
        </w:rPr>
      </w:pPr>
      <w:r>
        <w:t>10.</w:t>
      </w:r>
      <w:r>
        <w:tab/>
        <w:t>Safety management documents</w:t>
      </w:r>
      <w:r>
        <w:tab/>
      </w:r>
      <w:r>
        <w:fldChar w:fldCharType="begin"/>
      </w:r>
      <w:r>
        <w:instrText xml:space="preserve"> PAGEREF _Toc131512493 \h </w:instrText>
      </w:r>
      <w:r>
        <w:fldChar w:fldCharType="separate"/>
      </w:r>
      <w:r>
        <w:t>8</w:t>
      </w:r>
      <w:r>
        <w:fldChar w:fldCharType="end"/>
      </w:r>
    </w:p>
    <w:p>
      <w:pPr>
        <w:pStyle w:val="TOC8"/>
        <w:rPr>
          <w:rFonts w:asciiTheme="minorHAnsi" w:eastAsiaTheme="minorEastAsia" w:hAnsiTheme="minorHAnsi" w:cstheme="minorBidi"/>
          <w:szCs w:val="22"/>
        </w:rPr>
      </w:pPr>
      <w:r>
        <w:t>11.</w:t>
      </w:r>
      <w:r>
        <w:tab/>
        <w:t>Unlicensed person involved with dangerous goods</w:t>
      </w:r>
      <w:r>
        <w:tab/>
      </w:r>
      <w:r>
        <w:fldChar w:fldCharType="begin"/>
      </w:r>
      <w:r>
        <w:instrText xml:space="preserve"> PAGEREF _Toc131512494 \h </w:instrText>
      </w:r>
      <w:r>
        <w:fldChar w:fldCharType="separate"/>
      </w:r>
      <w:r>
        <w:t>8</w:t>
      </w:r>
      <w:r>
        <w:fldChar w:fldCharType="end"/>
      </w:r>
    </w:p>
    <w:p>
      <w:pPr>
        <w:pStyle w:val="TOC8"/>
        <w:rPr>
          <w:rFonts w:asciiTheme="minorHAnsi" w:eastAsiaTheme="minorEastAsia" w:hAnsiTheme="minorHAnsi" w:cstheme="minorBidi"/>
          <w:szCs w:val="22"/>
        </w:rPr>
      </w:pPr>
      <w:r>
        <w:t>12.</w:t>
      </w:r>
      <w:r>
        <w:tab/>
        <w:t>Unlicensed possession of dangerous goods</w:t>
      </w:r>
      <w:r>
        <w:tab/>
      </w:r>
      <w:r>
        <w:fldChar w:fldCharType="begin"/>
      </w:r>
      <w:r>
        <w:instrText xml:space="preserve"> PAGEREF _Toc131512495 \h </w:instrText>
      </w:r>
      <w:r>
        <w:fldChar w:fldCharType="separate"/>
      </w:r>
      <w:r>
        <w:t>9</w:t>
      </w:r>
      <w:r>
        <w:fldChar w:fldCharType="end"/>
      </w:r>
    </w:p>
    <w:p>
      <w:pPr>
        <w:pStyle w:val="TOC8"/>
        <w:rPr>
          <w:rFonts w:asciiTheme="minorHAnsi" w:eastAsiaTheme="minorEastAsia" w:hAnsiTheme="minorHAnsi" w:cstheme="minorBidi"/>
          <w:szCs w:val="22"/>
        </w:rPr>
      </w:pPr>
      <w:r>
        <w:t>13.</w:t>
      </w:r>
      <w:r>
        <w:tab/>
        <w:t>Unregistered or unlicensed dangerous goods sites</w:t>
      </w:r>
      <w:r>
        <w:tab/>
      </w:r>
      <w:r>
        <w:fldChar w:fldCharType="begin"/>
      </w:r>
      <w:r>
        <w:instrText xml:space="preserve"> PAGEREF _Toc131512496 \h </w:instrText>
      </w:r>
      <w:r>
        <w:fldChar w:fldCharType="separate"/>
      </w:r>
      <w:r>
        <w:t>9</w:t>
      </w:r>
      <w:r>
        <w:fldChar w:fldCharType="end"/>
      </w:r>
    </w:p>
    <w:p>
      <w:pPr>
        <w:pStyle w:val="TOC8"/>
        <w:rPr>
          <w:rFonts w:asciiTheme="minorHAnsi" w:eastAsiaTheme="minorEastAsia" w:hAnsiTheme="minorHAnsi" w:cstheme="minorBidi"/>
          <w:szCs w:val="22"/>
        </w:rPr>
      </w:pPr>
      <w:r>
        <w:t>14.</w:t>
      </w:r>
      <w:r>
        <w:tab/>
        <w:t>Unlicensed vehicle transporting dangerous goods</w:t>
      </w:r>
      <w:r>
        <w:tab/>
      </w:r>
      <w:r>
        <w:fldChar w:fldCharType="begin"/>
      </w:r>
      <w:r>
        <w:instrText xml:space="preserve"> PAGEREF _Toc131512497 \h </w:instrText>
      </w:r>
      <w:r>
        <w:fldChar w:fldCharType="separate"/>
      </w:r>
      <w:r>
        <w:t>10</w:t>
      </w:r>
      <w:r>
        <w:fldChar w:fldCharType="end"/>
      </w:r>
    </w:p>
    <w:p>
      <w:pPr>
        <w:pStyle w:val="TOC8"/>
        <w:rPr>
          <w:rFonts w:asciiTheme="minorHAnsi" w:eastAsiaTheme="minorEastAsia" w:hAnsiTheme="minorHAnsi" w:cstheme="minorBidi"/>
          <w:szCs w:val="22"/>
        </w:rPr>
      </w:pPr>
      <w:r>
        <w:t>15.</w:t>
      </w:r>
      <w:r>
        <w:tab/>
        <w:t>Unlicensed driver transporting dangerous goods</w:t>
      </w:r>
      <w:r>
        <w:tab/>
      </w:r>
      <w:r>
        <w:fldChar w:fldCharType="begin"/>
      </w:r>
      <w:r>
        <w:instrText xml:space="preserve"> PAGEREF _Toc131512498 \h </w:instrText>
      </w:r>
      <w:r>
        <w:fldChar w:fldCharType="separate"/>
      </w:r>
      <w:r>
        <w:t>10</w:t>
      </w:r>
      <w:r>
        <w:fldChar w:fldCharType="end"/>
      </w:r>
    </w:p>
    <w:p>
      <w:pPr>
        <w:pStyle w:val="TOC8"/>
        <w:rPr>
          <w:rFonts w:asciiTheme="minorHAnsi" w:eastAsiaTheme="minorEastAsia" w:hAnsiTheme="minorHAnsi" w:cstheme="minorBidi"/>
          <w:szCs w:val="22"/>
        </w:rPr>
      </w:pPr>
      <w:r>
        <w:t>16.</w:t>
      </w:r>
      <w:r>
        <w:tab/>
        <w:t>Transporting goods too dangerous to transport</w:t>
      </w:r>
      <w:r>
        <w:tab/>
      </w:r>
      <w:r>
        <w:fldChar w:fldCharType="begin"/>
      </w:r>
      <w:r>
        <w:instrText xml:space="preserve"> PAGEREF _Toc131512499 \h </w:instrText>
      </w:r>
      <w:r>
        <w:fldChar w:fldCharType="separate"/>
      </w:r>
      <w:r>
        <w:t>11</w:t>
      </w:r>
      <w:r>
        <w:fldChar w:fldCharType="end"/>
      </w:r>
    </w:p>
    <w:p>
      <w:pPr>
        <w:pStyle w:val="TOC8"/>
        <w:rPr>
          <w:rFonts w:asciiTheme="minorHAnsi" w:eastAsiaTheme="minorEastAsia" w:hAnsiTheme="minorHAnsi" w:cstheme="minorBidi"/>
          <w:szCs w:val="22"/>
        </w:rPr>
      </w:pPr>
      <w:r>
        <w:t>17.</w:t>
      </w:r>
      <w:r>
        <w:tab/>
        <w:t>Aggravated offence, penalty for</w:t>
      </w:r>
      <w:r>
        <w:tab/>
      </w:r>
      <w:r>
        <w:fldChar w:fldCharType="begin"/>
      </w:r>
      <w:r>
        <w:instrText xml:space="preserve"> PAGEREF _Toc131512500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and codes of practice</w:t>
      </w:r>
    </w:p>
    <w:p>
      <w:pPr>
        <w:pStyle w:val="TOC8"/>
        <w:rPr>
          <w:rFonts w:asciiTheme="minorHAnsi" w:eastAsiaTheme="minorEastAsia" w:hAnsiTheme="minorHAnsi" w:cstheme="minorBidi"/>
          <w:szCs w:val="22"/>
        </w:rPr>
      </w:pPr>
      <w:r>
        <w:t>18.</w:t>
      </w:r>
      <w:r>
        <w:tab/>
        <w:t>Regulations, general matters (Sch. 1)</w:t>
      </w:r>
      <w:r>
        <w:tab/>
      </w:r>
      <w:r>
        <w:fldChar w:fldCharType="begin"/>
      </w:r>
      <w:r>
        <w:instrText xml:space="preserve"> PAGEREF _Toc131512502 \h </w:instrText>
      </w:r>
      <w:r>
        <w:fldChar w:fldCharType="separate"/>
      </w:r>
      <w:r>
        <w:t>13</w:t>
      </w:r>
      <w:r>
        <w:fldChar w:fldCharType="end"/>
      </w:r>
    </w:p>
    <w:p>
      <w:pPr>
        <w:pStyle w:val="TOC8"/>
        <w:rPr>
          <w:rFonts w:asciiTheme="minorHAnsi" w:eastAsiaTheme="minorEastAsia" w:hAnsiTheme="minorHAnsi" w:cstheme="minorBidi"/>
          <w:szCs w:val="22"/>
        </w:rPr>
      </w:pPr>
      <w:r>
        <w:t>19.</w:t>
      </w:r>
      <w:r>
        <w:tab/>
        <w:t>Regulations may adopt codes or legislation</w:t>
      </w:r>
      <w:r>
        <w:tab/>
      </w:r>
      <w:r>
        <w:fldChar w:fldCharType="begin"/>
      </w:r>
      <w:r>
        <w:instrText xml:space="preserve"> PAGEREF _Toc131512503 \h </w:instrText>
      </w:r>
      <w:r>
        <w:fldChar w:fldCharType="separate"/>
      </w:r>
      <w:r>
        <w:t>14</w:t>
      </w:r>
      <w:r>
        <w:fldChar w:fldCharType="end"/>
      </w:r>
    </w:p>
    <w:p>
      <w:pPr>
        <w:pStyle w:val="TOC8"/>
        <w:rPr>
          <w:rFonts w:asciiTheme="minorHAnsi" w:eastAsiaTheme="minorEastAsia" w:hAnsiTheme="minorHAnsi" w:cstheme="minorBidi"/>
          <w:szCs w:val="22"/>
        </w:rPr>
      </w:pPr>
      <w:r>
        <w:t>20.</w:t>
      </w:r>
      <w:r>
        <w:tab/>
        <w:t>Codes of practice, approval of</w:t>
      </w:r>
      <w:r>
        <w:tab/>
      </w:r>
      <w:r>
        <w:fldChar w:fldCharType="begin"/>
      </w:r>
      <w:r>
        <w:instrText xml:space="preserve"> PAGEREF _Toc131512504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Exemptions</w:t>
      </w:r>
    </w:p>
    <w:p>
      <w:pPr>
        <w:pStyle w:val="TOC8"/>
        <w:rPr>
          <w:rFonts w:asciiTheme="minorHAnsi" w:eastAsiaTheme="minorEastAsia" w:hAnsiTheme="minorHAnsi" w:cstheme="minorBidi"/>
          <w:szCs w:val="22"/>
        </w:rPr>
      </w:pPr>
      <w:r>
        <w:t>21.</w:t>
      </w:r>
      <w:r>
        <w:tab/>
        <w:t>Exemption may be granted by Minister</w:t>
      </w:r>
      <w:r>
        <w:tab/>
      </w:r>
      <w:r>
        <w:fldChar w:fldCharType="begin"/>
      </w:r>
      <w:r>
        <w:instrText xml:space="preserve"> PAGEREF _Toc131512506 \h </w:instrText>
      </w:r>
      <w:r>
        <w:fldChar w:fldCharType="separate"/>
      </w:r>
      <w:r>
        <w:t>17</w:t>
      </w:r>
      <w:r>
        <w:fldChar w:fldCharType="end"/>
      </w:r>
    </w:p>
    <w:p>
      <w:pPr>
        <w:pStyle w:val="TOC8"/>
        <w:rPr>
          <w:rFonts w:asciiTheme="minorHAnsi" w:eastAsiaTheme="minorEastAsia" w:hAnsiTheme="minorHAnsi" w:cstheme="minorBidi"/>
          <w:szCs w:val="22"/>
        </w:rPr>
      </w:pPr>
      <w:r>
        <w:t>22.</w:t>
      </w:r>
      <w:r>
        <w:tab/>
        <w:t>Exemption may be granted by Chief Officer</w:t>
      </w:r>
      <w:r>
        <w:tab/>
      </w:r>
      <w:r>
        <w:fldChar w:fldCharType="begin"/>
      </w:r>
      <w:r>
        <w:instrText xml:space="preserve"> PAGEREF _Toc131512507 \h </w:instrText>
      </w:r>
      <w:r>
        <w:fldChar w:fldCharType="separate"/>
      </w:r>
      <w:r>
        <w:t>17</w:t>
      </w:r>
      <w:r>
        <w:fldChar w:fldCharType="end"/>
      </w:r>
    </w:p>
    <w:p>
      <w:pPr>
        <w:pStyle w:val="TOC8"/>
        <w:rPr>
          <w:rFonts w:asciiTheme="minorHAnsi" w:eastAsiaTheme="minorEastAsia" w:hAnsiTheme="minorHAnsi" w:cstheme="minorBidi"/>
          <w:szCs w:val="22"/>
        </w:rPr>
      </w:pPr>
      <w:r>
        <w:t>23.</w:t>
      </w:r>
      <w:r>
        <w:tab/>
        <w:t>General provisions</w:t>
      </w:r>
      <w:r>
        <w:tab/>
      </w:r>
      <w:r>
        <w:fldChar w:fldCharType="begin"/>
      </w:r>
      <w:r>
        <w:instrText xml:space="preserve"> PAGEREF _Toc131512508 \h </w:instrText>
      </w:r>
      <w:r>
        <w:fldChar w:fldCharType="separate"/>
      </w:r>
      <w:r>
        <w:t>18</w:t>
      </w:r>
      <w:r>
        <w:fldChar w:fldCharType="end"/>
      </w:r>
    </w:p>
    <w:p>
      <w:pPr>
        <w:pStyle w:val="TOC8"/>
        <w:rPr>
          <w:rFonts w:asciiTheme="minorHAnsi" w:eastAsiaTheme="minorEastAsia" w:hAnsiTheme="minorHAnsi" w:cstheme="minorBidi"/>
          <w:szCs w:val="22"/>
        </w:rPr>
      </w:pPr>
      <w:r>
        <w:t>24.</w:t>
      </w:r>
      <w:r>
        <w:tab/>
        <w:t>Conditions of an exemption, failing to comply with</w:t>
      </w:r>
      <w:r>
        <w:tab/>
      </w:r>
      <w:r>
        <w:fldChar w:fldCharType="begin"/>
      </w:r>
      <w:r>
        <w:instrText xml:space="preserve"> PAGEREF _Toc131512509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Chief Dangerous Goods Officer</w:t>
      </w:r>
    </w:p>
    <w:p>
      <w:pPr>
        <w:pStyle w:val="TOC8"/>
        <w:rPr>
          <w:rFonts w:asciiTheme="minorHAnsi" w:eastAsiaTheme="minorEastAsia" w:hAnsiTheme="minorHAnsi" w:cstheme="minorBidi"/>
          <w:szCs w:val="22"/>
        </w:rPr>
      </w:pPr>
      <w:r>
        <w:t>25.</w:t>
      </w:r>
      <w:r>
        <w:tab/>
        <w:t>Chief Dangerous Goods Officer, appointment and functions</w:t>
      </w:r>
      <w:r>
        <w:tab/>
      </w:r>
      <w:r>
        <w:fldChar w:fldCharType="begin"/>
      </w:r>
      <w:r>
        <w:instrText xml:space="preserve"> PAGEREF _Toc131512512 \h </w:instrText>
      </w:r>
      <w:r>
        <w:fldChar w:fldCharType="separate"/>
      </w:r>
      <w:r>
        <w:t>20</w:t>
      </w:r>
      <w:r>
        <w:fldChar w:fldCharType="end"/>
      </w:r>
    </w:p>
    <w:p>
      <w:pPr>
        <w:pStyle w:val="TOC8"/>
        <w:rPr>
          <w:rFonts w:asciiTheme="minorHAnsi" w:eastAsiaTheme="minorEastAsia" w:hAnsiTheme="minorHAnsi" w:cstheme="minorBidi"/>
          <w:szCs w:val="22"/>
        </w:rPr>
      </w:pPr>
      <w:r>
        <w:t>26.</w:t>
      </w:r>
      <w:r>
        <w:tab/>
        <w:t>Chief Officer may delegate</w:t>
      </w:r>
      <w:r>
        <w:tab/>
      </w:r>
      <w:r>
        <w:fldChar w:fldCharType="begin"/>
      </w:r>
      <w:r>
        <w:instrText xml:space="preserve"> PAGEREF _Toc131512513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Dangerous goods officers</w:t>
      </w:r>
    </w:p>
    <w:p>
      <w:pPr>
        <w:pStyle w:val="TOC8"/>
        <w:rPr>
          <w:rFonts w:asciiTheme="minorHAnsi" w:eastAsiaTheme="minorEastAsia" w:hAnsiTheme="minorHAnsi" w:cstheme="minorBidi"/>
          <w:szCs w:val="22"/>
        </w:rPr>
      </w:pPr>
      <w:r>
        <w:t>27.</w:t>
      </w:r>
      <w:r>
        <w:tab/>
        <w:t>Dangerous goods officers, appointment and extent of powers</w:t>
      </w:r>
      <w:r>
        <w:tab/>
      </w:r>
      <w:r>
        <w:fldChar w:fldCharType="begin"/>
      </w:r>
      <w:r>
        <w:instrText xml:space="preserve"> PAGEREF _Toc131512515 \h </w:instrText>
      </w:r>
      <w:r>
        <w:fldChar w:fldCharType="separate"/>
      </w:r>
      <w:r>
        <w:t>21</w:t>
      </w:r>
      <w:r>
        <w:fldChar w:fldCharType="end"/>
      </w:r>
    </w:p>
    <w:p>
      <w:pPr>
        <w:pStyle w:val="TOC8"/>
        <w:rPr>
          <w:rFonts w:asciiTheme="minorHAnsi" w:eastAsiaTheme="minorEastAsia" w:hAnsiTheme="minorHAnsi" w:cstheme="minorBidi"/>
          <w:szCs w:val="22"/>
        </w:rPr>
      </w:pPr>
      <w:r>
        <w:t>28.</w:t>
      </w:r>
      <w:r>
        <w:tab/>
        <w:t>Identification cards</w:t>
      </w:r>
      <w:r>
        <w:tab/>
      </w:r>
      <w:r>
        <w:fldChar w:fldCharType="begin"/>
      </w:r>
      <w:r>
        <w:instrText xml:space="preserve"> PAGEREF _Toc131512516 \h </w:instrText>
      </w:r>
      <w:r>
        <w:fldChar w:fldCharType="separate"/>
      </w:r>
      <w:r>
        <w:t>21</w:t>
      </w:r>
      <w:r>
        <w:fldChar w:fldCharType="end"/>
      </w:r>
    </w:p>
    <w:p>
      <w:pPr>
        <w:pStyle w:val="TOC8"/>
        <w:rPr>
          <w:rFonts w:asciiTheme="minorHAnsi" w:eastAsiaTheme="minorEastAsia" w:hAnsiTheme="minorHAnsi" w:cstheme="minorBidi"/>
          <w:szCs w:val="22"/>
        </w:rPr>
      </w:pPr>
      <w:r>
        <w:t>29.</w:t>
      </w:r>
      <w:r>
        <w:tab/>
        <w:t>Licences etc. under this Act not required</w:t>
      </w:r>
      <w:r>
        <w:tab/>
      </w:r>
      <w:r>
        <w:fldChar w:fldCharType="begin"/>
      </w:r>
      <w:r>
        <w:instrText xml:space="preserve"> PAGEREF _Toc131512517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30.</w:t>
      </w:r>
      <w:r>
        <w:tab/>
        <w:t>Minister may delegate</w:t>
      </w:r>
      <w:r>
        <w:tab/>
      </w:r>
      <w:r>
        <w:fldChar w:fldCharType="begin"/>
      </w:r>
      <w:r>
        <w:instrText xml:space="preserve"> PAGEREF _Toc131512519 \h </w:instrText>
      </w:r>
      <w:r>
        <w:fldChar w:fldCharType="separate"/>
      </w:r>
      <w:r>
        <w:t>22</w:t>
      </w:r>
      <w:r>
        <w:fldChar w:fldCharType="end"/>
      </w:r>
    </w:p>
    <w:p>
      <w:pPr>
        <w:pStyle w:val="TOC8"/>
        <w:rPr>
          <w:rFonts w:asciiTheme="minorHAnsi" w:eastAsiaTheme="minorEastAsia" w:hAnsiTheme="minorHAnsi" w:cstheme="minorBidi"/>
          <w:szCs w:val="22"/>
        </w:rPr>
      </w:pPr>
      <w:r>
        <w:t>31.</w:t>
      </w:r>
      <w:r>
        <w:tab/>
        <w:t>Police officers’ powers and immunities</w:t>
      </w:r>
      <w:r>
        <w:tab/>
      </w:r>
      <w:r>
        <w:fldChar w:fldCharType="begin"/>
      </w:r>
      <w:r>
        <w:instrText xml:space="preserve"> PAGEREF _Toc131512520 \h </w:instrText>
      </w:r>
      <w:r>
        <w:fldChar w:fldCharType="separate"/>
      </w:r>
      <w:r>
        <w:t>22</w:t>
      </w:r>
      <w:r>
        <w:fldChar w:fldCharType="end"/>
      </w:r>
    </w:p>
    <w:p>
      <w:pPr>
        <w:pStyle w:val="TOC8"/>
        <w:rPr>
          <w:rFonts w:asciiTheme="minorHAnsi" w:eastAsiaTheme="minorEastAsia" w:hAnsiTheme="minorHAnsi" w:cstheme="minorBidi"/>
          <w:szCs w:val="22"/>
        </w:rPr>
      </w:pPr>
      <w:r>
        <w:t>32.</w:t>
      </w:r>
      <w:r>
        <w:tab/>
        <w:t>Immunity from tortious liability</w:t>
      </w:r>
      <w:r>
        <w:tab/>
      </w:r>
      <w:r>
        <w:fldChar w:fldCharType="begin"/>
      </w:r>
      <w:r>
        <w:instrText xml:space="preserve"> PAGEREF _Toc131512521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_Toc131512524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34.</w:t>
      </w:r>
      <w:r>
        <w:tab/>
        <w:t>Obtaining identifying particulars</w:t>
      </w:r>
      <w:r>
        <w:tab/>
      </w:r>
      <w:r>
        <w:fldChar w:fldCharType="begin"/>
      </w:r>
      <w:r>
        <w:instrText xml:space="preserve"> PAGEREF _Toc131512526 \h </w:instrText>
      </w:r>
      <w:r>
        <w:fldChar w:fldCharType="separate"/>
      </w:r>
      <w:r>
        <w:t>25</w:t>
      </w:r>
      <w:r>
        <w:fldChar w:fldCharType="end"/>
      </w:r>
    </w:p>
    <w:p>
      <w:pPr>
        <w:pStyle w:val="TOC8"/>
        <w:rPr>
          <w:rFonts w:asciiTheme="minorHAnsi" w:eastAsiaTheme="minorEastAsia" w:hAnsiTheme="minorHAnsi" w:cstheme="minorBidi"/>
          <w:szCs w:val="22"/>
        </w:rPr>
      </w:pPr>
      <w:r>
        <w:t>35.</w:t>
      </w:r>
      <w:r>
        <w:tab/>
        <w:t>Entering, inspecting and searching places</w:t>
      </w:r>
      <w:r>
        <w:tab/>
      </w:r>
      <w:r>
        <w:fldChar w:fldCharType="begin"/>
      </w:r>
      <w:r>
        <w:instrText xml:space="preserve"> PAGEREF _Toc131512527 \h </w:instrText>
      </w:r>
      <w:r>
        <w:fldChar w:fldCharType="separate"/>
      </w:r>
      <w:r>
        <w:t>25</w:t>
      </w:r>
      <w:r>
        <w:fldChar w:fldCharType="end"/>
      </w:r>
    </w:p>
    <w:p>
      <w:pPr>
        <w:pStyle w:val="TOC8"/>
        <w:rPr>
          <w:rFonts w:asciiTheme="minorHAnsi" w:eastAsiaTheme="minorEastAsia" w:hAnsiTheme="minorHAnsi" w:cstheme="minorBidi"/>
          <w:szCs w:val="22"/>
        </w:rPr>
      </w:pPr>
      <w:r>
        <w:t>36.</w:t>
      </w:r>
      <w:r>
        <w:tab/>
        <w:t>Stopping, entering, searching and inspecting vehicles</w:t>
      </w:r>
      <w:r>
        <w:tab/>
      </w:r>
      <w:r>
        <w:fldChar w:fldCharType="begin"/>
      </w:r>
      <w:r>
        <w:instrText xml:space="preserve"> PAGEREF _Toc131512528 \h </w:instrText>
      </w:r>
      <w:r>
        <w:fldChar w:fldCharType="separate"/>
      </w:r>
      <w:r>
        <w:t>26</w:t>
      </w:r>
      <w:r>
        <w:fldChar w:fldCharType="end"/>
      </w:r>
    </w:p>
    <w:p>
      <w:pPr>
        <w:pStyle w:val="TOC8"/>
        <w:rPr>
          <w:rFonts w:asciiTheme="minorHAnsi" w:eastAsiaTheme="minorEastAsia" w:hAnsiTheme="minorHAnsi" w:cstheme="minorBidi"/>
          <w:szCs w:val="22"/>
        </w:rPr>
      </w:pPr>
      <w:r>
        <w:t>37.</w:t>
      </w:r>
      <w:r>
        <w:tab/>
        <w:t>Seizing samples, evidence etc.</w:t>
      </w:r>
      <w:r>
        <w:tab/>
      </w:r>
      <w:r>
        <w:fldChar w:fldCharType="begin"/>
      </w:r>
      <w:r>
        <w:instrText xml:space="preserve"> PAGEREF _Toc131512529 \h </w:instrText>
      </w:r>
      <w:r>
        <w:fldChar w:fldCharType="separate"/>
      </w:r>
      <w:r>
        <w:t>26</w:t>
      </w:r>
      <w:r>
        <w:fldChar w:fldCharType="end"/>
      </w:r>
    </w:p>
    <w:p>
      <w:pPr>
        <w:pStyle w:val="TOC8"/>
        <w:rPr>
          <w:rFonts w:asciiTheme="minorHAnsi" w:eastAsiaTheme="minorEastAsia" w:hAnsiTheme="minorHAnsi" w:cstheme="minorBidi"/>
          <w:szCs w:val="22"/>
        </w:rPr>
      </w:pPr>
      <w:r>
        <w:t>38.</w:t>
      </w:r>
      <w:r>
        <w:tab/>
        <w:t>Obtaining records</w:t>
      </w:r>
      <w:r>
        <w:tab/>
      </w:r>
      <w:r>
        <w:fldChar w:fldCharType="begin"/>
      </w:r>
      <w:r>
        <w:instrText xml:space="preserve"> PAGEREF _Toc131512530 \h </w:instrText>
      </w:r>
      <w:r>
        <w:fldChar w:fldCharType="separate"/>
      </w:r>
      <w:r>
        <w:t>27</w:t>
      </w:r>
      <w:r>
        <w:fldChar w:fldCharType="end"/>
      </w:r>
    </w:p>
    <w:p>
      <w:pPr>
        <w:pStyle w:val="TOC8"/>
        <w:rPr>
          <w:rFonts w:asciiTheme="minorHAnsi" w:eastAsiaTheme="minorEastAsia" w:hAnsiTheme="minorHAnsi" w:cstheme="minorBidi"/>
          <w:szCs w:val="22"/>
        </w:rPr>
      </w:pPr>
      <w:r>
        <w:t>39.</w:t>
      </w:r>
      <w:r>
        <w:tab/>
        <w:t>Asking questions</w:t>
      </w:r>
      <w:r>
        <w:tab/>
      </w:r>
      <w:r>
        <w:fldChar w:fldCharType="begin"/>
      </w:r>
      <w:r>
        <w:instrText xml:space="preserve"> PAGEREF _Toc131512531 \h </w:instrText>
      </w:r>
      <w:r>
        <w:fldChar w:fldCharType="separate"/>
      </w:r>
      <w:r>
        <w:t>28</w:t>
      </w:r>
      <w:r>
        <w:fldChar w:fldCharType="end"/>
      </w:r>
    </w:p>
    <w:p>
      <w:pPr>
        <w:pStyle w:val="TOC8"/>
        <w:rPr>
          <w:rFonts w:asciiTheme="minorHAnsi" w:eastAsiaTheme="minorEastAsia" w:hAnsiTheme="minorHAnsi" w:cstheme="minorBidi"/>
          <w:szCs w:val="22"/>
        </w:rPr>
      </w:pPr>
      <w:r>
        <w:t>40.</w:t>
      </w:r>
      <w:r>
        <w:tab/>
        <w:t>Restricting access to sites of dangerous goods incidents and dangerous situations</w:t>
      </w:r>
      <w:r>
        <w:tab/>
      </w:r>
      <w:r>
        <w:fldChar w:fldCharType="begin"/>
      </w:r>
      <w:r>
        <w:instrText xml:space="preserve"> PAGEREF _Toc131512532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41.</w:t>
      </w:r>
      <w:r>
        <w:tab/>
        <w:t>Term used: JP</w:t>
      </w:r>
      <w:r>
        <w:tab/>
      </w:r>
      <w:r>
        <w:fldChar w:fldCharType="begin"/>
      </w:r>
      <w:r>
        <w:instrText xml:space="preserve"> PAGEREF _Toc131512534 \h </w:instrText>
      </w:r>
      <w:r>
        <w:fldChar w:fldCharType="separate"/>
      </w:r>
      <w:r>
        <w:t>30</w:t>
      </w:r>
      <w:r>
        <w:fldChar w:fldCharType="end"/>
      </w:r>
    </w:p>
    <w:p>
      <w:pPr>
        <w:pStyle w:val="TOC8"/>
        <w:rPr>
          <w:rFonts w:asciiTheme="minorHAnsi" w:eastAsiaTheme="minorEastAsia" w:hAnsiTheme="minorHAnsi" w:cstheme="minorBidi"/>
          <w:szCs w:val="22"/>
        </w:rPr>
      </w:pPr>
      <w:r>
        <w:t>42.</w:t>
      </w:r>
      <w:r>
        <w:tab/>
        <w:t>Applying for an entry warrant</w:t>
      </w:r>
      <w:r>
        <w:tab/>
      </w:r>
      <w:r>
        <w:fldChar w:fldCharType="begin"/>
      </w:r>
      <w:r>
        <w:instrText xml:space="preserve"> PAGEREF _Toc131512535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43.</w:t>
      </w:r>
      <w:r>
        <w:tab/>
        <w:t>Applications, how they are to be made</w:t>
      </w:r>
      <w:r>
        <w:tab/>
      </w:r>
      <w:r>
        <w:fldChar w:fldCharType="begin"/>
      </w:r>
      <w:r>
        <w:instrText xml:space="preserve"> PAGEREF _Toc131512536 \h </w:instrText>
      </w:r>
      <w:r>
        <w:fldChar w:fldCharType="separate"/>
      </w:r>
      <w:r>
        <w:t>31</w:t>
      </w:r>
      <w:r>
        <w:fldChar w:fldCharType="end"/>
      </w:r>
    </w:p>
    <w:p>
      <w:pPr>
        <w:pStyle w:val="TOC8"/>
        <w:rPr>
          <w:rFonts w:asciiTheme="minorHAnsi" w:eastAsiaTheme="minorEastAsia" w:hAnsiTheme="minorHAnsi" w:cstheme="minorBidi"/>
          <w:szCs w:val="22"/>
        </w:rPr>
      </w:pPr>
      <w:r>
        <w:t>44.</w:t>
      </w:r>
      <w:r>
        <w:tab/>
        <w:t>Issuing an entry warrant</w:t>
      </w:r>
      <w:r>
        <w:tab/>
      </w:r>
      <w:r>
        <w:fldChar w:fldCharType="begin"/>
      </w:r>
      <w:r>
        <w:instrText xml:space="preserve"> PAGEREF _Toc131512537 \h </w:instrText>
      </w:r>
      <w:r>
        <w:fldChar w:fldCharType="separate"/>
      </w:r>
      <w:r>
        <w:t>33</w:t>
      </w:r>
      <w:r>
        <w:fldChar w:fldCharType="end"/>
      </w:r>
    </w:p>
    <w:p>
      <w:pPr>
        <w:pStyle w:val="TOC8"/>
        <w:rPr>
          <w:rFonts w:asciiTheme="minorHAnsi" w:eastAsiaTheme="minorEastAsia" w:hAnsiTheme="minorHAnsi" w:cstheme="minorBidi"/>
          <w:szCs w:val="22"/>
        </w:rPr>
      </w:pPr>
      <w:r>
        <w:t>45.</w:t>
      </w:r>
      <w:r>
        <w:tab/>
        <w:t>Effect of entry warrant</w:t>
      </w:r>
      <w:r>
        <w:tab/>
      </w:r>
      <w:r>
        <w:fldChar w:fldCharType="begin"/>
      </w:r>
      <w:r>
        <w:instrText xml:space="preserve"> PAGEREF _Toc131512538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Audits of dangerous goods sites</w:t>
      </w:r>
    </w:p>
    <w:p>
      <w:pPr>
        <w:pStyle w:val="TOC8"/>
        <w:rPr>
          <w:rFonts w:asciiTheme="minorHAnsi" w:eastAsiaTheme="minorEastAsia" w:hAnsiTheme="minorHAnsi" w:cstheme="minorBidi"/>
          <w:szCs w:val="22"/>
        </w:rPr>
      </w:pPr>
      <w:r>
        <w:t>46.</w:t>
      </w:r>
      <w:r>
        <w:tab/>
        <w:t>Audit may be directed by Chief Officer</w:t>
      </w:r>
      <w:r>
        <w:tab/>
      </w:r>
      <w:r>
        <w:fldChar w:fldCharType="begin"/>
      </w:r>
      <w:r>
        <w:instrText xml:space="preserve"> PAGEREF _Toc131512540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Remedying dangerous and other situations</w:t>
      </w:r>
    </w:p>
    <w:p>
      <w:pPr>
        <w:pStyle w:val="TOC8"/>
        <w:rPr>
          <w:rFonts w:asciiTheme="minorHAnsi" w:eastAsiaTheme="minorEastAsia" w:hAnsiTheme="minorHAnsi" w:cstheme="minorBidi"/>
          <w:szCs w:val="22"/>
        </w:rPr>
      </w:pPr>
      <w:r>
        <w:t>47.</w:t>
      </w:r>
      <w:r>
        <w:tab/>
        <w:t>Remediation notice</w:t>
      </w:r>
      <w:r>
        <w:tab/>
      </w:r>
      <w:r>
        <w:fldChar w:fldCharType="begin"/>
      </w:r>
      <w:r>
        <w:instrText xml:space="preserve"> PAGEREF _Toc131512542 \h </w:instrText>
      </w:r>
      <w:r>
        <w:fldChar w:fldCharType="separate"/>
      </w:r>
      <w:r>
        <w:t>35</w:t>
      </w:r>
      <w:r>
        <w:fldChar w:fldCharType="end"/>
      </w:r>
    </w:p>
    <w:p>
      <w:pPr>
        <w:pStyle w:val="TOC8"/>
        <w:rPr>
          <w:rFonts w:asciiTheme="minorHAnsi" w:eastAsiaTheme="minorEastAsia" w:hAnsiTheme="minorHAnsi" w:cstheme="minorBidi"/>
          <w:szCs w:val="22"/>
        </w:rPr>
      </w:pPr>
      <w:r>
        <w:t>48.</w:t>
      </w:r>
      <w:r>
        <w:tab/>
        <w:t>Chief Officer may approve earlier or immediate compliance with remediation notice</w:t>
      </w:r>
      <w:r>
        <w:tab/>
      </w:r>
      <w:r>
        <w:fldChar w:fldCharType="begin"/>
      </w:r>
      <w:r>
        <w:instrText xml:space="preserve"> PAGEREF _Toc131512543 \h </w:instrText>
      </w:r>
      <w:r>
        <w:fldChar w:fldCharType="separate"/>
      </w:r>
      <w:r>
        <w:t>38</w:t>
      </w:r>
      <w:r>
        <w:fldChar w:fldCharType="end"/>
      </w:r>
    </w:p>
    <w:p>
      <w:pPr>
        <w:pStyle w:val="TOC8"/>
        <w:rPr>
          <w:rFonts w:asciiTheme="minorHAnsi" w:eastAsiaTheme="minorEastAsia" w:hAnsiTheme="minorHAnsi" w:cstheme="minorBidi"/>
          <w:szCs w:val="22"/>
        </w:rPr>
      </w:pPr>
      <w:r>
        <w:t>49.</w:t>
      </w:r>
      <w:r>
        <w:tab/>
        <w:t>Contravention of remediation notice, action by DGO</w:t>
      </w:r>
      <w:r>
        <w:tab/>
      </w:r>
      <w:r>
        <w:fldChar w:fldCharType="begin"/>
      </w:r>
      <w:r>
        <w:instrText xml:space="preserve"> PAGEREF _Toc131512544 \h </w:instrText>
      </w:r>
      <w:r>
        <w:fldChar w:fldCharType="separate"/>
      </w:r>
      <w:r>
        <w:t>38</w:t>
      </w:r>
      <w:r>
        <w:fldChar w:fldCharType="end"/>
      </w:r>
    </w:p>
    <w:p>
      <w:pPr>
        <w:pStyle w:val="TOC8"/>
        <w:rPr>
          <w:rFonts w:asciiTheme="minorHAnsi" w:eastAsiaTheme="minorEastAsia" w:hAnsiTheme="minorHAnsi" w:cstheme="minorBidi"/>
          <w:szCs w:val="22"/>
        </w:rPr>
      </w:pPr>
      <w:r>
        <w:t>50.</w:t>
      </w:r>
      <w:r>
        <w:tab/>
        <w:t>Dangerous situation, emergency remedial measures</w:t>
      </w:r>
      <w:r>
        <w:tab/>
      </w:r>
      <w:r>
        <w:fldChar w:fldCharType="begin"/>
      </w:r>
      <w:r>
        <w:instrText xml:space="preserve"> PAGEREF _Toc131512545 \h </w:instrText>
      </w:r>
      <w:r>
        <w:fldChar w:fldCharType="separate"/>
      </w:r>
      <w:r>
        <w:t>39</w:t>
      </w:r>
      <w:r>
        <w:fldChar w:fldCharType="end"/>
      </w:r>
    </w:p>
    <w:p>
      <w:pPr>
        <w:pStyle w:val="TOC8"/>
        <w:rPr>
          <w:rFonts w:asciiTheme="minorHAnsi" w:eastAsiaTheme="minorEastAsia" w:hAnsiTheme="minorHAnsi" w:cstheme="minorBidi"/>
          <w:szCs w:val="22"/>
        </w:rPr>
      </w:pPr>
      <w:r>
        <w:t>51.</w:t>
      </w:r>
      <w:r>
        <w:tab/>
        <w:t>Recovering costs of government action</w:t>
      </w:r>
      <w:r>
        <w:tab/>
      </w:r>
      <w:r>
        <w:fldChar w:fldCharType="begin"/>
      </w:r>
      <w:r>
        <w:instrText xml:space="preserve"> PAGEREF _Toc131512546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52.</w:t>
      </w:r>
      <w:r>
        <w:tab/>
        <w:t>Directions, general matters</w:t>
      </w:r>
      <w:r>
        <w:tab/>
      </w:r>
      <w:r>
        <w:fldChar w:fldCharType="begin"/>
      </w:r>
      <w:r>
        <w:instrText xml:space="preserve"> PAGEREF _Toc131512548 \h </w:instrText>
      </w:r>
      <w:r>
        <w:fldChar w:fldCharType="separate"/>
      </w:r>
      <w:r>
        <w:t>41</w:t>
      </w:r>
      <w:r>
        <w:fldChar w:fldCharType="end"/>
      </w:r>
    </w:p>
    <w:p>
      <w:pPr>
        <w:pStyle w:val="TOC8"/>
        <w:rPr>
          <w:rFonts w:asciiTheme="minorHAnsi" w:eastAsiaTheme="minorEastAsia" w:hAnsiTheme="minorHAnsi" w:cstheme="minorBidi"/>
          <w:szCs w:val="22"/>
        </w:rPr>
      </w:pPr>
      <w:r>
        <w:t>53.</w:t>
      </w:r>
      <w:r>
        <w:tab/>
        <w:t>Ancillary powers and duties</w:t>
      </w:r>
      <w:r>
        <w:tab/>
      </w:r>
      <w:r>
        <w:fldChar w:fldCharType="begin"/>
      </w:r>
      <w:r>
        <w:instrText xml:space="preserve"> PAGEREF _Toc131512549 \h </w:instrText>
      </w:r>
      <w:r>
        <w:fldChar w:fldCharType="separate"/>
      </w:r>
      <w:r>
        <w:t>41</w:t>
      </w:r>
      <w:r>
        <w:fldChar w:fldCharType="end"/>
      </w:r>
    </w:p>
    <w:p>
      <w:pPr>
        <w:pStyle w:val="TOC8"/>
        <w:rPr>
          <w:rFonts w:asciiTheme="minorHAnsi" w:eastAsiaTheme="minorEastAsia" w:hAnsiTheme="minorHAnsi" w:cstheme="minorBidi"/>
          <w:szCs w:val="22"/>
        </w:rPr>
      </w:pPr>
      <w:r>
        <w:t>54.</w:t>
      </w:r>
      <w:r>
        <w:tab/>
        <w:t>Review by Chief Officer</w:t>
      </w:r>
      <w:r>
        <w:tab/>
      </w:r>
      <w:r>
        <w:fldChar w:fldCharType="begin"/>
      </w:r>
      <w:r>
        <w:instrText xml:space="preserve"> PAGEREF _Toc131512550 \h </w:instrText>
      </w:r>
      <w:r>
        <w:fldChar w:fldCharType="separate"/>
      </w:r>
      <w:r>
        <w:t>42</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_Toc131512551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Legal proceedings</w:t>
      </w:r>
    </w:p>
    <w:p>
      <w:pPr>
        <w:pStyle w:val="TOC8"/>
        <w:rPr>
          <w:rFonts w:asciiTheme="minorHAnsi" w:eastAsiaTheme="minorEastAsia" w:hAnsiTheme="minorHAnsi" w:cstheme="minorBidi"/>
          <w:szCs w:val="22"/>
        </w:rPr>
      </w:pPr>
      <w:r>
        <w:t>56.</w:t>
      </w:r>
      <w:r>
        <w:tab/>
        <w:t>Infringement notices</w:t>
      </w:r>
      <w:r>
        <w:tab/>
      </w:r>
      <w:r>
        <w:fldChar w:fldCharType="begin"/>
      </w:r>
      <w:r>
        <w:instrText xml:space="preserve"> PAGEREF _Toc131512553 \h </w:instrText>
      </w:r>
      <w:r>
        <w:fldChar w:fldCharType="separate"/>
      </w:r>
      <w:r>
        <w:t>44</w:t>
      </w:r>
      <w:r>
        <w:fldChar w:fldCharType="end"/>
      </w:r>
    </w:p>
    <w:p>
      <w:pPr>
        <w:pStyle w:val="TOC8"/>
        <w:rPr>
          <w:rFonts w:asciiTheme="minorHAnsi" w:eastAsiaTheme="minorEastAsia" w:hAnsiTheme="minorHAnsi" w:cstheme="minorBidi"/>
          <w:szCs w:val="22"/>
        </w:rPr>
      </w:pPr>
      <w:r>
        <w:t>57.</w:t>
      </w:r>
      <w:r>
        <w:tab/>
        <w:t>Prosecutions, who may commence</w:t>
      </w:r>
      <w:r>
        <w:tab/>
      </w:r>
      <w:r>
        <w:fldChar w:fldCharType="begin"/>
      </w:r>
      <w:r>
        <w:instrText xml:space="preserve"> PAGEREF _Toc131512554 \h </w:instrText>
      </w:r>
      <w:r>
        <w:fldChar w:fldCharType="separate"/>
      </w:r>
      <w:r>
        <w:t>45</w:t>
      </w:r>
      <w:r>
        <w:fldChar w:fldCharType="end"/>
      </w:r>
    </w:p>
    <w:p>
      <w:pPr>
        <w:pStyle w:val="TOC8"/>
        <w:rPr>
          <w:rFonts w:asciiTheme="minorHAnsi" w:eastAsiaTheme="minorEastAsia" w:hAnsiTheme="minorHAnsi" w:cstheme="minorBidi"/>
          <w:szCs w:val="22"/>
        </w:rPr>
      </w:pPr>
      <w:r>
        <w:t>58.</w:t>
      </w:r>
      <w:r>
        <w:tab/>
        <w:t>Evidentiary matters</w:t>
      </w:r>
      <w:r>
        <w:tab/>
      </w:r>
      <w:r>
        <w:fldChar w:fldCharType="begin"/>
      </w:r>
      <w:r>
        <w:instrText xml:space="preserve"> PAGEREF _Toc131512555 \h </w:instrText>
      </w:r>
      <w:r>
        <w:fldChar w:fldCharType="separate"/>
      </w:r>
      <w:r>
        <w:t>46</w:t>
      </w:r>
      <w:r>
        <w:fldChar w:fldCharType="end"/>
      </w:r>
    </w:p>
    <w:p>
      <w:pPr>
        <w:pStyle w:val="TOC8"/>
        <w:rPr>
          <w:rFonts w:asciiTheme="minorHAnsi" w:eastAsiaTheme="minorEastAsia" w:hAnsiTheme="minorHAnsi" w:cstheme="minorBidi"/>
          <w:szCs w:val="22"/>
        </w:rPr>
      </w:pPr>
      <w:r>
        <w:t>59.</w:t>
      </w:r>
      <w:r>
        <w:tab/>
        <w:t>Presumptions as to the contents of containers etc.</w:t>
      </w:r>
      <w:r>
        <w:tab/>
      </w:r>
      <w:r>
        <w:fldChar w:fldCharType="begin"/>
      </w:r>
      <w:r>
        <w:instrText xml:space="preserve"> PAGEREF _Toc131512556 \h </w:instrText>
      </w:r>
      <w:r>
        <w:fldChar w:fldCharType="separate"/>
      </w:r>
      <w:r>
        <w:t>47</w:t>
      </w:r>
      <w:r>
        <w:fldChar w:fldCharType="end"/>
      </w:r>
    </w:p>
    <w:p>
      <w:pPr>
        <w:pStyle w:val="TOC8"/>
        <w:rPr>
          <w:rFonts w:asciiTheme="minorHAnsi" w:eastAsiaTheme="minorEastAsia" w:hAnsiTheme="minorHAnsi" w:cstheme="minorBidi"/>
          <w:szCs w:val="22"/>
        </w:rPr>
      </w:pPr>
      <w:r>
        <w:t>60.</w:t>
      </w:r>
      <w:r>
        <w:tab/>
        <w:t>Corporations or employers, conduct on behalf of</w:t>
      </w:r>
      <w:r>
        <w:tab/>
      </w:r>
      <w:r>
        <w:fldChar w:fldCharType="begin"/>
      </w:r>
      <w:r>
        <w:instrText xml:space="preserve"> PAGEREF _Toc131512557 \h </w:instrText>
      </w:r>
      <w:r>
        <w:fldChar w:fldCharType="separate"/>
      </w:r>
      <w:r>
        <w:t>48</w:t>
      </w:r>
      <w:r>
        <w:fldChar w:fldCharType="end"/>
      </w:r>
    </w:p>
    <w:p>
      <w:pPr>
        <w:pStyle w:val="TOC8"/>
        <w:rPr>
          <w:rFonts w:asciiTheme="minorHAnsi" w:eastAsiaTheme="minorEastAsia" w:hAnsiTheme="minorHAnsi" w:cstheme="minorBidi"/>
          <w:szCs w:val="22"/>
        </w:rPr>
      </w:pPr>
      <w:r>
        <w:t>61.</w:t>
      </w:r>
      <w:r>
        <w:tab/>
        <w:t>Liability of officers for offence by body corporate</w:t>
      </w:r>
      <w:r>
        <w:tab/>
      </w:r>
      <w:r>
        <w:fldChar w:fldCharType="begin"/>
      </w:r>
      <w:r>
        <w:instrText xml:space="preserve"> PAGEREF _Toc131512558 \h </w:instrText>
      </w:r>
      <w:r>
        <w:fldChar w:fldCharType="separate"/>
      </w:r>
      <w:r>
        <w:t>49</w:t>
      </w:r>
      <w:r>
        <w:fldChar w:fldCharType="end"/>
      </w:r>
    </w:p>
    <w:p>
      <w:pPr>
        <w:pStyle w:val="TOC8"/>
        <w:rPr>
          <w:rFonts w:asciiTheme="minorHAnsi" w:eastAsiaTheme="minorEastAsia" w:hAnsiTheme="minorHAnsi" w:cstheme="minorBidi"/>
          <w:szCs w:val="22"/>
        </w:rPr>
      </w:pPr>
      <w:r>
        <w:t>62.</w:t>
      </w:r>
      <w:r>
        <w:tab/>
        <w:t>Defence of complying with code of practice</w:t>
      </w:r>
      <w:r>
        <w:tab/>
      </w:r>
      <w:r>
        <w:fldChar w:fldCharType="begin"/>
      </w:r>
      <w:r>
        <w:instrText xml:space="preserve"> PAGEREF _Toc131512559 \h </w:instrText>
      </w:r>
      <w:r>
        <w:fldChar w:fldCharType="separate"/>
      </w:r>
      <w:r>
        <w:t>50</w:t>
      </w:r>
      <w:r>
        <w:fldChar w:fldCharType="end"/>
      </w:r>
    </w:p>
    <w:p>
      <w:pPr>
        <w:pStyle w:val="TOC8"/>
        <w:rPr>
          <w:rFonts w:asciiTheme="minorHAnsi" w:eastAsiaTheme="minorEastAsia" w:hAnsiTheme="minorHAnsi" w:cstheme="minorBidi"/>
          <w:szCs w:val="22"/>
        </w:rPr>
      </w:pPr>
      <w:r>
        <w:t>63.</w:t>
      </w:r>
      <w:r>
        <w:tab/>
        <w:t>Continuing offences, penalties for</w:t>
      </w:r>
      <w:r>
        <w:tab/>
      </w:r>
      <w:r>
        <w:fldChar w:fldCharType="begin"/>
      </w:r>
      <w:r>
        <w:instrText xml:space="preserve"> PAGEREF _Toc131512560 \h </w:instrText>
      </w:r>
      <w:r>
        <w:fldChar w:fldCharType="separate"/>
      </w:r>
      <w:r>
        <w:t>50</w:t>
      </w:r>
      <w:r>
        <w:fldChar w:fldCharType="end"/>
      </w:r>
    </w:p>
    <w:p>
      <w:pPr>
        <w:pStyle w:val="TOC8"/>
        <w:rPr>
          <w:rFonts w:asciiTheme="minorHAnsi" w:eastAsiaTheme="minorEastAsia" w:hAnsiTheme="minorHAnsi" w:cstheme="minorBidi"/>
          <w:szCs w:val="22"/>
        </w:rPr>
      </w:pPr>
      <w:r>
        <w:t>64.</w:t>
      </w:r>
      <w:r>
        <w:tab/>
        <w:t>Forfeiture</w:t>
      </w:r>
      <w:r>
        <w:tab/>
      </w:r>
      <w:r>
        <w:fldChar w:fldCharType="begin"/>
      </w:r>
      <w:r>
        <w:instrText xml:space="preserve"> PAGEREF _Toc131512561 \h </w:instrText>
      </w:r>
      <w:r>
        <w:fldChar w:fldCharType="separate"/>
      </w:r>
      <w:r>
        <w:t>50</w:t>
      </w:r>
      <w:r>
        <w:fldChar w:fldCharType="end"/>
      </w:r>
    </w:p>
    <w:p>
      <w:pPr>
        <w:pStyle w:val="TOC8"/>
        <w:rPr>
          <w:rFonts w:asciiTheme="minorHAnsi" w:eastAsiaTheme="minorEastAsia" w:hAnsiTheme="minorHAnsi" w:cstheme="minorBidi"/>
          <w:szCs w:val="22"/>
        </w:rPr>
      </w:pPr>
      <w:r>
        <w:t>65.</w:t>
      </w:r>
      <w:r>
        <w:tab/>
        <w:t>Prohibiting offender from involvement with dangerous goods</w:t>
      </w:r>
      <w:r>
        <w:tab/>
      </w:r>
      <w:r>
        <w:fldChar w:fldCharType="begin"/>
      </w:r>
      <w:r>
        <w:instrText xml:space="preserve"> PAGEREF _Toc131512562 \h </w:instrText>
      </w:r>
      <w:r>
        <w:fldChar w:fldCharType="separate"/>
      </w:r>
      <w:r>
        <w:t>51</w:t>
      </w:r>
      <w:r>
        <w:fldChar w:fldCharType="end"/>
      </w:r>
    </w:p>
    <w:p>
      <w:pPr>
        <w:pStyle w:val="TOC8"/>
        <w:rPr>
          <w:rFonts w:asciiTheme="minorHAnsi" w:eastAsiaTheme="minorEastAsia" w:hAnsiTheme="minorHAnsi" w:cstheme="minorBidi"/>
          <w:szCs w:val="22"/>
        </w:rPr>
      </w:pPr>
      <w:r>
        <w:t>66.</w:t>
      </w:r>
      <w:r>
        <w:tab/>
        <w:t>Investigation costs, accused may be ordered to pay</w:t>
      </w:r>
      <w:r>
        <w:tab/>
      </w:r>
      <w:r>
        <w:fldChar w:fldCharType="begin"/>
      </w:r>
      <w:r>
        <w:instrText xml:space="preserve"> PAGEREF _Toc131512563 \h </w:instrText>
      </w:r>
      <w:r>
        <w:fldChar w:fldCharType="separate"/>
      </w:r>
      <w:r>
        <w:t>52</w:t>
      </w:r>
      <w:r>
        <w:fldChar w:fldCharType="end"/>
      </w:r>
    </w:p>
    <w:p>
      <w:pPr>
        <w:pStyle w:val="TOC8"/>
        <w:rPr>
          <w:rFonts w:asciiTheme="minorHAnsi" w:eastAsiaTheme="minorEastAsia" w:hAnsiTheme="minorHAnsi" w:cstheme="minorBidi"/>
          <w:szCs w:val="22"/>
        </w:rPr>
      </w:pPr>
      <w:r>
        <w:t>67.</w:t>
      </w:r>
      <w:r>
        <w:tab/>
        <w:t>Review of decisions under this Act</w:t>
      </w:r>
      <w:r>
        <w:tab/>
      </w:r>
      <w:r>
        <w:fldChar w:fldCharType="begin"/>
      </w:r>
      <w:r>
        <w:instrText xml:space="preserve"> PAGEREF _Toc131512564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68.</w:t>
      </w:r>
      <w:r>
        <w:tab/>
        <w:t>Protection from liability for volunteers etc.</w:t>
      </w:r>
      <w:r>
        <w:tab/>
      </w:r>
      <w:r>
        <w:fldChar w:fldCharType="begin"/>
      </w:r>
      <w:r>
        <w:instrText xml:space="preserve"> PAGEREF _Toc131512566 \h </w:instrText>
      </w:r>
      <w:r>
        <w:fldChar w:fldCharType="separate"/>
      </w:r>
      <w:r>
        <w:t>54</w:t>
      </w:r>
      <w:r>
        <w:fldChar w:fldCharType="end"/>
      </w:r>
    </w:p>
    <w:p>
      <w:pPr>
        <w:pStyle w:val="TOC8"/>
        <w:rPr>
          <w:rFonts w:asciiTheme="minorHAnsi" w:eastAsiaTheme="minorEastAsia" w:hAnsiTheme="minorHAnsi" w:cstheme="minorBidi"/>
          <w:szCs w:val="22"/>
        </w:rPr>
      </w:pPr>
      <w:r>
        <w:t>68A.</w:t>
      </w:r>
      <w:r>
        <w:tab/>
        <w:t>Orders prohibiting possession of explosives</w:t>
      </w:r>
      <w:r>
        <w:tab/>
      </w:r>
      <w:r>
        <w:fldChar w:fldCharType="begin"/>
      </w:r>
      <w:r>
        <w:instrText xml:space="preserve"> PAGEREF _Toc131512567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69.</w:t>
      </w:r>
      <w:r>
        <w:tab/>
        <w:t>Review of Act</w:t>
      </w:r>
      <w:r>
        <w:tab/>
      </w:r>
      <w:r>
        <w:fldChar w:fldCharType="begin"/>
      </w:r>
      <w:r>
        <w:instrText xml:space="preserve"> PAGEREF _Toc131512568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Subjects for regulations</w:t>
      </w:r>
    </w:p>
    <w:p>
      <w:pPr>
        <w:pStyle w:val="TOC8"/>
        <w:rPr>
          <w:rFonts w:asciiTheme="minorHAnsi" w:eastAsiaTheme="minorEastAsia" w:hAnsiTheme="minorHAnsi" w:cstheme="minorBidi"/>
          <w:szCs w:val="22"/>
        </w:rPr>
      </w:pPr>
      <w:r>
        <w:t>1.</w:t>
      </w:r>
      <w:r>
        <w:tab/>
        <w:t>Dangerous goods generally</w:t>
      </w:r>
      <w:r>
        <w:tab/>
      </w:r>
      <w:r>
        <w:fldChar w:fldCharType="begin"/>
      </w:r>
      <w:r>
        <w:instrText xml:space="preserve"> PAGEREF _Toc131512570 \h </w:instrText>
      </w:r>
      <w:r>
        <w:fldChar w:fldCharType="separate"/>
      </w:r>
      <w:r>
        <w:t>56</w:t>
      </w:r>
      <w:r>
        <w:fldChar w:fldCharType="end"/>
      </w:r>
    </w:p>
    <w:p>
      <w:pPr>
        <w:pStyle w:val="TOC8"/>
        <w:rPr>
          <w:rFonts w:asciiTheme="minorHAnsi" w:eastAsiaTheme="minorEastAsia" w:hAnsiTheme="minorHAnsi" w:cstheme="minorBidi"/>
          <w:szCs w:val="22"/>
        </w:rPr>
      </w:pPr>
      <w:r>
        <w:t>2.</w:t>
      </w:r>
      <w:r>
        <w:tab/>
        <w:t>Persons involved with dangerous goods</w:t>
      </w:r>
      <w:r>
        <w:tab/>
      </w:r>
      <w:r>
        <w:fldChar w:fldCharType="begin"/>
      </w:r>
      <w:r>
        <w:instrText xml:space="preserve"> PAGEREF _Toc131512571 \h </w:instrText>
      </w:r>
      <w:r>
        <w:fldChar w:fldCharType="separate"/>
      </w:r>
      <w:r>
        <w:t>57</w:t>
      </w:r>
      <w:r>
        <w:fldChar w:fldCharType="end"/>
      </w:r>
    </w:p>
    <w:p>
      <w:pPr>
        <w:pStyle w:val="TOC8"/>
        <w:rPr>
          <w:rFonts w:asciiTheme="minorHAnsi" w:eastAsiaTheme="minorEastAsia" w:hAnsiTheme="minorHAnsi" w:cstheme="minorBidi"/>
          <w:szCs w:val="22"/>
        </w:rPr>
      </w:pPr>
      <w:r>
        <w:t>3.</w:t>
      </w:r>
      <w:r>
        <w:tab/>
        <w:t>Possession, sale and supply of dangerous goods</w:t>
      </w:r>
      <w:r>
        <w:tab/>
      </w:r>
      <w:r>
        <w:fldChar w:fldCharType="begin"/>
      </w:r>
      <w:r>
        <w:instrText xml:space="preserve"> PAGEREF _Toc131512572 \h </w:instrText>
      </w:r>
      <w:r>
        <w:fldChar w:fldCharType="separate"/>
      </w:r>
      <w:r>
        <w:t>57</w:t>
      </w:r>
      <w:r>
        <w:fldChar w:fldCharType="end"/>
      </w:r>
    </w:p>
    <w:p>
      <w:pPr>
        <w:pStyle w:val="TOC8"/>
        <w:rPr>
          <w:rFonts w:asciiTheme="minorHAnsi" w:eastAsiaTheme="minorEastAsia" w:hAnsiTheme="minorHAnsi" w:cstheme="minorBidi"/>
          <w:szCs w:val="22"/>
        </w:rPr>
      </w:pPr>
      <w:r>
        <w:t>4.</w:t>
      </w:r>
      <w:r>
        <w:tab/>
        <w:t>Dangerous goods sites</w:t>
      </w:r>
      <w:r>
        <w:tab/>
      </w:r>
      <w:r>
        <w:fldChar w:fldCharType="begin"/>
      </w:r>
      <w:r>
        <w:instrText xml:space="preserve"> PAGEREF _Toc131512573 \h </w:instrText>
      </w:r>
      <w:r>
        <w:fldChar w:fldCharType="separate"/>
      </w:r>
      <w:r>
        <w:t>58</w:t>
      </w:r>
      <w:r>
        <w:fldChar w:fldCharType="end"/>
      </w:r>
    </w:p>
    <w:p>
      <w:pPr>
        <w:pStyle w:val="TOC8"/>
        <w:rPr>
          <w:rFonts w:asciiTheme="minorHAnsi" w:eastAsiaTheme="minorEastAsia" w:hAnsiTheme="minorHAnsi" w:cstheme="minorBidi"/>
          <w:szCs w:val="22"/>
        </w:rPr>
      </w:pPr>
      <w:r>
        <w:t>5.</w:t>
      </w:r>
      <w:r>
        <w:tab/>
        <w:t>Pipelines carrying dangerous goods</w:t>
      </w:r>
      <w:r>
        <w:tab/>
      </w:r>
      <w:r>
        <w:fldChar w:fldCharType="begin"/>
      </w:r>
      <w:r>
        <w:instrText xml:space="preserve"> PAGEREF _Toc131512574 \h </w:instrText>
      </w:r>
      <w:r>
        <w:fldChar w:fldCharType="separate"/>
      </w:r>
      <w:r>
        <w:t>59</w:t>
      </w:r>
      <w:r>
        <w:fldChar w:fldCharType="end"/>
      </w:r>
    </w:p>
    <w:p>
      <w:pPr>
        <w:pStyle w:val="TOC8"/>
        <w:rPr>
          <w:rFonts w:asciiTheme="minorHAnsi" w:eastAsiaTheme="minorEastAsia" w:hAnsiTheme="minorHAnsi" w:cstheme="minorBidi"/>
          <w:szCs w:val="22"/>
        </w:rPr>
      </w:pPr>
      <w:r>
        <w:t>6.</w:t>
      </w:r>
      <w:r>
        <w:tab/>
        <w:t>Packaging and labelling of dangerous goods</w:t>
      </w:r>
      <w:r>
        <w:tab/>
      </w:r>
      <w:r>
        <w:fldChar w:fldCharType="begin"/>
      </w:r>
      <w:r>
        <w:instrText xml:space="preserve"> PAGEREF _Toc131512575 \h </w:instrText>
      </w:r>
      <w:r>
        <w:fldChar w:fldCharType="separate"/>
      </w:r>
      <w:r>
        <w:t>59</w:t>
      </w:r>
      <w:r>
        <w:fldChar w:fldCharType="end"/>
      </w:r>
    </w:p>
    <w:p>
      <w:pPr>
        <w:pStyle w:val="TOC8"/>
        <w:rPr>
          <w:rFonts w:asciiTheme="minorHAnsi" w:eastAsiaTheme="minorEastAsia" w:hAnsiTheme="minorHAnsi" w:cstheme="minorBidi"/>
          <w:szCs w:val="22"/>
        </w:rPr>
      </w:pPr>
      <w:r>
        <w:t>7.</w:t>
      </w:r>
      <w:r>
        <w:tab/>
        <w:t>Transport of dangerous goods</w:t>
      </w:r>
      <w:r>
        <w:tab/>
      </w:r>
      <w:r>
        <w:fldChar w:fldCharType="begin"/>
      </w:r>
      <w:r>
        <w:instrText xml:space="preserve"> PAGEREF _Toc131512576 \h </w:instrText>
      </w:r>
      <w:r>
        <w:fldChar w:fldCharType="separate"/>
      </w:r>
      <w:r>
        <w:t>60</w:t>
      </w:r>
      <w:r>
        <w:fldChar w:fldCharType="end"/>
      </w:r>
    </w:p>
    <w:p>
      <w:pPr>
        <w:pStyle w:val="TOC8"/>
        <w:rPr>
          <w:rFonts w:asciiTheme="minorHAnsi" w:eastAsiaTheme="minorEastAsia" w:hAnsiTheme="minorHAnsi" w:cstheme="minorBidi"/>
          <w:szCs w:val="22"/>
        </w:rPr>
      </w:pPr>
      <w:r>
        <w:t>8.</w:t>
      </w:r>
      <w:r>
        <w:tab/>
        <w:t>Licences, registrations, permits and exemptions</w:t>
      </w:r>
      <w:r>
        <w:tab/>
      </w:r>
      <w:r>
        <w:fldChar w:fldCharType="begin"/>
      </w:r>
      <w:r>
        <w:instrText xml:space="preserve"> PAGEREF _Toc131512577 \h </w:instrText>
      </w:r>
      <w:r>
        <w:fldChar w:fldCharType="separate"/>
      </w:r>
      <w:r>
        <w:t>61</w:t>
      </w:r>
      <w:r>
        <w:fldChar w:fldCharType="end"/>
      </w:r>
    </w:p>
    <w:p>
      <w:pPr>
        <w:pStyle w:val="TOC8"/>
        <w:rPr>
          <w:rFonts w:asciiTheme="minorHAnsi" w:eastAsiaTheme="minorEastAsia" w:hAnsiTheme="minorHAnsi" w:cstheme="minorBidi"/>
          <w:szCs w:val="22"/>
        </w:rPr>
      </w:pPr>
      <w:r>
        <w:t>9.</w:t>
      </w:r>
      <w:r>
        <w:tab/>
        <w:t>Fees and charges</w:t>
      </w:r>
      <w:r>
        <w:tab/>
      </w:r>
      <w:r>
        <w:fldChar w:fldCharType="begin"/>
      </w:r>
      <w:r>
        <w:instrText xml:space="preserve"> PAGEREF _Toc131512578 \h </w:instrText>
      </w:r>
      <w:r>
        <w:fldChar w:fldCharType="separate"/>
      </w:r>
      <w:r>
        <w:t>62</w:t>
      </w:r>
      <w:r>
        <w:fldChar w:fldCharType="end"/>
      </w:r>
    </w:p>
    <w:p>
      <w:pPr>
        <w:pStyle w:val="TOC8"/>
        <w:rPr>
          <w:rFonts w:asciiTheme="minorHAnsi" w:eastAsiaTheme="minorEastAsia" w:hAnsiTheme="minorHAnsi" w:cstheme="minorBidi"/>
          <w:szCs w:val="22"/>
        </w:rPr>
      </w:pPr>
      <w:r>
        <w:t>10.</w:t>
      </w:r>
      <w:r>
        <w:tab/>
        <w:t>Miscellaneous</w:t>
      </w:r>
      <w:r>
        <w:tab/>
      </w:r>
      <w:r>
        <w:fldChar w:fldCharType="begin"/>
      </w:r>
      <w:r>
        <w:instrText xml:space="preserve"> PAGEREF _Toc131512579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_Toc131512581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_Toc131512582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3" w:name="_Toc57284988"/>
      <w:bookmarkStart w:id="4" w:name="_Toc57285559"/>
      <w:bookmarkStart w:id="5" w:name="_Toc57622658"/>
      <w:bookmarkStart w:id="6" w:name="_Toc131502469"/>
      <w:bookmarkStart w:id="7" w:name="_Toc131502572"/>
      <w:bookmarkStart w:id="8" w:name="_Toc13151248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131512483"/>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pPr>
        <w:pStyle w:val="Heading5"/>
        <w:rPr>
          <w:snapToGrid w:val="0"/>
        </w:rPr>
      </w:pPr>
      <w:bookmarkStart w:id="10" w:name="_Toc131512484"/>
      <w:r>
        <w:rPr>
          <w:rStyle w:val="CharSectno"/>
        </w:rPr>
        <w:t>2</w:t>
      </w:r>
      <w:r>
        <w:rPr>
          <w:snapToGrid w:val="0"/>
        </w:rPr>
        <w:t>.</w:t>
      </w:r>
      <w:r>
        <w:rPr>
          <w:snapToGrid w:val="0"/>
        </w:rPr>
        <w:tab/>
        <w:t>Commencement</w:t>
      </w:r>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131512485"/>
      <w:r>
        <w:rPr>
          <w:rStyle w:val="CharSectno"/>
        </w:rPr>
        <w:t>3</w:t>
      </w:r>
      <w:r>
        <w:t>.</w:t>
      </w:r>
      <w:r>
        <w:tab/>
        <w:t>Terms used and abbreviations</w:t>
      </w:r>
      <w:bookmarkEnd w:id="11"/>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lastRenderedPageBreak/>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lastRenderedPageBreak/>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12" w:name="_Toc131512486"/>
      <w:r>
        <w:rPr>
          <w:rStyle w:val="CharSectno"/>
        </w:rPr>
        <w:lastRenderedPageBreak/>
        <w:t>4</w:t>
      </w:r>
      <w:r>
        <w:t>.</w:t>
      </w:r>
      <w:r>
        <w:tab/>
        <w:t>Risk from dangerous goods, assessment of</w:t>
      </w:r>
      <w:bookmarkEnd w:id="12"/>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13" w:name="_Toc131512487"/>
      <w:r>
        <w:rPr>
          <w:rStyle w:val="CharSectno"/>
        </w:rPr>
        <w:t>5</w:t>
      </w:r>
      <w:r>
        <w:t>.</w:t>
      </w:r>
      <w:r>
        <w:tab/>
        <w:t>Unreasonable harm, assessment of</w:t>
      </w:r>
      <w:bookmarkEnd w:id="13"/>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14" w:name="_Toc131512488"/>
      <w:r>
        <w:rPr>
          <w:rStyle w:val="CharSectno"/>
        </w:rPr>
        <w:lastRenderedPageBreak/>
        <w:t>6</w:t>
      </w:r>
      <w:r>
        <w:t>.</w:t>
      </w:r>
      <w:r>
        <w:tab/>
        <w:t>Relationship with other laws</w:t>
      </w:r>
      <w:bookmarkEnd w:id="14"/>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15" w:name="_Toc131512489"/>
      <w:r>
        <w:rPr>
          <w:rStyle w:val="CharSectno"/>
        </w:rPr>
        <w:t>7</w:t>
      </w:r>
      <w:r>
        <w:t>.</w:t>
      </w:r>
      <w:r>
        <w:tab/>
        <w:t>Crown bound</w:t>
      </w:r>
      <w:bookmarkEnd w:id="15"/>
    </w:p>
    <w:p>
      <w:pPr>
        <w:pStyle w:val="Subsection"/>
      </w:pPr>
      <w:r>
        <w:tab/>
      </w:r>
      <w:r>
        <w:tab/>
        <w:t>This Act binds the Crown in the right of Western Australia and, so far as the legislative capacity of Parliament permits, in all its other capacities.</w:t>
      </w:r>
    </w:p>
    <w:p>
      <w:pPr>
        <w:pStyle w:val="Heading2"/>
      </w:pPr>
      <w:bookmarkStart w:id="16" w:name="_Toc57284996"/>
      <w:bookmarkStart w:id="17" w:name="_Toc57285567"/>
      <w:bookmarkStart w:id="18" w:name="_Toc57622666"/>
      <w:bookmarkStart w:id="19" w:name="_Toc131502477"/>
      <w:bookmarkStart w:id="20" w:name="_Toc131502580"/>
      <w:bookmarkStart w:id="21" w:name="_Toc131512490"/>
      <w:r>
        <w:rPr>
          <w:rStyle w:val="CharPartNo"/>
        </w:rPr>
        <w:lastRenderedPageBreak/>
        <w:t>Part 2</w:t>
      </w:r>
      <w:r>
        <w:rPr>
          <w:rStyle w:val="CharDivNo"/>
        </w:rPr>
        <w:t xml:space="preserve"> </w:t>
      </w:r>
      <w:r>
        <w:t>—</w:t>
      </w:r>
      <w:r>
        <w:rPr>
          <w:rStyle w:val="CharDivText"/>
        </w:rPr>
        <w:t xml:space="preserve"> </w:t>
      </w:r>
      <w:r>
        <w:rPr>
          <w:rStyle w:val="CharPartText"/>
        </w:rPr>
        <w:t>General duties as to dangerous goods</w:t>
      </w:r>
      <w:bookmarkEnd w:id="16"/>
      <w:bookmarkEnd w:id="17"/>
      <w:bookmarkEnd w:id="18"/>
      <w:bookmarkEnd w:id="19"/>
      <w:bookmarkEnd w:id="20"/>
      <w:bookmarkEnd w:id="21"/>
    </w:p>
    <w:p>
      <w:pPr>
        <w:pStyle w:val="Heading5"/>
      </w:pPr>
      <w:bookmarkStart w:id="22" w:name="_Toc131512491"/>
      <w:r>
        <w:rPr>
          <w:rStyle w:val="CharSectno"/>
        </w:rPr>
        <w:t>8</w:t>
      </w:r>
      <w:r>
        <w:t>.</w:t>
      </w:r>
      <w:r>
        <w:tab/>
        <w:t>Duty to minimise risk from dangerous goods</w:t>
      </w:r>
      <w:bookmarkEnd w:id="22"/>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23" w:name="_Toc131512492"/>
      <w:r>
        <w:rPr>
          <w:rStyle w:val="CharSectno"/>
        </w:rPr>
        <w:lastRenderedPageBreak/>
        <w:t>9</w:t>
      </w:r>
      <w:r>
        <w:t>.</w:t>
      </w:r>
      <w:r>
        <w:tab/>
        <w:t>Duty to report certain situations</w:t>
      </w:r>
      <w:bookmarkEnd w:id="23"/>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24" w:name="_Toc131512493"/>
      <w:r>
        <w:rPr>
          <w:rStyle w:val="CharSectno"/>
        </w:rPr>
        <w:t>10</w:t>
      </w:r>
      <w:r>
        <w:t>.</w:t>
      </w:r>
      <w:r>
        <w:tab/>
        <w:t>Safety management documents</w:t>
      </w:r>
      <w:bookmarkEnd w:id="24"/>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5" w:name="_Toc131512494"/>
      <w:r>
        <w:rPr>
          <w:rStyle w:val="CharSectno"/>
        </w:rPr>
        <w:t>11</w:t>
      </w:r>
      <w:r>
        <w:t>.</w:t>
      </w:r>
      <w:r>
        <w:tab/>
        <w:t>Unlicensed person involved with dangerous goods</w:t>
      </w:r>
      <w:bookmarkEnd w:id="25"/>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lastRenderedPageBreak/>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6" w:name="_Toc131512495"/>
      <w:r>
        <w:rPr>
          <w:rStyle w:val="CharSectno"/>
        </w:rPr>
        <w:t>12</w:t>
      </w:r>
      <w:r>
        <w:t>.</w:t>
      </w:r>
      <w:r>
        <w:tab/>
        <w:t>Unlicensed possession of dangerous goods</w:t>
      </w:r>
      <w:bookmarkEnd w:id="26"/>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7" w:name="_Toc131512496"/>
      <w:r>
        <w:rPr>
          <w:rStyle w:val="CharSectno"/>
        </w:rPr>
        <w:t>13</w:t>
      </w:r>
      <w:r>
        <w:t>.</w:t>
      </w:r>
      <w:r>
        <w:tab/>
        <w:t>Unregistered or unlicensed dangerous goods sites</w:t>
      </w:r>
      <w:bookmarkEnd w:id="27"/>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28" w:name="_Toc131512497"/>
      <w:r>
        <w:rPr>
          <w:rStyle w:val="CharSectno"/>
        </w:rPr>
        <w:lastRenderedPageBreak/>
        <w:t>14</w:t>
      </w:r>
      <w:r>
        <w:t>.</w:t>
      </w:r>
      <w:r>
        <w:tab/>
        <w:t>Unlicensed vehicle transporting dangerous goods</w:t>
      </w:r>
      <w:bookmarkEnd w:id="28"/>
    </w:p>
    <w:p>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Footnotesection"/>
      </w:pPr>
      <w:r>
        <w:tab/>
        <w:t>[Section 14 amended: No. 8 of 2012 s. 87.]</w:t>
      </w:r>
    </w:p>
    <w:p>
      <w:pPr>
        <w:pStyle w:val="Heading5"/>
        <w:spacing w:before="120"/>
      </w:pPr>
      <w:bookmarkStart w:id="29" w:name="_Toc131512498"/>
      <w:r>
        <w:rPr>
          <w:rStyle w:val="CharSectno"/>
        </w:rPr>
        <w:t>15</w:t>
      </w:r>
      <w:r>
        <w:t>.</w:t>
      </w:r>
      <w:r>
        <w:tab/>
        <w:t>Unlicensed driver transporting dangerous goods</w:t>
      </w:r>
      <w:bookmarkEnd w:id="29"/>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lastRenderedPageBreak/>
        <w:tab/>
        <w:t>(b)</w:t>
      </w:r>
      <w:r>
        <w:tab/>
        <w:t>for a body corporate, $250 000.</w:t>
      </w:r>
    </w:p>
    <w:p>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Footnotesection"/>
      </w:pPr>
      <w:r>
        <w:tab/>
        <w:t>[Section 15 amended: No. 8 of 2012 s. 88.]</w:t>
      </w:r>
    </w:p>
    <w:p>
      <w:pPr>
        <w:pStyle w:val="Heading5"/>
      </w:pPr>
      <w:bookmarkStart w:id="30" w:name="_Toc131512499"/>
      <w:r>
        <w:rPr>
          <w:rStyle w:val="CharSectno"/>
        </w:rPr>
        <w:t>16</w:t>
      </w:r>
      <w:r>
        <w:t>.</w:t>
      </w:r>
      <w:r>
        <w:tab/>
        <w:t>Transporting goods too dangerous to transport</w:t>
      </w:r>
      <w:bookmarkEnd w:id="30"/>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31" w:name="_Toc131512500"/>
      <w:r>
        <w:rPr>
          <w:rStyle w:val="CharSectno"/>
        </w:rPr>
        <w:t>17</w:t>
      </w:r>
      <w:r>
        <w:t>.</w:t>
      </w:r>
      <w:r>
        <w:tab/>
        <w:t>Aggravated offence, penalty for</w:t>
      </w:r>
      <w:bookmarkEnd w:id="31"/>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w:t>
      </w:r>
      <w:r>
        <w:lastRenderedPageBreak/>
        <w:t xml:space="preserve">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32" w:name="_Toc57285007"/>
      <w:bookmarkStart w:id="33" w:name="_Toc57285578"/>
      <w:bookmarkStart w:id="34" w:name="_Toc57622677"/>
      <w:bookmarkStart w:id="35" w:name="_Toc131502488"/>
      <w:bookmarkStart w:id="36" w:name="_Toc131502591"/>
      <w:bookmarkStart w:id="37" w:name="_Toc131512501"/>
      <w:r>
        <w:rPr>
          <w:rStyle w:val="CharPartNo"/>
        </w:rPr>
        <w:lastRenderedPageBreak/>
        <w:t>Part 3</w:t>
      </w:r>
      <w:r>
        <w:rPr>
          <w:rStyle w:val="CharDivNo"/>
        </w:rPr>
        <w:t xml:space="preserve"> </w:t>
      </w:r>
      <w:r>
        <w:t>—</w:t>
      </w:r>
      <w:r>
        <w:rPr>
          <w:rStyle w:val="CharDivText"/>
        </w:rPr>
        <w:t xml:space="preserve"> </w:t>
      </w:r>
      <w:r>
        <w:rPr>
          <w:rStyle w:val="CharPartText"/>
        </w:rPr>
        <w:t>Regulations and codes of practice</w:t>
      </w:r>
      <w:bookmarkEnd w:id="32"/>
      <w:bookmarkEnd w:id="33"/>
      <w:bookmarkEnd w:id="34"/>
      <w:bookmarkEnd w:id="35"/>
      <w:bookmarkEnd w:id="36"/>
      <w:bookmarkEnd w:id="37"/>
    </w:p>
    <w:p>
      <w:pPr>
        <w:pStyle w:val="Heading5"/>
      </w:pPr>
      <w:bookmarkStart w:id="38" w:name="_Toc131512502"/>
      <w:r>
        <w:rPr>
          <w:rStyle w:val="CharSectno"/>
        </w:rPr>
        <w:t>18</w:t>
      </w:r>
      <w:r>
        <w:t>.</w:t>
      </w:r>
      <w:r>
        <w:tab/>
        <w:t>Regulations, general matters (Sch. 1)</w:t>
      </w:r>
      <w:bookmarkEnd w:id="3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lastRenderedPageBreak/>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39" w:name="_Toc131512503"/>
      <w:r>
        <w:rPr>
          <w:rStyle w:val="CharSectno"/>
        </w:rPr>
        <w:t>19</w:t>
      </w:r>
      <w:r>
        <w:t>.</w:t>
      </w:r>
      <w:r>
        <w:tab/>
        <w:t>Regulations may adopt codes or legislation</w:t>
      </w:r>
      <w:bookmarkEnd w:id="39"/>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 xml:space="preserve">ensure that a copy of the code or subsidiary legislation, including any amendments made to it from time to time </w:t>
      </w:r>
      <w:r>
        <w:lastRenderedPageBreak/>
        <w:t>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40" w:name="_Toc131512504"/>
      <w:r>
        <w:rPr>
          <w:rStyle w:val="CharSectno"/>
        </w:rPr>
        <w:t>20</w:t>
      </w:r>
      <w:r>
        <w:t>.</w:t>
      </w:r>
      <w:r>
        <w:tab/>
        <w:t>Codes of practice, approval of</w:t>
      </w:r>
      <w:bookmarkEnd w:id="40"/>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lastRenderedPageBreak/>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41" w:name="_Toc57285011"/>
      <w:bookmarkStart w:id="42" w:name="_Toc57285582"/>
      <w:bookmarkStart w:id="43" w:name="_Toc57622681"/>
      <w:bookmarkStart w:id="44" w:name="_Toc131502492"/>
      <w:bookmarkStart w:id="45" w:name="_Toc131502595"/>
      <w:bookmarkStart w:id="46" w:name="_Toc131512505"/>
      <w:r>
        <w:rPr>
          <w:rStyle w:val="CharPartNo"/>
        </w:rPr>
        <w:lastRenderedPageBreak/>
        <w:t>Part 4</w:t>
      </w:r>
      <w:r>
        <w:rPr>
          <w:rStyle w:val="CharDivNo"/>
        </w:rPr>
        <w:t xml:space="preserve"> </w:t>
      </w:r>
      <w:r>
        <w:t>—</w:t>
      </w:r>
      <w:r>
        <w:rPr>
          <w:rStyle w:val="CharDivText"/>
        </w:rPr>
        <w:t xml:space="preserve"> </w:t>
      </w:r>
      <w:r>
        <w:rPr>
          <w:rStyle w:val="CharPartText"/>
        </w:rPr>
        <w:t>Exemptions</w:t>
      </w:r>
      <w:bookmarkEnd w:id="41"/>
      <w:bookmarkEnd w:id="42"/>
      <w:bookmarkEnd w:id="43"/>
      <w:bookmarkEnd w:id="44"/>
      <w:bookmarkEnd w:id="45"/>
      <w:bookmarkEnd w:id="46"/>
    </w:p>
    <w:p>
      <w:pPr>
        <w:pStyle w:val="Heading5"/>
      </w:pPr>
      <w:bookmarkStart w:id="47" w:name="_Toc131512506"/>
      <w:r>
        <w:rPr>
          <w:rStyle w:val="CharSectno"/>
        </w:rPr>
        <w:t>21</w:t>
      </w:r>
      <w:r>
        <w:t>.</w:t>
      </w:r>
      <w:r>
        <w:tab/>
        <w:t>Exemption may be granted by Minister</w:t>
      </w:r>
      <w:bookmarkEnd w:id="47"/>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48" w:name="_Toc131512507"/>
      <w:r>
        <w:rPr>
          <w:rStyle w:val="CharSectno"/>
        </w:rPr>
        <w:t>22</w:t>
      </w:r>
      <w:r>
        <w:t>.</w:t>
      </w:r>
      <w:r>
        <w:tab/>
        <w:t>Exemption may be granted by Chief Officer</w:t>
      </w:r>
      <w:bookmarkEnd w:id="48"/>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lastRenderedPageBreak/>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49" w:name="_Toc131512508"/>
      <w:r>
        <w:rPr>
          <w:rStyle w:val="CharSectno"/>
        </w:rPr>
        <w:t>23</w:t>
      </w:r>
      <w:r>
        <w:t>.</w:t>
      </w:r>
      <w:r>
        <w:tab/>
        <w:t>General provisions</w:t>
      </w:r>
      <w:bookmarkEnd w:id="49"/>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 xml:space="preserve">In deciding whether to grant an exemption under this Part from a regulation operating as part of a national scheme, the Minister or the Chief Officer, as the case requires, should take into </w:t>
      </w:r>
      <w:r>
        <w:lastRenderedPageBreak/>
        <w:t>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50" w:name="_Toc131512509"/>
      <w:r>
        <w:rPr>
          <w:rStyle w:val="CharSectno"/>
        </w:rPr>
        <w:t>24</w:t>
      </w:r>
      <w:r>
        <w:t>.</w:t>
      </w:r>
      <w:r>
        <w:tab/>
        <w:t>Conditions of an exemption, failing to comply with</w:t>
      </w:r>
      <w:bookmarkEnd w:id="50"/>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51" w:name="_Toc57285016"/>
      <w:bookmarkStart w:id="52" w:name="_Toc57285587"/>
      <w:bookmarkStart w:id="53" w:name="_Toc57622686"/>
      <w:bookmarkStart w:id="54" w:name="_Toc131502497"/>
      <w:bookmarkStart w:id="55" w:name="_Toc131502600"/>
      <w:bookmarkStart w:id="56" w:name="_Toc131512510"/>
      <w:r>
        <w:rPr>
          <w:rStyle w:val="CharPartNo"/>
        </w:rPr>
        <w:lastRenderedPageBreak/>
        <w:t>Part 5</w:t>
      </w:r>
      <w:r>
        <w:t xml:space="preserve"> — </w:t>
      </w:r>
      <w:r>
        <w:rPr>
          <w:rStyle w:val="CharPartText"/>
        </w:rPr>
        <w:t>Administration</w:t>
      </w:r>
      <w:bookmarkEnd w:id="51"/>
      <w:bookmarkEnd w:id="52"/>
      <w:bookmarkEnd w:id="53"/>
      <w:bookmarkEnd w:id="54"/>
      <w:bookmarkEnd w:id="55"/>
      <w:bookmarkEnd w:id="56"/>
    </w:p>
    <w:p>
      <w:pPr>
        <w:pStyle w:val="Heading3"/>
      </w:pPr>
      <w:bookmarkStart w:id="57" w:name="_Toc57285017"/>
      <w:bookmarkStart w:id="58" w:name="_Toc57285588"/>
      <w:bookmarkStart w:id="59" w:name="_Toc57622687"/>
      <w:bookmarkStart w:id="60" w:name="_Toc131502498"/>
      <w:bookmarkStart w:id="61" w:name="_Toc131502601"/>
      <w:bookmarkStart w:id="62" w:name="_Toc131512511"/>
      <w:r>
        <w:rPr>
          <w:rStyle w:val="CharDivNo"/>
        </w:rPr>
        <w:t>Division 1</w:t>
      </w:r>
      <w:r>
        <w:t xml:space="preserve"> — </w:t>
      </w:r>
      <w:r>
        <w:rPr>
          <w:rStyle w:val="CharDivText"/>
        </w:rPr>
        <w:t>Chief Dangerous Goods Officer</w:t>
      </w:r>
      <w:bookmarkEnd w:id="57"/>
      <w:bookmarkEnd w:id="58"/>
      <w:bookmarkEnd w:id="59"/>
      <w:bookmarkEnd w:id="60"/>
      <w:bookmarkEnd w:id="61"/>
      <w:bookmarkEnd w:id="62"/>
    </w:p>
    <w:p>
      <w:pPr>
        <w:pStyle w:val="Heading5"/>
      </w:pPr>
      <w:bookmarkStart w:id="63" w:name="_Toc131512512"/>
      <w:r>
        <w:rPr>
          <w:rStyle w:val="CharSectno"/>
        </w:rPr>
        <w:t>25</w:t>
      </w:r>
      <w:r>
        <w:t>.</w:t>
      </w:r>
      <w:r>
        <w:tab/>
        <w:t>Chief Dangerous Goods Officer, appointment and functions</w:t>
      </w:r>
      <w:bookmarkEnd w:id="63"/>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64" w:name="_Toc131512513"/>
      <w:r>
        <w:rPr>
          <w:rStyle w:val="CharSectno"/>
        </w:rPr>
        <w:t>26</w:t>
      </w:r>
      <w:r>
        <w:t>.</w:t>
      </w:r>
      <w:r>
        <w:tab/>
        <w:t>Chief Officer may delegate</w:t>
      </w:r>
      <w:bookmarkEnd w:id="64"/>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65" w:name="_Toc57285020"/>
      <w:bookmarkStart w:id="66" w:name="_Toc57285591"/>
      <w:bookmarkStart w:id="67" w:name="_Toc57622690"/>
      <w:bookmarkStart w:id="68" w:name="_Toc131502501"/>
      <w:bookmarkStart w:id="69" w:name="_Toc131502604"/>
      <w:bookmarkStart w:id="70" w:name="_Toc131512514"/>
      <w:r>
        <w:rPr>
          <w:rStyle w:val="CharDivNo"/>
        </w:rPr>
        <w:lastRenderedPageBreak/>
        <w:t>Division 2</w:t>
      </w:r>
      <w:r>
        <w:t xml:space="preserve"> — </w:t>
      </w:r>
      <w:r>
        <w:rPr>
          <w:rStyle w:val="CharDivText"/>
        </w:rPr>
        <w:t>Dangerous goods officers</w:t>
      </w:r>
      <w:bookmarkEnd w:id="65"/>
      <w:bookmarkEnd w:id="66"/>
      <w:bookmarkEnd w:id="67"/>
      <w:bookmarkEnd w:id="68"/>
      <w:bookmarkEnd w:id="69"/>
      <w:bookmarkEnd w:id="70"/>
    </w:p>
    <w:p>
      <w:pPr>
        <w:pStyle w:val="Heading5"/>
        <w:spacing w:before="200"/>
      </w:pPr>
      <w:bookmarkStart w:id="71" w:name="_Toc131512515"/>
      <w:r>
        <w:rPr>
          <w:rStyle w:val="CharSectno"/>
        </w:rPr>
        <w:t>27</w:t>
      </w:r>
      <w:r>
        <w:t>.</w:t>
      </w:r>
      <w:r>
        <w:tab/>
        <w:t>Dangerous goods officers, appointment and extent of powers</w:t>
      </w:r>
      <w:bookmarkEnd w:id="71"/>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72" w:name="_Toc131512516"/>
      <w:r>
        <w:rPr>
          <w:rStyle w:val="CharSectno"/>
        </w:rPr>
        <w:t>28</w:t>
      </w:r>
      <w:r>
        <w:t>.</w:t>
      </w:r>
      <w:r>
        <w:tab/>
        <w:t>Identification cards</w:t>
      </w:r>
      <w:bookmarkEnd w:id="72"/>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73" w:name="_Toc131512517"/>
      <w:r>
        <w:rPr>
          <w:rStyle w:val="CharSectno"/>
        </w:rPr>
        <w:t>29</w:t>
      </w:r>
      <w:r>
        <w:t>.</w:t>
      </w:r>
      <w:r>
        <w:tab/>
        <w:t>Licences etc. under this Act not required</w:t>
      </w:r>
      <w:bookmarkEnd w:id="73"/>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74" w:name="_Toc57285024"/>
      <w:bookmarkStart w:id="75" w:name="_Toc57285595"/>
      <w:bookmarkStart w:id="76" w:name="_Toc57622694"/>
      <w:bookmarkStart w:id="77" w:name="_Toc131502505"/>
      <w:bookmarkStart w:id="78" w:name="_Toc131502608"/>
      <w:bookmarkStart w:id="79" w:name="_Toc131512518"/>
      <w:r>
        <w:rPr>
          <w:rStyle w:val="CharDivNo"/>
        </w:rPr>
        <w:lastRenderedPageBreak/>
        <w:t>Division 3</w:t>
      </w:r>
      <w:r>
        <w:t xml:space="preserve"> — </w:t>
      </w:r>
      <w:r>
        <w:rPr>
          <w:rStyle w:val="CharDivText"/>
        </w:rPr>
        <w:t>General</w:t>
      </w:r>
      <w:bookmarkEnd w:id="74"/>
      <w:bookmarkEnd w:id="75"/>
      <w:bookmarkEnd w:id="76"/>
      <w:bookmarkEnd w:id="77"/>
      <w:bookmarkEnd w:id="78"/>
      <w:bookmarkEnd w:id="79"/>
    </w:p>
    <w:p>
      <w:pPr>
        <w:pStyle w:val="Heading5"/>
      </w:pPr>
      <w:bookmarkStart w:id="80" w:name="_Toc131512519"/>
      <w:r>
        <w:rPr>
          <w:rStyle w:val="CharSectno"/>
        </w:rPr>
        <w:t>30</w:t>
      </w:r>
      <w:r>
        <w:t>.</w:t>
      </w:r>
      <w:r>
        <w:tab/>
        <w:t>Minister may delegate</w:t>
      </w:r>
      <w:bookmarkEnd w:id="80"/>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81" w:name="_Toc131512520"/>
      <w:r>
        <w:rPr>
          <w:rStyle w:val="CharSectno"/>
        </w:rPr>
        <w:t>31</w:t>
      </w:r>
      <w:r>
        <w:t>.</w:t>
      </w:r>
      <w:r>
        <w:tab/>
        <w:t>Police officers’ powers and immunities</w:t>
      </w:r>
      <w:bookmarkEnd w:id="81"/>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82" w:name="_Toc131512521"/>
      <w:r>
        <w:rPr>
          <w:rStyle w:val="CharSectno"/>
        </w:rPr>
        <w:t>32</w:t>
      </w:r>
      <w:r>
        <w:t>.</w:t>
      </w:r>
      <w:r>
        <w:tab/>
        <w:t>Immunity from tortious liability</w:t>
      </w:r>
      <w:bookmarkEnd w:id="82"/>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lastRenderedPageBreak/>
        <w:tab/>
        <w:t>(5)</w:t>
      </w:r>
      <w:r>
        <w:tab/>
        <w:t>The Crown is also relieved of any liability that it might otherwise have had for another person having done anything as described in subsection (3).</w:t>
      </w:r>
    </w:p>
    <w:p>
      <w:pPr>
        <w:pStyle w:val="Heading2"/>
      </w:pPr>
      <w:bookmarkStart w:id="83" w:name="_Toc57285028"/>
      <w:bookmarkStart w:id="84" w:name="_Toc57285599"/>
      <w:bookmarkStart w:id="85" w:name="_Toc57622698"/>
      <w:bookmarkStart w:id="86" w:name="_Toc131502509"/>
      <w:bookmarkStart w:id="87" w:name="_Toc131502612"/>
      <w:bookmarkStart w:id="88" w:name="_Toc131512522"/>
      <w:r>
        <w:rPr>
          <w:rStyle w:val="CharPartNo"/>
        </w:rPr>
        <w:lastRenderedPageBreak/>
        <w:t>Part 6</w:t>
      </w:r>
      <w:r>
        <w:t xml:space="preserve"> — </w:t>
      </w:r>
      <w:r>
        <w:rPr>
          <w:rStyle w:val="CharPartText"/>
        </w:rPr>
        <w:t>Investigation and enforcement</w:t>
      </w:r>
      <w:bookmarkEnd w:id="83"/>
      <w:bookmarkEnd w:id="84"/>
      <w:bookmarkEnd w:id="85"/>
      <w:bookmarkEnd w:id="86"/>
      <w:bookmarkEnd w:id="87"/>
      <w:bookmarkEnd w:id="88"/>
    </w:p>
    <w:p>
      <w:pPr>
        <w:pStyle w:val="Heading3"/>
      </w:pPr>
      <w:bookmarkStart w:id="89" w:name="_Toc57285029"/>
      <w:bookmarkStart w:id="90" w:name="_Toc57285600"/>
      <w:bookmarkStart w:id="91" w:name="_Toc57622699"/>
      <w:bookmarkStart w:id="92" w:name="_Toc131502510"/>
      <w:bookmarkStart w:id="93" w:name="_Toc131502613"/>
      <w:bookmarkStart w:id="94" w:name="_Toc131512523"/>
      <w:r>
        <w:rPr>
          <w:rStyle w:val="CharDivNo"/>
        </w:rPr>
        <w:t>Division 1</w:t>
      </w:r>
      <w:r>
        <w:t xml:space="preserve"> — </w:t>
      </w:r>
      <w:r>
        <w:rPr>
          <w:rStyle w:val="CharDivText"/>
        </w:rPr>
        <w:t>Preliminary</w:t>
      </w:r>
      <w:bookmarkEnd w:id="89"/>
      <w:bookmarkEnd w:id="90"/>
      <w:bookmarkEnd w:id="91"/>
      <w:bookmarkEnd w:id="92"/>
      <w:bookmarkEnd w:id="93"/>
      <w:bookmarkEnd w:id="94"/>
    </w:p>
    <w:p>
      <w:pPr>
        <w:pStyle w:val="Heading5"/>
      </w:pPr>
      <w:bookmarkStart w:id="95" w:name="_Toc131512524"/>
      <w:r>
        <w:rPr>
          <w:rStyle w:val="CharSectno"/>
        </w:rPr>
        <w:t>33</w:t>
      </w:r>
      <w:r>
        <w:t>.</w:t>
      </w:r>
      <w:r>
        <w:tab/>
        <w:t>Terms used</w:t>
      </w:r>
      <w:bookmarkEnd w:id="95"/>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96" w:name="_Toc57285031"/>
      <w:bookmarkStart w:id="97" w:name="_Toc57285602"/>
      <w:bookmarkStart w:id="98" w:name="_Toc57622701"/>
      <w:bookmarkStart w:id="99" w:name="_Toc131502512"/>
      <w:bookmarkStart w:id="100" w:name="_Toc131502615"/>
      <w:bookmarkStart w:id="101" w:name="_Toc131512525"/>
      <w:r>
        <w:rPr>
          <w:rStyle w:val="CharDivNo"/>
        </w:rPr>
        <w:lastRenderedPageBreak/>
        <w:t>Division 2</w:t>
      </w:r>
      <w:r>
        <w:t xml:space="preserve"> — </w:t>
      </w:r>
      <w:r>
        <w:rPr>
          <w:rStyle w:val="CharDivText"/>
        </w:rPr>
        <w:t>Investigative powers</w:t>
      </w:r>
      <w:bookmarkEnd w:id="96"/>
      <w:bookmarkEnd w:id="97"/>
      <w:bookmarkEnd w:id="98"/>
      <w:bookmarkEnd w:id="99"/>
      <w:bookmarkEnd w:id="100"/>
      <w:bookmarkEnd w:id="101"/>
    </w:p>
    <w:p>
      <w:pPr>
        <w:pStyle w:val="Heading5"/>
      </w:pPr>
      <w:bookmarkStart w:id="102" w:name="_Toc131512526"/>
      <w:r>
        <w:rPr>
          <w:rStyle w:val="CharSectno"/>
        </w:rPr>
        <w:t>34</w:t>
      </w:r>
      <w:r>
        <w:t>.</w:t>
      </w:r>
      <w:r>
        <w:tab/>
        <w:t>Obtaining identifying particulars</w:t>
      </w:r>
      <w:bookmarkEnd w:id="102"/>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103" w:name="_Toc131512527"/>
      <w:r>
        <w:rPr>
          <w:rStyle w:val="CharSectno"/>
        </w:rPr>
        <w:t>35</w:t>
      </w:r>
      <w:r>
        <w:t>.</w:t>
      </w:r>
      <w:r>
        <w:tab/>
        <w:t>Entering, inspecting and searching places</w:t>
      </w:r>
      <w:bookmarkEnd w:id="103"/>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lastRenderedPageBreak/>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104" w:name="_Toc131512528"/>
      <w:r>
        <w:rPr>
          <w:rStyle w:val="CharSectno"/>
        </w:rPr>
        <w:t>36</w:t>
      </w:r>
      <w:r>
        <w:t>.</w:t>
      </w:r>
      <w:r>
        <w:tab/>
        <w:t>Stopping, entering, searching and inspecting vehicles</w:t>
      </w:r>
      <w:bookmarkEnd w:id="104"/>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105" w:name="_Toc131512529"/>
      <w:r>
        <w:rPr>
          <w:rStyle w:val="CharSectno"/>
        </w:rPr>
        <w:t>37</w:t>
      </w:r>
      <w:r>
        <w:t>.</w:t>
      </w:r>
      <w:r>
        <w:tab/>
        <w:t>Seizing samples, evidence etc.</w:t>
      </w:r>
      <w:bookmarkEnd w:id="105"/>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lastRenderedPageBreak/>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106" w:name="_Toc131512530"/>
      <w:r>
        <w:rPr>
          <w:rStyle w:val="CharSectno"/>
        </w:rPr>
        <w:t>38</w:t>
      </w:r>
      <w:r>
        <w:t>.</w:t>
      </w:r>
      <w:r>
        <w:tab/>
        <w:t>Obtaining records</w:t>
      </w:r>
      <w:bookmarkEnd w:id="106"/>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lastRenderedPageBreak/>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107" w:name="_Toc131512531"/>
      <w:r>
        <w:rPr>
          <w:rStyle w:val="CharSectno"/>
        </w:rPr>
        <w:t>39</w:t>
      </w:r>
      <w:r>
        <w:t>.</w:t>
      </w:r>
      <w:r>
        <w:tab/>
        <w:t>Asking questions</w:t>
      </w:r>
      <w:bookmarkEnd w:id="107"/>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108" w:name="_Toc131512532"/>
      <w:r>
        <w:rPr>
          <w:rStyle w:val="CharSectno"/>
        </w:rPr>
        <w:t>40</w:t>
      </w:r>
      <w:r>
        <w:t>.</w:t>
      </w:r>
      <w:r>
        <w:tab/>
        <w:t>Restricting access to sites of dangerous goods incidents and dangerous situations</w:t>
      </w:r>
      <w:bookmarkEnd w:id="108"/>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lastRenderedPageBreak/>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t>While a restricted access site is established, an unauthorised person must not, without reasonable excuse, enter it.</w:t>
      </w:r>
    </w:p>
    <w:p>
      <w:pPr>
        <w:pStyle w:val="Penstart"/>
      </w:pPr>
      <w:r>
        <w:tab/>
        <w:t>Penalty: $10 000.</w:t>
      </w:r>
    </w:p>
    <w:p>
      <w:pPr>
        <w:pStyle w:val="Subsection"/>
      </w:pPr>
      <w:r>
        <w:lastRenderedPageBreak/>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 No. 22 of 2012 s. 118.]</w:t>
      </w:r>
    </w:p>
    <w:p>
      <w:pPr>
        <w:pStyle w:val="Heading3"/>
      </w:pPr>
      <w:bookmarkStart w:id="109" w:name="_Toc57285039"/>
      <w:bookmarkStart w:id="110" w:name="_Toc57285610"/>
      <w:bookmarkStart w:id="111" w:name="_Toc57622709"/>
      <w:bookmarkStart w:id="112" w:name="_Toc131502520"/>
      <w:bookmarkStart w:id="113" w:name="_Toc131502623"/>
      <w:bookmarkStart w:id="114" w:name="_Toc131512533"/>
      <w:r>
        <w:rPr>
          <w:rStyle w:val="CharDivNo"/>
        </w:rPr>
        <w:t>Division 3</w:t>
      </w:r>
      <w:r>
        <w:t xml:space="preserve"> — </w:t>
      </w:r>
      <w:r>
        <w:rPr>
          <w:rStyle w:val="CharDivText"/>
        </w:rPr>
        <w:t>Entry warrants</w:t>
      </w:r>
      <w:bookmarkEnd w:id="109"/>
      <w:bookmarkEnd w:id="110"/>
      <w:bookmarkEnd w:id="111"/>
      <w:bookmarkEnd w:id="112"/>
      <w:bookmarkEnd w:id="113"/>
      <w:bookmarkEnd w:id="114"/>
    </w:p>
    <w:p>
      <w:pPr>
        <w:pStyle w:val="Heading5"/>
      </w:pPr>
      <w:bookmarkStart w:id="115" w:name="_Toc131512534"/>
      <w:r>
        <w:rPr>
          <w:rStyle w:val="CharSectno"/>
        </w:rPr>
        <w:t>41</w:t>
      </w:r>
      <w:r>
        <w:t>.</w:t>
      </w:r>
      <w:r>
        <w:tab/>
        <w:t>Term used: JP</w:t>
      </w:r>
      <w:bookmarkEnd w:id="115"/>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116" w:name="_Toc131512535"/>
      <w:r>
        <w:rPr>
          <w:rStyle w:val="CharSectno"/>
        </w:rPr>
        <w:t>42</w:t>
      </w:r>
      <w:r>
        <w:t>.</w:t>
      </w:r>
      <w:r>
        <w:tab/>
        <w:t>Applying for an entry warrant</w:t>
      </w:r>
      <w:bookmarkEnd w:id="116"/>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lastRenderedPageBreak/>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117" w:name="_Toc131512536"/>
      <w:r>
        <w:rPr>
          <w:rStyle w:val="CharSectno"/>
        </w:rPr>
        <w:t>43</w:t>
      </w:r>
      <w:r>
        <w:t>.</w:t>
      </w:r>
      <w:r>
        <w:tab/>
        <w:t>Applications, how they are to be made</w:t>
      </w:r>
      <w:bookmarkEnd w:id="117"/>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lastRenderedPageBreak/>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 xml:space="preserve">If an applicant contravenes subsection (5)(d) or (6)(b), any evidence obtained under the entry warrant is not admissible in proceedings in a court. </w:t>
      </w:r>
    </w:p>
    <w:p>
      <w:pPr>
        <w:pStyle w:val="Heading5"/>
      </w:pPr>
      <w:bookmarkStart w:id="118" w:name="_Toc131512537"/>
      <w:r>
        <w:rPr>
          <w:rStyle w:val="CharSectno"/>
        </w:rPr>
        <w:t>44</w:t>
      </w:r>
      <w:r>
        <w:t>.</w:t>
      </w:r>
      <w:r>
        <w:tab/>
        <w:t>Issuing an entry warrant</w:t>
      </w:r>
      <w:bookmarkEnd w:id="118"/>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119" w:name="_Toc131512538"/>
      <w:r>
        <w:rPr>
          <w:rStyle w:val="CharSectno"/>
        </w:rPr>
        <w:t>45</w:t>
      </w:r>
      <w:r>
        <w:t>.</w:t>
      </w:r>
      <w:r>
        <w:tab/>
        <w:t>Effect of entry warrant</w:t>
      </w:r>
      <w:bookmarkEnd w:id="119"/>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lastRenderedPageBreak/>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120" w:name="_Toc57285045"/>
      <w:bookmarkStart w:id="121" w:name="_Toc57285616"/>
      <w:bookmarkStart w:id="122" w:name="_Toc57622715"/>
      <w:bookmarkStart w:id="123" w:name="_Toc131502526"/>
      <w:bookmarkStart w:id="124" w:name="_Toc131502629"/>
      <w:bookmarkStart w:id="125" w:name="_Toc131512539"/>
      <w:r>
        <w:rPr>
          <w:rStyle w:val="CharDivNo"/>
        </w:rPr>
        <w:t>Division 4</w:t>
      </w:r>
      <w:r>
        <w:t xml:space="preserve"> — </w:t>
      </w:r>
      <w:r>
        <w:rPr>
          <w:rStyle w:val="CharDivText"/>
        </w:rPr>
        <w:t>Audits of dangerous goods sites</w:t>
      </w:r>
      <w:bookmarkEnd w:id="120"/>
      <w:bookmarkEnd w:id="121"/>
      <w:bookmarkEnd w:id="122"/>
      <w:bookmarkEnd w:id="123"/>
      <w:bookmarkEnd w:id="124"/>
      <w:bookmarkEnd w:id="125"/>
    </w:p>
    <w:p>
      <w:pPr>
        <w:pStyle w:val="Heading5"/>
      </w:pPr>
      <w:bookmarkStart w:id="126" w:name="_Toc131512540"/>
      <w:r>
        <w:rPr>
          <w:rStyle w:val="CharSectno"/>
        </w:rPr>
        <w:t>46</w:t>
      </w:r>
      <w:r>
        <w:t>.</w:t>
      </w:r>
      <w:r>
        <w:tab/>
        <w:t>Audit may be directed by Chief Officer</w:t>
      </w:r>
      <w:bookmarkEnd w:id="126"/>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lastRenderedPageBreak/>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127" w:name="_Toc57285047"/>
      <w:bookmarkStart w:id="128" w:name="_Toc57285618"/>
      <w:bookmarkStart w:id="129" w:name="_Toc57622717"/>
      <w:bookmarkStart w:id="130" w:name="_Toc131502528"/>
      <w:bookmarkStart w:id="131" w:name="_Toc131502631"/>
      <w:bookmarkStart w:id="132" w:name="_Toc131512541"/>
      <w:r>
        <w:rPr>
          <w:rStyle w:val="CharDivNo"/>
        </w:rPr>
        <w:t>Division 5</w:t>
      </w:r>
      <w:r>
        <w:t xml:space="preserve"> — </w:t>
      </w:r>
      <w:r>
        <w:rPr>
          <w:rStyle w:val="CharDivText"/>
        </w:rPr>
        <w:t>Remedying dangerous and other situations</w:t>
      </w:r>
      <w:bookmarkEnd w:id="127"/>
      <w:bookmarkEnd w:id="128"/>
      <w:bookmarkEnd w:id="129"/>
      <w:bookmarkEnd w:id="130"/>
      <w:bookmarkEnd w:id="131"/>
      <w:bookmarkEnd w:id="132"/>
    </w:p>
    <w:p>
      <w:pPr>
        <w:pStyle w:val="Heading5"/>
      </w:pPr>
      <w:bookmarkStart w:id="133" w:name="_Toc131512542"/>
      <w:r>
        <w:rPr>
          <w:rStyle w:val="CharSectno"/>
        </w:rPr>
        <w:t>47</w:t>
      </w:r>
      <w:r>
        <w:t>.</w:t>
      </w:r>
      <w:r>
        <w:tab/>
        <w:t>Remediation notice</w:t>
      </w:r>
      <w:bookmarkEnd w:id="133"/>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lastRenderedPageBreak/>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lastRenderedPageBreak/>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134" w:name="_Toc131512543"/>
      <w:r>
        <w:rPr>
          <w:rStyle w:val="CharSectno"/>
        </w:rPr>
        <w:lastRenderedPageBreak/>
        <w:t>48</w:t>
      </w:r>
      <w:r>
        <w:t>.</w:t>
      </w:r>
      <w:r>
        <w:tab/>
        <w:t>Chief Officer may approve earlier or immediate compliance with remediation notice</w:t>
      </w:r>
      <w:bookmarkEnd w:id="134"/>
    </w:p>
    <w:p>
      <w:pPr>
        <w:pStyle w:val="Subsection"/>
        <w:keepNext/>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135" w:name="_Toc131512544"/>
      <w:r>
        <w:rPr>
          <w:rStyle w:val="CharSectno"/>
        </w:rPr>
        <w:t>49</w:t>
      </w:r>
      <w:r>
        <w:t>.</w:t>
      </w:r>
      <w:r>
        <w:tab/>
        <w:t>Contravention of remediation notice, action by DGO</w:t>
      </w:r>
      <w:bookmarkEnd w:id="135"/>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lastRenderedPageBreak/>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136" w:name="_Toc131512545"/>
      <w:r>
        <w:rPr>
          <w:rStyle w:val="CharSectno"/>
        </w:rPr>
        <w:t>50</w:t>
      </w:r>
      <w:r>
        <w:t>.</w:t>
      </w:r>
      <w:r>
        <w:tab/>
        <w:t>Dangerous situation, emergency remedial measures</w:t>
      </w:r>
      <w:bookmarkEnd w:id="136"/>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137" w:name="_Toc131512546"/>
      <w:r>
        <w:rPr>
          <w:rStyle w:val="CharSectno"/>
        </w:rPr>
        <w:lastRenderedPageBreak/>
        <w:t>51</w:t>
      </w:r>
      <w:r>
        <w:t>.</w:t>
      </w:r>
      <w:r>
        <w:tab/>
        <w:t>Recovering costs of government action</w:t>
      </w:r>
      <w:bookmarkEnd w:id="137"/>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lastRenderedPageBreak/>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138" w:name="_Toc57285053"/>
      <w:bookmarkStart w:id="139" w:name="_Toc57285624"/>
      <w:bookmarkStart w:id="140" w:name="_Toc57622723"/>
      <w:bookmarkStart w:id="141" w:name="_Toc131502534"/>
      <w:bookmarkStart w:id="142" w:name="_Toc131502637"/>
      <w:bookmarkStart w:id="143" w:name="_Toc131512547"/>
      <w:r>
        <w:rPr>
          <w:rStyle w:val="CharDivNo"/>
        </w:rPr>
        <w:t>Division 6</w:t>
      </w:r>
      <w:r>
        <w:t> — </w:t>
      </w:r>
      <w:r>
        <w:rPr>
          <w:rStyle w:val="CharDivText"/>
        </w:rPr>
        <w:t>General</w:t>
      </w:r>
      <w:bookmarkEnd w:id="138"/>
      <w:bookmarkEnd w:id="139"/>
      <w:bookmarkEnd w:id="140"/>
      <w:bookmarkEnd w:id="141"/>
      <w:bookmarkEnd w:id="142"/>
      <w:bookmarkEnd w:id="143"/>
    </w:p>
    <w:p>
      <w:pPr>
        <w:pStyle w:val="Heading5"/>
      </w:pPr>
      <w:bookmarkStart w:id="144" w:name="_Toc131512548"/>
      <w:r>
        <w:rPr>
          <w:rStyle w:val="CharSectno"/>
        </w:rPr>
        <w:t>52</w:t>
      </w:r>
      <w:r>
        <w:t>.</w:t>
      </w:r>
      <w:r>
        <w:tab/>
        <w:t>Directions, general matters</w:t>
      </w:r>
      <w:bookmarkEnd w:id="144"/>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45" w:name="_Toc131512549"/>
      <w:r>
        <w:rPr>
          <w:rStyle w:val="CharSectno"/>
        </w:rPr>
        <w:t>53</w:t>
      </w:r>
      <w:r>
        <w:t>.</w:t>
      </w:r>
      <w:r>
        <w:tab/>
        <w:t>Ancillary powers and duties</w:t>
      </w:r>
      <w:bookmarkEnd w:id="145"/>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lastRenderedPageBreak/>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146" w:name="_Toc131512550"/>
      <w:r>
        <w:rPr>
          <w:rStyle w:val="CharSectno"/>
        </w:rPr>
        <w:t>54</w:t>
      </w:r>
      <w:r>
        <w:t>.</w:t>
      </w:r>
      <w:r>
        <w:tab/>
        <w:t>Review by Chief Officer</w:t>
      </w:r>
      <w:bookmarkEnd w:id="146"/>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lastRenderedPageBreak/>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147" w:name="_Toc131512551"/>
      <w:r>
        <w:rPr>
          <w:rStyle w:val="CharSectno"/>
        </w:rPr>
        <w:t>55</w:t>
      </w:r>
      <w:r>
        <w:t>.</w:t>
      </w:r>
      <w:r>
        <w:tab/>
        <w:t>Offences</w:t>
      </w:r>
      <w:bookmarkEnd w:id="147"/>
    </w:p>
    <w:p>
      <w:pPr>
        <w:pStyle w:val="Subsection"/>
      </w:pPr>
      <w:r>
        <w:tab/>
        <w:t>(1)</w:t>
      </w:r>
      <w:r>
        <w:tab/>
        <w:t>A person who does not comply with a direction given by the Chief Officer or a DGO 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148" w:name="_Toc57285058"/>
      <w:bookmarkStart w:id="149" w:name="_Toc57285629"/>
      <w:bookmarkStart w:id="150" w:name="_Toc57622728"/>
      <w:bookmarkStart w:id="151" w:name="_Toc131502539"/>
      <w:bookmarkStart w:id="152" w:name="_Toc131502642"/>
      <w:bookmarkStart w:id="153" w:name="_Toc131512552"/>
      <w:r>
        <w:rPr>
          <w:rStyle w:val="CharPartNo"/>
        </w:rPr>
        <w:lastRenderedPageBreak/>
        <w:t>Part 7</w:t>
      </w:r>
      <w:r>
        <w:rPr>
          <w:rStyle w:val="CharDivNo"/>
        </w:rPr>
        <w:t xml:space="preserve"> </w:t>
      </w:r>
      <w:r>
        <w:t>—</w:t>
      </w:r>
      <w:r>
        <w:rPr>
          <w:rStyle w:val="CharDivText"/>
        </w:rPr>
        <w:t xml:space="preserve"> </w:t>
      </w:r>
      <w:r>
        <w:rPr>
          <w:rStyle w:val="CharPartText"/>
        </w:rPr>
        <w:t>Legal proceedings</w:t>
      </w:r>
      <w:bookmarkEnd w:id="148"/>
      <w:bookmarkEnd w:id="149"/>
      <w:bookmarkEnd w:id="150"/>
      <w:bookmarkEnd w:id="151"/>
      <w:bookmarkEnd w:id="152"/>
      <w:bookmarkEnd w:id="153"/>
    </w:p>
    <w:p>
      <w:pPr>
        <w:pStyle w:val="Heading5"/>
      </w:pPr>
      <w:bookmarkStart w:id="154" w:name="_Toc131512553"/>
      <w:r>
        <w:rPr>
          <w:rStyle w:val="CharSectno"/>
        </w:rPr>
        <w:t>56</w:t>
      </w:r>
      <w:r>
        <w:t>.</w:t>
      </w:r>
      <w:r>
        <w:tab/>
        <w:t>Infringement notices</w:t>
      </w:r>
      <w:bookmarkEnd w:id="154"/>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lastRenderedPageBreak/>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No. 84 of 2004 s. 80.]</w:t>
      </w:r>
    </w:p>
    <w:p>
      <w:pPr>
        <w:pStyle w:val="Heading5"/>
      </w:pPr>
      <w:bookmarkStart w:id="155" w:name="_Toc131512554"/>
      <w:r>
        <w:rPr>
          <w:rStyle w:val="CharSectno"/>
        </w:rPr>
        <w:t>57</w:t>
      </w:r>
      <w:r>
        <w:t>.</w:t>
      </w:r>
      <w:r>
        <w:tab/>
        <w:t>Prosecutions, who may commence</w:t>
      </w:r>
      <w:bookmarkEnd w:id="155"/>
    </w:p>
    <w:p>
      <w:pPr>
        <w:pStyle w:val="Subsection"/>
      </w:pPr>
      <w:r>
        <w:tab/>
      </w:r>
      <w:r>
        <w:tab/>
        <w:t>A prosecution for an offence against this Act may only be commenced by the Chief Officer or a person authorised to do so by the Chief Officer.</w:t>
      </w:r>
    </w:p>
    <w:p>
      <w:pPr>
        <w:pStyle w:val="Heading5"/>
      </w:pPr>
      <w:bookmarkStart w:id="156" w:name="_Toc131512555"/>
      <w:r>
        <w:rPr>
          <w:rStyle w:val="CharSectno"/>
        </w:rPr>
        <w:lastRenderedPageBreak/>
        <w:t>58</w:t>
      </w:r>
      <w:r>
        <w:t>.</w:t>
      </w:r>
      <w:r>
        <w:tab/>
        <w:t>Evidentiary matters</w:t>
      </w:r>
      <w:bookmarkEnd w:id="156"/>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lastRenderedPageBreak/>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No. 84 of 2004 s. 80.]</w:t>
      </w:r>
    </w:p>
    <w:p>
      <w:pPr>
        <w:pStyle w:val="Heading5"/>
      </w:pPr>
      <w:bookmarkStart w:id="157" w:name="_Toc131512556"/>
      <w:r>
        <w:rPr>
          <w:rStyle w:val="CharSectno"/>
        </w:rPr>
        <w:t>59</w:t>
      </w:r>
      <w:r>
        <w:t>.</w:t>
      </w:r>
      <w:r>
        <w:tab/>
        <w:t>Presumptions as to the contents of containers etc.</w:t>
      </w:r>
      <w:bookmarkEnd w:id="157"/>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lastRenderedPageBreak/>
        <w:tab/>
        <w:t>(b)</w:t>
      </w:r>
      <w:r>
        <w:tab/>
        <w:t>that all other information on the label, or any other label on the container or vehicle, about the dangerous goods is true.</w:t>
      </w:r>
    </w:p>
    <w:p>
      <w:pPr>
        <w:pStyle w:val="Heading5"/>
      </w:pPr>
      <w:bookmarkStart w:id="158" w:name="_Toc131512557"/>
      <w:r>
        <w:rPr>
          <w:rStyle w:val="CharSectno"/>
        </w:rPr>
        <w:t>60</w:t>
      </w:r>
      <w:r>
        <w:t>.</w:t>
      </w:r>
      <w:r>
        <w:tab/>
        <w:t>Corporations or employers, conduct on behalf of</w:t>
      </w:r>
      <w:bookmarkEnd w:id="158"/>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lastRenderedPageBreak/>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59" w:name="_Toc130918395"/>
      <w:bookmarkStart w:id="160" w:name="_Toc131512558"/>
      <w:r>
        <w:rPr>
          <w:rStyle w:val="CharSectno"/>
        </w:rPr>
        <w:t>61</w:t>
      </w:r>
      <w:r>
        <w:t>.</w:t>
      </w:r>
      <w:r>
        <w:tab/>
        <w:t>Liability of officers for offence by body corporate</w:t>
      </w:r>
      <w:bookmarkEnd w:id="159"/>
      <w:bookmarkEnd w:id="160"/>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keepNext/>
            </w:pPr>
            <w:r>
              <w:t>s. 8(1)</w:t>
            </w:r>
          </w:p>
        </w:tc>
        <w:tc>
          <w:tcPr>
            <w:tcW w:w="2410" w:type="dxa"/>
            <w:noWrap/>
          </w:tcPr>
          <w:p>
            <w:pPr>
              <w:pStyle w:val="TableNAm"/>
              <w:keepNext/>
            </w:pPr>
            <w:r>
              <w:t>s. 9(2)</w:t>
            </w:r>
          </w:p>
        </w:tc>
      </w:tr>
      <w:tr>
        <w:trPr>
          <w:cantSplit/>
        </w:trPr>
        <w:tc>
          <w:tcPr>
            <w:tcW w:w="2409" w:type="dxa"/>
            <w:noWrap/>
          </w:tcPr>
          <w:p>
            <w:pPr>
              <w:pStyle w:val="TableNAm"/>
            </w:pPr>
            <w:r>
              <w:t>s. 10</w:t>
            </w:r>
          </w:p>
        </w:tc>
        <w:tc>
          <w:tcPr>
            <w:tcW w:w="2410" w:type="dxa"/>
            <w:noWrap/>
          </w:tcPr>
          <w:p>
            <w:pPr>
              <w:pStyle w:val="TableNAm"/>
            </w:pPr>
            <w:r>
              <w:t>s. 11(2)</w:t>
            </w:r>
          </w:p>
        </w:tc>
      </w:tr>
      <w:tr>
        <w:trPr>
          <w:cantSplit/>
        </w:trPr>
        <w:tc>
          <w:tcPr>
            <w:tcW w:w="2409" w:type="dxa"/>
            <w:noWrap/>
          </w:tcPr>
          <w:p>
            <w:pPr>
              <w:pStyle w:val="TableNAm"/>
            </w:pPr>
            <w:r>
              <w:t>s. 12</w:t>
            </w:r>
          </w:p>
        </w:tc>
        <w:tc>
          <w:tcPr>
            <w:tcW w:w="2410" w:type="dxa"/>
            <w:noWrap/>
          </w:tcPr>
          <w:p>
            <w:pPr>
              <w:pStyle w:val="TableNAm"/>
            </w:pPr>
            <w:r>
              <w:t>s. 13</w:t>
            </w:r>
          </w:p>
        </w:tc>
      </w:tr>
      <w:tr>
        <w:trPr>
          <w:cantSplit/>
        </w:trPr>
        <w:tc>
          <w:tcPr>
            <w:tcW w:w="2409" w:type="dxa"/>
            <w:noWrap/>
          </w:tcPr>
          <w:p>
            <w:pPr>
              <w:pStyle w:val="TableNAm"/>
            </w:pPr>
            <w:r>
              <w:t>s. 14(1)</w:t>
            </w:r>
          </w:p>
        </w:tc>
        <w:tc>
          <w:tcPr>
            <w:tcW w:w="2410" w:type="dxa"/>
            <w:noWrap/>
          </w:tcPr>
          <w:p>
            <w:pPr>
              <w:pStyle w:val="TableNAm"/>
            </w:pPr>
            <w:r>
              <w:t>s. 15(1)</w:t>
            </w:r>
          </w:p>
        </w:tc>
      </w:tr>
      <w:tr>
        <w:trPr>
          <w:cantSplit/>
        </w:trPr>
        <w:tc>
          <w:tcPr>
            <w:tcW w:w="2409" w:type="dxa"/>
            <w:noWrap/>
          </w:tcPr>
          <w:p>
            <w:pPr>
              <w:pStyle w:val="TableNAm"/>
            </w:pPr>
            <w:r>
              <w:lastRenderedPageBreak/>
              <w:t>s. 16</w:t>
            </w:r>
          </w:p>
        </w:tc>
        <w:tc>
          <w:tcPr>
            <w:tcW w:w="2410" w:type="dxa"/>
            <w:noWrap/>
          </w:tcPr>
          <w:p>
            <w:pPr>
              <w:pStyle w:val="TableNAm"/>
            </w:pPr>
            <w:r>
              <w:t>s. 17(2) for a contravention of s. 11(2), 12, 13, 14(1), 15(1) or 16 in aggravated circumstances as defined in s. 17(1)</w:t>
            </w:r>
          </w:p>
        </w:tc>
      </w:tr>
      <w:tr>
        <w:trPr>
          <w:cantSplit/>
        </w:trPr>
        <w:tc>
          <w:tcPr>
            <w:tcW w:w="2409" w:type="dxa"/>
            <w:noWrap/>
          </w:tcPr>
          <w:p>
            <w:pPr>
              <w:pStyle w:val="TableNAm"/>
            </w:pPr>
            <w:r>
              <w:t>s. 24</w:t>
            </w:r>
          </w:p>
        </w:tc>
        <w:tc>
          <w:tcPr>
            <w:tcW w:w="2410" w:type="dxa"/>
            <w:noWrap/>
          </w:tcPr>
          <w:p>
            <w:pPr>
              <w:pStyle w:val="TableNAm"/>
            </w:pPr>
            <w:r>
              <w:t>s. 47(7)</w:t>
            </w:r>
          </w:p>
        </w:tc>
      </w:tr>
      <w:tr>
        <w:trPr>
          <w:cantSplit/>
        </w:trPr>
        <w:tc>
          <w:tcPr>
            <w:tcW w:w="2409" w:type="dxa"/>
            <w:noWrap/>
          </w:tcPr>
          <w:p>
            <w:pPr>
              <w:pStyle w:val="TableNAm"/>
            </w:pPr>
            <w:r>
              <w:t>s. 55(1), (2) and (3)</w:t>
            </w:r>
          </w:p>
        </w:tc>
        <w:tc>
          <w:tcPr>
            <w:tcW w:w="2410" w:type="dxa"/>
            <w:noWrap/>
          </w:tcPr>
          <w:p>
            <w:pPr>
              <w:pStyle w:val="TableNAm"/>
            </w:pPr>
            <w:r>
              <w:t>s. 65(5)</w:t>
            </w:r>
          </w:p>
        </w:tc>
      </w:tr>
    </w:tbl>
    <w:p>
      <w:pPr>
        <w:pStyle w:val="Footnotesection"/>
      </w:pPr>
      <w:r>
        <w:tab/>
        <w:t>[Section 61 inserted: No. 9 of 2023 s. 50.]</w:t>
      </w:r>
    </w:p>
    <w:p>
      <w:pPr>
        <w:pStyle w:val="Heading5"/>
        <w:spacing w:before="180"/>
      </w:pPr>
      <w:bookmarkStart w:id="161" w:name="_Toc131512559"/>
      <w:r>
        <w:rPr>
          <w:rStyle w:val="CharSectno"/>
        </w:rPr>
        <w:t>62</w:t>
      </w:r>
      <w:r>
        <w:t>.</w:t>
      </w:r>
      <w:r>
        <w:tab/>
        <w:t>Defence of complying with code of practice</w:t>
      </w:r>
      <w:bookmarkEnd w:id="161"/>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No. 84 of 2004 s. 82.]</w:t>
      </w:r>
    </w:p>
    <w:p>
      <w:pPr>
        <w:pStyle w:val="Heading5"/>
        <w:spacing w:before="180"/>
      </w:pPr>
      <w:bookmarkStart w:id="162" w:name="_Toc131512560"/>
      <w:r>
        <w:rPr>
          <w:rStyle w:val="CharSectno"/>
        </w:rPr>
        <w:t>63</w:t>
      </w:r>
      <w:r>
        <w:t>.</w:t>
      </w:r>
      <w:r>
        <w:tab/>
        <w:t>Continuing offences, penalties for</w:t>
      </w:r>
      <w:bookmarkEnd w:id="162"/>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163" w:name="_Toc131512561"/>
      <w:r>
        <w:rPr>
          <w:rStyle w:val="CharSectno"/>
        </w:rPr>
        <w:t>64</w:t>
      </w:r>
      <w:r>
        <w:t>.</w:t>
      </w:r>
      <w:r>
        <w:tab/>
        <w:t>Forfeiture</w:t>
      </w:r>
      <w:bookmarkEnd w:id="163"/>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lastRenderedPageBreak/>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No. 77 of 2006 s. 4.]</w:t>
      </w:r>
    </w:p>
    <w:p>
      <w:pPr>
        <w:pStyle w:val="Heading5"/>
      </w:pPr>
      <w:bookmarkStart w:id="164" w:name="_Toc131512562"/>
      <w:r>
        <w:rPr>
          <w:rStyle w:val="CharSectno"/>
        </w:rPr>
        <w:t>65</w:t>
      </w:r>
      <w:r>
        <w:t>.</w:t>
      </w:r>
      <w:r>
        <w:tab/>
        <w:t>Prohibiting offender from involvement with dangerous goods</w:t>
      </w:r>
      <w:bookmarkEnd w:id="164"/>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lastRenderedPageBreak/>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65" w:name="_Toc131512563"/>
      <w:r>
        <w:rPr>
          <w:rStyle w:val="CharSectno"/>
        </w:rPr>
        <w:t>66</w:t>
      </w:r>
      <w:r>
        <w:t>.</w:t>
      </w:r>
      <w:r>
        <w:tab/>
        <w:t>Investigation costs, accused may be ordered to pay</w:t>
      </w:r>
      <w:bookmarkEnd w:id="165"/>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lastRenderedPageBreak/>
        <w:tab/>
        <w:t>(2)</w:t>
      </w:r>
      <w:r>
        <w:tab/>
        <w:t>An order made under subsection (1) does not form part of the sentence imposed for the offence.</w:t>
      </w:r>
    </w:p>
    <w:p>
      <w:pPr>
        <w:pStyle w:val="Footnotesection"/>
      </w:pPr>
      <w:r>
        <w:tab/>
        <w:t>[Section 66 amended: No. 84 of 2004 s. 80.]</w:t>
      </w:r>
    </w:p>
    <w:p>
      <w:pPr>
        <w:pStyle w:val="Heading5"/>
      </w:pPr>
      <w:bookmarkStart w:id="166" w:name="_Toc131512564"/>
      <w:r>
        <w:rPr>
          <w:rStyle w:val="CharSectno"/>
        </w:rPr>
        <w:t>67</w:t>
      </w:r>
      <w:r>
        <w:t>.</w:t>
      </w:r>
      <w:r>
        <w:tab/>
        <w:t>Review of decisions under this Act</w:t>
      </w:r>
      <w:bookmarkEnd w:id="166"/>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No. 55 of 2004 s. 214.]</w:t>
      </w:r>
    </w:p>
    <w:p>
      <w:pPr>
        <w:pStyle w:val="Heading2"/>
      </w:pPr>
      <w:bookmarkStart w:id="167" w:name="_Toc57285071"/>
      <w:bookmarkStart w:id="168" w:name="_Toc57285642"/>
      <w:bookmarkStart w:id="169" w:name="_Toc57622741"/>
      <w:bookmarkStart w:id="170" w:name="_Toc131502552"/>
      <w:bookmarkStart w:id="171" w:name="_Toc131502655"/>
      <w:bookmarkStart w:id="172" w:name="_Toc131512565"/>
      <w:r>
        <w:rPr>
          <w:rStyle w:val="CharPartNo"/>
        </w:rPr>
        <w:lastRenderedPageBreak/>
        <w:t>Part 8</w:t>
      </w:r>
      <w:r>
        <w:rPr>
          <w:rStyle w:val="CharDivNo"/>
        </w:rPr>
        <w:t xml:space="preserve"> </w:t>
      </w:r>
      <w:r>
        <w:t>—</w:t>
      </w:r>
      <w:r>
        <w:rPr>
          <w:rStyle w:val="CharDivText"/>
        </w:rPr>
        <w:t xml:space="preserve"> </w:t>
      </w:r>
      <w:r>
        <w:rPr>
          <w:rStyle w:val="CharPartText"/>
        </w:rPr>
        <w:t>Miscellaneous</w:t>
      </w:r>
      <w:bookmarkEnd w:id="167"/>
      <w:bookmarkEnd w:id="168"/>
      <w:bookmarkEnd w:id="169"/>
      <w:bookmarkEnd w:id="170"/>
      <w:bookmarkEnd w:id="171"/>
      <w:bookmarkEnd w:id="172"/>
    </w:p>
    <w:p>
      <w:pPr>
        <w:pStyle w:val="Heading5"/>
      </w:pPr>
      <w:bookmarkStart w:id="173" w:name="_Toc131512566"/>
      <w:r>
        <w:rPr>
          <w:rStyle w:val="CharSectno"/>
        </w:rPr>
        <w:t>68</w:t>
      </w:r>
      <w:r>
        <w:t>.</w:t>
      </w:r>
      <w:r>
        <w:tab/>
        <w:t>Protection from liability for volunteers etc.</w:t>
      </w:r>
      <w:bookmarkEnd w:id="173"/>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174" w:name="_Toc131512567"/>
      <w:r>
        <w:rPr>
          <w:rStyle w:val="CharSectno"/>
        </w:rPr>
        <w:t>68A</w:t>
      </w:r>
      <w:r>
        <w:t>.</w:t>
      </w:r>
      <w:r>
        <w:tab/>
        <w:t>Orders prohibiting possession of explosives</w:t>
      </w:r>
      <w:bookmarkEnd w:id="174"/>
    </w:p>
    <w:p>
      <w:pPr>
        <w:pStyle w:val="Subsection"/>
      </w:pPr>
      <w:r>
        <w:tab/>
        <w:t>(1)</w:t>
      </w:r>
      <w:r>
        <w:tab/>
        <w:t xml:space="preserve">In this section — </w:t>
      </w:r>
    </w:p>
    <w:p>
      <w:pPr>
        <w:pStyle w:val="Defstart"/>
      </w:pPr>
      <w:r>
        <w:tab/>
      </w:r>
      <w:r>
        <w:rPr>
          <w:rStyle w:val="CharDefText"/>
        </w:rPr>
        <w:t>approval</w:t>
      </w:r>
      <w:r>
        <w:t xml:space="preserve"> includes a licence, registration and permit;</w:t>
      </w:r>
    </w:p>
    <w:p>
      <w:pPr>
        <w:pStyle w:val="Defstart"/>
      </w:pPr>
      <w:r>
        <w:tab/>
      </w:r>
      <w:r>
        <w:rPr>
          <w:rStyle w:val="CharDefText"/>
        </w:rPr>
        <w:t>explosive</w:t>
      </w:r>
      <w:r>
        <w:t xml:space="preserve"> means a substance or article that is controlled as an explosive under this Act.</w:t>
      </w:r>
    </w:p>
    <w:p>
      <w:pPr>
        <w:pStyle w:val="Subsection"/>
      </w:pPr>
      <w:r>
        <w:tab/>
        <w:t>(2)</w:t>
      </w:r>
      <w:r>
        <w:tab/>
        <w:t>This section applies if —</w:t>
      </w:r>
    </w:p>
    <w:p>
      <w:pPr>
        <w:pStyle w:val="Indenta"/>
      </w:pPr>
      <w:r>
        <w:tab/>
        <w:t>(a)</w:t>
      </w:r>
      <w:r>
        <w:tab/>
        <w:t xml:space="preserve">a court makes an order prohibiting a person from — </w:t>
      </w:r>
    </w:p>
    <w:p>
      <w:pPr>
        <w:pStyle w:val="Indenti"/>
      </w:pPr>
      <w:r>
        <w:tab/>
        <w:t>(i)</w:t>
      </w:r>
      <w:r>
        <w:tab/>
        <w:t>being in possession or having control or management of explosives; or</w:t>
      </w:r>
    </w:p>
    <w:p>
      <w:pPr>
        <w:pStyle w:val="Indenti"/>
      </w:pPr>
      <w:r>
        <w:tab/>
        <w:t>(ii)</w:t>
      </w:r>
      <w:r>
        <w:tab/>
        <w:t xml:space="preserve">holding an approval which allows a person to be in possession or to have control or management of explosives; </w:t>
      </w:r>
    </w:p>
    <w:p>
      <w:pPr>
        <w:pStyle w:val="Indenta"/>
      </w:pPr>
      <w:r>
        <w:tab/>
      </w:r>
      <w:r>
        <w:tab/>
        <w:t>and</w:t>
      </w:r>
    </w:p>
    <w:p>
      <w:pPr>
        <w:pStyle w:val="Indenta"/>
      </w:pPr>
      <w:r>
        <w:tab/>
        <w:t>(b)</w:t>
      </w:r>
      <w:r>
        <w:tab/>
        <w:t>the Chief Officer is given notice of the order in accordance with any requirements prescribed by the regulations.</w:t>
      </w:r>
    </w:p>
    <w:p>
      <w:pPr>
        <w:pStyle w:val="Subsection"/>
      </w:pPr>
      <w:r>
        <w:lastRenderedPageBreak/>
        <w:tab/>
        <w:t>(3)</w:t>
      </w:r>
      <w:r>
        <w:tab/>
        <w:t xml:space="preserve">In a case where this section applies, the Chief Officer — </w:t>
      </w:r>
    </w:p>
    <w:p>
      <w:pPr>
        <w:pStyle w:val="Indenta"/>
      </w:pPr>
      <w:r>
        <w:tab/>
        <w:t>(a)</w:t>
      </w:r>
      <w:r>
        <w:tab/>
        <w:t>must immediately suspend or cancel (as may be appropriate in the circumstances) any approval or exemption that allows the person to whom the order applies to be in possession or to have control or management of explosives; and</w:t>
      </w:r>
    </w:p>
    <w:p>
      <w:pPr>
        <w:pStyle w:val="Indenta"/>
      </w:pPr>
      <w:r>
        <w:tab/>
        <w:t>(b)</w:t>
      </w:r>
      <w:r>
        <w:tab/>
        <w:t>must suspend, vary or revoke any security card or other authorisation to the extent that the security card or authorisation would allow the person to whom the order applies to be in possession or to have control or management of explosives; and</w:t>
      </w:r>
    </w:p>
    <w:p>
      <w:pPr>
        <w:pStyle w:val="Indenta"/>
      </w:pPr>
      <w:r>
        <w:tab/>
        <w:t>(c)</w:t>
      </w:r>
      <w:r>
        <w:tab/>
        <w:t>must not, to the extent that would be inconsistent with the order, grant an approval, security card or other authorisation to the person to whom the order applies while the order is in force.</w:t>
      </w:r>
    </w:p>
    <w:p>
      <w:pPr>
        <w:pStyle w:val="Subsection"/>
      </w:pPr>
      <w:r>
        <w:tab/>
        <w:t>(4)</w:t>
      </w:r>
      <w:r>
        <w:tab/>
        <w:t xml:space="preserve">In relation to the suspension of an approval or exemption, the Chief Officer may, depending on the outcome of any court proceedings and as may be appropriate in the circumstances (and at an appropriate time) — </w:t>
      </w:r>
    </w:p>
    <w:p>
      <w:pPr>
        <w:pStyle w:val="Indenta"/>
      </w:pPr>
      <w:r>
        <w:tab/>
        <w:t>(a)</w:t>
      </w:r>
      <w:r>
        <w:tab/>
        <w:t xml:space="preserve">lift the suspension; or </w:t>
      </w:r>
    </w:p>
    <w:p>
      <w:pPr>
        <w:pStyle w:val="Indenta"/>
      </w:pPr>
      <w:r>
        <w:tab/>
        <w:t>(b)</w:t>
      </w:r>
      <w:r>
        <w:tab/>
        <w:t>cancel the approval or exemption (as the case may be).</w:t>
      </w:r>
    </w:p>
    <w:p>
      <w:pPr>
        <w:pStyle w:val="Footnotesection"/>
      </w:pPr>
      <w:r>
        <w:tab/>
        <w:t>[Section 68A inserted: No. 30 of 2020 s. 92.]</w:t>
      </w:r>
    </w:p>
    <w:p>
      <w:pPr>
        <w:pStyle w:val="Heading5"/>
      </w:pPr>
      <w:bookmarkStart w:id="175" w:name="_Toc131512568"/>
      <w:r>
        <w:rPr>
          <w:rStyle w:val="CharSectno"/>
        </w:rPr>
        <w:t>69</w:t>
      </w:r>
      <w:r>
        <w:t>.</w:t>
      </w:r>
      <w:r>
        <w:tab/>
        <w:t>Review of Act</w:t>
      </w:r>
      <w:bookmarkEnd w:id="175"/>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76" w:name="_Toc57285074"/>
      <w:bookmarkStart w:id="177" w:name="_Toc57285646"/>
      <w:bookmarkStart w:id="178" w:name="_Toc57622745"/>
      <w:bookmarkStart w:id="179" w:name="_Toc131502556"/>
      <w:bookmarkStart w:id="180" w:name="_Toc131502659"/>
      <w:bookmarkStart w:id="181" w:name="_Toc131512569"/>
      <w:r>
        <w:rPr>
          <w:rStyle w:val="CharSchNo"/>
        </w:rPr>
        <w:lastRenderedPageBreak/>
        <w:t>Schedule 1</w:t>
      </w:r>
      <w:r>
        <w:t xml:space="preserve"> — </w:t>
      </w:r>
      <w:r>
        <w:rPr>
          <w:rStyle w:val="CharSchText"/>
        </w:rPr>
        <w:t>Subjects for regulations</w:t>
      </w:r>
      <w:bookmarkEnd w:id="176"/>
      <w:bookmarkEnd w:id="177"/>
      <w:bookmarkEnd w:id="178"/>
      <w:bookmarkEnd w:id="179"/>
      <w:bookmarkEnd w:id="180"/>
      <w:bookmarkEnd w:id="181"/>
    </w:p>
    <w:p>
      <w:pPr>
        <w:pStyle w:val="yShoulderClause"/>
      </w:pPr>
      <w:r>
        <w:t>[s. 18(2)]</w:t>
      </w:r>
    </w:p>
    <w:p>
      <w:pPr>
        <w:pStyle w:val="yHeading5"/>
      </w:pPr>
      <w:bookmarkStart w:id="182" w:name="_Toc131512570"/>
      <w:r>
        <w:rPr>
          <w:rStyle w:val="CharSClsNo"/>
        </w:rPr>
        <w:t>1</w:t>
      </w:r>
      <w:r>
        <w:t>.</w:t>
      </w:r>
      <w:r>
        <w:tab/>
        <w:t>Dangerous goods generally</w:t>
      </w:r>
      <w:bookmarkEnd w:id="182"/>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lastRenderedPageBreak/>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183" w:name="_Toc131512571"/>
      <w:r>
        <w:rPr>
          <w:rStyle w:val="CharSClsNo"/>
        </w:rPr>
        <w:t>2</w:t>
      </w:r>
      <w:r>
        <w:t>.</w:t>
      </w:r>
      <w:r>
        <w:tab/>
        <w:t>Persons involved with dangerous goods</w:t>
      </w:r>
      <w:bookmarkEnd w:id="183"/>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184" w:name="_Toc131512572"/>
      <w:r>
        <w:rPr>
          <w:rStyle w:val="CharSClsNo"/>
        </w:rPr>
        <w:t>3</w:t>
      </w:r>
      <w:r>
        <w:t>.</w:t>
      </w:r>
      <w:r>
        <w:tab/>
        <w:t>Possession, sale and supply of dangerous goods</w:t>
      </w:r>
      <w:bookmarkEnd w:id="184"/>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lastRenderedPageBreak/>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185" w:name="_Toc131512573"/>
      <w:r>
        <w:rPr>
          <w:rStyle w:val="CharSClsNo"/>
        </w:rPr>
        <w:t>4</w:t>
      </w:r>
      <w:r>
        <w:t>.</w:t>
      </w:r>
      <w:r>
        <w:tab/>
        <w:t>Dangerous goods sites</w:t>
      </w:r>
      <w:bookmarkEnd w:id="185"/>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186" w:name="_Toc131512574"/>
      <w:r>
        <w:rPr>
          <w:rStyle w:val="CharSClsNo"/>
        </w:rPr>
        <w:lastRenderedPageBreak/>
        <w:t>5</w:t>
      </w:r>
      <w:r>
        <w:t>.</w:t>
      </w:r>
      <w:r>
        <w:tab/>
        <w:t>Pipelines carrying dangerous goods</w:t>
      </w:r>
      <w:bookmarkEnd w:id="186"/>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187" w:name="_Toc131512575"/>
      <w:r>
        <w:rPr>
          <w:rStyle w:val="CharSClsNo"/>
        </w:rPr>
        <w:t>6</w:t>
      </w:r>
      <w:r>
        <w:t>.</w:t>
      </w:r>
      <w:r>
        <w:tab/>
        <w:t>Packaging and labelling of dangerous goods</w:t>
      </w:r>
      <w:bookmarkEnd w:id="187"/>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lastRenderedPageBreak/>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188" w:name="_Toc131512576"/>
      <w:r>
        <w:rPr>
          <w:rStyle w:val="CharSClsNo"/>
        </w:rPr>
        <w:t>7</w:t>
      </w:r>
      <w:r>
        <w:t>.</w:t>
      </w:r>
      <w:r>
        <w:tab/>
        <w:t>Transport of dangerous goods</w:t>
      </w:r>
      <w:bookmarkEnd w:id="188"/>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lastRenderedPageBreak/>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189" w:name="_Toc131512577"/>
      <w:r>
        <w:rPr>
          <w:rStyle w:val="CharSClsNo"/>
        </w:rPr>
        <w:t>8</w:t>
      </w:r>
      <w:r>
        <w:t>.</w:t>
      </w:r>
      <w:r>
        <w:tab/>
        <w:t>Licences, registrations, permits and exemptions</w:t>
      </w:r>
      <w:bookmarkEnd w:id="189"/>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lastRenderedPageBreak/>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No. 55 of 2004 s. 215.]</w:t>
      </w:r>
    </w:p>
    <w:p>
      <w:pPr>
        <w:pStyle w:val="yHeading5"/>
      </w:pPr>
      <w:bookmarkStart w:id="190" w:name="_Toc131512578"/>
      <w:r>
        <w:rPr>
          <w:rStyle w:val="CharSClsNo"/>
        </w:rPr>
        <w:t>9</w:t>
      </w:r>
      <w:r>
        <w:t>.</w:t>
      </w:r>
      <w:r>
        <w:tab/>
        <w:t>Fees and charges</w:t>
      </w:r>
      <w:bookmarkEnd w:id="190"/>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191" w:name="_Toc131512579"/>
      <w:r>
        <w:rPr>
          <w:rStyle w:val="CharSClsNo"/>
        </w:rPr>
        <w:lastRenderedPageBreak/>
        <w:t>10</w:t>
      </w:r>
      <w:r>
        <w:t>.</w:t>
      </w:r>
      <w:r>
        <w:tab/>
        <w:t>Miscellaneous</w:t>
      </w:r>
      <w:bookmarkEnd w:id="191"/>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193" w:name="_Toc57285085"/>
      <w:bookmarkStart w:id="194" w:name="_Toc57285657"/>
      <w:bookmarkStart w:id="195" w:name="_Toc57622756"/>
      <w:bookmarkStart w:id="196" w:name="_Toc131502567"/>
      <w:bookmarkStart w:id="197" w:name="_Toc131502670"/>
      <w:bookmarkStart w:id="198" w:name="_Toc131512580"/>
      <w:r>
        <w:lastRenderedPageBreak/>
        <w:t>Notes</w:t>
      </w:r>
      <w:bookmarkEnd w:id="193"/>
      <w:bookmarkEnd w:id="194"/>
      <w:bookmarkEnd w:id="195"/>
      <w:bookmarkEnd w:id="196"/>
      <w:bookmarkEnd w:id="197"/>
      <w:bookmarkEnd w:id="198"/>
    </w:p>
    <w:p>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w:t>
      </w:r>
    </w:p>
    <w:p>
      <w:pPr>
        <w:pStyle w:val="nHeading3"/>
      </w:pPr>
      <w:bookmarkStart w:id="199" w:name="_Toc131512581"/>
      <w:r>
        <w:t>Compilation table</w:t>
      </w:r>
      <w:bookmarkEnd w:id="19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Road Traffic Legislation Amendment Act 2012 </w:t>
            </w:r>
            <w:r>
              <w:rPr>
                <w:snapToGrid w:val="0"/>
              </w:rPr>
              <w:t>Pt. 4 Div. 17</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c>
          <w:tcPr>
            <w:tcW w:w="2268" w:type="dxa"/>
            <w:tcBorders>
              <w:top w:val="nil"/>
              <w:bottom w:val="nil"/>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top w:val="nil"/>
              <w:bottom w:val="nil"/>
            </w:tcBorders>
          </w:tcPr>
          <w:p>
            <w:pPr>
              <w:pStyle w:val="nTable"/>
              <w:spacing w:after="40"/>
            </w:pPr>
            <w:r>
              <w:t>22 of 2012</w:t>
            </w:r>
          </w:p>
        </w:tc>
        <w:tc>
          <w:tcPr>
            <w:tcW w:w="1134" w:type="dxa"/>
            <w:tcBorders>
              <w:top w:val="nil"/>
              <w:bottom w:val="nil"/>
            </w:tcBorders>
          </w:tcPr>
          <w:p>
            <w:pPr>
              <w:pStyle w:val="nTable"/>
              <w:spacing w:after="40"/>
            </w:pPr>
            <w:r>
              <w:t>29 Aug 2012</w:t>
            </w:r>
          </w:p>
        </w:tc>
        <w:tc>
          <w:tcPr>
            <w:tcW w:w="2552" w:type="dxa"/>
            <w:tcBorders>
              <w:top w:val="nil"/>
              <w:bottom w:val="nil"/>
            </w:tcBorders>
          </w:tcPr>
          <w:p>
            <w:pPr>
              <w:pStyle w:val="nTable"/>
              <w:spacing w:after="40"/>
            </w:pPr>
            <w:r>
              <w:t xml:space="preserve">1 Nov 2012 (see s. 2(b) and </w:t>
            </w:r>
            <w:r>
              <w:rPr>
                <w:i/>
              </w:rPr>
              <w:t>Gazette</w:t>
            </w:r>
            <w:r>
              <w:t xml:space="preserve"> 31 Oct 2012 p. 5255)</w:t>
            </w:r>
          </w:p>
        </w:tc>
      </w:tr>
      <w:tr>
        <w:tc>
          <w:tcPr>
            <w:tcW w:w="2268" w:type="dxa"/>
            <w:tcBorders>
              <w:top w:val="nil"/>
              <w:bottom w:val="nil"/>
            </w:tcBorders>
          </w:tcPr>
          <w:p>
            <w:pPr>
              <w:pStyle w:val="nTable"/>
              <w:spacing w:after="40"/>
              <w:rPr>
                <w:i/>
                <w:snapToGrid w:val="0"/>
              </w:rPr>
            </w:pPr>
            <w:r>
              <w:rPr>
                <w:i/>
              </w:rPr>
              <w:t>Family Violence Legislation Reform Act 2020</w:t>
            </w:r>
            <w:r>
              <w:t xml:space="preserve"> Pt. 9</w:t>
            </w:r>
          </w:p>
        </w:tc>
        <w:tc>
          <w:tcPr>
            <w:tcW w:w="1134" w:type="dxa"/>
            <w:tcBorders>
              <w:top w:val="nil"/>
              <w:bottom w:val="nil"/>
            </w:tcBorders>
          </w:tcPr>
          <w:p>
            <w:pPr>
              <w:pStyle w:val="nTable"/>
              <w:spacing w:after="40"/>
            </w:pPr>
            <w:r>
              <w:t>30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t>1 Jan 2021 (see s. 2(1)(c) and SL 2020/125 cl. 2(c)(iv))</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rPr>
              <w:t>Directors’ Liability Reform Act 2023</w:t>
            </w:r>
            <w:r>
              <w:t xml:space="preserve"> Pt. 3 Div. 18</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pPr>
            <w:r>
              <w:t>5 Apr 2023 (see s. 2(j))</w:t>
            </w:r>
          </w:p>
        </w:tc>
      </w:tr>
    </w:tbl>
    <w:p>
      <w:pPr>
        <w:pStyle w:val="nHeading3"/>
      </w:pPr>
      <w:bookmarkStart w:id="200" w:name="_Toc131512582"/>
      <w:r>
        <w:lastRenderedPageBreak/>
        <w:t>Other notes</w:t>
      </w:r>
      <w:bookmarkEnd w:id="200"/>
    </w:p>
    <w:p>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02" w:name="_Toc57285660"/>
      <w:bookmarkStart w:id="203" w:name="_Toc57622759"/>
      <w:bookmarkStart w:id="204" w:name="_Toc131502570"/>
      <w:bookmarkStart w:id="205" w:name="_Toc131502673"/>
      <w:bookmarkStart w:id="206" w:name="_Toc131512583"/>
      <w:r>
        <w:rPr>
          <w:sz w:val="28"/>
        </w:rPr>
        <w:lastRenderedPageBreak/>
        <w:t>Defined terms</w:t>
      </w:r>
      <w:bookmarkEnd w:id="202"/>
      <w:bookmarkEnd w:id="203"/>
      <w:bookmarkEnd w:id="204"/>
      <w:bookmarkEnd w:id="205"/>
      <w:bookmarkEnd w:id="2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circumstances</w:t>
      </w:r>
      <w:r>
        <w:tab/>
        <w:t>17(1)</w:t>
      </w:r>
    </w:p>
    <w:p>
      <w:pPr>
        <w:pStyle w:val="DefinedTerms"/>
      </w:pPr>
      <w:r>
        <w:t xml:space="preserve">application </w:t>
      </w:r>
      <w:r>
        <w:tab/>
        <w:t>43(1)</w:t>
      </w:r>
    </w:p>
    <w:p>
      <w:pPr>
        <w:pStyle w:val="DefinedTerms"/>
      </w:pPr>
      <w:r>
        <w:t>approval</w:t>
      </w:r>
      <w:r>
        <w:tab/>
        <w:t>68A(1), Sch. 1 cl. 8(1)</w:t>
      </w:r>
    </w:p>
    <w:p>
      <w:pPr>
        <w:pStyle w:val="DefinedTerms"/>
      </w:pPr>
      <w:r>
        <w:t>approved</w:t>
      </w:r>
      <w:r>
        <w:tab/>
        <w:t>3(1)</w:t>
      </w:r>
    </w:p>
    <w:p>
      <w:pPr>
        <w:pStyle w:val="DefinedTerms"/>
      </w:pPr>
      <w:r>
        <w:t>approved auditor</w:t>
      </w:r>
      <w:r>
        <w:tab/>
        <w:t>46(1)</w:t>
      </w:r>
    </w:p>
    <w:p>
      <w:pPr>
        <w:pStyle w:val="DefinedTerms"/>
      </w:pPr>
      <w:r>
        <w:t>approved code of practice</w:t>
      </w:r>
      <w:r>
        <w:tab/>
        <w:t>62(1)</w:t>
      </w:r>
    </w:p>
    <w:p>
      <w:pPr>
        <w:pStyle w:val="DefinedTerms"/>
      </w:pPr>
      <w:r>
        <w:t>audit</w:t>
      </w:r>
      <w:r>
        <w:tab/>
        <w:t>46(1)</w:t>
      </w:r>
    </w:p>
    <w:p>
      <w:pPr>
        <w:pStyle w:val="DefinedTerms"/>
      </w:pPr>
      <w:r>
        <w:t>authorised person</w:t>
      </w:r>
      <w:r>
        <w:tab/>
        <w:t>56(1)</w:t>
      </w:r>
    </w:p>
    <w:p>
      <w:pPr>
        <w:pStyle w:val="DefinedTerms"/>
      </w:pPr>
      <w:r>
        <w:t>Chief Officer</w:t>
      </w:r>
      <w:r>
        <w:tab/>
        <w:t>3(1)</w:t>
      </w:r>
    </w:p>
    <w:p>
      <w:pPr>
        <w:pStyle w:val="DefinedTerms"/>
      </w:pPr>
      <w:r>
        <w:t>code</w:t>
      </w:r>
      <w:r>
        <w:tab/>
        <w:t>19(1)</w:t>
      </w:r>
    </w:p>
    <w:p>
      <w:pPr>
        <w:pStyle w:val="DefinedTerms"/>
      </w:pPr>
      <w:r>
        <w:t>container</w:t>
      </w:r>
      <w:r>
        <w:tab/>
        <w:t>3(1)</w:t>
      </w:r>
    </w:p>
    <w:p>
      <w:pPr>
        <w:pStyle w:val="DefinedTerms"/>
      </w:pPr>
      <w:r>
        <w:t>dangerous goods</w:t>
      </w:r>
      <w:r>
        <w:tab/>
        <w:t>3(1)</w:t>
      </w:r>
    </w:p>
    <w:p>
      <w:pPr>
        <w:pStyle w:val="DefinedTerms"/>
      </w:pPr>
      <w:r>
        <w:t>dangerous goods incident</w:t>
      </w:r>
      <w:r>
        <w:tab/>
        <w:t>3(1)</w:t>
      </w:r>
    </w:p>
    <w:p>
      <w:pPr>
        <w:pStyle w:val="DefinedTerms"/>
      </w:pPr>
      <w:r>
        <w:t>dangerous goods officer</w:t>
      </w:r>
      <w:r>
        <w:tab/>
        <w:t>3(1)</w:t>
      </w:r>
    </w:p>
    <w:p>
      <w:pPr>
        <w:pStyle w:val="DefinedTerms"/>
      </w:pPr>
      <w:r>
        <w:t>dangerous goods pipeline</w:t>
      </w:r>
      <w:r>
        <w:tab/>
        <w:t>Sch. 1 cl. 5(1)</w:t>
      </w:r>
    </w:p>
    <w:p>
      <w:pPr>
        <w:pStyle w:val="DefinedTerms"/>
      </w:pPr>
      <w:r>
        <w:t>dangerous goods site</w:t>
      </w:r>
      <w:r>
        <w:tab/>
        <w:t>3(1)</w:t>
      </w:r>
    </w:p>
    <w:p>
      <w:pPr>
        <w:pStyle w:val="DefinedTerms"/>
      </w:pPr>
      <w:r>
        <w:t>dangerous situation</w:t>
      </w:r>
      <w:r>
        <w:tab/>
        <w:t>3(1)</w:t>
      </w:r>
    </w:p>
    <w:p>
      <w:pPr>
        <w:pStyle w:val="DefinedTerms"/>
      </w:pPr>
      <w:r>
        <w:t>departmental officer</w:t>
      </w:r>
      <w:r>
        <w:tab/>
        <w:t>25(1)</w:t>
      </w:r>
    </w:p>
    <w:p>
      <w:pPr>
        <w:pStyle w:val="DefinedTerms"/>
      </w:pPr>
      <w:r>
        <w:t>DGO</w:t>
      </w:r>
      <w:r>
        <w:tab/>
        <w:t>3(1), 3(2)</w:t>
      </w:r>
    </w:p>
    <w:p>
      <w:pPr>
        <w:pStyle w:val="DefinedTerms"/>
      </w:pPr>
      <w:r>
        <w:t>direction</w:t>
      </w:r>
      <w:r>
        <w:tab/>
        <w:t>54(1)</w:t>
      </w:r>
    </w:p>
    <w:p>
      <w:pPr>
        <w:pStyle w:val="DefinedTerms"/>
      </w:pPr>
      <w:r>
        <w:t>director</w:t>
      </w:r>
      <w:r>
        <w:tab/>
        <w:t>60(1)</w:t>
      </w:r>
    </w:p>
    <w:p>
      <w:pPr>
        <w:pStyle w:val="DefinedTerms"/>
      </w:pPr>
      <w:r>
        <w:t>driver</w:t>
      </w:r>
      <w:r>
        <w:tab/>
        <w:t>3(1)</w:t>
      </w:r>
    </w:p>
    <w:p>
      <w:pPr>
        <w:pStyle w:val="DefinedTerms"/>
      </w:pPr>
      <w:r>
        <w:t>dwelling</w:t>
      </w:r>
      <w:r>
        <w:tab/>
        <w:t>33</w:t>
      </w:r>
    </w:p>
    <w:p>
      <w:pPr>
        <w:pStyle w:val="DefinedTerms"/>
      </w:pPr>
      <w:r>
        <w:t>employer</w:t>
      </w:r>
      <w:r>
        <w:tab/>
        <w:t>60(6)</w:t>
      </w:r>
    </w:p>
    <w:p>
      <w:pPr>
        <w:pStyle w:val="DefinedTerms"/>
      </w:pPr>
      <w:r>
        <w:t>enforcement purposes</w:t>
      </w:r>
      <w:r>
        <w:tab/>
        <w:t>33</w:t>
      </w:r>
    </w:p>
    <w:p>
      <w:pPr>
        <w:pStyle w:val="DefinedTerms"/>
      </w:pPr>
      <w:r>
        <w:t>engaging in conduct</w:t>
      </w:r>
      <w:r>
        <w:tab/>
        <w:t>60(1)</w:t>
      </w:r>
    </w:p>
    <w:p>
      <w:pPr>
        <w:pStyle w:val="DefinedTerms"/>
      </w:pPr>
      <w:r>
        <w:t>entry warrant</w:t>
      </w:r>
      <w:r>
        <w:tab/>
        <w:t>33</w:t>
      </w:r>
    </w:p>
    <w:p>
      <w:pPr>
        <w:pStyle w:val="DefinedTerms"/>
      </w:pPr>
      <w:r>
        <w:t>exemption</w:t>
      </w:r>
      <w:r>
        <w:tab/>
        <w:t>3(1), 23(1)</w:t>
      </w:r>
    </w:p>
    <w:p>
      <w:pPr>
        <w:pStyle w:val="DefinedTerms"/>
      </w:pPr>
      <w:r>
        <w:t>explosive</w:t>
      </w:r>
      <w:r>
        <w:tab/>
        <w:t>68A(1)</w:t>
      </w:r>
    </w:p>
    <w:p>
      <w:pPr>
        <w:pStyle w:val="DefinedTerms"/>
      </w:pPr>
      <w:r>
        <w:t>give</w:t>
      </w:r>
      <w:r>
        <w:tab/>
        <w:t>3(1)</w:t>
      </w:r>
    </w:p>
    <w:p>
      <w:pPr>
        <w:pStyle w:val="DefinedTerms"/>
      </w:pPr>
      <w:r>
        <w:t>government agency</w:t>
      </w:r>
      <w:r>
        <w:tab/>
        <w:t>51(1)</w:t>
      </w:r>
    </w:p>
    <w:p>
      <w:pPr>
        <w:pStyle w:val="DefinedTerms"/>
      </w:pPr>
      <w:r>
        <w:t>handle</w:t>
      </w:r>
      <w:r>
        <w:tab/>
        <w:t>3(1)</w:t>
      </w:r>
    </w:p>
    <w:p>
      <w:pPr>
        <w:pStyle w:val="DefinedTerms"/>
      </w:pPr>
      <w:r>
        <w:t>harm</w:t>
      </w:r>
      <w:r>
        <w:tab/>
        <w:t>5(1)</w:t>
      </w:r>
    </w:p>
    <w:p>
      <w:pPr>
        <w:pStyle w:val="DefinedTerms"/>
      </w:pPr>
      <w:r>
        <w:t>JP</w:t>
      </w:r>
      <w:r>
        <w:tab/>
        <w:t>41</w:t>
      </w:r>
    </w:p>
    <w:p>
      <w:pPr>
        <w:pStyle w:val="DefinedTerms"/>
      </w:pPr>
      <w:r>
        <w:t>label</w:t>
      </w:r>
      <w:r>
        <w:tab/>
        <w:t>59(1)</w:t>
      </w:r>
    </w:p>
    <w:p>
      <w:pPr>
        <w:pStyle w:val="DefinedTerms"/>
      </w:pPr>
      <w:r>
        <w:t>licence</w:t>
      </w:r>
      <w:r>
        <w:tab/>
        <w:t>11(1)</w:t>
      </w:r>
    </w:p>
    <w:p>
      <w:pPr>
        <w:pStyle w:val="DefinedTerms"/>
      </w:pPr>
      <w:r>
        <w:t>mobile home</w:t>
      </w:r>
      <w:r>
        <w:tab/>
        <w:t>33</w:t>
      </w:r>
    </w:p>
    <w:p>
      <w:pPr>
        <w:pStyle w:val="DefinedTerms"/>
      </w:pPr>
      <w:r>
        <w:t>national scheme</w:t>
      </w:r>
      <w:r>
        <w:tab/>
        <w:t>23(1)</w:t>
      </w:r>
    </w:p>
    <w:p>
      <w:pPr>
        <w:pStyle w:val="DefinedTerms"/>
      </w:pPr>
      <w:r>
        <w:t>notice</w:t>
      </w:r>
      <w:r>
        <w:tab/>
        <w:t>54(1)</w:t>
      </w:r>
    </w:p>
    <w:p>
      <w:pPr>
        <w:pStyle w:val="DefinedTerms"/>
      </w:pPr>
      <w:r>
        <w:t>official</w:t>
      </w:r>
      <w:r>
        <w:tab/>
        <w:t>32(1)</w:t>
      </w:r>
    </w:p>
    <w:p>
      <w:pPr>
        <w:pStyle w:val="DefinedTerms"/>
      </w:pPr>
      <w:r>
        <w:lastRenderedPageBreak/>
        <w:t>place</w:t>
      </w:r>
      <w:r>
        <w:tab/>
        <w:t>33</w:t>
      </w:r>
    </w:p>
    <w:p>
      <w:pPr>
        <w:pStyle w:val="DefinedTerms"/>
      </w:pPr>
      <w:r>
        <w:t>record</w:t>
      </w:r>
      <w:r>
        <w:tab/>
        <w:t>3(1)</w:t>
      </w:r>
    </w:p>
    <w:p>
      <w:pPr>
        <w:pStyle w:val="DefinedTerms"/>
      </w:pPr>
      <w:r>
        <w:t>relevant record</w:t>
      </w:r>
      <w:r>
        <w:tab/>
        <w:t>38(1)</w:t>
      </w:r>
    </w:p>
    <w:p>
      <w:pPr>
        <w:pStyle w:val="DefinedTerms"/>
      </w:pPr>
      <w:r>
        <w:t>remote communication</w:t>
      </w:r>
      <w:r>
        <w:tab/>
        <w:t>3(1)</w:t>
      </w:r>
    </w:p>
    <w:p>
      <w:pPr>
        <w:pStyle w:val="DefinedTerms"/>
      </w:pPr>
      <w:r>
        <w:t>reportable situation</w:t>
      </w:r>
      <w:r>
        <w:tab/>
        <w:t>9(1)</w:t>
      </w:r>
    </w:p>
    <w:p>
      <w:pPr>
        <w:pStyle w:val="DefinedTerms"/>
      </w:pPr>
      <w:r>
        <w:t>reviewable decision</w:t>
      </w:r>
      <w:r>
        <w:tab/>
        <w:t>67(1)</w:t>
      </w:r>
    </w:p>
    <w:p>
      <w:pPr>
        <w:pStyle w:val="DefinedTerms"/>
      </w:pPr>
      <w:r>
        <w:t>risk</w:t>
      </w:r>
      <w:r>
        <w:tab/>
        <w:t>3(1)</w:t>
      </w:r>
    </w:p>
    <w:p>
      <w:pPr>
        <w:pStyle w:val="DefinedTerms"/>
      </w:pPr>
      <w:r>
        <w:t>safety management document</w:t>
      </w:r>
      <w:r>
        <w:tab/>
        <w:t>3(1)</w:t>
      </w:r>
    </w:p>
    <w:p>
      <w:pPr>
        <w:pStyle w:val="DefinedTerms"/>
      </w:pPr>
      <w:r>
        <w:t>specified</w:t>
      </w:r>
      <w:r>
        <w:tab/>
        <w:t>3(1)</w:t>
      </w:r>
    </w:p>
    <w:p>
      <w:pPr>
        <w:pStyle w:val="DefinedTerms"/>
      </w:pPr>
      <w:r>
        <w:t>state of mind</w:t>
      </w:r>
      <w:r>
        <w:tab/>
        <w:t>60(1)</w:t>
      </w:r>
    </w:p>
    <w:p>
      <w:pPr>
        <w:pStyle w:val="DefinedTerms"/>
      </w:pPr>
      <w:r>
        <w:t>subsidiary legislation</w:t>
      </w:r>
      <w:r>
        <w:tab/>
        <w:t>19(1)</w:t>
      </w:r>
    </w:p>
    <w:p>
      <w:pPr>
        <w:pStyle w:val="DefinedTerms"/>
      </w:pPr>
      <w:r>
        <w:t>substance</w:t>
      </w:r>
      <w:r>
        <w:tab/>
        <w:t>3(1)</w:t>
      </w:r>
    </w:p>
    <w:p>
      <w:pPr>
        <w:pStyle w:val="DefinedTerms"/>
      </w:pPr>
      <w:r>
        <w:t>transport</w:t>
      </w:r>
      <w:r>
        <w:tab/>
        <w:t>3(1)</w:t>
      </w:r>
    </w:p>
    <w:p>
      <w:pPr>
        <w:pStyle w:val="DefinedTerms"/>
      </w:pPr>
      <w:r>
        <w:t>unauthorised person</w:t>
      </w:r>
      <w:r>
        <w:tab/>
        <w:t>40(1)</w:t>
      </w:r>
    </w:p>
    <w:p>
      <w:pPr>
        <w:pStyle w:val="DefinedTerms"/>
      </w:pPr>
      <w:r>
        <w:t>unreasonable</w:t>
      </w:r>
      <w:r>
        <w:tab/>
        <w:t>5(2)</w:t>
      </w:r>
    </w:p>
    <w:p>
      <w:pPr>
        <w:pStyle w:val="DefinedTerms"/>
      </w:pPr>
      <w:r>
        <w:t>vehicle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2" w:name="Schedule"/>
    <w:bookmarkEnd w:id="1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7" w:name="DefinedTerms"/>
    <w:bookmarkEnd w:id="20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D2CC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88C837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0A71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6C2BB2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D228F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126120825"/>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 w:name="WAFER_20201126120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20825_GUID" w:val="8339c586-e4eb-4f3c-a68c-f1ed20485e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o:shapelayout v:ext="edit">
      <o:idmap v:ext="edit" data="1"/>
    </o:shapelayout>
  </w:shapeDefaults>
  <w:decimalSymbol w:val="."/>
  <w:listSeparator w:val=","/>
  <w15:docId w15:val="{BFF81E50-F463-4984-8DBE-FD2256D8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16198</Words>
  <Characters>78242</Characters>
  <Application>Microsoft Office Word</Application>
  <DocSecurity>0</DocSecurity>
  <Lines>2114</Lines>
  <Paragraphs>1368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93072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2004 - 01-h0-00</dc:title>
  <dc:subject/>
  <dc:creator/>
  <cp:keywords/>
  <dc:description/>
  <cp:lastModifiedBy>Master Repository Process</cp:lastModifiedBy>
  <cp:revision>4</cp:revision>
  <cp:lastPrinted>2009-06-19T02:01:00Z</cp:lastPrinted>
  <dcterms:created xsi:type="dcterms:W3CDTF">2023-04-05T03:28:00Z</dcterms:created>
  <dcterms:modified xsi:type="dcterms:W3CDTF">2023-04-05T03:28:00Z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AsAtDate">
    <vt:lpwstr>05 Apr 2023</vt:lpwstr>
  </property>
  <property fmtid="{D5CDD505-2E9C-101B-9397-08002B2CF9AE}" pid="7" name="Suffix">
    <vt:lpwstr>01-h0-00</vt:lpwstr>
  </property>
  <property fmtid="{D5CDD505-2E9C-101B-9397-08002B2CF9AE}" pid="8" name="CommencementDate">
    <vt:lpwstr>20230405</vt:lpwstr>
  </property>
</Properties>
</file>