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_Toc131586287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_Toc131586288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_Toc131586289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_Toc131586290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_Toc131586291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_Toc131586292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_Toc131586293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_Toc131586296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_Toc131586298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_Toc131586299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_Toc131586300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_Toc131586302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_Toc131586303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_Toc131586304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_Toc131586305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_Toc131586306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_Toc131586307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_Toc131586308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_Toc131586310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_Toc131586311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_Toc131586312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_Toc131586313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_Toc131586314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_Toc131586316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_Toc131586317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_Toc131586319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_Toc131586321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_Toc131586322 \h </w:instrText>
      </w:r>
      <w:r>
        <w:fldChar w:fldCharType="separate"/>
      </w:r>
      <w:r>
        <w:t>33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_Toc131586323 \h </w:instrText>
      </w:r>
      <w:r>
        <w:fldChar w:fldCharType="separate"/>
      </w:r>
      <w:r>
        <w:t>33</w:t>
      </w:r>
      <w:r>
        <w:fldChar w:fldCharType="end"/>
      </w:r>
    </w:p>
    <w:p>
      <w:pPr>
        <w:pStyle w:val="TOC8"/>
        <w:rPr>
          <w:rFonts w:asciiTheme="minorHAnsi" w:eastAsiaTheme="minorEastAsia" w:hAnsiTheme="minorHAnsi" w:cstheme="minorBidi"/>
          <w:szCs w:val="22"/>
        </w:rPr>
      </w:pPr>
      <w:r>
        <w:t>18AA.</w:t>
      </w:r>
      <w:r>
        <w:tab/>
        <w:t>Notice of decision</w:t>
      </w:r>
      <w:r>
        <w:tab/>
      </w:r>
      <w:r>
        <w:fldChar w:fldCharType="begin"/>
      </w:r>
      <w:r>
        <w:instrText xml:space="preserve"> PAGEREF _Toc131586324 \h </w:instrText>
      </w:r>
      <w:r>
        <w:fldChar w:fldCharType="separate"/>
      </w:r>
      <w:r>
        <w:t>35</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_Toc131586325 \h </w:instrText>
      </w:r>
      <w:r>
        <w:fldChar w:fldCharType="separate"/>
      </w:r>
      <w:r>
        <w:t>35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_Toc131586326 \h </w:instrText>
      </w:r>
      <w:r>
        <w:fldChar w:fldCharType="separate"/>
      </w:r>
      <w:r>
        <w:t>36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_Toc131586327 \h </w:instrText>
      </w:r>
      <w:r>
        <w:fldChar w:fldCharType="separate"/>
      </w:r>
      <w:r>
        <w:t>36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_Toc131586328 \h </w:instrText>
      </w:r>
      <w:r>
        <w:fldChar w:fldCharType="separate"/>
      </w:r>
      <w:r>
        <w:t>38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_Toc131586329 \h </w:instrText>
      </w:r>
      <w:r>
        <w:fldChar w:fldCharType="separate"/>
      </w:r>
      <w:r>
        <w:t>39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_Toc131586330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_Toc131586332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_Toc131586333 \h </w:instrText>
      </w:r>
      <w:r>
        <w:fldChar w:fldCharType="separate"/>
      </w:r>
      <w:r>
        <w:t>40</w:t>
      </w:r>
      <w:r>
        <w:fldChar w:fldCharType="end"/>
      </w:r>
    </w:p>
    <w:p>
      <w:pPr>
        <w:pStyle w:val="TOC8"/>
        <w:rPr>
          <w:rFonts w:asciiTheme="minorHAnsi" w:eastAsiaTheme="minorEastAsia" w:hAnsiTheme="minorHAnsi" w:cstheme="minorBidi"/>
          <w:szCs w:val="22"/>
        </w:rPr>
      </w:pPr>
      <w:r>
        <w:t>25A.</w:t>
      </w:r>
      <w:r>
        <w:tab/>
        <w:t>Commission may refer application for review to State Administrative Tribunal</w:t>
      </w:r>
      <w:r>
        <w:tab/>
      </w:r>
      <w:r>
        <w:fldChar w:fldCharType="begin"/>
      </w:r>
      <w:r>
        <w:instrText xml:space="preserve"> PAGEREF _Toc131586334 \h </w:instrText>
      </w:r>
      <w:r>
        <w:fldChar w:fldCharType="separate"/>
      </w:r>
      <w:r>
        <w:t>44</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_Toc131586335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_Toc131586336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_Toc131586337 \h </w:instrText>
      </w:r>
      <w:r>
        <w:fldChar w:fldCharType="separate"/>
      </w:r>
      <w:r>
        <w:t>45</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Licence or permit continues to have effect pending appeal</w:t>
      </w:r>
      <w:r>
        <w:tab/>
      </w:r>
      <w:r>
        <w:fldChar w:fldCharType="begin"/>
      </w:r>
      <w:r>
        <w:instrText xml:space="preserve"> PAGEREF _Toc131586338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_Toc131586340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_Toc131586343 \h </w:instrText>
      </w:r>
      <w:r>
        <w:fldChar w:fldCharType="separate"/>
      </w:r>
      <w:r>
        <w:t>51</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_Toc131586344 \h </w:instrText>
      </w:r>
      <w:r>
        <w:fldChar w:fldCharType="separate"/>
      </w:r>
      <w:r>
        <w:t>51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_Toc131586345 \h </w:instrText>
      </w:r>
      <w:r>
        <w:fldChar w:fldCharType="separate"/>
      </w:r>
      <w:r>
        <w:t>51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_Toc131586346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_Toc131586347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_Toc131586348 \h </w:instrText>
      </w:r>
      <w:r>
        <w:fldChar w:fldCharType="separate"/>
      </w:r>
      <w:r>
        <w:t>57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_Toc131586349 \h </w:instrText>
      </w:r>
      <w:r>
        <w:fldChar w:fldCharType="separate"/>
      </w:r>
      <w:r>
        <w:t>59</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_Toc131586350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_Toc131586351 \h </w:instrText>
      </w:r>
      <w:r>
        <w:fldChar w:fldCharType="separate"/>
      </w:r>
      <w:r>
        <w:t>60</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_Toc131586352 \h </w:instrText>
      </w:r>
      <w:r>
        <w:fldChar w:fldCharType="separate"/>
      </w:r>
      <w:r>
        <w:t>61</w:t>
      </w:r>
      <w:r>
        <w:fldChar w:fldCharType="end"/>
      </w:r>
    </w:p>
    <w:p>
      <w:pPr>
        <w:pStyle w:val="TOC8"/>
        <w:rPr>
          <w:rFonts w:asciiTheme="minorHAnsi" w:eastAsiaTheme="minorEastAsia" w:hAnsiTheme="minorHAnsi" w:cstheme="minorBidi"/>
          <w:szCs w:val="22"/>
        </w:rPr>
      </w:pPr>
      <w:r>
        <w:t>36B.</w:t>
      </w:r>
      <w:r>
        <w:tab/>
        <w:t>Restrictions on grant or removal of certain licences authorising sale of packaged liquor</w:t>
      </w:r>
      <w:r>
        <w:tab/>
      </w:r>
      <w:r>
        <w:fldChar w:fldCharType="begin"/>
      </w:r>
      <w:r>
        <w:instrText xml:space="preserve"> PAGEREF _Toc131586353 \h </w:instrText>
      </w:r>
      <w:r>
        <w:fldChar w:fldCharType="separate"/>
      </w:r>
      <w:r>
        <w:t>61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_Toc131586354 \h </w:instrText>
      </w:r>
      <w:r>
        <w:fldChar w:fldCharType="separate"/>
      </w:r>
      <w:r>
        <w:t>63</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_Toc131586355 \h </w:instrText>
      </w:r>
      <w:r>
        <w:fldChar w:fldCharType="separate"/>
      </w:r>
      <w:r>
        <w:t>67</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_Toc131586356 \h </w:instrText>
      </w:r>
      <w:r>
        <w:fldChar w:fldCharType="separate"/>
      </w:r>
      <w:r>
        <w:t>67</w:t>
      </w:r>
      <w:r>
        <w:fldChar w:fldCharType="end"/>
      </w:r>
    </w:p>
    <w:p>
      <w:pPr>
        <w:pStyle w:val="TOC8"/>
        <w:rPr>
          <w:rFonts w:asciiTheme="minorHAnsi" w:eastAsiaTheme="minorEastAsia" w:hAnsiTheme="minorHAnsi" w:cstheme="minorBidi"/>
          <w:szCs w:val="22"/>
        </w:rPr>
      </w:pPr>
      <w:r>
        <w:t>37C.</w:t>
      </w:r>
      <w:r>
        <w:tab/>
        <w:t>Register of licensed premises</w:t>
      </w:r>
      <w:r>
        <w:tab/>
      </w:r>
      <w:r>
        <w:fldChar w:fldCharType="begin"/>
      </w:r>
      <w:r>
        <w:instrText xml:space="preserve"> PAGEREF _Toc131586357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_Toc131586359 \h </w:instrText>
      </w:r>
      <w:r>
        <w:fldChar w:fldCharType="separate"/>
      </w:r>
      <w:r>
        <w:t>69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_Toc131586360 \h </w:instrText>
      </w:r>
      <w:r>
        <w:fldChar w:fldCharType="separate"/>
      </w:r>
      <w:r>
        <w:t>71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_Toc131586361 \h </w:instrText>
      </w:r>
      <w:r>
        <w:fldChar w:fldCharType="separate"/>
      </w:r>
      <w:r>
        <w:t>72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_Toc131586362 \h </w:instrText>
      </w:r>
      <w:r>
        <w:fldChar w:fldCharType="separate"/>
      </w:r>
      <w:r>
        <w:t>73</w:t>
      </w:r>
      <w:r>
        <w:fldChar w:fldCharType="end"/>
      </w:r>
    </w:p>
    <w:p>
      <w:pPr>
        <w:pStyle w:val="TOC8"/>
        <w:rPr>
          <w:rFonts w:asciiTheme="minorHAnsi" w:eastAsiaTheme="minorEastAsia" w:hAnsiTheme="minorHAnsi" w:cstheme="minorBidi"/>
          <w:szCs w:val="22"/>
        </w:rPr>
      </w:pPr>
      <w:r>
        <w:t>41A.</w:t>
      </w:r>
      <w:r>
        <w:tab/>
        <w:t>Effect and conditions of small bar licence</w:t>
      </w:r>
      <w:r>
        <w:tab/>
      </w:r>
      <w:r>
        <w:fldChar w:fldCharType="begin"/>
      </w:r>
      <w:r>
        <w:instrText xml:space="preserve"> PAGEREF _Toc131586363 \h </w:instrText>
      </w:r>
      <w:r>
        <w:fldChar w:fldCharType="separate"/>
      </w:r>
      <w:r>
        <w:t>75</w:t>
      </w:r>
      <w:r>
        <w:fldChar w:fldCharType="end"/>
      </w:r>
    </w:p>
    <w:p>
      <w:pPr>
        <w:pStyle w:val="TOC8"/>
        <w:rPr>
          <w:rFonts w:asciiTheme="minorHAnsi" w:eastAsiaTheme="minorEastAsia" w:hAnsiTheme="minorHAnsi" w:cstheme="minorBidi"/>
          <w:szCs w:val="22"/>
        </w:rPr>
      </w:pPr>
      <w:r>
        <w:lastRenderedPageBreak/>
        <w:t>41B.</w:t>
      </w:r>
      <w:r>
        <w:tab/>
        <w:t>Small bar licence may be granted as alternative to tavern restricted licence</w:t>
      </w:r>
      <w:r>
        <w:tab/>
      </w:r>
      <w:r>
        <w:fldChar w:fldCharType="begin"/>
      </w:r>
      <w:r>
        <w:instrText xml:space="preserve"> PAGEREF _Toc131586364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_Toc131586365 \h </w:instrText>
      </w:r>
      <w:r>
        <w:fldChar w:fldCharType="separate"/>
      </w:r>
      <w:r>
        <w:t>77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_Toc131586366 \h </w:instrText>
      </w:r>
      <w:r>
        <w:fldChar w:fldCharType="separate"/>
      </w:r>
      <w:r>
        <w:t>77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_Toc131586367 \h </w:instrText>
      </w:r>
      <w:r>
        <w:fldChar w:fldCharType="separate"/>
      </w:r>
      <w:r>
        <w:t>78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_Toc131586368 \h </w:instrText>
      </w:r>
      <w:r>
        <w:fldChar w:fldCharType="separate"/>
      </w:r>
      <w:r>
        <w:t>79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_Toc131586369 \h </w:instrText>
      </w:r>
      <w:r>
        <w:fldChar w:fldCharType="separate"/>
      </w:r>
      <w:r>
        <w:t>80</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_Toc131586370 \h </w:instrText>
      </w:r>
      <w:r>
        <w:fldChar w:fldCharType="separate"/>
      </w:r>
      <w:r>
        <w:t>81</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_Toc131586371 \h </w:instrText>
      </w:r>
      <w:r>
        <w:fldChar w:fldCharType="separate"/>
      </w:r>
      <w:r>
        <w:t>82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_Toc131586372 \h </w:instrText>
      </w:r>
      <w:r>
        <w:fldChar w:fldCharType="separate"/>
      </w:r>
      <w:r>
        <w:t>83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_Toc131586373 \h </w:instrText>
      </w:r>
      <w:r>
        <w:fldChar w:fldCharType="separate"/>
      </w:r>
      <w:r>
        <w:t>84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_Toc131586374 \h </w:instrText>
      </w:r>
      <w:r>
        <w:fldChar w:fldCharType="separate"/>
      </w:r>
      <w:r>
        <w:t>88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_Toc131586375 \h </w:instrText>
      </w:r>
      <w:r>
        <w:fldChar w:fldCharType="separate"/>
      </w:r>
      <w:r>
        <w:t>89</w:t>
      </w:r>
      <w:r>
        <w:fldChar w:fldCharType="end"/>
      </w:r>
    </w:p>
    <w:p>
      <w:pPr>
        <w:pStyle w:val="TOC8"/>
        <w:rPr>
          <w:rFonts w:asciiTheme="minorHAnsi" w:eastAsiaTheme="minorEastAsia" w:hAnsiTheme="minorHAnsi" w:cstheme="minorBidi"/>
          <w:szCs w:val="22"/>
        </w:rPr>
      </w:pPr>
      <w:r>
        <w:t>50A.</w:t>
      </w:r>
      <w:r>
        <w:tab/>
        <w:t>Issue of extended trading permit under s. 60(4)(ca) for certain restaurant licences at time of grant</w:t>
      </w:r>
      <w:r>
        <w:tab/>
      </w:r>
      <w:r>
        <w:fldChar w:fldCharType="begin"/>
      </w:r>
      <w:r>
        <w:instrText xml:space="preserve"> PAGEREF _Toc131586376 \h </w:instrText>
      </w:r>
      <w:r>
        <w:fldChar w:fldCharType="separate"/>
      </w:r>
      <w:r>
        <w:t>90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_Toc131586377 \h </w:instrText>
      </w:r>
      <w:r>
        <w:fldChar w:fldCharType="separate"/>
      </w:r>
      <w:r>
        <w:t>91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_Toc131586378 \h </w:instrText>
      </w:r>
      <w:r>
        <w:fldChar w:fldCharType="separate"/>
      </w:r>
      <w:r>
        <w:t>92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_Toc131586379 \h </w:instrText>
      </w:r>
      <w:r>
        <w:fldChar w:fldCharType="separate"/>
      </w:r>
      <w:r>
        <w:t>93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_Toc131586380 \h </w:instrText>
      </w:r>
      <w:r>
        <w:fldChar w:fldCharType="separate"/>
      </w:r>
      <w:r>
        <w:t>94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_Toc131586381 \h </w:instrText>
      </w:r>
      <w:r>
        <w:fldChar w:fldCharType="separate"/>
      </w:r>
      <w:r>
        <w:t>95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_Toc131586382 \h </w:instrText>
      </w:r>
      <w:r>
        <w:fldChar w:fldCharType="separate"/>
      </w:r>
      <w:r>
        <w:t>96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_Toc131586383 \h </w:instrText>
      </w:r>
      <w:r>
        <w:fldChar w:fldCharType="separate"/>
      </w:r>
      <w:r>
        <w:t>96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_Toc131586384 \h </w:instrText>
      </w:r>
      <w:r>
        <w:fldChar w:fldCharType="separate"/>
      </w:r>
      <w:r>
        <w:t>98</w:t>
      </w:r>
      <w:r>
        <w:fldChar w:fldCharType="end"/>
      </w:r>
    </w:p>
    <w:p>
      <w:pPr>
        <w:pStyle w:val="TOC8"/>
        <w:rPr>
          <w:rFonts w:asciiTheme="minorHAnsi" w:eastAsiaTheme="minorEastAsia" w:hAnsiTheme="minorHAnsi" w:cstheme="minorBidi"/>
          <w:szCs w:val="22"/>
        </w:rPr>
      </w:pPr>
      <w:r>
        <w:t>59A.</w:t>
      </w:r>
      <w:r>
        <w:tab/>
        <w:t>Additional authorisations relating to supply and sale of liquor on licensed premises</w:t>
      </w:r>
      <w:r>
        <w:tab/>
      </w:r>
      <w:r>
        <w:fldChar w:fldCharType="begin"/>
      </w:r>
      <w:r>
        <w:instrText xml:space="preserve"> PAGEREF _Toc131586385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_Toc131586387 \h </w:instrText>
      </w:r>
      <w:r>
        <w:fldChar w:fldCharType="separate"/>
      </w:r>
      <w:r>
        <w:t>102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_Toc131586388 \h </w:instrText>
      </w:r>
      <w:r>
        <w:fldChar w:fldCharType="separate"/>
      </w:r>
      <w:r>
        <w:t>107</w:t>
      </w:r>
      <w:r>
        <w:fldChar w:fldCharType="end"/>
      </w:r>
    </w:p>
    <w:p>
      <w:pPr>
        <w:pStyle w:val="TOC8"/>
        <w:rPr>
          <w:rFonts w:asciiTheme="minorHAnsi" w:eastAsiaTheme="minorEastAsia" w:hAnsiTheme="minorHAnsi" w:cstheme="minorBidi"/>
          <w:szCs w:val="22"/>
        </w:rPr>
      </w:pPr>
      <w:r>
        <w:t>61A.</w:t>
      </w:r>
      <w:r>
        <w:tab/>
        <w:t>Extended trading permit for sale of liquor (s. 60(4)(ia))</w:t>
      </w:r>
      <w:r>
        <w:tab/>
      </w:r>
      <w:r>
        <w:fldChar w:fldCharType="begin"/>
      </w:r>
      <w:r>
        <w:instrText xml:space="preserve"> PAGEREF _Toc131586389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_Toc131586391 \h </w:instrText>
      </w:r>
      <w:r>
        <w:fldChar w:fldCharType="separate"/>
      </w:r>
      <w:r>
        <w:t>109</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_Toc131586392 \h </w:instrText>
      </w:r>
      <w:r>
        <w:fldChar w:fldCharType="separate"/>
      </w:r>
      <w:r>
        <w:t>112</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_Toc131586393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_Toc131586395 \h </w:instrText>
      </w:r>
      <w:r>
        <w:fldChar w:fldCharType="separate"/>
      </w:r>
      <w:r>
        <w:t>114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_Toc131586396 \h </w:instrText>
      </w:r>
      <w:r>
        <w:fldChar w:fldCharType="separate"/>
      </w:r>
      <w:r>
        <w:t>115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r>
      <w:r>
        <w:t>Conditions relating to sale and delivery of packaged liquor or liquor for consumption off licensed premises</w:t>
      </w:r>
      <w:r>
        <w:tab/>
      </w:r>
      <w:r>
        <w:fldChar w:fldCharType="begin"/>
      </w:r>
      <w:r>
        <w:instrText xml:space="preserve"> PAGEREF _Toc131586397 \h </w:instrText>
      </w:r>
      <w:r>
        <w:fldChar w:fldCharType="separate"/>
      </w:r>
      <w:r>
        <w:t>120</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_Toc131586398 \h </w:instrText>
      </w:r>
      <w:r>
        <w:fldChar w:fldCharType="separate"/>
      </w:r>
      <w:r>
        <w:t>121</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_Toc131586399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_Toc131586401 \h </w:instrText>
      </w:r>
      <w:r>
        <w:fldChar w:fldCharType="separate"/>
      </w:r>
      <w:r>
        <w:t>122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_Toc131586402 \h </w:instrText>
      </w:r>
      <w:r>
        <w:fldChar w:fldCharType="separate"/>
      </w:r>
      <w:r>
        <w:t>123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_Toc131586403 \h </w:instrText>
      </w:r>
      <w:r>
        <w:fldChar w:fldCharType="separate"/>
      </w:r>
      <w:r>
        <w:t>124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_Toc131586404 \h </w:instrText>
      </w:r>
      <w:r>
        <w:fldChar w:fldCharType="separate"/>
      </w:r>
      <w:r>
        <w:t>125</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_Toc131586405 \h </w:instrText>
      </w:r>
      <w:r>
        <w:fldChar w:fldCharType="separate"/>
      </w:r>
      <w:r>
        <w:t>130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_Toc131586406 \h </w:instrText>
      </w:r>
      <w:r>
        <w:fldChar w:fldCharType="separate"/>
      </w:r>
      <w:r>
        <w:t>131</w:t>
      </w:r>
      <w:r>
        <w:fldChar w:fldCharType="end"/>
      </w:r>
    </w:p>
    <w:p>
      <w:pPr>
        <w:pStyle w:val="TOC8"/>
        <w:rPr>
          <w:rFonts w:asciiTheme="minorHAnsi" w:eastAsiaTheme="minorEastAsia" w:hAnsiTheme="minorHAnsi" w:cstheme="minorBidi"/>
          <w:szCs w:val="22"/>
        </w:rPr>
      </w:pPr>
      <w:r>
        <w:t>72A.</w:t>
      </w:r>
      <w:r>
        <w:tab/>
        <w:t>Submissions generally</w:t>
      </w:r>
      <w:r>
        <w:tab/>
      </w:r>
      <w:r>
        <w:fldChar w:fldCharType="begin"/>
      </w:r>
      <w:r>
        <w:instrText xml:space="preserve"> PAGEREF _Toc131586407 \h </w:instrText>
      </w:r>
      <w:r>
        <w:fldChar w:fldCharType="separate"/>
      </w:r>
      <w:r>
        <w:t>132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_Toc131586408 \h </w:instrText>
      </w:r>
      <w:r>
        <w:fldChar w:fldCharType="separate"/>
      </w:r>
      <w:r>
        <w:t>132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_Toc131586409 \h </w:instrText>
      </w:r>
      <w:r>
        <w:fldChar w:fldCharType="separate"/>
      </w:r>
      <w:r>
        <w:t>134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_Toc131586410 \h </w:instrText>
      </w:r>
      <w:r>
        <w:fldChar w:fldCharType="separate"/>
      </w:r>
      <w:r>
        <w:t>136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_Toc131586411 \h </w:instrText>
      </w:r>
      <w:r>
        <w:fldChar w:fldCharType="separate"/>
      </w:r>
      <w:r>
        <w:t>137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_Toc131586412 \h </w:instrText>
      </w:r>
      <w:r>
        <w:fldChar w:fldCharType="separate"/>
      </w:r>
      <w:r>
        <w:t>138</w:t>
      </w:r>
      <w:r>
        <w:fldChar w:fldCharType="end"/>
      </w:r>
    </w:p>
    <w:p>
      <w:pPr>
        <w:pStyle w:val="TOC8"/>
        <w:rPr>
          <w:rFonts w:asciiTheme="minorHAnsi" w:eastAsiaTheme="minorEastAsia" w:hAnsiTheme="minorHAnsi" w:cstheme="minorBidi"/>
          <w:szCs w:val="22"/>
        </w:rPr>
      </w:pPr>
      <w:r>
        <w:lastRenderedPageBreak/>
        <w:t>77A.</w:t>
      </w:r>
      <w:r>
        <w:tab/>
        <w:t>Restrictions on alteration or redefinition of certain packaged liquor premises</w:t>
      </w:r>
      <w:r>
        <w:tab/>
      </w:r>
      <w:r>
        <w:fldChar w:fldCharType="begin"/>
      </w:r>
      <w:r>
        <w:instrText xml:space="preserve"> PAGEREF _Toc131586413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_Toc131586415 \h </w:instrText>
      </w:r>
      <w:r>
        <w:fldChar w:fldCharType="separate"/>
      </w:r>
      <w:r>
        <w:t>141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_Toc131586416 \h </w:instrText>
      </w:r>
      <w:r>
        <w:fldChar w:fldCharType="separate"/>
      </w:r>
      <w:r>
        <w:t>142</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_Toc131586417 \h </w:instrText>
      </w:r>
      <w:r>
        <w:fldChar w:fldCharType="separate"/>
      </w:r>
      <w:r>
        <w:t>142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_Toc131586418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_Toc131586420 \h </w:instrText>
      </w:r>
      <w:r>
        <w:fldChar w:fldCharType="separate"/>
      </w:r>
      <w:r>
        <w:t>144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_Toc131586421 \h </w:instrText>
      </w:r>
      <w:r>
        <w:fldChar w:fldCharType="separate"/>
      </w:r>
      <w:r>
        <w:t>145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_Toc131586422 \h </w:instrText>
      </w:r>
      <w:r>
        <w:fldChar w:fldCharType="separate"/>
      </w:r>
      <w:r>
        <w:t>145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_Toc131586423 \h </w:instrText>
      </w:r>
      <w:r>
        <w:fldChar w:fldCharType="separate"/>
      </w:r>
      <w:r>
        <w:t>146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_Toc131586424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_Toc131586426 \h </w:instrText>
      </w:r>
      <w:r>
        <w:fldChar w:fldCharType="separate"/>
      </w:r>
      <w:r>
        <w:t>149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_Toc131586427 \h </w:instrText>
      </w:r>
      <w:r>
        <w:fldChar w:fldCharType="separate"/>
      </w:r>
      <w:r>
        <w:t>152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_Toc131586428 \h </w:instrText>
      </w:r>
      <w:r>
        <w:fldChar w:fldCharType="separate"/>
      </w:r>
      <w:r>
        <w:t>155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_Toc131586429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_Toc131586431 \h </w:instrText>
      </w:r>
      <w:r>
        <w:fldChar w:fldCharType="separate"/>
      </w:r>
      <w:r>
        <w:t>156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_Toc131586432 \h </w:instrText>
      </w:r>
      <w:r>
        <w:fldChar w:fldCharType="separate"/>
      </w:r>
      <w:r>
        <w:t>157</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_Toc131586433 \h </w:instrText>
      </w:r>
      <w:r>
        <w:fldChar w:fldCharType="separate"/>
      </w:r>
      <w:r>
        <w:t>157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_Toc131586434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_Toc131586436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_Toc131586438 \h </w:instrText>
      </w:r>
      <w:r>
        <w:fldChar w:fldCharType="separate"/>
      </w:r>
      <w:r>
        <w:t>160</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_Toc131586439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_Toc131586442 \h </w:instrText>
      </w:r>
      <w:r>
        <w:fldChar w:fldCharType="separate"/>
      </w:r>
      <w:r>
        <w:t>168</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_Toc131586443 \h </w:instrText>
      </w:r>
      <w:r>
        <w:fldChar w:fldCharType="separate"/>
      </w:r>
      <w:r>
        <w:t>168</w:t>
      </w:r>
      <w:r>
        <w:fldChar w:fldCharType="end"/>
      </w:r>
    </w:p>
    <w:p>
      <w:pPr>
        <w:pStyle w:val="TOC8"/>
        <w:rPr>
          <w:rFonts w:asciiTheme="minorHAnsi" w:eastAsiaTheme="minorEastAsia" w:hAnsiTheme="minorHAnsi" w:cstheme="minorBidi"/>
          <w:szCs w:val="22"/>
        </w:rPr>
      </w:pPr>
      <w:r>
        <w:t>98AA.</w:t>
      </w:r>
      <w:r>
        <w:tab/>
        <w:t>Permitted hours under small bar licence</w:t>
      </w:r>
      <w:r>
        <w:tab/>
      </w:r>
      <w:r>
        <w:fldChar w:fldCharType="begin"/>
      </w:r>
      <w:r>
        <w:instrText xml:space="preserve"> PAGEREF _Toc131586444 \h </w:instrText>
      </w:r>
      <w:r>
        <w:fldChar w:fldCharType="separate"/>
      </w:r>
      <w:r>
        <w:t>169</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_Toc131586445 \h </w:instrText>
      </w:r>
      <w:r>
        <w:fldChar w:fldCharType="separate"/>
      </w:r>
      <w:r>
        <w:t>169</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_Toc131586446 \h </w:instrText>
      </w:r>
      <w:r>
        <w:fldChar w:fldCharType="separate"/>
      </w:r>
      <w:r>
        <w:t>170</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_Toc131586447 \h </w:instrText>
      </w:r>
      <w:r>
        <w:fldChar w:fldCharType="separate"/>
      </w:r>
      <w:r>
        <w:t>170</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_Toc131586448 \h </w:instrText>
      </w:r>
      <w:r>
        <w:fldChar w:fldCharType="separate"/>
      </w:r>
      <w:r>
        <w:t>171</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_Toc131586449 \h </w:instrText>
      </w:r>
      <w:r>
        <w:fldChar w:fldCharType="separate"/>
      </w:r>
      <w:r>
        <w:t>171</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_Toc131586450 \h </w:instrText>
      </w:r>
      <w:r>
        <w:fldChar w:fldCharType="separate"/>
      </w:r>
      <w:r>
        <w:t>173</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_Toc131586451 \h </w:instrText>
      </w:r>
      <w:r>
        <w:fldChar w:fldCharType="separate"/>
      </w:r>
      <w:r>
        <w:t>173</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_Toc131586452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_Toc131586454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_Toc131586457 \h </w:instrText>
      </w:r>
      <w:r>
        <w:fldChar w:fldCharType="separate"/>
      </w:r>
      <w:r>
        <w:t>175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_Toc131586458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_Toc131586460 \h </w:instrText>
      </w:r>
      <w:r>
        <w:fldChar w:fldCharType="separate"/>
      </w:r>
      <w:r>
        <w:t>179</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_Toc131586461 \h </w:instrText>
      </w:r>
      <w:r>
        <w:fldChar w:fldCharType="separate"/>
      </w:r>
      <w:r>
        <w:t>179</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_Toc131586462 \h </w:instrText>
      </w:r>
      <w:r>
        <w:fldChar w:fldCharType="separate"/>
      </w:r>
      <w:r>
        <w:t>180</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_Toc131586463 \h </w:instrText>
      </w:r>
      <w:r>
        <w:fldChar w:fldCharType="separate"/>
      </w:r>
      <w:r>
        <w:t>180</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_Toc131586464 \h </w:instrText>
      </w:r>
      <w:r>
        <w:fldChar w:fldCharType="separate"/>
      </w:r>
      <w:r>
        <w:t>180</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_Toc131586465 \h </w:instrText>
      </w:r>
      <w:r>
        <w:fldChar w:fldCharType="separate"/>
      </w:r>
      <w:r>
        <w:t>181</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_Toc131586466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_Toc131586468 \h </w:instrText>
      </w:r>
      <w:r>
        <w:fldChar w:fldCharType="separate"/>
      </w:r>
      <w:r>
        <w:t>182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_Toc131586469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_Toc131586471 \h </w:instrText>
      </w:r>
      <w:r>
        <w:fldChar w:fldCharType="separate"/>
      </w:r>
      <w:r>
        <w:t>183</w:t>
      </w:r>
      <w:r>
        <w:fldChar w:fldCharType="end"/>
      </w:r>
    </w:p>
    <w:p>
      <w:pPr>
        <w:pStyle w:val="TOC8"/>
        <w:rPr>
          <w:rFonts w:asciiTheme="minorHAnsi" w:eastAsiaTheme="minorEastAsia" w:hAnsiTheme="minorHAnsi" w:cstheme="minorBidi"/>
          <w:szCs w:val="22"/>
        </w:rPr>
      </w:pPr>
      <w:r>
        <w:lastRenderedPageBreak/>
        <w:t>103A.</w:t>
      </w:r>
      <w:r>
        <w:tab/>
        <w:t>Regulations about training people in responsible practices</w:t>
      </w:r>
      <w:r>
        <w:tab/>
      </w:r>
      <w:r>
        <w:fldChar w:fldCharType="begin"/>
      </w:r>
      <w:r>
        <w:instrText xml:space="preserve"> PAGEREF _Toc131586472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_Toc131586474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_Toc131586476 \h </w:instrText>
      </w:r>
      <w:r>
        <w:fldChar w:fldCharType="separate"/>
      </w:r>
      <w:r>
        <w:t>187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_Toc131586477 \h </w:instrText>
      </w:r>
      <w:r>
        <w:fldChar w:fldCharType="separate"/>
      </w:r>
      <w:r>
        <w:t>187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_Toc131586478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_Toc131586480 \h </w:instrText>
      </w:r>
      <w:r>
        <w:fldChar w:fldCharType="separate"/>
      </w:r>
      <w:r>
        <w:t>189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_Toc131586481 \h </w:instrText>
      </w:r>
      <w:r>
        <w:fldChar w:fldCharType="separate"/>
      </w:r>
      <w:r>
        <w:t>190</w:t>
      </w:r>
      <w:r>
        <w:fldChar w:fldCharType="end"/>
      </w:r>
    </w:p>
    <w:p>
      <w:pPr>
        <w:pStyle w:val="TOC8"/>
        <w:rPr>
          <w:rFonts w:asciiTheme="minorHAnsi" w:eastAsiaTheme="minorEastAsia" w:hAnsiTheme="minorHAnsi" w:cstheme="minorBidi"/>
          <w:szCs w:val="22"/>
        </w:rPr>
      </w:pPr>
      <w:r>
        <w:t>109A.</w:t>
      </w:r>
      <w:r>
        <w:tab/>
        <w:t>Offence to carry liquor in excess of prescribed quantity in prescribed area of State</w:t>
      </w:r>
      <w:r>
        <w:tab/>
      </w:r>
      <w:r>
        <w:fldChar w:fldCharType="begin"/>
      </w:r>
      <w:r>
        <w:instrText xml:space="preserve"> PAGEREF _Toc131586482 \h </w:instrText>
      </w:r>
      <w:r>
        <w:fldChar w:fldCharType="separate"/>
      </w:r>
      <w:r>
        <w:t>192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_Toc131586483 \h </w:instrText>
      </w:r>
      <w:r>
        <w:fldChar w:fldCharType="separate"/>
      </w:r>
      <w:r>
        <w:t>193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_Toc131586484 \h </w:instrText>
      </w:r>
      <w:r>
        <w:fldChar w:fldCharType="separate"/>
      </w:r>
      <w:r>
        <w:t>196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_Toc131586485 \h </w:instrText>
      </w:r>
      <w:r>
        <w:fldChar w:fldCharType="separate"/>
      </w:r>
      <w:r>
        <w:t>198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_Toc131586486 \h </w:instrText>
      </w:r>
      <w:r>
        <w:fldChar w:fldCharType="separate"/>
      </w:r>
      <w:r>
        <w:t>199</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_Toc131586487 \h </w:instrText>
      </w:r>
      <w:r>
        <w:fldChar w:fldCharType="separate"/>
      </w:r>
      <w:r>
        <w:t>199</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_Toc131586488 \h </w:instrText>
      </w:r>
      <w:r>
        <w:fldChar w:fldCharType="separate"/>
      </w:r>
      <w:r>
        <w:t>200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_Toc131586489 \h </w:instrText>
      </w:r>
      <w:r>
        <w:fldChar w:fldCharType="separate"/>
      </w:r>
      <w:r>
        <w:t>201</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_Toc131586490 \h </w:instrText>
      </w:r>
      <w:r>
        <w:fldChar w:fldCharType="separate"/>
      </w:r>
      <w:r>
        <w:t>205</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_Toc131586491 \h </w:instrText>
      </w:r>
      <w:r>
        <w:fldChar w:fldCharType="separate"/>
      </w:r>
      <w:r>
        <w:t>207</w:t>
      </w:r>
      <w:r>
        <w:fldChar w:fldCharType="end"/>
      </w:r>
    </w:p>
    <w:p>
      <w:pPr>
        <w:pStyle w:val="TOC8"/>
        <w:rPr>
          <w:rFonts w:asciiTheme="minorHAnsi" w:eastAsiaTheme="minorEastAsia" w:hAnsiTheme="minorHAnsi" w:cstheme="minorBidi"/>
          <w:szCs w:val="22"/>
        </w:rPr>
      </w:pPr>
      <w:r>
        <w:t>115AC.</w:t>
      </w:r>
      <w:r>
        <w:tab/>
        <w:t>Publication and disclosure of details of people banned under s. 115AA</w:t>
      </w:r>
      <w:r>
        <w:tab/>
      </w:r>
      <w:r>
        <w:fldChar w:fldCharType="begin"/>
      </w:r>
      <w:r>
        <w:instrText xml:space="preserve"> PAGEREF _Toc131586492 \h </w:instrText>
      </w:r>
      <w:r>
        <w:fldChar w:fldCharType="separate"/>
      </w:r>
      <w:r>
        <w:t>207</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_Toc131586493 \h </w:instrText>
      </w:r>
      <w:r>
        <w:fldChar w:fldCharType="separate"/>
      </w:r>
      <w:r>
        <w:t>210</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_Toc131586494 \h </w:instrText>
      </w:r>
      <w:r>
        <w:fldChar w:fldCharType="separate"/>
      </w:r>
      <w:r>
        <w:t>211</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_Toc131586495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116</w:t>
      </w:r>
      <w:r>
        <w:rPr>
          <w:snapToGrid w:val="0"/>
        </w:rPr>
        <w:t>.</w:t>
      </w:r>
      <w:r>
        <w:rPr>
          <w:snapToGrid w:val="0"/>
        </w:rPr>
        <w:tab/>
        <w:t>Documents to be displayed etc. at premises and produced</w:t>
      </w:r>
      <w:r>
        <w:tab/>
      </w:r>
      <w:r>
        <w:fldChar w:fldCharType="begin"/>
      </w:r>
      <w:r>
        <w:instrText xml:space="preserve"> PAGEREF _Toc131586496 \h </w:instrText>
      </w:r>
      <w:r>
        <w:fldChar w:fldCharType="separate"/>
      </w:r>
      <w:r>
        <w:t>212</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_Toc131586497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_Toc131586499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_Toc131586501 \h </w:instrText>
      </w:r>
      <w:r>
        <w:fldChar w:fldCharType="separate"/>
      </w:r>
      <w:r>
        <w:t>219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_Toc131586502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_Toc131586504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_Toc131586506 \h </w:instrText>
      </w:r>
      <w:r>
        <w:fldChar w:fldCharType="separate"/>
      </w:r>
      <w:r>
        <w:t>224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_Toc131586507 \h </w:instrText>
      </w:r>
      <w:r>
        <w:fldChar w:fldCharType="separate"/>
      </w:r>
      <w:r>
        <w:t>226</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_Toc131586508 \h </w:instrText>
      </w:r>
      <w:r>
        <w:fldChar w:fldCharType="separate"/>
      </w:r>
      <w:r>
        <w:t>230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_Toc131586509 \h </w:instrText>
      </w:r>
      <w:r>
        <w:fldChar w:fldCharType="separate"/>
      </w:r>
      <w:r>
        <w:t>231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_Toc131586510 \h </w:instrText>
      </w:r>
      <w:r>
        <w:fldChar w:fldCharType="separate"/>
      </w:r>
      <w:r>
        <w:t>233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_Toc131586511 \h </w:instrText>
      </w:r>
      <w:r>
        <w:fldChar w:fldCharType="separate"/>
      </w:r>
      <w:r>
        <w:t>234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_Toc131586512 \h </w:instrText>
      </w:r>
      <w:r>
        <w:fldChar w:fldCharType="separate"/>
      </w:r>
      <w:r>
        <w:t>234</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_Toc131586513 \h </w:instrText>
      </w:r>
      <w:r>
        <w:fldChar w:fldCharType="separate"/>
      </w:r>
      <w:r>
        <w:t>235</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_Toc131586514 \h </w:instrText>
      </w:r>
      <w:r>
        <w:fldChar w:fldCharType="separate"/>
      </w:r>
      <w:r>
        <w:t>238</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_Toc131586515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_Toc131586517 \h </w:instrText>
      </w:r>
      <w:r>
        <w:fldChar w:fldCharType="separate"/>
      </w:r>
      <w:r>
        <w:t>239</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_Toc131586518 \h </w:instrText>
      </w:r>
      <w:r>
        <w:fldChar w:fldCharType="separate"/>
      </w:r>
      <w:r>
        <w:t>240</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_Toc131586519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_Toc131586522 \h </w:instrText>
      </w:r>
      <w:r>
        <w:fldChar w:fldCharType="separate"/>
      </w:r>
      <w:r>
        <w:t>243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_Toc131586523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_Toc131586525 \h </w:instrText>
      </w:r>
      <w:r>
        <w:fldChar w:fldCharType="separate"/>
      </w:r>
      <w:r>
        <w:t>244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_Toc131586526 \h </w:instrText>
      </w:r>
      <w:r>
        <w:fldChar w:fldCharType="separate"/>
      </w:r>
      <w:r>
        <w:t>244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_Toc131586527 \h </w:instrText>
      </w:r>
      <w:r>
        <w:fldChar w:fldCharType="separate"/>
      </w:r>
      <w:r>
        <w:t>245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_Toc131586528 \h </w:instrText>
      </w:r>
      <w:r>
        <w:fldChar w:fldCharType="separate"/>
      </w:r>
      <w:r>
        <w:t>245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_Toc131586529 \h </w:instrText>
      </w:r>
      <w:r>
        <w:fldChar w:fldCharType="separate"/>
      </w:r>
      <w:r>
        <w:t>245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_Toc131586530 \h </w:instrText>
      </w:r>
      <w:r>
        <w:fldChar w:fldCharType="separate"/>
      </w:r>
      <w:r>
        <w:t>246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_Toc131586531 \h </w:instrText>
      </w:r>
      <w:r>
        <w:fldChar w:fldCharType="separate"/>
      </w:r>
      <w:r>
        <w:t>246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_Toc131586532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_Toc131586534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_Toc131586536 \h </w:instrText>
      </w:r>
      <w:r>
        <w:fldChar w:fldCharType="separate"/>
      </w:r>
      <w:r>
        <w:t>249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_Toc131586537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_Toc131586539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_Toc131586541 \h </w:instrText>
      </w:r>
      <w:r>
        <w:fldChar w:fldCharType="separate"/>
      </w:r>
      <w:r>
        <w:t>252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_Toc131586542 \h </w:instrText>
      </w:r>
      <w:r>
        <w:fldChar w:fldCharType="separate"/>
      </w:r>
      <w:r>
        <w:t>252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_Toc131586543 \h </w:instrText>
      </w:r>
      <w:r>
        <w:fldChar w:fldCharType="separate"/>
      </w:r>
      <w:r>
        <w:t>252</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_Toc131586544 \h </w:instrText>
      </w:r>
      <w:r>
        <w:fldChar w:fldCharType="separate"/>
      </w:r>
      <w:r>
        <w:t>253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_Toc131586545 \h </w:instrText>
      </w:r>
      <w:r>
        <w:fldChar w:fldCharType="separate"/>
      </w:r>
      <w:r>
        <w:t>253</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_Toc131586547 \h </w:instrText>
      </w:r>
      <w:r>
        <w:fldChar w:fldCharType="separate"/>
      </w:r>
      <w:r>
        <w:t>255</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_Toc131586548 \h </w:instrText>
      </w:r>
      <w:r>
        <w:fldChar w:fldCharType="separate"/>
      </w:r>
      <w:r>
        <w:t>255</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_Toc131586549 \h </w:instrText>
      </w:r>
      <w:r>
        <w:fldChar w:fldCharType="separate"/>
      </w:r>
      <w:r>
        <w:t>256</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_Toc131586550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152E.</w:t>
      </w:r>
      <w:r>
        <w:tab/>
        <w:t>Director may make prohibition orders</w:t>
      </w:r>
      <w:r>
        <w:tab/>
      </w:r>
      <w:r>
        <w:fldChar w:fldCharType="begin"/>
      </w:r>
      <w:r>
        <w:instrText xml:space="preserve"> PAGEREF _Toc131586551 \h </w:instrText>
      </w:r>
      <w:r>
        <w:fldChar w:fldCharType="separate"/>
      </w:r>
      <w:r>
        <w:t>257</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_Toc131586552 \h </w:instrText>
      </w:r>
      <w:r>
        <w:fldChar w:fldCharType="separate"/>
      </w:r>
      <w:r>
        <w:t>258</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_Toc131586553 \h </w:instrText>
      </w:r>
      <w:r>
        <w:fldChar w:fldCharType="separate"/>
      </w:r>
      <w:r>
        <w:t>258</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_Toc131586554 \h </w:instrText>
      </w:r>
      <w:r>
        <w:fldChar w:fldCharType="separate"/>
      </w:r>
      <w:r>
        <w:t>259</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_Toc131586555 \h </w:instrText>
      </w:r>
      <w:r>
        <w:fldChar w:fldCharType="separate"/>
      </w:r>
      <w:r>
        <w:t>259</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_Toc131586556 \h </w:instrText>
      </w:r>
      <w:r>
        <w:fldChar w:fldCharType="separate"/>
      </w:r>
      <w:r>
        <w:t>259</w:t>
      </w:r>
      <w:r>
        <w:fldChar w:fldCharType="end"/>
      </w:r>
    </w:p>
    <w:p>
      <w:pPr>
        <w:pStyle w:val="TOC8"/>
        <w:rPr>
          <w:rFonts w:asciiTheme="minorHAnsi" w:eastAsiaTheme="minorEastAsia" w:hAnsiTheme="minorHAnsi" w:cstheme="minorBidi"/>
          <w:szCs w:val="22"/>
        </w:rPr>
      </w:pPr>
      <w:r>
        <w:t>152K.</w:t>
      </w:r>
      <w:r>
        <w:tab/>
        <w:t>Service, publication and disclosure of prohibition orders</w:t>
      </w:r>
      <w:r>
        <w:tab/>
      </w:r>
      <w:r>
        <w:fldChar w:fldCharType="begin"/>
      </w:r>
      <w:r>
        <w:instrText xml:space="preserve"> PAGEREF _Toc131586557 \h </w:instrText>
      </w:r>
      <w:r>
        <w:fldChar w:fldCharType="separate"/>
      </w:r>
      <w:r>
        <w:t>260</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_Toc131586558 \h </w:instrText>
      </w:r>
      <w:r>
        <w:fldChar w:fldCharType="separate"/>
      </w:r>
      <w:r>
        <w:t>263</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_Toc131586559 \h </w:instrText>
      </w:r>
      <w:r>
        <w:fldChar w:fldCharType="separate"/>
      </w:r>
      <w:r>
        <w:t>263</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_Toc131586560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Part 5AA — Protected entertainment precincts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152NB.</w:t>
      </w:r>
      <w:r>
        <w:tab/>
        <w:t>Object of Part</w:t>
      </w:r>
      <w:r>
        <w:tab/>
      </w:r>
      <w:r>
        <w:fldChar w:fldCharType="begin"/>
      </w:r>
      <w:r>
        <w:instrText xml:space="preserve"> PAGEREF _Toc131586563 \h </w:instrText>
      </w:r>
      <w:r>
        <w:fldChar w:fldCharType="separate"/>
      </w:r>
      <w:r>
        <w:t>265</w:t>
      </w:r>
      <w:r>
        <w:fldChar w:fldCharType="end"/>
      </w:r>
    </w:p>
    <w:p>
      <w:pPr>
        <w:pStyle w:val="TOC8"/>
        <w:rPr>
          <w:rFonts w:asciiTheme="minorHAnsi" w:eastAsiaTheme="minorEastAsia" w:hAnsiTheme="minorHAnsi" w:cstheme="minorBidi"/>
          <w:szCs w:val="22"/>
        </w:rPr>
      </w:pPr>
      <w:r>
        <w:t>152NC.</w:t>
      </w:r>
      <w:r>
        <w:tab/>
        <w:t>Terms used</w:t>
      </w:r>
      <w:r>
        <w:tab/>
      </w:r>
      <w:r>
        <w:fldChar w:fldCharType="begin"/>
      </w:r>
      <w:r>
        <w:instrText xml:space="preserve"> PAGEREF _Toc131586564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2 — Short</w:t>
      </w:r>
      <w:r>
        <w:noBreakHyphen/>
        <w:t>term exclusion orders</w:t>
      </w:r>
    </w:p>
    <w:p>
      <w:pPr>
        <w:pStyle w:val="TOC8"/>
        <w:rPr>
          <w:rFonts w:asciiTheme="minorHAnsi" w:eastAsiaTheme="minorEastAsia" w:hAnsiTheme="minorHAnsi" w:cstheme="minorBidi"/>
          <w:szCs w:val="22"/>
        </w:rPr>
      </w:pPr>
      <w:r>
        <w:t>152ND.</w:t>
      </w:r>
      <w:r>
        <w:tab/>
        <w:t>Member of the Police Force may make short</w:t>
      </w:r>
      <w:r>
        <w:noBreakHyphen/>
        <w:t>term exclusion order</w:t>
      </w:r>
      <w:r>
        <w:tab/>
      </w:r>
      <w:r>
        <w:fldChar w:fldCharType="begin"/>
      </w:r>
      <w:r>
        <w:instrText xml:space="preserve"> PAGEREF _Toc131586566 \h </w:instrText>
      </w:r>
      <w:r>
        <w:fldChar w:fldCharType="separate"/>
      </w:r>
      <w:r>
        <w:t>267</w:t>
      </w:r>
      <w:r>
        <w:fldChar w:fldCharType="end"/>
      </w:r>
    </w:p>
    <w:p>
      <w:pPr>
        <w:pStyle w:val="TOC8"/>
        <w:rPr>
          <w:rFonts w:asciiTheme="minorHAnsi" w:eastAsiaTheme="minorEastAsia" w:hAnsiTheme="minorHAnsi" w:cstheme="minorBidi"/>
          <w:szCs w:val="22"/>
        </w:rPr>
      </w:pPr>
      <w:r>
        <w:t>152NE.</w:t>
      </w:r>
      <w:r>
        <w:tab/>
        <w:t>Provisions in relation to short</w:t>
      </w:r>
      <w:r>
        <w:noBreakHyphen/>
        <w:t>term exclusion orders</w:t>
      </w:r>
      <w:r>
        <w:tab/>
      </w:r>
      <w:r>
        <w:fldChar w:fldCharType="begin"/>
      </w:r>
      <w:r>
        <w:instrText xml:space="preserve"> PAGEREF _Toc131586567 \h </w:instrText>
      </w:r>
      <w:r>
        <w:fldChar w:fldCharType="separate"/>
      </w:r>
      <w:r>
        <w:t>268</w:t>
      </w:r>
      <w:r>
        <w:fldChar w:fldCharType="end"/>
      </w:r>
    </w:p>
    <w:p>
      <w:pPr>
        <w:pStyle w:val="TOC8"/>
        <w:rPr>
          <w:rFonts w:asciiTheme="minorHAnsi" w:eastAsiaTheme="minorEastAsia" w:hAnsiTheme="minorHAnsi" w:cstheme="minorBidi"/>
          <w:szCs w:val="22"/>
        </w:rPr>
      </w:pPr>
      <w:r>
        <w:t>152NF.</w:t>
      </w:r>
      <w:r>
        <w:tab/>
        <w:t>Variation or revocation of short</w:t>
      </w:r>
      <w:r>
        <w:noBreakHyphen/>
        <w:t>term exclusion order</w:t>
      </w:r>
      <w:r>
        <w:tab/>
      </w:r>
      <w:r>
        <w:fldChar w:fldCharType="begin"/>
      </w:r>
      <w:r>
        <w:instrText xml:space="preserve"> PAGEREF _Toc131586568 \h </w:instrText>
      </w:r>
      <w:r>
        <w:fldChar w:fldCharType="separate"/>
      </w:r>
      <w:r>
        <w:t>269</w:t>
      </w:r>
      <w:r>
        <w:fldChar w:fldCharType="end"/>
      </w:r>
    </w:p>
    <w:p>
      <w:pPr>
        <w:pStyle w:val="TOC8"/>
        <w:rPr>
          <w:rFonts w:asciiTheme="minorHAnsi" w:eastAsiaTheme="minorEastAsia" w:hAnsiTheme="minorHAnsi" w:cstheme="minorBidi"/>
          <w:szCs w:val="22"/>
        </w:rPr>
      </w:pPr>
      <w:r>
        <w:t>152NG.</w:t>
      </w:r>
      <w:r>
        <w:tab/>
        <w:t>Automatic revocation of short</w:t>
      </w:r>
      <w:r>
        <w:noBreakHyphen/>
        <w:t>term exclusion order if extended exclusion order comes into effect</w:t>
      </w:r>
      <w:r>
        <w:tab/>
      </w:r>
      <w:r>
        <w:fldChar w:fldCharType="begin"/>
      </w:r>
      <w:r>
        <w:instrText xml:space="preserve"> PAGEREF _Toc131586569 \h </w:instrText>
      </w:r>
      <w:r>
        <w:fldChar w:fldCharType="separate"/>
      </w:r>
      <w:r>
        <w:t>271</w:t>
      </w:r>
      <w:r>
        <w:fldChar w:fldCharType="end"/>
      </w:r>
    </w:p>
    <w:p>
      <w:pPr>
        <w:pStyle w:val="TOC8"/>
        <w:rPr>
          <w:rFonts w:asciiTheme="minorHAnsi" w:eastAsiaTheme="minorEastAsia" w:hAnsiTheme="minorHAnsi" w:cstheme="minorBidi"/>
          <w:szCs w:val="22"/>
        </w:rPr>
      </w:pPr>
      <w:r>
        <w:t>152NH.</w:t>
      </w:r>
      <w:r>
        <w:tab/>
        <w:t>Review of short</w:t>
      </w:r>
      <w:r>
        <w:noBreakHyphen/>
        <w:t>term exclusion order</w:t>
      </w:r>
      <w:r>
        <w:tab/>
      </w:r>
      <w:r>
        <w:fldChar w:fldCharType="begin"/>
      </w:r>
      <w:r>
        <w:instrText xml:space="preserve"> PAGEREF _Toc131586570 \h </w:instrText>
      </w:r>
      <w:r>
        <w:fldChar w:fldCharType="separate"/>
      </w:r>
      <w:r>
        <w:t>271</w:t>
      </w:r>
      <w:r>
        <w:fldChar w:fldCharType="end"/>
      </w:r>
    </w:p>
    <w:p>
      <w:pPr>
        <w:pStyle w:val="TOC8"/>
        <w:rPr>
          <w:rFonts w:asciiTheme="minorHAnsi" w:eastAsiaTheme="minorEastAsia" w:hAnsiTheme="minorHAnsi" w:cstheme="minorBidi"/>
          <w:szCs w:val="22"/>
        </w:rPr>
      </w:pPr>
      <w:r>
        <w:t>152NI.</w:t>
      </w:r>
      <w:r>
        <w:tab/>
        <w:t>Commissioner of Police to issue guidelines</w:t>
      </w:r>
      <w:r>
        <w:tab/>
      </w:r>
      <w:r>
        <w:fldChar w:fldCharType="begin"/>
      </w:r>
      <w:r>
        <w:instrText xml:space="preserve"> PAGEREF _Toc131586571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Division 3 — Extended exclusion orders</w:t>
      </w:r>
    </w:p>
    <w:p>
      <w:pPr>
        <w:pStyle w:val="TOC8"/>
        <w:rPr>
          <w:rFonts w:asciiTheme="minorHAnsi" w:eastAsiaTheme="minorEastAsia" w:hAnsiTheme="minorHAnsi" w:cstheme="minorBidi"/>
          <w:szCs w:val="22"/>
        </w:rPr>
      </w:pPr>
      <w:r>
        <w:t>152NJ.</w:t>
      </w:r>
      <w:r>
        <w:tab/>
        <w:t>Commissioner of Police may apply for extended exclusion order</w:t>
      </w:r>
      <w:r>
        <w:tab/>
      </w:r>
      <w:r>
        <w:fldChar w:fldCharType="begin"/>
      </w:r>
      <w:r>
        <w:instrText xml:space="preserve"> PAGEREF _Toc131586573 \h </w:instrText>
      </w:r>
      <w:r>
        <w:fldChar w:fldCharType="separate"/>
      </w:r>
      <w:r>
        <w:t>274</w:t>
      </w:r>
      <w:r>
        <w:fldChar w:fldCharType="end"/>
      </w:r>
    </w:p>
    <w:p>
      <w:pPr>
        <w:pStyle w:val="TOC8"/>
        <w:rPr>
          <w:rFonts w:asciiTheme="minorHAnsi" w:eastAsiaTheme="minorEastAsia" w:hAnsiTheme="minorHAnsi" w:cstheme="minorBidi"/>
          <w:szCs w:val="22"/>
        </w:rPr>
      </w:pPr>
      <w:r>
        <w:t>152NK.</w:t>
      </w:r>
      <w:r>
        <w:tab/>
        <w:t>Evidence in support of application for extended exclusion order</w:t>
      </w:r>
      <w:r>
        <w:tab/>
      </w:r>
      <w:r>
        <w:fldChar w:fldCharType="begin"/>
      </w:r>
      <w:r>
        <w:instrText xml:space="preserve"> PAGEREF _Toc131586574 \h </w:instrText>
      </w:r>
      <w:r>
        <w:fldChar w:fldCharType="separate"/>
      </w:r>
      <w:r>
        <w:t>274</w:t>
      </w:r>
      <w:r>
        <w:fldChar w:fldCharType="end"/>
      </w:r>
    </w:p>
    <w:p>
      <w:pPr>
        <w:pStyle w:val="TOC8"/>
        <w:rPr>
          <w:rFonts w:asciiTheme="minorHAnsi" w:eastAsiaTheme="minorEastAsia" w:hAnsiTheme="minorHAnsi" w:cstheme="minorBidi"/>
          <w:szCs w:val="22"/>
        </w:rPr>
      </w:pPr>
      <w:r>
        <w:t>152NL.</w:t>
      </w:r>
      <w:r>
        <w:tab/>
        <w:t>Notice of application for extended exclusion order must be served on subject person</w:t>
      </w:r>
      <w:r>
        <w:tab/>
      </w:r>
      <w:r>
        <w:fldChar w:fldCharType="begin"/>
      </w:r>
      <w:r>
        <w:instrText xml:space="preserve"> PAGEREF _Toc131586575 \h </w:instrText>
      </w:r>
      <w:r>
        <w:fldChar w:fldCharType="separate"/>
      </w:r>
      <w:r>
        <w:t>275</w:t>
      </w:r>
      <w:r>
        <w:fldChar w:fldCharType="end"/>
      </w:r>
    </w:p>
    <w:p>
      <w:pPr>
        <w:pStyle w:val="TOC8"/>
        <w:rPr>
          <w:rFonts w:asciiTheme="minorHAnsi" w:eastAsiaTheme="minorEastAsia" w:hAnsiTheme="minorHAnsi" w:cstheme="minorBidi"/>
          <w:szCs w:val="22"/>
        </w:rPr>
      </w:pPr>
      <w:r>
        <w:t>152NM.</w:t>
      </w:r>
      <w:r>
        <w:tab/>
        <w:t>Director may make extended exclusion order</w:t>
      </w:r>
      <w:r>
        <w:tab/>
      </w:r>
      <w:r>
        <w:fldChar w:fldCharType="begin"/>
      </w:r>
      <w:r>
        <w:instrText xml:space="preserve"> PAGEREF _Toc131586576 \h </w:instrText>
      </w:r>
      <w:r>
        <w:fldChar w:fldCharType="separate"/>
      </w:r>
      <w:r>
        <w:t>276</w:t>
      </w:r>
      <w:r>
        <w:fldChar w:fldCharType="end"/>
      </w:r>
    </w:p>
    <w:p>
      <w:pPr>
        <w:pStyle w:val="TOC8"/>
        <w:rPr>
          <w:rFonts w:asciiTheme="minorHAnsi" w:eastAsiaTheme="minorEastAsia" w:hAnsiTheme="minorHAnsi" w:cstheme="minorBidi"/>
          <w:szCs w:val="22"/>
        </w:rPr>
      </w:pPr>
      <w:r>
        <w:lastRenderedPageBreak/>
        <w:t>152NN.</w:t>
      </w:r>
      <w:r>
        <w:tab/>
        <w:t>Provisions in relation to extended exclusion orders</w:t>
      </w:r>
      <w:r>
        <w:tab/>
      </w:r>
      <w:r>
        <w:fldChar w:fldCharType="begin"/>
      </w:r>
      <w:r>
        <w:instrText xml:space="preserve"> PAGEREF _Toc131586577 \h </w:instrText>
      </w:r>
      <w:r>
        <w:fldChar w:fldCharType="separate"/>
      </w:r>
      <w:r>
        <w:t>278</w:t>
      </w:r>
      <w:r>
        <w:fldChar w:fldCharType="end"/>
      </w:r>
    </w:p>
    <w:p>
      <w:pPr>
        <w:pStyle w:val="TOC8"/>
        <w:rPr>
          <w:rFonts w:asciiTheme="minorHAnsi" w:eastAsiaTheme="minorEastAsia" w:hAnsiTheme="minorHAnsi" w:cstheme="minorBidi"/>
          <w:szCs w:val="22"/>
        </w:rPr>
      </w:pPr>
      <w:r>
        <w:t>152NO.</w:t>
      </w:r>
      <w:r>
        <w:tab/>
        <w:t>Application for variation or revocation of extended exclusion order</w:t>
      </w:r>
      <w:r>
        <w:tab/>
      </w:r>
      <w:r>
        <w:fldChar w:fldCharType="begin"/>
      </w:r>
      <w:r>
        <w:instrText xml:space="preserve"> PAGEREF _Toc131586578 \h </w:instrText>
      </w:r>
      <w:r>
        <w:fldChar w:fldCharType="separate"/>
      </w:r>
      <w:r>
        <w:t>279</w:t>
      </w:r>
      <w:r>
        <w:fldChar w:fldCharType="end"/>
      </w:r>
    </w:p>
    <w:p>
      <w:pPr>
        <w:pStyle w:val="TOC8"/>
        <w:rPr>
          <w:rFonts w:asciiTheme="minorHAnsi" w:eastAsiaTheme="minorEastAsia" w:hAnsiTheme="minorHAnsi" w:cstheme="minorBidi"/>
          <w:szCs w:val="22"/>
        </w:rPr>
      </w:pPr>
      <w:r>
        <w:t>152NP.</w:t>
      </w:r>
      <w:r>
        <w:tab/>
        <w:t>Evidence in support of application for variation or revocation</w:t>
      </w:r>
      <w:r>
        <w:tab/>
      </w:r>
      <w:r>
        <w:fldChar w:fldCharType="begin"/>
      </w:r>
      <w:r>
        <w:instrText xml:space="preserve"> PAGEREF _Toc131586579 \h </w:instrText>
      </w:r>
      <w:r>
        <w:fldChar w:fldCharType="separate"/>
      </w:r>
      <w:r>
        <w:t>279</w:t>
      </w:r>
      <w:r>
        <w:fldChar w:fldCharType="end"/>
      </w:r>
    </w:p>
    <w:p>
      <w:pPr>
        <w:pStyle w:val="TOC8"/>
        <w:rPr>
          <w:rFonts w:asciiTheme="minorHAnsi" w:eastAsiaTheme="minorEastAsia" w:hAnsiTheme="minorHAnsi" w:cstheme="minorBidi"/>
          <w:szCs w:val="22"/>
        </w:rPr>
      </w:pPr>
      <w:r>
        <w:t>152NQ.</w:t>
      </w:r>
      <w:r>
        <w:tab/>
        <w:t>Notice of application for variation or revocation must be given to extended exclusion order respondent</w:t>
      </w:r>
      <w:r>
        <w:tab/>
      </w:r>
      <w:r>
        <w:fldChar w:fldCharType="begin"/>
      </w:r>
      <w:r>
        <w:instrText xml:space="preserve"> PAGEREF _Toc131586580 \h </w:instrText>
      </w:r>
      <w:r>
        <w:fldChar w:fldCharType="separate"/>
      </w:r>
      <w:r>
        <w:t>280</w:t>
      </w:r>
      <w:r>
        <w:fldChar w:fldCharType="end"/>
      </w:r>
    </w:p>
    <w:p>
      <w:pPr>
        <w:pStyle w:val="TOC8"/>
        <w:rPr>
          <w:rFonts w:asciiTheme="minorHAnsi" w:eastAsiaTheme="minorEastAsia" w:hAnsiTheme="minorHAnsi" w:cstheme="minorBidi"/>
          <w:szCs w:val="22"/>
        </w:rPr>
      </w:pPr>
      <w:r>
        <w:t>152NR.</w:t>
      </w:r>
      <w:r>
        <w:tab/>
        <w:t>Director may vary or revoke extended exclusion order on application</w:t>
      </w:r>
      <w:r>
        <w:tab/>
      </w:r>
      <w:r>
        <w:fldChar w:fldCharType="begin"/>
      </w:r>
      <w:r>
        <w:instrText xml:space="preserve"> PAGEREF _Toc131586581 \h </w:instrText>
      </w:r>
      <w:r>
        <w:fldChar w:fldCharType="separate"/>
      </w:r>
      <w:r>
        <w:t>280</w:t>
      </w:r>
      <w:r>
        <w:fldChar w:fldCharType="end"/>
      </w:r>
    </w:p>
    <w:p>
      <w:pPr>
        <w:pStyle w:val="TOC8"/>
        <w:rPr>
          <w:rFonts w:asciiTheme="minorHAnsi" w:eastAsiaTheme="minorEastAsia" w:hAnsiTheme="minorHAnsi" w:cstheme="minorBidi"/>
          <w:szCs w:val="22"/>
        </w:rPr>
      </w:pPr>
      <w:r>
        <w:t>152NS.</w:t>
      </w:r>
      <w:r>
        <w:tab/>
        <w:t>Director may vary or revoke extended exclusion order on own initiative</w:t>
      </w:r>
      <w:r>
        <w:tab/>
      </w:r>
      <w:r>
        <w:fldChar w:fldCharType="begin"/>
      </w:r>
      <w:r>
        <w:instrText xml:space="preserve"> PAGEREF _Toc131586582 \h </w:instrText>
      </w:r>
      <w:r>
        <w:fldChar w:fldCharType="separate"/>
      </w:r>
      <w:r>
        <w:t>281</w:t>
      </w:r>
      <w:r>
        <w:fldChar w:fldCharType="end"/>
      </w:r>
    </w:p>
    <w:p>
      <w:pPr>
        <w:pStyle w:val="TOC8"/>
        <w:rPr>
          <w:rFonts w:asciiTheme="minorHAnsi" w:eastAsiaTheme="minorEastAsia" w:hAnsiTheme="minorHAnsi" w:cstheme="minorBidi"/>
          <w:szCs w:val="22"/>
        </w:rPr>
      </w:pPr>
      <w:r>
        <w:t>152NT.</w:t>
      </w:r>
      <w:r>
        <w:tab/>
        <w:t>Effect of variation or revocation</w:t>
      </w:r>
      <w:r>
        <w:tab/>
      </w:r>
      <w:r>
        <w:fldChar w:fldCharType="begin"/>
      </w:r>
      <w:r>
        <w:instrText xml:space="preserve"> PAGEREF _Toc131586583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 about exclusion orders</w:t>
      </w:r>
    </w:p>
    <w:p>
      <w:pPr>
        <w:pStyle w:val="TOC8"/>
        <w:rPr>
          <w:rFonts w:asciiTheme="minorHAnsi" w:eastAsiaTheme="minorEastAsia" w:hAnsiTheme="minorHAnsi" w:cstheme="minorBidi"/>
          <w:szCs w:val="22"/>
        </w:rPr>
      </w:pPr>
      <w:r>
        <w:t>152NU.</w:t>
      </w:r>
      <w:r>
        <w:tab/>
        <w:t>Effect of changes to protected entertainment precincts on exclusion orders</w:t>
      </w:r>
      <w:r>
        <w:tab/>
      </w:r>
      <w:r>
        <w:fldChar w:fldCharType="begin"/>
      </w:r>
      <w:r>
        <w:instrText xml:space="preserve"> PAGEREF _Toc131586585 \h </w:instrText>
      </w:r>
      <w:r>
        <w:fldChar w:fldCharType="separate"/>
      </w:r>
      <w:r>
        <w:t>283</w:t>
      </w:r>
      <w:r>
        <w:fldChar w:fldCharType="end"/>
      </w:r>
    </w:p>
    <w:p>
      <w:pPr>
        <w:pStyle w:val="TOC8"/>
        <w:rPr>
          <w:rFonts w:asciiTheme="minorHAnsi" w:eastAsiaTheme="minorEastAsia" w:hAnsiTheme="minorHAnsi" w:cstheme="minorBidi"/>
          <w:szCs w:val="22"/>
        </w:rPr>
      </w:pPr>
      <w:r>
        <w:t>152NV.</w:t>
      </w:r>
      <w:r>
        <w:tab/>
        <w:t>Exclusion order applies at all times unless varied</w:t>
      </w:r>
      <w:r>
        <w:tab/>
      </w:r>
      <w:r>
        <w:fldChar w:fldCharType="begin"/>
      </w:r>
      <w:r>
        <w:instrText xml:space="preserve"> PAGEREF _Toc131586586 \h </w:instrText>
      </w:r>
      <w:r>
        <w:fldChar w:fldCharType="separate"/>
      </w:r>
      <w:r>
        <w:t>284</w:t>
      </w:r>
      <w:r>
        <w:fldChar w:fldCharType="end"/>
      </w:r>
    </w:p>
    <w:p>
      <w:pPr>
        <w:pStyle w:val="TOC8"/>
        <w:rPr>
          <w:rFonts w:asciiTheme="minorHAnsi" w:eastAsiaTheme="minorEastAsia" w:hAnsiTheme="minorHAnsi" w:cstheme="minorBidi"/>
          <w:szCs w:val="22"/>
        </w:rPr>
      </w:pPr>
      <w:r>
        <w:t>152NW.</w:t>
      </w:r>
      <w:r>
        <w:tab/>
        <w:t>Form of exclusion order</w:t>
      </w:r>
      <w:r>
        <w:tab/>
      </w:r>
      <w:r>
        <w:fldChar w:fldCharType="begin"/>
      </w:r>
      <w:r>
        <w:instrText xml:space="preserve"> PAGEREF _Toc131586587 \h </w:instrText>
      </w:r>
      <w:r>
        <w:fldChar w:fldCharType="separate"/>
      </w:r>
      <w:r>
        <w:t>284</w:t>
      </w:r>
      <w:r>
        <w:fldChar w:fldCharType="end"/>
      </w:r>
    </w:p>
    <w:p>
      <w:pPr>
        <w:pStyle w:val="TOC8"/>
        <w:rPr>
          <w:rFonts w:asciiTheme="minorHAnsi" w:eastAsiaTheme="minorEastAsia" w:hAnsiTheme="minorHAnsi" w:cstheme="minorBidi"/>
          <w:szCs w:val="22"/>
        </w:rPr>
      </w:pPr>
      <w:r>
        <w:t>152NX.</w:t>
      </w:r>
      <w:r>
        <w:tab/>
        <w:t>Exclusion order must be served and explained</w:t>
      </w:r>
      <w:r>
        <w:tab/>
      </w:r>
      <w:r>
        <w:fldChar w:fldCharType="begin"/>
      </w:r>
      <w:r>
        <w:instrText xml:space="preserve"> PAGEREF _Toc131586588 \h </w:instrText>
      </w:r>
      <w:r>
        <w:fldChar w:fldCharType="separate"/>
      </w:r>
      <w:r>
        <w:t>284</w:t>
      </w:r>
      <w:r>
        <w:fldChar w:fldCharType="end"/>
      </w:r>
    </w:p>
    <w:p>
      <w:pPr>
        <w:pStyle w:val="TOC8"/>
        <w:rPr>
          <w:rFonts w:asciiTheme="minorHAnsi" w:eastAsiaTheme="minorEastAsia" w:hAnsiTheme="minorHAnsi" w:cstheme="minorBidi"/>
          <w:szCs w:val="22"/>
        </w:rPr>
      </w:pPr>
      <w:r>
        <w:t>152NY.</w:t>
      </w:r>
      <w:r>
        <w:tab/>
        <w:t>Duration of exclusion order</w:t>
      </w:r>
      <w:r>
        <w:tab/>
      </w:r>
      <w:r>
        <w:fldChar w:fldCharType="begin"/>
      </w:r>
      <w:r>
        <w:instrText xml:space="preserve"> PAGEREF _Toc131586589 \h </w:instrText>
      </w:r>
      <w:r>
        <w:fldChar w:fldCharType="separate"/>
      </w:r>
      <w:r>
        <w:t>286</w:t>
      </w:r>
      <w:r>
        <w:fldChar w:fldCharType="end"/>
      </w:r>
    </w:p>
    <w:p>
      <w:pPr>
        <w:pStyle w:val="TOC8"/>
        <w:rPr>
          <w:rFonts w:asciiTheme="minorHAnsi" w:eastAsiaTheme="minorEastAsia" w:hAnsiTheme="minorHAnsi" w:cstheme="minorBidi"/>
          <w:szCs w:val="22"/>
        </w:rPr>
      </w:pPr>
      <w:r>
        <w:t>152NZ.</w:t>
      </w:r>
      <w:r>
        <w:tab/>
        <w:t>Term of extended exclusion order extended by period in custody</w:t>
      </w:r>
      <w:r>
        <w:tab/>
      </w:r>
      <w:r>
        <w:fldChar w:fldCharType="begin"/>
      </w:r>
      <w:r>
        <w:instrText xml:space="preserve"> PAGEREF _Toc131586590 \h </w:instrText>
      </w:r>
      <w:r>
        <w:fldChar w:fldCharType="separate"/>
      </w:r>
      <w:r>
        <w:t>286</w:t>
      </w:r>
      <w:r>
        <w:fldChar w:fldCharType="end"/>
      </w:r>
    </w:p>
    <w:p>
      <w:pPr>
        <w:pStyle w:val="TOC8"/>
        <w:rPr>
          <w:rFonts w:asciiTheme="minorHAnsi" w:eastAsiaTheme="minorEastAsia" w:hAnsiTheme="minorHAnsi" w:cstheme="minorBidi"/>
          <w:szCs w:val="22"/>
        </w:rPr>
      </w:pPr>
      <w:r>
        <w:t>152NZA.</w:t>
      </w:r>
      <w:r>
        <w:tab/>
        <w:t>Correcting mistakes in exclusion order</w:t>
      </w:r>
      <w:r>
        <w:tab/>
      </w:r>
      <w:r>
        <w:fldChar w:fldCharType="begin"/>
      </w:r>
      <w:r>
        <w:instrText xml:space="preserve"> PAGEREF _Toc131586591 \h </w:instrText>
      </w:r>
      <w:r>
        <w:fldChar w:fldCharType="separate"/>
      </w:r>
      <w:r>
        <w:t>286</w:t>
      </w:r>
      <w:r>
        <w:fldChar w:fldCharType="end"/>
      </w:r>
    </w:p>
    <w:p>
      <w:pPr>
        <w:pStyle w:val="TOC8"/>
        <w:rPr>
          <w:rFonts w:asciiTheme="minorHAnsi" w:eastAsiaTheme="minorEastAsia" w:hAnsiTheme="minorHAnsi" w:cstheme="minorBidi"/>
          <w:szCs w:val="22"/>
        </w:rPr>
      </w:pPr>
      <w:r>
        <w:t>152NZB.</w:t>
      </w:r>
      <w:r>
        <w:tab/>
        <w:t>Reasons for decisions and notice of right of review</w:t>
      </w:r>
      <w:r>
        <w:tab/>
      </w:r>
      <w:r>
        <w:fldChar w:fldCharType="begin"/>
      </w:r>
      <w:r>
        <w:instrText xml:space="preserve"> PAGEREF _Toc131586592 \h </w:instrText>
      </w:r>
      <w:r>
        <w:fldChar w:fldCharType="separate"/>
      </w:r>
      <w:r>
        <w:t>287</w:t>
      </w:r>
      <w:r>
        <w:fldChar w:fldCharType="end"/>
      </w:r>
    </w:p>
    <w:p>
      <w:pPr>
        <w:pStyle w:val="TOC8"/>
        <w:rPr>
          <w:rFonts w:asciiTheme="minorHAnsi" w:eastAsiaTheme="minorEastAsia" w:hAnsiTheme="minorHAnsi" w:cstheme="minorBidi"/>
          <w:szCs w:val="22"/>
        </w:rPr>
      </w:pPr>
      <w:r>
        <w:t>152NZC.</w:t>
      </w:r>
      <w:r>
        <w:tab/>
        <w:t>Publication and disclosure of information about exclusion orders</w:t>
      </w:r>
      <w:r>
        <w:tab/>
      </w:r>
      <w:r>
        <w:fldChar w:fldCharType="begin"/>
      </w:r>
      <w:r>
        <w:instrText xml:space="preserve"> PAGEREF _Toc131586593 \h </w:instrText>
      </w:r>
      <w:r>
        <w:fldChar w:fldCharType="separate"/>
      </w:r>
      <w:r>
        <w:t>288</w:t>
      </w:r>
      <w:r>
        <w:fldChar w:fldCharType="end"/>
      </w:r>
    </w:p>
    <w:p>
      <w:pPr>
        <w:pStyle w:val="TOC8"/>
        <w:rPr>
          <w:rFonts w:asciiTheme="minorHAnsi" w:eastAsiaTheme="minorEastAsia" w:hAnsiTheme="minorHAnsi" w:cstheme="minorBidi"/>
          <w:szCs w:val="22"/>
        </w:rPr>
      </w:pPr>
      <w:r>
        <w:t>152NZD.</w:t>
      </w:r>
      <w:r>
        <w:tab/>
        <w:t>Offence of further disclosing information about exclusion orders</w:t>
      </w:r>
      <w:r>
        <w:tab/>
      </w:r>
      <w:r>
        <w:fldChar w:fldCharType="begin"/>
      </w:r>
      <w:r>
        <w:instrText xml:space="preserve"> PAGEREF _Toc131586594 \h </w:instrText>
      </w:r>
      <w:r>
        <w:fldChar w:fldCharType="separate"/>
      </w:r>
      <w:r>
        <w:t>290</w:t>
      </w:r>
      <w:r>
        <w:fldChar w:fldCharType="end"/>
      </w:r>
    </w:p>
    <w:p>
      <w:pPr>
        <w:pStyle w:val="TOC8"/>
        <w:rPr>
          <w:rFonts w:asciiTheme="minorHAnsi" w:eastAsiaTheme="minorEastAsia" w:hAnsiTheme="minorHAnsi" w:cstheme="minorBidi"/>
          <w:szCs w:val="22"/>
        </w:rPr>
      </w:pPr>
      <w:r>
        <w:t>152NZE.</w:t>
      </w:r>
      <w:r>
        <w:tab/>
        <w:t xml:space="preserve">Relationship with </w:t>
      </w:r>
      <w:r>
        <w:rPr>
          <w:i/>
        </w:rPr>
        <w:t>Criminal Organisations Control Act 2012</w:t>
      </w:r>
      <w:r>
        <w:tab/>
      </w:r>
      <w:r>
        <w:fldChar w:fldCharType="begin"/>
      </w:r>
      <w:r>
        <w:instrText xml:space="preserve"> PAGEREF _Toc131586595 \h </w:instrText>
      </w:r>
      <w:r>
        <w:fldChar w:fldCharType="separate"/>
      </w:r>
      <w:r>
        <w:t>291</w:t>
      </w:r>
      <w:r>
        <w:fldChar w:fldCharType="end"/>
      </w:r>
    </w:p>
    <w:p>
      <w:pPr>
        <w:pStyle w:val="TOC8"/>
        <w:rPr>
          <w:rFonts w:asciiTheme="minorHAnsi" w:eastAsiaTheme="minorEastAsia" w:hAnsiTheme="minorHAnsi" w:cstheme="minorBidi"/>
          <w:szCs w:val="22"/>
        </w:rPr>
      </w:pPr>
      <w:r>
        <w:t>152NZF.</w:t>
      </w:r>
      <w:r>
        <w:tab/>
        <w:t>Orders not affected by other orders under Act</w:t>
      </w:r>
      <w:r>
        <w:tab/>
      </w:r>
      <w:r>
        <w:fldChar w:fldCharType="begin"/>
      </w:r>
      <w:r>
        <w:instrText xml:space="preserve"> PAGEREF _Toc131586596 \h </w:instrText>
      </w:r>
      <w:r>
        <w:fldChar w:fldCharType="separate"/>
      </w:r>
      <w:r>
        <w:t>291</w:t>
      </w:r>
      <w:r>
        <w:fldChar w:fldCharType="end"/>
      </w:r>
    </w:p>
    <w:p>
      <w:pPr>
        <w:pStyle w:val="TOC8"/>
        <w:rPr>
          <w:rFonts w:asciiTheme="minorHAnsi" w:eastAsiaTheme="minorEastAsia" w:hAnsiTheme="minorHAnsi" w:cstheme="minorBidi"/>
          <w:szCs w:val="22"/>
        </w:rPr>
      </w:pPr>
      <w:r>
        <w:t>152NZG.</w:t>
      </w:r>
      <w:r>
        <w:tab/>
        <w:t>Delegation by Commissioner of Police</w:t>
      </w:r>
      <w:r>
        <w:tab/>
      </w:r>
      <w:r>
        <w:fldChar w:fldCharType="begin"/>
      </w:r>
      <w:r>
        <w:instrText xml:space="preserve"> PAGEREF _Toc131586597 \h </w:instrText>
      </w:r>
      <w:r>
        <w:fldChar w:fldCharType="separate"/>
      </w:r>
      <w:r>
        <w:t>291</w:t>
      </w:r>
      <w:r>
        <w:fldChar w:fldCharType="end"/>
      </w:r>
    </w:p>
    <w:p>
      <w:pPr>
        <w:pStyle w:val="TOC8"/>
        <w:rPr>
          <w:rFonts w:asciiTheme="minorHAnsi" w:eastAsiaTheme="minorEastAsia" w:hAnsiTheme="minorHAnsi" w:cstheme="minorBidi"/>
          <w:szCs w:val="22"/>
        </w:rPr>
      </w:pPr>
      <w:r>
        <w:t>152NZH.</w:t>
      </w:r>
      <w:r>
        <w:tab/>
        <w:t>Decisions of Commission on review</w:t>
      </w:r>
      <w:r>
        <w:tab/>
      </w:r>
      <w:r>
        <w:fldChar w:fldCharType="begin"/>
      </w:r>
      <w:r>
        <w:instrText xml:space="preserve"> PAGEREF _Toc131586598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5 — Offences</w:t>
      </w:r>
    </w:p>
    <w:p>
      <w:pPr>
        <w:pStyle w:val="TOC8"/>
        <w:rPr>
          <w:rFonts w:asciiTheme="minorHAnsi" w:eastAsiaTheme="minorEastAsia" w:hAnsiTheme="minorHAnsi" w:cstheme="minorBidi"/>
          <w:szCs w:val="22"/>
        </w:rPr>
      </w:pPr>
      <w:r>
        <w:t>152NZI.</w:t>
      </w:r>
      <w:r>
        <w:tab/>
        <w:t>Offence of failing to comply with exclusion order</w:t>
      </w:r>
      <w:r>
        <w:tab/>
      </w:r>
      <w:r>
        <w:fldChar w:fldCharType="begin"/>
      </w:r>
      <w:r>
        <w:instrText xml:space="preserve"> PAGEREF _Toc131586600 \h </w:instrText>
      </w:r>
      <w:r>
        <w:fldChar w:fldCharType="separate"/>
      </w:r>
      <w:r>
        <w:t>294</w:t>
      </w:r>
      <w:r>
        <w:fldChar w:fldCharType="end"/>
      </w:r>
    </w:p>
    <w:p>
      <w:pPr>
        <w:pStyle w:val="TOC8"/>
        <w:rPr>
          <w:rFonts w:asciiTheme="minorHAnsi" w:eastAsiaTheme="minorEastAsia" w:hAnsiTheme="minorHAnsi" w:cstheme="minorBidi"/>
          <w:szCs w:val="22"/>
        </w:rPr>
      </w:pPr>
      <w:r>
        <w:t>152NZJ.</w:t>
      </w:r>
      <w:r>
        <w:tab/>
      </w:r>
      <w:r>
        <w:tab/>
        <w:t>Excluded offender must not enter or remain in protected entertainment precinct</w:t>
      </w:r>
      <w:r>
        <w:tab/>
      </w:r>
      <w:r>
        <w:fldChar w:fldCharType="begin"/>
      </w:r>
      <w:r>
        <w:instrText xml:space="preserve"> PAGEREF _Toc131586601 \h </w:instrText>
      </w:r>
      <w:r>
        <w:fldChar w:fldCharType="separate"/>
      </w:r>
      <w:r>
        <w:t>295</w:t>
      </w:r>
      <w:r>
        <w:fldChar w:fldCharType="end"/>
      </w:r>
    </w:p>
    <w:p>
      <w:pPr>
        <w:pStyle w:val="TOC8"/>
        <w:rPr>
          <w:rFonts w:asciiTheme="minorHAnsi" w:eastAsiaTheme="minorEastAsia" w:hAnsiTheme="minorHAnsi" w:cstheme="minorBidi"/>
          <w:szCs w:val="22"/>
        </w:rPr>
      </w:pPr>
      <w:r>
        <w:t>152NZK.</w:t>
      </w:r>
      <w:r>
        <w:tab/>
        <w:t>Defences for s. 152NZI and 152NZJ</w:t>
      </w:r>
      <w:r>
        <w:tab/>
      </w:r>
      <w:r>
        <w:fldChar w:fldCharType="begin"/>
      </w:r>
      <w:r>
        <w:instrText xml:space="preserve"> PAGEREF _Toc131586602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152NZL.</w:t>
      </w:r>
      <w:r>
        <w:tab/>
        <w:t>Permitting person subject to exclusion order or excluded offender to enter premises</w:t>
      </w:r>
      <w:r>
        <w:tab/>
      </w:r>
      <w:r>
        <w:fldChar w:fldCharType="begin"/>
      </w:r>
      <w:r>
        <w:instrText xml:space="preserve"> PAGEREF _Toc131586603 \h </w:instrText>
      </w:r>
      <w:r>
        <w:fldChar w:fldCharType="separate"/>
      </w:r>
      <w:r>
        <w:t>300</w:t>
      </w:r>
      <w:r>
        <w:fldChar w:fldCharType="end"/>
      </w:r>
    </w:p>
    <w:p>
      <w:pPr>
        <w:pStyle w:val="TOC8"/>
        <w:rPr>
          <w:rFonts w:asciiTheme="minorHAnsi" w:eastAsiaTheme="minorEastAsia" w:hAnsiTheme="minorHAnsi" w:cstheme="minorBidi"/>
          <w:szCs w:val="22"/>
        </w:rPr>
      </w:pPr>
      <w:r>
        <w:t>152NZM.</w:t>
      </w:r>
      <w:r>
        <w:tab/>
        <w:t>Member of Police Force may require person to give personal details in certain circumstances</w:t>
      </w:r>
      <w:r>
        <w:tab/>
      </w:r>
      <w:r>
        <w:fldChar w:fldCharType="begin"/>
      </w:r>
      <w:r>
        <w:instrText xml:space="preserve"> PAGEREF _Toc131586604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6"/>
        <w:tabs>
          <w:tab w:val="right" w:leader="dot" w:pos="7077"/>
        </w:tabs>
        <w:rPr>
          <w:rFonts w:asciiTheme="minorHAnsi" w:eastAsiaTheme="minorEastAsia" w:hAnsiTheme="minorHAnsi" w:cstheme="minorBidi"/>
          <w:b w:val="0"/>
          <w:sz w:val="22"/>
          <w:szCs w:val="22"/>
        </w:rPr>
      </w:pPr>
      <w:r>
        <w:t>Subdivision 1 — Other notices</w:t>
      </w:r>
    </w:p>
    <w:p>
      <w:pPr>
        <w:pStyle w:val="TOC8"/>
        <w:rPr>
          <w:rFonts w:asciiTheme="minorHAnsi" w:eastAsiaTheme="minorEastAsia" w:hAnsiTheme="minorHAnsi" w:cstheme="minorBidi"/>
          <w:szCs w:val="22"/>
        </w:rPr>
      </w:pPr>
      <w:r>
        <w:t>152NZN.</w:t>
      </w:r>
      <w:r>
        <w:tab/>
        <w:t>Notice must be given to excluded offender</w:t>
      </w:r>
      <w:r>
        <w:tab/>
      </w:r>
      <w:r>
        <w:fldChar w:fldCharType="begin"/>
      </w:r>
      <w:r>
        <w:instrText xml:space="preserve"> PAGEREF _Toc131586607 \h </w:instrText>
      </w:r>
      <w:r>
        <w:fldChar w:fldCharType="separate"/>
      </w:r>
      <w:r>
        <w:t>303</w:t>
      </w:r>
      <w:r>
        <w:fldChar w:fldCharType="end"/>
      </w:r>
    </w:p>
    <w:p>
      <w:pPr>
        <w:pStyle w:val="TOC8"/>
        <w:rPr>
          <w:rFonts w:asciiTheme="minorHAnsi" w:eastAsiaTheme="minorEastAsia" w:hAnsiTheme="minorHAnsi" w:cstheme="minorBidi"/>
          <w:szCs w:val="22"/>
        </w:rPr>
      </w:pPr>
      <w:r>
        <w:t>152NZO.</w:t>
      </w:r>
      <w:r>
        <w:tab/>
        <w:t>Protected entertainment precincts must be advertised and notified</w:t>
      </w:r>
      <w:r>
        <w:tab/>
      </w:r>
      <w:r>
        <w:fldChar w:fldCharType="begin"/>
      </w:r>
      <w:r>
        <w:instrText xml:space="preserve"> PAGEREF _Toc131586608 \h </w:instrText>
      </w:r>
      <w:r>
        <w:fldChar w:fldCharType="separate"/>
      </w:r>
      <w:r>
        <w:t>304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Service of documents</w:t>
      </w:r>
    </w:p>
    <w:p>
      <w:pPr>
        <w:pStyle w:val="TOC8"/>
        <w:rPr>
          <w:rFonts w:asciiTheme="minorHAnsi" w:eastAsiaTheme="minorEastAsia" w:hAnsiTheme="minorHAnsi" w:cstheme="minorBidi"/>
          <w:szCs w:val="22"/>
        </w:rPr>
      </w:pPr>
      <w:r>
        <w:t>152NZP.</w:t>
      </w:r>
      <w:r>
        <w:tab/>
        <w:t>Terms used</w:t>
      </w:r>
      <w:r>
        <w:tab/>
      </w:r>
      <w:r>
        <w:fldChar w:fldCharType="begin"/>
      </w:r>
      <w:r>
        <w:instrText xml:space="preserve"> PAGEREF _Toc131586610 \h </w:instrText>
      </w:r>
      <w:r>
        <w:fldChar w:fldCharType="separate"/>
      </w:r>
      <w:r>
        <w:t>305</w:t>
      </w:r>
      <w:r>
        <w:fldChar w:fldCharType="end"/>
      </w:r>
    </w:p>
    <w:p>
      <w:pPr>
        <w:pStyle w:val="TOC8"/>
        <w:rPr>
          <w:rFonts w:asciiTheme="minorHAnsi" w:eastAsiaTheme="minorEastAsia" w:hAnsiTheme="minorHAnsi" w:cstheme="minorBidi"/>
          <w:szCs w:val="22"/>
        </w:rPr>
      </w:pPr>
      <w:r>
        <w:t>152NZQ.</w:t>
      </w:r>
      <w:r>
        <w:tab/>
        <w:t>Service of exclusion orders and other documents</w:t>
      </w:r>
      <w:r>
        <w:tab/>
      </w:r>
      <w:r>
        <w:fldChar w:fldCharType="begin"/>
      </w:r>
      <w:r>
        <w:instrText xml:space="preserve"> PAGEREF _Toc131586611 \h </w:instrText>
      </w:r>
      <w:r>
        <w:fldChar w:fldCharType="separate"/>
      </w:r>
      <w:r>
        <w:t>306</w:t>
      </w:r>
      <w:r>
        <w:fldChar w:fldCharType="end"/>
      </w:r>
    </w:p>
    <w:p>
      <w:pPr>
        <w:pStyle w:val="TOC8"/>
        <w:rPr>
          <w:rFonts w:asciiTheme="minorHAnsi" w:eastAsiaTheme="minorEastAsia" w:hAnsiTheme="minorHAnsi" w:cstheme="minorBidi"/>
          <w:szCs w:val="22"/>
        </w:rPr>
      </w:pPr>
      <w:r>
        <w:t>152NZR.</w:t>
      </w:r>
      <w:r>
        <w:tab/>
        <w:t>Time when document served</w:t>
      </w:r>
      <w:r>
        <w:tab/>
      </w:r>
      <w:r>
        <w:fldChar w:fldCharType="begin"/>
      </w:r>
      <w:r>
        <w:instrText xml:space="preserve"> PAGEREF _Toc131586612 \h </w:instrText>
      </w:r>
      <w:r>
        <w:fldChar w:fldCharType="separate"/>
      </w:r>
      <w:r>
        <w:t>308</w:t>
      </w:r>
      <w:r>
        <w:fldChar w:fldCharType="end"/>
      </w:r>
    </w:p>
    <w:p>
      <w:pPr>
        <w:pStyle w:val="TOC8"/>
        <w:rPr>
          <w:rFonts w:asciiTheme="minorHAnsi" w:eastAsiaTheme="minorEastAsia" w:hAnsiTheme="minorHAnsi" w:cstheme="minorBidi"/>
          <w:szCs w:val="22"/>
        </w:rPr>
      </w:pPr>
      <w:r>
        <w:t>152NZS.</w:t>
      </w:r>
      <w:r>
        <w:tab/>
        <w:t>Proof of service of document</w:t>
      </w:r>
      <w:r>
        <w:tab/>
      </w:r>
      <w:r>
        <w:fldChar w:fldCharType="begin"/>
      </w:r>
      <w:r>
        <w:instrText xml:space="preserve"> PAGEREF _Toc131586613 \h </w:instrText>
      </w:r>
      <w:r>
        <w:fldChar w:fldCharType="separate"/>
      </w:r>
      <w:r>
        <w:t>309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matters</w:t>
      </w:r>
    </w:p>
    <w:p>
      <w:pPr>
        <w:pStyle w:val="TOC8"/>
        <w:rPr>
          <w:rFonts w:asciiTheme="minorHAnsi" w:eastAsiaTheme="minorEastAsia" w:hAnsiTheme="minorHAnsi" w:cstheme="minorBidi"/>
          <w:szCs w:val="22"/>
        </w:rPr>
      </w:pPr>
      <w:r>
        <w:t>152NZT.</w:t>
      </w:r>
      <w:r>
        <w:tab/>
        <w:t>Publication and disclosure of information about excluded offenders</w:t>
      </w:r>
      <w:r>
        <w:tab/>
      </w:r>
      <w:r>
        <w:fldChar w:fldCharType="begin"/>
      </w:r>
      <w:r>
        <w:instrText xml:space="preserve"> PAGEREF _Toc131586615 \h </w:instrText>
      </w:r>
      <w:r>
        <w:fldChar w:fldCharType="separate"/>
      </w:r>
      <w:r>
        <w:t>310</w:t>
      </w:r>
      <w:r>
        <w:fldChar w:fldCharType="end"/>
      </w:r>
    </w:p>
    <w:p>
      <w:pPr>
        <w:pStyle w:val="TOC8"/>
        <w:rPr>
          <w:rFonts w:asciiTheme="minorHAnsi" w:eastAsiaTheme="minorEastAsia" w:hAnsiTheme="minorHAnsi" w:cstheme="minorBidi"/>
          <w:szCs w:val="22"/>
        </w:rPr>
      </w:pPr>
      <w:r>
        <w:t>152NZU.</w:t>
      </w:r>
      <w:r>
        <w:tab/>
        <w:t>Offence of further disclosing information about excluded offenders</w:t>
      </w:r>
      <w:r>
        <w:tab/>
      </w:r>
      <w:r>
        <w:fldChar w:fldCharType="begin"/>
      </w:r>
      <w:r>
        <w:instrText xml:space="preserve"> PAGEREF _Toc131586616 \h </w:instrText>
      </w:r>
      <w:r>
        <w:fldChar w:fldCharType="separate"/>
      </w:r>
      <w:r>
        <w:t>312</w:t>
      </w:r>
      <w:r>
        <w:fldChar w:fldCharType="end"/>
      </w:r>
    </w:p>
    <w:p>
      <w:pPr>
        <w:pStyle w:val="TOC8"/>
        <w:rPr>
          <w:rFonts w:asciiTheme="minorHAnsi" w:eastAsiaTheme="minorEastAsia" w:hAnsiTheme="minorHAnsi" w:cstheme="minorBidi"/>
          <w:szCs w:val="22"/>
        </w:rPr>
      </w:pPr>
      <w:r>
        <w:t>152NZV.</w:t>
      </w:r>
      <w:r>
        <w:tab/>
        <w:t>Monitoring by Parliamentary Commissioner</w:t>
      </w:r>
      <w:r>
        <w:tab/>
      </w:r>
      <w:r>
        <w:fldChar w:fldCharType="begin"/>
      </w:r>
      <w:r>
        <w:instrText xml:space="preserve"> PAGEREF _Toc131586617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_Toc131586619 \h </w:instrText>
      </w:r>
      <w:r>
        <w:fldChar w:fldCharType="separate"/>
      </w:r>
      <w:r>
        <w:t>315</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_Toc131586620 \h </w:instrText>
      </w:r>
      <w:r>
        <w:fldChar w:fldCharType="separate"/>
      </w:r>
      <w:r>
        <w:t>315</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_Toc131586621 \h </w:instrText>
      </w:r>
      <w:r>
        <w:fldChar w:fldCharType="separate"/>
      </w:r>
      <w:r>
        <w:t>316</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_Toc131586622 \h </w:instrText>
      </w:r>
      <w:r>
        <w:fldChar w:fldCharType="separate"/>
      </w:r>
      <w:r>
        <w:t>317</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_Toc131586623 \h </w:instrText>
      </w:r>
      <w:r>
        <w:fldChar w:fldCharType="separate"/>
      </w:r>
      <w:r>
        <w:t>318</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_Toc131586624 \h </w:instrText>
      </w:r>
      <w:r>
        <w:fldChar w:fldCharType="separate"/>
      </w:r>
      <w:r>
        <w:t>319</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_Toc131586625 \h </w:instrText>
      </w:r>
      <w:r>
        <w:fldChar w:fldCharType="separate"/>
      </w:r>
      <w:r>
        <w:t>320</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_Toc131586626 \h </w:instrText>
      </w:r>
      <w:r>
        <w:fldChar w:fldCharType="separate"/>
      </w:r>
      <w:r>
        <w:t>320</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_Toc131586627 \h </w:instrText>
      </w:r>
      <w:r>
        <w:fldChar w:fldCharType="separate"/>
      </w:r>
      <w:r>
        <w:t>322</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_Toc131586628 \h </w:instrText>
      </w:r>
      <w:r>
        <w:fldChar w:fldCharType="separate"/>
      </w:r>
      <w:r>
        <w:t>322</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_Toc131586629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_Toc131586631 \h </w:instrText>
      </w:r>
      <w:r>
        <w:fldChar w:fldCharType="separate"/>
      </w:r>
      <w:r>
        <w:t>324</w:t>
      </w:r>
      <w:r>
        <w:fldChar w:fldCharType="end"/>
      </w:r>
    </w:p>
    <w:p>
      <w:pPr>
        <w:pStyle w:val="TOC8"/>
        <w:rPr>
          <w:rFonts w:asciiTheme="minorHAnsi" w:eastAsiaTheme="minorEastAsia" w:hAnsiTheme="minorHAnsi" w:cstheme="minorBidi"/>
          <w:szCs w:val="22"/>
        </w:rPr>
      </w:pPr>
      <w:r>
        <w:lastRenderedPageBreak/>
        <w:t>154</w:t>
      </w:r>
      <w:r>
        <w:rPr>
          <w:snapToGrid w:val="0"/>
        </w:rPr>
        <w:t>.</w:t>
      </w:r>
      <w:r>
        <w:rPr>
          <w:snapToGrid w:val="0"/>
        </w:rPr>
        <w:tab/>
        <w:t>Authorised officers, powers of entry etc., offences as to</w:t>
      </w:r>
      <w:r>
        <w:tab/>
      </w:r>
      <w:r>
        <w:fldChar w:fldCharType="begin"/>
      </w:r>
      <w:r>
        <w:instrText xml:space="preserve"> PAGEREF _Toc131586632 \h </w:instrText>
      </w:r>
      <w:r>
        <w:fldChar w:fldCharType="separate"/>
      </w:r>
      <w:r>
        <w:t>325</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_Toc131586633 \h </w:instrText>
      </w:r>
      <w:r>
        <w:fldChar w:fldCharType="separate"/>
      </w:r>
      <w:r>
        <w:t>327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_Toc131586634 \h </w:instrText>
      </w:r>
      <w:r>
        <w:fldChar w:fldCharType="separate"/>
      </w:r>
      <w:r>
        <w:t>330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_Toc131586635 \h </w:instrText>
      </w:r>
      <w:r>
        <w:fldChar w:fldCharType="separate"/>
      </w:r>
      <w:r>
        <w:t>330</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_Toc131586636 \h </w:instrText>
      </w:r>
      <w:r>
        <w:fldChar w:fldCharType="separate"/>
      </w:r>
      <w:r>
        <w:t>331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_Toc131586637 \h </w:instrText>
      </w:r>
      <w:r>
        <w:fldChar w:fldCharType="separate"/>
      </w:r>
      <w:r>
        <w:t>331</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_Toc131586638 \h </w:instrText>
      </w:r>
      <w:r>
        <w:fldChar w:fldCharType="separate"/>
      </w:r>
      <w:r>
        <w:t>332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_Toc131586639 \h </w:instrText>
      </w:r>
      <w:r>
        <w:fldChar w:fldCharType="separate"/>
      </w:r>
      <w:r>
        <w:t>333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_Toc131586640 \h </w:instrText>
      </w:r>
      <w:r>
        <w:fldChar w:fldCharType="separate"/>
      </w:r>
      <w:r>
        <w:t>336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_Toc131586641 \h </w:instrText>
      </w:r>
      <w:r>
        <w:fldChar w:fldCharType="separate"/>
      </w:r>
      <w:r>
        <w:t>336</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r>
      <w:r>
        <w:t>Offences by bodies corporate and partnerships</w:t>
      </w:r>
      <w:r>
        <w:tab/>
      </w:r>
      <w:r>
        <w:fldChar w:fldCharType="begin"/>
      </w:r>
      <w:r>
        <w:instrText xml:space="preserve"> PAGEREF _Toc131586642 \h </w:instrText>
      </w:r>
      <w:r>
        <w:fldChar w:fldCharType="separate"/>
      </w:r>
      <w:r>
        <w:t>336</w:t>
      </w:r>
      <w:r>
        <w:fldChar w:fldCharType="end"/>
      </w:r>
    </w:p>
    <w:p>
      <w:pPr>
        <w:pStyle w:val="TOC8"/>
        <w:rPr>
          <w:rFonts w:asciiTheme="minorHAnsi" w:eastAsiaTheme="minorEastAsia" w:hAnsiTheme="minorHAnsi" w:cstheme="minorBidi"/>
          <w:szCs w:val="22"/>
        </w:rPr>
      </w:pPr>
      <w:r>
        <w:t>164A.</w:t>
      </w:r>
      <w:r>
        <w:tab/>
        <w:t>Liability of officers for offence by body corporate</w:t>
      </w:r>
      <w:r>
        <w:tab/>
      </w:r>
      <w:r>
        <w:fldChar w:fldCharType="begin"/>
      </w:r>
      <w:r>
        <w:instrText xml:space="preserve"> PAGEREF _Toc131586643 \h </w:instrText>
      </w:r>
      <w:r>
        <w:fldChar w:fldCharType="separate"/>
      </w:r>
      <w:r>
        <w:t>339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_Toc131586644 \h </w:instrText>
      </w:r>
      <w:r>
        <w:fldChar w:fldCharType="separate"/>
      </w:r>
      <w:r>
        <w:t>339</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_Toc131586645 \h </w:instrText>
      </w:r>
      <w:r>
        <w:fldChar w:fldCharType="separate"/>
      </w:r>
      <w:r>
        <w:t>340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_Toc131586646 \h </w:instrText>
      </w:r>
      <w:r>
        <w:fldChar w:fldCharType="separate"/>
      </w:r>
      <w:r>
        <w:t>341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_Toc131586647 \h </w:instrText>
      </w:r>
      <w:r>
        <w:fldChar w:fldCharType="separate"/>
      </w:r>
      <w:r>
        <w:t>343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_Toc131586648 \h </w:instrText>
      </w:r>
      <w:r>
        <w:fldChar w:fldCharType="separate"/>
      </w:r>
      <w:r>
        <w:t>344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_Toc131586649 \h </w:instrText>
      </w:r>
      <w:r>
        <w:fldChar w:fldCharType="separate"/>
      </w:r>
      <w:r>
        <w:t>344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_Toc131586650 \h </w:instrText>
      </w:r>
      <w:r>
        <w:fldChar w:fldCharType="separate"/>
      </w:r>
      <w:r>
        <w:t>346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_Toc131586651 \h </w:instrText>
      </w:r>
      <w:r>
        <w:fldChar w:fldCharType="separate"/>
      </w:r>
      <w:r>
        <w:t>347</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_Toc131586652 \h </w:instrText>
      </w:r>
      <w:r>
        <w:fldChar w:fldCharType="separate"/>
      </w:r>
      <w:r>
        <w:t>353</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_Toc131586654 \h </w:instrText>
      </w:r>
      <w:r>
        <w:fldChar w:fldCharType="separate"/>
      </w:r>
      <w:r>
        <w:t>354</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_Toc131586655 \h </w:instrText>
      </w:r>
      <w:r>
        <w:fldChar w:fldCharType="separate"/>
      </w:r>
      <w:r>
        <w:t>354</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_Toc131586656 \h </w:instrText>
      </w:r>
      <w:r>
        <w:fldChar w:fldCharType="separate"/>
      </w:r>
      <w:r>
        <w:t>355</w:t>
      </w:r>
      <w:r>
        <w:fldChar w:fldCharType="end"/>
      </w:r>
    </w:p>
    <w:p>
      <w:pPr>
        <w:pStyle w:val="TOC8"/>
        <w:rPr>
          <w:rFonts w:asciiTheme="minorHAnsi" w:eastAsiaTheme="minorEastAsia" w:hAnsiTheme="minorHAnsi" w:cstheme="minorBidi"/>
          <w:szCs w:val="22"/>
        </w:rPr>
      </w:pPr>
      <w:r>
        <w:t>174B.</w:t>
      </w:r>
      <w:r>
        <w:tab/>
        <w:t xml:space="preserve">Liquor accords: authorisation for purposes of </w:t>
      </w:r>
      <w:r>
        <w:rPr>
          <w:i/>
        </w:rPr>
        <w:t>Competition and Consumer Act 2010</w:t>
      </w:r>
      <w:r>
        <w:t xml:space="preserve"> and Competition Code</w:t>
      </w:r>
      <w:r>
        <w:tab/>
      </w:r>
      <w:r>
        <w:fldChar w:fldCharType="begin"/>
      </w:r>
      <w:r>
        <w:instrText xml:space="preserve"> PAGEREF _Toc131586657 \h </w:instrText>
      </w:r>
      <w:r>
        <w:fldChar w:fldCharType="separate"/>
      </w:r>
      <w:r>
        <w:t>355</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_Toc131586658 \h </w:instrText>
      </w:r>
      <w:r>
        <w:fldChar w:fldCharType="separate"/>
      </w:r>
      <w:r>
        <w:t>355</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_Toc131586659 \h </w:instrText>
      </w:r>
      <w:r>
        <w:fldChar w:fldCharType="separate"/>
      </w:r>
      <w:r>
        <w:t>358</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_Toc131586660 \h </w:instrText>
      </w:r>
      <w:r>
        <w:fldChar w:fldCharType="separate"/>
      </w:r>
      <w:r>
        <w:t>358</w:t>
      </w:r>
      <w:r>
        <w:fldChar w:fldCharType="end"/>
      </w:r>
    </w:p>
    <w:p>
      <w:pPr>
        <w:pStyle w:val="TOC8"/>
        <w:rPr>
          <w:rFonts w:asciiTheme="minorHAnsi" w:eastAsiaTheme="minorEastAsia" w:hAnsiTheme="minorHAnsi" w:cstheme="minorBidi"/>
          <w:szCs w:val="22"/>
        </w:rPr>
      </w:pPr>
      <w:r>
        <w:lastRenderedPageBreak/>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_Toc131586661 \h </w:instrText>
      </w:r>
      <w:r>
        <w:fldChar w:fldCharType="separate"/>
      </w:r>
      <w:r>
        <w:t>358</w:t>
      </w:r>
      <w:r>
        <w:fldChar w:fldCharType="end"/>
      </w:r>
    </w:p>
    <w:p>
      <w:pPr>
        <w:pStyle w:val="TOC8"/>
        <w:rPr>
          <w:rFonts w:asciiTheme="minorHAnsi" w:eastAsiaTheme="minorEastAsia" w:hAnsiTheme="minorHAnsi" w:cstheme="minorBidi"/>
          <w:szCs w:val="22"/>
        </w:rPr>
      </w:pPr>
      <w:r>
        <w:t>177C.</w:t>
      </w:r>
      <w:r>
        <w:tab/>
        <w:t xml:space="preserve">Transitional provisions for </w:t>
      </w:r>
      <w:r>
        <w:rPr>
          <w:i/>
        </w:rPr>
        <w:t>Liquor Control Amendment Act 2018</w:t>
      </w:r>
      <w:r>
        <w:t xml:space="preserve"> (Sch. 1C)</w:t>
      </w:r>
      <w:r>
        <w:tab/>
      </w:r>
      <w:r>
        <w:fldChar w:fldCharType="begin"/>
      </w:r>
      <w:r>
        <w:instrText xml:space="preserve"> PAGEREF _Toc131586662 \h </w:instrText>
      </w:r>
      <w:r>
        <w:fldChar w:fldCharType="separate"/>
      </w:r>
      <w:r>
        <w:t>359</w:t>
      </w:r>
      <w:r>
        <w:fldChar w:fldCharType="end"/>
      </w:r>
    </w:p>
    <w:p>
      <w:pPr>
        <w:pStyle w:val="TOC8"/>
        <w:rPr>
          <w:rFonts w:asciiTheme="minorHAnsi" w:eastAsiaTheme="minorEastAsia" w:hAnsiTheme="minorHAnsi" w:cstheme="minorBidi"/>
          <w:szCs w:val="22"/>
        </w:rPr>
      </w:pPr>
      <w:r>
        <w:t>177D.</w:t>
      </w:r>
      <w:r>
        <w:tab/>
        <w:t xml:space="preserve">Transitional provisions for </w:t>
      </w:r>
      <w:r>
        <w:rPr>
          <w:i/>
        </w:rPr>
        <w:t>Liquor Control Amendment (Protected Entertainment Precincts) Act 2022</w:t>
      </w:r>
      <w:r>
        <w:t xml:space="preserve"> (Sch. 1D)</w:t>
      </w:r>
      <w:r>
        <w:tab/>
      </w:r>
      <w:r>
        <w:fldChar w:fldCharType="begin"/>
      </w:r>
      <w:r>
        <w:instrText xml:space="preserve"> PAGEREF _Toc131586663 \h </w:instrText>
      </w:r>
      <w:r>
        <w:fldChar w:fldCharType="separate"/>
      </w:r>
      <w:r>
        <w:t>359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_Toc131586664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_Toc131586666 \h </w:instrText>
      </w:r>
      <w:r>
        <w:fldChar w:fldCharType="separate"/>
      </w:r>
      <w:r>
        <w:t>360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_Toc131586667 \h </w:instrText>
      </w:r>
      <w:r>
        <w:fldChar w:fldCharType="separate"/>
      </w:r>
      <w:r>
        <w:t>361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_Toc131586668 \h </w:instrText>
      </w:r>
      <w:r>
        <w:fldChar w:fldCharType="separate"/>
      </w:r>
      <w:r>
        <w:t>361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_Toc131586669 \h </w:instrText>
      </w:r>
      <w:r>
        <w:fldChar w:fldCharType="separate"/>
      </w:r>
      <w:r>
        <w:t>363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_Toc131586670 \h </w:instrText>
      </w:r>
      <w:r>
        <w:fldChar w:fldCharType="separate"/>
      </w:r>
      <w:r>
        <w:t>364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_Toc131586671 \h </w:instrText>
      </w:r>
      <w:r>
        <w:fldChar w:fldCharType="separate"/>
      </w:r>
      <w:r>
        <w:t>365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_Toc131586672 \h </w:instrText>
      </w:r>
      <w:r>
        <w:fldChar w:fldCharType="separate"/>
      </w:r>
      <w:r>
        <w:t>367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_Toc131586673 \h </w:instrText>
      </w:r>
      <w:r>
        <w:fldChar w:fldCharType="separate"/>
      </w:r>
      <w:r>
        <w:t>367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_Toc131586674 \h </w:instrText>
      </w:r>
      <w:r>
        <w:fldChar w:fldCharType="separate"/>
      </w:r>
      <w:r>
        <w:t>367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_Toc131586675 \h </w:instrText>
      </w:r>
      <w:r>
        <w:fldChar w:fldCharType="separate"/>
      </w:r>
      <w:r>
        <w:t>367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_Toc131586676 \h </w:instrText>
      </w:r>
      <w:r>
        <w:fldChar w:fldCharType="separate"/>
      </w:r>
      <w:r>
        <w:t>368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_Toc131586677 \h </w:instrText>
      </w:r>
      <w:r>
        <w:fldChar w:fldCharType="separate"/>
      </w:r>
      <w:r>
        <w:t>369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_Toc131586678 \h </w:instrText>
      </w:r>
      <w:r>
        <w:fldChar w:fldCharType="separate"/>
      </w:r>
      <w:r>
        <w:t>369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_Toc131586679 \h </w:instrText>
      </w:r>
      <w:r>
        <w:fldChar w:fldCharType="separate"/>
      </w:r>
      <w:r>
        <w:t>369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_Toc131586680 \h </w:instrText>
      </w:r>
      <w:r>
        <w:fldChar w:fldCharType="separate"/>
      </w:r>
      <w:r>
        <w:t>369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_Toc131586681 \h </w:instrText>
      </w:r>
      <w:r>
        <w:fldChar w:fldCharType="separate"/>
      </w:r>
      <w:r>
        <w:t>370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_Toc131586682 \h </w:instrText>
      </w:r>
      <w:r>
        <w:fldChar w:fldCharType="separate"/>
      </w:r>
      <w:r>
        <w:t>371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_Toc131586683 \h </w:instrText>
      </w:r>
      <w:r>
        <w:fldChar w:fldCharType="separate"/>
      </w:r>
      <w:r>
        <w:t>372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_Toc131586684 \h </w:instrText>
      </w:r>
      <w:r>
        <w:fldChar w:fldCharType="separate"/>
      </w:r>
      <w:r>
        <w:t>372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_Toc131586685 \h </w:instrText>
      </w:r>
      <w:r>
        <w:fldChar w:fldCharType="separate"/>
      </w:r>
      <w:r>
        <w:t>374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_Toc131586686 \h </w:instrText>
      </w:r>
      <w:r>
        <w:fldChar w:fldCharType="separate"/>
      </w:r>
      <w:r>
        <w:t>375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_Toc131586687 \h </w:instrText>
      </w:r>
      <w:r>
        <w:fldChar w:fldCharType="separate"/>
      </w:r>
      <w:r>
        <w:t>375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_Toc131586688 \h </w:instrText>
      </w:r>
      <w:r>
        <w:fldChar w:fldCharType="separate"/>
      </w:r>
      <w:r>
        <w:t>375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_Toc131586689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_Toc131586691 \h </w:instrText>
      </w:r>
      <w:r>
        <w:fldChar w:fldCharType="separate"/>
      </w:r>
      <w:r>
        <w:t>377</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_Toc131586692 \h </w:instrText>
      </w:r>
      <w:r>
        <w:fldChar w:fldCharType="separate"/>
      </w:r>
      <w:r>
        <w:t>377</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_Toc131586693 \h </w:instrText>
      </w:r>
      <w:r>
        <w:fldChar w:fldCharType="separate"/>
      </w:r>
      <w:r>
        <w:t>377</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_Toc131586694 \h </w:instrText>
      </w:r>
      <w:r>
        <w:fldChar w:fldCharType="separate"/>
      </w:r>
      <w:r>
        <w:t>378</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_Toc131586695 \h </w:instrText>
      </w:r>
      <w:r>
        <w:fldChar w:fldCharType="separate"/>
      </w:r>
      <w:r>
        <w:t>378</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_Toc131586696 \h </w:instrText>
      </w:r>
      <w:r>
        <w:fldChar w:fldCharType="separate"/>
      </w:r>
      <w:r>
        <w:t>379</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_Toc131586697 \h </w:instrText>
      </w:r>
      <w:r>
        <w:fldChar w:fldCharType="separate"/>
      </w:r>
      <w:r>
        <w:t>379</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_Toc131586698 \h </w:instrText>
      </w:r>
      <w:r>
        <w:fldChar w:fldCharType="separate"/>
      </w:r>
      <w:r>
        <w:t>379</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_Toc131586699 \h </w:instrText>
      </w:r>
      <w:r>
        <w:fldChar w:fldCharType="separate"/>
      </w:r>
      <w:r>
        <w:t>380</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_Toc131586700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_Toc131586702 \h </w:instrText>
      </w:r>
      <w:r>
        <w:fldChar w:fldCharType="separate"/>
      </w:r>
      <w:r>
        <w:t>381</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_Toc131586703 \h </w:instrText>
      </w:r>
      <w:r>
        <w:fldChar w:fldCharType="separate"/>
      </w:r>
      <w:r>
        <w:t>381</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_Toc131586704 \h </w:instrText>
      </w:r>
      <w:r>
        <w:fldChar w:fldCharType="separate"/>
      </w:r>
      <w:r>
        <w:t>381</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_Toc131586705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1C — Transitional provisions relating to the </w:t>
      </w:r>
      <w:r>
        <w:rPr>
          <w:i/>
        </w:rPr>
        <w:t>Liquor Control Amendment Act 2018</w:t>
      </w:r>
    </w:p>
    <w:p>
      <w:pPr>
        <w:pStyle w:val="TOC8"/>
        <w:rPr>
          <w:rFonts w:asciiTheme="minorHAnsi" w:eastAsiaTheme="minorEastAsia" w:hAnsiTheme="minorHAnsi" w:cstheme="minorBidi"/>
          <w:szCs w:val="22"/>
        </w:rPr>
      </w:pPr>
      <w:r>
        <w:t>1.</w:t>
      </w:r>
      <w:r>
        <w:tab/>
        <w:t>Application of s. 36B to existing applications for grant or removal of licence</w:t>
      </w:r>
      <w:r>
        <w:tab/>
      </w:r>
      <w:r>
        <w:fldChar w:fldCharType="begin"/>
      </w:r>
      <w:r>
        <w:instrText xml:space="preserve"> PAGEREF _Toc131586707 \h </w:instrText>
      </w:r>
      <w:r>
        <w:fldChar w:fldCharType="separate"/>
      </w:r>
      <w:r>
        <w:t>383</w:t>
      </w:r>
      <w:r>
        <w:fldChar w:fldCharType="end"/>
      </w:r>
    </w:p>
    <w:p>
      <w:pPr>
        <w:pStyle w:val="TOC8"/>
        <w:rPr>
          <w:rFonts w:asciiTheme="minorHAnsi" w:eastAsiaTheme="minorEastAsia" w:hAnsiTheme="minorHAnsi" w:cstheme="minorBidi"/>
          <w:szCs w:val="22"/>
        </w:rPr>
      </w:pPr>
      <w:r>
        <w:t>2.</w:t>
      </w:r>
      <w:r>
        <w:tab/>
        <w:t>Small bar licences</w:t>
      </w:r>
      <w:r>
        <w:tab/>
      </w:r>
      <w:r>
        <w:fldChar w:fldCharType="begin"/>
      </w:r>
      <w:r>
        <w:instrText xml:space="preserve"> PAGEREF _Toc131586708 \h </w:instrText>
      </w:r>
      <w:r>
        <w:fldChar w:fldCharType="separate"/>
      </w:r>
      <w:r>
        <w:t>383</w:t>
      </w:r>
      <w:r>
        <w:fldChar w:fldCharType="end"/>
      </w:r>
    </w:p>
    <w:p>
      <w:pPr>
        <w:pStyle w:val="TOC8"/>
        <w:rPr>
          <w:rFonts w:asciiTheme="minorHAnsi" w:eastAsiaTheme="minorEastAsia" w:hAnsiTheme="minorHAnsi" w:cstheme="minorBidi"/>
          <w:szCs w:val="22"/>
        </w:rPr>
      </w:pPr>
      <w:r>
        <w:t>3.</w:t>
      </w:r>
      <w:r>
        <w:tab/>
        <w:t>Certain restaurant licences: no fee for application for extended trading permit under section 60(4)(ca)</w:t>
      </w:r>
      <w:r>
        <w:tab/>
      </w:r>
      <w:r>
        <w:fldChar w:fldCharType="begin"/>
      </w:r>
      <w:r>
        <w:instrText xml:space="preserve"> PAGEREF _Toc131586709 \h </w:instrText>
      </w:r>
      <w:r>
        <w:fldChar w:fldCharType="separate"/>
      </w:r>
      <w:r>
        <w:t>383</w:t>
      </w:r>
      <w:r>
        <w:fldChar w:fldCharType="end"/>
      </w:r>
    </w:p>
    <w:p>
      <w:pPr>
        <w:pStyle w:val="TOC8"/>
        <w:rPr>
          <w:rFonts w:asciiTheme="minorHAnsi" w:eastAsiaTheme="minorEastAsia" w:hAnsiTheme="minorHAnsi" w:cstheme="minorBidi"/>
          <w:szCs w:val="22"/>
        </w:rPr>
      </w:pPr>
      <w:r>
        <w:t>4.</w:t>
      </w:r>
      <w:r>
        <w:tab/>
        <w:t>Application of s. 77A to existing applications for alteration or redefinition of licensed premises</w:t>
      </w:r>
      <w:r>
        <w:tab/>
      </w:r>
      <w:r>
        <w:fldChar w:fldCharType="begin"/>
      </w:r>
      <w:r>
        <w:instrText xml:space="preserve"> PAGEREF _Toc131586710 \h </w:instrText>
      </w:r>
      <w:r>
        <w:fldChar w:fldCharType="separate"/>
      </w:r>
      <w:r>
        <w:t>384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 xml:space="preserve">Schedule 1D — Transitional provisions relating to the </w:t>
      </w:r>
      <w:r>
        <w:rPr>
          <w:i/>
        </w:rPr>
        <w:t>Liquor Control Amendment (Protected Entertainment Precincts) Act 2022</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_Toc131586712 \h </w:instrText>
      </w:r>
      <w:r>
        <w:fldChar w:fldCharType="separate"/>
      </w:r>
      <w:r>
        <w:t>385</w:t>
      </w:r>
      <w:r>
        <w:fldChar w:fldCharType="end"/>
      </w:r>
    </w:p>
    <w:p>
      <w:pPr>
        <w:pStyle w:val="TOC8"/>
        <w:rPr>
          <w:rFonts w:asciiTheme="minorHAnsi" w:eastAsiaTheme="minorEastAsia" w:hAnsiTheme="minorHAnsi" w:cstheme="minorBidi"/>
          <w:szCs w:val="22"/>
        </w:rPr>
      </w:pPr>
      <w:r>
        <w:t>2.</w:t>
      </w:r>
      <w:r>
        <w:tab/>
        <w:t>Application of s. 115AC to existing notices</w:t>
      </w:r>
      <w:r>
        <w:tab/>
      </w:r>
      <w:r>
        <w:fldChar w:fldCharType="begin"/>
      </w:r>
      <w:r>
        <w:instrText xml:space="preserve"> PAGEREF _Toc131586713 \h </w:instrText>
      </w:r>
      <w:r>
        <w:fldChar w:fldCharType="separate"/>
      </w:r>
      <w:r>
        <w:t>385</w:t>
      </w:r>
      <w:r>
        <w:fldChar w:fldCharType="end"/>
      </w:r>
    </w:p>
    <w:p>
      <w:pPr>
        <w:pStyle w:val="TOC8"/>
        <w:rPr>
          <w:rFonts w:asciiTheme="minorHAnsi" w:eastAsiaTheme="minorEastAsia" w:hAnsiTheme="minorHAnsi" w:cstheme="minorBidi"/>
          <w:szCs w:val="22"/>
        </w:rPr>
      </w:pPr>
      <w:r>
        <w:t>3.</w:t>
      </w:r>
      <w:r>
        <w:tab/>
        <w:t>Application of s. 152K to existing prohibition orders</w:t>
      </w:r>
      <w:r>
        <w:tab/>
      </w:r>
      <w:r>
        <w:fldChar w:fldCharType="begin"/>
      </w:r>
      <w:r>
        <w:instrText xml:space="preserve"> PAGEREF _Toc131586714 \h </w:instrText>
      </w:r>
      <w:r>
        <w:fldChar w:fldCharType="separate"/>
      </w:r>
      <w:r>
        <w:t>385</w:t>
      </w:r>
      <w:r>
        <w:fldChar w:fldCharType="end"/>
      </w:r>
    </w:p>
    <w:p>
      <w:pPr>
        <w:pStyle w:val="TOC8"/>
        <w:rPr>
          <w:rFonts w:asciiTheme="minorHAnsi" w:eastAsiaTheme="minorEastAsia" w:hAnsiTheme="minorHAnsi" w:cstheme="minorBidi"/>
          <w:szCs w:val="22"/>
        </w:rPr>
      </w:pPr>
      <w:r>
        <w:t>4.</w:t>
      </w:r>
      <w:r>
        <w:tab/>
        <w:t>Short</w:t>
      </w:r>
      <w:r>
        <w:noBreakHyphen/>
        <w:t>term exclusion orders</w:t>
      </w:r>
      <w:r>
        <w:tab/>
      </w:r>
      <w:r>
        <w:fldChar w:fldCharType="begin"/>
      </w:r>
      <w:r>
        <w:instrText xml:space="preserve"> PAGEREF _Toc131586715 \h </w:instrText>
      </w:r>
      <w:r>
        <w:fldChar w:fldCharType="separate"/>
      </w:r>
      <w:r>
        <w:t>386</w:t>
      </w:r>
      <w:r>
        <w:fldChar w:fldCharType="end"/>
      </w:r>
    </w:p>
    <w:p>
      <w:pPr>
        <w:pStyle w:val="TOC8"/>
        <w:rPr>
          <w:rFonts w:asciiTheme="minorHAnsi" w:eastAsiaTheme="minorEastAsia" w:hAnsiTheme="minorHAnsi" w:cstheme="minorBidi"/>
          <w:szCs w:val="22"/>
        </w:rPr>
      </w:pPr>
      <w:r>
        <w:t>5.</w:t>
      </w:r>
      <w:r>
        <w:tab/>
        <w:t>Extended exclusion orders</w:t>
      </w:r>
      <w:r>
        <w:tab/>
      </w:r>
      <w:r>
        <w:fldChar w:fldCharType="begin"/>
      </w:r>
      <w:r>
        <w:instrText xml:space="preserve"> PAGEREF _Toc131586716 \h </w:instrText>
      </w:r>
      <w:r>
        <w:fldChar w:fldCharType="separate"/>
      </w:r>
      <w:r>
        <w:t>386</w:t>
      </w:r>
      <w:r>
        <w:fldChar w:fldCharType="end"/>
      </w:r>
    </w:p>
    <w:p>
      <w:pPr>
        <w:pStyle w:val="TOC8"/>
        <w:rPr>
          <w:rFonts w:asciiTheme="minorHAnsi" w:eastAsiaTheme="minorEastAsia" w:hAnsiTheme="minorHAnsi" w:cstheme="minorBidi"/>
          <w:szCs w:val="22"/>
        </w:rPr>
      </w:pPr>
      <w:r>
        <w:t>6.</w:t>
      </w:r>
      <w:r>
        <w:tab/>
        <w:t>Excluded offenders</w:t>
      </w:r>
      <w:r>
        <w:tab/>
      </w:r>
      <w:r>
        <w:fldChar w:fldCharType="begin"/>
      </w:r>
      <w:r>
        <w:instrText xml:space="preserve"> PAGEREF _Toc131586717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_Toc131586720 \h </w:instrText>
      </w:r>
      <w:r>
        <w:fldChar w:fldCharType="separate"/>
      </w:r>
      <w:r>
        <w:t>387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_Toc131586721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_Toc131586723 \h </w:instrText>
      </w:r>
      <w:r>
        <w:fldChar w:fldCharType="separate"/>
      </w:r>
      <w:r>
        <w:t>389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_Toc131586724 \h </w:instrText>
      </w:r>
      <w:r>
        <w:fldChar w:fldCharType="separate"/>
      </w:r>
      <w:r>
        <w:t>389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_Toc131586726 \h </w:instrText>
      </w:r>
      <w:r>
        <w:fldChar w:fldCharType="separate"/>
      </w:r>
      <w:r>
        <w:t>391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_Toc131586727 \h </w:instrText>
      </w:r>
      <w:r>
        <w:fldChar w:fldCharType="separate"/>
      </w:r>
      <w:r>
        <w:t>396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_Toc131586728 \h </w:instrText>
      </w:r>
      <w:r>
        <w:fldChar w:fldCharType="separate"/>
      </w:r>
      <w:r>
        <w:t>396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840"/>
      </w:pPr>
      <w:r>
        <w:t>Liquor Control Act 1988</w:t>
      </w:r>
    </w:p>
    <w:p>
      <w:pPr>
        <w:pStyle w:val="LongTitle"/>
      </w:pPr>
      <w:r>
        <w:t xml:space="preserve">An Act — </w:t>
      </w:r>
    </w:p>
    <w:p>
      <w:pPr>
        <w:pStyle w:val="LongTitle"/>
        <w:numPr>
          <w:ilvl w:val="0"/>
          <w:numId w:val="4"/>
        </w:numPr>
        <w:ind w:left="357" w:hanging="357"/>
      </w:pPr>
      <w:r>
        <w:t>to regulate the sale, supply and consumption of liquor; and</w:t>
      </w:r>
    </w:p>
    <w:p>
      <w:pPr>
        <w:pStyle w:val="LongTitle"/>
        <w:numPr>
          <w:ilvl w:val="0"/>
          <w:numId w:val="4"/>
        </w:numPr>
        <w:ind w:left="357" w:hanging="357"/>
      </w:pPr>
      <w:r>
        <w:t>to regulate the use of premises on which liquor is sold; and</w:t>
      </w:r>
    </w:p>
    <w:p>
      <w:pPr>
        <w:pStyle w:val="LongTitle"/>
        <w:numPr>
          <w:ilvl w:val="0"/>
          <w:numId w:val="4"/>
        </w:numPr>
        <w:ind w:left="357" w:hanging="357"/>
      </w:pPr>
      <w:r>
        <w:t>to regulate the services and facilities provided in conjunction with, or ancillary to, the sale of liquor; and</w:t>
      </w:r>
    </w:p>
    <w:p>
      <w:pPr>
        <w:pStyle w:val="LongTitle"/>
        <w:numPr>
          <w:ilvl w:val="0"/>
          <w:numId w:val="4"/>
        </w:numPr>
        <w:ind w:left="357" w:hanging="357"/>
      </w:pPr>
      <w:r>
        <w:t>to minimise harm or ill</w:t>
      </w:r>
      <w:r>
        <w:noBreakHyphen/>
        <w:t>health caused to people, or any group of people, due to the use of liquor; and</w:t>
      </w:r>
    </w:p>
    <w:p>
      <w:pPr>
        <w:pStyle w:val="LongTitle"/>
        <w:numPr>
          <w:ilvl w:val="0"/>
          <w:numId w:val="4"/>
        </w:numPr>
        <w:ind w:left="357" w:hanging="357"/>
      </w:pPr>
      <w:r>
        <w:t>to provide for orders that may prohibit people from being employed at, or from entering, licensed premises; and</w:t>
      </w:r>
    </w:p>
    <w:p>
      <w:pPr>
        <w:pStyle w:val="LongTitle"/>
        <w:numPr>
          <w:ilvl w:val="0"/>
          <w:numId w:val="4"/>
        </w:numPr>
        <w:ind w:left="357" w:hanging="357"/>
      </w:pPr>
      <w:r>
        <w:t>to minimise harm and adverse effects, and public disturbances and disorder, in areas with a concentration of licensed premises, by providing for offences and orders that prohibit people from entering or remaining in those areas; and</w:t>
      </w:r>
    </w:p>
    <w:p>
      <w:pPr>
        <w:pStyle w:val="LongTitle"/>
        <w:numPr>
          <w:ilvl w:val="0"/>
          <w:numId w:val="4"/>
        </w:numPr>
        <w:ind w:left="357" w:hanging="357"/>
      </w:pPr>
      <w:r>
        <w:t xml:space="preserve">to repeal the </w:t>
      </w:r>
      <w:r>
        <w:rPr>
          <w:i/>
        </w:rPr>
        <w:t>Liquor Act 1970</w:t>
      </w:r>
      <w:r>
        <w:t>; and</w:t>
      </w:r>
    </w:p>
    <w:p>
      <w:pPr>
        <w:pStyle w:val="LongTitle"/>
        <w:numPr>
          <w:ilvl w:val="0"/>
          <w:numId w:val="4"/>
        </w:numPr>
        <w:ind w:left="357" w:hanging="357"/>
      </w:pPr>
      <w:r>
        <w:t>for related matters.</w:t>
      </w:r>
    </w:p>
    <w:p>
      <w:pPr>
        <w:pStyle w:val="Footnotelongtitle"/>
      </w:pPr>
      <w:r>
        <w:tab/>
        <w:t>[Long title inserted: No. 44 of 2022 s. 4.]</w:t>
      </w:r>
    </w:p>
    <w:p>
      <w:pPr>
        <w:pStyle w:val="Heading2"/>
      </w:pPr>
      <w:bookmarkStart w:id="3" w:name="_Toc122336756"/>
      <w:bookmarkStart w:id="4" w:name="_Toc122342670"/>
      <w:bookmarkStart w:id="5" w:name="_Toc122513081"/>
      <w:bookmarkStart w:id="6" w:name="_Toc131519644"/>
      <w:bookmarkStart w:id="7" w:name="_Toc131520204"/>
      <w:bookmarkStart w:id="8" w:name="_Toc13158628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rPr>
          <w:snapToGrid w:val="0"/>
        </w:rPr>
      </w:pPr>
      <w:bookmarkStart w:id="9" w:name="_Toc131586287"/>
      <w:r>
        <w:rPr>
          <w:rStyle w:val="CharSectno"/>
        </w:rPr>
        <w:t>1</w:t>
      </w:r>
      <w:r>
        <w:rPr>
          <w:snapToGrid w:val="0"/>
        </w:rPr>
        <w:t>.</w:t>
      </w:r>
      <w:r>
        <w:rPr>
          <w:snapToGrid w:val="0"/>
        </w:rPr>
        <w:tab/>
        <w:t>Short title</w:t>
      </w:r>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w:t>
      </w:r>
    </w:p>
    <w:p>
      <w:pPr>
        <w:pStyle w:val="Footnotesection"/>
      </w:pPr>
      <w:r>
        <w:tab/>
        <w:t>[Section 1 amended: No. 73 of 2006 s. 5.]</w:t>
      </w:r>
    </w:p>
    <w:p>
      <w:pPr>
        <w:pStyle w:val="Heading5"/>
        <w:rPr>
          <w:snapToGrid w:val="0"/>
        </w:rPr>
      </w:pPr>
      <w:bookmarkStart w:id="10" w:name="_Toc131586288"/>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1" w:name="_Toc131586289"/>
      <w:r>
        <w:rPr>
          <w:rStyle w:val="CharSectno"/>
        </w:rPr>
        <w:t>3</w:t>
      </w:r>
      <w:r>
        <w:rPr>
          <w:snapToGrid w:val="0"/>
        </w:rPr>
        <w:t>.</w:t>
      </w:r>
      <w:r>
        <w:rPr>
          <w:snapToGrid w:val="0"/>
        </w:rPr>
        <w:tab/>
        <w:t>Terms used</w:t>
      </w:r>
      <w:bookmarkEnd w:id="1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lastRenderedPageBreak/>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lastRenderedPageBreak/>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 xml:space="preserve">in relation to the occupier of a position of authority in a body corporate that holds or seeks a licence — a person </w:t>
      </w:r>
      <w:r>
        <w:lastRenderedPageBreak/>
        <w:t>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w:t>
      </w:r>
    </w:p>
    <w:p>
      <w:pPr>
        <w:pStyle w:val="Defstart"/>
      </w:pPr>
      <w:r>
        <w:rPr>
          <w:b/>
        </w:rPr>
        <w:tab/>
      </w:r>
      <w:r>
        <w:rPr>
          <w:rStyle w:val="CharDefText"/>
        </w:rPr>
        <w:t>hotel restricted licence</w:t>
      </w:r>
      <w:r>
        <w:t xml:space="preserve"> means a hotel licence of the kind referred to in section 41(1)(b);</w:t>
      </w:r>
    </w:p>
    <w:p>
      <w:pPr>
        <w:pStyle w:val="Defstart"/>
      </w:pPr>
      <w:r>
        <w:tab/>
      </w:r>
      <w:r>
        <w:rPr>
          <w:rStyle w:val="CharDefText"/>
        </w:rPr>
        <w:t>inspector</w:t>
      </w:r>
      <w:r>
        <w:t xml:space="preserve"> means an inspector appointed under section 14(1)(a);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b/>
        </w:rPr>
        <w:lastRenderedPageBreak/>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lastRenderedPageBreak/>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tab/>
      </w:r>
      <w:r>
        <w:rPr>
          <w:rStyle w:val="CharDefText"/>
        </w:rPr>
        <w:t>member</w:t>
      </w:r>
      <w:r>
        <w:t xml:space="preserve"> — </w:t>
      </w:r>
    </w:p>
    <w:p>
      <w:pPr>
        <w:pStyle w:val="Defpara"/>
      </w:pPr>
      <w:r>
        <w:tab/>
        <w:t>(a)</w:t>
      </w:r>
      <w:r>
        <w:tab/>
        <w:t>in relation to a club — includes a person who is a member of the club by reason of reciprocal arrangements with another club made in accordance with the rules of the club; and</w:t>
      </w:r>
    </w:p>
    <w:p>
      <w:pPr>
        <w:pStyle w:val="Defpara"/>
      </w:pPr>
      <w:r>
        <w:tab/>
        <w:t>(b)</w:t>
      </w:r>
      <w:r>
        <w:tab/>
        <w:t>in relation to the Commission — means a member of the Commission and includes the chairperson;</w:t>
      </w:r>
    </w:p>
    <w:p>
      <w:pPr>
        <w:pStyle w:val="Defstart"/>
        <w:keepNext/>
      </w:pPr>
      <w:r>
        <w:rPr>
          <w:b/>
        </w:rPr>
        <w:lastRenderedPageBreak/>
        <w:tab/>
      </w:r>
      <w:r>
        <w:rPr>
          <w:rStyle w:val="CharDefText"/>
        </w:rPr>
        <w:t>metropolitan area</w:t>
      </w:r>
      <w:r>
        <w:t xml:space="preserve"> means — </w:t>
      </w:r>
    </w:p>
    <w:p>
      <w:pPr>
        <w:pStyle w:val="Defpara"/>
      </w:pPr>
      <w:r>
        <w:tab/>
        <w:t>(a)</w:t>
      </w:r>
      <w:r>
        <w:tab/>
        <w:t xml:space="preserve">the region described in the </w:t>
      </w:r>
      <w:r>
        <w:rPr>
          <w:i/>
        </w:rPr>
        <w:t>Planning and Development Act 2005</w:t>
      </w:r>
      <w:r>
        <w:t xml:space="preserve"> Schedule 3;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pPr>
      <w:r>
        <w:tab/>
      </w:r>
      <w:r>
        <w:rPr>
          <w:rStyle w:val="CharDefText"/>
        </w:rPr>
        <w:t>party to proceedings</w:t>
      </w:r>
      <w:r>
        <w:t xml:space="preserve"> includes — </w:t>
      </w:r>
    </w:p>
    <w:p>
      <w:pPr>
        <w:pStyle w:val="Defpara"/>
      </w:pPr>
      <w:r>
        <w:tab/>
        <w:t>(a)</w:t>
      </w:r>
      <w:r>
        <w:tab/>
        <w:t>an objector, unless a determination is made under section 74(4) in relation to the objection; and</w:t>
      </w:r>
    </w:p>
    <w:p>
      <w:pPr>
        <w:pStyle w:val="Defpara"/>
      </w:pPr>
      <w:r>
        <w:tab/>
        <w:t>(b)</w:t>
      </w:r>
      <w:r>
        <w:tab/>
        <w:t>a person who intervenes in proceedings;</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lastRenderedPageBreak/>
        <w:tab/>
        <w:t>(b)</w:t>
      </w:r>
      <w:r>
        <w:tab/>
        <w:t>a vehicle; or</w:t>
      </w:r>
    </w:p>
    <w:p>
      <w:pPr>
        <w:pStyle w:val="Defpara"/>
        <w:keepNext/>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tab/>
      </w:r>
      <w:r>
        <w:rPr>
          <w:rStyle w:val="CharDefText"/>
        </w:rPr>
        <w:t>protected entertainment precinct</w:t>
      </w:r>
      <w:r>
        <w:t xml:space="preserve"> means an area prescribed under section 175(1E);</w:t>
      </w:r>
    </w:p>
    <w:p>
      <w:pPr>
        <w:pStyle w:val="Defstart"/>
      </w:pPr>
      <w:r>
        <w:rPr>
          <w:b/>
        </w:rPr>
        <w:tab/>
      </w:r>
      <w:r>
        <w:rPr>
          <w:rStyle w:val="CharDefText"/>
        </w:rPr>
        <w:t>protection order</w:t>
      </w:r>
      <w:r>
        <w:t xml:space="preserve"> means an order made under section 87 or 89;</w:t>
      </w:r>
    </w:p>
    <w:p>
      <w:pPr>
        <w:pStyle w:val="Defstart"/>
      </w:pPr>
      <w:r>
        <w:tab/>
      </w:r>
      <w:r>
        <w:rPr>
          <w:rStyle w:val="CharDefText"/>
        </w:rPr>
        <w:t>public authority</w:t>
      </w:r>
      <w:r>
        <w:t xml:space="preserve"> means any of the following — </w:t>
      </w:r>
    </w:p>
    <w:p>
      <w:pPr>
        <w:pStyle w:val="Defpara"/>
      </w:pPr>
      <w:r>
        <w:tab/>
        <w:t>(a)</w:t>
      </w:r>
      <w:r>
        <w:tab/>
        <w:t>a Minister of the State;</w:t>
      </w:r>
    </w:p>
    <w:p>
      <w:pPr>
        <w:pStyle w:val="Defpara"/>
      </w:pPr>
      <w:r>
        <w:tab/>
        <w:t>(b)</w:t>
      </w:r>
      <w:r>
        <w:tab/>
        <w:t xml:space="preserve">an agency or an organisation as those terms are defined in the </w:t>
      </w:r>
      <w:r>
        <w:rPr>
          <w:i/>
        </w:rPr>
        <w:t>Public Sector Management Act 1994</w:t>
      </w:r>
      <w:r>
        <w:t xml:space="preserve"> section 3(1);</w:t>
      </w:r>
    </w:p>
    <w:p>
      <w:pPr>
        <w:pStyle w:val="Defpara"/>
      </w:pPr>
      <w:r>
        <w:tab/>
        <w:t>(c)</w:t>
      </w:r>
      <w:r>
        <w:tab/>
        <w:t>a body, whether incorporated or not, or the holder of an office, post or position, that is established or continued for a public purpose under a written law;</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lastRenderedPageBreak/>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lastRenderedPageBreak/>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keepNext/>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tab/>
      </w:r>
      <w:r>
        <w:rPr>
          <w:rStyle w:val="CharDefText"/>
        </w:rPr>
        <w:t>small bar licence</w:t>
      </w:r>
      <w:r>
        <w:t xml:space="preserve"> means a licence granted under section 41A;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lastRenderedPageBreak/>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keepNex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lastRenderedPageBreak/>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 xml:space="preserve">a person holding a crowd controller’s licence who is employed by a crowd control agent engaged under a contract for services by the licensee or occupier or a </w:t>
      </w:r>
      <w:r>
        <w:lastRenderedPageBreak/>
        <w:t>manager of licensed premises to supply the services of crowd controllers at those premises.</w:t>
      </w:r>
    </w:p>
    <w:p>
      <w:pPr>
        <w:pStyle w:val="Footnotesection"/>
        <w:keepLines w:val="0"/>
        <w:spacing w:before="80"/>
        <w:ind w:left="890" w:hanging="890"/>
      </w:pPr>
      <w:r>
        <w:tab/>
        <w:t>[Section 3 amended: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 No. 19 of 2016 s. 162; No. 9 of 2018 s. 4; No. 9 of 2022 s. 424</w:t>
      </w:r>
      <w:r>
        <w:t xml:space="preserve">; No. 44 of 2022 s. 5.] </w:t>
      </w:r>
    </w:p>
    <w:p>
      <w:pPr>
        <w:pStyle w:val="Heading5"/>
        <w:spacing w:before="180"/>
      </w:pPr>
      <w:bookmarkStart w:id="12" w:name="_Toc131586290"/>
      <w:r>
        <w:rPr>
          <w:rStyle w:val="CharSectno"/>
        </w:rPr>
        <w:t>3A</w:t>
      </w:r>
      <w:r>
        <w:t>.</w:t>
      </w:r>
      <w:r>
        <w:tab/>
        <w:t>Term used: drunk</w:t>
      </w:r>
      <w:bookmarkEnd w:id="12"/>
    </w:p>
    <w:p>
      <w:pPr>
        <w:pStyle w:val="Subsection"/>
        <w:keepNext/>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No. 73 of 2006 s. 7.]</w:t>
      </w:r>
    </w:p>
    <w:p>
      <w:pPr>
        <w:pStyle w:val="Heading5"/>
        <w:spacing w:before="180"/>
        <w:rPr>
          <w:snapToGrid w:val="0"/>
        </w:rPr>
      </w:pPr>
      <w:bookmarkStart w:id="13" w:name="_Toc131586291"/>
      <w:r>
        <w:rPr>
          <w:rStyle w:val="CharSectno"/>
        </w:rPr>
        <w:t>4</w:t>
      </w:r>
      <w:r>
        <w:rPr>
          <w:snapToGrid w:val="0"/>
        </w:rPr>
        <w:t>.</w:t>
      </w:r>
      <w:r>
        <w:rPr>
          <w:snapToGrid w:val="0"/>
        </w:rPr>
        <w:tab/>
        <w:t>Storing and receiving liquor for licensed premises at other premises; records to be kept</w:t>
      </w:r>
      <w:bookmarkEnd w:id="13"/>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lastRenderedPageBreak/>
        <w:tab/>
        <w:t>(6)</w:t>
      </w:r>
      <w:r>
        <w:rPr>
          <w:snapToGrid w:val="0"/>
        </w:rPr>
        <w:tab/>
        <w:t xml:space="preserve">On application by a </w:t>
      </w:r>
      <w:r>
        <w:t>licensee of a producer’s licence, a wholesaler’s licence or a special facility licence of a prescribed type,</w:t>
      </w:r>
      <w:r>
        <w:rPr>
          <w:snapToGrid w:val="0"/>
        </w:rPr>
        <w:t xml:space="preserv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keepNext/>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No. 56 of 1997 s. 27; No. 12 of 1998 s. 6; No. 73 of 2006 s. 8; No. 9 of 2018 s. 5.] </w:t>
      </w:r>
    </w:p>
    <w:p>
      <w:pPr>
        <w:pStyle w:val="Heading5"/>
        <w:rPr>
          <w:snapToGrid w:val="0"/>
        </w:rPr>
      </w:pPr>
      <w:bookmarkStart w:id="14" w:name="_Toc131586292"/>
      <w:r>
        <w:rPr>
          <w:rStyle w:val="CharSectno"/>
        </w:rPr>
        <w:t>5</w:t>
      </w:r>
      <w:r>
        <w:rPr>
          <w:snapToGrid w:val="0"/>
        </w:rPr>
        <w:t>.</w:t>
      </w:r>
      <w:r>
        <w:rPr>
          <w:snapToGrid w:val="0"/>
        </w:rPr>
        <w:tab/>
        <w:t>Objects of Act</w:t>
      </w:r>
      <w:bookmarkEnd w:id="14"/>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 xml:space="preserve">to facilitate the use and development of licensed facilities, including their use and development for the performance of live original music, reflecting the </w:t>
      </w:r>
      <w:r>
        <w:lastRenderedPageBreak/>
        <w:t>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 xml:space="preserve">to provide a flexible system, with as little formality or technicality as may be practicable, for the administration of this </w:t>
      </w:r>
      <w:r>
        <w:t>Act; and</w:t>
      </w:r>
    </w:p>
    <w:p>
      <w:pPr>
        <w:pStyle w:val="Indenta"/>
      </w:pPr>
      <w:r>
        <w:tab/>
        <w:t>(f)</w:t>
      </w:r>
      <w:r>
        <w:tab/>
        <w:t>to encourage responsible attitudes and practices towards the promotion, sale, supply, service and consumption of liquor that are consistent with the interests of the community.</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Subsection"/>
      </w:pPr>
      <w:r>
        <w:tab/>
        <w:t>(4)</w:t>
      </w:r>
      <w:r>
        <w:tab/>
        <w:t>The objects in this section do not apply in relation to Part 5AA or the carrying out of functions under Part 5AA.</w:t>
      </w:r>
    </w:p>
    <w:p>
      <w:pPr>
        <w:pStyle w:val="PermNoteHeading"/>
      </w:pPr>
      <w:r>
        <w:tab/>
        <w:t>Note for this subsection:</w:t>
      </w:r>
    </w:p>
    <w:p>
      <w:pPr>
        <w:pStyle w:val="PermNoteText"/>
      </w:pPr>
      <w:r>
        <w:tab/>
      </w:r>
      <w:r>
        <w:tab/>
        <w:t xml:space="preserve">The object of Part 5AA is set out in section 152NB. </w:t>
      </w:r>
    </w:p>
    <w:p>
      <w:pPr>
        <w:pStyle w:val="Footnotesection"/>
      </w:pPr>
      <w:r>
        <w:tab/>
        <w:t xml:space="preserve">[Section 5 amended: No. 12 of 1998 s. 7; No. 73 of 2006 s. 9; No. 9 of 2018 s. 6; No. 44 of 2022 s. 6.] </w:t>
      </w:r>
    </w:p>
    <w:p>
      <w:pPr>
        <w:pStyle w:val="Heading5"/>
        <w:rPr>
          <w:snapToGrid w:val="0"/>
        </w:rPr>
      </w:pPr>
      <w:bookmarkStart w:id="15" w:name="_Toc131586293"/>
      <w:r>
        <w:rPr>
          <w:rStyle w:val="CharSectno"/>
        </w:rPr>
        <w:t>6</w:t>
      </w:r>
      <w:r>
        <w:rPr>
          <w:snapToGrid w:val="0"/>
        </w:rPr>
        <w:t>.</w:t>
      </w:r>
      <w:r>
        <w:rPr>
          <w:snapToGrid w:val="0"/>
        </w:rPr>
        <w:tab/>
        <w:t>Act not to apply in certain cases</w:t>
      </w:r>
      <w:bookmarkEnd w:id="15"/>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lastRenderedPageBreak/>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lastRenderedPageBreak/>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No. 12 of 1998 s. 35(2); No. 31 of 2003 s. 151; No. 35 of 2010 s. 104; No. 56 of 2010 s. 36.] </w:t>
      </w:r>
    </w:p>
    <w:p>
      <w:pPr>
        <w:pStyle w:val="Heading2"/>
      </w:pPr>
      <w:bookmarkStart w:id="16" w:name="_Toc122336764"/>
      <w:bookmarkStart w:id="17" w:name="_Toc122342678"/>
      <w:bookmarkStart w:id="18" w:name="_Toc122513089"/>
      <w:bookmarkStart w:id="19" w:name="_Toc131519652"/>
      <w:bookmarkStart w:id="20" w:name="_Toc131520212"/>
      <w:bookmarkStart w:id="21" w:name="_Toc131586294"/>
      <w:r>
        <w:rPr>
          <w:rStyle w:val="CharPartNo"/>
        </w:rPr>
        <w:lastRenderedPageBreak/>
        <w:t>Part 2</w:t>
      </w:r>
      <w:r>
        <w:t> — </w:t>
      </w:r>
      <w:r>
        <w:rPr>
          <w:rStyle w:val="CharPartText"/>
        </w:rPr>
        <w:t>The licensing authority</w:t>
      </w:r>
      <w:bookmarkEnd w:id="16"/>
      <w:bookmarkEnd w:id="17"/>
      <w:bookmarkEnd w:id="18"/>
      <w:bookmarkEnd w:id="19"/>
      <w:bookmarkEnd w:id="20"/>
      <w:bookmarkEnd w:id="21"/>
      <w:r>
        <w:rPr>
          <w:rStyle w:val="CharPartText"/>
        </w:rPr>
        <w:t xml:space="preserve"> </w:t>
      </w:r>
    </w:p>
    <w:p>
      <w:pPr>
        <w:pStyle w:val="Heading3"/>
        <w:rPr>
          <w:snapToGrid w:val="0"/>
        </w:rPr>
      </w:pPr>
      <w:bookmarkStart w:id="22" w:name="_Toc122336765"/>
      <w:bookmarkStart w:id="23" w:name="_Toc122342679"/>
      <w:bookmarkStart w:id="24" w:name="_Toc122513090"/>
      <w:bookmarkStart w:id="25" w:name="_Toc131519653"/>
      <w:bookmarkStart w:id="26" w:name="_Toc131520213"/>
      <w:bookmarkStart w:id="27" w:name="_Toc131586295"/>
      <w:r>
        <w:rPr>
          <w:rStyle w:val="CharDivNo"/>
        </w:rPr>
        <w:t>Division 1</w:t>
      </w:r>
      <w:r>
        <w:rPr>
          <w:snapToGrid w:val="0"/>
        </w:rPr>
        <w:t> — </w:t>
      </w:r>
      <w:r>
        <w:rPr>
          <w:rStyle w:val="CharDivText"/>
        </w:rPr>
        <w:t>The licensing authority</w:t>
      </w:r>
      <w:bookmarkEnd w:id="22"/>
      <w:bookmarkEnd w:id="23"/>
      <w:bookmarkEnd w:id="24"/>
      <w:bookmarkEnd w:id="25"/>
      <w:bookmarkEnd w:id="26"/>
      <w:bookmarkEnd w:id="27"/>
      <w:r>
        <w:rPr>
          <w:rStyle w:val="CharDivText"/>
        </w:rPr>
        <w:t xml:space="preserve"> </w:t>
      </w:r>
    </w:p>
    <w:p>
      <w:pPr>
        <w:pStyle w:val="Heading5"/>
        <w:spacing w:before="180"/>
        <w:rPr>
          <w:snapToGrid w:val="0"/>
        </w:rPr>
      </w:pPr>
      <w:bookmarkStart w:id="28" w:name="_Toc131586296"/>
      <w:r>
        <w:rPr>
          <w:rStyle w:val="CharSectno"/>
        </w:rPr>
        <w:t>7</w:t>
      </w:r>
      <w:r>
        <w:rPr>
          <w:snapToGrid w:val="0"/>
        </w:rPr>
        <w:t>.</w:t>
      </w:r>
      <w:r>
        <w:rPr>
          <w:snapToGrid w:val="0"/>
        </w:rPr>
        <w:tab/>
        <w:t>Constitution and jurisdiction of licensing authority</w:t>
      </w:r>
      <w:bookmarkEnd w:id="28"/>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No. 12 of 1998 s. 8; No. 73 of 2006 s. 10 and 106.] </w:t>
      </w:r>
    </w:p>
    <w:p>
      <w:pPr>
        <w:pStyle w:val="Heading3"/>
        <w:spacing w:before="200"/>
        <w:rPr>
          <w:rStyle w:val="CharDivText"/>
        </w:rPr>
      </w:pPr>
      <w:bookmarkStart w:id="29" w:name="_Toc122336767"/>
      <w:bookmarkStart w:id="30" w:name="_Toc122342681"/>
      <w:bookmarkStart w:id="31" w:name="_Toc122513092"/>
      <w:bookmarkStart w:id="32" w:name="_Toc131519655"/>
      <w:bookmarkStart w:id="33" w:name="_Toc131520215"/>
      <w:bookmarkStart w:id="34" w:name="_Toc131586297"/>
      <w:r>
        <w:rPr>
          <w:rStyle w:val="CharDivNo"/>
        </w:rPr>
        <w:t>Division 2</w:t>
      </w:r>
      <w:r>
        <w:t> — </w:t>
      </w:r>
      <w:r>
        <w:rPr>
          <w:rStyle w:val="CharDivText"/>
        </w:rPr>
        <w:t>The Liquor Commission</w:t>
      </w:r>
      <w:bookmarkEnd w:id="29"/>
      <w:bookmarkEnd w:id="30"/>
      <w:bookmarkEnd w:id="31"/>
      <w:bookmarkEnd w:id="32"/>
      <w:bookmarkEnd w:id="33"/>
      <w:bookmarkEnd w:id="34"/>
    </w:p>
    <w:p>
      <w:pPr>
        <w:pStyle w:val="Footnoteheading"/>
      </w:pPr>
      <w:r>
        <w:tab/>
        <w:t>[Heading inserted: No. 73 of 2006 s. 11.]</w:t>
      </w:r>
    </w:p>
    <w:p>
      <w:pPr>
        <w:pStyle w:val="Heading5"/>
        <w:keepNext w:val="0"/>
        <w:keepLines w:val="0"/>
        <w:spacing w:before="180"/>
      </w:pPr>
      <w:bookmarkStart w:id="35" w:name="_Toc131586298"/>
      <w:r>
        <w:rPr>
          <w:rStyle w:val="CharSectno"/>
        </w:rPr>
        <w:t>8</w:t>
      </w:r>
      <w:r>
        <w:t>.</w:t>
      </w:r>
      <w:r>
        <w:tab/>
        <w:t>Commission established</w:t>
      </w:r>
      <w:bookmarkEnd w:id="35"/>
    </w:p>
    <w:p>
      <w:pPr>
        <w:pStyle w:val="Subsection"/>
        <w:spacing w:before="120"/>
      </w:pPr>
      <w:r>
        <w:tab/>
      </w:r>
      <w:r>
        <w:tab/>
        <w:t>A commission called the Liquor Commission is established.</w:t>
      </w:r>
    </w:p>
    <w:p>
      <w:pPr>
        <w:pStyle w:val="Footnotesection"/>
        <w:spacing w:before="60"/>
        <w:ind w:left="890" w:hanging="890"/>
      </w:pPr>
      <w:r>
        <w:tab/>
        <w:t>[Section 8 inserted: No. 73 of 2006 s. 11.]</w:t>
      </w:r>
    </w:p>
    <w:p>
      <w:pPr>
        <w:pStyle w:val="Heading5"/>
      </w:pPr>
      <w:bookmarkStart w:id="36" w:name="_Toc131586299"/>
      <w:r>
        <w:rPr>
          <w:rStyle w:val="CharSectno"/>
        </w:rPr>
        <w:lastRenderedPageBreak/>
        <w:t>9</w:t>
      </w:r>
      <w:r>
        <w:t>.</w:t>
      </w:r>
      <w:r>
        <w:tab/>
        <w:t>Jurisdiction of Commission</w:t>
      </w:r>
      <w:bookmarkEnd w:id="3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No. 73 of 2006 s. 11.]</w:t>
      </w:r>
    </w:p>
    <w:p>
      <w:pPr>
        <w:pStyle w:val="Heading5"/>
      </w:pPr>
      <w:bookmarkStart w:id="37" w:name="_Toc131586300"/>
      <w:r>
        <w:rPr>
          <w:rStyle w:val="CharSectno"/>
        </w:rPr>
        <w:t>9A</w:t>
      </w:r>
      <w:r>
        <w:t>.</w:t>
      </w:r>
      <w:r>
        <w:tab/>
        <w:t>Constitution of Commission</w:t>
      </w:r>
      <w:bookmarkEnd w:id="37"/>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No. 73 of 2006 s. 11.]</w:t>
      </w:r>
    </w:p>
    <w:p>
      <w:pPr>
        <w:pStyle w:val="Heading3"/>
      </w:pPr>
      <w:bookmarkStart w:id="38" w:name="_Toc122336771"/>
      <w:bookmarkStart w:id="39" w:name="_Toc122342685"/>
      <w:bookmarkStart w:id="40" w:name="_Toc122513096"/>
      <w:bookmarkStart w:id="41" w:name="_Toc131519659"/>
      <w:bookmarkStart w:id="42" w:name="_Toc131520219"/>
      <w:bookmarkStart w:id="43" w:name="_Toc131586301"/>
      <w:r>
        <w:rPr>
          <w:rStyle w:val="CharDivNo"/>
        </w:rPr>
        <w:t>Division 2A</w:t>
      </w:r>
      <w:r>
        <w:t> — </w:t>
      </w:r>
      <w:r>
        <w:rPr>
          <w:rStyle w:val="CharDivText"/>
        </w:rPr>
        <w:t>Members of the Commission</w:t>
      </w:r>
      <w:bookmarkEnd w:id="38"/>
      <w:bookmarkEnd w:id="39"/>
      <w:bookmarkEnd w:id="40"/>
      <w:bookmarkEnd w:id="41"/>
      <w:bookmarkEnd w:id="42"/>
      <w:bookmarkEnd w:id="43"/>
    </w:p>
    <w:p>
      <w:pPr>
        <w:pStyle w:val="Footnoteheading"/>
      </w:pPr>
      <w:r>
        <w:tab/>
        <w:t>[Heading inserted: No. 73 of 2006 s. 11.]</w:t>
      </w:r>
    </w:p>
    <w:p>
      <w:pPr>
        <w:pStyle w:val="Heading5"/>
      </w:pPr>
      <w:bookmarkStart w:id="44" w:name="_Toc131586302"/>
      <w:r>
        <w:rPr>
          <w:rStyle w:val="CharSectno"/>
        </w:rPr>
        <w:t>9B</w:t>
      </w:r>
      <w:r>
        <w:t>.</w:t>
      </w:r>
      <w:r>
        <w:tab/>
        <w:t>Commission members</w:t>
      </w:r>
      <w:bookmarkEnd w:id="4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lastRenderedPageBreak/>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No. 73 of 2006 s. 11; amended: No. 21 of 2008 s. 675(3).]</w:t>
      </w:r>
    </w:p>
    <w:p>
      <w:pPr>
        <w:pStyle w:val="Heading5"/>
      </w:pPr>
      <w:bookmarkStart w:id="45" w:name="_Toc131586303"/>
      <w:r>
        <w:rPr>
          <w:rStyle w:val="CharSectno"/>
        </w:rPr>
        <w:t>9C</w:t>
      </w:r>
      <w:r>
        <w:t>.</w:t>
      </w:r>
      <w:r>
        <w:tab/>
        <w:t>Tenure of office</w:t>
      </w:r>
      <w:bookmarkEnd w:id="4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No. 73 of 2006 s. 11.]</w:t>
      </w:r>
    </w:p>
    <w:p>
      <w:pPr>
        <w:pStyle w:val="Heading5"/>
      </w:pPr>
      <w:bookmarkStart w:id="46" w:name="_Toc131586304"/>
      <w:r>
        <w:rPr>
          <w:rStyle w:val="CharSectno"/>
        </w:rPr>
        <w:t>9D</w:t>
      </w:r>
      <w:r>
        <w:t>.</w:t>
      </w:r>
      <w:r>
        <w:tab/>
        <w:t>Deputy chairperson</w:t>
      </w:r>
      <w:bookmarkEnd w:id="4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No. 73 of 2006 s. 11.]</w:t>
      </w:r>
    </w:p>
    <w:p>
      <w:pPr>
        <w:pStyle w:val="Heading5"/>
      </w:pPr>
      <w:bookmarkStart w:id="47" w:name="_Toc131586305"/>
      <w:r>
        <w:rPr>
          <w:rStyle w:val="CharSectno"/>
        </w:rPr>
        <w:lastRenderedPageBreak/>
        <w:t>9E</w:t>
      </w:r>
      <w:r>
        <w:t>.</w:t>
      </w:r>
      <w:r>
        <w:tab/>
        <w:t>Removal or resignation</w:t>
      </w:r>
      <w:bookmarkEnd w:id="47"/>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No. 73 of 2006 s. 11.]</w:t>
      </w:r>
    </w:p>
    <w:p>
      <w:pPr>
        <w:pStyle w:val="Heading5"/>
      </w:pPr>
      <w:bookmarkStart w:id="48" w:name="_Toc131586306"/>
      <w:r>
        <w:rPr>
          <w:rStyle w:val="CharSectno"/>
        </w:rPr>
        <w:t>9F</w:t>
      </w:r>
      <w:r>
        <w:t>.</w:t>
      </w:r>
      <w:r>
        <w:tab/>
        <w:t>Leave of absence</w:t>
      </w:r>
      <w:bookmarkEnd w:id="48"/>
    </w:p>
    <w:p>
      <w:pPr>
        <w:pStyle w:val="Subsection"/>
      </w:pPr>
      <w:r>
        <w:tab/>
      </w:r>
      <w:r>
        <w:tab/>
        <w:t>The Minister may grant leave of absence to a member on the terms and conditions that the Minister thinks fit.</w:t>
      </w:r>
    </w:p>
    <w:p>
      <w:pPr>
        <w:pStyle w:val="Footnotesection"/>
      </w:pPr>
      <w:r>
        <w:tab/>
        <w:t>[Section 9F inserted: No. 73 of 2006 s. 11.]</w:t>
      </w:r>
    </w:p>
    <w:p>
      <w:pPr>
        <w:pStyle w:val="Heading5"/>
      </w:pPr>
      <w:bookmarkStart w:id="49" w:name="_Toc131586307"/>
      <w:r>
        <w:rPr>
          <w:rStyle w:val="CharSectno"/>
        </w:rPr>
        <w:t>9G</w:t>
      </w:r>
      <w:r>
        <w:t>.</w:t>
      </w:r>
      <w:r>
        <w:tab/>
        <w:t>Member whose term has expired may continue in office</w:t>
      </w:r>
      <w:bookmarkEnd w:id="4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No. 73 of 2006 s. 11.]</w:t>
      </w:r>
    </w:p>
    <w:p>
      <w:pPr>
        <w:pStyle w:val="Heading5"/>
      </w:pPr>
      <w:bookmarkStart w:id="50" w:name="_Toc131586308"/>
      <w:r>
        <w:rPr>
          <w:rStyle w:val="CharSectno"/>
        </w:rPr>
        <w:lastRenderedPageBreak/>
        <w:t>9H</w:t>
      </w:r>
      <w:r>
        <w:t>.</w:t>
      </w:r>
      <w:r>
        <w:tab/>
        <w:t>Remuneration and conditions of office</w:t>
      </w:r>
      <w:bookmarkEnd w:id="5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No. 73 of 2006 s. 11; amended: No. 39 of 2010 s. 89.]</w:t>
      </w:r>
    </w:p>
    <w:p>
      <w:pPr>
        <w:pStyle w:val="Heading3"/>
      </w:pPr>
      <w:bookmarkStart w:id="51" w:name="_Toc122336779"/>
      <w:bookmarkStart w:id="52" w:name="_Toc122342693"/>
      <w:bookmarkStart w:id="53" w:name="_Toc122513104"/>
      <w:bookmarkStart w:id="54" w:name="_Toc131519667"/>
      <w:bookmarkStart w:id="55" w:name="_Toc131520227"/>
      <w:bookmarkStart w:id="56" w:name="_Toc131586309"/>
      <w:r>
        <w:rPr>
          <w:rStyle w:val="CharDivNo"/>
        </w:rPr>
        <w:t>Division 2B</w:t>
      </w:r>
      <w:r>
        <w:t> — </w:t>
      </w:r>
      <w:r>
        <w:rPr>
          <w:rStyle w:val="CharDivText"/>
        </w:rPr>
        <w:t>Other matters</w:t>
      </w:r>
      <w:bookmarkEnd w:id="51"/>
      <w:bookmarkEnd w:id="52"/>
      <w:bookmarkEnd w:id="53"/>
      <w:bookmarkEnd w:id="54"/>
      <w:bookmarkEnd w:id="55"/>
      <w:bookmarkEnd w:id="56"/>
    </w:p>
    <w:p>
      <w:pPr>
        <w:pStyle w:val="Footnoteheading"/>
      </w:pPr>
      <w:r>
        <w:tab/>
        <w:t>[Heading inserted: No. 73 of 2006 s. 11.]</w:t>
      </w:r>
    </w:p>
    <w:p>
      <w:pPr>
        <w:pStyle w:val="Heading5"/>
        <w:spacing w:before="240"/>
      </w:pPr>
      <w:bookmarkStart w:id="57" w:name="_Toc131586310"/>
      <w:r>
        <w:rPr>
          <w:rStyle w:val="CharSectno"/>
        </w:rPr>
        <w:t>9I</w:t>
      </w:r>
      <w:r>
        <w:t>.</w:t>
      </w:r>
      <w:r>
        <w:tab/>
        <w:t>Decisions of Commission to be written etc.</w:t>
      </w:r>
      <w:bookmarkEnd w:id="57"/>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No. 73 of 2006 s. 11.]</w:t>
      </w:r>
    </w:p>
    <w:p>
      <w:pPr>
        <w:pStyle w:val="Heading5"/>
        <w:spacing w:before="240"/>
      </w:pPr>
      <w:bookmarkStart w:id="58" w:name="_Toc131586311"/>
      <w:r>
        <w:rPr>
          <w:rStyle w:val="CharSectno"/>
        </w:rPr>
        <w:t>9J</w:t>
      </w:r>
      <w:r>
        <w:t>.</w:t>
      </w:r>
      <w:r>
        <w:tab/>
        <w:t>Seal of Commission</w:t>
      </w:r>
      <w:bookmarkEnd w:id="5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lastRenderedPageBreak/>
        <w:tab/>
        <w:t>(3)</w:t>
      </w:r>
      <w:r>
        <w:tab/>
        <w:t>If the official seal of the Commission is affixed to a document, a court or person acting judicially is to presume that it was properly affixed unless the contrary is proved.</w:t>
      </w:r>
    </w:p>
    <w:p>
      <w:pPr>
        <w:pStyle w:val="Footnotesection"/>
      </w:pPr>
      <w:r>
        <w:tab/>
        <w:t>[Section 9J inserted: No. 73 of 2006 s. 11.]</w:t>
      </w:r>
    </w:p>
    <w:p>
      <w:pPr>
        <w:pStyle w:val="Heading5"/>
      </w:pPr>
      <w:bookmarkStart w:id="59" w:name="_Toc131586312"/>
      <w:r>
        <w:rPr>
          <w:rStyle w:val="CharSectno"/>
        </w:rPr>
        <w:t>9K</w:t>
      </w:r>
      <w:r>
        <w:t>.</w:t>
      </w:r>
      <w:r>
        <w:tab/>
        <w:t>Annual reports by Commission</w:t>
      </w:r>
      <w:bookmarkEnd w:id="59"/>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No. 73 of 2006 s. 11.]</w:t>
      </w:r>
    </w:p>
    <w:p>
      <w:pPr>
        <w:pStyle w:val="Heading5"/>
        <w:spacing w:before="180"/>
      </w:pPr>
      <w:bookmarkStart w:id="60" w:name="_Toc131586313"/>
      <w:r>
        <w:rPr>
          <w:rStyle w:val="CharSectno"/>
        </w:rPr>
        <w:lastRenderedPageBreak/>
        <w:t>9L</w:t>
      </w:r>
      <w:r>
        <w:t>.</w:t>
      </w:r>
      <w:r>
        <w:tab/>
        <w:t>Laying annual report before House of Parliament not sitting</w:t>
      </w:r>
      <w:bookmarkEnd w:id="60"/>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No. 73 of 2006 s. 11.]</w:t>
      </w:r>
    </w:p>
    <w:p>
      <w:pPr>
        <w:pStyle w:val="Heading5"/>
      </w:pPr>
      <w:bookmarkStart w:id="61" w:name="_Toc131586314"/>
      <w:r>
        <w:rPr>
          <w:rStyle w:val="CharSectno"/>
        </w:rPr>
        <w:t>9M</w:t>
      </w:r>
      <w:r>
        <w:t>.</w:t>
      </w:r>
      <w:r>
        <w:tab/>
        <w:t>Protection and immunity of members, parties etc.</w:t>
      </w:r>
      <w:bookmarkEnd w:id="61"/>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lastRenderedPageBreak/>
        <w:tab/>
        <w:t>(4)</w:t>
      </w:r>
      <w:r>
        <w:tab/>
        <w:t>A person appearing as a witness before the Commission has the same protection and immunity as a witness has in proceedings in the Supreme Court.</w:t>
      </w:r>
    </w:p>
    <w:p>
      <w:pPr>
        <w:pStyle w:val="Footnotesection"/>
      </w:pPr>
      <w:r>
        <w:tab/>
        <w:t>[Section 9M inserted: No. 73 of 2006 s. 11; amended: No. 21 of 2008 s. 675(3).]</w:t>
      </w:r>
    </w:p>
    <w:p>
      <w:pPr>
        <w:pStyle w:val="Ednotesection"/>
        <w:spacing w:before="180"/>
        <w:ind w:left="890" w:hanging="890"/>
      </w:pPr>
      <w:r>
        <w:t>[</w:t>
      </w:r>
      <w:r>
        <w:rPr>
          <w:b/>
        </w:rPr>
        <w:t>10</w:t>
      </w:r>
      <w:r>
        <w:rPr>
          <w:b/>
        </w:rPr>
        <w:noBreakHyphen/>
        <w:t>11.</w:t>
      </w:r>
      <w:r>
        <w:tab/>
        <w:t>Deleted: No. 27 of 2000 s. 12.]</w:t>
      </w:r>
    </w:p>
    <w:p>
      <w:pPr>
        <w:pStyle w:val="Ednotesection"/>
        <w:spacing w:before="180"/>
        <w:ind w:left="890" w:hanging="890"/>
      </w:pPr>
      <w:r>
        <w:t>[</w:t>
      </w:r>
      <w:r>
        <w:rPr>
          <w:b/>
        </w:rPr>
        <w:t>12.</w:t>
      </w:r>
      <w:r>
        <w:rPr>
          <w:b/>
        </w:rPr>
        <w:tab/>
      </w:r>
      <w:r>
        <w:t>Deleted: No. 12 of 1998 s. 10(1).]</w:t>
      </w:r>
    </w:p>
    <w:p>
      <w:pPr>
        <w:pStyle w:val="Heading3"/>
        <w:rPr>
          <w:snapToGrid w:val="0"/>
        </w:rPr>
      </w:pPr>
      <w:bookmarkStart w:id="62" w:name="_Toc122336785"/>
      <w:bookmarkStart w:id="63" w:name="_Toc122342699"/>
      <w:bookmarkStart w:id="64" w:name="_Toc122513110"/>
      <w:bookmarkStart w:id="65" w:name="_Toc131519673"/>
      <w:bookmarkStart w:id="66" w:name="_Toc131520233"/>
      <w:bookmarkStart w:id="67" w:name="_Toc131586315"/>
      <w:r>
        <w:rPr>
          <w:rStyle w:val="CharDivNo"/>
        </w:rPr>
        <w:t>Division 3</w:t>
      </w:r>
      <w:r>
        <w:rPr>
          <w:snapToGrid w:val="0"/>
        </w:rPr>
        <w:t> — </w:t>
      </w:r>
      <w:r>
        <w:rPr>
          <w:rStyle w:val="CharDivText"/>
        </w:rPr>
        <w:t>The Director of Liquor Licensing</w:t>
      </w:r>
      <w:bookmarkEnd w:id="62"/>
      <w:bookmarkEnd w:id="63"/>
      <w:bookmarkEnd w:id="64"/>
      <w:bookmarkEnd w:id="65"/>
      <w:bookmarkEnd w:id="66"/>
      <w:bookmarkEnd w:id="67"/>
      <w:r>
        <w:rPr>
          <w:rStyle w:val="CharDivText"/>
        </w:rPr>
        <w:t xml:space="preserve"> </w:t>
      </w:r>
    </w:p>
    <w:p>
      <w:pPr>
        <w:pStyle w:val="Heading5"/>
        <w:spacing w:before="240"/>
        <w:rPr>
          <w:snapToGrid w:val="0"/>
        </w:rPr>
      </w:pPr>
      <w:bookmarkStart w:id="68" w:name="_Toc131586316"/>
      <w:r>
        <w:rPr>
          <w:rStyle w:val="CharSectno"/>
        </w:rPr>
        <w:t>13</w:t>
      </w:r>
      <w:r>
        <w:rPr>
          <w:snapToGrid w:val="0"/>
        </w:rPr>
        <w:t>.</w:t>
      </w:r>
      <w:r>
        <w:rPr>
          <w:snapToGrid w:val="0"/>
        </w:rPr>
        <w:tab/>
        <w:t>Functions of and hearings by Director</w:t>
      </w:r>
      <w:bookmarkEnd w:id="68"/>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lastRenderedPageBreak/>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No. 32 of 1994 s. 3(2); No. 73 of 2006 s. 12.] </w:t>
      </w:r>
    </w:p>
    <w:p>
      <w:pPr>
        <w:pStyle w:val="Heading5"/>
        <w:spacing w:before="180"/>
        <w:rPr>
          <w:snapToGrid w:val="0"/>
        </w:rPr>
      </w:pPr>
      <w:bookmarkStart w:id="69" w:name="_Toc131586317"/>
      <w:r>
        <w:rPr>
          <w:rStyle w:val="CharSectno"/>
        </w:rPr>
        <w:t>14</w:t>
      </w:r>
      <w:r>
        <w:rPr>
          <w:snapToGrid w:val="0"/>
        </w:rPr>
        <w:t>.</w:t>
      </w:r>
      <w:r>
        <w:rPr>
          <w:snapToGrid w:val="0"/>
        </w:rPr>
        <w:tab/>
        <w:t>Inspectors etc., appointment of etc.</w:t>
      </w:r>
      <w:bookmarkEnd w:id="69"/>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lastRenderedPageBreak/>
        <w:tab/>
        <w:t>(3)</w:t>
      </w:r>
      <w:r>
        <w:rPr>
          <w:snapToGrid w:val="0"/>
        </w:rPr>
        <w:tab/>
        <w:t>The Director shall furnish to — </w:t>
      </w:r>
    </w:p>
    <w:p>
      <w:pPr>
        <w:pStyle w:val="Indenta"/>
      </w:pPr>
      <w:r>
        <w:tab/>
        <w:t>(a)</w:t>
      </w:r>
      <w:r>
        <w:tab/>
        <w:t>an inspector;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No. 32 of 1994 s. 3(2); No. 56 of 1997 s. 28; No. 73 of 2006 s. 106 and 111(1); No. 9 of 2018 s. 7.] </w:t>
      </w:r>
    </w:p>
    <w:p>
      <w:pPr>
        <w:pStyle w:val="Heading3"/>
        <w:rPr>
          <w:snapToGrid w:val="0"/>
        </w:rPr>
      </w:pPr>
      <w:bookmarkStart w:id="70" w:name="_Toc122336788"/>
      <w:bookmarkStart w:id="71" w:name="_Toc122342702"/>
      <w:bookmarkStart w:id="72" w:name="_Toc122513113"/>
      <w:bookmarkStart w:id="73" w:name="_Toc131519676"/>
      <w:bookmarkStart w:id="74" w:name="_Toc131520236"/>
      <w:bookmarkStart w:id="75" w:name="_Toc131586318"/>
      <w:r>
        <w:rPr>
          <w:rStyle w:val="CharDivNo"/>
        </w:rPr>
        <w:t>Division 4</w:t>
      </w:r>
      <w:r>
        <w:rPr>
          <w:snapToGrid w:val="0"/>
        </w:rPr>
        <w:t> — </w:t>
      </w:r>
      <w:r>
        <w:rPr>
          <w:rStyle w:val="CharDivText"/>
        </w:rPr>
        <w:t>Other staff of the licensing authority</w:t>
      </w:r>
      <w:bookmarkEnd w:id="70"/>
      <w:bookmarkEnd w:id="71"/>
      <w:bookmarkEnd w:id="72"/>
      <w:bookmarkEnd w:id="73"/>
      <w:bookmarkEnd w:id="74"/>
      <w:bookmarkEnd w:id="75"/>
      <w:r>
        <w:rPr>
          <w:rStyle w:val="CharDivText"/>
        </w:rPr>
        <w:t xml:space="preserve"> </w:t>
      </w:r>
    </w:p>
    <w:p>
      <w:pPr>
        <w:pStyle w:val="Heading5"/>
        <w:rPr>
          <w:snapToGrid w:val="0"/>
        </w:rPr>
      </w:pPr>
      <w:bookmarkStart w:id="76" w:name="_Toc131586319"/>
      <w:r>
        <w:rPr>
          <w:rStyle w:val="CharSectno"/>
        </w:rPr>
        <w:t>15</w:t>
      </w:r>
      <w:r>
        <w:rPr>
          <w:snapToGrid w:val="0"/>
        </w:rPr>
        <w:t>.</w:t>
      </w:r>
      <w:r>
        <w:rPr>
          <w:snapToGrid w:val="0"/>
        </w:rPr>
        <w:tab/>
        <w:t>Director may delegate etc.</w:t>
      </w:r>
      <w:bookmarkEnd w:id="76"/>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keepNext/>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lastRenderedPageBreak/>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77" w:name="_Toc122336790"/>
      <w:bookmarkStart w:id="78" w:name="_Toc122342704"/>
      <w:bookmarkStart w:id="79" w:name="_Toc122513115"/>
      <w:bookmarkStart w:id="80" w:name="_Toc131519678"/>
      <w:bookmarkStart w:id="81" w:name="_Toc131520238"/>
      <w:bookmarkStart w:id="82" w:name="_Toc131586320"/>
      <w:r>
        <w:rPr>
          <w:rStyle w:val="CharDivNo"/>
        </w:rPr>
        <w:t>Division 5</w:t>
      </w:r>
      <w:r>
        <w:rPr>
          <w:snapToGrid w:val="0"/>
        </w:rPr>
        <w:t> — </w:t>
      </w:r>
      <w:r>
        <w:rPr>
          <w:rStyle w:val="CharDivText"/>
        </w:rPr>
        <w:t>Proceedings before the licensing authority</w:t>
      </w:r>
      <w:bookmarkEnd w:id="77"/>
      <w:bookmarkEnd w:id="78"/>
      <w:bookmarkEnd w:id="79"/>
      <w:bookmarkEnd w:id="80"/>
      <w:bookmarkEnd w:id="81"/>
      <w:bookmarkEnd w:id="82"/>
      <w:r>
        <w:rPr>
          <w:rStyle w:val="CharDivText"/>
        </w:rPr>
        <w:t xml:space="preserve"> </w:t>
      </w:r>
    </w:p>
    <w:p>
      <w:pPr>
        <w:pStyle w:val="Heading5"/>
        <w:spacing w:before="180"/>
        <w:rPr>
          <w:snapToGrid w:val="0"/>
        </w:rPr>
      </w:pPr>
      <w:bookmarkStart w:id="83" w:name="_Toc131586321"/>
      <w:r>
        <w:rPr>
          <w:rStyle w:val="CharSectno"/>
        </w:rPr>
        <w:t>16</w:t>
      </w:r>
      <w:r>
        <w:rPr>
          <w:snapToGrid w:val="0"/>
        </w:rPr>
        <w:t>.</w:t>
      </w:r>
      <w:r>
        <w:rPr>
          <w:snapToGrid w:val="0"/>
        </w:rPr>
        <w:tab/>
        <w:t>Procedure, sittings, use of experts, evidentiary rules etc.</w:t>
      </w:r>
      <w:bookmarkEnd w:id="83"/>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lastRenderedPageBreak/>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lastRenderedPageBreak/>
        <w:tab/>
        <w:t>(c)</w:t>
      </w:r>
      <w:r>
        <w:tab/>
        <w:t>is to act as speedily and with as little formality and technicality as is practicable.</w:t>
      </w:r>
    </w:p>
    <w:p>
      <w:pPr>
        <w:pStyle w:val="Subsection"/>
      </w:pPr>
      <w:r>
        <w:tab/>
        <w:t>(8)</w:t>
      </w:r>
      <w:r>
        <w:tab/>
        <w:t>The hearing of a proceeding before the Commission must be in public unless the Commission considers that, in the circumstances of the case, the hearing should be in private.</w:t>
      </w:r>
    </w:p>
    <w:p>
      <w:pPr>
        <w:pStyle w:val="Subsection"/>
        <w:spacing w:before="180"/>
      </w:pPr>
      <w:r>
        <w:rPr>
          <w:snapToGrid w:val="0"/>
        </w:rPr>
        <w:tab/>
        <w:t>(9)</w:t>
      </w:r>
      <w:r>
        <w:rPr>
          <w:snapToGrid w:val="0"/>
        </w:rPr>
        <w:tab/>
      </w:r>
      <w:r>
        <w:t xml:space="preserve">When the hearing of a proceeding before the licensing authority, however constituted, is in private, the licensing authority,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 xml:space="preserve">the Commission shall take as the basis of its consideration the principle that it is desirable that evidence given before the Commission and the contents of documents lodged with the licensing authority or received in evidence by the licensing </w:t>
      </w:r>
      <w:r>
        <w:rPr>
          <w:snapToGrid w:val="0"/>
        </w:rPr>
        <w:lastRenderedPageBreak/>
        <w:t>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pPr>
      <w:r>
        <w:tab/>
        <w:t>(11)</w:t>
      </w:r>
      <w:r>
        <w:tab/>
        <w:t xml:space="preserve">Subject to subsections (8) and (9) and section 30, the licensing authority must ensure that each party to proceedings is given a reasonable opportunity to — </w:t>
      </w:r>
    </w:p>
    <w:p>
      <w:pPr>
        <w:pStyle w:val="Indenta"/>
      </w:pPr>
      <w:r>
        <w:tab/>
        <w:t>(a)</w:t>
      </w:r>
      <w:r>
        <w:tab/>
        <w:t>present its case to the licensing authority; and</w:t>
      </w:r>
    </w:p>
    <w:p>
      <w:pPr>
        <w:pStyle w:val="Indenta"/>
      </w:pPr>
      <w:r>
        <w:tab/>
        <w:t>(b)</w:t>
      </w:r>
      <w:r>
        <w:tab/>
        <w:t xml:space="preserve">inspect any documents — </w:t>
      </w:r>
    </w:p>
    <w:p>
      <w:pPr>
        <w:pStyle w:val="Indenti"/>
      </w:pPr>
      <w:r>
        <w:tab/>
        <w:t>(i)</w:t>
      </w:r>
      <w:r>
        <w:tab/>
        <w:t>to which the licensing authority proposes to have regard in making a determination in the proceedings; and</w:t>
      </w:r>
    </w:p>
    <w:p>
      <w:pPr>
        <w:pStyle w:val="Indenti"/>
      </w:pPr>
      <w:r>
        <w:tab/>
        <w:t>(ii)</w:t>
      </w:r>
      <w:r>
        <w:tab/>
        <w:t>that are relevant to the party’s case;</w:t>
      </w:r>
    </w:p>
    <w:p>
      <w:pPr>
        <w:pStyle w:val="Indenta"/>
      </w:pPr>
      <w:r>
        <w:tab/>
      </w:r>
      <w:r>
        <w:tab/>
        <w:t>and</w:t>
      </w:r>
    </w:p>
    <w:p>
      <w:pPr>
        <w:pStyle w:val="Indenta"/>
      </w:pPr>
      <w:r>
        <w:tab/>
        <w:t>(c)</w:t>
      </w:r>
      <w:r>
        <w:tab/>
        <w:t>make submissions in relation to any documents inspected under paragraph (b).</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lastRenderedPageBreak/>
        <w:tab/>
        <w:t xml:space="preserve">[Section 16 amended: No. 12 of 1998 s. 10(2), (3), (4) and (5) and 11; No. 27 of 2000 s. 13; No. 59 of 2004 s. 141; No. 73 of 2006 s. 13 and 106; No. 56 of 2010 s. 37; No. 9 of 2018 s. 8.] </w:t>
      </w:r>
    </w:p>
    <w:p>
      <w:pPr>
        <w:pStyle w:val="Heading5"/>
        <w:rPr>
          <w:snapToGrid w:val="0"/>
        </w:rPr>
      </w:pPr>
      <w:bookmarkStart w:id="84" w:name="_Toc131586322"/>
      <w:r>
        <w:rPr>
          <w:rStyle w:val="CharSectno"/>
        </w:rPr>
        <w:t>17</w:t>
      </w:r>
      <w:r>
        <w:rPr>
          <w:snapToGrid w:val="0"/>
        </w:rPr>
        <w:t>.</w:t>
      </w:r>
      <w:r>
        <w:rPr>
          <w:snapToGrid w:val="0"/>
        </w:rPr>
        <w:tab/>
        <w:t>Representation of parties</w:t>
      </w:r>
      <w:bookmarkEnd w:id="84"/>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No. 12 of 1998 s. 12.] </w:t>
      </w:r>
    </w:p>
    <w:p>
      <w:pPr>
        <w:pStyle w:val="Heading5"/>
        <w:rPr>
          <w:snapToGrid w:val="0"/>
        </w:rPr>
      </w:pPr>
      <w:bookmarkStart w:id="85" w:name="_Toc131586323"/>
      <w:r>
        <w:rPr>
          <w:rStyle w:val="CharSectno"/>
        </w:rPr>
        <w:t>18</w:t>
      </w:r>
      <w:r>
        <w:rPr>
          <w:snapToGrid w:val="0"/>
        </w:rPr>
        <w:t>.</w:t>
      </w:r>
      <w:r>
        <w:rPr>
          <w:snapToGrid w:val="0"/>
        </w:rPr>
        <w:tab/>
        <w:t>Witnesses and evidence, powers to summon etc.</w:t>
      </w:r>
      <w:bookmarkEnd w:id="85"/>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lastRenderedPageBreak/>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keepNext/>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No. 12 of 1998 s. 10(6) and (7); No. 73 of 2006 s. 14 and 106.] </w:t>
      </w:r>
    </w:p>
    <w:p>
      <w:pPr>
        <w:pStyle w:val="Heading5"/>
      </w:pPr>
      <w:bookmarkStart w:id="86" w:name="_Toc131586324"/>
      <w:r>
        <w:rPr>
          <w:rStyle w:val="CharSectno"/>
        </w:rPr>
        <w:lastRenderedPageBreak/>
        <w:t>18AA</w:t>
      </w:r>
      <w:r>
        <w:t>.</w:t>
      </w:r>
      <w:r>
        <w:tab/>
        <w:t>Notice of decision</w:t>
      </w:r>
      <w:bookmarkEnd w:id="86"/>
    </w:p>
    <w:p>
      <w:pPr>
        <w:pStyle w:val="Subsection"/>
      </w:pPr>
      <w:r>
        <w:tab/>
        <w:t>(1)</w:t>
      </w:r>
      <w:r>
        <w:tab/>
        <w:t>If the licensing authority, when constituted by the Director, makes a decision in relation to an application, the licensing authority must give to each party to proceedings written notice of —</w:t>
      </w:r>
    </w:p>
    <w:p>
      <w:pPr>
        <w:pStyle w:val="Indenta"/>
      </w:pPr>
      <w:r>
        <w:tab/>
        <w:t>(a)</w:t>
      </w:r>
      <w:r>
        <w:tab/>
        <w:t>the decision; and</w:t>
      </w:r>
    </w:p>
    <w:p>
      <w:pPr>
        <w:pStyle w:val="Indenta"/>
      </w:pPr>
      <w:r>
        <w:tab/>
        <w:t>(b)</w:t>
      </w:r>
      <w:r>
        <w:tab/>
        <w:t>the right of review under section 25.</w:t>
      </w:r>
    </w:p>
    <w:p>
      <w:pPr>
        <w:pStyle w:val="Subsection"/>
      </w:pPr>
      <w:r>
        <w:tab/>
        <w:t>(2)</w:t>
      </w:r>
      <w:r>
        <w:tab/>
        <w:t>The notice may, but need not, include the reasons for the decision.</w:t>
      </w:r>
    </w:p>
    <w:p>
      <w:pPr>
        <w:pStyle w:val="Subsection"/>
      </w:pPr>
      <w:r>
        <w:tab/>
        <w:t>(3)</w:t>
      </w:r>
      <w:r>
        <w:tab/>
        <w:t>If the notice does not include the reasons for the decision, a party to proceedings may, within 28 days after receiving the notice or any longer period that may be allowed by the Director, request the licensing authority to provide the party with the reasons for the decision.</w:t>
      </w:r>
    </w:p>
    <w:p>
      <w:pPr>
        <w:pStyle w:val="Subsection"/>
      </w:pPr>
      <w:r>
        <w:tab/>
        <w:t>(4)</w:t>
      </w:r>
      <w:r>
        <w:tab/>
        <w:t>If a party to proceedings makes a request under subsection (3), the licensing authority must provide the party to proceedings with written reasons for the decision.</w:t>
      </w:r>
    </w:p>
    <w:p>
      <w:pPr>
        <w:pStyle w:val="Footnotesection"/>
      </w:pPr>
      <w:r>
        <w:tab/>
        <w:t xml:space="preserve">[Section 18AA inserted: No. 9 of 2018 s. 9.] </w:t>
      </w:r>
    </w:p>
    <w:p>
      <w:pPr>
        <w:pStyle w:val="Heading5"/>
      </w:pPr>
      <w:bookmarkStart w:id="87" w:name="_Toc131586325"/>
      <w:r>
        <w:rPr>
          <w:rStyle w:val="CharSectno"/>
        </w:rPr>
        <w:t>18A</w:t>
      </w:r>
      <w:r>
        <w:t>.</w:t>
      </w:r>
      <w:r>
        <w:tab/>
        <w:t>Enforcing decisions</w:t>
      </w:r>
      <w:bookmarkEnd w:id="87"/>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lastRenderedPageBreak/>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No. 73 of 2006 s. 15.]</w:t>
      </w:r>
    </w:p>
    <w:p>
      <w:pPr>
        <w:pStyle w:val="Heading5"/>
        <w:rPr>
          <w:snapToGrid w:val="0"/>
        </w:rPr>
      </w:pPr>
      <w:bookmarkStart w:id="88" w:name="_Toc131586326"/>
      <w:r>
        <w:rPr>
          <w:rStyle w:val="CharSectno"/>
        </w:rPr>
        <w:t>19</w:t>
      </w:r>
      <w:r>
        <w:rPr>
          <w:snapToGrid w:val="0"/>
        </w:rPr>
        <w:t>.</w:t>
      </w:r>
      <w:r>
        <w:rPr>
          <w:snapToGrid w:val="0"/>
        </w:rPr>
        <w:tab/>
        <w:t>Enforcing monetary penalties</w:t>
      </w:r>
      <w:bookmarkEnd w:id="88"/>
    </w:p>
    <w:p>
      <w:pPr>
        <w:pStyle w:val="Ednotesubsection"/>
        <w:keepNext/>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No. 92 of 1994 s. 22; No. 73 of 2006 s. 16.] </w:t>
      </w:r>
    </w:p>
    <w:p>
      <w:pPr>
        <w:pStyle w:val="Heading5"/>
        <w:spacing w:before="180"/>
        <w:rPr>
          <w:snapToGrid w:val="0"/>
        </w:rPr>
      </w:pPr>
      <w:bookmarkStart w:id="89" w:name="_Toc131586327"/>
      <w:r>
        <w:rPr>
          <w:rStyle w:val="CharSectno"/>
        </w:rPr>
        <w:t>20</w:t>
      </w:r>
      <w:r>
        <w:rPr>
          <w:snapToGrid w:val="0"/>
        </w:rPr>
        <w:t>.</w:t>
      </w:r>
      <w:r>
        <w:rPr>
          <w:snapToGrid w:val="0"/>
        </w:rPr>
        <w:tab/>
        <w:t>Contempt etc.</w:t>
      </w:r>
      <w:bookmarkEnd w:id="89"/>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lastRenderedPageBreak/>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lastRenderedPageBreak/>
        <w:tab/>
        <w:t>(b)</w:t>
      </w:r>
      <w:r>
        <w:rPr>
          <w:snapToGrid w:val="0"/>
        </w:rPr>
        <w:tab/>
        <w:t>prejudice any proceedings taken or to be taken under section 158.</w:t>
      </w:r>
    </w:p>
    <w:p>
      <w:pPr>
        <w:pStyle w:val="Footnotesection"/>
      </w:pPr>
      <w:r>
        <w:tab/>
        <w:t xml:space="preserve">[Section 20 amended: No. 12 of 1998 s. 10(8); No. 73 of 2006 s. 17 and 106; No. 56 of 2010 s. 69.] </w:t>
      </w:r>
    </w:p>
    <w:p>
      <w:pPr>
        <w:pStyle w:val="Heading5"/>
        <w:rPr>
          <w:snapToGrid w:val="0"/>
        </w:rPr>
      </w:pPr>
      <w:bookmarkStart w:id="90" w:name="_Toc131586328"/>
      <w:r>
        <w:rPr>
          <w:rStyle w:val="CharSectno"/>
        </w:rPr>
        <w:t>21</w:t>
      </w:r>
      <w:r>
        <w:rPr>
          <w:snapToGrid w:val="0"/>
        </w:rPr>
        <w:t>.</w:t>
      </w:r>
      <w:r>
        <w:rPr>
          <w:snapToGrid w:val="0"/>
        </w:rPr>
        <w:tab/>
        <w:t>Costs</w:t>
      </w:r>
      <w:bookmarkEnd w:id="9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No. 73 of 2006 s. 18 and 106.]</w:t>
      </w:r>
    </w:p>
    <w:p>
      <w:pPr>
        <w:pStyle w:val="Heading5"/>
        <w:rPr>
          <w:snapToGrid w:val="0"/>
        </w:rPr>
      </w:pPr>
      <w:bookmarkStart w:id="91" w:name="_Toc131586329"/>
      <w:r>
        <w:rPr>
          <w:rStyle w:val="CharSectno"/>
        </w:rPr>
        <w:lastRenderedPageBreak/>
        <w:t>22</w:t>
      </w:r>
      <w:r>
        <w:rPr>
          <w:snapToGrid w:val="0"/>
        </w:rPr>
        <w:t>.</w:t>
      </w:r>
      <w:r>
        <w:rPr>
          <w:snapToGrid w:val="0"/>
        </w:rPr>
        <w:tab/>
        <w:t xml:space="preserve">Rules </w:t>
      </w:r>
      <w:r>
        <w:t>of Commission</w:t>
      </w:r>
      <w:bookmarkEnd w:id="91"/>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constituted by the chairperson and 2 other members,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No. 73 of 2006 s. 19 and 106; No. 9 of 2018 s. 10.]</w:t>
      </w:r>
    </w:p>
    <w:p>
      <w:pPr>
        <w:pStyle w:val="Heading5"/>
        <w:rPr>
          <w:snapToGrid w:val="0"/>
        </w:rPr>
      </w:pPr>
      <w:bookmarkStart w:id="92" w:name="_Toc131586330"/>
      <w:r>
        <w:rPr>
          <w:rStyle w:val="CharSectno"/>
        </w:rPr>
        <w:t>23</w:t>
      </w:r>
      <w:r>
        <w:rPr>
          <w:snapToGrid w:val="0"/>
        </w:rPr>
        <w:t>.</w:t>
      </w:r>
      <w:r>
        <w:rPr>
          <w:snapToGrid w:val="0"/>
        </w:rPr>
        <w:tab/>
        <w:t>Proof of process; protection from personal liability</w:t>
      </w:r>
      <w:bookmarkEnd w:id="92"/>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No. 73 of 2006 s. 106.]</w:t>
      </w:r>
    </w:p>
    <w:p>
      <w:pPr>
        <w:pStyle w:val="Heading3"/>
        <w:keepLines/>
      </w:pPr>
      <w:bookmarkStart w:id="93" w:name="_Toc122336801"/>
      <w:bookmarkStart w:id="94" w:name="_Toc122342715"/>
      <w:bookmarkStart w:id="95" w:name="_Toc122513126"/>
      <w:bookmarkStart w:id="96" w:name="_Toc131519689"/>
      <w:bookmarkStart w:id="97" w:name="_Toc131520249"/>
      <w:bookmarkStart w:id="98" w:name="_Toc131586331"/>
      <w:r>
        <w:rPr>
          <w:rStyle w:val="CharDivNo"/>
        </w:rPr>
        <w:lastRenderedPageBreak/>
        <w:t>Division 6</w:t>
      </w:r>
      <w:r>
        <w:rPr>
          <w:snapToGrid w:val="0"/>
        </w:rPr>
        <w:t> — </w:t>
      </w:r>
      <w:r>
        <w:rPr>
          <w:rStyle w:val="CharDivText"/>
        </w:rPr>
        <w:t>Reference to the Commission, review and appeals</w:t>
      </w:r>
      <w:bookmarkEnd w:id="93"/>
      <w:bookmarkEnd w:id="94"/>
      <w:bookmarkEnd w:id="95"/>
      <w:bookmarkEnd w:id="96"/>
      <w:bookmarkEnd w:id="97"/>
      <w:bookmarkEnd w:id="98"/>
      <w:r>
        <w:t xml:space="preserve"> </w:t>
      </w:r>
    </w:p>
    <w:p>
      <w:pPr>
        <w:pStyle w:val="Footnoteheading"/>
        <w:keepNext/>
        <w:keepLines/>
      </w:pPr>
      <w:r>
        <w:tab/>
        <w:t>[Heading amended: No. 73 of 2006 s. 20.]</w:t>
      </w:r>
    </w:p>
    <w:p>
      <w:pPr>
        <w:pStyle w:val="Heading5"/>
        <w:rPr>
          <w:snapToGrid w:val="0"/>
        </w:rPr>
      </w:pPr>
      <w:bookmarkStart w:id="99" w:name="_Toc131586332"/>
      <w:r>
        <w:rPr>
          <w:rStyle w:val="CharSectno"/>
        </w:rPr>
        <w:t>24</w:t>
      </w:r>
      <w:r>
        <w:rPr>
          <w:snapToGrid w:val="0"/>
        </w:rPr>
        <w:t>.</w:t>
      </w:r>
      <w:r>
        <w:rPr>
          <w:snapToGrid w:val="0"/>
        </w:rPr>
        <w:tab/>
        <w:t>Director may refer matters to Commission</w:t>
      </w:r>
      <w:bookmarkEnd w:id="99"/>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 an extended exclusion order under Part 5AA; or</w:t>
      </w:r>
    </w:p>
    <w:p>
      <w:pPr>
        <w:pStyle w:val="Indenta"/>
      </w:pPr>
      <w:r>
        <w:tab/>
        <w:t>(c)</w:t>
      </w:r>
      <w:r>
        <w:tab/>
        <w:t>the chairperson so determines under section 9A(2).</w:t>
      </w:r>
    </w:p>
    <w:p>
      <w:pPr>
        <w:pStyle w:val="Footnotesection"/>
      </w:pPr>
      <w:r>
        <w:tab/>
        <w:t xml:space="preserve">[Section 24 inserted: No. 12 of 1998 s. 13; amended: No. 73 of 2006 s. 21 and 106; No. 44 of 2022 s. 7.] </w:t>
      </w:r>
    </w:p>
    <w:p>
      <w:pPr>
        <w:pStyle w:val="Heading5"/>
        <w:rPr>
          <w:snapToGrid w:val="0"/>
        </w:rPr>
      </w:pPr>
      <w:bookmarkStart w:id="100" w:name="_Toc131586333"/>
      <w:r>
        <w:rPr>
          <w:rStyle w:val="CharSectno"/>
        </w:rPr>
        <w:t>25</w:t>
      </w:r>
      <w:r>
        <w:rPr>
          <w:snapToGrid w:val="0"/>
        </w:rPr>
        <w:t>.</w:t>
      </w:r>
      <w:r>
        <w:rPr>
          <w:snapToGrid w:val="0"/>
        </w:rPr>
        <w:tab/>
        <w:t>Review of Director’s decisions</w:t>
      </w:r>
      <w:bookmarkEnd w:id="100"/>
    </w:p>
    <w:p>
      <w:pPr>
        <w:pStyle w:val="Subsection"/>
      </w:pPr>
      <w:r>
        <w:tab/>
        <w:t>(1A)</w:t>
      </w:r>
      <w:r>
        <w:tab/>
        <w:t xml:space="preserve">In this section — </w:t>
      </w:r>
    </w:p>
    <w:p>
      <w:pPr>
        <w:pStyle w:val="Defstart"/>
      </w:pPr>
      <w:r>
        <w:tab/>
      </w:r>
      <w:r>
        <w:rPr>
          <w:rStyle w:val="CharDefText"/>
        </w:rPr>
        <w:t>interested person</w:t>
      </w:r>
      <w:r>
        <w:t xml:space="preserve">, in relation to a reviewable decision, means — </w:t>
      </w:r>
    </w:p>
    <w:p>
      <w:pPr>
        <w:pStyle w:val="Defpara"/>
      </w:pPr>
      <w:r>
        <w:tab/>
        <w:t>(a)</w:t>
      </w:r>
      <w:r>
        <w:tab/>
        <w:t xml:space="preserve">in the case of a decision referred to in paragraph (a) of the definition of </w:t>
      </w:r>
      <w:r>
        <w:rPr>
          <w:b/>
          <w:i/>
        </w:rPr>
        <w:t>reviewable decision</w:t>
      </w:r>
      <w:r>
        <w:t xml:space="preserve"> — </w:t>
      </w:r>
    </w:p>
    <w:p>
      <w:pPr>
        <w:pStyle w:val="Defsubpara"/>
      </w:pPr>
      <w:r>
        <w:tab/>
        <w:t>(i)</w:t>
      </w:r>
      <w:r>
        <w:tab/>
        <w:t>the Commissioner of Police; or</w:t>
      </w:r>
    </w:p>
    <w:p>
      <w:pPr>
        <w:pStyle w:val="Defsubpara"/>
      </w:pPr>
      <w:r>
        <w:tab/>
        <w:t>(ii)</w:t>
      </w:r>
      <w:r>
        <w:tab/>
        <w:t>the person the subject of the prohibition order or the extended exclusion order (as the case requires);</w:t>
      </w:r>
    </w:p>
    <w:p>
      <w:pPr>
        <w:pStyle w:val="Defpara"/>
      </w:pPr>
      <w:r>
        <w:tab/>
      </w:r>
      <w:r>
        <w:tab/>
        <w:t>or</w:t>
      </w:r>
    </w:p>
    <w:p>
      <w:pPr>
        <w:pStyle w:val="Defpara"/>
      </w:pPr>
      <w:r>
        <w:lastRenderedPageBreak/>
        <w:tab/>
        <w:t>(b)</w:t>
      </w:r>
      <w:r>
        <w:tab/>
        <w:t xml:space="preserve">in the case of a decision referred to in paragraph (b) of the definition of </w:t>
      </w:r>
      <w:r>
        <w:rPr>
          <w:b/>
          <w:i/>
        </w:rPr>
        <w:t>reviewable decision</w:t>
      </w:r>
      <w:r>
        <w:t> — a person who is a party to the proceedings before the Director;</w:t>
      </w:r>
    </w:p>
    <w:p>
      <w:pPr>
        <w:pStyle w:val="Defstart"/>
      </w:pPr>
      <w:r>
        <w:tab/>
      </w:r>
      <w:r>
        <w:rPr>
          <w:rStyle w:val="CharDefText"/>
        </w:rPr>
        <w:t>reviewable decision</w:t>
      </w:r>
      <w:r>
        <w:t xml:space="preserve"> means — </w:t>
      </w:r>
    </w:p>
    <w:p>
      <w:pPr>
        <w:pStyle w:val="Defpara"/>
      </w:pPr>
      <w:r>
        <w:tab/>
        <w:t>(a)</w:t>
      </w:r>
      <w:r>
        <w:tab/>
        <w:t>a decision made by the Director that relates to the making, variation or revocation of a prohibition order under Part 5A or an extended exclusion order under Part 5AA; or</w:t>
      </w:r>
    </w:p>
    <w:p>
      <w:pPr>
        <w:pStyle w:val="Defpara"/>
      </w:pPr>
      <w:r>
        <w:tab/>
        <w:t>(b)</w:t>
      </w:r>
      <w:r>
        <w:tab/>
        <w:t>a decision made by the Director in respect of proceedings before the Director (other than a decision referred to in paragraph (a)).</w:t>
      </w:r>
    </w:p>
    <w:p>
      <w:pPr>
        <w:pStyle w:val="Subsection"/>
      </w:pPr>
      <w:r>
        <w:tab/>
        <w:t>(1)</w:t>
      </w:r>
      <w:r>
        <w:tab/>
        <w:t>Subject to subsections (3) and (5), if an interested person is dissatisfied with a reviewable decision, the person may apply to the Commission for a review of that decision.</w:t>
      </w:r>
    </w:p>
    <w:p>
      <w:pPr>
        <w:pStyle w:val="Subsection"/>
        <w:rPr>
          <w:snapToGrid w:val="0"/>
        </w:rPr>
      </w:pPr>
      <w:r>
        <w:rPr>
          <w:snapToGrid w:val="0"/>
        </w:rPr>
        <w:tab/>
        <w:t>(2)</w:t>
      </w:r>
      <w:r>
        <w:rPr>
          <w:snapToGrid w:val="0"/>
        </w:rPr>
        <w:tab/>
        <w:t xml:space="preserve">An application under subsection (1) must be made within a month after the applicant receives </w:t>
      </w:r>
      <w:r>
        <w:t>written reasons for</w:t>
      </w:r>
      <w:r>
        <w:rPr>
          <w:snapToGrid w:val="0"/>
        </w:rPr>
        <w:t xml:space="preserve">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relates to the making, variation or revocation of a prohibition order under Part 5A or an extended exclusion order under Part 5AA;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lastRenderedPageBreak/>
        <w:tab/>
        <w:t>(2d)</w:t>
      </w:r>
      <w:r>
        <w:tab/>
        <w:t>When conducting a review of a decision involving a question of law or giving directions under subsection (4)(c)(i), the Commission is to be constituted by, or is to include, a member who is a lawyer.</w:t>
      </w:r>
    </w:p>
    <w:p>
      <w:pPr>
        <w:pStyle w:val="Subsection"/>
        <w:keepNext/>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keepNext/>
        <w:rPr>
          <w:snapToGrid w:val="0"/>
        </w:rPr>
      </w:pPr>
      <w:r>
        <w:rPr>
          <w:snapToGrid w:val="0"/>
        </w:rPr>
        <w:lastRenderedPageBreak/>
        <w:tab/>
        <w:t>(5)</w:t>
      </w:r>
      <w:r>
        <w:rPr>
          <w:snapToGrid w:val="0"/>
        </w:rPr>
        <w:tab/>
        <w:t>This section does not apply to any decision — </w:t>
      </w:r>
    </w:p>
    <w:p>
      <w:pPr>
        <w:pStyle w:val="Indenta"/>
        <w:keepNext/>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keepNext/>
        <w:rPr>
          <w:snapToGrid w:val="0"/>
        </w:rPr>
      </w:pPr>
      <w:r>
        <w:rPr>
          <w:snapToGrid w:val="0"/>
        </w:rPr>
        <w:lastRenderedPageBreak/>
        <w:tab/>
        <w:t>(6)</w:t>
      </w:r>
      <w:r>
        <w:rPr>
          <w:snapToGrid w:val="0"/>
        </w:rPr>
        <w:tab/>
        <w:t>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No. 56 of 1997 s. 29; No. 12 of 1998 s. 14; No. 73 of 2006 s. 22 and 106; No. 21 of 2008 s. 675(3); No. 9 of 2018 s. 11; No. 44 of 2022 s. 8.]</w:t>
      </w:r>
    </w:p>
    <w:p>
      <w:pPr>
        <w:pStyle w:val="Heading5"/>
      </w:pPr>
      <w:bookmarkStart w:id="101" w:name="_Toc131586334"/>
      <w:r>
        <w:rPr>
          <w:rStyle w:val="CharSectno"/>
        </w:rPr>
        <w:t>25A</w:t>
      </w:r>
      <w:r>
        <w:t>.</w:t>
      </w:r>
      <w:r>
        <w:tab/>
        <w:t>Commission may refer application for review to State Administrative Tribunal</w:t>
      </w:r>
      <w:bookmarkEnd w:id="101"/>
    </w:p>
    <w:p>
      <w:pPr>
        <w:pStyle w:val="Subsection"/>
      </w:pPr>
      <w:r>
        <w:tab/>
        <w:t>(1)</w:t>
      </w:r>
      <w:r>
        <w:tab/>
        <w:t xml:space="preserve">If an application is made to the Commission under section 25(1) for a review of a decision, the Commission may, instead of conducting the review, refer the application to the State Administrative Tribunal (the </w:t>
      </w:r>
      <w:r>
        <w:rPr>
          <w:rStyle w:val="CharDefText"/>
        </w:rPr>
        <w:t>Tribunal</w:t>
      </w:r>
      <w:r>
        <w:t>) for a review of the decision.</w:t>
      </w:r>
    </w:p>
    <w:p>
      <w:pPr>
        <w:pStyle w:val="Subsection"/>
      </w:pPr>
      <w:r>
        <w:tab/>
        <w:t>(2)</w:t>
      </w:r>
      <w:r>
        <w:tab/>
        <w:t>An application cannot be referred under subsection (1) unless the President of the Tribunal agrees to the referral.</w:t>
      </w:r>
    </w:p>
    <w:p>
      <w:pPr>
        <w:pStyle w:val="Subsection"/>
      </w:pPr>
      <w:r>
        <w:tab/>
        <w:t>(3)</w:t>
      </w:r>
      <w:r>
        <w:tab/>
        <w:t xml:space="preserve">If an application is referred under subsection (1), the person who made the application is to be regarded as the applicant for the purposes of the exercise of the Tribunal’s review jurisdiction under the </w:t>
      </w:r>
      <w:r>
        <w:rPr>
          <w:i/>
        </w:rPr>
        <w:t>State Administrative Tribunal Act 2004</w:t>
      </w:r>
      <w:r>
        <w:t>.</w:t>
      </w:r>
    </w:p>
    <w:p>
      <w:pPr>
        <w:pStyle w:val="Subsection"/>
      </w:pPr>
      <w:r>
        <w:tab/>
        <w:t>(4)</w:t>
      </w:r>
      <w:r>
        <w:tab/>
        <w:t>When conducting a review under this section, the Tribunal may have regard only to the material that was before the Director when making the decision.</w:t>
      </w:r>
    </w:p>
    <w:p>
      <w:pPr>
        <w:pStyle w:val="Subsection"/>
      </w:pPr>
      <w:r>
        <w:tab/>
        <w:t>(5)</w:t>
      </w:r>
      <w:r>
        <w:tab/>
        <w:t>When conducting a review under this section involving a question of law or giving directions as to any question of law reviewed, the Tribunal is to be constituted by, or is to include, a lawyer.</w:t>
      </w:r>
    </w:p>
    <w:p>
      <w:pPr>
        <w:pStyle w:val="Subsection"/>
      </w:pPr>
      <w:r>
        <w:lastRenderedPageBreak/>
        <w:tab/>
        <w:t>(6)</w:t>
      </w:r>
      <w:r>
        <w:tab/>
        <w:t>Section 25(3) applies to a review under this section as if it were a review under section 25.</w:t>
      </w:r>
    </w:p>
    <w:p>
      <w:pPr>
        <w:pStyle w:val="Subsection"/>
      </w:pPr>
      <w:r>
        <w:tab/>
        <w:t>(7)</w:t>
      </w:r>
      <w:r>
        <w:tab/>
        <w:t>On a review under this section, the Tribunal has the powers conferred on the Commission under section 25(4).</w:t>
      </w:r>
    </w:p>
    <w:p>
      <w:pPr>
        <w:pStyle w:val="Footnotesection"/>
      </w:pPr>
      <w:r>
        <w:tab/>
        <w:t>[Section 25A inserted: No. 9 of 2018 s. 12.]</w:t>
      </w:r>
    </w:p>
    <w:p>
      <w:pPr>
        <w:pStyle w:val="Heading5"/>
      </w:pPr>
      <w:bookmarkStart w:id="102" w:name="_Toc131586335"/>
      <w:r>
        <w:rPr>
          <w:rStyle w:val="CharSectno"/>
        </w:rPr>
        <w:t>26</w:t>
      </w:r>
      <w:r>
        <w:t>.</w:t>
      </w:r>
      <w:r>
        <w:tab/>
        <w:t>Some Director’s decisions have effect despite application to review</w:t>
      </w:r>
      <w:bookmarkEnd w:id="10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or an extended exclusion order under Part 5AA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No. 73 of 2006 s. 23; amended: No. 44 of 2022 s. 9.]</w:t>
      </w:r>
    </w:p>
    <w:p>
      <w:pPr>
        <w:pStyle w:val="Heading5"/>
        <w:rPr>
          <w:snapToGrid w:val="0"/>
        </w:rPr>
      </w:pPr>
      <w:bookmarkStart w:id="103" w:name="_Toc131586336"/>
      <w:r>
        <w:rPr>
          <w:rStyle w:val="CharSectno"/>
        </w:rPr>
        <w:t>27</w:t>
      </w:r>
      <w:r>
        <w:rPr>
          <w:snapToGrid w:val="0"/>
        </w:rPr>
        <w:t>.</w:t>
      </w:r>
      <w:r>
        <w:rPr>
          <w:snapToGrid w:val="0"/>
        </w:rPr>
        <w:tab/>
        <w:t>Question of law, Commission may state to Supreme Court</w:t>
      </w:r>
      <w:bookmarkEnd w:id="103"/>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No. 45 of 2004 s. 37; No. 73 of 2006 s. 24 and 106.]</w:t>
      </w:r>
    </w:p>
    <w:p>
      <w:pPr>
        <w:pStyle w:val="Heading5"/>
        <w:rPr>
          <w:snapToGrid w:val="0"/>
        </w:rPr>
      </w:pPr>
      <w:bookmarkStart w:id="104" w:name="_Toc131586337"/>
      <w:r>
        <w:rPr>
          <w:rStyle w:val="CharSectno"/>
        </w:rPr>
        <w:t>28</w:t>
      </w:r>
      <w:r>
        <w:rPr>
          <w:snapToGrid w:val="0"/>
        </w:rPr>
        <w:t>.</w:t>
      </w:r>
      <w:r>
        <w:rPr>
          <w:snapToGrid w:val="0"/>
        </w:rPr>
        <w:tab/>
        <w:t>Appeals against Commission’s decisions</w:t>
      </w:r>
      <w:bookmarkEnd w:id="104"/>
    </w:p>
    <w:p>
      <w:pPr>
        <w:pStyle w:val="Subsection"/>
      </w:pPr>
      <w:r>
        <w:tab/>
        <w:t>(1)</w:t>
      </w:r>
      <w:r>
        <w:tab/>
        <w:t xml:space="preserve">Subject to this section, a person who — </w:t>
      </w:r>
    </w:p>
    <w:p>
      <w:pPr>
        <w:pStyle w:val="Indenta"/>
      </w:pPr>
      <w:r>
        <w:tab/>
        <w:t>(a)</w:t>
      </w:r>
      <w:r>
        <w:tab/>
        <w:t>is a party to proceedings before the Commission; and</w:t>
      </w:r>
    </w:p>
    <w:p>
      <w:pPr>
        <w:pStyle w:val="Indenta"/>
      </w:pPr>
      <w:r>
        <w:lastRenderedPageBreak/>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keepNext/>
      </w:pPr>
      <w:r>
        <w:lastRenderedPageBreak/>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keepNext/>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No. 12 of 1998 s. 15; No. 45 of 2004 s. 37; No. 73 of 2006 s. 25 and 106; No. 21 of 2008 s. 675(3); No. 9 of 2018 s. 13.] </w:t>
      </w:r>
    </w:p>
    <w:p>
      <w:pPr>
        <w:pStyle w:val="Heading5"/>
        <w:spacing w:before="180"/>
        <w:rPr>
          <w:snapToGrid w:val="0"/>
        </w:rPr>
      </w:pPr>
      <w:bookmarkStart w:id="105" w:name="_Toc131586338"/>
      <w:r>
        <w:rPr>
          <w:rStyle w:val="CharSectno"/>
        </w:rPr>
        <w:lastRenderedPageBreak/>
        <w:t>29</w:t>
      </w:r>
      <w:r>
        <w:rPr>
          <w:snapToGrid w:val="0"/>
        </w:rPr>
        <w:t>.</w:t>
      </w:r>
      <w:r>
        <w:rPr>
          <w:snapToGrid w:val="0"/>
        </w:rPr>
        <w:tab/>
        <w:t>Licence or permit continues to have effect pending appeal</w:t>
      </w:r>
      <w:bookmarkEnd w:id="105"/>
      <w:r>
        <w:rPr>
          <w:snapToGrid w:val="0"/>
        </w:rPr>
        <w:t xml:space="preserve"> </w:t>
      </w:r>
    </w:p>
    <w:p>
      <w:pPr>
        <w:pStyle w:val="Subsection"/>
        <w:keepNext/>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No. 73 of 2006 s. 26 and 106.]</w:t>
      </w:r>
    </w:p>
    <w:p>
      <w:pPr>
        <w:pStyle w:val="Heading3"/>
      </w:pPr>
      <w:bookmarkStart w:id="106" w:name="_Toc122336809"/>
      <w:bookmarkStart w:id="107" w:name="_Toc122342723"/>
      <w:bookmarkStart w:id="108" w:name="_Toc122513134"/>
      <w:bookmarkStart w:id="109" w:name="_Toc131519697"/>
      <w:bookmarkStart w:id="110" w:name="_Toc131520257"/>
      <w:bookmarkStart w:id="111" w:name="_Toc131586339"/>
      <w:r>
        <w:rPr>
          <w:rStyle w:val="CharDivNo"/>
        </w:rPr>
        <w:t>Division 7</w:t>
      </w:r>
      <w:r>
        <w:t> — </w:t>
      </w:r>
      <w:r>
        <w:rPr>
          <w:rStyle w:val="CharDivText"/>
        </w:rPr>
        <w:t>Confidential police information</w:t>
      </w:r>
      <w:bookmarkEnd w:id="106"/>
      <w:bookmarkEnd w:id="107"/>
      <w:bookmarkEnd w:id="108"/>
      <w:bookmarkEnd w:id="109"/>
      <w:bookmarkEnd w:id="110"/>
      <w:bookmarkEnd w:id="111"/>
    </w:p>
    <w:p>
      <w:pPr>
        <w:pStyle w:val="Footnoteheading"/>
      </w:pPr>
      <w:r>
        <w:tab/>
        <w:t>[Heading inserted: No. 73 of 2006 s. 27.]</w:t>
      </w:r>
    </w:p>
    <w:p>
      <w:pPr>
        <w:pStyle w:val="Heading5"/>
        <w:spacing w:before="180"/>
      </w:pPr>
      <w:bookmarkStart w:id="112" w:name="_Toc131586340"/>
      <w:r>
        <w:rPr>
          <w:rStyle w:val="CharSectno"/>
        </w:rPr>
        <w:t>30</w:t>
      </w:r>
      <w:r>
        <w:t>.</w:t>
      </w:r>
      <w:r>
        <w:tab/>
        <w:t>Confidential police information, use and protection of</w:t>
      </w:r>
      <w:bookmarkEnd w:id="112"/>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 xml:space="preserve">a court or a person to whom the Commissioner of Police authorises its </w:t>
      </w:r>
      <w:r>
        <w:lastRenderedPageBreak/>
        <w:t>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Director is not required to serve a copy of the notice under section 73(4A); and</w:t>
      </w:r>
    </w:p>
    <w:p>
      <w:pPr>
        <w:pStyle w:val="Indenta"/>
      </w:pPr>
      <w:r>
        <w:tab/>
        <w:t>(b)</w:t>
      </w:r>
      <w:r>
        <w:tab/>
        <w:t xml:space="preserve">the licensing authority must, at least 7 days before the hearing of the application, give the applicant written notice that the Commissioner of Police has objected to </w:t>
      </w:r>
      <w:r>
        <w:lastRenderedPageBreak/>
        <w:t>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keepNext/>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No. 73 of 2006 s. 27; amended: No. 56 of 2010 s. 5; No. 35 of 2014 s. 39; No. 9 of 2018 s. 14.]</w:t>
      </w:r>
    </w:p>
    <w:p>
      <w:pPr>
        <w:pStyle w:val="Heading2"/>
      </w:pPr>
      <w:bookmarkStart w:id="113" w:name="_Toc122336811"/>
      <w:bookmarkStart w:id="114" w:name="_Toc122342725"/>
      <w:bookmarkStart w:id="115" w:name="_Toc122513136"/>
      <w:bookmarkStart w:id="116" w:name="_Toc131519699"/>
      <w:bookmarkStart w:id="117" w:name="_Toc131520259"/>
      <w:bookmarkStart w:id="118" w:name="_Toc131586341"/>
      <w:r>
        <w:rPr>
          <w:rStyle w:val="CharPartNo"/>
        </w:rPr>
        <w:lastRenderedPageBreak/>
        <w:t>Part 3</w:t>
      </w:r>
      <w:r>
        <w:t> — </w:t>
      </w:r>
      <w:r>
        <w:rPr>
          <w:rStyle w:val="CharPartText"/>
        </w:rPr>
        <w:t>Licences and permits</w:t>
      </w:r>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122336812"/>
      <w:bookmarkStart w:id="120" w:name="_Toc122342726"/>
      <w:bookmarkStart w:id="121" w:name="_Toc122513137"/>
      <w:bookmarkStart w:id="122" w:name="_Toc131519700"/>
      <w:bookmarkStart w:id="123" w:name="_Toc131520260"/>
      <w:bookmarkStart w:id="124" w:name="_Toc131586342"/>
      <w:r>
        <w:rPr>
          <w:rStyle w:val="CharDivNo"/>
        </w:rPr>
        <w:t>Division 1</w:t>
      </w:r>
      <w:r>
        <w:rPr>
          <w:snapToGrid w:val="0"/>
        </w:rPr>
        <w:t> — </w:t>
      </w:r>
      <w:r>
        <w:rPr>
          <w:rStyle w:val="CharDivText"/>
        </w:rPr>
        <w:t>General matters</w:t>
      </w:r>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131586343"/>
      <w:r>
        <w:rPr>
          <w:rStyle w:val="CharSectno"/>
        </w:rPr>
        <w:t>30A</w:t>
      </w:r>
      <w:r>
        <w:rPr>
          <w:snapToGrid w:val="0"/>
        </w:rPr>
        <w:t>.</w:t>
      </w:r>
      <w:r>
        <w:rPr>
          <w:snapToGrid w:val="0"/>
        </w:rPr>
        <w:tab/>
        <w:t>Licences to sell liquor, grant and nature of</w:t>
      </w:r>
      <w:bookmarkEnd w:id="125"/>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No. 12 of 1998 s. 17; amended: No. 42 of 2011 s. 95 .] </w:t>
      </w:r>
    </w:p>
    <w:p>
      <w:pPr>
        <w:pStyle w:val="Heading5"/>
        <w:spacing w:before="180"/>
        <w:rPr>
          <w:snapToGrid w:val="0"/>
        </w:rPr>
      </w:pPr>
      <w:bookmarkStart w:id="126" w:name="_Toc131586344"/>
      <w:r>
        <w:rPr>
          <w:rStyle w:val="CharSectno"/>
        </w:rPr>
        <w:t>30B</w:t>
      </w:r>
      <w:r>
        <w:rPr>
          <w:snapToGrid w:val="0"/>
        </w:rPr>
        <w:t>.</w:t>
      </w:r>
      <w:r>
        <w:rPr>
          <w:snapToGrid w:val="0"/>
        </w:rPr>
        <w:tab/>
        <w:t>Power of attorney does not empower donee to act for licensee under this Act</w:t>
      </w:r>
      <w:bookmarkEnd w:id="126"/>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No. 12 of 1998 s. 17.] </w:t>
      </w:r>
    </w:p>
    <w:p>
      <w:pPr>
        <w:pStyle w:val="Heading5"/>
        <w:spacing w:before="180"/>
        <w:rPr>
          <w:snapToGrid w:val="0"/>
        </w:rPr>
      </w:pPr>
      <w:bookmarkStart w:id="127" w:name="_Toc131586345"/>
      <w:r>
        <w:rPr>
          <w:rStyle w:val="CharSectno"/>
        </w:rPr>
        <w:t>31</w:t>
      </w:r>
      <w:r>
        <w:rPr>
          <w:snapToGrid w:val="0"/>
        </w:rPr>
        <w:t>.</w:t>
      </w:r>
      <w:r>
        <w:rPr>
          <w:snapToGrid w:val="0"/>
        </w:rPr>
        <w:tab/>
        <w:t>Licences, generally</w:t>
      </w:r>
      <w:bookmarkEnd w:id="127"/>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 xml:space="preserve">an application for approval to the transfer of a licence means an application to vary the licence in respect of </w:t>
      </w:r>
      <w:r>
        <w:rPr>
          <w:snapToGrid w:val="0"/>
        </w:rPr>
        <w:lastRenderedPageBreak/>
        <w:t>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keepNext/>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lastRenderedPageBreak/>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No. 12 of 1998 s. 18.] </w:t>
      </w:r>
    </w:p>
    <w:p>
      <w:pPr>
        <w:pStyle w:val="Heading5"/>
        <w:spacing w:before="180"/>
        <w:rPr>
          <w:snapToGrid w:val="0"/>
        </w:rPr>
      </w:pPr>
      <w:bookmarkStart w:id="128" w:name="_Toc131586346"/>
      <w:r>
        <w:rPr>
          <w:rStyle w:val="CharSectno"/>
        </w:rPr>
        <w:t>32</w:t>
      </w:r>
      <w:r>
        <w:rPr>
          <w:snapToGrid w:val="0"/>
        </w:rPr>
        <w:t>.</w:t>
      </w:r>
      <w:r>
        <w:rPr>
          <w:snapToGrid w:val="0"/>
        </w:rPr>
        <w:tab/>
        <w:t>Duration of licences</w:t>
      </w:r>
      <w:bookmarkEnd w:id="128"/>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lastRenderedPageBreak/>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No. 12 of 1998 s. 19 and 39(2); No. 73 of 2006 s. 106.] </w:t>
      </w:r>
    </w:p>
    <w:p>
      <w:pPr>
        <w:pStyle w:val="Heading5"/>
        <w:rPr>
          <w:snapToGrid w:val="0"/>
        </w:rPr>
      </w:pPr>
      <w:bookmarkStart w:id="129" w:name="_Toc131586347"/>
      <w:r>
        <w:rPr>
          <w:rStyle w:val="CharSectno"/>
        </w:rPr>
        <w:t>33</w:t>
      </w:r>
      <w:r>
        <w:rPr>
          <w:snapToGrid w:val="0"/>
        </w:rPr>
        <w:t>.</w:t>
      </w:r>
      <w:r>
        <w:rPr>
          <w:snapToGrid w:val="0"/>
        </w:rPr>
        <w:tab/>
        <w:t>Powers of licensing authority when deciding applications</w:t>
      </w:r>
      <w:bookmarkEnd w:id="129"/>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keepNext/>
        <w:rPr>
          <w:snapToGrid w:val="0"/>
        </w:rPr>
      </w:pPr>
      <w:r>
        <w:rPr>
          <w:snapToGrid w:val="0"/>
        </w:rPr>
        <w:lastRenderedPageBreak/>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lastRenderedPageBreak/>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lastRenderedPageBreak/>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No. 12 of 1998 s. 20; No. 73 of 2006 s. 28; No. 56 of 2010 s. 6 and 38.] </w:t>
      </w:r>
    </w:p>
    <w:p>
      <w:pPr>
        <w:pStyle w:val="Heading5"/>
        <w:rPr>
          <w:snapToGrid w:val="0"/>
        </w:rPr>
      </w:pPr>
      <w:bookmarkStart w:id="130" w:name="_Toc131586348"/>
      <w:r>
        <w:rPr>
          <w:rStyle w:val="CharSectno"/>
        </w:rPr>
        <w:t>34</w:t>
      </w:r>
      <w:r>
        <w:rPr>
          <w:snapToGrid w:val="0"/>
        </w:rPr>
        <w:t>.</w:t>
      </w:r>
      <w:r>
        <w:rPr>
          <w:snapToGrid w:val="0"/>
        </w:rPr>
        <w:tab/>
        <w:t>Certain applications not to be decided</w:t>
      </w:r>
      <w:bookmarkEnd w:id="130"/>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lastRenderedPageBreak/>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by a person who — </w:t>
      </w:r>
    </w:p>
    <w:p>
      <w:pPr>
        <w:pStyle w:val="Ednotesubpara"/>
      </w:pPr>
      <w:r>
        <w:tab/>
        <w:t>[(i)</w:t>
      </w:r>
      <w:r>
        <w:tab/>
        <w:t>deleted]</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pPr>
      <w:r>
        <w:tab/>
        <w:t>(3)</w:t>
      </w:r>
      <w:r>
        <w:tab/>
        <w:t>Subsection (4) applies to any application made to the licensing authority for — </w:t>
      </w:r>
    </w:p>
    <w:p>
      <w:pPr>
        <w:pStyle w:val="Indenta"/>
      </w:pPr>
      <w:r>
        <w:tab/>
        <w:t>(a)</w:t>
      </w:r>
      <w:r>
        <w:tab/>
        <w:t>the grant or removal of a licence; or</w:t>
      </w:r>
    </w:p>
    <w:p>
      <w:pPr>
        <w:pStyle w:val="Indenta"/>
      </w:pPr>
      <w:r>
        <w:tab/>
        <w:t>(b)</w:t>
      </w:r>
      <w:r>
        <w:tab/>
        <w:t>approval to the transfer of a licence; or</w:t>
      </w:r>
    </w:p>
    <w:p>
      <w:pPr>
        <w:pStyle w:val="Indenta"/>
      </w:pPr>
      <w:r>
        <w:lastRenderedPageBreak/>
        <w:tab/>
        <w:t>(c)</w:t>
      </w:r>
      <w:r>
        <w:tab/>
        <w:t>approval of a person — </w:t>
      </w:r>
    </w:p>
    <w:p>
      <w:pPr>
        <w:pStyle w:val="Indenti"/>
      </w:pPr>
      <w:r>
        <w:tab/>
        <w:t>(i)</w:t>
      </w:r>
      <w:r>
        <w:tab/>
        <w:t>as a trustee; or</w:t>
      </w:r>
    </w:p>
    <w:p>
      <w:pPr>
        <w:pStyle w:val="Indenti"/>
      </w:pPr>
      <w:r>
        <w:tab/>
        <w:t>(ii)</w:t>
      </w:r>
      <w:r>
        <w:tab/>
        <w:t>as the occupant of a position of authority in a body corporate that holds a licence.</w:t>
      </w:r>
    </w:p>
    <w:p>
      <w:pPr>
        <w:pStyle w:val="Subsection"/>
      </w:pPr>
      <w:r>
        <w:tab/>
        <w:t>(4)</w:t>
      </w:r>
      <w:r>
        <w:tab/>
        <w:t xml:space="preserve">The licensing authority must not hear or determine any application to which this subsection applies if that application is made by a person who is, according to the </w:t>
      </w:r>
      <w:r>
        <w:rPr>
          <w:i/>
        </w:rPr>
        <w:t>Interpretation Act 1984</w:t>
      </w:r>
      <w:r>
        <w:t xml:space="preserve"> section 13D, a bankrupt or a person whose affairs are under insolvency laws.</w:t>
      </w:r>
    </w:p>
    <w:p>
      <w:pPr>
        <w:pStyle w:val="Footnotesection"/>
      </w:pPr>
      <w:r>
        <w:tab/>
        <w:t xml:space="preserve">[Section 34 amended: No. 12 of 1998 s. 21 and 97(1); No. 10 of 2001 s. 220; No. 18 of 2009 s. 51; No. 56 of 2010 s. 7 and 25; No. 9 of 2018 s. 15; No. 44 of 2022 s. 10.] </w:t>
      </w:r>
    </w:p>
    <w:p>
      <w:pPr>
        <w:pStyle w:val="Heading5"/>
        <w:spacing w:before="180"/>
        <w:rPr>
          <w:snapToGrid w:val="0"/>
        </w:rPr>
      </w:pPr>
      <w:bookmarkStart w:id="131" w:name="_Toc131586349"/>
      <w:r>
        <w:rPr>
          <w:rStyle w:val="CharSectno"/>
        </w:rPr>
        <w:t>35</w:t>
      </w:r>
      <w:r>
        <w:rPr>
          <w:snapToGrid w:val="0"/>
        </w:rPr>
        <w:t>.</w:t>
      </w:r>
      <w:r>
        <w:rPr>
          <w:snapToGrid w:val="0"/>
        </w:rPr>
        <w:tab/>
        <w:t>Persons who may hold licences</w:t>
      </w:r>
      <w:bookmarkEnd w:id="131"/>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No. 12 of 1998 s. 22.] </w:t>
      </w:r>
    </w:p>
    <w:p>
      <w:pPr>
        <w:pStyle w:val="Heading5"/>
        <w:spacing w:before="260"/>
        <w:rPr>
          <w:snapToGrid w:val="0"/>
        </w:rPr>
      </w:pPr>
      <w:bookmarkStart w:id="132" w:name="_Toc131586350"/>
      <w:r>
        <w:rPr>
          <w:rStyle w:val="CharSectno"/>
        </w:rPr>
        <w:t>35A</w:t>
      </w:r>
      <w:r>
        <w:rPr>
          <w:snapToGrid w:val="0"/>
        </w:rPr>
        <w:t>.</w:t>
      </w:r>
      <w:r>
        <w:rPr>
          <w:snapToGrid w:val="0"/>
        </w:rPr>
        <w:tab/>
        <w:t>Trustees for unincorporated bodies</w:t>
      </w:r>
      <w:bookmarkEnd w:id="132"/>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lastRenderedPageBreak/>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No. 12 of 1998 s. 22; amended: No. 56 of 2010 s. 25.] </w:t>
      </w:r>
    </w:p>
    <w:p>
      <w:pPr>
        <w:pStyle w:val="Ednotesection"/>
      </w:pPr>
      <w:r>
        <w:t>[</w:t>
      </w:r>
      <w:r>
        <w:rPr>
          <w:b/>
        </w:rPr>
        <w:t>35B.</w:t>
      </w:r>
      <w:r>
        <w:rPr>
          <w:b/>
        </w:rPr>
        <w:tab/>
      </w:r>
      <w:r>
        <w:t xml:space="preserve">Deleted: No. 56 of 2010 s. 8.] </w:t>
      </w:r>
    </w:p>
    <w:p>
      <w:pPr>
        <w:pStyle w:val="Heading5"/>
        <w:rPr>
          <w:snapToGrid w:val="0"/>
        </w:rPr>
      </w:pPr>
      <w:bookmarkStart w:id="133" w:name="_Toc131586351"/>
      <w:r>
        <w:rPr>
          <w:rStyle w:val="CharSectno"/>
        </w:rPr>
        <w:t>36</w:t>
      </w:r>
      <w:r>
        <w:rPr>
          <w:snapToGrid w:val="0"/>
        </w:rPr>
        <w:t>.</w:t>
      </w:r>
      <w:r>
        <w:rPr>
          <w:snapToGrid w:val="0"/>
        </w:rPr>
        <w:tab/>
        <w:t>Two or more licences for same premises, restrictions on</w:t>
      </w:r>
      <w:bookmarkEnd w:id="133"/>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pPr>
      <w:r>
        <w:tab/>
        <w:t>(3)</w:t>
      </w:r>
      <w:r>
        <w:tab/>
        <w:t xml:space="preserve">In addition to a licence granted in respect of any premises, or a part of any premises, either or both of the following licences may also be granted in respect of those premises or a part of those premises — </w:t>
      </w:r>
    </w:p>
    <w:p>
      <w:pPr>
        <w:pStyle w:val="Indenta"/>
      </w:pPr>
      <w:r>
        <w:tab/>
        <w:t>(a)</w:t>
      </w:r>
      <w:r>
        <w:tab/>
        <w:t>an occasional licence;</w:t>
      </w:r>
    </w:p>
    <w:p>
      <w:pPr>
        <w:pStyle w:val="Indenta"/>
      </w:pPr>
      <w:r>
        <w:tab/>
        <w:t>(b)</w:t>
      </w:r>
      <w:r>
        <w:tab/>
        <w:t>a licence conditionally granted under section 62.</w:t>
      </w:r>
    </w:p>
    <w:p>
      <w:pPr>
        <w:pStyle w:val="Footnotesection"/>
      </w:pPr>
      <w:r>
        <w:tab/>
        <w:t xml:space="preserve">[Section 36 amended: No. 9 of 2018 s. 16.] </w:t>
      </w:r>
    </w:p>
    <w:p>
      <w:pPr>
        <w:pStyle w:val="Heading5"/>
      </w:pPr>
      <w:bookmarkStart w:id="134" w:name="_Toc131586352"/>
      <w:r>
        <w:rPr>
          <w:rStyle w:val="CharSectno"/>
        </w:rPr>
        <w:lastRenderedPageBreak/>
        <w:t>36A</w:t>
      </w:r>
      <w:r>
        <w:t>.</w:t>
      </w:r>
      <w:r>
        <w:tab/>
        <w:t>Petrol stations in some areas not to be granted licences</w:t>
      </w:r>
      <w:bookmarkEnd w:id="134"/>
    </w:p>
    <w:p>
      <w:pPr>
        <w:pStyle w:val="Subsection"/>
        <w:keepNext/>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must not grant an application for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No. 23 of 2000 s. 5; amended: No. 9 of 2018 s. 17.]</w:t>
      </w:r>
    </w:p>
    <w:p>
      <w:pPr>
        <w:pStyle w:val="Heading5"/>
      </w:pPr>
      <w:bookmarkStart w:id="135" w:name="_Toc131586353"/>
      <w:r>
        <w:rPr>
          <w:rStyle w:val="CharSectno"/>
        </w:rPr>
        <w:t>36B</w:t>
      </w:r>
      <w:r>
        <w:t>.</w:t>
      </w:r>
      <w:r>
        <w:tab/>
        <w:t>Restrictions on grant or removal of certain licences authorising sale of packaged liquor</w:t>
      </w:r>
      <w:bookmarkEnd w:id="135"/>
    </w:p>
    <w:p>
      <w:pPr>
        <w:pStyle w:val="Subsection"/>
      </w:pPr>
      <w:r>
        <w:tab/>
        <w:t>(1)</w:t>
      </w:r>
      <w:r>
        <w:tab/>
        <w:t xml:space="preserve">In this section — </w:t>
      </w:r>
    </w:p>
    <w:p>
      <w:pPr>
        <w:pStyle w:val="Defstart"/>
      </w:pPr>
      <w:r>
        <w:tab/>
      </w:r>
      <w:r>
        <w:rPr>
          <w:rStyle w:val="CharDefText"/>
        </w:rPr>
        <w:t>local packaged liquor requirements</w:t>
      </w:r>
      <w:r>
        <w:t xml:space="preserve">, in relation to an application to which this section applies, means the </w:t>
      </w:r>
      <w:r>
        <w:lastRenderedPageBreak/>
        <w:t>requirements of consumers for packaged liquor in the locality in which the proposed licensed premises are, or are to be, situated;</w:t>
      </w:r>
    </w:p>
    <w:p>
      <w:pPr>
        <w:pStyle w:val="Defstart"/>
      </w:pPr>
      <w:r>
        <w:tab/>
      </w:r>
      <w:r>
        <w:rPr>
          <w:rStyle w:val="CharDefText"/>
        </w:rPr>
        <w:t>packaged liquor premises</w:t>
      </w:r>
      <w:r>
        <w:t xml:space="preserve"> means premises to which a licence referred to in subsection (2) relates;</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 xml:space="preserve">prescribed distance </w:t>
      </w:r>
      <w:r>
        <w:t>means the distance prescribed for the purposes of this section;</w:t>
      </w:r>
    </w:p>
    <w:p>
      <w:pPr>
        <w:pStyle w:val="Defstart"/>
      </w:pPr>
      <w:r>
        <w:tab/>
      </w:r>
      <w:r>
        <w:rPr>
          <w:rStyle w:val="CharDefText"/>
        </w:rPr>
        <w:t>proposed licensed premises</w:t>
      </w:r>
      <w:r>
        <w:t xml:space="preserve">, in relation to an application to which this section applies, means — </w:t>
      </w:r>
    </w:p>
    <w:p>
      <w:pPr>
        <w:pStyle w:val="Defpara"/>
      </w:pPr>
      <w:r>
        <w:tab/>
        <w:t>(a)</w:t>
      </w:r>
      <w:r>
        <w:tab/>
        <w:t>if the application is for the grant of a licence — the premises to which the application relates; or</w:t>
      </w:r>
    </w:p>
    <w:p>
      <w:pPr>
        <w:pStyle w:val="Defpara"/>
      </w:pPr>
      <w:r>
        <w:tab/>
        <w:t>(b)</w:t>
      </w:r>
      <w:r>
        <w:tab/>
        <w:t>if the application is for the removal of a licence — the premises to which the licence is sought to be removed;</w:t>
      </w:r>
    </w:p>
    <w:p>
      <w:pPr>
        <w:pStyle w:val="Defstart"/>
        <w:keepNext/>
      </w:pPr>
      <w:r>
        <w:tab/>
      </w:r>
      <w:r>
        <w:rPr>
          <w:rStyle w:val="CharDefText"/>
        </w:rPr>
        <w:t>retail section</w:t>
      </w:r>
      <w:r>
        <w:t xml:space="preserve"> — </w:t>
      </w:r>
    </w:p>
    <w:p>
      <w:pPr>
        <w:pStyle w:val="Defpara"/>
      </w:pPr>
      <w:r>
        <w:tab/>
        <w:t>(a)</w:t>
      </w:r>
      <w:r>
        <w:tab/>
        <w:t>in relation to packaged liquor premises — means the part or parts of the premises on which packaged liquor is displayed for the purposes of sale or sold; and</w:t>
      </w:r>
    </w:p>
    <w:p>
      <w:pPr>
        <w:pStyle w:val="Defpara"/>
      </w:pPr>
      <w:r>
        <w:tab/>
        <w:t>(b)</w:t>
      </w:r>
      <w:r>
        <w:tab/>
        <w:t>in relation to proposed licensed premises — means the part or parts of the premises on which packaged liquor is to be displayed for the purposes of sale or sold.</w:t>
      </w:r>
    </w:p>
    <w:p>
      <w:pPr>
        <w:pStyle w:val="Subsection"/>
      </w:pPr>
      <w:r>
        <w:tab/>
        <w:t>(2)</w:t>
      </w:r>
      <w:r>
        <w:tab/>
        <w:t xml:space="preserve">This section applies to an application for the grant or removal of any of the following licences — </w:t>
      </w:r>
    </w:p>
    <w:p>
      <w:pPr>
        <w:pStyle w:val="Indenta"/>
      </w:pPr>
      <w:r>
        <w:tab/>
        <w:t>(a)</w:t>
      </w:r>
      <w:r>
        <w:tab/>
        <w:t>a hotel licence without restriction;</w:t>
      </w:r>
    </w:p>
    <w:p>
      <w:pPr>
        <w:pStyle w:val="Indenta"/>
      </w:pPr>
      <w:r>
        <w:tab/>
        <w:t>(b)</w:t>
      </w:r>
      <w:r>
        <w:tab/>
        <w:t>a tavern licence;</w:t>
      </w:r>
    </w:p>
    <w:p>
      <w:pPr>
        <w:pStyle w:val="Indenta"/>
      </w:pPr>
      <w:r>
        <w:tab/>
        <w:t>(c)</w:t>
      </w:r>
      <w:r>
        <w:tab/>
        <w:t>a liquor store licence;</w:t>
      </w:r>
    </w:p>
    <w:p>
      <w:pPr>
        <w:pStyle w:val="Indenta"/>
      </w:pPr>
      <w:r>
        <w:tab/>
        <w:t>(d)</w:t>
      </w:r>
      <w:r>
        <w:tab/>
        <w:t>a special facility licence of a prescribed type.</w:t>
      </w:r>
    </w:p>
    <w:p>
      <w:pPr>
        <w:pStyle w:val="Subsection"/>
        <w:keepNext/>
      </w:pPr>
      <w:r>
        <w:lastRenderedPageBreak/>
        <w:tab/>
        <w:t>(3)</w:t>
      </w:r>
      <w:r>
        <w:tab/>
        <w:t xml:space="preserve">The licensing authority must not hear or determine an application to which this section applies if — </w:t>
      </w:r>
    </w:p>
    <w:p>
      <w:pPr>
        <w:pStyle w:val="Indenta"/>
      </w:pPr>
      <w:r>
        <w:tab/>
        <w:t>(a)</w:t>
      </w:r>
      <w:r>
        <w:tab/>
        <w:t>packaged liquor premises are situated less than the prescribed distance from the proposed licensed premises; and</w:t>
      </w:r>
    </w:p>
    <w:p>
      <w:pPr>
        <w:pStyle w:val="Indenta"/>
      </w:pPr>
      <w:r>
        <w:tab/>
        <w:t>(b)</w:t>
      </w:r>
      <w:r>
        <w:tab/>
        <w:t>the area of the retail section of those packaged liquor premises exceeds the prescribed area; and</w:t>
      </w:r>
    </w:p>
    <w:p>
      <w:pPr>
        <w:pStyle w:val="Indenta"/>
      </w:pPr>
      <w:r>
        <w:tab/>
        <w:t>(c)</w:t>
      </w:r>
      <w:r>
        <w:tab/>
        <w:t>the area of the retail section of the proposed licensed premises exceeds the prescribed area.</w:t>
      </w:r>
    </w:p>
    <w:p>
      <w:pPr>
        <w:pStyle w:val="Subsection"/>
      </w:pPr>
      <w:r>
        <w:tab/>
        <w:t>(4)</w:t>
      </w:r>
      <w:r>
        <w:tab/>
        <w:t>The licensing authority must not grant an application to which this section applies unless satisfied that local packaged liquor requirements cannot reasonably be met by existing packaged liquor premises in the locality in which the proposed licensed premises are, or are to be, situated.</w:t>
      </w:r>
    </w:p>
    <w:p>
      <w:pPr>
        <w:pStyle w:val="Subsection"/>
      </w:pPr>
      <w:r>
        <w:tab/>
        <w:t>(5)</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36B inserted: No. 9 of 2018 s. 18.]</w:t>
      </w:r>
    </w:p>
    <w:p>
      <w:pPr>
        <w:pStyle w:val="Heading5"/>
        <w:rPr>
          <w:snapToGrid w:val="0"/>
        </w:rPr>
      </w:pPr>
      <w:bookmarkStart w:id="136" w:name="_Toc131586354"/>
      <w:r>
        <w:rPr>
          <w:rStyle w:val="CharSectno"/>
        </w:rPr>
        <w:t>37</w:t>
      </w:r>
      <w:r>
        <w:rPr>
          <w:snapToGrid w:val="0"/>
        </w:rPr>
        <w:t>.</w:t>
      </w:r>
      <w:r>
        <w:rPr>
          <w:snapToGrid w:val="0"/>
        </w:rPr>
        <w:tab/>
        <w:t>Pre-requisites for grants of licences etc.; conditions on licences</w:t>
      </w:r>
      <w:bookmarkEnd w:id="136"/>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lastRenderedPageBreak/>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keepNext/>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keepNext/>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keepNext/>
        <w:rPr>
          <w:snapToGrid w:val="0"/>
        </w:rPr>
      </w:pPr>
      <w:r>
        <w:rPr>
          <w:snapToGrid w:val="0"/>
        </w:rPr>
        <w:tab/>
        <w:t>(e)</w:t>
      </w:r>
      <w:r>
        <w:rPr>
          <w:snapToGrid w:val="0"/>
        </w:rPr>
        <w:tab/>
        <w:t>in the case of an application for — </w:t>
      </w:r>
    </w:p>
    <w:p>
      <w:pPr>
        <w:pStyle w:val="Indenti"/>
        <w:keepNext/>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keepNext/>
        <w:spacing w:before="180"/>
        <w:rPr>
          <w:snapToGrid w:val="0"/>
        </w:rPr>
      </w:pPr>
      <w:r>
        <w:rPr>
          <w:snapToGrid w:val="0"/>
        </w:rPr>
        <w:lastRenderedPageBreak/>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lastRenderedPageBreak/>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No. 12 of 1998 s. 23; No. 73 of 2006 s. 30; No. 56 of 2010 s. 9 and 39; No. 30 of 2015 s. 222; No. 26 of 2016 s. 66.] </w:t>
      </w:r>
    </w:p>
    <w:p>
      <w:pPr>
        <w:pStyle w:val="Heading5"/>
        <w:rPr>
          <w:snapToGrid w:val="0"/>
        </w:rPr>
      </w:pPr>
      <w:bookmarkStart w:id="137" w:name="_Toc131586355"/>
      <w:r>
        <w:rPr>
          <w:rStyle w:val="CharSectno"/>
        </w:rPr>
        <w:t>37A</w:t>
      </w:r>
      <w:r>
        <w:rPr>
          <w:snapToGrid w:val="0"/>
        </w:rPr>
        <w:t>.</w:t>
      </w:r>
      <w:r>
        <w:rPr>
          <w:snapToGrid w:val="0"/>
        </w:rPr>
        <w:tab/>
        <w:t>Conviction of licensee etc., duty to inform Director</w:t>
      </w:r>
      <w:bookmarkEnd w:id="137"/>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No. 12 of 1998 s. 24; amended: No. 73 of 2006 s. 110; No. 56 of 2010 s. 25 and 69.]</w:t>
      </w:r>
    </w:p>
    <w:p>
      <w:pPr>
        <w:pStyle w:val="Heading5"/>
        <w:spacing w:before="180"/>
      </w:pPr>
      <w:bookmarkStart w:id="138" w:name="_Toc131586356"/>
      <w:r>
        <w:rPr>
          <w:rStyle w:val="CharSectno"/>
        </w:rPr>
        <w:t>37B</w:t>
      </w:r>
      <w:r>
        <w:t>.</w:t>
      </w:r>
      <w:r>
        <w:tab/>
        <w:t>Fingerprints etc., licensing authority’s powers to obtain</w:t>
      </w:r>
      <w:bookmarkEnd w:id="138"/>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lastRenderedPageBreak/>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lastRenderedPageBreak/>
        <w:tab/>
        <w:t>(7)</w:t>
      </w:r>
      <w:r>
        <w:tab/>
        <w:t>The licensing authority is to provide the Commissioner of Police with any information that the Commissioner of Police requires to comply with subsection (6).</w:t>
      </w:r>
    </w:p>
    <w:p>
      <w:pPr>
        <w:pStyle w:val="Footnotesection"/>
      </w:pPr>
      <w:r>
        <w:tab/>
        <w:t>[Section 37B inserted: No. 73 of 2006 s. 31; No. 56 of 2010 s. 10.]</w:t>
      </w:r>
    </w:p>
    <w:p>
      <w:pPr>
        <w:pStyle w:val="Heading5"/>
      </w:pPr>
      <w:bookmarkStart w:id="139" w:name="_Toc131586357"/>
      <w:r>
        <w:rPr>
          <w:rStyle w:val="CharSectno"/>
        </w:rPr>
        <w:t>37C</w:t>
      </w:r>
      <w:r>
        <w:t>.</w:t>
      </w:r>
      <w:r>
        <w:tab/>
        <w:t>Register of licensed premises</w:t>
      </w:r>
      <w:bookmarkEnd w:id="139"/>
    </w:p>
    <w:p>
      <w:pPr>
        <w:pStyle w:val="Subsection"/>
        <w:keepNext/>
      </w:pPr>
      <w:r>
        <w:tab/>
        <w:t>(1)</w:t>
      </w:r>
      <w:r>
        <w:tab/>
        <w:t xml:space="preserve">The Director may keep a register that contains the following information in respect of licensed premises — </w:t>
      </w:r>
    </w:p>
    <w:p>
      <w:pPr>
        <w:pStyle w:val="Indenta"/>
        <w:keepNext/>
      </w:pPr>
      <w:r>
        <w:tab/>
        <w:t>(a)</w:t>
      </w:r>
      <w:r>
        <w:tab/>
        <w:t>the name and address of the premises;</w:t>
      </w:r>
    </w:p>
    <w:p>
      <w:pPr>
        <w:pStyle w:val="Indenta"/>
      </w:pPr>
      <w:r>
        <w:tab/>
        <w:t>(b)</w:t>
      </w:r>
      <w:r>
        <w:tab/>
        <w:t>the licence number of the premises;</w:t>
      </w:r>
    </w:p>
    <w:p>
      <w:pPr>
        <w:pStyle w:val="Indenta"/>
      </w:pPr>
      <w:r>
        <w:tab/>
        <w:t>(c)</w:t>
      </w:r>
      <w:r>
        <w:tab/>
        <w:t>the type of licence that applies to the premises;</w:t>
      </w:r>
    </w:p>
    <w:p>
      <w:pPr>
        <w:pStyle w:val="Defpara"/>
      </w:pPr>
      <w:r>
        <w:tab/>
        <w:t>(d)</w:t>
      </w:r>
      <w:r>
        <w:tab/>
        <w:t>the status of the licence that applies to the premises (for example, whether the licence is conditionally granted or suspended);</w:t>
      </w:r>
    </w:p>
    <w:p>
      <w:pPr>
        <w:pStyle w:val="Indenta"/>
      </w:pPr>
      <w:r>
        <w:tab/>
        <w:t>(e)</w:t>
      </w:r>
      <w:r>
        <w:tab/>
        <w:t>the name of the licensee of the premises.</w:t>
      </w:r>
    </w:p>
    <w:p>
      <w:pPr>
        <w:pStyle w:val="Subsection"/>
      </w:pPr>
      <w:r>
        <w:tab/>
        <w:t>(2)</w:t>
      </w:r>
      <w:r>
        <w:tab/>
        <w:t>The Director may make the register available to the public in any way the Director considers appropriate, including by publication on the Department’s website.</w:t>
      </w:r>
    </w:p>
    <w:p>
      <w:pPr>
        <w:pStyle w:val="Footnotesection"/>
      </w:pPr>
      <w:r>
        <w:tab/>
        <w:t>[Section 37C inserted: No. 9 of 2018 s. 19.]</w:t>
      </w:r>
    </w:p>
    <w:p>
      <w:pPr>
        <w:pStyle w:val="Heading3"/>
      </w:pPr>
      <w:bookmarkStart w:id="140" w:name="_Toc122336828"/>
      <w:bookmarkStart w:id="141" w:name="_Toc122342742"/>
      <w:bookmarkStart w:id="142" w:name="_Toc122513153"/>
      <w:bookmarkStart w:id="143" w:name="_Toc131519716"/>
      <w:bookmarkStart w:id="144" w:name="_Toc131520276"/>
      <w:bookmarkStart w:id="145" w:name="_Toc131586358"/>
      <w:r>
        <w:rPr>
          <w:rStyle w:val="CharDivNo"/>
        </w:rPr>
        <w:t>Division 2</w:t>
      </w:r>
      <w:r>
        <w:t> — </w:t>
      </w:r>
      <w:r>
        <w:rPr>
          <w:rStyle w:val="CharDivText"/>
        </w:rPr>
        <w:t>Licences</w:t>
      </w:r>
      <w:bookmarkEnd w:id="140"/>
      <w:bookmarkEnd w:id="141"/>
      <w:bookmarkEnd w:id="142"/>
      <w:bookmarkEnd w:id="143"/>
      <w:bookmarkEnd w:id="144"/>
      <w:bookmarkEnd w:id="145"/>
    </w:p>
    <w:p>
      <w:pPr>
        <w:pStyle w:val="Footnoteheading"/>
        <w:keepNext/>
        <w:rPr>
          <w:snapToGrid w:val="0"/>
        </w:rPr>
      </w:pPr>
      <w:r>
        <w:tab/>
        <w:t>[Heading inserted: No. 73 of 2006 s. 32.]</w:t>
      </w:r>
    </w:p>
    <w:p>
      <w:pPr>
        <w:pStyle w:val="Heading5"/>
      </w:pPr>
      <w:bookmarkStart w:id="146" w:name="_Toc131586359"/>
      <w:r>
        <w:rPr>
          <w:rStyle w:val="CharSectno"/>
        </w:rPr>
        <w:t>38</w:t>
      </w:r>
      <w:r>
        <w:t>.</w:t>
      </w:r>
      <w:r>
        <w:tab/>
        <w:t>Some applications not to be granted unless in the public interest</w:t>
      </w:r>
      <w:bookmarkEnd w:id="146"/>
    </w:p>
    <w:p>
      <w:pPr>
        <w:pStyle w:val="Subsection"/>
      </w:pPr>
      <w:r>
        <w:tab/>
        <w:t>(1)</w:t>
      </w:r>
      <w:r>
        <w:tab/>
        <w:t xml:space="preserve">Subsection (2) applies to — </w:t>
      </w:r>
    </w:p>
    <w:p>
      <w:pPr>
        <w:pStyle w:val="Indenta"/>
        <w:spacing w:before="60"/>
      </w:pPr>
      <w:r>
        <w:tab/>
        <w:t>(a)</w:t>
      </w:r>
      <w:r>
        <w:tab/>
        <w:t>an application for the grant or removal of a licence of a kind prescribed;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lastRenderedPageBreak/>
        <w:tab/>
        <w:t>(2)</w:t>
      </w:r>
      <w:r>
        <w:tab/>
        <w:t>An applicant who makes an application to which this subsection applies must satisfy the licensing authority that granting the application is in the public interest.</w:t>
      </w:r>
    </w:p>
    <w:p>
      <w:pPr>
        <w:pStyle w:val="Subsection"/>
        <w:keepNext/>
      </w:pPr>
      <w:r>
        <w:tab/>
        <w:t>(3)</w:t>
      </w:r>
      <w:r>
        <w:tab/>
        <w:t xml:space="preserve">For the purposes of subsection (2), the applicant must provide to the licensing authority — </w:t>
      </w:r>
    </w:p>
    <w:p>
      <w:pPr>
        <w:pStyle w:val="Indenta"/>
        <w:keepNext/>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whether the amenity, quiet or good order of the locality in which the licensed premises or proposed licensed premises are, or are to be, situated might in some manner be lessened;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pPr>
      <w:r>
        <w:tab/>
        <w:t>(ca)</w:t>
      </w:r>
      <w:r>
        <w:tab/>
        <w:t>any effect the granting of the application might have in relation to tourism, or community or cultural matters;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lastRenderedPageBreak/>
        <w:tab/>
        <w:t>(6)</w:t>
      </w:r>
      <w:r>
        <w:tab/>
        <w:t>A decision by the Director under subsection (1)(c) or (5) in relation to an application is not subject to review under section 25.</w:t>
      </w:r>
    </w:p>
    <w:p>
      <w:pPr>
        <w:pStyle w:val="Subsection"/>
      </w:pPr>
      <w:r>
        <w:tab/>
        <w:t>(7)</w:t>
      </w:r>
      <w:r>
        <w:tab/>
        <w:t xml:space="preserve">If subsection (2) applies to an application, the Director may publish the following on the Department’s website — </w:t>
      </w:r>
    </w:p>
    <w:p>
      <w:pPr>
        <w:pStyle w:val="Indenta"/>
      </w:pPr>
      <w:r>
        <w:tab/>
        <w:t>(a)</w:t>
      </w:r>
      <w:r>
        <w:tab/>
        <w:t>the application;</w:t>
      </w:r>
    </w:p>
    <w:p>
      <w:pPr>
        <w:pStyle w:val="Indenta"/>
        <w:keepNext/>
      </w:pPr>
      <w:r>
        <w:tab/>
        <w:t>(b)</w:t>
      </w:r>
      <w:r>
        <w:tab/>
        <w:t>any document or information provided under subsection (3) in relation to the application.</w:t>
      </w:r>
    </w:p>
    <w:p>
      <w:pPr>
        <w:pStyle w:val="Footnotesection"/>
      </w:pPr>
      <w:r>
        <w:tab/>
        <w:t>[Section 38 inserted: No. 73 of 2006 s. 33; amended: No. 56 of 2010 s. 40; No. 9 of 2018 s. 20.]</w:t>
      </w:r>
    </w:p>
    <w:p>
      <w:pPr>
        <w:pStyle w:val="Heading5"/>
        <w:spacing w:before="180"/>
        <w:rPr>
          <w:snapToGrid w:val="0"/>
        </w:rPr>
      </w:pPr>
      <w:bookmarkStart w:id="147" w:name="_Toc131586360"/>
      <w:r>
        <w:rPr>
          <w:rStyle w:val="CharSectno"/>
        </w:rPr>
        <w:t>39</w:t>
      </w:r>
      <w:r>
        <w:rPr>
          <w:snapToGrid w:val="0"/>
        </w:rPr>
        <w:t>.</w:t>
      </w:r>
      <w:r>
        <w:rPr>
          <w:snapToGrid w:val="0"/>
        </w:rPr>
        <w:tab/>
        <w:t>Certificate of local government as to whether premises comply with laws</w:t>
      </w:r>
      <w:bookmarkEnd w:id="147"/>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keepNext/>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(Miscellaneous Provisions)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lastRenderedPageBreak/>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No. 12 of 1998 s. 26; amended: No. 43 of 2008 s. 148(2); No. 24 of 2011 s. 165(2); No. 19 of 2016 s. 101.] </w:t>
      </w:r>
    </w:p>
    <w:p>
      <w:pPr>
        <w:pStyle w:val="Heading5"/>
        <w:spacing w:before="180"/>
        <w:rPr>
          <w:snapToGrid w:val="0"/>
        </w:rPr>
      </w:pPr>
      <w:bookmarkStart w:id="148" w:name="_Toc131586361"/>
      <w:r>
        <w:rPr>
          <w:rStyle w:val="CharSectno"/>
        </w:rPr>
        <w:t>40</w:t>
      </w:r>
      <w:r>
        <w:rPr>
          <w:snapToGrid w:val="0"/>
        </w:rPr>
        <w:t>.</w:t>
      </w:r>
      <w:r>
        <w:rPr>
          <w:snapToGrid w:val="0"/>
        </w:rPr>
        <w:tab/>
        <w:t>Certificate of planning authority as to whether use of premises complies with planning laws</w:t>
      </w:r>
      <w:bookmarkEnd w:id="148"/>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keepNext/>
        <w:rPr>
          <w:snapToGrid w:val="0"/>
        </w:rPr>
      </w:pPr>
      <w:r>
        <w:rPr>
          <w:snapToGrid w:val="0"/>
        </w:rPr>
        <w:lastRenderedPageBreak/>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No. 12 of 1998 s. 26; amended: No. 38 of 2005 s. 15; No. 35 of 2015 s. 5.] </w:t>
      </w:r>
    </w:p>
    <w:p>
      <w:pPr>
        <w:pStyle w:val="Heading5"/>
        <w:spacing w:before="180"/>
        <w:rPr>
          <w:snapToGrid w:val="0"/>
        </w:rPr>
      </w:pPr>
      <w:bookmarkStart w:id="149" w:name="_Toc131586362"/>
      <w:r>
        <w:rPr>
          <w:rStyle w:val="CharSectno"/>
        </w:rPr>
        <w:t>41</w:t>
      </w:r>
      <w:r>
        <w:rPr>
          <w:snapToGrid w:val="0"/>
        </w:rPr>
        <w:t>.</w:t>
      </w:r>
      <w:r>
        <w:rPr>
          <w:snapToGrid w:val="0"/>
        </w:rPr>
        <w:tab/>
        <w:t>Hotel licence, kinds, conditions and effect of</w:t>
      </w:r>
      <w:bookmarkEnd w:id="149"/>
    </w:p>
    <w:p>
      <w:pPr>
        <w:pStyle w:val="Ednotesubsection"/>
      </w:pPr>
      <w:r>
        <w:tab/>
        <w:t>[(1aa)</w:t>
      </w:r>
      <w:r>
        <w:tab/>
        <w:t>deleted]</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 xml:space="preserve">any condition referred to in subsection (4) </w:t>
      </w:r>
      <w:r>
        <w:rPr>
          <w:snapToGrid w:val="0"/>
        </w:rPr>
        <w:t>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keepNext/>
      </w:pPr>
      <w:r>
        <w:lastRenderedPageBreak/>
        <w:tab/>
        <w:t>(2)</w:t>
      </w:r>
      <w:r>
        <w:tab/>
        <w:t xml:space="preserve">Subject to this Act, during permitted hours the licensee of a hotel licence is authorised to keep open the licensed premises, or part of those premises, and, while those premises are open — </w:t>
      </w:r>
    </w:p>
    <w:p>
      <w:pPr>
        <w:pStyle w:val="Indenta"/>
        <w:keepNext/>
      </w:pPr>
      <w:r>
        <w:tab/>
        <w:t>(a)</w:t>
      </w:r>
      <w:r>
        <w:tab/>
        <w:t>may sell liquor on the premises to any person for consumption on the premises; and</w:t>
      </w:r>
    </w:p>
    <w:p>
      <w:pPr>
        <w:pStyle w:val="Indenta"/>
      </w:pPr>
      <w:r>
        <w:tab/>
        <w:t>(b)</w:t>
      </w:r>
      <w:r>
        <w:tab/>
        <w:t>may, unless the licence is a hotel restricted licence or a tavern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keepNext/>
        <w:rPr>
          <w:snapToGrid w:val="0"/>
        </w:rPr>
      </w:pPr>
      <w:r>
        <w:rPr>
          <w:snapToGrid w:val="0"/>
        </w:rPr>
        <w:lastRenderedPageBreak/>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No. 12 of 1998 s. 27; No. 26 of 2001 s. 4; No. 73 of 2006 s. 34 and 108; No. 56 of 2010 s. 41; No. 9 of 2018 s. 21.] </w:t>
      </w:r>
    </w:p>
    <w:p>
      <w:pPr>
        <w:pStyle w:val="Heading5"/>
      </w:pPr>
      <w:bookmarkStart w:id="150" w:name="_Toc131586363"/>
      <w:r>
        <w:rPr>
          <w:rStyle w:val="CharSectno"/>
        </w:rPr>
        <w:t>41A</w:t>
      </w:r>
      <w:r>
        <w:t>.</w:t>
      </w:r>
      <w:r>
        <w:tab/>
        <w:t>Effect and conditions of small bar licence</w:t>
      </w:r>
      <w:bookmarkEnd w:id="150"/>
    </w:p>
    <w:p>
      <w:pPr>
        <w:pStyle w:val="Subsection"/>
      </w:pPr>
      <w:r>
        <w:tab/>
        <w:t>(1)</w:t>
      </w:r>
      <w:r>
        <w:tab/>
        <w:t>Subject to this Act, the licensee of a small bar licence is, during permitted hours, authorised to sell liquor for consumption on the licensed premises.</w:t>
      </w:r>
    </w:p>
    <w:p>
      <w:pPr>
        <w:pStyle w:val="Subsection"/>
      </w:pPr>
      <w:r>
        <w:tab/>
        <w:t>(2)</w:t>
      </w:r>
      <w:r>
        <w:tab/>
        <w:t xml:space="preserve">A small bar licence is subject to — </w:t>
      </w:r>
    </w:p>
    <w:p>
      <w:pPr>
        <w:pStyle w:val="Indenta"/>
      </w:pPr>
      <w:r>
        <w:tab/>
        <w:t>(a)</w:t>
      </w:r>
      <w:r>
        <w:tab/>
        <w:t>a condition prohibiting the sale of packaged liquor; and</w:t>
      </w:r>
    </w:p>
    <w:p>
      <w:pPr>
        <w:pStyle w:val="Indenta"/>
      </w:pPr>
      <w:r>
        <w:lastRenderedPageBreak/>
        <w:tab/>
        <w:t>(b)</w:t>
      </w:r>
      <w:r>
        <w:tab/>
        <w:t>a condition limiting the maximum number of persons (excluding responsible persons and authorised officers) who may be on the licensed premises to 120.</w:t>
      </w:r>
    </w:p>
    <w:p>
      <w:pPr>
        <w:pStyle w:val="Footnotesection"/>
      </w:pPr>
      <w:r>
        <w:tab/>
        <w:t>[Section 41A inserted: No. 9 of 2018 s. 22.]</w:t>
      </w:r>
    </w:p>
    <w:p>
      <w:pPr>
        <w:pStyle w:val="Heading5"/>
      </w:pPr>
      <w:bookmarkStart w:id="151" w:name="_Toc131586364"/>
      <w:r>
        <w:rPr>
          <w:rStyle w:val="CharSectno"/>
        </w:rPr>
        <w:t>41B</w:t>
      </w:r>
      <w:r>
        <w:t>.</w:t>
      </w:r>
      <w:r>
        <w:tab/>
        <w:t>Small bar licence may be granted as alternative to tavern restricted licence</w:t>
      </w:r>
      <w:bookmarkEnd w:id="151"/>
    </w:p>
    <w:p>
      <w:pPr>
        <w:pStyle w:val="Subsection"/>
      </w:pPr>
      <w:r>
        <w:tab/>
        <w:t>(1)</w:t>
      </w:r>
      <w:r>
        <w:tab/>
        <w:t>If the licensing authority considers it appropriate, the licensing authority may, with the agreement of the applicant, treat an application for a tavern restricted licence as an application for a small bar licence.</w:t>
      </w:r>
    </w:p>
    <w:p>
      <w:pPr>
        <w:pStyle w:val="Subsection"/>
      </w:pPr>
      <w:r>
        <w:tab/>
        <w:t>(2)</w:t>
      </w:r>
      <w:r>
        <w:tab/>
        <w:t xml:space="preserve">Subsection (3) applies to a tavern restricted licence if — </w:t>
      </w:r>
    </w:p>
    <w:p>
      <w:pPr>
        <w:pStyle w:val="Indenta"/>
      </w:pPr>
      <w:r>
        <w:tab/>
        <w:t>(a)</w:t>
      </w:r>
      <w:r>
        <w:tab/>
        <w:t>it is subject to a condition limiting the maximum number of persons (excluding responsible persons and authorised officers) who may be on the licensed premises to 120; and</w:t>
      </w:r>
    </w:p>
    <w:p>
      <w:pPr>
        <w:pStyle w:val="Indenta"/>
      </w:pPr>
      <w:r>
        <w:tab/>
        <w:t>(b)</w:t>
      </w:r>
      <w:r>
        <w:tab/>
        <w:t>the capacity of the licensed premises is not more than 120 persons.</w:t>
      </w:r>
    </w:p>
    <w:p>
      <w:pPr>
        <w:pStyle w:val="Subsection"/>
      </w:pPr>
      <w:r>
        <w:tab/>
        <w:t>(3)</w:t>
      </w:r>
      <w:r>
        <w:tab/>
        <w:t xml:space="preserve">The licensing authority may, of its own motion or on the application of the licensee of the licence — </w:t>
      </w:r>
    </w:p>
    <w:p>
      <w:pPr>
        <w:pStyle w:val="Indenta"/>
      </w:pPr>
      <w:r>
        <w:tab/>
        <w:t>(a)</w:t>
      </w:r>
      <w:r>
        <w:tab/>
        <w:t>cancel a tavern restricted licence to which this subsection applies; and</w:t>
      </w:r>
    </w:p>
    <w:p>
      <w:pPr>
        <w:pStyle w:val="Indenta"/>
      </w:pPr>
      <w:r>
        <w:tab/>
        <w:t>(b)</w:t>
      </w:r>
      <w:r>
        <w:tab/>
        <w:t>grant to the person who was the licensee of the licence a small bar licence in respect of the premises to which the licence related.</w:t>
      </w:r>
    </w:p>
    <w:p>
      <w:pPr>
        <w:pStyle w:val="Subsection"/>
      </w:pPr>
      <w:r>
        <w:tab/>
        <w:t>(4)</w:t>
      </w:r>
      <w:r>
        <w:tab/>
        <w:t xml:space="preserve">If the licensing authority proposes of its own motion to cancel a tavern restricted licence and grant a small bar licence under subsection (3), the licensing authority must give the licensee of the tavern restricted licence — </w:t>
      </w:r>
    </w:p>
    <w:p>
      <w:pPr>
        <w:pStyle w:val="Indenta"/>
      </w:pPr>
      <w:r>
        <w:tab/>
        <w:t>(a)</w:t>
      </w:r>
      <w:r>
        <w:tab/>
        <w:t>a notice that sets out the proposal and the reasons for it; and</w:t>
      </w:r>
    </w:p>
    <w:p>
      <w:pPr>
        <w:pStyle w:val="Indenta"/>
      </w:pPr>
      <w:r>
        <w:lastRenderedPageBreak/>
        <w:tab/>
        <w:t>(b)</w:t>
      </w:r>
      <w:r>
        <w:tab/>
        <w:t>a reasonable opportunity to make submissions or to be heard in relation to the proposal.</w:t>
      </w:r>
    </w:p>
    <w:p>
      <w:pPr>
        <w:pStyle w:val="Footnotesection"/>
      </w:pPr>
      <w:r>
        <w:tab/>
        <w:t>[Section 41B inserted: No. 9 of 2018 s. 22.]</w:t>
      </w:r>
    </w:p>
    <w:p>
      <w:pPr>
        <w:pStyle w:val="Heading5"/>
        <w:spacing w:before="240"/>
        <w:rPr>
          <w:snapToGrid w:val="0"/>
        </w:rPr>
      </w:pPr>
      <w:bookmarkStart w:id="152" w:name="_Toc131586365"/>
      <w:r>
        <w:rPr>
          <w:rStyle w:val="CharSectno"/>
        </w:rPr>
        <w:t>42</w:t>
      </w:r>
      <w:r>
        <w:rPr>
          <w:snapToGrid w:val="0"/>
        </w:rPr>
        <w:t>.</w:t>
      </w:r>
      <w:r>
        <w:rPr>
          <w:snapToGrid w:val="0"/>
        </w:rPr>
        <w:tab/>
        <w:t>Nightclub licence, effect and conditions of</w:t>
      </w:r>
      <w:bookmarkEnd w:id="152"/>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No. 73 of 2006 s. 107.]</w:t>
      </w:r>
    </w:p>
    <w:p>
      <w:pPr>
        <w:pStyle w:val="Heading5"/>
        <w:rPr>
          <w:snapToGrid w:val="0"/>
        </w:rPr>
      </w:pPr>
      <w:bookmarkStart w:id="153" w:name="_Toc131586366"/>
      <w:r>
        <w:rPr>
          <w:rStyle w:val="CharSectno"/>
        </w:rPr>
        <w:t>43</w:t>
      </w:r>
      <w:r>
        <w:rPr>
          <w:snapToGrid w:val="0"/>
        </w:rPr>
        <w:t>.</w:t>
      </w:r>
      <w:r>
        <w:rPr>
          <w:snapToGrid w:val="0"/>
        </w:rPr>
        <w:tab/>
        <w:t>N</w:t>
      </w:r>
      <w:r>
        <w:t xml:space="preserve">ightclub </w:t>
      </w:r>
      <w:r>
        <w:rPr>
          <w:snapToGrid w:val="0"/>
        </w:rPr>
        <w:t>licence, pre-requisites for grant of</w:t>
      </w:r>
      <w:bookmarkEnd w:id="153"/>
    </w:p>
    <w:p>
      <w:pPr>
        <w:pStyle w:val="Subsection"/>
        <w:keepNext/>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lastRenderedPageBreak/>
        <w:tab/>
        <w:t>[Section 43 amended: No. 73 of 2006 s. 107.]</w:t>
      </w:r>
    </w:p>
    <w:p>
      <w:pPr>
        <w:pStyle w:val="Heading5"/>
        <w:keepLines w:val="0"/>
        <w:spacing w:before="180"/>
        <w:rPr>
          <w:snapToGrid w:val="0"/>
        </w:rPr>
      </w:pPr>
      <w:bookmarkStart w:id="154" w:name="_Toc131586367"/>
      <w:r>
        <w:rPr>
          <w:rStyle w:val="CharSectno"/>
        </w:rPr>
        <w:t>44</w:t>
      </w:r>
      <w:r>
        <w:rPr>
          <w:snapToGrid w:val="0"/>
        </w:rPr>
        <w:t>.</w:t>
      </w:r>
      <w:r>
        <w:rPr>
          <w:snapToGrid w:val="0"/>
        </w:rPr>
        <w:tab/>
        <w:t>Casino liquor licence, effect and conditions of</w:t>
      </w:r>
      <w:bookmarkEnd w:id="154"/>
    </w:p>
    <w:p>
      <w:pPr>
        <w:pStyle w:val="Subsection"/>
        <w:keepNext/>
      </w:pPr>
      <w:r>
        <w:tab/>
        <w:t>(1)</w:t>
      </w:r>
      <w:r>
        <w:tab/>
        <w:t xml:space="preserve">Subject to this Act, a casino licence authorises the licensee, during permitted hours, to do either or both of the following — </w:t>
      </w:r>
    </w:p>
    <w:p>
      <w:pPr>
        <w:pStyle w:val="Indenta"/>
      </w:pPr>
      <w:r>
        <w:tab/>
        <w:t>(a)</w:t>
      </w:r>
      <w:r>
        <w:tab/>
        <w:t xml:space="preserve">sell liquor for consumption — </w:t>
      </w:r>
    </w:p>
    <w:p>
      <w:pPr>
        <w:pStyle w:val="Indenti"/>
      </w:pPr>
      <w:r>
        <w:tab/>
        <w:t>(i)</w:t>
      </w:r>
      <w:r>
        <w:tab/>
        <w:t>on the premises at the casino; and</w:t>
      </w:r>
    </w:p>
    <w:p>
      <w:pPr>
        <w:pStyle w:val="Indenti"/>
      </w:pPr>
      <w:r>
        <w:tab/>
        <w:t>(ii)</w:t>
      </w:r>
      <w:r>
        <w:tab/>
        <w:t>on other premises within the casino complex concerned or adjacent to that complex, within one or more defined areas as may from time to time be approved by the Gaming and Wagering Commission;</w:t>
      </w:r>
    </w:p>
    <w:p>
      <w:pPr>
        <w:pStyle w:val="Indenta"/>
      </w:pPr>
      <w:r>
        <w:tab/>
        <w:t>(b)</w:t>
      </w:r>
      <w:r>
        <w:tab/>
        <w:t xml:space="preserve">supply, without charge, packaged liquor on the premises referred to in paragraph (a) as part of — </w:t>
      </w:r>
    </w:p>
    <w:p>
      <w:pPr>
        <w:pStyle w:val="Indenti"/>
      </w:pPr>
      <w:r>
        <w:tab/>
        <w:t>(i)</w:t>
      </w:r>
      <w:r>
        <w:tab/>
        <w:t>an accommodation, restaurant or dining service provided on those premises; or</w:t>
      </w:r>
    </w:p>
    <w:p>
      <w:pPr>
        <w:pStyle w:val="Indenti"/>
      </w:pPr>
      <w:r>
        <w:tab/>
        <w:t>(ii)</w:t>
      </w:r>
      <w:r>
        <w:tab/>
        <w:t>a function or promotional activity conducted on those premises.</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 xml:space="preserve">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w:t>
      </w:r>
      <w:r>
        <w:rPr>
          <w:snapToGrid w:val="0"/>
        </w:rPr>
        <w:lastRenderedPageBreak/>
        <w:t>and consents to the proposed determination of the licensing authority.</w:t>
      </w:r>
    </w:p>
    <w:p>
      <w:pPr>
        <w:pStyle w:val="Footnotesection"/>
      </w:pPr>
      <w:r>
        <w:tab/>
        <w:t>[Section 44 amended: No. 35 of 2003 s. 173(4); No. 73 of 2006 s. 107; No. 9 of 2018 s. 23.]</w:t>
      </w:r>
    </w:p>
    <w:p>
      <w:pPr>
        <w:pStyle w:val="Heading5"/>
        <w:keepNext w:val="0"/>
        <w:keepLines w:val="0"/>
        <w:spacing w:before="180"/>
        <w:rPr>
          <w:snapToGrid w:val="0"/>
        </w:rPr>
      </w:pPr>
      <w:bookmarkStart w:id="155" w:name="_Toc131586368"/>
      <w:r>
        <w:rPr>
          <w:rStyle w:val="CharSectno"/>
        </w:rPr>
        <w:t>45</w:t>
      </w:r>
      <w:r>
        <w:rPr>
          <w:snapToGrid w:val="0"/>
        </w:rPr>
        <w:t>.</w:t>
      </w:r>
      <w:r>
        <w:rPr>
          <w:snapToGrid w:val="0"/>
        </w:rPr>
        <w:tab/>
        <w:t>Casino liquor licence, pre-requisites for grant of</w:t>
      </w:r>
      <w:bookmarkEnd w:id="155"/>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premises sought to be licensed are premises approved for the purpose by the Gaming and Wagering Commission and are comprised within or are adjacent to the casino complex to which </w:t>
      </w:r>
      <w:r>
        <w:t>a</w:t>
      </w:r>
      <w:r>
        <w:rPr>
          <w:snapToGrid w:val="0"/>
        </w:rPr>
        <w:t xml:space="preserve">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 xml:space="preserve">The licensing authority shall not grant any authorisation to sell liquor in the casino complex </w:t>
      </w:r>
      <w:r>
        <w:t>to which a casino gaming licence relates</w:t>
      </w:r>
      <w:r>
        <w:rPr>
          <w:snapToGrid w:val="0"/>
        </w:rPr>
        <w:t xml:space="preserve">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 xml:space="preserve">where the Director so requires, the casino liquor licensee having first provided to the Director a return of liquor purchased or sold and such other records as the Director </w:t>
      </w:r>
      <w:r>
        <w:rPr>
          <w:snapToGrid w:val="0"/>
        </w:rPr>
        <w:lastRenderedPageBreak/>
        <w:t>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No. 12 of 1998 s. 28; No. 35 of 2003 s. 173(4); No. 9 of 2018 s. 24.] </w:t>
      </w:r>
    </w:p>
    <w:p>
      <w:pPr>
        <w:pStyle w:val="Heading5"/>
        <w:spacing w:before="240"/>
        <w:rPr>
          <w:snapToGrid w:val="0"/>
        </w:rPr>
      </w:pPr>
      <w:bookmarkStart w:id="156" w:name="_Toc131586369"/>
      <w:r>
        <w:rPr>
          <w:rStyle w:val="CharSectno"/>
        </w:rPr>
        <w:t>46</w:t>
      </w:r>
      <w:r>
        <w:rPr>
          <w:snapToGrid w:val="0"/>
        </w:rPr>
        <w:t>.</w:t>
      </w:r>
      <w:r>
        <w:rPr>
          <w:snapToGrid w:val="0"/>
        </w:rPr>
        <w:tab/>
        <w:t>Special facility licence, pre-requisites for grant of</w:t>
      </w:r>
      <w:bookmarkEnd w:id="156"/>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lastRenderedPageBreak/>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No. 12 of 1998 s. 29; amended: No. 26 of 2001 s. 5(1); No. 73 of 2006 s. 35.] </w:t>
      </w:r>
    </w:p>
    <w:p>
      <w:pPr>
        <w:pStyle w:val="Heading5"/>
        <w:spacing w:before="240"/>
      </w:pPr>
      <w:bookmarkStart w:id="157" w:name="_Toc131586370"/>
      <w:r>
        <w:rPr>
          <w:rStyle w:val="CharSectno"/>
        </w:rPr>
        <w:t>46A</w:t>
      </w:r>
      <w:r>
        <w:t>.</w:t>
      </w:r>
      <w:r>
        <w:tab/>
        <w:t>Special facility licence, restrictions on varying</w:t>
      </w:r>
      <w:bookmarkEnd w:id="157"/>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lastRenderedPageBreak/>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No. 73 of 2006 s. 36.]</w:t>
      </w:r>
    </w:p>
    <w:p>
      <w:pPr>
        <w:pStyle w:val="Heading5"/>
      </w:pPr>
      <w:bookmarkStart w:id="158" w:name="_Toc131586371"/>
      <w:r>
        <w:rPr>
          <w:rStyle w:val="CharSectno"/>
        </w:rPr>
        <w:t>46B</w:t>
      </w:r>
      <w:r>
        <w:t>.</w:t>
      </w:r>
      <w:r>
        <w:tab/>
        <w:t>Alternatives to granting or varying special facility licences</w:t>
      </w:r>
      <w:bookmarkEnd w:id="158"/>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lastRenderedPageBreak/>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No. 73 of 2006 s. 36.]</w:t>
      </w:r>
    </w:p>
    <w:p>
      <w:pPr>
        <w:pStyle w:val="Heading5"/>
        <w:keepNext w:val="0"/>
        <w:keepLines w:val="0"/>
        <w:spacing w:before="180"/>
        <w:rPr>
          <w:snapToGrid w:val="0"/>
        </w:rPr>
      </w:pPr>
      <w:bookmarkStart w:id="159" w:name="_Toc131586372"/>
      <w:r>
        <w:rPr>
          <w:rStyle w:val="CharSectno"/>
        </w:rPr>
        <w:t>47</w:t>
      </w:r>
      <w:r>
        <w:rPr>
          <w:snapToGrid w:val="0"/>
        </w:rPr>
        <w:t>.</w:t>
      </w:r>
      <w:r>
        <w:rPr>
          <w:snapToGrid w:val="0"/>
        </w:rPr>
        <w:tab/>
        <w:t>Liquor store licence, effect of</w:t>
      </w:r>
      <w:bookmarkEnd w:id="159"/>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No. 12 of 1998 s. 30.] </w:t>
      </w:r>
    </w:p>
    <w:p>
      <w:pPr>
        <w:pStyle w:val="Ednotedivision"/>
        <w:spacing w:before="240"/>
      </w:pPr>
      <w:r>
        <w:t>[Heading deleted: No. 73 of 2006 s. 37.]</w:t>
      </w:r>
    </w:p>
    <w:p>
      <w:pPr>
        <w:pStyle w:val="Heading5"/>
        <w:spacing w:before="240"/>
        <w:rPr>
          <w:snapToGrid w:val="0"/>
        </w:rPr>
      </w:pPr>
      <w:bookmarkStart w:id="160" w:name="_Toc131586373"/>
      <w:r>
        <w:rPr>
          <w:rStyle w:val="CharSectno"/>
        </w:rPr>
        <w:lastRenderedPageBreak/>
        <w:t>48</w:t>
      </w:r>
      <w:r>
        <w:rPr>
          <w:snapToGrid w:val="0"/>
        </w:rPr>
        <w:t>.</w:t>
      </w:r>
      <w:r>
        <w:rPr>
          <w:snapToGrid w:val="0"/>
        </w:rPr>
        <w:tab/>
        <w:t>Club licence, kinds, conditions and effect of</w:t>
      </w:r>
      <w:bookmarkEnd w:id="160"/>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 xml:space="preserve">ancillary to a meal supplied at the club by or on behalf of the club to a member and to each of the guests of that member (without limitation as to number), being guests of whose attendance prior notice was given to the club in accordance with </w:t>
      </w:r>
      <w:r>
        <w:t>the rules of the club;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to a member, for consumption by the guests of that member (without limitation as to number) at a function held by or on behalf of that member at the club if in accordance with </w:t>
      </w:r>
      <w:r>
        <w:t>the rules of the club;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lastRenderedPageBreak/>
        <w:tab/>
      </w:r>
      <w:r>
        <w:rPr>
          <w:snapToGrid w:val="0"/>
        </w:rPr>
        <w:tab/>
        <w:t xml:space="preserve">if the </w:t>
      </w:r>
      <w:r>
        <w:t>rules of the club</w:t>
      </w:r>
      <w:r>
        <w:rPr>
          <w:snapToGrid w:val="0"/>
        </w:rPr>
        <w:t xml:space="preserve"> are not thereby contravened.</w:t>
      </w:r>
    </w:p>
    <w:p>
      <w:pPr>
        <w:pStyle w:val="Subsection"/>
      </w:pPr>
      <w:r>
        <w:tab/>
        <w:t>(2A)</w:t>
      </w:r>
      <w:r>
        <w:tab/>
        <w:t>Subject to this Act, a club licence authorises the sale, during permitted hours, of liquor to a visitor for consumption on the licensed premises if the sale does not contravene the rules of the club.</w:t>
      </w:r>
    </w:p>
    <w:p>
      <w:pPr>
        <w:pStyle w:val="Subsection"/>
        <w:keepNext/>
      </w:pPr>
      <w:r>
        <w:tab/>
        <w:t>(2B)</w:t>
      </w:r>
      <w:r>
        <w:tab/>
        <w:t xml:space="preserve">In subsection (2A) — </w:t>
      </w:r>
    </w:p>
    <w:p>
      <w:pPr>
        <w:pStyle w:val="Defstart"/>
        <w:keepNext/>
      </w:pPr>
      <w:r>
        <w:tab/>
      </w:r>
      <w:r>
        <w:rPr>
          <w:rStyle w:val="CharDefText"/>
        </w:rPr>
        <w:t>visitor</w:t>
      </w:r>
      <w:r>
        <w:t xml:space="preserve"> means a person, other than a member, a guest of a member or a person referred to in subsection (5), who — </w:t>
      </w:r>
    </w:p>
    <w:p>
      <w:pPr>
        <w:pStyle w:val="Defpara"/>
      </w:pPr>
      <w:r>
        <w:tab/>
        <w:t>(a)</w:t>
      </w:r>
      <w:r>
        <w:tab/>
        <w:t>is at least 40 km or, if a greater distance is prescribed for the purposes of this paragraph, at least that distance from their usual place of residence; and</w:t>
      </w:r>
    </w:p>
    <w:p>
      <w:pPr>
        <w:pStyle w:val="Defpara"/>
      </w:pPr>
      <w:r>
        <w:tab/>
        <w:t>(b)</w:t>
      </w:r>
      <w:r>
        <w:tab/>
        <w:t>is visiting the club while travelling in the course of a holiday or travelling for leisure or business; and</w:t>
      </w:r>
    </w:p>
    <w:p>
      <w:pPr>
        <w:pStyle w:val="Defpara"/>
      </w:pPr>
      <w:r>
        <w:tab/>
        <w:t>(c)</w:t>
      </w:r>
      <w:r>
        <w:tab/>
        <w:t>is required, at the time of their visit, to pay a fee to the club for the use of its facilities.</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the authority to sell liquor for consumption by the guests of a member, otherwise than ancillary to a meal or at a function under subsection (2)(b), extends only to such persons, not exceeding 5 or such lesser number as may be permitted by </w:t>
      </w:r>
      <w:r>
        <w:t>the rules of the club,</w:t>
      </w:r>
      <w:r>
        <w:rPr>
          <w:snapToGrid w:val="0"/>
        </w:rPr>
        <w:t xml:space="preserve"> as are introduced as the guests of that member on that day; and</w:t>
      </w:r>
    </w:p>
    <w:p>
      <w:pPr>
        <w:pStyle w:val="Indenta"/>
        <w:keepNext/>
        <w:rPr>
          <w:snapToGrid w:val="0"/>
        </w:rPr>
      </w:pPr>
      <w:r>
        <w:rPr>
          <w:snapToGrid w:val="0"/>
        </w:rPr>
        <w:tab/>
        <w:t>(c)</w:t>
      </w:r>
      <w:r>
        <w:rPr>
          <w:snapToGrid w:val="0"/>
        </w:rPr>
        <w:tab/>
        <w:t>packaged liquor be not removed — </w:t>
      </w:r>
    </w:p>
    <w:p>
      <w:pPr>
        <w:pStyle w:val="Indenti"/>
        <w:keepNext/>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 xml:space="preserve">as soon as is practicable after the making of any proposal for a </w:t>
      </w:r>
      <w:r>
        <w:t>change in the appointment of a person as trustee to hold the licence for the club, the Secretary</w:t>
      </w:r>
      <w:r>
        <w:rPr>
          <w:snapToGrid w:val="0"/>
        </w:rPr>
        <w:t xml:space="preserve">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pPr>
      <w:r>
        <w:tab/>
        <w:t>(ea)</w:t>
      </w:r>
      <w:r>
        <w:tab/>
        <w:t>an up-to-date register of visitors (as defined in subsection (2B)) be continually available for inspection at the club premises; and</w:t>
      </w:r>
    </w:p>
    <w:p>
      <w:pPr>
        <w:pStyle w:val="Indenta"/>
        <w:rPr>
          <w:snapToGrid w:val="0"/>
        </w:rPr>
      </w:pPr>
      <w:r>
        <w:rPr>
          <w:snapToGrid w:val="0"/>
        </w:rPr>
        <w:tab/>
        <w:t>(f)</w:t>
      </w:r>
      <w:r>
        <w:rPr>
          <w:snapToGrid w:val="0"/>
        </w:rPr>
        <w:tab/>
        <w:t xml:space="preserve">the club ensures that its </w:t>
      </w:r>
      <w:r>
        <w:t>rules</w:t>
      </w:r>
      <w:r>
        <w:rPr>
          <w:snapToGrid w:val="0"/>
        </w:rPr>
        <w:t xml:space="preserve">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keepNext/>
      </w:pPr>
      <w:r>
        <w:lastRenderedPageBreak/>
        <w:tab/>
        <w:t>(5)</w:t>
      </w:r>
      <w:r>
        <w:tab/>
        <w:t xml:space="preserve">Subject to subsection (6), a person who is on any day visiting a club (the </w:t>
      </w:r>
      <w:r>
        <w:rPr>
          <w:rStyle w:val="CharDefText"/>
        </w:rPr>
        <w:t>host club</w:t>
      </w:r>
      <w:r>
        <w:t>) as a member or an official of another club or a team, or a person assisting a member or an official of another club or a team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the rules of the club.</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 xml:space="preserve">Where in relation to the sale of liquor a club permits any contravention of its </w:t>
      </w:r>
      <w:r>
        <w:t>rules,</w:t>
      </w:r>
      <w:r>
        <w:rPr>
          <w:snapToGrid w:val="0"/>
        </w:rPr>
        <w:t xml:space="preserve">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No. 12 of 1998 s. 31; No. 73 of 2006 s. 38; No. 56 of 2010 s. 11; No. 9 of 2018 s. 25.] </w:t>
      </w:r>
    </w:p>
    <w:p>
      <w:pPr>
        <w:pStyle w:val="Heading5"/>
        <w:rPr>
          <w:snapToGrid w:val="0"/>
        </w:rPr>
      </w:pPr>
      <w:bookmarkStart w:id="161" w:name="_Toc131586374"/>
      <w:r>
        <w:rPr>
          <w:rStyle w:val="CharSectno"/>
        </w:rPr>
        <w:lastRenderedPageBreak/>
        <w:t>49</w:t>
      </w:r>
      <w:r>
        <w:rPr>
          <w:snapToGrid w:val="0"/>
        </w:rPr>
        <w:t>.</w:t>
      </w:r>
      <w:r>
        <w:rPr>
          <w:snapToGrid w:val="0"/>
        </w:rPr>
        <w:tab/>
        <w:t>Club licence, pre-requisites for grant of</w:t>
      </w:r>
      <w:bookmarkEnd w:id="161"/>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keepNext/>
        <w:rPr>
          <w:snapToGrid w:val="0"/>
        </w:rPr>
      </w:pPr>
      <w:r>
        <w:rPr>
          <w:snapToGrid w:val="0"/>
        </w:rPr>
        <w:tab/>
        <w:t>(a)</w:t>
      </w:r>
      <w:r>
        <w:rPr>
          <w:snapToGrid w:val="0"/>
        </w:rPr>
        <w:tab/>
        <w:t>that the applicant is a society, club, institution or other body of persons which — </w:t>
      </w:r>
    </w:p>
    <w:p>
      <w:pPr>
        <w:pStyle w:val="Indenti"/>
        <w:keepNext/>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r>
      <w:r>
        <w:t>that the</w:t>
      </w:r>
      <w:r>
        <w:rPr>
          <w:snapToGrid w:val="0"/>
        </w:rPr>
        <w:t xml:space="preserve"> rules of the club are of a kind appropriate for the purposes of a club seeking to be licensed, having regard to the terms and conditions of the licence </w:t>
      </w:r>
      <w:r>
        <w:t>sought.</w:t>
      </w:r>
    </w:p>
    <w:p>
      <w:pPr>
        <w:pStyle w:val="Subsection"/>
        <w:rPr>
          <w:snapToGrid w:val="0"/>
        </w:rPr>
      </w:pPr>
      <w:r>
        <w:rPr>
          <w:snapToGrid w:val="0"/>
        </w:rPr>
        <w:tab/>
        <w:t>(2)</w:t>
      </w:r>
      <w:r>
        <w:rPr>
          <w:snapToGrid w:val="0"/>
        </w:rPr>
        <w:tab/>
        <w:t>Where the Director finds that the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rules to be varied; or</w:t>
      </w:r>
    </w:p>
    <w:p>
      <w:pPr>
        <w:pStyle w:val="Indenta"/>
        <w:rPr>
          <w:snapToGrid w:val="0"/>
        </w:rPr>
      </w:pPr>
      <w:r>
        <w:rPr>
          <w:snapToGrid w:val="0"/>
        </w:rPr>
        <w:tab/>
        <w:t>(b)</w:t>
      </w:r>
      <w:r>
        <w:rPr>
          <w:snapToGrid w:val="0"/>
        </w:rPr>
        <w:tab/>
        <w:t>grant the application subject to a condition requiring amendment of the rules.</w:t>
      </w:r>
    </w:p>
    <w:p>
      <w:pPr>
        <w:pStyle w:val="Ednotesubsection"/>
      </w:pPr>
      <w:r>
        <w:lastRenderedPageBreak/>
        <w:tab/>
        <w:t>[(3), (4)</w:t>
      </w:r>
      <w:r>
        <w:tab/>
        <w:t>deleted]</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No. 12 of 1998 s. 32; No. 73 of 2006 s. 39; No. 30 of 2015 s. 232; No. 9 of 2018 s. 26.] </w:t>
      </w:r>
    </w:p>
    <w:p>
      <w:pPr>
        <w:pStyle w:val="Heading5"/>
        <w:rPr>
          <w:snapToGrid w:val="0"/>
        </w:rPr>
      </w:pPr>
      <w:bookmarkStart w:id="162" w:name="_Toc131586375"/>
      <w:r>
        <w:rPr>
          <w:rStyle w:val="CharSectno"/>
        </w:rPr>
        <w:t>50</w:t>
      </w:r>
      <w:r>
        <w:rPr>
          <w:snapToGrid w:val="0"/>
        </w:rPr>
        <w:t>.</w:t>
      </w:r>
      <w:r>
        <w:rPr>
          <w:snapToGrid w:val="0"/>
        </w:rPr>
        <w:tab/>
        <w:t>Restaurant licence, effect and conditions of</w:t>
      </w:r>
      <w:bookmarkEnd w:id="162"/>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lastRenderedPageBreak/>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No. 12 of 1998 s. 33; No. 73 of 2006 s. 40 and 108.] </w:t>
      </w:r>
    </w:p>
    <w:p>
      <w:pPr>
        <w:pStyle w:val="Heading5"/>
      </w:pPr>
      <w:bookmarkStart w:id="163" w:name="_Toc131586376"/>
      <w:r>
        <w:rPr>
          <w:rStyle w:val="CharSectno"/>
        </w:rPr>
        <w:t>50A</w:t>
      </w:r>
      <w:r>
        <w:t>.</w:t>
      </w:r>
      <w:r>
        <w:tab/>
        <w:t>Issue of extended trading permit under s. 60(4)(ca) for certain restaurant licences at time of grant</w:t>
      </w:r>
      <w:bookmarkEnd w:id="163"/>
    </w:p>
    <w:p>
      <w:pPr>
        <w:pStyle w:val="Subsection"/>
      </w:pPr>
      <w:r>
        <w:tab/>
        <w:t>(1)</w:t>
      </w:r>
      <w:r>
        <w:tab/>
        <w:t xml:space="preserve">Subsection (2) applies if — </w:t>
      </w:r>
    </w:p>
    <w:p>
      <w:pPr>
        <w:pStyle w:val="Indenta"/>
      </w:pPr>
      <w:r>
        <w:tab/>
        <w:t>(a)</w:t>
      </w:r>
      <w:r>
        <w:tab/>
        <w:t>the licensing authority decides to grant a restaurant licence subject to a condition limiting the maximum number of persons (excluding responsible persons and authorised officers) who may be on the licensed premises to 120; and</w:t>
      </w:r>
    </w:p>
    <w:p>
      <w:pPr>
        <w:pStyle w:val="Indenta"/>
      </w:pPr>
      <w:r>
        <w:tab/>
        <w:t>(b)</w:t>
      </w:r>
      <w:r>
        <w:tab/>
        <w:t xml:space="preserve">the application for the restaurant licence specifies that an extended trading permit under section 60(4)(ca) is also </w:t>
      </w:r>
      <w:r>
        <w:lastRenderedPageBreak/>
        <w:t>sought in respect of the premises to which the application relates.</w:t>
      </w:r>
    </w:p>
    <w:p>
      <w:pPr>
        <w:pStyle w:val="Subsection"/>
      </w:pPr>
      <w:r>
        <w:tab/>
        <w:t>(2)</w:t>
      </w:r>
      <w:r>
        <w:tab/>
        <w:t>When the licensing authority grants the restaurant licence the licensing authority may issue an extended trading permit under section 60(4)(ca) in respect of the licensed premises.</w:t>
      </w:r>
    </w:p>
    <w:p>
      <w:pPr>
        <w:pStyle w:val="Footnotesection"/>
      </w:pPr>
      <w:r>
        <w:tab/>
        <w:t>[Section 50A inserted: No. 9 of 2018 s. 27.]</w:t>
      </w:r>
    </w:p>
    <w:p>
      <w:pPr>
        <w:pStyle w:val="Heading5"/>
        <w:rPr>
          <w:snapToGrid w:val="0"/>
        </w:rPr>
      </w:pPr>
      <w:bookmarkStart w:id="164" w:name="_Toc131586377"/>
      <w:r>
        <w:rPr>
          <w:rStyle w:val="CharSectno"/>
        </w:rPr>
        <w:t>51</w:t>
      </w:r>
      <w:r>
        <w:rPr>
          <w:snapToGrid w:val="0"/>
        </w:rPr>
        <w:t>.</w:t>
      </w:r>
      <w:r>
        <w:rPr>
          <w:snapToGrid w:val="0"/>
        </w:rPr>
        <w:tab/>
        <w:t>Unlicensed restaurants, supply of liquor in</w:t>
      </w:r>
      <w:bookmarkEnd w:id="164"/>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No. 12 of 1998 s. 34; No. 73 of 2006 s. 110; No. 56 of 2010 s. 69.] </w:t>
      </w:r>
    </w:p>
    <w:p>
      <w:pPr>
        <w:pStyle w:val="Heading5"/>
        <w:rPr>
          <w:snapToGrid w:val="0"/>
        </w:rPr>
      </w:pPr>
      <w:bookmarkStart w:id="165" w:name="_Toc131586378"/>
      <w:r>
        <w:rPr>
          <w:rStyle w:val="CharSectno"/>
        </w:rPr>
        <w:lastRenderedPageBreak/>
        <w:t>52</w:t>
      </w:r>
      <w:r>
        <w:rPr>
          <w:snapToGrid w:val="0"/>
        </w:rPr>
        <w:t>.</w:t>
      </w:r>
      <w:r>
        <w:rPr>
          <w:snapToGrid w:val="0"/>
        </w:rPr>
        <w:tab/>
        <w:t>Liquor sold or consumed with meals, effect of extended trading permit which authorises; evidentiary provisions</w:t>
      </w:r>
      <w:bookmarkEnd w:id="165"/>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No. 84 of 2004 s. 80.] </w:t>
      </w:r>
    </w:p>
    <w:p>
      <w:pPr>
        <w:pStyle w:val="Heading5"/>
        <w:rPr>
          <w:snapToGrid w:val="0"/>
        </w:rPr>
      </w:pPr>
      <w:bookmarkStart w:id="166" w:name="_Toc131586379"/>
      <w:r>
        <w:rPr>
          <w:rStyle w:val="CharSectno"/>
        </w:rPr>
        <w:lastRenderedPageBreak/>
        <w:t>53</w:t>
      </w:r>
      <w:r>
        <w:rPr>
          <w:snapToGrid w:val="0"/>
        </w:rPr>
        <w:t>.</w:t>
      </w:r>
      <w:r>
        <w:rPr>
          <w:snapToGrid w:val="0"/>
        </w:rPr>
        <w:tab/>
        <w:t>Restaurant licence and extended trading permit, effect of may be restricted as to selling liquor with meals</w:t>
      </w:r>
      <w:bookmarkEnd w:id="166"/>
    </w:p>
    <w:p>
      <w:pPr>
        <w:pStyle w:val="Subsection"/>
        <w:keepNext/>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keepNext/>
        <w:rPr>
          <w:snapToGrid w:val="0"/>
        </w:rPr>
      </w:pPr>
      <w:r>
        <w:rPr>
          <w:snapToGrid w:val="0"/>
        </w:rPr>
        <w:tab/>
        <w:t>(a)</w:t>
      </w:r>
      <w:r>
        <w:rPr>
          <w:snapToGrid w:val="0"/>
        </w:rPr>
        <w:tab/>
        <w:t>by the imposition, on the grant of the licence or the issue of the permit, of conditions requiring — </w:t>
      </w:r>
    </w:p>
    <w:p>
      <w:pPr>
        <w:pStyle w:val="Indenti"/>
        <w:keepNext/>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No. 12 of 1998 s. 35(1).] </w:t>
      </w:r>
    </w:p>
    <w:p>
      <w:pPr>
        <w:pStyle w:val="Heading5"/>
        <w:spacing w:before="240"/>
        <w:rPr>
          <w:snapToGrid w:val="0"/>
        </w:rPr>
      </w:pPr>
      <w:bookmarkStart w:id="167" w:name="_Toc131586380"/>
      <w:r>
        <w:rPr>
          <w:rStyle w:val="CharSectno"/>
        </w:rPr>
        <w:lastRenderedPageBreak/>
        <w:t>55</w:t>
      </w:r>
      <w:r>
        <w:rPr>
          <w:snapToGrid w:val="0"/>
        </w:rPr>
        <w:t>.</w:t>
      </w:r>
      <w:r>
        <w:rPr>
          <w:snapToGrid w:val="0"/>
        </w:rPr>
        <w:tab/>
        <w:t>Producer’s licence, effect of</w:t>
      </w:r>
      <w:bookmarkEnd w:id="167"/>
    </w:p>
    <w:p>
      <w:pPr>
        <w:pStyle w:val="Subsection"/>
        <w:keepNext/>
        <w:rPr>
          <w:snapToGrid w:val="0"/>
        </w:rPr>
      </w:pPr>
      <w:r>
        <w:rPr>
          <w:snapToGrid w:val="0"/>
        </w:rPr>
        <w:tab/>
        <w:t>(1)</w:t>
      </w:r>
      <w:r>
        <w:rPr>
          <w:snapToGrid w:val="0"/>
        </w:rPr>
        <w:tab/>
        <w:t>Subject to this Act the licensee of a producer’s licence is, during permitted hours, authorised — </w:t>
      </w:r>
    </w:p>
    <w:p>
      <w:pPr>
        <w:pStyle w:val="Indenta"/>
        <w:keepNext/>
      </w:pPr>
      <w:r>
        <w:tab/>
        <w:t>(a)</w:t>
      </w:r>
      <w:r>
        <w:tab/>
        <w:t>to sell or supply (including by way of sample) on the licensed premises liquor produced by the licensee for consumption on a part of the licensed premises approved for the purpose by the Director; and</w:t>
      </w:r>
    </w:p>
    <w:p>
      <w:pPr>
        <w:pStyle w:val="Indenta"/>
      </w:pPr>
      <w:r>
        <w:tab/>
        <w:t>(b)</w:t>
      </w:r>
      <w:r>
        <w:tab/>
        <w:t>to sell or supply on or from the licensed premises liquor produced by the licensee for consumption off the licensed premises; and</w:t>
      </w:r>
    </w:p>
    <w:p>
      <w:pPr>
        <w:pStyle w:val="Indenta"/>
      </w:pPr>
      <w:r>
        <w:tab/>
        <w:t>(c)</w:t>
      </w:r>
      <w:r>
        <w:tab/>
        <w:t xml:space="preserve">to sell or supply liquor, other than liquor produced by the licensee, on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Ednotesubsection"/>
      </w:pPr>
      <w:r>
        <w:tab/>
        <w:t>[(1a)</w:t>
      </w:r>
      <w:r>
        <w:tab/>
        <w:t>deleted]</w:t>
      </w:r>
    </w:p>
    <w:p>
      <w:pPr>
        <w:pStyle w:val="Subsection"/>
        <w:spacing w:before="120"/>
      </w:pPr>
      <w:r>
        <w:tab/>
        <w:t>(2A)</w:t>
      </w:r>
      <w:r>
        <w:tab/>
        <w:t xml:space="preserve">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keepNext/>
        <w:spacing w:before="120"/>
        <w:rPr>
          <w:snapToGrid w:val="0"/>
        </w:rPr>
      </w:pPr>
      <w:r>
        <w:rPr>
          <w:snapToGrid w:val="0"/>
        </w:rPr>
        <w:lastRenderedPageBreak/>
        <w:tab/>
        <w:t>(3)</w:t>
      </w:r>
      <w:r>
        <w:rPr>
          <w:snapToGrid w:val="0"/>
        </w:rPr>
        <w:tab/>
        <w:t xml:space="preserve">Where the licensee is a body </w:t>
      </w:r>
      <w:r>
        <w:t>corporate, liquor</w:t>
      </w:r>
      <w:r>
        <w:rPr>
          <w:snapToGrid w:val="0"/>
        </w:rPr>
        <w:t xml:space="preserve"> produced by a related body corporate shall be deemed to have been produced by the licensee.</w:t>
      </w:r>
    </w:p>
    <w:p>
      <w:pPr>
        <w:pStyle w:val="Footnotesection"/>
        <w:keepNext/>
        <w:spacing w:before="80"/>
        <w:ind w:left="890" w:hanging="890"/>
      </w:pPr>
      <w:r>
        <w:tab/>
        <w:t xml:space="preserve">[Section 55 amended: No. 12 of 1998 s. 36; No. 73 of 2006 s. 41; No. 56 of 2010 s. 42; No. 35 of 2015 s. 6; No. 9 of 2018 s. 28.] </w:t>
      </w:r>
    </w:p>
    <w:p>
      <w:pPr>
        <w:pStyle w:val="Heading5"/>
        <w:spacing w:before="180"/>
        <w:rPr>
          <w:snapToGrid w:val="0"/>
        </w:rPr>
      </w:pPr>
      <w:bookmarkStart w:id="168" w:name="_Toc131586381"/>
      <w:r>
        <w:rPr>
          <w:rStyle w:val="CharSectno"/>
        </w:rPr>
        <w:t>56</w:t>
      </w:r>
      <w:r>
        <w:rPr>
          <w:snapToGrid w:val="0"/>
        </w:rPr>
        <w:t>.</w:t>
      </w:r>
      <w:r>
        <w:rPr>
          <w:snapToGrid w:val="0"/>
        </w:rPr>
        <w:tab/>
        <w:t>Production of liquor by person, presumption of</w:t>
      </w:r>
      <w:bookmarkEnd w:id="168"/>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pPr>
      <w:r>
        <w:tab/>
        <w:t>(ba)</w:t>
      </w:r>
      <w:r>
        <w:tab/>
        <w:t xml:space="preserve">being spirits made from wine — </w:t>
      </w:r>
    </w:p>
    <w:p>
      <w:pPr>
        <w:pStyle w:val="Indenti"/>
      </w:pPr>
      <w:r>
        <w:tab/>
        <w:t>(i)</w:t>
      </w:r>
      <w:r>
        <w:tab/>
        <w:t>if it was distilled by that person; or</w:t>
      </w:r>
    </w:p>
    <w:p>
      <w:pPr>
        <w:pStyle w:val="Indenti"/>
      </w:pPr>
      <w:r>
        <w:tab/>
        <w:t>(ii)</w:t>
      </w:r>
      <w:r>
        <w:tab/>
        <w:t>if it was distilled under the control or direction of that person from wine produced by that person;</w:t>
      </w:r>
    </w:p>
    <w:p>
      <w:pPr>
        <w:pStyle w:val="Indenta"/>
      </w:pPr>
      <w:r>
        <w:tab/>
      </w:r>
      <w:r>
        <w:tab/>
        <w:t>or</w:t>
      </w:r>
    </w:p>
    <w:p>
      <w:pPr>
        <w:pStyle w:val="Indenta"/>
        <w:rPr>
          <w:snapToGrid w:val="0"/>
        </w:rPr>
      </w:pPr>
      <w:r>
        <w:rPr>
          <w:snapToGrid w:val="0"/>
        </w:rPr>
        <w:tab/>
        <w:t>(c)</w:t>
      </w:r>
      <w:r>
        <w:rPr>
          <w:snapToGrid w:val="0"/>
        </w:rPr>
        <w:tab/>
        <w:t xml:space="preserve">being </w:t>
      </w:r>
      <w:r>
        <w:t xml:space="preserve">spirits not made from wine, </w:t>
      </w:r>
      <w:r>
        <w:rPr>
          <w:snapToGrid w:val="0"/>
        </w:rPr>
        <w:t>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No. 74 of 2003 s. 78; No. 9 of 2018 s. 29.]</w:t>
      </w:r>
    </w:p>
    <w:p>
      <w:pPr>
        <w:pStyle w:val="Heading5"/>
        <w:spacing w:before="180"/>
        <w:rPr>
          <w:snapToGrid w:val="0"/>
        </w:rPr>
      </w:pPr>
      <w:bookmarkStart w:id="169" w:name="_Toc131586382"/>
      <w:r>
        <w:rPr>
          <w:rStyle w:val="CharSectno"/>
        </w:rPr>
        <w:lastRenderedPageBreak/>
        <w:t>57</w:t>
      </w:r>
      <w:r>
        <w:rPr>
          <w:snapToGrid w:val="0"/>
        </w:rPr>
        <w:t>.</w:t>
      </w:r>
      <w:r>
        <w:rPr>
          <w:snapToGrid w:val="0"/>
        </w:rPr>
        <w:tab/>
        <w:t>Producer’s licence, pre-requisites for grant of</w:t>
      </w:r>
      <w:bookmarkEnd w:id="169"/>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No. 12 of 1998 s. 37; No. 56 of 2010 s. 43.] </w:t>
      </w:r>
    </w:p>
    <w:p>
      <w:pPr>
        <w:pStyle w:val="Heading5"/>
        <w:rPr>
          <w:snapToGrid w:val="0"/>
        </w:rPr>
      </w:pPr>
      <w:bookmarkStart w:id="170" w:name="_Toc131586383"/>
      <w:r>
        <w:rPr>
          <w:rStyle w:val="CharSectno"/>
        </w:rPr>
        <w:t>58</w:t>
      </w:r>
      <w:r>
        <w:rPr>
          <w:snapToGrid w:val="0"/>
        </w:rPr>
        <w:t>.</w:t>
      </w:r>
      <w:r>
        <w:rPr>
          <w:snapToGrid w:val="0"/>
        </w:rPr>
        <w:tab/>
        <w:t>Wholesaler’s licence, effect and conditions of</w:t>
      </w:r>
      <w:bookmarkEnd w:id="170"/>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w:t>
      </w:r>
      <w:r>
        <w:rPr>
          <w:snapToGrid w:val="0"/>
        </w:rPr>
        <w:lastRenderedPageBreak/>
        <w:t xml:space="preserve">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Ednotesubsection"/>
      </w:pPr>
      <w:r>
        <w:tab/>
        <w:t>[(2a)</w:t>
      </w:r>
      <w:r>
        <w:tab/>
        <w:t>deleted]</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lastRenderedPageBreak/>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No. 56 of 1997 s. 26(4); No. 12 of 1998 s. 38; No. 73 of 2006 s. 42; No. 35 of 2015 s. 7; No. 9 of 2018 s. 30.] </w:t>
      </w:r>
    </w:p>
    <w:p>
      <w:pPr>
        <w:pStyle w:val="Heading5"/>
        <w:rPr>
          <w:snapToGrid w:val="0"/>
        </w:rPr>
      </w:pPr>
      <w:bookmarkStart w:id="171" w:name="_Toc131586384"/>
      <w:r>
        <w:rPr>
          <w:rStyle w:val="CharSectno"/>
        </w:rPr>
        <w:t>59</w:t>
      </w:r>
      <w:r>
        <w:rPr>
          <w:snapToGrid w:val="0"/>
        </w:rPr>
        <w:t>.</w:t>
      </w:r>
      <w:r>
        <w:rPr>
          <w:snapToGrid w:val="0"/>
        </w:rPr>
        <w:tab/>
        <w:t>Occasional licence, effect, conditions and pre-requisites for grant of</w:t>
      </w:r>
      <w:bookmarkEnd w:id="171"/>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lastRenderedPageBreak/>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lastRenderedPageBreak/>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No. 12 of 1998 s. 39(1); No. 56 of 2010 s. 12.] </w:t>
      </w:r>
    </w:p>
    <w:p>
      <w:pPr>
        <w:pStyle w:val="Heading5"/>
      </w:pPr>
      <w:bookmarkStart w:id="172" w:name="_Toc131586385"/>
      <w:r>
        <w:rPr>
          <w:rStyle w:val="CharSectno"/>
        </w:rPr>
        <w:t>59A</w:t>
      </w:r>
      <w:r>
        <w:t>.</w:t>
      </w:r>
      <w:r>
        <w:tab/>
        <w:t>Additional authorisations relating to supply and sale of liquor on licensed premises</w:t>
      </w:r>
      <w:bookmarkEnd w:id="172"/>
    </w:p>
    <w:p>
      <w:pPr>
        <w:pStyle w:val="Subsection"/>
        <w:keepNext/>
      </w:pPr>
      <w:r>
        <w:tab/>
        <w:t>(1)</w:t>
      </w:r>
      <w:r>
        <w:tab/>
        <w:t xml:space="preserve">In this section — </w:t>
      </w:r>
    </w:p>
    <w:p>
      <w:pPr>
        <w:pStyle w:val="Defstart"/>
      </w:pPr>
      <w:r>
        <w:tab/>
      </w:r>
      <w:r>
        <w:rPr>
          <w:rStyle w:val="CharDefText"/>
        </w:rPr>
        <w:t>interstate supplier</w:t>
      </w:r>
      <w:r>
        <w:t xml:space="preserve"> means a person who is authorised under the law of another State, or of a Territory, to sell packaged liquor;</w:t>
      </w:r>
    </w:p>
    <w:p>
      <w:pPr>
        <w:pStyle w:val="Defstart"/>
        <w:keepNext/>
      </w:pPr>
      <w:r>
        <w:lastRenderedPageBreak/>
        <w:tab/>
      </w:r>
      <w:r>
        <w:rPr>
          <w:rStyle w:val="CharDefText"/>
        </w:rPr>
        <w:t>packaged liquor</w:t>
      </w:r>
      <w:r>
        <w:t xml:space="preserve"> — </w:t>
      </w:r>
    </w:p>
    <w:p>
      <w:pPr>
        <w:pStyle w:val="Defpara"/>
      </w:pPr>
      <w:r>
        <w:tab/>
        <w:t>(a)</w:t>
      </w:r>
      <w:r>
        <w:tab/>
        <w:t>in relation to an interstate supplier, means liquor in sealed containers for consumption off the premises of the interstate supplier; and</w:t>
      </w:r>
    </w:p>
    <w:p>
      <w:pPr>
        <w:pStyle w:val="Defpara"/>
      </w:pPr>
      <w:r>
        <w:tab/>
        <w:t>(b)</w:t>
      </w:r>
      <w:r>
        <w:tab/>
        <w:t>otherwise, has the meaning given in section 3(1);</w:t>
      </w:r>
    </w:p>
    <w:p>
      <w:pPr>
        <w:pStyle w:val="Defstart"/>
      </w:pPr>
      <w:r>
        <w:tab/>
      </w:r>
      <w:r>
        <w:rPr>
          <w:rStyle w:val="CharDefText"/>
        </w:rPr>
        <w:t>packaged liquor licence</w:t>
      </w:r>
      <w:r>
        <w:t xml:space="preserve"> means a licence that authorises the sale of packaged liquor, but does not include a hotel restricted licence, a casino liquor licence, a club licence or an occasional licence.</w:t>
      </w:r>
    </w:p>
    <w:p>
      <w:pPr>
        <w:pStyle w:val="Subsection"/>
      </w:pPr>
      <w:r>
        <w:tab/>
        <w:t>(2)</w:t>
      </w:r>
      <w:r>
        <w:tab/>
        <w:t xml:space="preserve">A packaged liquor licence authorises the licensee (the </w:t>
      </w:r>
      <w:r>
        <w:rPr>
          <w:rStyle w:val="CharDefText"/>
        </w:rPr>
        <w:t>supplier</w:t>
      </w:r>
      <w:r>
        <w:t xml:space="preserve">), with the agreement of another licensee — </w:t>
      </w:r>
    </w:p>
    <w:p>
      <w:pPr>
        <w:pStyle w:val="Indenta"/>
      </w:pPr>
      <w:r>
        <w:tab/>
        <w:t>(a)</w:t>
      </w:r>
      <w:r>
        <w:tab/>
        <w:t>to supply liquor, by way of free sample, on the licensed premises of the other licensee for consumption on those premises; and</w:t>
      </w:r>
    </w:p>
    <w:p>
      <w:pPr>
        <w:pStyle w:val="Indenta"/>
      </w:pPr>
      <w:r>
        <w:tab/>
        <w:t>(b)</w:t>
      </w:r>
      <w:r>
        <w:tab/>
        <w:t>to sell packaged liquor on the licensed premises of the other licensee for delivery to the purchaser, or to premises specified by the purchaser, from the licensed premises of the supplier.</w:t>
      </w:r>
    </w:p>
    <w:p>
      <w:pPr>
        <w:pStyle w:val="Subsection"/>
      </w:pPr>
      <w:r>
        <w:tab/>
        <w:t>(3)</w:t>
      </w:r>
      <w:r>
        <w:tab/>
        <w:t xml:space="preserve">An interstate supplier is authorised, with the agreement of a licensee — </w:t>
      </w:r>
    </w:p>
    <w:p>
      <w:pPr>
        <w:pStyle w:val="Indenta"/>
      </w:pPr>
      <w:r>
        <w:tab/>
        <w:t>(a)</w:t>
      </w:r>
      <w:r>
        <w:tab/>
        <w:t>to supply liquor, by way of free sample, on the licensed premises of the licensee for consumption on those premises; and</w:t>
      </w:r>
    </w:p>
    <w:p>
      <w:pPr>
        <w:pStyle w:val="Indenta"/>
      </w:pPr>
      <w:r>
        <w:tab/>
        <w:t>(b)</w:t>
      </w:r>
      <w:r>
        <w:tab/>
        <w:t>to sell packaged liquor on the licensed premises of the licensee for delivery to the purchaser, or to premises specified by the purchaser, from the premises of the interstate supplier.</w:t>
      </w:r>
    </w:p>
    <w:p>
      <w:pPr>
        <w:pStyle w:val="Subsection"/>
      </w:pPr>
      <w:r>
        <w:tab/>
        <w:t>(4)</w:t>
      </w:r>
      <w:r>
        <w:tab/>
        <w:t>A sale of packaged liquor made by an interstate supplier as authorised under subsection (3) is taken to be made under a licence described in section 109(1)(a).</w:t>
      </w:r>
    </w:p>
    <w:p>
      <w:pPr>
        <w:pStyle w:val="Footnotesection"/>
        <w:spacing w:before="80"/>
        <w:ind w:left="890" w:hanging="890"/>
      </w:pPr>
      <w:r>
        <w:tab/>
        <w:t xml:space="preserve">[Section 59A inserted: No. 9 of 2018 s. 31.] </w:t>
      </w:r>
    </w:p>
    <w:p>
      <w:pPr>
        <w:pStyle w:val="Heading3"/>
        <w:rPr>
          <w:snapToGrid w:val="0"/>
        </w:rPr>
      </w:pPr>
      <w:bookmarkStart w:id="173" w:name="_Toc122336856"/>
      <w:bookmarkStart w:id="174" w:name="_Toc122342770"/>
      <w:bookmarkStart w:id="175" w:name="_Toc122513181"/>
      <w:bookmarkStart w:id="176" w:name="_Toc131519744"/>
      <w:bookmarkStart w:id="177" w:name="_Toc131520304"/>
      <w:bookmarkStart w:id="178" w:name="_Toc131586386"/>
      <w:r>
        <w:rPr>
          <w:rStyle w:val="CharDivNo"/>
        </w:rPr>
        <w:lastRenderedPageBreak/>
        <w:t>Division 4</w:t>
      </w:r>
      <w:r>
        <w:rPr>
          <w:snapToGrid w:val="0"/>
        </w:rPr>
        <w:t> — </w:t>
      </w:r>
      <w:r>
        <w:rPr>
          <w:rStyle w:val="CharDivText"/>
        </w:rPr>
        <w:t>Permits</w:t>
      </w:r>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131586387"/>
      <w:r>
        <w:rPr>
          <w:rStyle w:val="CharSectno"/>
        </w:rPr>
        <w:t>60</w:t>
      </w:r>
      <w:r>
        <w:rPr>
          <w:snapToGrid w:val="0"/>
        </w:rPr>
        <w:t>.</w:t>
      </w:r>
      <w:r>
        <w:rPr>
          <w:snapToGrid w:val="0"/>
        </w:rPr>
        <w:tab/>
        <w:t>Extended trading permit, purposes, effect and conditions of</w:t>
      </w:r>
      <w:bookmarkEnd w:id="179"/>
    </w:p>
    <w:p>
      <w:pPr>
        <w:pStyle w:val="Subsection"/>
        <w:keepNext/>
        <w:rPr>
          <w:snapToGrid w:val="0"/>
        </w:rPr>
      </w:pPr>
      <w:r>
        <w:rPr>
          <w:snapToGrid w:val="0"/>
        </w:rPr>
        <w:tab/>
        <w:t>(1)</w:t>
      </w:r>
      <w:r>
        <w:rPr>
          <w:snapToGrid w:val="0"/>
        </w:rPr>
        <w:tab/>
        <w:t>An extended trading permit authorises the licensee of the licence to which it relates, subject to — </w:t>
      </w:r>
    </w:p>
    <w:p>
      <w:pPr>
        <w:pStyle w:val="Indenta"/>
        <w:keepNext/>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lastRenderedPageBreak/>
        <w:tab/>
        <w:t>(3a)</w:t>
      </w:r>
      <w:r>
        <w:tab/>
        <w:t>In addition to the conditions imposed by subsection (3), an extended trading permit issued for the purposes of subsection (4)(ca), (g) or (h)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 xml:space="preserve">catering, authorising the licensee to sell liquor </w:t>
      </w:r>
      <w:r>
        <w:t>as a caterer</w:t>
      </w:r>
      <w:r>
        <w:rPr>
          <w:snapToGrid w:val="0"/>
        </w:rPr>
        <w:t xml:space="preserve"> on such days other than a Good Friday and between such hours on those days as may be specified,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lastRenderedPageBreak/>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 xml:space="preserve">the authority to sell liquor for consumption by the guests of a member of the association, otherwise than ancillary to a meal, extends in relation to each such member on any day only to </w:t>
      </w:r>
      <w:r>
        <w:rPr>
          <w:snapToGrid w:val="0"/>
        </w:rPr>
        <w:lastRenderedPageBreak/>
        <w:t>not more than 5 persons introduced as guests by that member on that day; and</w:t>
      </w:r>
    </w:p>
    <w:p>
      <w:pPr>
        <w:pStyle w:val="Indenti"/>
        <w:rPr>
          <w:snapToGrid w:val="0"/>
        </w:rPr>
      </w:pPr>
      <w:r>
        <w:rPr>
          <w:snapToGrid w:val="0"/>
        </w:rPr>
        <w:tab/>
        <w:t>(ii)</w:t>
      </w:r>
      <w:r>
        <w:rPr>
          <w:snapToGrid w:val="0"/>
        </w:rPr>
        <w:tab/>
        <w:t xml:space="preserve">the licensee takes such measures as will ensure that the </w:t>
      </w:r>
      <w:r>
        <w:t>rules of the association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10 years,</w:t>
      </w:r>
      <w:r>
        <w:rPr>
          <w:snapToGrid w:val="0"/>
        </w:rPr>
        <w:t xml:space="preserve"> specified; or</w:t>
      </w:r>
    </w:p>
    <w:p>
      <w:pPr>
        <w:pStyle w:val="Indenta"/>
      </w:pPr>
      <w:r>
        <w:rPr>
          <w:snapToGrid w:val="0"/>
        </w:rPr>
        <w:tab/>
        <w:t>(h)</w:t>
      </w:r>
      <w:r>
        <w:rPr>
          <w:snapToGrid w:val="0"/>
        </w:rPr>
        <w:tab/>
        <w:t xml:space="preserve">an extended area, authorising the licensee to sell liquor </w:t>
      </w:r>
      <w:r>
        <w:t xml:space="preserve">under the licence on specified premises or in a specified area that would not otherwise be authorised, on such days and between such hours on those days as may be specified, </w:t>
      </w:r>
      <w:r>
        <w:rPr>
          <w:snapToGrid w:val="0"/>
        </w:rPr>
        <w:t>which remains in force for the period specified</w:t>
      </w:r>
      <w:r>
        <w:t>; or</w:t>
      </w:r>
    </w:p>
    <w:p>
      <w:pPr>
        <w:pStyle w:val="Indenta"/>
      </w:pPr>
      <w:r>
        <w:tab/>
        <w:t>(ia)</w:t>
      </w:r>
      <w:r>
        <w:tab/>
        <w:t>authorising the licensee of a producer’s licence to sell liquor under the licence on specified premises on which the licensee would not otherwise be authorised to sell the liquor,for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lastRenderedPageBreak/>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keepNext/>
        <w:rPr>
          <w:snapToGrid w:val="0"/>
        </w:rPr>
      </w:pPr>
      <w:r>
        <w:rPr>
          <w:snapToGrid w:val="0"/>
        </w:rPr>
        <w:lastRenderedPageBreak/>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keepNext/>
        <w:ind w:left="890" w:hanging="890"/>
      </w:pPr>
      <w:r>
        <w:tab/>
        <w:t xml:space="preserve">[Section 60 amended: No. 12 of 1998 s. 40 and 97(2); No. 73 of 2006 s. 43, 107 and 108; No. 56 of 2010 s. 13; No. 35 of 2015 s. 8; No. 9 of 2018 s. 32.] </w:t>
      </w:r>
    </w:p>
    <w:p>
      <w:pPr>
        <w:pStyle w:val="Heading5"/>
        <w:rPr>
          <w:snapToGrid w:val="0"/>
        </w:rPr>
      </w:pPr>
      <w:bookmarkStart w:id="180" w:name="_Toc131586388"/>
      <w:r>
        <w:rPr>
          <w:rStyle w:val="CharSectno"/>
        </w:rPr>
        <w:t>61</w:t>
      </w:r>
      <w:r>
        <w:rPr>
          <w:snapToGrid w:val="0"/>
        </w:rPr>
        <w:t>.</w:t>
      </w:r>
      <w:r>
        <w:rPr>
          <w:snapToGrid w:val="0"/>
        </w:rPr>
        <w:tab/>
        <w:t>Extended trading permit for extended area (s. 60(4)(h)), pre</w:t>
      </w:r>
      <w:r>
        <w:rPr>
          <w:snapToGrid w:val="0"/>
        </w:rPr>
        <w:noBreakHyphen/>
        <w:t>requisites for grant of</w:t>
      </w:r>
      <w:bookmarkEnd w:id="180"/>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 xml:space="preserve">the licensee will, at times when the sale of liquor under the permit is authorised, be entitled to use for that purpose the premises or area to which the permit sought </w:t>
      </w:r>
      <w:r>
        <w:t>relates.</w:t>
      </w:r>
    </w:p>
    <w:p>
      <w:pPr>
        <w:pStyle w:val="Ednotepara"/>
        <w:rPr>
          <w:snapToGrid w:val="0"/>
        </w:rPr>
      </w:pPr>
      <w:r>
        <w:rPr>
          <w:snapToGrid w:val="0"/>
        </w:rPr>
        <w:tab/>
        <w:t>[(d)</w:t>
      </w:r>
      <w:r>
        <w:rPr>
          <w:snapToGrid w:val="0"/>
        </w:rPr>
        <w:tab/>
        <w:t>deleted]</w:t>
      </w:r>
    </w:p>
    <w:p>
      <w:pPr>
        <w:pStyle w:val="Ednotesubsection"/>
      </w:pPr>
      <w:r>
        <w:tab/>
        <w:t>[(2)</w:t>
      </w:r>
      <w:r>
        <w:tab/>
        <w:t>deleted]</w:t>
      </w:r>
    </w:p>
    <w:p>
      <w:pPr>
        <w:pStyle w:val="Footnotesection"/>
        <w:ind w:left="890" w:hanging="890"/>
      </w:pPr>
      <w:r>
        <w:tab/>
        <w:t xml:space="preserve">[Section 61 amended: No. 14 of 1996 s. 4; No. 9 of 2018 s. 33.] </w:t>
      </w:r>
    </w:p>
    <w:p>
      <w:pPr>
        <w:pStyle w:val="Heading5"/>
      </w:pPr>
      <w:bookmarkStart w:id="181" w:name="_Toc131586389"/>
      <w:r>
        <w:rPr>
          <w:rStyle w:val="CharSectno"/>
        </w:rPr>
        <w:t>61A</w:t>
      </w:r>
      <w:r>
        <w:t>.</w:t>
      </w:r>
      <w:r>
        <w:tab/>
        <w:t>Extended trading permit for sale of liquor (s. 60(4)(ia))</w:t>
      </w:r>
      <w:bookmarkEnd w:id="181"/>
    </w:p>
    <w:p>
      <w:pPr>
        <w:pStyle w:val="Subsection"/>
        <w:keepNext/>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lastRenderedPageBreak/>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liquor;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liquor other than wine, the premises are located in the district where the liquor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liquor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liquor other than wine if the licensee does not already hold a cellar door permit for the purposes of the sale of liquor in the district for which the permit is sought.</w:t>
      </w:r>
    </w:p>
    <w:p>
      <w:pPr>
        <w:pStyle w:val="Subsection"/>
      </w:pPr>
      <w:r>
        <w:lastRenderedPageBreak/>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(5A)</w:t>
      </w:r>
      <w:r>
        <w:tab/>
        <w:t xml:space="preserve">If a cellar door permit is issued in respect of the same premises to 2 or more licensees, those licensees are jointly and severally liable — </w:t>
      </w:r>
    </w:p>
    <w:p>
      <w:pPr>
        <w:pStyle w:val="Indenta"/>
      </w:pPr>
      <w:r>
        <w:tab/>
        <w:t>(a)</w:t>
      </w:r>
      <w:r>
        <w:tab/>
        <w:t>as licensee; and</w:t>
      </w:r>
    </w:p>
    <w:p>
      <w:pPr>
        <w:pStyle w:val="Indenta"/>
      </w:pPr>
      <w:r>
        <w:tab/>
        <w:t>(b)</w:t>
      </w:r>
      <w:r>
        <w:tab/>
        <w:t>in respect of any civil or criminal liability that attaches to the licensee under this Act.</w:t>
      </w:r>
    </w:p>
    <w:p>
      <w:pPr>
        <w:pStyle w:val="Subsection"/>
      </w:pPr>
      <w:r>
        <w:tab/>
        <w:t>(6)</w:t>
      </w:r>
      <w:r>
        <w:tab/>
        <w:t>The regulations may prescribe conditions that are to be taken to be attached to a cellar door permit unless otherwise specified in the permit.</w:t>
      </w:r>
    </w:p>
    <w:p>
      <w:pPr>
        <w:pStyle w:val="Footnotesection"/>
      </w:pPr>
      <w:r>
        <w:tab/>
        <w:t>[Section 61A inserted: No. 35 of 2015 s. 9; amended: No. 9 of 2018 s. 34.]</w:t>
      </w:r>
    </w:p>
    <w:p>
      <w:pPr>
        <w:pStyle w:val="Heading3"/>
        <w:keepLines/>
        <w:rPr>
          <w:snapToGrid w:val="0"/>
        </w:rPr>
      </w:pPr>
      <w:bookmarkStart w:id="182" w:name="_Toc122336860"/>
      <w:bookmarkStart w:id="183" w:name="_Toc122342774"/>
      <w:bookmarkStart w:id="184" w:name="_Toc122513185"/>
      <w:bookmarkStart w:id="185" w:name="_Toc131519748"/>
      <w:bookmarkStart w:id="186" w:name="_Toc131520308"/>
      <w:bookmarkStart w:id="187" w:name="_Toc131586390"/>
      <w:r>
        <w:rPr>
          <w:rStyle w:val="CharDivNo"/>
        </w:rPr>
        <w:t>Division 5</w:t>
      </w:r>
      <w:r>
        <w:rPr>
          <w:snapToGrid w:val="0"/>
        </w:rPr>
        <w:t> — </w:t>
      </w:r>
      <w:r>
        <w:rPr>
          <w:rStyle w:val="CharDivText"/>
        </w:rPr>
        <w:t>Conditional grants or approvals</w:t>
      </w:r>
      <w:bookmarkEnd w:id="182"/>
      <w:bookmarkEnd w:id="183"/>
      <w:bookmarkEnd w:id="184"/>
      <w:bookmarkEnd w:id="185"/>
      <w:bookmarkEnd w:id="186"/>
      <w:bookmarkEnd w:id="187"/>
      <w:r>
        <w:rPr>
          <w:rStyle w:val="CharDivText"/>
        </w:rPr>
        <w:t xml:space="preserve"> </w:t>
      </w:r>
    </w:p>
    <w:p>
      <w:pPr>
        <w:pStyle w:val="Footnoteheading"/>
        <w:keepNext/>
        <w:keepLines/>
        <w:rPr>
          <w:snapToGrid w:val="0"/>
        </w:rPr>
      </w:pPr>
      <w:r>
        <w:rPr>
          <w:snapToGrid w:val="0"/>
        </w:rPr>
        <w:tab/>
        <w:t>[Heading amended: No. 12 of 1998 s. 41.]</w:t>
      </w:r>
    </w:p>
    <w:p>
      <w:pPr>
        <w:pStyle w:val="Heading5"/>
        <w:rPr>
          <w:snapToGrid w:val="0"/>
        </w:rPr>
      </w:pPr>
      <w:bookmarkStart w:id="188" w:name="_Toc131586391"/>
      <w:r>
        <w:rPr>
          <w:rStyle w:val="CharSectno"/>
        </w:rPr>
        <w:t>62</w:t>
      </w:r>
      <w:r>
        <w:rPr>
          <w:snapToGrid w:val="0"/>
        </w:rPr>
        <w:t>.</w:t>
      </w:r>
      <w:r>
        <w:rPr>
          <w:snapToGrid w:val="0"/>
        </w:rPr>
        <w:tab/>
        <w:t>Uncompleted premises, conditional grant or removal in case of</w:t>
      </w:r>
      <w:bookmarkEnd w:id="188"/>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 xml:space="preserve">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w:t>
      </w:r>
      <w:r>
        <w:rPr>
          <w:snapToGrid w:val="0"/>
        </w:rPr>
        <w:lastRenderedPageBreak/>
        <w:t>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lastRenderedPageBreak/>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 xml:space="preserve">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w:t>
      </w:r>
      <w:r>
        <w:rPr>
          <w:snapToGrid w:val="0"/>
        </w:rPr>
        <w:lastRenderedPageBreak/>
        <w:t>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No. 12 of 1998 s. 42.] </w:t>
      </w:r>
    </w:p>
    <w:p>
      <w:pPr>
        <w:pStyle w:val="Heading5"/>
        <w:spacing w:before="180"/>
        <w:rPr>
          <w:snapToGrid w:val="0"/>
        </w:rPr>
      </w:pPr>
      <w:bookmarkStart w:id="189" w:name="_Toc131586392"/>
      <w:r>
        <w:rPr>
          <w:rStyle w:val="CharSectno"/>
        </w:rPr>
        <w:t>62A</w:t>
      </w:r>
      <w:r>
        <w:rPr>
          <w:snapToGrid w:val="0"/>
        </w:rPr>
        <w:t>.</w:t>
      </w:r>
      <w:r>
        <w:rPr>
          <w:snapToGrid w:val="0"/>
        </w:rPr>
        <w:tab/>
        <w:t>Pending certificate (s. 39 or 40) etc., conditional grant in case of</w:t>
      </w:r>
      <w:bookmarkEnd w:id="189"/>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lastRenderedPageBreak/>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No. 12 of 1998 s. 42.] </w:t>
      </w:r>
    </w:p>
    <w:p>
      <w:pPr>
        <w:pStyle w:val="Heading5"/>
        <w:spacing w:before="160"/>
        <w:rPr>
          <w:snapToGrid w:val="0"/>
        </w:rPr>
      </w:pPr>
      <w:bookmarkStart w:id="190" w:name="_Toc131586393"/>
      <w:r>
        <w:rPr>
          <w:rStyle w:val="CharSectno"/>
        </w:rPr>
        <w:t>62B</w:t>
      </w:r>
      <w:r>
        <w:rPr>
          <w:snapToGrid w:val="0"/>
        </w:rPr>
        <w:t>.</w:t>
      </w:r>
      <w:r>
        <w:rPr>
          <w:snapToGrid w:val="0"/>
        </w:rPr>
        <w:tab/>
        <w:t>Pending approval etc. (s. 77(5)), conditional approval of alteration etc. in case of</w:t>
      </w:r>
      <w:bookmarkEnd w:id="190"/>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No. 12 of 1998 </w:t>
      </w:r>
      <w:r>
        <w:t xml:space="preserve">s. 42.] </w:t>
      </w:r>
    </w:p>
    <w:p>
      <w:pPr>
        <w:pStyle w:val="Heading3"/>
        <w:keepLines/>
        <w:rPr>
          <w:snapToGrid w:val="0"/>
        </w:rPr>
      </w:pPr>
      <w:bookmarkStart w:id="191" w:name="_Toc122336864"/>
      <w:bookmarkStart w:id="192" w:name="_Toc122342778"/>
      <w:bookmarkStart w:id="193" w:name="_Toc122513189"/>
      <w:bookmarkStart w:id="194" w:name="_Toc131519752"/>
      <w:bookmarkStart w:id="195" w:name="_Toc131520312"/>
      <w:bookmarkStart w:id="196" w:name="_Toc131586394"/>
      <w:r>
        <w:rPr>
          <w:rStyle w:val="CharDivNo"/>
        </w:rPr>
        <w:lastRenderedPageBreak/>
        <w:t>Division 6</w:t>
      </w:r>
      <w:r>
        <w:rPr>
          <w:snapToGrid w:val="0"/>
        </w:rPr>
        <w:t> — </w:t>
      </w:r>
      <w:r>
        <w:rPr>
          <w:rStyle w:val="CharDivText"/>
        </w:rPr>
        <w:t>Conditions, generally</w:t>
      </w:r>
      <w:bookmarkEnd w:id="191"/>
      <w:bookmarkEnd w:id="192"/>
      <w:bookmarkEnd w:id="193"/>
      <w:bookmarkEnd w:id="194"/>
      <w:bookmarkEnd w:id="195"/>
      <w:bookmarkEnd w:id="196"/>
      <w:r>
        <w:rPr>
          <w:rStyle w:val="CharDivText"/>
        </w:rPr>
        <w:t xml:space="preserve"> </w:t>
      </w:r>
    </w:p>
    <w:p>
      <w:pPr>
        <w:pStyle w:val="Heading5"/>
        <w:rPr>
          <w:snapToGrid w:val="0"/>
        </w:rPr>
      </w:pPr>
      <w:bookmarkStart w:id="197" w:name="_Toc131586395"/>
      <w:r>
        <w:rPr>
          <w:rStyle w:val="CharSectno"/>
        </w:rPr>
        <w:t>63</w:t>
      </w:r>
      <w:r>
        <w:rPr>
          <w:snapToGrid w:val="0"/>
        </w:rPr>
        <w:t>.</w:t>
      </w:r>
      <w:r>
        <w:rPr>
          <w:snapToGrid w:val="0"/>
        </w:rPr>
        <w:tab/>
        <w:t>Terms fixed and conditions imposed by Act, only some can be varied etc.</w:t>
      </w:r>
      <w:bookmarkEnd w:id="197"/>
    </w:p>
    <w:p>
      <w:pPr>
        <w:pStyle w:val="Subsection"/>
        <w:keepNext/>
        <w:rPr>
          <w:snapToGrid w:val="0"/>
        </w:rPr>
      </w:pPr>
      <w:r>
        <w:rPr>
          <w:snapToGrid w:val="0"/>
        </w:rPr>
        <w:tab/>
      </w:r>
      <w:r>
        <w:rPr>
          <w:snapToGrid w:val="0"/>
        </w:rPr>
        <w:tab/>
        <w:t>The licensing authority may, of its own motion or on the application of the licensee — </w:t>
      </w:r>
    </w:p>
    <w:p>
      <w:pPr>
        <w:pStyle w:val="Indenta"/>
        <w:keepNext/>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No. 12 of 1998 s. 43; No. 73 of 2006 s. 45.] </w:t>
      </w:r>
    </w:p>
    <w:p>
      <w:pPr>
        <w:pStyle w:val="Heading5"/>
        <w:rPr>
          <w:snapToGrid w:val="0"/>
        </w:rPr>
      </w:pPr>
      <w:bookmarkStart w:id="198" w:name="_Toc131586396"/>
      <w:r>
        <w:rPr>
          <w:rStyle w:val="CharSectno"/>
        </w:rPr>
        <w:lastRenderedPageBreak/>
        <w:t>64</w:t>
      </w:r>
      <w:r>
        <w:rPr>
          <w:snapToGrid w:val="0"/>
        </w:rPr>
        <w:t>.</w:t>
      </w:r>
      <w:r>
        <w:rPr>
          <w:snapToGrid w:val="0"/>
        </w:rPr>
        <w:tab/>
        <w:t>Imposing, varying and cancelling conditions</w:t>
      </w:r>
      <w:bookmarkEnd w:id="198"/>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keepNex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pPr>
      <w:r>
        <w:t>(1BA)</w:t>
      </w:r>
      <w:r>
        <w:tab/>
        <w:t xml:space="preserve">An application under subsection (1a)(b) to vary a condition must be made not later than the prescribed number of days </w:t>
      </w:r>
      <w:r>
        <w:lastRenderedPageBreak/>
        <w:t>before the variation is proposed to take effect, unless the Director otherwise approves.</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Chief Health Officer;</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keepNext/>
        <w:rPr>
          <w:snapToGrid w:val="0"/>
        </w:rPr>
      </w:pPr>
      <w:r>
        <w:rPr>
          <w:snapToGrid w:val="0"/>
        </w:rPr>
        <w:tab/>
        <w:t>(3)</w:t>
      </w:r>
      <w:r>
        <w:rPr>
          <w:snapToGrid w:val="0"/>
        </w:rPr>
        <w:tab/>
        <w:t xml:space="preserve">Without derogating from the generality of the discretion conferred on the licensing authority, the licensing authority may </w:t>
      </w:r>
      <w:r>
        <w:rPr>
          <w:snapToGrid w:val="0"/>
        </w:rPr>
        <w:lastRenderedPageBreak/>
        <w:t>impose conditions which it considers to be in the public interest or which it considers desirable in order to — </w:t>
      </w:r>
    </w:p>
    <w:p>
      <w:pPr>
        <w:pStyle w:val="Indenta"/>
        <w:keepNext/>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keepNext/>
        <w:rPr>
          <w:snapToGrid w:val="0"/>
        </w:rPr>
      </w:pPr>
      <w:r>
        <w:rPr>
          <w:snapToGrid w:val="0"/>
        </w:rPr>
        <w:lastRenderedPageBreak/>
        <w:tab/>
        <w:t>(e)</w:t>
      </w:r>
      <w:r>
        <w:rPr>
          <w:snapToGrid w:val="0"/>
        </w:rPr>
        <w:tab/>
        <w:t>limit — </w:t>
      </w:r>
    </w:p>
    <w:p>
      <w:pPr>
        <w:pStyle w:val="Indenti"/>
        <w:keepNext/>
        <w:rPr>
          <w:snapToGrid w:val="0"/>
        </w:rPr>
      </w:pPr>
      <w:r>
        <w:rPr>
          <w:snapToGrid w:val="0"/>
        </w:rPr>
        <w:tab/>
        <w:t>(i)</w:t>
      </w:r>
      <w:r>
        <w:rPr>
          <w:snapToGrid w:val="0"/>
        </w:rPr>
        <w:tab/>
        <w:t>the kinds of liquor that may be sold;</w:t>
      </w:r>
    </w:p>
    <w:p>
      <w:pPr>
        <w:pStyle w:val="Indenti"/>
        <w:keepNext/>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lastRenderedPageBreak/>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lastRenderedPageBreak/>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[Section 64 amended: No. 56 of 1997 s. 31; No. 12 of 1998 s. 44; No. 73 of 2006 s. 46; No. 56 of 2010 s. 44; No. 35 of 2015 s. 10</w:t>
      </w:r>
      <w:r>
        <w:rPr>
          <w:spacing w:val="-4"/>
        </w:rPr>
        <w:t>; No. 19 of 2016 s. 163; No. 9 of 2018 s. 35</w:t>
      </w:r>
      <w:r>
        <w:t xml:space="preserve">.] </w:t>
      </w:r>
    </w:p>
    <w:p>
      <w:pPr>
        <w:pStyle w:val="Heading5"/>
        <w:spacing w:before="240"/>
        <w:rPr>
          <w:snapToGrid w:val="0"/>
        </w:rPr>
      </w:pPr>
      <w:bookmarkStart w:id="199" w:name="_Toc131586397"/>
      <w:r>
        <w:rPr>
          <w:rStyle w:val="CharSectno"/>
        </w:rPr>
        <w:t>65</w:t>
      </w:r>
      <w:r>
        <w:rPr>
          <w:snapToGrid w:val="0"/>
        </w:rPr>
        <w:t>.</w:t>
      </w:r>
      <w:r>
        <w:rPr>
          <w:snapToGrid w:val="0"/>
        </w:rPr>
        <w:tab/>
      </w:r>
      <w:r>
        <w:t>Conditions relating to sale and delivery of packaged liquor or liquor for consumption off licensed premises</w:t>
      </w:r>
      <w:bookmarkEnd w:id="199"/>
    </w:p>
    <w:p>
      <w:pPr>
        <w:pStyle w:val="Subsection"/>
      </w:pPr>
      <w:r>
        <w:tab/>
        <w:t>(1)</w:t>
      </w:r>
      <w:r>
        <w:tab/>
        <w:t xml:space="preserve">Subject to subsection (3), a licence or permit that authorises the sale of packaged liquor or of liquor for consumption off the licensed premises is subject to the following conditions — </w:t>
      </w:r>
    </w:p>
    <w:p>
      <w:pPr>
        <w:pStyle w:val="Indenta"/>
      </w:pPr>
      <w:r>
        <w:tab/>
        <w:t>(a)</w:t>
      </w:r>
      <w:r>
        <w:tab/>
        <w:t xml:space="preserve">that the liquor sold — </w:t>
      </w:r>
    </w:p>
    <w:p>
      <w:pPr>
        <w:pStyle w:val="Indenti"/>
      </w:pPr>
      <w:r>
        <w:tab/>
        <w:t>(i)</w:t>
      </w:r>
      <w:r>
        <w:tab/>
        <w:t>must be consigned to the purchaser at, and delivered on or from, the licensed premises, unless the Director otherwise approves; and</w:t>
      </w:r>
    </w:p>
    <w:p>
      <w:pPr>
        <w:pStyle w:val="Indenti"/>
        <w:rPr>
          <w:szCs w:val="24"/>
        </w:rPr>
      </w:pPr>
      <w:r>
        <w:tab/>
        <w:t>(ii)</w:t>
      </w:r>
      <w:r>
        <w:tab/>
        <w:t>must be delivered in sealed containers; and</w:t>
      </w:r>
    </w:p>
    <w:p>
      <w:pPr>
        <w:pStyle w:val="Indenti"/>
      </w:pPr>
      <w:r>
        <w:tab/>
        <w:t>(iii)</w:t>
      </w:r>
      <w:r>
        <w:tab/>
        <w:t>must not, unless an extended trading permit or a special facility licence so authorises, be or be permitted to be consumed on or, except in the case of liquor sold under section 55, in the immediate proximity of the licensed premises;</w:t>
      </w:r>
    </w:p>
    <w:p>
      <w:pPr>
        <w:pStyle w:val="Indenta"/>
      </w:pPr>
      <w:r>
        <w:tab/>
        <w:t>(b)</w:t>
      </w:r>
      <w:r>
        <w:tab/>
        <w:t>that the prescribed requirements relating to sale and delivery must be complied with.</w:t>
      </w:r>
    </w:p>
    <w:p>
      <w:pPr>
        <w:pStyle w:val="Subsection"/>
      </w:pPr>
      <w:r>
        <w:tab/>
        <w:t>(1A)</w:t>
      </w:r>
      <w:r>
        <w:tab/>
        <w:t>A person who contravenes a condition referred to in subsection (1) commits an offence.</w:t>
      </w:r>
    </w:p>
    <w:p>
      <w:pPr>
        <w:pStyle w:val="Penstart"/>
      </w:pPr>
      <w:r>
        <w:tab/>
        <w:t>Penalty for this subsection: a fine of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lastRenderedPageBreak/>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No. 12 of 1998 s. 45; No. 56 of 2010 s. 69; No. 9 of 2018 s. 36.] </w:t>
      </w:r>
    </w:p>
    <w:p>
      <w:pPr>
        <w:pStyle w:val="Heading5"/>
        <w:spacing w:before="180"/>
      </w:pPr>
      <w:bookmarkStart w:id="200" w:name="_Toc131586398"/>
      <w:r>
        <w:rPr>
          <w:rStyle w:val="CharSectno"/>
        </w:rPr>
        <w:t>65A</w:t>
      </w:r>
      <w:r>
        <w:t>.</w:t>
      </w:r>
      <w:r>
        <w:tab/>
        <w:t>Petrol station not to be established on premises from which packaged liquor is sold</w:t>
      </w:r>
      <w:bookmarkEnd w:id="200"/>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lastRenderedPageBreak/>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No. 23 of 2000 s. 6.]</w:t>
      </w:r>
    </w:p>
    <w:p>
      <w:pPr>
        <w:pStyle w:val="Heading5"/>
      </w:pPr>
      <w:bookmarkStart w:id="201" w:name="_Toc131586399"/>
      <w:r>
        <w:rPr>
          <w:rStyle w:val="CharSectno"/>
        </w:rPr>
        <w:t>65B</w:t>
      </w:r>
      <w:r>
        <w:t>.</w:t>
      </w:r>
      <w:r>
        <w:tab/>
        <w:t>Promoting liquor, regulations may prescribe conditions about</w:t>
      </w:r>
      <w:bookmarkEnd w:id="201"/>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No. 73 of 2006 s. 47.]</w:t>
      </w:r>
    </w:p>
    <w:p>
      <w:pPr>
        <w:pStyle w:val="Heading3"/>
        <w:rPr>
          <w:snapToGrid w:val="0"/>
        </w:rPr>
      </w:pPr>
      <w:bookmarkStart w:id="202" w:name="_Toc122336870"/>
      <w:bookmarkStart w:id="203" w:name="_Toc122342784"/>
      <w:bookmarkStart w:id="204" w:name="_Toc122513195"/>
      <w:bookmarkStart w:id="205" w:name="_Toc131519758"/>
      <w:bookmarkStart w:id="206" w:name="_Toc131520318"/>
      <w:bookmarkStart w:id="207" w:name="_Toc131586400"/>
      <w:r>
        <w:rPr>
          <w:rStyle w:val="CharDivNo"/>
        </w:rPr>
        <w:t>Division 7</w:t>
      </w:r>
      <w:r>
        <w:rPr>
          <w:snapToGrid w:val="0"/>
        </w:rPr>
        <w:t> — </w:t>
      </w:r>
      <w:r>
        <w:rPr>
          <w:rStyle w:val="CharDivText"/>
        </w:rPr>
        <w:t>Applications</w:t>
      </w:r>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131586401"/>
      <w:r>
        <w:rPr>
          <w:rStyle w:val="CharSectno"/>
        </w:rPr>
        <w:t>66</w:t>
      </w:r>
      <w:r>
        <w:rPr>
          <w:snapToGrid w:val="0"/>
        </w:rPr>
        <w:t>.</w:t>
      </w:r>
      <w:r>
        <w:rPr>
          <w:snapToGrid w:val="0"/>
        </w:rPr>
        <w:tab/>
        <w:t>Plans and specifications of premises, requirements as to</w:t>
      </w:r>
      <w:bookmarkEnd w:id="208"/>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lastRenderedPageBreak/>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No. 12 of 1998 s. 46.] </w:t>
      </w:r>
    </w:p>
    <w:p>
      <w:pPr>
        <w:pStyle w:val="Heading5"/>
        <w:rPr>
          <w:snapToGrid w:val="0"/>
        </w:rPr>
      </w:pPr>
      <w:bookmarkStart w:id="209" w:name="_Toc131586402"/>
      <w:r>
        <w:rPr>
          <w:rStyle w:val="CharSectno"/>
        </w:rPr>
        <w:t>67</w:t>
      </w:r>
      <w:r>
        <w:rPr>
          <w:snapToGrid w:val="0"/>
        </w:rPr>
        <w:t>.</w:t>
      </w:r>
      <w:r>
        <w:rPr>
          <w:snapToGrid w:val="0"/>
        </w:rPr>
        <w:tab/>
        <w:t>Advertisement of applications</w:t>
      </w:r>
      <w:bookmarkEnd w:id="209"/>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pPr>
      <w:r>
        <w:lastRenderedPageBreak/>
        <w:tab/>
        <w:t>(5)</w:t>
      </w:r>
      <w:r>
        <w:tab/>
        <w:t>If an application is required to be advertised, the Director must cause a copy of the notice of application to be published on the Department’s website.</w:t>
      </w:r>
    </w:p>
    <w:p>
      <w:pPr>
        <w:pStyle w:val="Footnotesection"/>
      </w:pPr>
      <w:r>
        <w:tab/>
        <w:t xml:space="preserve">[Section 67 amended: No. 12 of 1998 s. 47; No. 73 of 2006 s. 48; No. 56 of 2010 s. 45; No. 9 of 2018 s. 37.] </w:t>
      </w:r>
    </w:p>
    <w:p>
      <w:pPr>
        <w:pStyle w:val="Heading5"/>
        <w:rPr>
          <w:snapToGrid w:val="0"/>
        </w:rPr>
      </w:pPr>
      <w:bookmarkStart w:id="210" w:name="_Toc131586403"/>
      <w:r>
        <w:rPr>
          <w:rStyle w:val="CharSectno"/>
        </w:rPr>
        <w:t>68</w:t>
      </w:r>
      <w:r>
        <w:rPr>
          <w:snapToGrid w:val="0"/>
        </w:rPr>
        <w:t>.</w:t>
      </w:r>
      <w:r>
        <w:rPr>
          <w:snapToGrid w:val="0"/>
        </w:rPr>
        <w:tab/>
        <w:t>Form, manner, notice and public inspection of applications</w:t>
      </w:r>
      <w:bookmarkEnd w:id="210"/>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 xml:space="preserve">any consent required under </w:t>
      </w:r>
      <w:r>
        <w:t>section 72;</w:t>
      </w:r>
    </w:p>
    <w:p>
      <w:pPr>
        <w:pStyle w:val="Ednotesubpara"/>
      </w:pPr>
      <w:r>
        <w:tab/>
        <w:t>[(v)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w:t>
      </w:r>
      <w:r>
        <w:t xml:space="preserve">(1)(b)(iii) and (iv) </w:t>
      </w:r>
      <w:r>
        <w:rPr>
          <w:snapToGrid w:val="0"/>
        </w:rPr>
        <w:t>do not, unless the Director otherwise requires, apply to or in relation to an application for the grant of an occasional licence.</w:t>
      </w:r>
    </w:p>
    <w:p>
      <w:pPr>
        <w:pStyle w:val="Subsection"/>
      </w:pPr>
      <w:r>
        <w:lastRenderedPageBreak/>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No. 73 of 2006 s. 49 and 111(2); No. 9 of 2018 s. 38.]</w:t>
      </w:r>
    </w:p>
    <w:p>
      <w:pPr>
        <w:pStyle w:val="Heading5"/>
        <w:spacing w:before="180"/>
        <w:rPr>
          <w:snapToGrid w:val="0"/>
        </w:rPr>
      </w:pPr>
      <w:bookmarkStart w:id="211" w:name="_Toc131586404"/>
      <w:r>
        <w:rPr>
          <w:rStyle w:val="CharSectno"/>
        </w:rPr>
        <w:t>69</w:t>
      </w:r>
      <w:r>
        <w:rPr>
          <w:snapToGrid w:val="0"/>
        </w:rPr>
        <w:t>.</w:t>
      </w:r>
      <w:r>
        <w:rPr>
          <w:snapToGrid w:val="0"/>
        </w:rPr>
        <w:tab/>
        <w:t>Advertising, referring, investigating and intervening in applications</w:t>
      </w:r>
      <w:bookmarkEnd w:id="211"/>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 shall be in a form approved by the Director and contain a statement that notices of intention to object to the application should be lodged with the Director by a date specified by the Director and set out in that advertisement or notice.</w:t>
      </w:r>
    </w:p>
    <w:p>
      <w:pPr>
        <w:pStyle w:val="Subsection"/>
        <w:keepNext/>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w:t>
      </w:r>
      <w:r>
        <w:rPr>
          <w:snapToGrid w:val="0"/>
        </w:rPr>
        <w:lastRenderedPageBreak/>
        <w:t xml:space="preserve">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Ednotesubsection"/>
      </w:pPr>
      <w:r>
        <w:tab/>
        <w:t>[(5)</w:t>
      </w:r>
      <w:r>
        <w:tab/>
        <w:t>deleted]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keepNext/>
        <w:rPr>
          <w:snapToGrid w:val="0"/>
        </w:rPr>
      </w:pPr>
      <w:r>
        <w:rPr>
          <w:snapToGrid w:val="0"/>
        </w:rPr>
        <w:lastRenderedPageBreak/>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as to 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(Miscellaneous Provisions)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lastRenderedPageBreak/>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pPr>
      <w:r>
        <w:t>(8AA)</w:t>
      </w:r>
      <w:r>
        <w:tab/>
        <w:t xml:space="preserve">The chief executive officer appointed under the </w:t>
      </w:r>
      <w:r>
        <w:rPr>
          <w:i/>
        </w:rPr>
        <w:t>Western Australian Tourism Commission Act 1983</w:t>
      </w:r>
      <w:r>
        <w:t xml:space="preserve"> section 17 may intervene in proceedings before the licensing authority for the purpose of introducing evidence or making representations — </w:t>
      </w:r>
    </w:p>
    <w:p>
      <w:pPr>
        <w:pStyle w:val="Indenta"/>
      </w:pPr>
      <w:r>
        <w:tab/>
        <w:t>(a)</w:t>
      </w:r>
      <w:r>
        <w:tab/>
        <w:t>as to whether any tourism benefits might result if a particular application is granted; and</w:t>
      </w:r>
    </w:p>
    <w:p>
      <w:pPr>
        <w:pStyle w:val="Indenta"/>
      </w:pPr>
      <w:r>
        <w:tab/>
        <w:t>(b)</w:t>
      </w:r>
      <w:r>
        <w:tab/>
        <w:t>as to any other matter relevant to the proper development of the tourism industry in the State.</w:t>
      </w:r>
    </w:p>
    <w:p>
      <w:pPr>
        <w:pStyle w:val="Subsection"/>
        <w:keepNext/>
      </w:pPr>
      <w:r>
        <w:tab/>
        <w:t>(8a)</w:t>
      </w:r>
      <w:r>
        <w:tab/>
        <w:t xml:space="preserve">The Chief Health Officer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Chief Health Officer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lastRenderedPageBreak/>
        <w:tab/>
        <w:t>(b)</w:t>
      </w:r>
      <w:r>
        <w:tab/>
        <w:t xml:space="preserve">employed or engaged in the department principally assisting the Minister in the administration of the </w:t>
      </w:r>
      <w:r>
        <w:rPr>
          <w:i/>
          <w:snapToGrid w:val="0"/>
        </w:rPr>
        <w:t>Health (Miscellaneous Provisions)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 xml:space="preserve">may, unless the licensing authority certifies that that person has no interest in the application other than that </w:t>
      </w:r>
      <w:r>
        <w:rPr>
          <w:snapToGrid w:val="0"/>
        </w:rPr>
        <w:lastRenderedPageBreak/>
        <w:t>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No. 14 of 1996 s. 4; No. 12 of 1998 s. 10(9) and 48; No. 73 of 2006 s. 50; No. 43 of 2008 s. 148(3); No. 56 of 2010 s. 29 and 46; No. 24 of 2011 s. 165(3); No. 35 of 2015 s. 11; No. 19 of 2016 s. 101 and 164; No. 9 of 2018 s. 39.] </w:t>
      </w:r>
    </w:p>
    <w:p>
      <w:pPr>
        <w:pStyle w:val="Heading5"/>
        <w:keepLines w:val="0"/>
        <w:spacing w:before="180"/>
        <w:rPr>
          <w:snapToGrid w:val="0"/>
        </w:rPr>
      </w:pPr>
      <w:bookmarkStart w:id="212" w:name="_Toc131586405"/>
      <w:r>
        <w:rPr>
          <w:rStyle w:val="CharSectno"/>
        </w:rPr>
        <w:t>70</w:t>
      </w:r>
      <w:r>
        <w:rPr>
          <w:snapToGrid w:val="0"/>
        </w:rPr>
        <w:t>.</w:t>
      </w:r>
      <w:r>
        <w:rPr>
          <w:snapToGrid w:val="0"/>
        </w:rPr>
        <w:tab/>
        <w:t>Club licence applications, intervening in</w:t>
      </w:r>
      <w:bookmarkEnd w:id="212"/>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 xml:space="preserve">The matters in relation to which a person to whom </w:t>
      </w:r>
      <w:r>
        <w:t>this section</w:t>
      </w:r>
      <w:r>
        <w:rPr>
          <w:snapToGrid w:val="0"/>
        </w:rPr>
        <w:t xml:space="preserve">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Footnotesection"/>
      </w:pPr>
      <w:r>
        <w:tab/>
        <w:t>[Section 70 amended: No. 9 of 2018 s. 40.]</w:t>
      </w:r>
    </w:p>
    <w:p>
      <w:pPr>
        <w:pStyle w:val="Ednotesection"/>
        <w:spacing w:before="240"/>
      </w:pPr>
      <w:r>
        <w:lastRenderedPageBreak/>
        <w:t>[</w:t>
      </w:r>
      <w:r>
        <w:rPr>
          <w:b/>
        </w:rPr>
        <w:t>71.</w:t>
      </w:r>
      <w:r>
        <w:tab/>
        <w:t>Deleted: No. 73 of 2006 s. 51.]</w:t>
      </w:r>
    </w:p>
    <w:p>
      <w:pPr>
        <w:pStyle w:val="Heading5"/>
        <w:spacing w:before="240"/>
        <w:rPr>
          <w:snapToGrid w:val="0"/>
        </w:rPr>
      </w:pPr>
      <w:bookmarkStart w:id="213" w:name="_Toc131586406"/>
      <w:r>
        <w:rPr>
          <w:rStyle w:val="CharSectno"/>
        </w:rPr>
        <w:t>72</w:t>
      </w:r>
      <w:r>
        <w:rPr>
          <w:snapToGrid w:val="0"/>
        </w:rPr>
        <w:t>.</w:t>
      </w:r>
      <w:r>
        <w:rPr>
          <w:snapToGrid w:val="0"/>
        </w:rPr>
        <w:tab/>
        <w:t>Owner etc. of premises, when consent of required; right of owner, lessee etc. to object</w:t>
      </w:r>
      <w:bookmarkEnd w:id="213"/>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lastRenderedPageBreak/>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No. 12 of 1998 s. 50; No. 73 of 2006 s. 52.] </w:t>
      </w:r>
    </w:p>
    <w:p>
      <w:pPr>
        <w:pStyle w:val="Heading5"/>
      </w:pPr>
      <w:bookmarkStart w:id="214" w:name="_Toc131586407"/>
      <w:r>
        <w:rPr>
          <w:rStyle w:val="CharSectno"/>
        </w:rPr>
        <w:t>72A</w:t>
      </w:r>
      <w:r>
        <w:t>.</w:t>
      </w:r>
      <w:r>
        <w:tab/>
        <w:t>Submissions generally</w:t>
      </w:r>
      <w:bookmarkEnd w:id="214"/>
    </w:p>
    <w:p>
      <w:pPr>
        <w:pStyle w:val="Subsection"/>
        <w:keepNext/>
      </w:pPr>
      <w:r>
        <w:tab/>
        <w:t>(1)</w:t>
      </w:r>
      <w:r>
        <w:tab/>
        <w:t xml:space="preserve">In this section — </w:t>
      </w:r>
    </w:p>
    <w:p>
      <w:pPr>
        <w:pStyle w:val="Defstart"/>
        <w:keepNext/>
      </w:pPr>
      <w:r>
        <w:tab/>
      </w:r>
      <w:r>
        <w:rPr>
          <w:rStyle w:val="CharDefText"/>
        </w:rPr>
        <w:t>submission</w:t>
      </w:r>
      <w:r>
        <w:t xml:space="preserve"> means — </w:t>
      </w:r>
    </w:p>
    <w:p>
      <w:pPr>
        <w:pStyle w:val="Defpara"/>
        <w:keepNext/>
      </w:pPr>
      <w:r>
        <w:tab/>
        <w:t>(a)</w:t>
      </w:r>
      <w:r>
        <w:tab/>
        <w:t>a submission made by a person in support of an application; or</w:t>
      </w:r>
    </w:p>
    <w:p>
      <w:pPr>
        <w:pStyle w:val="Defpara"/>
      </w:pPr>
      <w:r>
        <w:tab/>
        <w:t>(b)</w:t>
      </w:r>
      <w:r>
        <w:tab/>
        <w:t>a submission made by a person in opposition to an application, but does not include an objection to an application lodged with the Director under section 73.</w:t>
      </w:r>
    </w:p>
    <w:p>
      <w:pPr>
        <w:pStyle w:val="Subsection"/>
      </w:pPr>
      <w:r>
        <w:tab/>
        <w:t>(2)</w:t>
      </w:r>
      <w:r>
        <w:tab/>
        <w:t>A person who makes a submission to the Director is not a party to proceedings.</w:t>
      </w:r>
    </w:p>
    <w:p>
      <w:pPr>
        <w:pStyle w:val="Subsection"/>
      </w:pPr>
      <w:r>
        <w:tab/>
        <w:t>(3)</w:t>
      </w:r>
      <w:r>
        <w:tab/>
        <w:t>Subsection (2) does not apply to a person who intervenes in proceedings relating to an application.</w:t>
      </w:r>
    </w:p>
    <w:p>
      <w:pPr>
        <w:pStyle w:val="Subsection"/>
      </w:pPr>
      <w:r>
        <w:tab/>
        <w:t>(4)</w:t>
      </w:r>
      <w:r>
        <w:tab/>
        <w:t>The Director may, but need not, acknowledge receipt of a submission.</w:t>
      </w:r>
    </w:p>
    <w:p>
      <w:pPr>
        <w:pStyle w:val="Subsection"/>
      </w:pPr>
      <w:r>
        <w:tab/>
        <w:t>(5)</w:t>
      </w:r>
      <w:r>
        <w:tab/>
        <w:t>Sections 73 and 74 do not apply to a submission made in opposition to an application.</w:t>
      </w:r>
    </w:p>
    <w:p>
      <w:pPr>
        <w:pStyle w:val="Footnotesection"/>
      </w:pPr>
      <w:r>
        <w:tab/>
        <w:t>[Section 72A inserted: No. 9 of 2018 s. 41.]</w:t>
      </w:r>
    </w:p>
    <w:p>
      <w:pPr>
        <w:pStyle w:val="Heading5"/>
        <w:rPr>
          <w:snapToGrid w:val="0"/>
        </w:rPr>
      </w:pPr>
      <w:bookmarkStart w:id="215" w:name="_Toc131586408"/>
      <w:r>
        <w:rPr>
          <w:rStyle w:val="CharSectno"/>
        </w:rPr>
        <w:t>73</w:t>
      </w:r>
      <w:r>
        <w:rPr>
          <w:snapToGrid w:val="0"/>
        </w:rPr>
        <w:t>.</w:t>
      </w:r>
      <w:r>
        <w:rPr>
          <w:snapToGrid w:val="0"/>
        </w:rPr>
        <w:tab/>
        <w:t>Objecting to applications, general right and rules as to</w:t>
      </w:r>
      <w:bookmarkEnd w:id="215"/>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lastRenderedPageBreak/>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pPr>
      <w:r>
        <w:tab/>
        <w:t>(4A)</w:t>
      </w:r>
      <w:r>
        <w:tab/>
        <w:t>The Director must serve a copy of a notice lodged under subsection (4) on the applicant, unless section 30(4)(a) applies.</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lastRenderedPageBreak/>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No. 12 of 1998 s. 16(2) and 51; No. 73 of 2006 s. 53, 111(3) and (4); No. 9 of 2018 s. 42.] </w:t>
      </w:r>
    </w:p>
    <w:p>
      <w:pPr>
        <w:pStyle w:val="Heading5"/>
        <w:rPr>
          <w:snapToGrid w:val="0"/>
        </w:rPr>
      </w:pPr>
      <w:bookmarkStart w:id="216" w:name="_Toc131586409"/>
      <w:r>
        <w:rPr>
          <w:rStyle w:val="CharSectno"/>
        </w:rPr>
        <w:t>74</w:t>
      </w:r>
      <w:r>
        <w:rPr>
          <w:snapToGrid w:val="0"/>
        </w:rPr>
        <w:t>.</w:t>
      </w:r>
      <w:r>
        <w:rPr>
          <w:snapToGrid w:val="0"/>
        </w:rPr>
        <w:tab/>
        <w:t>Objecting to applications, grounds for etc.</w:t>
      </w:r>
      <w:bookmarkEnd w:id="216"/>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lastRenderedPageBreak/>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lastRenderedPageBreak/>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Subsection"/>
      </w:pPr>
      <w:r>
        <w:tab/>
        <w:t>(5)</w:t>
      </w:r>
      <w:r>
        <w:tab/>
        <w:t>A determination made by the Director under subsection (4) is not subject to review under section 25.</w:t>
      </w:r>
    </w:p>
    <w:p>
      <w:pPr>
        <w:pStyle w:val="Footnotesection"/>
      </w:pPr>
      <w:r>
        <w:tab/>
        <w:t xml:space="preserve">[Section 74 amended: No. 12 of 1998 s. 10(10) and 52; No. 73 of 2006 s. 54; No. 9 of 2018 s. 43.] </w:t>
      </w:r>
    </w:p>
    <w:p>
      <w:pPr>
        <w:pStyle w:val="Heading5"/>
        <w:spacing w:before="240"/>
        <w:rPr>
          <w:snapToGrid w:val="0"/>
        </w:rPr>
      </w:pPr>
      <w:bookmarkStart w:id="217" w:name="_Toc131586410"/>
      <w:r>
        <w:rPr>
          <w:rStyle w:val="CharSectno"/>
        </w:rPr>
        <w:t>75</w:t>
      </w:r>
      <w:r>
        <w:rPr>
          <w:snapToGrid w:val="0"/>
        </w:rPr>
        <w:t>.</w:t>
      </w:r>
      <w:r>
        <w:rPr>
          <w:snapToGrid w:val="0"/>
        </w:rPr>
        <w:tab/>
        <w:t>Occasional licence, applications for</w:t>
      </w:r>
      <w:bookmarkEnd w:id="217"/>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lastRenderedPageBreak/>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pPr>
      <w:r>
        <w:tab/>
        <w:t>(b)</w:t>
      </w:r>
      <w: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keepNext/>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keepNext/>
        <w:ind w:left="890" w:hanging="890"/>
      </w:pPr>
      <w:r>
        <w:tab/>
        <w:t xml:space="preserve">[Section 75 amended: No. 12 of 1998 s. 53; No. 73 of 2006 s. 55, 106 and 111(5); No. 9 of 2018 s. 44.] </w:t>
      </w:r>
    </w:p>
    <w:p>
      <w:pPr>
        <w:pStyle w:val="Heading5"/>
        <w:keepLines w:val="0"/>
        <w:spacing w:before="240"/>
        <w:rPr>
          <w:snapToGrid w:val="0"/>
        </w:rPr>
      </w:pPr>
      <w:bookmarkStart w:id="218" w:name="_Toc131586411"/>
      <w:r>
        <w:rPr>
          <w:rStyle w:val="CharSectno"/>
        </w:rPr>
        <w:t>76</w:t>
      </w:r>
      <w:r>
        <w:rPr>
          <w:snapToGrid w:val="0"/>
        </w:rPr>
        <w:t>.</w:t>
      </w:r>
      <w:r>
        <w:rPr>
          <w:snapToGrid w:val="0"/>
        </w:rPr>
        <w:tab/>
        <w:t>Extended trading permit, applications for</w:t>
      </w:r>
      <w:bookmarkEnd w:id="218"/>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No. 12 of 1998 s. 54; No. 73 of 2006 s. 56 and 111(6).] </w:t>
      </w:r>
    </w:p>
    <w:p>
      <w:pPr>
        <w:pStyle w:val="Heading5"/>
        <w:keepLines w:val="0"/>
        <w:rPr>
          <w:snapToGrid w:val="0"/>
        </w:rPr>
      </w:pPr>
      <w:bookmarkStart w:id="219" w:name="_Toc131586412"/>
      <w:r>
        <w:rPr>
          <w:rStyle w:val="CharSectno"/>
        </w:rPr>
        <w:lastRenderedPageBreak/>
        <w:t>77</w:t>
      </w:r>
      <w:r>
        <w:rPr>
          <w:snapToGrid w:val="0"/>
        </w:rPr>
        <w:t>.</w:t>
      </w:r>
      <w:r>
        <w:rPr>
          <w:snapToGrid w:val="0"/>
        </w:rPr>
        <w:tab/>
        <w:t>No alteration of licensed premises without approval; application for approvals of alterations or redefinition of premises</w:t>
      </w:r>
      <w:bookmarkEnd w:id="219"/>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renovation of, or of the accommodation or facilities provided by, the premises shall, if it is not an alteration of a kind referred to in paragraph (a), be deemed to be </w:t>
      </w:r>
      <w:r>
        <w:rPr>
          <w:snapToGrid w:val="0"/>
        </w:rPr>
        <w:lastRenderedPageBreak/>
        <w:t>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State Register of Heritage Places established and maintained under the </w:t>
      </w:r>
      <w:r>
        <w:rPr>
          <w:i/>
        </w:rPr>
        <w:t>Heritage Act 2018</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lastRenderedPageBreak/>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No. 26 of 2001 s. 6(1); No. 73 of 2006 s. 57 and 110; No. 56 of 2010 s. 69; No. 22 of 2018 s. 185.]</w:t>
      </w:r>
    </w:p>
    <w:p>
      <w:pPr>
        <w:pStyle w:val="Heading5"/>
      </w:pPr>
      <w:bookmarkStart w:id="220" w:name="_Toc131586413"/>
      <w:r>
        <w:rPr>
          <w:rStyle w:val="CharSectno"/>
        </w:rPr>
        <w:t>77A</w:t>
      </w:r>
      <w:r>
        <w:t>.</w:t>
      </w:r>
      <w:r>
        <w:tab/>
        <w:t>Restrictions on alteration or redefinition of certain packaged liquor premises</w:t>
      </w:r>
      <w:bookmarkEnd w:id="220"/>
    </w:p>
    <w:p>
      <w:pPr>
        <w:pStyle w:val="Subsection"/>
      </w:pPr>
      <w:r>
        <w:tab/>
        <w:t>(1)</w:t>
      </w:r>
      <w:r>
        <w:tab/>
        <w:t xml:space="preserve">In this section — </w:t>
      </w:r>
    </w:p>
    <w:p>
      <w:pPr>
        <w:pStyle w:val="Defstart"/>
      </w:pPr>
      <w:r>
        <w:tab/>
      </w:r>
      <w:r>
        <w:rPr>
          <w:rStyle w:val="CharDefText"/>
        </w:rPr>
        <w:t>packaged liquor premises</w:t>
      </w:r>
      <w:r>
        <w:t xml:space="preserve"> has the meaning given in section 36B(1);</w:t>
      </w:r>
    </w:p>
    <w:p>
      <w:pPr>
        <w:pStyle w:val="Defstart"/>
      </w:pPr>
      <w:r>
        <w:tab/>
      </w:r>
      <w:r>
        <w:rPr>
          <w:rStyle w:val="CharDefText"/>
        </w:rPr>
        <w:t>prescribed area</w:t>
      </w:r>
      <w:r>
        <w:t xml:space="preserve"> means the area prescribed for the purposes of this section;</w:t>
      </w:r>
    </w:p>
    <w:p>
      <w:pPr>
        <w:pStyle w:val="Defstart"/>
      </w:pPr>
      <w:r>
        <w:tab/>
      </w:r>
      <w:r>
        <w:rPr>
          <w:rStyle w:val="CharDefText"/>
        </w:rPr>
        <w:t>prescribed distance</w:t>
      </w:r>
      <w:r>
        <w:t xml:space="preserve"> means the distance prescribed for the purposes of this section;</w:t>
      </w:r>
    </w:p>
    <w:p>
      <w:pPr>
        <w:pStyle w:val="Defstart"/>
      </w:pPr>
      <w:r>
        <w:tab/>
      </w:r>
      <w:r>
        <w:rPr>
          <w:rStyle w:val="CharDefText"/>
        </w:rPr>
        <w:t>retail section</w:t>
      </w:r>
      <w:r>
        <w:t>, in relation to packaged liquor premises, means the part or parts of the premises on which packaged liquor is displayed for the purposes of sale or sold.</w:t>
      </w:r>
    </w:p>
    <w:p>
      <w:pPr>
        <w:pStyle w:val="Subsection"/>
      </w:pPr>
      <w:r>
        <w:tab/>
        <w:t>(2)</w:t>
      </w:r>
      <w:r>
        <w:tab/>
        <w:t xml:space="preserve">Subsection (3) applies to packaged liquor premises if — </w:t>
      </w:r>
    </w:p>
    <w:p>
      <w:pPr>
        <w:pStyle w:val="Indenta"/>
      </w:pPr>
      <w:r>
        <w:lastRenderedPageBreak/>
        <w:tab/>
        <w:t>(a)</w:t>
      </w:r>
      <w:r>
        <w:tab/>
        <w:t>the premises are situated less than the prescribed distance from other packaged liquor premises; and</w:t>
      </w:r>
    </w:p>
    <w:p>
      <w:pPr>
        <w:pStyle w:val="Indenta"/>
      </w:pPr>
      <w:r>
        <w:tab/>
        <w:t>(b)</w:t>
      </w:r>
      <w:r>
        <w:tab/>
        <w:t>the area of the retail section of the other packaged liquor premises exceeds the prescribed area.</w:t>
      </w:r>
    </w:p>
    <w:p>
      <w:pPr>
        <w:pStyle w:val="Subsection"/>
        <w:keepNext/>
      </w:pPr>
      <w:r>
        <w:tab/>
        <w:t>(3)</w:t>
      </w:r>
      <w:r>
        <w:tab/>
        <w:t xml:space="preserve">The licensing authority must not hear or determine an application made under section 77(4) in respect of packaged liquor premises to which this subsection applies — </w:t>
      </w:r>
    </w:p>
    <w:p>
      <w:pPr>
        <w:pStyle w:val="Indenta"/>
        <w:keepNext/>
      </w:pPr>
      <w:r>
        <w:tab/>
        <w:t>(a)</w:t>
      </w:r>
      <w:r>
        <w:tab/>
        <w:t xml:space="preserve">if — </w:t>
      </w:r>
    </w:p>
    <w:p>
      <w:pPr>
        <w:pStyle w:val="Indenti"/>
      </w:pPr>
      <w:r>
        <w:tab/>
        <w:t>(i)</w:t>
      </w:r>
      <w:r>
        <w:tab/>
        <w:t>the area of the retail section of the premises does not exceed the prescribed area; and</w:t>
      </w:r>
    </w:p>
    <w:p>
      <w:pPr>
        <w:pStyle w:val="Indenti"/>
      </w:pPr>
      <w:r>
        <w:tab/>
        <w:t>(ii)</w:t>
      </w:r>
      <w:r>
        <w:tab/>
        <w:t>the proposed alteration or redefinition of the premises would increase the area of the retail section of the premises so that it exceeds the prescribed area;</w:t>
      </w:r>
    </w:p>
    <w:p>
      <w:pPr>
        <w:pStyle w:val="Indenta"/>
      </w:pPr>
      <w:r>
        <w:tab/>
      </w:r>
      <w:r>
        <w:tab/>
        <w:t>or</w:t>
      </w:r>
    </w:p>
    <w:p>
      <w:pPr>
        <w:pStyle w:val="Indenta"/>
      </w:pPr>
      <w:r>
        <w:tab/>
        <w:t>(b)</w:t>
      </w:r>
      <w:r>
        <w:tab/>
        <w:t xml:space="preserve">if — </w:t>
      </w:r>
    </w:p>
    <w:p>
      <w:pPr>
        <w:pStyle w:val="Indenti"/>
      </w:pPr>
      <w:r>
        <w:tab/>
        <w:t>(i)</w:t>
      </w:r>
      <w:r>
        <w:tab/>
        <w:t>the area of the retail section of the premises exceeds the prescribed area; and</w:t>
      </w:r>
    </w:p>
    <w:p>
      <w:pPr>
        <w:pStyle w:val="Indenti"/>
      </w:pPr>
      <w:r>
        <w:tab/>
        <w:t>(ii)</w:t>
      </w:r>
      <w:r>
        <w:tab/>
        <w:t>the proposed alteration or redefinition of the premises would increase the area of the retail section of the premises.</w:t>
      </w:r>
    </w:p>
    <w:p>
      <w:pPr>
        <w:pStyle w:val="Subsection"/>
      </w:pPr>
      <w:r>
        <w:tab/>
        <w:t>(4)</w:t>
      </w:r>
      <w:r>
        <w:tab/>
        <w:t xml:space="preserve">Regulations made for the purposes of the definition of </w:t>
      </w:r>
      <w:r>
        <w:rPr>
          <w:b/>
          <w:i/>
        </w:rPr>
        <w:t>prescribed distance</w:t>
      </w:r>
      <w:r>
        <w:t xml:space="preserve"> in subsection (1) may prescribe different distances in relation to packaged liquor premises in different areas of the State.</w:t>
      </w:r>
    </w:p>
    <w:p>
      <w:pPr>
        <w:pStyle w:val="Footnotesection"/>
      </w:pPr>
      <w:r>
        <w:tab/>
        <w:t>[Section 77A inserted: No. 9 of 2018 s. 45.]</w:t>
      </w:r>
    </w:p>
    <w:p>
      <w:pPr>
        <w:pStyle w:val="Heading3"/>
        <w:rPr>
          <w:snapToGrid w:val="0"/>
        </w:rPr>
      </w:pPr>
      <w:bookmarkStart w:id="221" w:name="_Toc122336884"/>
      <w:bookmarkStart w:id="222" w:name="_Toc122342798"/>
      <w:bookmarkStart w:id="223" w:name="_Toc122513209"/>
      <w:bookmarkStart w:id="224" w:name="_Toc131519772"/>
      <w:bookmarkStart w:id="225" w:name="_Toc131520332"/>
      <w:bookmarkStart w:id="226" w:name="_Toc131586414"/>
      <w:r>
        <w:rPr>
          <w:rStyle w:val="CharDivNo"/>
        </w:rPr>
        <w:t>Division 8</w:t>
      </w:r>
      <w:r>
        <w:rPr>
          <w:snapToGrid w:val="0"/>
        </w:rPr>
        <w:t> — </w:t>
      </w:r>
      <w:r>
        <w:rPr>
          <w:rStyle w:val="CharDivText"/>
        </w:rPr>
        <w:t>Removals</w:t>
      </w:r>
      <w:bookmarkEnd w:id="221"/>
      <w:bookmarkEnd w:id="222"/>
      <w:bookmarkEnd w:id="223"/>
      <w:bookmarkEnd w:id="224"/>
      <w:bookmarkEnd w:id="225"/>
      <w:bookmarkEnd w:id="226"/>
      <w:r>
        <w:rPr>
          <w:rStyle w:val="CharDivText"/>
        </w:rPr>
        <w:t xml:space="preserve"> </w:t>
      </w:r>
    </w:p>
    <w:p>
      <w:pPr>
        <w:pStyle w:val="Heading5"/>
        <w:rPr>
          <w:snapToGrid w:val="0"/>
        </w:rPr>
      </w:pPr>
      <w:bookmarkStart w:id="227" w:name="_Toc131586415"/>
      <w:r>
        <w:rPr>
          <w:rStyle w:val="CharSectno"/>
        </w:rPr>
        <w:t>78</w:t>
      </w:r>
      <w:r>
        <w:rPr>
          <w:snapToGrid w:val="0"/>
        </w:rPr>
        <w:t>.</w:t>
      </w:r>
      <w:r>
        <w:rPr>
          <w:snapToGrid w:val="0"/>
        </w:rPr>
        <w:tab/>
        <w:t>Casino liquor licence not removable without authority</w:t>
      </w:r>
      <w:bookmarkEnd w:id="227"/>
    </w:p>
    <w:p>
      <w:pPr>
        <w:pStyle w:val="Subsection"/>
        <w:rPr>
          <w:snapToGrid w:val="0"/>
        </w:rPr>
      </w:pPr>
      <w:r>
        <w:rPr>
          <w:snapToGrid w:val="0"/>
        </w:rPr>
        <w:tab/>
      </w:r>
      <w:r>
        <w:rPr>
          <w:snapToGrid w:val="0"/>
        </w:rPr>
        <w:tab/>
        <w:t xml:space="preserve">A casino liquor licence is not capable of being removed without the consent of the Gaming and Wagering Commission, and a licence of any class granted in respect of premises that were at </w:t>
      </w:r>
      <w:r>
        <w:rPr>
          <w:snapToGrid w:val="0"/>
        </w:rPr>
        <w:lastRenderedPageBreak/>
        <w:t>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No. 35 of 2003 s. 173(4).]</w:t>
      </w:r>
    </w:p>
    <w:p>
      <w:pPr>
        <w:pStyle w:val="Heading5"/>
        <w:keepLines w:val="0"/>
        <w:rPr>
          <w:snapToGrid w:val="0"/>
        </w:rPr>
      </w:pPr>
      <w:bookmarkStart w:id="228" w:name="_Toc131586416"/>
      <w:r>
        <w:rPr>
          <w:rStyle w:val="CharSectno"/>
        </w:rPr>
        <w:t>79</w:t>
      </w:r>
      <w:r>
        <w:rPr>
          <w:snapToGrid w:val="0"/>
        </w:rPr>
        <w:t>.</w:t>
      </w:r>
      <w:r>
        <w:rPr>
          <w:snapToGrid w:val="0"/>
        </w:rPr>
        <w:tab/>
        <w:t>Licence relating to transport, when removable</w:t>
      </w:r>
      <w:bookmarkEnd w:id="228"/>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229" w:name="_Toc131586417"/>
      <w:r>
        <w:rPr>
          <w:rStyle w:val="CharSectno"/>
        </w:rPr>
        <w:t>80</w:t>
      </w:r>
      <w:r>
        <w:rPr>
          <w:snapToGrid w:val="0"/>
        </w:rPr>
        <w:t>.</w:t>
      </w:r>
      <w:r>
        <w:rPr>
          <w:snapToGrid w:val="0"/>
        </w:rPr>
        <w:tab/>
        <w:t>Temporary removal or redefinition of licence</w:t>
      </w:r>
      <w:bookmarkEnd w:id="229"/>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lastRenderedPageBreak/>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No. 73 of 2006 s. 58.]</w:t>
      </w:r>
    </w:p>
    <w:p>
      <w:pPr>
        <w:pStyle w:val="Heading5"/>
        <w:rPr>
          <w:snapToGrid w:val="0"/>
        </w:rPr>
      </w:pPr>
      <w:bookmarkStart w:id="230" w:name="_Toc131586418"/>
      <w:r>
        <w:rPr>
          <w:rStyle w:val="CharSectno"/>
        </w:rPr>
        <w:t>81</w:t>
      </w:r>
      <w:r>
        <w:rPr>
          <w:snapToGrid w:val="0"/>
        </w:rPr>
        <w:t>.</w:t>
      </w:r>
      <w:r>
        <w:rPr>
          <w:snapToGrid w:val="0"/>
        </w:rPr>
        <w:tab/>
        <w:t>Applications for removal of licence</w:t>
      </w:r>
      <w:bookmarkEnd w:id="230"/>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keepNext/>
        <w:rPr>
          <w:snapToGrid w:val="0"/>
        </w:rPr>
      </w:pPr>
      <w:r>
        <w:rPr>
          <w:snapToGrid w:val="0"/>
        </w:rPr>
        <w:tab/>
        <w:t>(3)</w:t>
      </w:r>
      <w:r>
        <w:rPr>
          <w:snapToGrid w:val="0"/>
        </w:rPr>
        <w:tab/>
        <w:t>An applicant for the removal of a licence must satisfy the licensing authority — </w:t>
      </w:r>
    </w:p>
    <w:p>
      <w:pPr>
        <w:pStyle w:val="Ednotepara"/>
        <w:keepNext/>
        <w:spacing w:before="80"/>
        <w:rPr>
          <w:snapToGrid w:val="0"/>
        </w:rPr>
      </w:pPr>
      <w:r>
        <w:rPr>
          <w:snapToGrid w:val="0"/>
        </w:rPr>
        <w:tab/>
        <w:t>[(a)</w:t>
      </w:r>
      <w:r>
        <w:rPr>
          <w:snapToGrid w:val="0"/>
        </w:rPr>
        <w:tab/>
        <w:t xml:space="preserve">deleted] </w:t>
      </w:r>
    </w:p>
    <w:p>
      <w:pPr>
        <w:pStyle w:val="Indenta"/>
        <w:keepNext/>
        <w:rPr>
          <w:snapToGrid w:val="0"/>
        </w:rPr>
      </w:pPr>
      <w:r>
        <w:rPr>
          <w:snapToGrid w:val="0"/>
        </w:rPr>
        <w:tab/>
        <w:t>(b)</w:t>
      </w:r>
      <w:r>
        <w:rPr>
          <w:snapToGrid w:val="0"/>
        </w:rPr>
        <w:tab/>
        <w:t>that the requirements of this Act in relation to the grant of a new licence of that class are met in relation to — </w:t>
      </w:r>
    </w:p>
    <w:p>
      <w:pPr>
        <w:pStyle w:val="Indenti"/>
        <w:keepNext/>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keepNext/>
        <w:spacing w:before="140"/>
      </w:pPr>
      <w:r>
        <w:tab/>
        <w:t>(7)</w:t>
      </w:r>
      <w:r>
        <w:tab/>
        <w:t xml:space="preserve">An application for the removal of a licence cannot be made if — </w:t>
      </w:r>
    </w:p>
    <w:p>
      <w:pPr>
        <w:pStyle w:val="Indenta"/>
        <w:keepNext/>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No. 12 of 1998 s. 55; No. 73 of 2006 s. 59.] </w:t>
      </w:r>
    </w:p>
    <w:p>
      <w:pPr>
        <w:pStyle w:val="Heading3"/>
        <w:rPr>
          <w:snapToGrid w:val="0"/>
        </w:rPr>
      </w:pPr>
      <w:bookmarkStart w:id="231" w:name="_Toc122336889"/>
      <w:bookmarkStart w:id="232" w:name="_Toc122342803"/>
      <w:bookmarkStart w:id="233" w:name="_Toc122513214"/>
      <w:bookmarkStart w:id="234" w:name="_Toc131519777"/>
      <w:bookmarkStart w:id="235" w:name="_Toc131520337"/>
      <w:bookmarkStart w:id="236" w:name="_Toc131586419"/>
      <w:r>
        <w:rPr>
          <w:rStyle w:val="CharDivNo"/>
        </w:rPr>
        <w:t>Division 9</w:t>
      </w:r>
      <w:r>
        <w:rPr>
          <w:snapToGrid w:val="0"/>
        </w:rPr>
        <w:t> — </w:t>
      </w:r>
      <w:r>
        <w:rPr>
          <w:rStyle w:val="CharDivText"/>
        </w:rPr>
        <w:t>Transfers</w:t>
      </w:r>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131586420"/>
      <w:r>
        <w:rPr>
          <w:rStyle w:val="CharSectno"/>
        </w:rPr>
        <w:t>82</w:t>
      </w:r>
      <w:r>
        <w:rPr>
          <w:snapToGrid w:val="0"/>
        </w:rPr>
        <w:t>.</w:t>
      </w:r>
      <w:r>
        <w:rPr>
          <w:snapToGrid w:val="0"/>
        </w:rPr>
        <w:tab/>
        <w:t>Applications for transfer of licences</w:t>
      </w:r>
      <w:bookmarkEnd w:id="23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lastRenderedPageBreak/>
        <w:tab/>
        <w:t>(2)</w:t>
      </w:r>
      <w:r>
        <w:rPr>
          <w:snapToGrid w:val="0"/>
        </w:rPr>
        <w:tab/>
        <w:t>An application to the Director for approval to the transfer of a licence shall be made by the person wishing to hold the licence after the transfer.</w:t>
      </w:r>
    </w:p>
    <w:p>
      <w:pPr>
        <w:pStyle w:val="Subsection"/>
        <w:keepNext/>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No. 12 of 1998 s. 56.] </w:t>
      </w:r>
    </w:p>
    <w:p>
      <w:pPr>
        <w:pStyle w:val="Heading5"/>
        <w:spacing w:before="240"/>
        <w:rPr>
          <w:snapToGrid w:val="0"/>
        </w:rPr>
      </w:pPr>
      <w:bookmarkStart w:id="238" w:name="_Toc131586421"/>
      <w:r>
        <w:rPr>
          <w:rStyle w:val="CharSectno"/>
        </w:rPr>
        <w:t>82A</w:t>
      </w:r>
      <w:r>
        <w:rPr>
          <w:snapToGrid w:val="0"/>
        </w:rPr>
        <w:t>.</w:t>
      </w:r>
      <w:r>
        <w:rPr>
          <w:snapToGrid w:val="0"/>
        </w:rPr>
        <w:tab/>
        <w:t>Transfer of licence between licence holders</w:t>
      </w:r>
      <w:bookmarkEnd w:id="23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No. 12 of 1998 s. 57.] </w:t>
      </w:r>
    </w:p>
    <w:p>
      <w:pPr>
        <w:pStyle w:val="Heading5"/>
        <w:rPr>
          <w:snapToGrid w:val="0"/>
        </w:rPr>
      </w:pPr>
      <w:bookmarkStart w:id="239" w:name="_Toc131586422"/>
      <w:r>
        <w:rPr>
          <w:rStyle w:val="CharSectno"/>
        </w:rPr>
        <w:t>83</w:t>
      </w:r>
      <w:r>
        <w:rPr>
          <w:snapToGrid w:val="0"/>
        </w:rPr>
        <w:t>.</w:t>
      </w:r>
      <w:r>
        <w:rPr>
          <w:snapToGrid w:val="0"/>
        </w:rPr>
        <w:tab/>
        <w:t>Certain licences not transferable</w:t>
      </w:r>
      <w:bookmarkEnd w:id="23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lastRenderedPageBreak/>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No. 35 of 2003 s. 173(4).]</w:t>
      </w:r>
    </w:p>
    <w:p>
      <w:pPr>
        <w:pStyle w:val="Heading5"/>
        <w:rPr>
          <w:snapToGrid w:val="0"/>
        </w:rPr>
      </w:pPr>
      <w:bookmarkStart w:id="240" w:name="_Toc131586423"/>
      <w:r>
        <w:rPr>
          <w:rStyle w:val="CharSectno"/>
        </w:rPr>
        <w:t>84</w:t>
      </w:r>
      <w:r>
        <w:rPr>
          <w:snapToGrid w:val="0"/>
        </w:rPr>
        <w:t>.</w:t>
      </w:r>
      <w:r>
        <w:rPr>
          <w:snapToGrid w:val="0"/>
        </w:rPr>
        <w:tab/>
        <w:t>Pre-requisites for transfer of licence</w:t>
      </w:r>
      <w:bookmarkEnd w:id="24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 xml:space="preserve">Where an application for approval of a transfer is made on the grounds that the licensee has been evicted from, or has ceased to </w:t>
      </w:r>
      <w:r>
        <w:rPr>
          <w:snapToGrid w:val="0"/>
        </w:rPr>
        <w:lastRenderedPageBreak/>
        <w:t>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 xml:space="preserve">On an application for approval to a proposed transfer of a licence the Director may make the grant of approval subject to </w:t>
      </w:r>
      <w:r>
        <w:rPr>
          <w:snapToGrid w:val="0"/>
        </w:rPr>
        <w:lastRenderedPageBreak/>
        <w:t>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No. 12 of 1998 s. 58; No. 73 of 2006 s. 60 and 111(7).] </w:t>
      </w:r>
    </w:p>
    <w:p>
      <w:pPr>
        <w:pStyle w:val="Heading5"/>
        <w:rPr>
          <w:snapToGrid w:val="0"/>
        </w:rPr>
      </w:pPr>
      <w:bookmarkStart w:id="241" w:name="_Toc131586424"/>
      <w:r>
        <w:rPr>
          <w:rStyle w:val="CharSectno"/>
        </w:rPr>
        <w:t>85</w:t>
      </w:r>
      <w:r>
        <w:rPr>
          <w:snapToGrid w:val="0"/>
        </w:rPr>
        <w:t>.</w:t>
      </w:r>
      <w:r>
        <w:rPr>
          <w:snapToGrid w:val="0"/>
        </w:rPr>
        <w:tab/>
        <w:t>Transferee to succeed to certain of transferor’s liabilities and rights</w:t>
      </w:r>
      <w:bookmarkEnd w:id="24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No. 56 of 1997 s. 32.] </w:t>
      </w:r>
    </w:p>
    <w:p>
      <w:pPr>
        <w:pStyle w:val="Heading3"/>
        <w:rPr>
          <w:snapToGrid w:val="0"/>
        </w:rPr>
      </w:pPr>
      <w:bookmarkStart w:id="242" w:name="_Toc122336895"/>
      <w:bookmarkStart w:id="243" w:name="_Toc122342809"/>
      <w:bookmarkStart w:id="244" w:name="_Toc122513220"/>
      <w:bookmarkStart w:id="245" w:name="_Toc131519783"/>
      <w:bookmarkStart w:id="246" w:name="_Toc131520343"/>
      <w:bookmarkStart w:id="247" w:name="_Toc131586425"/>
      <w:r>
        <w:rPr>
          <w:rStyle w:val="CharDivNo"/>
        </w:rPr>
        <w:lastRenderedPageBreak/>
        <w:t>Division 10</w:t>
      </w:r>
      <w:r>
        <w:rPr>
          <w:snapToGrid w:val="0"/>
        </w:rPr>
        <w:t> — </w:t>
      </w:r>
      <w:r>
        <w:rPr>
          <w:rStyle w:val="CharDivText"/>
        </w:rPr>
        <w:t>Interim authorisations and protection orders</w:t>
      </w:r>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131586426"/>
      <w:r>
        <w:rPr>
          <w:rStyle w:val="CharSectno"/>
        </w:rPr>
        <w:t>86</w:t>
      </w:r>
      <w:r>
        <w:rPr>
          <w:snapToGrid w:val="0"/>
        </w:rPr>
        <w:t>.</w:t>
      </w:r>
      <w:r>
        <w:rPr>
          <w:snapToGrid w:val="0"/>
        </w:rPr>
        <w:tab/>
        <w:t>Interim authorisations to carry on business under licence</w:t>
      </w:r>
      <w:bookmarkEnd w:id="248"/>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lastRenderedPageBreak/>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keepNext/>
        <w:rPr>
          <w:snapToGrid w:val="0"/>
        </w:rPr>
      </w:pPr>
      <w:r>
        <w:rPr>
          <w:snapToGrid w:val="0"/>
        </w:rPr>
        <w:lastRenderedPageBreak/>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lastRenderedPageBreak/>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No. 12 of 1998 s. 59; No. 10 of 2001 s. 220; No. 73 of 2006 s. 61.] </w:t>
      </w:r>
    </w:p>
    <w:p>
      <w:pPr>
        <w:pStyle w:val="Heading5"/>
        <w:keepLines w:val="0"/>
        <w:rPr>
          <w:snapToGrid w:val="0"/>
        </w:rPr>
      </w:pPr>
      <w:bookmarkStart w:id="249" w:name="_Toc131586427"/>
      <w:r>
        <w:rPr>
          <w:rStyle w:val="CharSectno"/>
        </w:rPr>
        <w:t>87</w:t>
      </w:r>
      <w:r>
        <w:rPr>
          <w:snapToGrid w:val="0"/>
        </w:rPr>
        <w:t>.</w:t>
      </w:r>
      <w:r>
        <w:rPr>
          <w:snapToGrid w:val="0"/>
        </w:rPr>
        <w:tab/>
        <w:t>Protection orders, grant and term of etc.</w:t>
      </w:r>
      <w:bookmarkEnd w:id="24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xml:space="preserve">, to sell liquor and to carry on the business of the licensee, or former licensee, on or from the licensed premises as if that person were </w:t>
      </w:r>
      <w:r>
        <w:rPr>
          <w:snapToGrid w:val="0"/>
        </w:rPr>
        <w:lastRenderedPageBreak/>
        <w:t>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lastRenderedPageBreak/>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lastRenderedPageBreak/>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No. 14 of 1996 s. 4; No. 12 of 1998 s. 60; No. 73 of 2006 s. 62.] </w:t>
      </w:r>
    </w:p>
    <w:p>
      <w:pPr>
        <w:pStyle w:val="Heading5"/>
        <w:rPr>
          <w:snapToGrid w:val="0"/>
        </w:rPr>
      </w:pPr>
      <w:bookmarkStart w:id="250" w:name="_Toc131586428"/>
      <w:r>
        <w:rPr>
          <w:rStyle w:val="CharSectno"/>
        </w:rPr>
        <w:t>88</w:t>
      </w:r>
      <w:r>
        <w:rPr>
          <w:snapToGrid w:val="0"/>
        </w:rPr>
        <w:t>.</w:t>
      </w:r>
      <w:r>
        <w:rPr>
          <w:snapToGrid w:val="0"/>
        </w:rPr>
        <w:tab/>
        <w:t>Protection order, effect of</w:t>
      </w:r>
      <w:bookmarkEnd w:id="250"/>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lastRenderedPageBreak/>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No. 12 of 1998 s. 61.] </w:t>
      </w:r>
    </w:p>
    <w:p>
      <w:pPr>
        <w:pStyle w:val="Heading5"/>
        <w:spacing w:before="180"/>
        <w:rPr>
          <w:snapToGrid w:val="0"/>
        </w:rPr>
      </w:pPr>
      <w:bookmarkStart w:id="251" w:name="_Toc131586429"/>
      <w:r>
        <w:rPr>
          <w:rStyle w:val="CharSectno"/>
        </w:rPr>
        <w:t>89</w:t>
      </w:r>
      <w:r>
        <w:rPr>
          <w:snapToGrid w:val="0"/>
        </w:rPr>
        <w:t>.</w:t>
      </w:r>
      <w:r>
        <w:rPr>
          <w:snapToGrid w:val="0"/>
        </w:rPr>
        <w:tab/>
        <w:t>Dispute as to terms of lease, Director’s powers in case of</w:t>
      </w:r>
      <w:bookmarkEnd w:id="251"/>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No. 12 of 1998 s. 62.] </w:t>
      </w:r>
    </w:p>
    <w:p>
      <w:pPr>
        <w:pStyle w:val="Heading3"/>
        <w:spacing w:before="180"/>
        <w:rPr>
          <w:snapToGrid w:val="0"/>
        </w:rPr>
      </w:pPr>
      <w:bookmarkStart w:id="252" w:name="_Toc122336900"/>
      <w:bookmarkStart w:id="253" w:name="_Toc122342814"/>
      <w:bookmarkStart w:id="254" w:name="_Toc122513225"/>
      <w:bookmarkStart w:id="255" w:name="_Toc131519788"/>
      <w:bookmarkStart w:id="256" w:name="_Toc131520348"/>
      <w:bookmarkStart w:id="257" w:name="_Toc131586430"/>
      <w:r>
        <w:rPr>
          <w:rStyle w:val="CharDivNo"/>
        </w:rPr>
        <w:t>Division 11</w:t>
      </w:r>
      <w:r>
        <w:rPr>
          <w:snapToGrid w:val="0"/>
        </w:rPr>
        <w:t> — </w:t>
      </w:r>
      <w:r>
        <w:rPr>
          <w:rStyle w:val="CharDivText"/>
        </w:rPr>
        <w:t>Suspensions</w:t>
      </w:r>
      <w:bookmarkEnd w:id="252"/>
      <w:bookmarkEnd w:id="253"/>
      <w:bookmarkEnd w:id="254"/>
      <w:bookmarkEnd w:id="255"/>
      <w:bookmarkEnd w:id="256"/>
      <w:bookmarkEnd w:id="257"/>
      <w:r>
        <w:rPr>
          <w:rStyle w:val="CharDivText"/>
        </w:rPr>
        <w:t xml:space="preserve"> </w:t>
      </w:r>
    </w:p>
    <w:p>
      <w:pPr>
        <w:pStyle w:val="Ednotesection"/>
        <w:spacing w:before="180"/>
      </w:pPr>
      <w:r>
        <w:t>[</w:t>
      </w:r>
      <w:r>
        <w:rPr>
          <w:b/>
        </w:rPr>
        <w:t>90.</w:t>
      </w:r>
      <w:r>
        <w:tab/>
        <w:t>Deleted: No. 73 of 2006 s. 63.]</w:t>
      </w:r>
    </w:p>
    <w:p>
      <w:pPr>
        <w:pStyle w:val="Heading5"/>
        <w:spacing w:before="180"/>
        <w:rPr>
          <w:snapToGrid w:val="0"/>
        </w:rPr>
      </w:pPr>
      <w:bookmarkStart w:id="258" w:name="_Toc131586431"/>
      <w:r>
        <w:rPr>
          <w:rStyle w:val="CharSectno"/>
        </w:rPr>
        <w:t>91</w:t>
      </w:r>
      <w:r>
        <w:rPr>
          <w:snapToGrid w:val="0"/>
        </w:rPr>
        <w:t>.</w:t>
      </w:r>
      <w:r>
        <w:rPr>
          <w:snapToGrid w:val="0"/>
        </w:rPr>
        <w:tab/>
        <w:t>Suspension of licence or permit in the public interest</w:t>
      </w:r>
      <w:bookmarkEnd w:id="258"/>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lastRenderedPageBreak/>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No. 73 of 2006 s. 64.]</w:t>
      </w:r>
    </w:p>
    <w:p>
      <w:pPr>
        <w:pStyle w:val="Heading5"/>
        <w:spacing w:before="240"/>
        <w:rPr>
          <w:snapToGrid w:val="0"/>
        </w:rPr>
      </w:pPr>
      <w:bookmarkStart w:id="259" w:name="_Toc131586432"/>
      <w:r>
        <w:rPr>
          <w:rStyle w:val="CharSectno"/>
        </w:rPr>
        <w:t>92</w:t>
      </w:r>
      <w:r>
        <w:rPr>
          <w:snapToGrid w:val="0"/>
        </w:rPr>
        <w:t>.</w:t>
      </w:r>
      <w:r>
        <w:rPr>
          <w:snapToGrid w:val="0"/>
        </w:rPr>
        <w:tab/>
        <w:t>Suspension because business has ceased etc.</w:t>
      </w:r>
      <w:bookmarkEnd w:id="259"/>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No. 12 of 1998 s. 63.] </w:t>
      </w:r>
    </w:p>
    <w:p>
      <w:pPr>
        <w:pStyle w:val="Heading5"/>
        <w:spacing w:before="240"/>
        <w:rPr>
          <w:snapToGrid w:val="0"/>
        </w:rPr>
      </w:pPr>
      <w:bookmarkStart w:id="260" w:name="_Toc131586433"/>
      <w:r>
        <w:rPr>
          <w:rStyle w:val="CharSectno"/>
        </w:rPr>
        <w:t>92A</w:t>
      </w:r>
      <w:r>
        <w:rPr>
          <w:snapToGrid w:val="0"/>
        </w:rPr>
        <w:t>.</w:t>
      </w:r>
      <w:r>
        <w:rPr>
          <w:snapToGrid w:val="0"/>
        </w:rPr>
        <w:tab/>
        <w:t>Cancellation of suspension</w:t>
      </w:r>
      <w:bookmarkEnd w:id="260"/>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No. 12 of 1998 s. 64.] </w:t>
      </w:r>
    </w:p>
    <w:p>
      <w:pPr>
        <w:pStyle w:val="Heading5"/>
        <w:spacing w:before="240"/>
        <w:rPr>
          <w:snapToGrid w:val="0"/>
        </w:rPr>
      </w:pPr>
      <w:bookmarkStart w:id="261" w:name="_Toc131586434"/>
      <w:r>
        <w:rPr>
          <w:rStyle w:val="CharSectno"/>
        </w:rPr>
        <w:lastRenderedPageBreak/>
        <w:t>93</w:t>
      </w:r>
      <w:r>
        <w:rPr>
          <w:snapToGrid w:val="0"/>
        </w:rPr>
        <w:t>.</w:t>
      </w:r>
      <w:r>
        <w:rPr>
          <w:snapToGrid w:val="0"/>
        </w:rPr>
        <w:tab/>
        <w:t>Cancellation of suspended licences</w:t>
      </w:r>
      <w:bookmarkEnd w:id="261"/>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No. 12 of 1998 s. 65; No. 73 of 2006 s. 65.] </w:t>
      </w:r>
    </w:p>
    <w:p>
      <w:pPr>
        <w:pStyle w:val="Heading3"/>
        <w:keepLines/>
        <w:spacing w:before="160"/>
        <w:rPr>
          <w:snapToGrid w:val="0"/>
        </w:rPr>
      </w:pPr>
      <w:bookmarkStart w:id="262" w:name="_Toc122336905"/>
      <w:bookmarkStart w:id="263" w:name="_Toc122342819"/>
      <w:bookmarkStart w:id="264" w:name="_Toc122513230"/>
      <w:bookmarkStart w:id="265" w:name="_Toc131519793"/>
      <w:bookmarkStart w:id="266" w:name="_Toc131520353"/>
      <w:bookmarkStart w:id="267" w:name="_Toc131586435"/>
      <w:r>
        <w:rPr>
          <w:rStyle w:val="CharDivNo"/>
        </w:rPr>
        <w:t>Division 12</w:t>
      </w:r>
      <w:r>
        <w:rPr>
          <w:snapToGrid w:val="0"/>
        </w:rPr>
        <w:t> — </w:t>
      </w:r>
      <w:r>
        <w:rPr>
          <w:rStyle w:val="CharDivText"/>
        </w:rPr>
        <w:t>Surrenders</w:t>
      </w:r>
      <w:bookmarkEnd w:id="262"/>
      <w:bookmarkEnd w:id="263"/>
      <w:bookmarkEnd w:id="264"/>
      <w:bookmarkEnd w:id="265"/>
      <w:bookmarkEnd w:id="266"/>
      <w:bookmarkEnd w:id="267"/>
      <w:r>
        <w:rPr>
          <w:rStyle w:val="CharDivText"/>
        </w:rPr>
        <w:t xml:space="preserve"> </w:t>
      </w:r>
    </w:p>
    <w:p>
      <w:pPr>
        <w:pStyle w:val="Heading5"/>
        <w:keepNext w:val="0"/>
        <w:spacing w:before="160"/>
        <w:rPr>
          <w:snapToGrid w:val="0"/>
        </w:rPr>
      </w:pPr>
      <w:bookmarkStart w:id="268" w:name="_Toc131586436"/>
      <w:r>
        <w:rPr>
          <w:rStyle w:val="CharSectno"/>
        </w:rPr>
        <w:t>94</w:t>
      </w:r>
      <w:r>
        <w:rPr>
          <w:snapToGrid w:val="0"/>
        </w:rPr>
        <w:t>.</w:t>
      </w:r>
      <w:r>
        <w:rPr>
          <w:snapToGrid w:val="0"/>
        </w:rPr>
        <w:tab/>
        <w:t>Surrendering licences</w:t>
      </w:r>
      <w:bookmarkEnd w:id="268"/>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lastRenderedPageBreak/>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69" w:name="_Toc122336907"/>
      <w:bookmarkStart w:id="270" w:name="_Toc122342821"/>
      <w:bookmarkStart w:id="271" w:name="_Toc122513232"/>
      <w:bookmarkStart w:id="272" w:name="_Toc131519795"/>
      <w:bookmarkStart w:id="273" w:name="_Toc131520355"/>
      <w:bookmarkStart w:id="274" w:name="_Toc131586437"/>
      <w:r>
        <w:rPr>
          <w:rStyle w:val="CharDivNo"/>
        </w:rPr>
        <w:lastRenderedPageBreak/>
        <w:t>Division 13</w:t>
      </w:r>
      <w:r>
        <w:rPr>
          <w:snapToGrid w:val="0"/>
        </w:rPr>
        <w:t> — </w:t>
      </w:r>
      <w:r>
        <w:rPr>
          <w:rStyle w:val="CharDivText"/>
        </w:rPr>
        <w:t>Disciplinary matters</w:t>
      </w:r>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131586438"/>
      <w:r>
        <w:rPr>
          <w:rStyle w:val="CharSectno"/>
        </w:rPr>
        <w:t>95</w:t>
      </w:r>
      <w:r>
        <w:rPr>
          <w:snapToGrid w:val="0"/>
        </w:rPr>
        <w:t>.</w:t>
      </w:r>
      <w:r>
        <w:rPr>
          <w:snapToGrid w:val="0"/>
        </w:rPr>
        <w:tab/>
        <w:t>Disciplinary action against licensees, grounds and procedure for</w:t>
      </w:r>
      <w:bookmarkEnd w:id="275"/>
    </w:p>
    <w:p>
      <w:pPr>
        <w:pStyle w:val="Subsection"/>
      </w:pPr>
      <w:r>
        <w:tab/>
        <w:t>(1A)</w:t>
      </w:r>
      <w:r>
        <w:tab/>
        <w:t xml:space="preserve">In this section — </w:t>
      </w:r>
    </w:p>
    <w:p>
      <w:pPr>
        <w:pStyle w:val="Defstart"/>
      </w:pPr>
      <w: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 xml:space="preserve">a person who — </w:t>
      </w:r>
    </w:p>
    <w:p>
      <w:pPr>
        <w:pStyle w:val="Defsubpara"/>
      </w:pPr>
      <w:r>
        <w:tab/>
        <w:t>(i)</w:t>
      </w:r>
      <w:r>
        <w:tab/>
        <w:t>holds a crowd controller’s licence; and</w:t>
      </w:r>
    </w:p>
    <w:p>
      <w:pPr>
        <w:pStyle w:val="Defsubpara"/>
      </w:pPr>
      <w:r>
        <w:tab/>
        <w:t>(ii)</w:t>
      </w:r>
      <w:r>
        <w:tab/>
        <w:t>is employed by a crowd control agent engaged under a contract for services by the licensee or occupier or a manager of the licensed premises to supply the services of crowd controllers at those premises.</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lastRenderedPageBreak/>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keepNext/>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licensee has been convicted of — </w:t>
      </w:r>
    </w:p>
    <w:p>
      <w:pPr>
        <w:pStyle w:val="Indenti"/>
        <w:keepNext/>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(Miscellaneous Provisions) Act 1911</w:t>
      </w:r>
      <w:r>
        <w:rPr>
          <w:snapToGrid w:val="0"/>
        </w:rPr>
        <w:t xml:space="preserve"> in relation to the licensed premises or liquor,</w:t>
      </w:r>
    </w:p>
    <w:p>
      <w:pPr>
        <w:pStyle w:val="Indenta"/>
        <w:rPr>
          <w:snapToGrid w:val="0"/>
        </w:rPr>
      </w:pPr>
      <w:r>
        <w:rPr>
          <w:snapToGrid w:val="0"/>
        </w:rPr>
        <w:lastRenderedPageBreak/>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keepNext/>
      </w:pPr>
      <w:r>
        <w:rPr>
          <w:snapToGrid w:val="0"/>
        </w:rPr>
        <w:tab/>
        <w:t>(k)</w:t>
      </w:r>
      <w:r>
        <w:rPr>
          <w:snapToGrid w:val="0"/>
        </w:rPr>
        <w:tab/>
        <w:t xml:space="preserve">the safety, health or welfare of persons who resort to the licensed premises is endangered by an act or neglect </w:t>
      </w:r>
      <w:r>
        <w:t xml:space="preserve">of — </w:t>
      </w:r>
    </w:p>
    <w:p>
      <w:pPr>
        <w:pStyle w:val="Indenti"/>
        <w:keepNext/>
      </w:pPr>
      <w:r>
        <w:tab/>
        <w:t>(i)</w:t>
      </w:r>
      <w:r>
        <w:tab/>
        <w:t>the licensee; or</w:t>
      </w:r>
    </w:p>
    <w:p>
      <w:pPr>
        <w:pStyle w:val="Indenti"/>
      </w:pPr>
      <w:r>
        <w:tab/>
        <w:t>(ii)</w:t>
      </w:r>
      <w:r>
        <w:tab/>
        <w:t>an employee or agent of the licensee; or</w:t>
      </w:r>
    </w:p>
    <w:p>
      <w:pPr>
        <w:pStyle w:val="Indenti"/>
      </w:pPr>
      <w:r>
        <w:tab/>
        <w:t>(iii)</w:t>
      </w:r>
      <w:r>
        <w:tab/>
        <w:t>a person acting, or purporting to act, on behalf of the licensee;</w:t>
      </w:r>
    </w:p>
    <w:p>
      <w:pPr>
        <w:pStyle w:val="Indenta"/>
      </w:pPr>
      <w:r>
        <w:tab/>
      </w:r>
      <w:r>
        <w:tab/>
        <w:t>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lastRenderedPageBreak/>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keepNext/>
        <w:rPr>
          <w:snapToGrid w:val="0"/>
        </w:rPr>
      </w:pPr>
      <w:r>
        <w:rPr>
          <w:snapToGrid w:val="0"/>
        </w:rPr>
        <w:lastRenderedPageBreak/>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Lines/>
        <w:rPr>
          <w:snapToGrid w:val="0"/>
        </w:rPr>
      </w:pPr>
      <w:r>
        <w:rPr>
          <w:snapToGrid w:val="0"/>
        </w:rPr>
        <w:tab/>
        <w:t>(b)</w:t>
      </w:r>
      <w:r>
        <w:rPr>
          <w:snapToGrid w:val="0"/>
        </w:rPr>
        <w:tab/>
        <w:t>had taken reasonable steps to prevent that act or omission from taking place.</w:t>
      </w:r>
    </w:p>
    <w:p>
      <w:pPr>
        <w:pStyle w:val="Subsection"/>
      </w:pPr>
      <w:r>
        <w:tab/>
        <w:t>(12)</w:t>
      </w:r>
      <w:r>
        <w:tab/>
        <w:t>The hearing of a complaint lodged under this section must be in public unless the Commission considers that, in the circumstances of the case, the hearing should be in private.</w:t>
      </w:r>
    </w:p>
    <w:p>
      <w:pPr>
        <w:pStyle w:val="Footnotesection"/>
        <w:widowControl w:val="0"/>
        <w:ind w:left="890" w:hanging="890"/>
      </w:pPr>
      <w:r>
        <w:tab/>
        <w:t xml:space="preserve">[Section 95 amended: No. 14 of 1996 s. 4; No. 56 of 1997 s. 33; No. 12 of 1998 s. 10(11), 35(3) and (4), 66, 70(6) and (7); No. 73 of 2006 s. 66 and 106; No. 21 of 2008 s. 675(3); No. 43 of 2008 s. 148(4); No. 19 of 2016 s. 101; No. 9 of 2018 s. 46.] </w:t>
      </w:r>
    </w:p>
    <w:p>
      <w:pPr>
        <w:pStyle w:val="Heading5"/>
        <w:spacing w:before="240"/>
        <w:rPr>
          <w:snapToGrid w:val="0"/>
        </w:rPr>
      </w:pPr>
      <w:bookmarkStart w:id="276" w:name="_Toc131586439"/>
      <w:r>
        <w:rPr>
          <w:rStyle w:val="CharSectno"/>
        </w:rPr>
        <w:t>96</w:t>
      </w:r>
      <w:r>
        <w:rPr>
          <w:snapToGrid w:val="0"/>
        </w:rPr>
        <w:t>.</w:t>
      </w:r>
      <w:r>
        <w:rPr>
          <w:snapToGrid w:val="0"/>
        </w:rPr>
        <w:tab/>
        <w:t>Disciplinary action, powers to take</w:t>
      </w:r>
      <w:bookmarkEnd w:id="276"/>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w:t>
      </w:r>
      <w:r>
        <w:rPr>
          <w:snapToGrid w:val="0"/>
        </w:rPr>
        <w:lastRenderedPageBreak/>
        <w:t xml:space="preserve">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lastRenderedPageBreak/>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keepNext/>
        <w:rPr>
          <w:snapToGrid w:val="0"/>
        </w:rPr>
      </w:pPr>
      <w:r>
        <w:rPr>
          <w:snapToGrid w:val="0"/>
        </w:rPr>
        <w:lastRenderedPageBreak/>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No. 73 of 1994 s. 4; No. 12 of 1998 s. 67; No. 73 of 2006 s. 106 and 111(8); No. 56 of 2010 s. 47.] </w:t>
      </w:r>
    </w:p>
    <w:p>
      <w:pPr>
        <w:pStyle w:val="Heading2"/>
      </w:pPr>
      <w:bookmarkStart w:id="277" w:name="_Toc122336910"/>
      <w:bookmarkStart w:id="278" w:name="_Toc122342824"/>
      <w:bookmarkStart w:id="279" w:name="_Toc122513235"/>
      <w:bookmarkStart w:id="280" w:name="_Toc131519798"/>
      <w:bookmarkStart w:id="281" w:name="_Toc131520358"/>
      <w:bookmarkStart w:id="282" w:name="_Toc131586440"/>
      <w:r>
        <w:rPr>
          <w:rStyle w:val="CharPartNo"/>
        </w:rPr>
        <w:lastRenderedPageBreak/>
        <w:t>Part 4</w:t>
      </w:r>
      <w:r>
        <w:t> — </w:t>
      </w:r>
      <w:r>
        <w:rPr>
          <w:rStyle w:val="CharPartText"/>
        </w:rPr>
        <w:t>The conduct of business</w:t>
      </w:r>
      <w:bookmarkEnd w:id="277"/>
      <w:bookmarkEnd w:id="278"/>
      <w:bookmarkEnd w:id="279"/>
      <w:bookmarkEnd w:id="280"/>
      <w:bookmarkEnd w:id="281"/>
      <w:bookmarkEnd w:id="282"/>
      <w:r>
        <w:rPr>
          <w:rStyle w:val="CharPartText"/>
        </w:rPr>
        <w:t xml:space="preserve"> </w:t>
      </w:r>
    </w:p>
    <w:p>
      <w:pPr>
        <w:pStyle w:val="Heading3"/>
        <w:rPr>
          <w:snapToGrid w:val="0"/>
        </w:rPr>
      </w:pPr>
      <w:bookmarkStart w:id="283" w:name="_Toc122336911"/>
      <w:bookmarkStart w:id="284" w:name="_Toc122342825"/>
      <w:bookmarkStart w:id="285" w:name="_Toc122513236"/>
      <w:bookmarkStart w:id="286" w:name="_Toc131519799"/>
      <w:bookmarkStart w:id="287" w:name="_Toc131520359"/>
      <w:bookmarkStart w:id="288" w:name="_Toc131586441"/>
      <w:r>
        <w:rPr>
          <w:rStyle w:val="CharDivNo"/>
        </w:rPr>
        <w:t>Division 1</w:t>
      </w:r>
      <w:r>
        <w:rPr>
          <w:snapToGrid w:val="0"/>
        </w:rPr>
        <w:t> — </w:t>
      </w:r>
      <w:r>
        <w:rPr>
          <w:rStyle w:val="CharDivText"/>
        </w:rPr>
        <w:t>Hours of trading</w:t>
      </w:r>
      <w:bookmarkEnd w:id="283"/>
      <w:bookmarkEnd w:id="284"/>
      <w:bookmarkEnd w:id="285"/>
      <w:bookmarkEnd w:id="286"/>
      <w:bookmarkEnd w:id="287"/>
      <w:bookmarkEnd w:id="288"/>
      <w:r>
        <w:rPr>
          <w:rStyle w:val="CharDivText"/>
        </w:rPr>
        <w:t xml:space="preserve"> </w:t>
      </w:r>
    </w:p>
    <w:p>
      <w:pPr>
        <w:pStyle w:val="Heading5"/>
        <w:rPr>
          <w:snapToGrid w:val="0"/>
        </w:rPr>
      </w:pPr>
      <w:bookmarkStart w:id="289" w:name="_Toc131586442"/>
      <w:r>
        <w:rPr>
          <w:rStyle w:val="CharSectno"/>
        </w:rPr>
        <w:t>97</w:t>
      </w:r>
      <w:r>
        <w:rPr>
          <w:snapToGrid w:val="0"/>
        </w:rPr>
        <w:t>.</w:t>
      </w:r>
      <w:r>
        <w:rPr>
          <w:snapToGrid w:val="0"/>
        </w:rPr>
        <w:tab/>
        <w:t>Permitted hours generally</w:t>
      </w:r>
      <w:bookmarkEnd w:id="289"/>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No. 12 of 1998 s. 68; No. 35 of 2003 s. 173(4); No. 73 of 2006 s. 67.] </w:t>
      </w:r>
    </w:p>
    <w:p>
      <w:pPr>
        <w:pStyle w:val="Heading5"/>
      </w:pPr>
      <w:bookmarkStart w:id="290" w:name="_Toc131586443"/>
      <w:r>
        <w:rPr>
          <w:rStyle w:val="CharSectno"/>
        </w:rPr>
        <w:t>98</w:t>
      </w:r>
      <w:r>
        <w:t>.</w:t>
      </w:r>
      <w:r>
        <w:tab/>
        <w:t>Hotel licence, permitted hours under</w:t>
      </w:r>
      <w:bookmarkEnd w:id="290"/>
    </w:p>
    <w:p>
      <w:pPr>
        <w:pStyle w:val="Subsection"/>
      </w:pPr>
      <w:r>
        <w:tab/>
        <w:t>(1)</w:t>
      </w:r>
      <w:r>
        <w:tab/>
        <w:t xml:space="preserve">The permitted hours under a hotel licence are — </w:t>
      </w:r>
    </w:p>
    <w:p>
      <w:pPr>
        <w:pStyle w:val="Indenta"/>
      </w:pPr>
      <w:r>
        <w:tab/>
        <w:t>(a)</w:t>
      </w:r>
      <w:r>
        <w:tab/>
        <w:t>on a day other than a Sunday — from 6 a.m. to 12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 and then in accordance with paragraph (a) or (b), as the case requires;</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lastRenderedPageBreak/>
        <w:tab/>
        <w:t>(2)</w:t>
      </w:r>
      <w:r>
        <w:tab/>
        <w:t>The permitted hours under a hotel licence for the sale of liquor to a lodger are unrestricted.</w:t>
      </w:r>
    </w:p>
    <w:p>
      <w:pPr>
        <w:pStyle w:val="Footnotesection"/>
        <w:keepLines w:val="0"/>
        <w:ind w:left="890" w:hanging="890"/>
      </w:pPr>
      <w:r>
        <w:tab/>
        <w:t>[Section 98 inserted: No. 73 of 2006 s. 68; amended: No. 35 of 2015 s. 12; No. 9 of 2018 s. 47.]</w:t>
      </w:r>
    </w:p>
    <w:p>
      <w:pPr>
        <w:pStyle w:val="Heading5"/>
      </w:pPr>
      <w:bookmarkStart w:id="291" w:name="_Toc131586444"/>
      <w:r>
        <w:rPr>
          <w:rStyle w:val="CharSectno"/>
        </w:rPr>
        <w:t>98AA</w:t>
      </w:r>
      <w:r>
        <w:t>.</w:t>
      </w:r>
      <w:r>
        <w:tab/>
        <w:t>Permitted hours under small bar licence</w:t>
      </w:r>
      <w:bookmarkEnd w:id="291"/>
    </w:p>
    <w:p>
      <w:pPr>
        <w:pStyle w:val="Subsection"/>
      </w:pPr>
      <w:r>
        <w:tab/>
      </w:r>
      <w:r>
        <w:tab/>
        <w:t xml:space="preserve">The permitted hours under a small bar licence are — </w:t>
      </w:r>
    </w:p>
    <w:p>
      <w:pPr>
        <w:pStyle w:val="Indenta"/>
      </w:pPr>
      <w:r>
        <w:tab/>
        <w:t>(a)</w:t>
      </w:r>
      <w:r>
        <w:tab/>
        <w:t>on a day other than a Sunday — from 6 am to 12 midnight;</w:t>
      </w:r>
    </w:p>
    <w:p>
      <w:pPr>
        <w:pStyle w:val="Indenta"/>
      </w:pPr>
      <w:r>
        <w:tab/>
        <w:t>(b)</w:t>
      </w:r>
      <w:r>
        <w:tab/>
        <w:t>on a Sunday — from 10 am to 12 midnight;</w:t>
      </w:r>
    </w:p>
    <w:p>
      <w:pPr>
        <w:pStyle w:val="Indenta"/>
      </w:pPr>
      <w:r>
        <w:tab/>
        <w:t>(c)</w:t>
      </w:r>
      <w:r>
        <w:tab/>
        <w:t>on New Year’s Day — from immediately after 12 midnight on New Year’s Eve to 2 am and then in accordance with paragraph (a) or (b), as the case requires;</w:t>
      </w:r>
    </w:p>
    <w:p>
      <w:pPr>
        <w:pStyle w:val="Indenta"/>
      </w:pPr>
      <w:r>
        <w:tab/>
        <w:t>(d)</w:t>
      </w:r>
      <w:r>
        <w:tab/>
        <w:t>on Good Friday or Christmas Day — from 12 noon to 10 pm, but only for liquor sold ancillary to a meal supplied by the licensee;</w:t>
      </w:r>
    </w:p>
    <w:p>
      <w:pPr>
        <w:pStyle w:val="Indenta"/>
      </w:pPr>
      <w:r>
        <w:tab/>
        <w:t>(e)</w:t>
      </w:r>
      <w:r>
        <w:tab/>
        <w:t>on ANZAC Day — from 12 noon to 12 midnight.</w:t>
      </w:r>
    </w:p>
    <w:p>
      <w:pPr>
        <w:pStyle w:val="Footnotesection"/>
        <w:keepLines w:val="0"/>
        <w:ind w:left="890" w:hanging="890"/>
      </w:pPr>
      <w:r>
        <w:tab/>
        <w:t>[Section 98AA inserted: No. 9 of 2018 s. 48.]</w:t>
      </w:r>
    </w:p>
    <w:p>
      <w:pPr>
        <w:pStyle w:val="Heading5"/>
      </w:pPr>
      <w:bookmarkStart w:id="292" w:name="_Toc131586445"/>
      <w:r>
        <w:rPr>
          <w:rStyle w:val="CharSectno"/>
        </w:rPr>
        <w:t>98A</w:t>
      </w:r>
      <w:r>
        <w:t>.</w:t>
      </w:r>
      <w:r>
        <w:tab/>
        <w:t>Nightclub licence, permitted hours under</w:t>
      </w:r>
      <w:bookmarkEnd w:id="292"/>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lastRenderedPageBreak/>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No. 73 of 2006 s. 68; amended: No. 56 of 2010 s. 48; No. 35 of 2015 s. 13; No. 9 of 2018 s. 49.]</w:t>
      </w:r>
    </w:p>
    <w:p>
      <w:pPr>
        <w:pStyle w:val="Heading5"/>
      </w:pPr>
      <w:bookmarkStart w:id="293" w:name="_Toc131586446"/>
      <w:r>
        <w:rPr>
          <w:rStyle w:val="CharSectno"/>
        </w:rPr>
        <w:t>98B</w:t>
      </w:r>
      <w:r>
        <w:t>.</w:t>
      </w:r>
      <w:r>
        <w:tab/>
        <w:t>Casino liquor licence, permitted hours under</w:t>
      </w:r>
      <w:bookmarkEnd w:id="293"/>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No. 73 of 2006 s. 68.]</w:t>
      </w:r>
    </w:p>
    <w:p>
      <w:pPr>
        <w:pStyle w:val="Heading5"/>
      </w:pPr>
      <w:bookmarkStart w:id="294" w:name="_Toc131586447"/>
      <w:r>
        <w:rPr>
          <w:rStyle w:val="CharSectno"/>
        </w:rPr>
        <w:t>98C</w:t>
      </w:r>
      <w:r>
        <w:t>.</w:t>
      </w:r>
      <w:r>
        <w:tab/>
        <w:t>Special facility licence, permitted hours under</w:t>
      </w:r>
      <w:bookmarkEnd w:id="294"/>
    </w:p>
    <w:p>
      <w:pPr>
        <w:pStyle w:val="Subsection"/>
      </w:pPr>
      <w:r>
        <w:tab/>
      </w:r>
      <w:r>
        <w:tab/>
        <w:t>The permitted hours under a special facility licence are as specified in the particular licence.</w:t>
      </w:r>
    </w:p>
    <w:p>
      <w:pPr>
        <w:pStyle w:val="Footnotesection"/>
      </w:pPr>
      <w:r>
        <w:tab/>
        <w:t>[Section 98C inserted: No. 73 of 2006 s. 68.]</w:t>
      </w:r>
    </w:p>
    <w:p>
      <w:pPr>
        <w:pStyle w:val="Heading5"/>
      </w:pPr>
      <w:bookmarkStart w:id="295" w:name="_Toc131586448"/>
      <w:r>
        <w:rPr>
          <w:rStyle w:val="CharSectno"/>
        </w:rPr>
        <w:lastRenderedPageBreak/>
        <w:t>98D</w:t>
      </w:r>
      <w:r>
        <w:t>.</w:t>
      </w:r>
      <w:r>
        <w:tab/>
        <w:t>Liquor store licence, permitted hours under</w:t>
      </w:r>
      <w:bookmarkEnd w:id="295"/>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No. 73 of 2006 s. 68.]</w:t>
      </w:r>
    </w:p>
    <w:p>
      <w:pPr>
        <w:pStyle w:val="Heading5"/>
      </w:pPr>
      <w:bookmarkStart w:id="296" w:name="_Toc131586449"/>
      <w:r>
        <w:rPr>
          <w:rStyle w:val="CharSectno"/>
        </w:rPr>
        <w:t>98E</w:t>
      </w:r>
      <w:r>
        <w:t>.</w:t>
      </w:r>
      <w:r>
        <w:tab/>
        <w:t>Club licence and club restricted licence, permitted hours under</w:t>
      </w:r>
      <w:bookmarkEnd w:id="296"/>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lastRenderedPageBreak/>
        <w:tab/>
        <w:t>(ii)</w:t>
      </w:r>
      <w:r>
        <w:tab/>
        <w:t>from 10 a.m. to 12 midnight;</w:t>
      </w:r>
    </w:p>
    <w:p>
      <w:pPr>
        <w:pStyle w:val="Indenta"/>
      </w:pPr>
      <w:r>
        <w:tab/>
        <w:t>(d)</w:t>
      </w:r>
      <w:r>
        <w:tab/>
        <w:t>on New Year’s Day — from immediately after 12 midnight on the previous day to 2 a.m. and then in accordance with paragraph (a) or (b)(ii), as the case requires.</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No. 73 of 2006 s. 68; amended: No. 9 of 2018 s. 50.]</w:t>
      </w:r>
    </w:p>
    <w:p>
      <w:pPr>
        <w:pStyle w:val="Heading5"/>
      </w:pPr>
      <w:bookmarkStart w:id="297" w:name="_Toc131586450"/>
      <w:r>
        <w:rPr>
          <w:rStyle w:val="CharSectno"/>
        </w:rPr>
        <w:lastRenderedPageBreak/>
        <w:t>98F</w:t>
      </w:r>
      <w:r>
        <w:t>.</w:t>
      </w:r>
      <w:r>
        <w:tab/>
        <w:t>Restaurant licence, permitted hours under</w:t>
      </w:r>
      <w:bookmarkEnd w:id="297"/>
    </w:p>
    <w:p>
      <w:pPr>
        <w:pStyle w:val="Subsection"/>
      </w:pPr>
      <w:r>
        <w:tab/>
      </w:r>
      <w:r>
        <w:tab/>
        <w:t>The permitted hours under a restaurant licence are at any time except from 3 a.m. to 12 noon on ANZAC Day.</w:t>
      </w:r>
    </w:p>
    <w:p>
      <w:pPr>
        <w:pStyle w:val="Footnotesection"/>
      </w:pPr>
      <w:r>
        <w:tab/>
        <w:t>[Section 98F inserted: No. 73 of 2006 s. 68.]</w:t>
      </w:r>
    </w:p>
    <w:p>
      <w:pPr>
        <w:pStyle w:val="Heading5"/>
      </w:pPr>
      <w:bookmarkStart w:id="298" w:name="_Toc131586451"/>
      <w:r>
        <w:rPr>
          <w:rStyle w:val="CharSectno"/>
        </w:rPr>
        <w:t>98G</w:t>
      </w:r>
      <w:r>
        <w:t>.</w:t>
      </w:r>
      <w:r>
        <w:tab/>
        <w:t>Producer’s licence, permitted hours under</w:t>
      </w:r>
      <w:bookmarkEnd w:id="298"/>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 the permitted hours in relation to the sale or supply of beer or spirits on a day other than Good Friday, Christmas Day or ANZAC Day are from 10 am to 10 pm.</w:t>
      </w:r>
    </w:p>
    <w:p>
      <w:pPr>
        <w:pStyle w:val="Footnotesection"/>
      </w:pPr>
      <w:r>
        <w:tab/>
        <w:t>[Section 98G inserted: No. 73 of 2006 s. 68; amended: No. 35 of 2015 s. 14; No. 9 of 2018 s. 51.]</w:t>
      </w:r>
    </w:p>
    <w:p>
      <w:pPr>
        <w:pStyle w:val="Heading5"/>
        <w:spacing w:before="240"/>
      </w:pPr>
      <w:bookmarkStart w:id="299" w:name="_Toc131586452"/>
      <w:r>
        <w:rPr>
          <w:rStyle w:val="CharSectno"/>
        </w:rPr>
        <w:t>98H</w:t>
      </w:r>
      <w:r>
        <w:t>.</w:t>
      </w:r>
      <w:r>
        <w:tab/>
        <w:t>Wholesaler’s licence, permitted hours under</w:t>
      </w:r>
      <w:bookmarkEnd w:id="29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No. 73 of 2006 s. 68.]</w:t>
      </w:r>
    </w:p>
    <w:p>
      <w:pPr>
        <w:pStyle w:val="Heading3"/>
        <w:rPr>
          <w:snapToGrid w:val="0"/>
        </w:rPr>
      </w:pPr>
      <w:bookmarkStart w:id="300" w:name="_Toc122336923"/>
      <w:bookmarkStart w:id="301" w:name="_Toc122342837"/>
      <w:bookmarkStart w:id="302" w:name="_Toc122513248"/>
      <w:bookmarkStart w:id="303" w:name="_Toc131519811"/>
      <w:bookmarkStart w:id="304" w:name="_Toc131520371"/>
      <w:bookmarkStart w:id="305" w:name="_Toc131586453"/>
      <w:r>
        <w:rPr>
          <w:rStyle w:val="CharDivNo"/>
        </w:rPr>
        <w:lastRenderedPageBreak/>
        <w:t>Division 2</w:t>
      </w:r>
      <w:r>
        <w:rPr>
          <w:snapToGrid w:val="0"/>
        </w:rPr>
        <w:t> — </w:t>
      </w:r>
      <w:r>
        <w:rPr>
          <w:rStyle w:val="CharDivText"/>
        </w:rPr>
        <w:t>Maintenance of the premises</w:t>
      </w:r>
      <w:bookmarkEnd w:id="300"/>
      <w:bookmarkEnd w:id="301"/>
      <w:bookmarkEnd w:id="302"/>
      <w:bookmarkEnd w:id="303"/>
      <w:bookmarkEnd w:id="304"/>
      <w:bookmarkEnd w:id="305"/>
      <w:r>
        <w:rPr>
          <w:rStyle w:val="CharDivText"/>
        </w:rPr>
        <w:t xml:space="preserve"> </w:t>
      </w:r>
    </w:p>
    <w:p>
      <w:pPr>
        <w:pStyle w:val="Heading5"/>
        <w:spacing w:before="240"/>
        <w:rPr>
          <w:snapToGrid w:val="0"/>
        </w:rPr>
      </w:pPr>
      <w:bookmarkStart w:id="306" w:name="_Toc131586454"/>
      <w:r>
        <w:rPr>
          <w:rStyle w:val="CharSectno"/>
        </w:rPr>
        <w:t>99</w:t>
      </w:r>
      <w:r>
        <w:rPr>
          <w:snapToGrid w:val="0"/>
        </w:rPr>
        <w:t>.</w:t>
      </w:r>
      <w:r>
        <w:rPr>
          <w:snapToGrid w:val="0"/>
        </w:rPr>
        <w:tab/>
        <w:t>Duty to keep premises clean and in good repair; powers to enforce duty and require alterations</w:t>
      </w:r>
      <w:bookmarkEnd w:id="306"/>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lastRenderedPageBreak/>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No. 12 of 1998 s. 70(1) to (4); No. 56 of 2010 s. 49.] </w:t>
      </w:r>
    </w:p>
    <w:p>
      <w:pPr>
        <w:pStyle w:val="Heading3"/>
        <w:keepLines/>
        <w:spacing w:before="180"/>
        <w:rPr>
          <w:snapToGrid w:val="0"/>
        </w:rPr>
      </w:pPr>
      <w:bookmarkStart w:id="307" w:name="_Toc122336925"/>
      <w:bookmarkStart w:id="308" w:name="_Toc122342839"/>
      <w:bookmarkStart w:id="309" w:name="_Toc122513250"/>
      <w:bookmarkStart w:id="310" w:name="_Toc131519813"/>
      <w:bookmarkStart w:id="311" w:name="_Toc131520373"/>
      <w:bookmarkStart w:id="312" w:name="_Toc131586455"/>
      <w:r>
        <w:rPr>
          <w:rStyle w:val="CharDivNo"/>
        </w:rPr>
        <w:t>Division 3</w:t>
      </w:r>
      <w:r>
        <w:rPr>
          <w:snapToGrid w:val="0"/>
        </w:rPr>
        <w:t> — </w:t>
      </w:r>
      <w:r>
        <w:rPr>
          <w:rStyle w:val="CharDivText"/>
        </w:rPr>
        <w:t>Supervision and management</w:t>
      </w:r>
      <w:bookmarkEnd w:id="307"/>
      <w:bookmarkEnd w:id="308"/>
      <w:bookmarkEnd w:id="309"/>
      <w:bookmarkEnd w:id="310"/>
      <w:bookmarkEnd w:id="311"/>
      <w:bookmarkEnd w:id="312"/>
      <w:r>
        <w:rPr>
          <w:rStyle w:val="CharDivText"/>
        </w:rPr>
        <w:t xml:space="preserve"> </w:t>
      </w:r>
    </w:p>
    <w:p>
      <w:pPr>
        <w:pStyle w:val="Heading4"/>
        <w:keepLines/>
        <w:spacing w:before="180"/>
      </w:pPr>
      <w:bookmarkStart w:id="313" w:name="_Toc122336926"/>
      <w:bookmarkStart w:id="314" w:name="_Toc122342840"/>
      <w:bookmarkStart w:id="315" w:name="_Toc122513251"/>
      <w:bookmarkStart w:id="316" w:name="_Toc131519814"/>
      <w:bookmarkStart w:id="317" w:name="_Toc131520374"/>
      <w:bookmarkStart w:id="318" w:name="_Toc131586456"/>
      <w:r>
        <w:t>Subdivision 1 — Licensed premises to be supervised and managed</w:t>
      </w:r>
      <w:bookmarkEnd w:id="313"/>
      <w:bookmarkEnd w:id="314"/>
      <w:bookmarkEnd w:id="315"/>
      <w:bookmarkEnd w:id="316"/>
      <w:bookmarkEnd w:id="317"/>
      <w:bookmarkEnd w:id="318"/>
    </w:p>
    <w:p>
      <w:pPr>
        <w:pStyle w:val="Footnoteheading"/>
        <w:spacing w:before="100"/>
      </w:pPr>
      <w:r>
        <w:tab/>
        <w:t>[Heading inserted: No. 56 of 2010 s. 14.]</w:t>
      </w:r>
    </w:p>
    <w:p>
      <w:pPr>
        <w:pStyle w:val="Heading5"/>
        <w:spacing w:before="180"/>
        <w:rPr>
          <w:snapToGrid w:val="0"/>
        </w:rPr>
      </w:pPr>
      <w:bookmarkStart w:id="319" w:name="_Toc131586457"/>
      <w:r>
        <w:rPr>
          <w:rStyle w:val="CharSectno"/>
        </w:rPr>
        <w:t>100</w:t>
      </w:r>
      <w:r>
        <w:rPr>
          <w:snapToGrid w:val="0"/>
        </w:rPr>
        <w:t>.</w:t>
      </w:r>
      <w:r>
        <w:rPr>
          <w:snapToGrid w:val="0"/>
        </w:rPr>
        <w:tab/>
        <w:t>Licensee’s duties</w:t>
      </w:r>
      <w:bookmarkEnd w:id="319"/>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keepNext/>
        <w:rPr>
          <w:snapToGrid w:val="0"/>
        </w:rPr>
      </w:pPr>
      <w:r>
        <w:rPr>
          <w:snapToGrid w:val="0"/>
        </w:rPr>
        <w:lastRenderedPageBreak/>
        <w:tab/>
        <w:t>(2)</w:t>
      </w:r>
      <w:r>
        <w:rPr>
          <w:snapToGrid w:val="0"/>
        </w:rPr>
        <w:tab/>
        <w:t>The licensee shall ensure that the conduct of business at the licensed premises is personally supervised and managed — </w:t>
      </w:r>
    </w:p>
    <w:p>
      <w:pPr>
        <w:pStyle w:val="Indenta"/>
        <w:keepNext/>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in accordance with subsection (3) to act as a temporary manager of the premises.</w:t>
      </w:r>
    </w:p>
    <w:p>
      <w:pPr>
        <w:pStyle w:val="Penstart"/>
      </w:pPr>
      <w:r>
        <w:tab/>
        <w:t>Penalty: a fine of $10 000.</w:t>
      </w:r>
    </w:p>
    <w:p>
      <w:pPr>
        <w:pStyle w:val="Subsection"/>
      </w:pPr>
      <w:r>
        <w:lastRenderedPageBreak/>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xml:space="preserve">, a </w:t>
      </w:r>
      <w:r>
        <w:t>licensee, an approved unrestricted manager or an approved restricted manager</w:t>
      </w:r>
      <w:r>
        <w:rPr>
          <w:snapToGrid w:val="0"/>
        </w:rPr>
        <w:t xml:space="preserv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appointment of </w:t>
      </w:r>
      <w:r>
        <w:rPr>
          <w:snapToGrid w:val="0"/>
        </w:rPr>
        <w:t>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t>deleted]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lastRenderedPageBreak/>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No. 12 of 1998 s. 71; amended: No. 73 of 2006 s. 69 and 110; No. 56 of 2010 s. 15 and 69; No. 9 of 2018 s. 52.] </w:t>
      </w:r>
    </w:p>
    <w:p>
      <w:pPr>
        <w:pStyle w:val="Heading5"/>
        <w:rPr>
          <w:snapToGrid w:val="0"/>
        </w:rPr>
      </w:pPr>
      <w:bookmarkStart w:id="320" w:name="_Toc131586458"/>
      <w:r>
        <w:rPr>
          <w:rStyle w:val="CharSectno"/>
        </w:rPr>
        <w:t>101</w:t>
      </w:r>
      <w:r>
        <w:rPr>
          <w:snapToGrid w:val="0"/>
        </w:rPr>
        <w:t>.</w:t>
      </w:r>
      <w:r>
        <w:rPr>
          <w:snapToGrid w:val="0"/>
        </w:rPr>
        <w:tab/>
        <w:t>Managers etc., liabilities of</w:t>
      </w:r>
      <w:bookmarkEnd w:id="320"/>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keepNext/>
        <w:rPr>
          <w:snapToGrid w:val="0"/>
        </w:rPr>
      </w:pPr>
      <w:r>
        <w:rPr>
          <w:snapToGrid w:val="0"/>
        </w:rPr>
        <w:lastRenderedPageBreak/>
        <w:tab/>
        <w:t>(b)</w:t>
      </w:r>
      <w:r>
        <w:rPr>
          <w:snapToGrid w:val="0"/>
        </w:rPr>
        <w:tab/>
        <w:t>to conduct, supervise or manage the business carried on there under the licence, other than in accordance with section 100,</w:t>
      </w:r>
    </w:p>
    <w:p>
      <w:pPr>
        <w:pStyle w:val="Subsection"/>
        <w:keepNext/>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No. 12 of 1998 s. 72; No. 84 of 2004 s. 80; No. 73 of 2006 s. 110; No. 56 of 2010 s. 25 and 69.] </w:t>
      </w:r>
    </w:p>
    <w:p>
      <w:pPr>
        <w:pStyle w:val="Heading4"/>
      </w:pPr>
      <w:bookmarkStart w:id="321" w:name="_Toc122336929"/>
      <w:bookmarkStart w:id="322" w:name="_Toc122342843"/>
      <w:bookmarkStart w:id="323" w:name="_Toc122513254"/>
      <w:bookmarkStart w:id="324" w:name="_Toc131519817"/>
      <w:bookmarkStart w:id="325" w:name="_Toc131520377"/>
      <w:bookmarkStart w:id="326" w:name="_Toc131586459"/>
      <w:r>
        <w:t>Subdivision 2 — Approval of managers</w:t>
      </w:r>
      <w:bookmarkEnd w:id="321"/>
      <w:bookmarkEnd w:id="322"/>
      <w:bookmarkEnd w:id="323"/>
      <w:bookmarkEnd w:id="324"/>
      <w:bookmarkEnd w:id="325"/>
      <w:bookmarkEnd w:id="326"/>
    </w:p>
    <w:p>
      <w:pPr>
        <w:pStyle w:val="Footnoteheading"/>
      </w:pPr>
      <w:r>
        <w:tab/>
        <w:t>[Heading inserted: No. 56 of 2010 s. 16.]</w:t>
      </w:r>
    </w:p>
    <w:p>
      <w:pPr>
        <w:pStyle w:val="Heading5"/>
      </w:pPr>
      <w:bookmarkStart w:id="327" w:name="_Toc131586460"/>
      <w:r>
        <w:rPr>
          <w:rStyle w:val="CharSectno"/>
        </w:rPr>
        <w:t>102A</w:t>
      </w:r>
      <w:r>
        <w:t>.</w:t>
      </w:r>
      <w:r>
        <w:tab/>
        <w:t>Terms used</w:t>
      </w:r>
      <w:bookmarkEnd w:id="327"/>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No. 56 of 2010 s. 16.]</w:t>
      </w:r>
    </w:p>
    <w:p>
      <w:pPr>
        <w:pStyle w:val="Heading5"/>
      </w:pPr>
      <w:bookmarkStart w:id="328" w:name="_Toc131586461"/>
      <w:r>
        <w:rPr>
          <w:rStyle w:val="CharSectno"/>
        </w:rPr>
        <w:t>102B</w:t>
      </w:r>
      <w:r>
        <w:t>.</w:t>
      </w:r>
      <w:r>
        <w:tab/>
        <w:t>Applications for and granting approvals</w:t>
      </w:r>
      <w:bookmarkEnd w:id="328"/>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lastRenderedPageBreak/>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No. 56 of 2010 s. 16.]</w:t>
      </w:r>
    </w:p>
    <w:p>
      <w:pPr>
        <w:pStyle w:val="Heading5"/>
        <w:spacing w:before="180"/>
      </w:pPr>
      <w:bookmarkStart w:id="329" w:name="_Toc131586462"/>
      <w:r>
        <w:rPr>
          <w:rStyle w:val="CharSectno"/>
        </w:rPr>
        <w:t>102C</w:t>
      </w:r>
      <w:r>
        <w:t>.</w:t>
      </w:r>
      <w:r>
        <w:tab/>
        <w:t>Conditions on manager’s approval</w:t>
      </w:r>
      <w:bookmarkEnd w:id="329"/>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No. 56 of 2010 s. 16.]</w:t>
      </w:r>
    </w:p>
    <w:p>
      <w:pPr>
        <w:pStyle w:val="Heading5"/>
        <w:spacing w:before="180"/>
      </w:pPr>
      <w:bookmarkStart w:id="330" w:name="_Toc131586463"/>
      <w:r>
        <w:rPr>
          <w:rStyle w:val="CharSectno"/>
        </w:rPr>
        <w:t>102D</w:t>
      </w:r>
      <w:r>
        <w:t>.</w:t>
      </w:r>
      <w:r>
        <w:tab/>
        <w:t>Duration of manager’s approval</w:t>
      </w:r>
      <w:bookmarkEnd w:id="330"/>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No. 56 of 2010 s. 16.]</w:t>
      </w:r>
    </w:p>
    <w:p>
      <w:pPr>
        <w:pStyle w:val="Heading5"/>
        <w:keepNext w:val="0"/>
        <w:keepLines w:val="0"/>
        <w:spacing w:before="180"/>
      </w:pPr>
      <w:bookmarkStart w:id="331" w:name="_Toc131586464"/>
      <w:r>
        <w:rPr>
          <w:rStyle w:val="CharSectno"/>
        </w:rPr>
        <w:t>102E</w:t>
      </w:r>
      <w:r>
        <w:t>.</w:t>
      </w:r>
      <w:r>
        <w:tab/>
        <w:t>Renewal of manager’s approval</w:t>
      </w:r>
      <w:bookmarkEnd w:id="331"/>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keepNext/>
      </w:pPr>
      <w:r>
        <w:lastRenderedPageBreak/>
        <w:tab/>
        <w:t>(b)</w:t>
      </w:r>
      <w:r>
        <w:tab/>
        <w:t>is to be accompanied by the prescribed fee.</w:t>
      </w:r>
    </w:p>
    <w:p>
      <w:pPr>
        <w:pStyle w:val="Footnotesection"/>
        <w:keepNext/>
      </w:pPr>
      <w:r>
        <w:tab/>
        <w:t>[Section 102E inserted: No. 56 of 2010 s. 16.]</w:t>
      </w:r>
    </w:p>
    <w:p>
      <w:pPr>
        <w:pStyle w:val="Heading5"/>
        <w:spacing w:before="180"/>
      </w:pPr>
      <w:bookmarkStart w:id="332" w:name="_Toc131586465"/>
      <w:r>
        <w:rPr>
          <w:rStyle w:val="CharSectno"/>
        </w:rPr>
        <w:t>102F</w:t>
      </w:r>
      <w:r>
        <w:t>.</w:t>
      </w:r>
      <w:r>
        <w:tab/>
        <w:t>Disciplinary action against approved managers</w:t>
      </w:r>
      <w:bookmarkEnd w:id="332"/>
    </w:p>
    <w:p>
      <w:pPr>
        <w:pStyle w:val="Subsection"/>
        <w:keepNext/>
        <w:spacing w:before="120"/>
        <w:rPr>
          <w:snapToGrid w:val="0"/>
        </w:rPr>
      </w:pPr>
      <w:r>
        <w:rPr>
          <w:snapToGrid w:val="0"/>
        </w:rPr>
        <w:tab/>
        <w:t>(1)</w:t>
      </w:r>
      <w:r>
        <w:rPr>
          <w:snapToGrid w:val="0"/>
        </w:rPr>
        <w:tab/>
        <w:t>There are grounds for taking action against an approved manager under this section if —</w:t>
      </w:r>
    </w:p>
    <w:p>
      <w:pPr>
        <w:pStyle w:val="Indenta"/>
        <w:keepNext/>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No. 56 of 2010 s. 16.]</w:t>
      </w:r>
    </w:p>
    <w:p>
      <w:pPr>
        <w:pStyle w:val="Heading5"/>
      </w:pPr>
      <w:bookmarkStart w:id="333" w:name="_Toc131586466"/>
      <w:r>
        <w:rPr>
          <w:rStyle w:val="CharSectno"/>
        </w:rPr>
        <w:lastRenderedPageBreak/>
        <w:t>102G</w:t>
      </w:r>
      <w:r>
        <w:t>.</w:t>
      </w:r>
      <w:r>
        <w:tab/>
        <w:t>Approval may be cancelled on request</w:t>
      </w:r>
      <w:bookmarkEnd w:id="333"/>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No. 56 of 2010 s. 16.]</w:t>
      </w:r>
    </w:p>
    <w:p>
      <w:pPr>
        <w:pStyle w:val="Heading4"/>
      </w:pPr>
      <w:bookmarkStart w:id="334" w:name="_Toc122336937"/>
      <w:bookmarkStart w:id="335" w:name="_Toc122342851"/>
      <w:bookmarkStart w:id="336" w:name="_Toc122513262"/>
      <w:bookmarkStart w:id="337" w:name="_Toc131519825"/>
      <w:bookmarkStart w:id="338" w:name="_Toc131520385"/>
      <w:bookmarkStart w:id="339" w:name="_Toc131586467"/>
      <w:r>
        <w:t>Subdivision 3 — General matters</w:t>
      </w:r>
      <w:bookmarkEnd w:id="334"/>
      <w:bookmarkEnd w:id="335"/>
      <w:bookmarkEnd w:id="336"/>
      <w:bookmarkEnd w:id="337"/>
      <w:bookmarkEnd w:id="338"/>
      <w:bookmarkEnd w:id="339"/>
    </w:p>
    <w:p>
      <w:pPr>
        <w:pStyle w:val="Footnoteheading"/>
      </w:pPr>
      <w:r>
        <w:tab/>
        <w:t>[Heading inserted: No. 56 of 2010 s. 17.]</w:t>
      </w:r>
    </w:p>
    <w:p>
      <w:pPr>
        <w:pStyle w:val="Heading5"/>
        <w:rPr>
          <w:snapToGrid w:val="0"/>
        </w:rPr>
      </w:pPr>
      <w:bookmarkStart w:id="340" w:name="_Toc131586468"/>
      <w:r>
        <w:rPr>
          <w:rStyle w:val="CharSectno"/>
        </w:rPr>
        <w:t>102</w:t>
      </w:r>
      <w:r>
        <w:rPr>
          <w:snapToGrid w:val="0"/>
        </w:rPr>
        <w:t>.</w:t>
      </w:r>
      <w:r>
        <w:rPr>
          <w:snapToGrid w:val="0"/>
        </w:rPr>
        <w:tab/>
        <w:t>Management and control of incorporated licensees, approvals required</w:t>
      </w:r>
      <w:bookmarkEnd w:id="340"/>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lastRenderedPageBreak/>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No. 73 of 2006 s. 70 and 110; No. 56 of 2010 s. 69.]</w:t>
      </w:r>
    </w:p>
    <w:p>
      <w:pPr>
        <w:pStyle w:val="Heading5"/>
        <w:spacing w:before="240"/>
        <w:rPr>
          <w:snapToGrid w:val="0"/>
        </w:rPr>
      </w:pPr>
      <w:bookmarkStart w:id="341" w:name="_Toc131586469"/>
      <w:r>
        <w:rPr>
          <w:rStyle w:val="CharSectno"/>
        </w:rPr>
        <w:t>103</w:t>
      </w:r>
      <w:r>
        <w:rPr>
          <w:snapToGrid w:val="0"/>
        </w:rPr>
        <w:t>.</w:t>
      </w:r>
      <w:r>
        <w:rPr>
          <w:snapToGrid w:val="0"/>
        </w:rPr>
        <w:tab/>
        <w:t>Owners of licensed premises to notify Director of certain matters</w:t>
      </w:r>
      <w:bookmarkEnd w:id="341"/>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No. 56 of 2010 s. 69.]</w:t>
      </w:r>
    </w:p>
    <w:p>
      <w:pPr>
        <w:pStyle w:val="Heading3"/>
        <w:keepLines/>
        <w:spacing w:before="180"/>
      </w:pPr>
      <w:bookmarkStart w:id="342" w:name="_Toc122336940"/>
      <w:bookmarkStart w:id="343" w:name="_Toc122342854"/>
      <w:bookmarkStart w:id="344" w:name="_Toc122513265"/>
      <w:bookmarkStart w:id="345" w:name="_Toc131519828"/>
      <w:bookmarkStart w:id="346" w:name="_Toc131520388"/>
      <w:bookmarkStart w:id="347" w:name="_Toc131586470"/>
      <w:r>
        <w:rPr>
          <w:rStyle w:val="CharDivNo"/>
        </w:rPr>
        <w:t>Division 3A</w:t>
      </w:r>
      <w:r>
        <w:t> — </w:t>
      </w:r>
      <w:r>
        <w:rPr>
          <w:rStyle w:val="CharDivText"/>
        </w:rPr>
        <w:t>Responsible practices in selling, supplying and serving liquor</w:t>
      </w:r>
      <w:bookmarkEnd w:id="342"/>
      <w:bookmarkEnd w:id="343"/>
      <w:bookmarkEnd w:id="344"/>
      <w:bookmarkEnd w:id="345"/>
      <w:bookmarkEnd w:id="346"/>
      <w:bookmarkEnd w:id="347"/>
    </w:p>
    <w:p>
      <w:pPr>
        <w:pStyle w:val="Footnoteheading"/>
        <w:keepNext/>
        <w:keepLines/>
      </w:pPr>
      <w:r>
        <w:tab/>
        <w:t>[Heading inserted: No. 73 of 2006 s. 71.]</w:t>
      </w:r>
    </w:p>
    <w:p>
      <w:pPr>
        <w:pStyle w:val="Heading5"/>
        <w:spacing w:before="180"/>
      </w:pPr>
      <w:bookmarkStart w:id="348" w:name="_Toc131586471"/>
      <w:r>
        <w:rPr>
          <w:rStyle w:val="CharSectno"/>
        </w:rPr>
        <w:t>103AA</w:t>
      </w:r>
      <w:r>
        <w:t>.</w:t>
      </w:r>
      <w:r>
        <w:tab/>
        <w:t>Register of responsible practices’ training</w:t>
      </w:r>
      <w:bookmarkEnd w:id="348"/>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lastRenderedPageBreak/>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No. 35 of 2015 s. 15.]</w:t>
      </w:r>
    </w:p>
    <w:p>
      <w:pPr>
        <w:pStyle w:val="Heading5"/>
        <w:spacing w:before="180"/>
      </w:pPr>
      <w:bookmarkStart w:id="349" w:name="_Toc131586472"/>
      <w:r>
        <w:rPr>
          <w:rStyle w:val="CharSectno"/>
        </w:rPr>
        <w:t>103A</w:t>
      </w:r>
      <w:r>
        <w:t>.</w:t>
      </w:r>
      <w:r>
        <w:tab/>
        <w:t>Regulations about training people in responsible practices</w:t>
      </w:r>
      <w:bookmarkEnd w:id="349"/>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w:t>
      </w:r>
      <w:r>
        <w:lastRenderedPageBreak/>
        <w:t xml:space="preserve">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No. 73 of 2006 s. 71; amended: No. 56 of 2010 s. 25 and 50; No. 35 of 2015 s. 16.]</w:t>
      </w:r>
    </w:p>
    <w:p>
      <w:pPr>
        <w:pStyle w:val="Heading3"/>
        <w:spacing w:before="180"/>
        <w:rPr>
          <w:snapToGrid w:val="0"/>
        </w:rPr>
      </w:pPr>
      <w:bookmarkStart w:id="350" w:name="_Toc122336943"/>
      <w:bookmarkStart w:id="351" w:name="_Toc122342857"/>
      <w:bookmarkStart w:id="352" w:name="_Toc122513268"/>
      <w:bookmarkStart w:id="353" w:name="_Toc131519831"/>
      <w:bookmarkStart w:id="354" w:name="_Toc131520391"/>
      <w:bookmarkStart w:id="355" w:name="_Toc131586473"/>
      <w:r>
        <w:rPr>
          <w:rStyle w:val="CharDivNo"/>
        </w:rPr>
        <w:t>Division 4</w:t>
      </w:r>
      <w:r>
        <w:rPr>
          <w:snapToGrid w:val="0"/>
        </w:rPr>
        <w:t> — </w:t>
      </w:r>
      <w:r>
        <w:rPr>
          <w:rStyle w:val="CharDivText"/>
        </w:rPr>
        <w:t>Profit sharing</w:t>
      </w:r>
      <w:bookmarkEnd w:id="350"/>
      <w:bookmarkEnd w:id="351"/>
      <w:bookmarkEnd w:id="352"/>
      <w:bookmarkEnd w:id="353"/>
      <w:bookmarkEnd w:id="354"/>
      <w:bookmarkEnd w:id="355"/>
      <w:r>
        <w:rPr>
          <w:rStyle w:val="CharDivText"/>
        </w:rPr>
        <w:t xml:space="preserve"> </w:t>
      </w:r>
    </w:p>
    <w:p>
      <w:pPr>
        <w:pStyle w:val="Heading5"/>
        <w:spacing w:before="180"/>
        <w:rPr>
          <w:snapToGrid w:val="0"/>
        </w:rPr>
      </w:pPr>
      <w:bookmarkStart w:id="356" w:name="_Toc131586474"/>
      <w:r>
        <w:rPr>
          <w:rStyle w:val="CharSectno"/>
        </w:rPr>
        <w:t>104</w:t>
      </w:r>
      <w:r>
        <w:rPr>
          <w:snapToGrid w:val="0"/>
        </w:rPr>
        <w:t>.</w:t>
      </w:r>
      <w:r>
        <w:rPr>
          <w:snapToGrid w:val="0"/>
        </w:rPr>
        <w:tab/>
        <w:t>Profit sharing etc. prohibited without approval</w:t>
      </w:r>
      <w:bookmarkEnd w:id="356"/>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lastRenderedPageBreak/>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lastRenderedPageBreak/>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No. 12 of 1998 s. 73; No. 73 of 2006 s. 72, 92(2) and 110; No. 56 of 2010 s. 69.] </w:t>
      </w:r>
    </w:p>
    <w:p>
      <w:pPr>
        <w:pStyle w:val="Heading3"/>
        <w:rPr>
          <w:snapToGrid w:val="0"/>
        </w:rPr>
      </w:pPr>
      <w:bookmarkStart w:id="357" w:name="_Toc122336945"/>
      <w:bookmarkStart w:id="358" w:name="_Toc122342859"/>
      <w:bookmarkStart w:id="359" w:name="_Toc122513270"/>
      <w:bookmarkStart w:id="360" w:name="_Toc131519833"/>
      <w:bookmarkStart w:id="361" w:name="_Toc131520393"/>
      <w:bookmarkStart w:id="362" w:name="_Toc131586475"/>
      <w:r>
        <w:rPr>
          <w:rStyle w:val="CharDivNo"/>
        </w:rPr>
        <w:t>Division 5</w:t>
      </w:r>
      <w:r>
        <w:rPr>
          <w:snapToGrid w:val="0"/>
        </w:rPr>
        <w:t> — </w:t>
      </w:r>
      <w:r>
        <w:rPr>
          <w:rStyle w:val="CharDivText"/>
        </w:rPr>
        <w:t>Lodgers</w:t>
      </w:r>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131586476"/>
      <w:r>
        <w:rPr>
          <w:rStyle w:val="CharSectno"/>
        </w:rPr>
        <w:t>105</w:t>
      </w:r>
      <w:r>
        <w:rPr>
          <w:snapToGrid w:val="0"/>
        </w:rPr>
        <w:t>.</w:t>
      </w:r>
      <w:r>
        <w:rPr>
          <w:snapToGrid w:val="0"/>
        </w:rPr>
        <w:tab/>
        <w:t>Persons deemed lodgers of licensed premises in some cases</w:t>
      </w:r>
      <w:bookmarkEnd w:id="363"/>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No. 23 of 2000 s. 7; No. 73 of 2006 s. 73 and 108.]</w:t>
      </w:r>
    </w:p>
    <w:p>
      <w:pPr>
        <w:pStyle w:val="Heading5"/>
        <w:spacing w:before="180"/>
        <w:rPr>
          <w:snapToGrid w:val="0"/>
        </w:rPr>
      </w:pPr>
      <w:bookmarkStart w:id="364" w:name="_Toc131586477"/>
      <w:r>
        <w:rPr>
          <w:rStyle w:val="CharSectno"/>
        </w:rPr>
        <w:t>106</w:t>
      </w:r>
      <w:r>
        <w:rPr>
          <w:snapToGrid w:val="0"/>
        </w:rPr>
        <w:t>.</w:t>
      </w:r>
      <w:r>
        <w:rPr>
          <w:snapToGrid w:val="0"/>
        </w:rPr>
        <w:tab/>
        <w:t>Liquor supplied to lodgers etc., conditions applying to</w:t>
      </w:r>
      <w:bookmarkEnd w:id="364"/>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lastRenderedPageBreak/>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No. 12 of 1998 s. 74; No. 73 of 2006 s. 74 and 110; No. 56 of 2010 s. 51.] </w:t>
      </w:r>
    </w:p>
    <w:p>
      <w:pPr>
        <w:pStyle w:val="Heading5"/>
        <w:rPr>
          <w:snapToGrid w:val="0"/>
        </w:rPr>
      </w:pPr>
      <w:bookmarkStart w:id="365" w:name="_Toc131586478"/>
      <w:r>
        <w:rPr>
          <w:rStyle w:val="CharSectno"/>
        </w:rPr>
        <w:t>107</w:t>
      </w:r>
      <w:r>
        <w:rPr>
          <w:snapToGrid w:val="0"/>
        </w:rPr>
        <w:t>.</w:t>
      </w:r>
      <w:r>
        <w:rPr>
          <w:snapToGrid w:val="0"/>
        </w:rPr>
        <w:tab/>
        <w:t>Loss of lodger’s property, licensee’s liability for</w:t>
      </w:r>
      <w:bookmarkEnd w:id="365"/>
    </w:p>
    <w:p>
      <w:pPr>
        <w:pStyle w:val="Subsection"/>
        <w:keepNext/>
        <w:rPr>
          <w:snapToGrid w:val="0"/>
        </w:rPr>
      </w:pPr>
      <w:r>
        <w:rPr>
          <w:snapToGrid w:val="0"/>
        </w:rPr>
        <w:tab/>
      </w:r>
      <w:r>
        <w:rPr>
          <w:snapToGrid w:val="0"/>
        </w:rPr>
        <w:tab/>
        <w:t xml:space="preserve">A licensee is not liable, beyond such amount as may be prescribed, to a lodger for loss of or damage to the property of </w:t>
      </w:r>
      <w:r>
        <w:rPr>
          <w:snapToGrid w:val="0"/>
        </w:rPr>
        <w:lastRenderedPageBreak/>
        <w:t>the lodger while the property is on the licensed premises, or premises to which section 105(3) applies, unless — </w:t>
      </w:r>
    </w:p>
    <w:p>
      <w:pPr>
        <w:pStyle w:val="Indenta"/>
        <w:keepNext/>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366" w:name="_Toc122336949"/>
      <w:bookmarkStart w:id="367" w:name="_Toc122342863"/>
      <w:bookmarkStart w:id="368" w:name="_Toc122513274"/>
      <w:bookmarkStart w:id="369" w:name="_Toc131519837"/>
      <w:bookmarkStart w:id="370" w:name="_Toc131520397"/>
      <w:bookmarkStart w:id="371" w:name="_Toc131586479"/>
      <w:r>
        <w:rPr>
          <w:rStyle w:val="CharDivNo"/>
        </w:rPr>
        <w:t>Division 6</w:t>
      </w:r>
      <w:r>
        <w:rPr>
          <w:snapToGrid w:val="0"/>
        </w:rPr>
        <w:t> — </w:t>
      </w:r>
      <w:r>
        <w:rPr>
          <w:rStyle w:val="CharDivText"/>
        </w:rPr>
        <w:t>The sale and consumption of liquor, etc.</w:t>
      </w:r>
      <w:bookmarkEnd w:id="366"/>
      <w:bookmarkEnd w:id="367"/>
      <w:bookmarkEnd w:id="368"/>
      <w:bookmarkEnd w:id="369"/>
      <w:bookmarkEnd w:id="370"/>
      <w:bookmarkEnd w:id="371"/>
      <w:r>
        <w:rPr>
          <w:rStyle w:val="CharDivText"/>
        </w:rPr>
        <w:t xml:space="preserve"> </w:t>
      </w:r>
    </w:p>
    <w:p>
      <w:pPr>
        <w:pStyle w:val="Heading5"/>
      </w:pPr>
      <w:bookmarkStart w:id="372" w:name="_Toc131586480"/>
      <w:r>
        <w:rPr>
          <w:rStyle w:val="CharSectno"/>
        </w:rPr>
        <w:t>108</w:t>
      </w:r>
      <w:r>
        <w:t>.</w:t>
      </w:r>
      <w:r>
        <w:tab/>
        <w:t>Certain licensees to exhibit charges for meals and liquor</w:t>
      </w:r>
      <w:bookmarkEnd w:id="37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No. 73 of 2006 s. 75; amended: No. 56 of 2010 s. 69.]</w:t>
      </w:r>
    </w:p>
    <w:p>
      <w:pPr>
        <w:pStyle w:val="Heading5"/>
        <w:spacing w:before="240"/>
        <w:rPr>
          <w:snapToGrid w:val="0"/>
        </w:rPr>
      </w:pPr>
      <w:bookmarkStart w:id="373" w:name="_Toc131586481"/>
      <w:r>
        <w:rPr>
          <w:rStyle w:val="CharSectno"/>
        </w:rPr>
        <w:lastRenderedPageBreak/>
        <w:t>109</w:t>
      </w:r>
      <w:r>
        <w:rPr>
          <w:snapToGrid w:val="0"/>
        </w:rPr>
        <w:t>.</w:t>
      </w:r>
      <w:r>
        <w:rPr>
          <w:snapToGrid w:val="0"/>
        </w:rPr>
        <w:tab/>
        <w:t>Sale of liquor, offences as to</w:t>
      </w:r>
      <w:bookmarkEnd w:id="373"/>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lastRenderedPageBreak/>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keepLines/>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lastRenderedPageBreak/>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No. 84 of 2004 s. 80 and 82; No. 73 of 2006 s. 76 and 110; No. 56 of 2010 s. 52.] </w:t>
      </w:r>
    </w:p>
    <w:p>
      <w:pPr>
        <w:pStyle w:val="Heading5"/>
      </w:pPr>
      <w:bookmarkStart w:id="374" w:name="_Toc131586482"/>
      <w:r>
        <w:rPr>
          <w:rStyle w:val="CharSectno"/>
        </w:rPr>
        <w:t>109A</w:t>
      </w:r>
      <w:r>
        <w:t>.</w:t>
      </w:r>
      <w:r>
        <w:tab/>
        <w:t>Offence to carry liquor in excess of prescribed quantity in prescribed area of State</w:t>
      </w:r>
      <w:bookmarkEnd w:id="374"/>
    </w:p>
    <w:p>
      <w:pPr>
        <w:pStyle w:val="Subsection"/>
      </w:pPr>
      <w:r>
        <w:tab/>
        <w:t>(1)</w:t>
      </w:r>
      <w:r>
        <w:tab/>
        <w:t xml:space="preserve">In this section — </w:t>
      </w:r>
    </w:p>
    <w:p>
      <w:pPr>
        <w:pStyle w:val="Defstart"/>
      </w:pPr>
      <w:r>
        <w:tab/>
      </w:r>
      <w:r>
        <w:rPr>
          <w:rStyle w:val="CharDefText"/>
        </w:rPr>
        <w:t>driver</w:t>
      </w:r>
      <w:r>
        <w:t>, in relation to a vehicle, means a person who has control over the steering, movement or propulsion of the vehicle;</w:t>
      </w:r>
    </w:p>
    <w:p>
      <w:pPr>
        <w:pStyle w:val="Defstart"/>
      </w:pPr>
      <w:r>
        <w:tab/>
      </w:r>
      <w:r>
        <w:rPr>
          <w:rStyle w:val="CharDefText"/>
        </w:rPr>
        <w:t>vehicle</w:t>
      </w:r>
      <w:r>
        <w:t>, without limiting the definition of that term in section 3(1), includes a trailer, semi</w:t>
      </w:r>
      <w:r>
        <w:noBreakHyphen/>
        <w:t>trailer or caravan attached to another vehicle.</w:t>
      </w:r>
    </w:p>
    <w:p>
      <w:pPr>
        <w:pStyle w:val="Subsection"/>
      </w:pPr>
      <w:r>
        <w:tab/>
        <w:t>(2)</w:t>
      </w:r>
      <w:r>
        <w:tab/>
        <w:t>A person who, in a prescribed area of the State, carries a kind of liquor in a quantity that exceeds the quantity prescribed for that kind of liquor commits an offence.</w:t>
      </w:r>
    </w:p>
    <w:p>
      <w:pPr>
        <w:pStyle w:val="Penstart"/>
      </w:pPr>
      <w:r>
        <w:tab/>
        <w:t>Penalty for this subsection: a fine of $10 000.</w:t>
      </w:r>
    </w:p>
    <w:p>
      <w:pPr>
        <w:pStyle w:val="Subsection"/>
      </w:pPr>
      <w:r>
        <w:tab/>
        <w:t>(3)</w:t>
      </w:r>
      <w:r>
        <w:tab/>
        <w:t>For the purposes of subsection (2), if liquor is carried in or on a vehicle the driver of the vehicle is taken to be the person who carries the liquor.</w:t>
      </w:r>
    </w:p>
    <w:p>
      <w:pPr>
        <w:pStyle w:val="Subsection"/>
      </w:pPr>
      <w:r>
        <w:tab/>
        <w:t>(4)</w:t>
      </w:r>
      <w:r>
        <w:tab/>
        <w:t xml:space="preserve">It is a defence to a charge of an offence under subsection (2) to prove that the liquor was carried — </w:t>
      </w:r>
    </w:p>
    <w:p>
      <w:pPr>
        <w:pStyle w:val="Indenta"/>
      </w:pPr>
      <w:r>
        <w:tab/>
        <w:t>(a)</w:t>
      </w:r>
      <w:r>
        <w:tab/>
        <w:t>for the purpose of a sale that may lawfully be made; or</w:t>
      </w:r>
    </w:p>
    <w:p>
      <w:pPr>
        <w:pStyle w:val="Indenta"/>
      </w:pPr>
      <w:r>
        <w:tab/>
        <w:t>(b)</w:t>
      </w:r>
      <w:r>
        <w:tab/>
        <w:t>by a person of a prescribed class; or</w:t>
      </w:r>
    </w:p>
    <w:p>
      <w:pPr>
        <w:pStyle w:val="Indenta"/>
      </w:pPr>
      <w:r>
        <w:tab/>
        <w:t>(c)</w:t>
      </w:r>
      <w:r>
        <w:tab/>
        <w:t>in or on a vehicle of a prescribed class; or</w:t>
      </w:r>
    </w:p>
    <w:p>
      <w:pPr>
        <w:pStyle w:val="Indenta"/>
      </w:pPr>
      <w:r>
        <w:lastRenderedPageBreak/>
        <w:tab/>
        <w:t>(d)</w:t>
      </w:r>
      <w:r>
        <w:tab/>
        <w:t>in prescribed circumstances.</w:t>
      </w:r>
    </w:p>
    <w:p>
      <w:pPr>
        <w:pStyle w:val="Subsection"/>
      </w:pPr>
      <w:r>
        <w:tab/>
        <w:t>(5)</w:t>
      </w:r>
      <w:r>
        <w:tab/>
        <w:t>Regulations made for the purposes of subsection (2) may prescribe different quantities for different areas of the State.</w:t>
      </w:r>
    </w:p>
    <w:p>
      <w:pPr>
        <w:pStyle w:val="Footnotesection"/>
        <w:ind w:left="890" w:hanging="890"/>
      </w:pPr>
      <w:r>
        <w:tab/>
        <w:t>[Section 109A inserted: No. 9 of 2018 s. 53.]</w:t>
      </w:r>
    </w:p>
    <w:p>
      <w:pPr>
        <w:pStyle w:val="Heading5"/>
        <w:keepLines w:val="0"/>
        <w:spacing w:before="240"/>
        <w:rPr>
          <w:snapToGrid w:val="0"/>
        </w:rPr>
      </w:pPr>
      <w:bookmarkStart w:id="375" w:name="_Toc131586483"/>
      <w:r>
        <w:rPr>
          <w:rStyle w:val="CharSectno"/>
        </w:rPr>
        <w:t>110</w:t>
      </w:r>
      <w:r>
        <w:rPr>
          <w:snapToGrid w:val="0"/>
        </w:rPr>
        <w:t>.</w:t>
      </w:r>
      <w:r>
        <w:rPr>
          <w:snapToGrid w:val="0"/>
        </w:rPr>
        <w:tab/>
        <w:t>Licensed premises and sports arenas, offences as to</w:t>
      </w:r>
      <w:bookmarkEnd w:id="375"/>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lastRenderedPageBreak/>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keepNext/>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keepNext/>
      </w:pPr>
      <w:r>
        <w:tab/>
        <w:t>(4A)</w:t>
      </w:r>
      <w:r>
        <w:tab/>
        <w:t>A person attending a public event at a sports arena commits an offence if, without the consent of the licensee, the person —</w:t>
      </w:r>
    </w:p>
    <w:p>
      <w:pPr>
        <w:pStyle w:val="Indenta"/>
        <w:keepNext/>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lastRenderedPageBreak/>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lastRenderedPageBreak/>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pPr>
      <w:r>
        <w:tab/>
        <w:t>(6A)</w:t>
      </w:r>
      <w:r>
        <w:tab/>
        <w:t xml:space="preserve">If, under a licence, wine is sold to a person (the </w:t>
      </w:r>
      <w:r>
        <w:rPr>
          <w:rStyle w:val="CharDefText"/>
        </w:rPr>
        <w:t>purchaser</w:t>
      </w:r>
      <w:r>
        <w:t>) for consumption on the licensed premises ancillary to a meal provided by the licensee, then, despite any other provision of this Act, it is lawful for the purchaser subsequently to take from the licensed premises any opened container of the wine if its contents have been partially consumed.</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No. 12 of 1998 s. 76; No. 73 of 2006 s. 77 and 110; No. 56 of 2010 s. 53 and 69; No. 35 of 2015 s. 17; No. 9 of 2018 s. 54.] </w:t>
      </w:r>
    </w:p>
    <w:p>
      <w:pPr>
        <w:pStyle w:val="Heading5"/>
        <w:rPr>
          <w:snapToGrid w:val="0"/>
        </w:rPr>
      </w:pPr>
      <w:bookmarkStart w:id="376" w:name="_Toc131586484"/>
      <w:r>
        <w:rPr>
          <w:rStyle w:val="CharSectno"/>
        </w:rPr>
        <w:t>111</w:t>
      </w:r>
      <w:r>
        <w:rPr>
          <w:snapToGrid w:val="0"/>
        </w:rPr>
        <w:t>.</w:t>
      </w:r>
      <w:r>
        <w:rPr>
          <w:snapToGrid w:val="0"/>
        </w:rPr>
        <w:tab/>
        <w:t>Trading outside permitted hours, offences as to</w:t>
      </w:r>
      <w:bookmarkEnd w:id="376"/>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 xml:space="preserve">on or from licensed premises sells or otherwise makes available, whether personally or by an employee or </w:t>
      </w:r>
      <w:r>
        <w:rPr>
          <w:snapToGrid w:val="0"/>
        </w:rPr>
        <w:lastRenderedPageBreak/>
        <w:t>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No. 12 of 1998 s. 77; No. 73 of 2006 s. 110; No. 56 of 2010 s. 54 and 69.] </w:t>
      </w:r>
    </w:p>
    <w:p>
      <w:pPr>
        <w:pStyle w:val="Heading5"/>
        <w:keepLines w:val="0"/>
        <w:rPr>
          <w:snapToGrid w:val="0"/>
        </w:rPr>
      </w:pPr>
      <w:bookmarkStart w:id="377" w:name="_Toc131586485"/>
      <w:r>
        <w:rPr>
          <w:rStyle w:val="CharSectno"/>
        </w:rPr>
        <w:lastRenderedPageBreak/>
        <w:t>112</w:t>
      </w:r>
      <w:r>
        <w:rPr>
          <w:snapToGrid w:val="0"/>
        </w:rPr>
        <w:t>.</w:t>
      </w:r>
      <w:r>
        <w:rPr>
          <w:snapToGrid w:val="0"/>
        </w:rPr>
        <w:tab/>
        <w:t>Exceptions to s. 109, 110 and 111</w:t>
      </w:r>
      <w:bookmarkEnd w:id="377"/>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 xml:space="preserve">during the first </w:t>
      </w:r>
      <w:r>
        <w:t>30</w:t>
      </w:r>
      <w:r>
        <w:rPr>
          <w:snapToGrid w:val="0"/>
        </w:rPr>
        <w:t xml:space="preserve">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 xml:space="preserve">the supply of liquor for consumption there, to persons employed for the purpose of the business carried on under the licence, at the expense of </w:t>
      </w:r>
      <w:r>
        <w:rPr>
          <w:snapToGrid w:val="0"/>
        </w:rPr>
        <w:lastRenderedPageBreak/>
        <w:t>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No. 12 of 1998 s. 78; No. 84 of 2004 s. 80; No. 9 of 2018 s. 55.] </w:t>
      </w:r>
    </w:p>
    <w:p>
      <w:pPr>
        <w:pStyle w:val="Heading5"/>
        <w:keepNext w:val="0"/>
        <w:keepLines w:val="0"/>
        <w:rPr>
          <w:snapToGrid w:val="0"/>
        </w:rPr>
      </w:pPr>
      <w:bookmarkStart w:id="378" w:name="_Toc131586486"/>
      <w:r>
        <w:rPr>
          <w:rStyle w:val="CharSectno"/>
        </w:rPr>
        <w:t>113</w:t>
      </w:r>
      <w:r>
        <w:rPr>
          <w:snapToGrid w:val="0"/>
        </w:rPr>
        <w:t>.</w:t>
      </w:r>
      <w:r>
        <w:rPr>
          <w:snapToGrid w:val="0"/>
        </w:rPr>
        <w:tab/>
        <w:t>Offence under s. 109, 110 or 111, finding as to unlawful dealing in liquor; forfeiture of liquor</w:t>
      </w:r>
      <w:bookmarkEnd w:id="378"/>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No. 6 of 1993 s. 11; No. 49 of 1996 s. 64; No. 59 of 2006 s. 54; No. 77 of 2006 s. 4.]</w:t>
      </w:r>
    </w:p>
    <w:p>
      <w:pPr>
        <w:pStyle w:val="Heading5"/>
      </w:pPr>
      <w:bookmarkStart w:id="379" w:name="_Toc131586487"/>
      <w:r>
        <w:rPr>
          <w:rStyle w:val="CharSectno"/>
        </w:rPr>
        <w:t>113A</w:t>
      </w:r>
      <w:r>
        <w:t>.</w:t>
      </w:r>
      <w:r>
        <w:tab/>
        <w:t>Websites of some licensees, information to be displayed on</w:t>
      </w:r>
      <w:bookmarkEnd w:id="379"/>
    </w:p>
    <w:p>
      <w:pPr>
        <w:pStyle w:val="Subsection"/>
        <w:keepNext/>
      </w:pPr>
      <w:r>
        <w:tab/>
      </w:r>
      <w:r>
        <w:tab/>
      </w:r>
      <w:r>
        <w:rPr>
          <w:snapToGrid w:val="0"/>
        </w:rPr>
        <w:t>Where</w:t>
      </w:r>
      <w:r>
        <w:t xml:space="preserve"> — </w:t>
      </w:r>
    </w:p>
    <w:p>
      <w:pPr>
        <w:pStyle w:val="Indenta"/>
        <w:keepNext/>
      </w:pPr>
      <w:r>
        <w:tab/>
        <w:t>(a)</w:t>
      </w:r>
      <w:r>
        <w:tab/>
        <w:t xml:space="preserve">an internet website is maintained by or on behalf of a licensee for the purpose of advertising, promoting or </w:t>
      </w:r>
      <w:r>
        <w:lastRenderedPageBreak/>
        <w:t xml:space="preserve">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No. 73 of 2006 s. 78; amended: No. 56 of 2010 s. 69.]</w:t>
      </w:r>
    </w:p>
    <w:p>
      <w:pPr>
        <w:pStyle w:val="Heading5"/>
        <w:rPr>
          <w:snapToGrid w:val="0"/>
        </w:rPr>
      </w:pPr>
      <w:bookmarkStart w:id="380" w:name="_Toc131586488"/>
      <w:r>
        <w:rPr>
          <w:rStyle w:val="CharSectno"/>
        </w:rPr>
        <w:t>114</w:t>
      </w:r>
      <w:r>
        <w:rPr>
          <w:snapToGrid w:val="0"/>
        </w:rPr>
        <w:t>.</w:t>
      </w:r>
      <w:r>
        <w:rPr>
          <w:snapToGrid w:val="0"/>
        </w:rPr>
        <w:tab/>
        <w:t>Closure of licensed premises, police powers as to</w:t>
      </w:r>
      <w:bookmarkEnd w:id="380"/>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 xml:space="preserve">It is not an offence against subsection (1) for a licensee, or the employee or agent of a licensee, to permit a lodger, or a person having lawful business (other than the purchase or obtaining of </w:t>
      </w:r>
      <w:r>
        <w:rPr>
          <w:snapToGrid w:val="0"/>
        </w:rPr>
        <w:lastRenderedPageBreak/>
        <w:t>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No. 12 of 1998 s. 79; No. 73 of 2006 s. 79, 109 and 110; No. 56 of 2010 s. 55.] </w:t>
      </w:r>
    </w:p>
    <w:p>
      <w:pPr>
        <w:pStyle w:val="Heading5"/>
        <w:rPr>
          <w:snapToGrid w:val="0"/>
        </w:rPr>
      </w:pPr>
      <w:bookmarkStart w:id="381" w:name="_Toc131586489"/>
      <w:r>
        <w:rPr>
          <w:rStyle w:val="CharSectno"/>
        </w:rPr>
        <w:t>115</w:t>
      </w:r>
      <w:r>
        <w:rPr>
          <w:snapToGrid w:val="0"/>
        </w:rPr>
        <w:t>.</w:t>
      </w:r>
      <w:r>
        <w:rPr>
          <w:snapToGrid w:val="0"/>
        </w:rPr>
        <w:tab/>
        <w:t>Drunk etc. people, offences as to, refusal of entry to etc.</w:t>
      </w:r>
      <w:bookmarkEnd w:id="381"/>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Penalty for this subsection:</w:t>
      </w:r>
    </w:p>
    <w:p>
      <w:pPr>
        <w:pStyle w:val="Penpara"/>
      </w:pPr>
      <w:r>
        <w:tab/>
        <w:t>(a)</w:t>
      </w:r>
      <w:r>
        <w:tab/>
        <w:t>for the licensee or a manager, a fine of $10 000;</w:t>
      </w:r>
    </w:p>
    <w:p>
      <w:pPr>
        <w:pStyle w:val="Penpara"/>
      </w:pPr>
      <w:r>
        <w:tab/>
        <w:t>(b)</w:t>
      </w:r>
      <w:r>
        <w:tab/>
        <w:t>for an employee or agent, a fine of $4 000.</w:t>
      </w:r>
    </w:p>
    <w:p>
      <w:pPr>
        <w:pStyle w:val="Subsection"/>
        <w:keepNext/>
        <w:spacing w:before="120"/>
        <w:rPr>
          <w:snapToGrid w:val="0"/>
        </w:rPr>
      </w:pPr>
      <w:r>
        <w:rPr>
          <w:snapToGrid w:val="0"/>
        </w:rPr>
        <w:lastRenderedPageBreak/>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Penalty for this subsection:</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 xml:space="preserve">if the requirement under paragraph (b) is not complied with — an authorised person, or any other person on the request of an authorised person, may remove the person </w:t>
      </w:r>
      <w:r>
        <w:lastRenderedPageBreak/>
        <w:t>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lastRenderedPageBreak/>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pPr>
      <w:r>
        <w:tab/>
        <w:t>(4B)</w:t>
      </w:r>
      <w:r>
        <w:tab/>
        <w:t>A person commits an offence if the person does not leave licensed premises or a part of licensed premises after being required under subsection (4)(b) to do so.</w:t>
      </w:r>
    </w:p>
    <w:p>
      <w:pPr>
        <w:pStyle w:val="Penstart"/>
      </w:pPr>
      <w:r>
        <w:tab/>
        <w:t>Penalty for this subsection: a fine of $5 000.</w:t>
      </w:r>
    </w:p>
    <w:p>
      <w:pPr>
        <w:pStyle w:val="Subsection"/>
        <w:keepNext/>
        <w:rPr>
          <w:snapToGrid w:val="0"/>
        </w:rPr>
      </w:pPr>
      <w:r>
        <w:rPr>
          <w:snapToGrid w:val="0"/>
        </w:rPr>
        <w:tab/>
        <w:t>(5)</w:t>
      </w:r>
      <w:r>
        <w:rPr>
          <w:snapToGrid w:val="0"/>
        </w:rPr>
        <w:tab/>
      </w:r>
      <w:r>
        <w:t>A person commits an offence if the person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w:t>
      </w:r>
    </w:p>
    <w:p>
      <w:pPr>
        <w:pStyle w:val="Ednotepara"/>
      </w:pPr>
      <w:r>
        <w:tab/>
        <w:t>[(c)</w:t>
      </w:r>
      <w:r>
        <w:tab/>
        <w:t>deleted]</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lastRenderedPageBreak/>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for this subsection: a fine of $5 000.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r>
      <w:r>
        <w:t>Penalty for this subsection:</w:t>
      </w:r>
      <w:r>
        <w:rPr>
          <w:snapToGrid w:val="0"/>
        </w:rPr>
        <w:t xml:space="preserve">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No. 12 of 1998 s. 80; No. 35 of 2003 s. 173(3); No. 73 of 2006 s. 80, 109 and 110; No. 56 of 2010 s. 25, 56 and 69; No. 9 of 2018 s. 56.] </w:t>
      </w:r>
    </w:p>
    <w:p>
      <w:pPr>
        <w:pStyle w:val="Heading5"/>
      </w:pPr>
      <w:bookmarkStart w:id="382" w:name="_Toc131586490"/>
      <w:r>
        <w:rPr>
          <w:rStyle w:val="CharSectno"/>
        </w:rPr>
        <w:t>115AA</w:t>
      </w:r>
      <w:r>
        <w:t>.</w:t>
      </w:r>
      <w:r>
        <w:tab/>
        <w:t>Banning people from licensed premises, Commissioner of Police’s power for</w:t>
      </w:r>
      <w:bookmarkEnd w:id="382"/>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 xml:space="preserve">The Commissioner of Police may give a notice to a person prohibiting the person from entering specified licensed premises, or a specified class of licensed premises, if the Commissioner believes, on reasonable grounds, that the person </w:t>
      </w:r>
      <w:r>
        <w:lastRenderedPageBreak/>
        <w:t>has, on licensed premises or in the vicinity of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(7B)</w:t>
      </w:r>
      <w:r>
        <w:tab/>
        <w:t>The reference in subsection (7A) to performing duties relating to the person’s work does not include attending a function associated with the person’s work that is held on the premises.</w:t>
      </w:r>
    </w:p>
    <w:p>
      <w:pPr>
        <w:pStyle w:val="Subsection"/>
      </w:pPr>
      <w:r>
        <w:tab/>
        <w:t>(7)</w:t>
      </w:r>
      <w:r>
        <w:tab/>
        <w:t>The Commissioner of Police may revoke a notice under subsection (2) by giving to the person a notice of revocation.</w:t>
      </w:r>
    </w:p>
    <w:p>
      <w:pPr>
        <w:pStyle w:val="Subsection"/>
        <w:keepNext/>
      </w:pPr>
      <w:r>
        <w:lastRenderedPageBreak/>
        <w:tab/>
        <w:t>(8)</w:t>
      </w:r>
      <w:r>
        <w:tab/>
        <w:t>The notice of revocation is to be in a form approved by the Director.</w:t>
      </w:r>
    </w:p>
    <w:p>
      <w:pPr>
        <w:pStyle w:val="Footnotesection"/>
        <w:keepNext/>
      </w:pPr>
      <w:r>
        <w:tab/>
        <w:t>[Section 115AA inserted: No. 56 of 2010 s. 30; amended: No. 9 of 2018 s. 57.]</w:t>
      </w:r>
    </w:p>
    <w:p>
      <w:pPr>
        <w:pStyle w:val="Heading5"/>
      </w:pPr>
      <w:bookmarkStart w:id="383" w:name="_Toc131586491"/>
      <w:r>
        <w:rPr>
          <w:rStyle w:val="CharSectno"/>
        </w:rPr>
        <w:t>115AB</w:t>
      </w:r>
      <w:r>
        <w:t>.</w:t>
      </w:r>
      <w:r>
        <w:tab/>
        <w:t>Delegation by Commissioner of Police</w:t>
      </w:r>
      <w:bookmarkEnd w:id="383"/>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the Commissioner of Police to perform the duty through an officer or agent.</w:t>
      </w:r>
    </w:p>
    <w:p>
      <w:pPr>
        <w:pStyle w:val="Footnotesection"/>
      </w:pPr>
      <w:r>
        <w:tab/>
        <w:t>[Section 115AB inserted: No. 56 of 2010 s. 30.]</w:t>
      </w:r>
    </w:p>
    <w:p>
      <w:pPr>
        <w:pStyle w:val="Heading5"/>
      </w:pPr>
      <w:bookmarkStart w:id="384" w:name="_Toc131586492"/>
      <w:r>
        <w:rPr>
          <w:rStyle w:val="CharSectno"/>
        </w:rPr>
        <w:t>115AC</w:t>
      </w:r>
      <w:r>
        <w:t>.</w:t>
      </w:r>
      <w:r>
        <w:tab/>
        <w:t>Publication and disclosure of details of people banned under s. 115AA</w:t>
      </w:r>
      <w:bookmarkEnd w:id="384"/>
    </w:p>
    <w:p>
      <w:pPr>
        <w:pStyle w:val="Subsection"/>
        <w:spacing w:before="120"/>
      </w:pPr>
      <w:r>
        <w:tab/>
        <w:t>(1A)</w:t>
      </w:r>
      <w:r>
        <w:tab/>
        <w:t xml:space="preserve">In this section — </w:t>
      </w:r>
    </w:p>
    <w:p>
      <w:pPr>
        <w:pStyle w:val="Defstart"/>
      </w:pPr>
      <w:r>
        <w:tab/>
      </w:r>
      <w:r>
        <w:rPr>
          <w:rStyle w:val="CharDefText"/>
        </w:rPr>
        <w:t>personal particulars</w:t>
      </w:r>
      <w:r>
        <w:t xml:space="preserve">, in relation to a notice given to a person under section 115AA(2), means — </w:t>
      </w:r>
    </w:p>
    <w:p>
      <w:pPr>
        <w:pStyle w:val="Defpara"/>
      </w:pPr>
      <w:r>
        <w:tab/>
        <w:t>(a)</w:t>
      </w:r>
      <w:r>
        <w:tab/>
        <w:t>the name and date of birth of the person; and</w:t>
      </w:r>
    </w:p>
    <w:p>
      <w:pPr>
        <w:pStyle w:val="Defpara"/>
      </w:pPr>
      <w:r>
        <w:tab/>
        <w:t>(b)</w:t>
      </w:r>
      <w:r>
        <w:tab/>
        <w:t>a photograph of the person; and</w:t>
      </w:r>
    </w:p>
    <w:p>
      <w:pPr>
        <w:pStyle w:val="Defpara"/>
      </w:pPr>
      <w:r>
        <w:tab/>
        <w:t>(c)</w:t>
      </w:r>
      <w:r>
        <w:tab/>
        <w:t>the address of the person; and</w:t>
      </w:r>
    </w:p>
    <w:p>
      <w:pPr>
        <w:pStyle w:val="Defpara"/>
      </w:pPr>
      <w:r>
        <w:tab/>
        <w:t>(d)</w:t>
      </w:r>
      <w:r>
        <w:tab/>
        <w:t>the licensed premises, or class of licensed premises, to which the notice relates;</w:t>
      </w:r>
    </w:p>
    <w:p>
      <w:pPr>
        <w:pStyle w:val="Defstart"/>
        <w:keepNext/>
      </w:pPr>
      <w:r>
        <w:lastRenderedPageBreak/>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If a notice given to a person under section 115AA(2) is in effect, the Commissioner of Police must publish on a secure webpage all of the personal particulars in relation to the notice, to the extent those particulars are in the possession of the Commissioner.</w:t>
      </w:r>
    </w:p>
    <w:p>
      <w:pPr>
        <w:pStyle w:val="Subsection"/>
      </w:pPr>
      <w:r>
        <w:t>(1AA)</w:t>
      </w:r>
      <w:r>
        <w:tab/>
        <w:t xml:space="preserve">If a notice given to a person under section 115AA(2) is in effect, the Commissioner of Police or the Director may disclose any of the personal particulars in relation to the notice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in relation to whom notices under section 115AA(2) are in effect; or</w:t>
      </w:r>
    </w:p>
    <w:p>
      <w:pPr>
        <w:pStyle w:val="Indenti"/>
      </w:pPr>
      <w:r>
        <w:tab/>
        <w:t>(ii)</w:t>
      </w:r>
      <w:r>
        <w:tab/>
        <w:t xml:space="preserve">the creation or provision of equipment, software, databases or any other thing to be used by responsible persons in identifying persons in </w:t>
      </w:r>
      <w:r>
        <w:lastRenderedPageBreak/>
        <w:t>relation to whom notices under section 115AA(2) are in effect.</w:t>
      </w:r>
    </w:p>
    <w:p>
      <w:pPr>
        <w:pStyle w:val="Subsection"/>
        <w:spacing w:before="120"/>
      </w:pPr>
      <w:r>
        <w:tab/>
        <w:t>(2)</w:t>
      </w:r>
      <w:r>
        <w:tab/>
        <w:t>Subsections (1) and (1AA) do not permit the publication or disclosure of anything that identifies, or is capable of identifying —</w:t>
      </w:r>
    </w:p>
    <w:p>
      <w:pPr>
        <w:pStyle w:val="Indenta"/>
      </w:pPr>
      <w:r>
        <w:tab/>
        <w:t>(a)</w:t>
      </w:r>
      <w:r>
        <w:tab/>
        <w:t>a juvenile other than the person to whom the notice is given; or</w:t>
      </w:r>
    </w:p>
    <w:p>
      <w:pPr>
        <w:pStyle w:val="Indenta"/>
      </w:pPr>
      <w:r>
        <w:tab/>
        <w:t>(b)</w:t>
      </w:r>
      <w:r>
        <w:tab/>
        <w:t>the details of any offence of which the person to whom the notice is given was convicted in the Children’s Court.</w:t>
      </w:r>
    </w:p>
    <w:p>
      <w:pPr>
        <w:pStyle w:val="Subsection"/>
        <w:spacing w:before="120"/>
      </w:pPr>
      <w:r>
        <w:tab/>
        <w:t>(3)</w:t>
      </w:r>
      <w:r>
        <w:tab/>
        <w:t>Subject to subsections (4) and (5), a person who discloses information or a photograph that the person has obtained from the secure webpage referred to in subsection (1), or from a disclosure under subsection (1AA), commits an offence.</w:t>
      </w:r>
    </w:p>
    <w:p>
      <w:pPr>
        <w:pStyle w:val="Penstart"/>
      </w:pPr>
      <w:r>
        <w:tab/>
        <w:t>Penalty for this subsection: a fine of $10 000.</w:t>
      </w:r>
    </w:p>
    <w:p>
      <w:pPr>
        <w:pStyle w:val="Subsection"/>
      </w:pPr>
      <w:r>
        <w:tab/>
        <w:t>(4)</w:t>
      </w:r>
      <w:r>
        <w:tab/>
        <w:t xml:space="preserve">A responsible person in relation to licensed premises does not commit an offence under subsection (3)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Footnotesection"/>
      </w:pPr>
      <w:r>
        <w:tab/>
        <w:t>[Section 115AC inserted: No. 56 of 2010 s. 30; amended: No. 9 of 2018 s. 58; No. 44 of 2022 s. 11.]</w:t>
      </w:r>
    </w:p>
    <w:p>
      <w:pPr>
        <w:pStyle w:val="Heading5"/>
      </w:pPr>
      <w:bookmarkStart w:id="385" w:name="_Toc131586493"/>
      <w:r>
        <w:rPr>
          <w:rStyle w:val="CharSectno"/>
        </w:rPr>
        <w:lastRenderedPageBreak/>
        <w:t>115AD</w:t>
      </w:r>
      <w:r>
        <w:t>.</w:t>
      </w:r>
      <w:r>
        <w:tab/>
        <w:t>Review of s. 115AA notices</w:t>
      </w:r>
      <w:bookmarkEnd w:id="385"/>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lastRenderedPageBreak/>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No. 56 of 2010 s. 30.]</w:t>
      </w:r>
    </w:p>
    <w:p>
      <w:pPr>
        <w:pStyle w:val="Heading5"/>
        <w:spacing w:before="180"/>
      </w:pPr>
      <w:bookmarkStart w:id="386" w:name="_Toc131586494"/>
      <w:r>
        <w:rPr>
          <w:rStyle w:val="CharSectno"/>
        </w:rPr>
        <w:t>115AE</w:t>
      </w:r>
      <w:r>
        <w:t>.</w:t>
      </w:r>
      <w:r>
        <w:tab/>
        <w:t>Permitting entry to premises contrary to s. 115AA notice</w:t>
      </w:r>
      <w:bookmarkEnd w:id="386"/>
    </w:p>
    <w:p>
      <w:pPr>
        <w:pStyle w:val="Subsection"/>
        <w:spacing w:before="120"/>
      </w:pPr>
      <w:r>
        <w:tab/>
        <w:t>(1)</w:t>
      </w:r>
      <w:r>
        <w:tab/>
        <w:t xml:space="preserve">Subject to subsection (2), 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for this subsection: a fine of $10 000.</w:t>
      </w:r>
    </w:p>
    <w:p>
      <w:pPr>
        <w:pStyle w:val="Subsection"/>
      </w:pPr>
      <w:r>
        <w:tab/>
        <w:t>(2)</w:t>
      </w:r>
      <w:r>
        <w:tab/>
        <w:t>A responsible person in relation to licensed premises does not commit an offence under subsection (1) if the responsible person permits the person to enter or remain on the premises solely for the purpose of performing duties relating to the person’s work.</w:t>
      </w:r>
    </w:p>
    <w:p>
      <w:pPr>
        <w:pStyle w:val="Subsection"/>
      </w:pPr>
      <w:r>
        <w:tab/>
        <w:t>(3)</w:t>
      </w:r>
      <w:r>
        <w:tab/>
        <w:t>The reference in subsection (2) to performing duties relating to the person’s work does not include attending a function associated with the person’s work that is held on the premises.</w:t>
      </w:r>
    </w:p>
    <w:p>
      <w:pPr>
        <w:pStyle w:val="Footnotesection"/>
        <w:spacing w:before="80"/>
        <w:ind w:left="890" w:hanging="890"/>
      </w:pPr>
      <w:r>
        <w:tab/>
        <w:t>[Section 115AE inserted: No. 56 of 2010 s. 30; amended: No. 9 of 2018 s. 59.]</w:t>
      </w:r>
    </w:p>
    <w:p>
      <w:pPr>
        <w:pStyle w:val="Heading5"/>
        <w:spacing w:before="180"/>
      </w:pPr>
      <w:bookmarkStart w:id="387" w:name="_Toc131586495"/>
      <w:r>
        <w:rPr>
          <w:rStyle w:val="CharSectno"/>
        </w:rPr>
        <w:t>115A</w:t>
      </w:r>
      <w:r>
        <w:t>.</w:t>
      </w:r>
      <w:r>
        <w:tab/>
        <w:t>Drinking water to be provided free at certain licensed premises</w:t>
      </w:r>
      <w:bookmarkEnd w:id="387"/>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lastRenderedPageBreak/>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keepNext/>
      </w:pPr>
      <w:r>
        <w:tab/>
        <w:t>(b)</w:t>
      </w:r>
      <w:r>
        <w:tab/>
        <w:t>for a manager, a fine of $4 000.</w:t>
      </w:r>
    </w:p>
    <w:p>
      <w:pPr>
        <w:pStyle w:val="Footnotesection"/>
        <w:keepNext/>
        <w:spacing w:before="80"/>
        <w:ind w:left="890" w:hanging="890"/>
      </w:pPr>
      <w:r>
        <w:tab/>
        <w:t>[Section 115A inserted: No. 73 of 2006 s. 81; amended: No. 56 of 2010 s. 57.]</w:t>
      </w:r>
    </w:p>
    <w:p>
      <w:pPr>
        <w:pStyle w:val="Heading5"/>
        <w:keepNext w:val="0"/>
        <w:keepLines w:val="0"/>
        <w:spacing w:before="180"/>
        <w:rPr>
          <w:snapToGrid w:val="0"/>
        </w:rPr>
      </w:pPr>
      <w:bookmarkStart w:id="388" w:name="_Toc131586496"/>
      <w:r>
        <w:rPr>
          <w:rStyle w:val="CharSectno"/>
        </w:rPr>
        <w:t>116</w:t>
      </w:r>
      <w:r>
        <w:rPr>
          <w:snapToGrid w:val="0"/>
        </w:rPr>
        <w:t>.</w:t>
      </w:r>
      <w:r>
        <w:rPr>
          <w:snapToGrid w:val="0"/>
        </w:rPr>
        <w:tab/>
        <w:t>Documents to be displayed etc. at premises and produced</w:t>
      </w:r>
      <w:bookmarkEnd w:id="388"/>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lastRenderedPageBreak/>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No. 12 of 1998 s. 81; amended: No. 73 of 2006 s. 82 and 110; No. 56 of 2010 s. 18, 25, 58 and 69; No. 35 of 2015 s. 18.] </w:t>
      </w:r>
    </w:p>
    <w:p>
      <w:pPr>
        <w:pStyle w:val="Heading5"/>
        <w:spacing w:before="180"/>
      </w:pPr>
      <w:bookmarkStart w:id="389" w:name="_Toc131586497"/>
      <w:r>
        <w:rPr>
          <w:rStyle w:val="CharSectno"/>
        </w:rPr>
        <w:lastRenderedPageBreak/>
        <w:t>116A</w:t>
      </w:r>
      <w:r>
        <w:t>.</w:t>
      </w:r>
      <w:r>
        <w:tab/>
        <w:t>Register of incidents at licensed premises to be maintained</w:t>
      </w:r>
      <w:bookmarkEnd w:id="389"/>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No. 73 of 2006 s. 83; amended: No. 56 of 2010 s. 59 and 69; No. 35 of 2015 s. 19.]</w:t>
      </w:r>
    </w:p>
    <w:p>
      <w:pPr>
        <w:pStyle w:val="Heading3"/>
      </w:pPr>
      <w:bookmarkStart w:id="390" w:name="_Toc122336968"/>
      <w:bookmarkStart w:id="391" w:name="_Toc122342882"/>
      <w:bookmarkStart w:id="392" w:name="_Toc122513293"/>
      <w:bookmarkStart w:id="393" w:name="_Toc131519856"/>
      <w:bookmarkStart w:id="394" w:name="_Toc131520416"/>
      <w:bookmarkStart w:id="395" w:name="_Toc131586498"/>
      <w:r>
        <w:rPr>
          <w:rStyle w:val="CharDivNo"/>
        </w:rPr>
        <w:t>Division 7</w:t>
      </w:r>
      <w:r>
        <w:t> — </w:t>
      </w:r>
      <w:r>
        <w:rPr>
          <w:rStyle w:val="CharDivText"/>
        </w:rPr>
        <w:t>Complaints to Director</w:t>
      </w:r>
      <w:bookmarkEnd w:id="390"/>
      <w:bookmarkEnd w:id="391"/>
      <w:bookmarkEnd w:id="392"/>
      <w:bookmarkEnd w:id="393"/>
      <w:bookmarkEnd w:id="394"/>
      <w:bookmarkEnd w:id="395"/>
    </w:p>
    <w:p>
      <w:pPr>
        <w:pStyle w:val="Footnoteheading"/>
        <w:rPr>
          <w:snapToGrid w:val="0"/>
        </w:rPr>
      </w:pPr>
      <w:r>
        <w:tab/>
        <w:t>[Heading inserted: No. 73 of 2006 s. 84.]</w:t>
      </w:r>
    </w:p>
    <w:p>
      <w:pPr>
        <w:pStyle w:val="Heading5"/>
        <w:spacing w:before="240"/>
        <w:rPr>
          <w:snapToGrid w:val="0"/>
        </w:rPr>
      </w:pPr>
      <w:bookmarkStart w:id="396" w:name="_Toc131586499"/>
      <w:r>
        <w:rPr>
          <w:rStyle w:val="CharSectno"/>
        </w:rPr>
        <w:t>117</w:t>
      </w:r>
      <w:r>
        <w:rPr>
          <w:snapToGrid w:val="0"/>
        </w:rPr>
        <w:t>.</w:t>
      </w:r>
      <w:r>
        <w:rPr>
          <w:snapToGrid w:val="0"/>
        </w:rPr>
        <w:tab/>
        <w:t>Noise or behaviour related to licensed premises, complaints about</w:t>
      </w:r>
      <w:bookmarkEnd w:id="396"/>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 xml:space="preserve">that the amenity, quiet or good order of the neighbourhood of the licensed premises is frequently </w:t>
      </w:r>
      <w:r>
        <w:rPr>
          <w:snapToGrid w:val="0"/>
        </w:rPr>
        <w:lastRenderedPageBreak/>
        <w:t>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keepNext/>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lastRenderedPageBreak/>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 xml:space="preserve">if of the opinion that the allegation in the complaint is established on the balance of probabilities and that the </w:t>
      </w:r>
      <w:r>
        <w:lastRenderedPageBreak/>
        <w:t>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lastRenderedPageBreak/>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No. 14 of 1996 s. 4; No. 12 of 1998 s. 82; No. 73 of 2006 s. 85, 106 and 110; No. 56 of 2010 s. 69.] </w:t>
      </w:r>
    </w:p>
    <w:p>
      <w:pPr>
        <w:pStyle w:val="Heading3"/>
        <w:keepLines/>
        <w:rPr>
          <w:snapToGrid w:val="0"/>
        </w:rPr>
      </w:pPr>
      <w:bookmarkStart w:id="397" w:name="_Toc122336970"/>
      <w:bookmarkStart w:id="398" w:name="_Toc122342884"/>
      <w:bookmarkStart w:id="399" w:name="_Toc122513295"/>
      <w:bookmarkStart w:id="400" w:name="_Toc131519858"/>
      <w:bookmarkStart w:id="401" w:name="_Toc131520418"/>
      <w:bookmarkStart w:id="402" w:name="_Toc131586500"/>
      <w:r>
        <w:rPr>
          <w:rStyle w:val="CharDivNo"/>
        </w:rPr>
        <w:lastRenderedPageBreak/>
        <w:t>Division 8</w:t>
      </w:r>
      <w:r>
        <w:rPr>
          <w:snapToGrid w:val="0"/>
        </w:rPr>
        <w:t> — </w:t>
      </w:r>
      <w:r>
        <w:rPr>
          <w:rStyle w:val="CharDivText"/>
        </w:rPr>
        <w:t>Liquor on unlicensed premises</w:t>
      </w:r>
      <w:bookmarkEnd w:id="397"/>
      <w:bookmarkEnd w:id="398"/>
      <w:bookmarkEnd w:id="399"/>
      <w:bookmarkEnd w:id="400"/>
      <w:bookmarkEnd w:id="401"/>
      <w:bookmarkEnd w:id="402"/>
      <w:r>
        <w:rPr>
          <w:rStyle w:val="CharDivText"/>
        </w:rPr>
        <w:t xml:space="preserve"> </w:t>
      </w:r>
    </w:p>
    <w:p>
      <w:pPr>
        <w:pStyle w:val="Heading5"/>
        <w:spacing w:before="180"/>
        <w:rPr>
          <w:snapToGrid w:val="0"/>
        </w:rPr>
      </w:pPr>
      <w:bookmarkStart w:id="403" w:name="_Toc131586501"/>
      <w:r>
        <w:rPr>
          <w:rStyle w:val="CharSectno"/>
        </w:rPr>
        <w:t>118</w:t>
      </w:r>
      <w:r>
        <w:rPr>
          <w:snapToGrid w:val="0"/>
        </w:rPr>
        <w:t>.</w:t>
      </w:r>
      <w:r>
        <w:rPr>
          <w:snapToGrid w:val="0"/>
        </w:rPr>
        <w:tab/>
        <w:t>Persons purporting to be licensee</w:t>
      </w:r>
      <w:bookmarkEnd w:id="403"/>
      <w:r>
        <w:rPr>
          <w:snapToGrid w:val="0"/>
        </w:rPr>
        <w:t xml:space="preserve"> </w:t>
      </w:r>
    </w:p>
    <w:p>
      <w:pPr>
        <w:pStyle w:val="Subsection"/>
        <w:keepNext/>
        <w:keepLines/>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keepLines/>
        <w:rPr>
          <w:snapToGrid w:val="0"/>
        </w:rPr>
      </w:pPr>
      <w:r>
        <w:rPr>
          <w:snapToGrid w:val="0"/>
        </w:rPr>
        <w:tab/>
        <w:t>(a)</w:t>
      </w:r>
      <w:r>
        <w:rPr>
          <w:snapToGrid w:val="0"/>
        </w:rPr>
        <w:tab/>
        <w:t>which are licensed premises; or</w:t>
      </w:r>
    </w:p>
    <w:p>
      <w:pPr>
        <w:pStyle w:val="Indenta"/>
        <w:keepLines/>
        <w:rPr>
          <w:snapToGrid w:val="0"/>
        </w:rPr>
      </w:pPr>
      <w:r>
        <w:rPr>
          <w:snapToGrid w:val="0"/>
        </w:rPr>
        <w:tab/>
        <w:t>(b)</w:t>
      </w:r>
      <w:r>
        <w:rPr>
          <w:snapToGrid w:val="0"/>
        </w:rPr>
        <w:tab/>
        <w:t>of which that person purports to be the licensee; or</w:t>
      </w:r>
    </w:p>
    <w:p>
      <w:pPr>
        <w:pStyle w:val="Indenta"/>
        <w:keepLines/>
        <w:rPr>
          <w:snapToGrid w:val="0"/>
        </w:rPr>
      </w:pPr>
      <w:r>
        <w:rPr>
          <w:snapToGrid w:val="0"/>
        </w:rPr>
        <w:tab/>
        <w:t>(c)</w:t>
      </w:r>
      <w:r>
        <w:rPr>
          <w:snapToGrid w:val="0"/>
        </w:rPr>
        <w:tab/>
        <w:t>in respect to which that person alleges a licence was transferred; or</w:t>
      </w:r>
    </w:p>
    <w:p>
      <w:pPr>
        <w:pStyle w:val="Indenta"/>
        <w:keepLines/>
        <w:rPr>
          <w:snapToGrid w:val="0"/>
        </w:rPr>
      </w:pPr>
      <w:r>
        <w:rPr>
          <w:snapToGrid w:val="0"/>
        </w:rPr>
        <w:tab/>
        <w:t>(d)</w:t>
      </w:r>
      <w:r>
        <w:rPr>
          <w:snapToGrid w:val="0"/>
        </w:rPr>
        <w:tab/>
        <w:t>to which a purported authorisation conferred by section 86 applies,</w:t>
      </w:r>
    </w:p>
    <w:p>
      <w:pPr>
        <w:pStyle w:val="Subsection"/>
        <w:keepLines/>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keepLines/>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 xml:space="preserve">It shall not be a defence to a prosecution for an offence relating to the sale of liquor for a person to allege that a licence </w:t>
      </w:r>
      <w:r>
        <w:rPr>
          <w:snapToGrid w:val="0"/>
        </w:rPr>
        <w:lastRenderedPageBreak/>
        <w:t>purporting to authorise the sale was transferred to that person unless the licensing authority has notified that person that approval to the transfer of the licence to that person has been granted.</w:t>
      </w:r>
    </w:p>
    <w:p>
      <w:pPr>
        <w:pStyle w:val="Footnotesection"/>
      </w:pPr>
      <w:r>
        <w:tab/>
        <w:t>[Section 118 amended: No. 73 of 2006 s. 110; No. 56 of 2010 s. 69.]</w:t>
      </w:r>
    </w:p>
    <w:p>
      <w:pPr>
        <w:pStyle w:val="Heading5"/>
        <w:spacing w:before="240"/>
        <w:rPr>
          <w:snapToGrid w:val="0"/>
        </w:rPr>
      </w:pPr>
      <w:bookmarkStart w:id="404" w:name="_Toc131586502"/>
      <w:r>
        <w:rPr>
          <w:rStyle w:val="CharSectno"/>
        </w:rPr>
        <w:t>119</w:t>
      </w:r>
      <w:r>
        <w:rPr>
          <w:snapToGrid w:val="0"/>
        </w:rPr>
        <w:t>.</w:t>
      </w:r>
      <w:r>
        <w:rPr>
          <w:snapToGrid w:val="0"/>
        </w:rPr>
        <w:tab/>
        <w:t>Unlicensed premises etc., offences as to</w:t>
      </w:r>
      <w:bookmarkEnd w:id="404"/>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lastRenderedPageBreak/>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Lines/>
        <w:rPr>
          <w:snapToGrid w:val="0"/>
        </w:rPr>
      </w:pPr>
      <w:r>
        <w:rPr>
          <w:snapToGrid w:val="0"/>
        </w:rPr>
        <w:lastRenderedPageBreak/>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lastRenderedPageBreak/>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No. 84 of 2004 s. 80 and 82; No. 73 of 2006 s. 86 and 110; No. 56 of 2010 s. 25, 60 and 69; No. 8 of 2012 s. 119.] </w:t>
      </w:r>
    </w:p>
    <w:p>
      <w:pPr>
        <w:pStyle w:val="Heading3"/>
        <w:spacing w:before="180"/>
      </w:pPr>
      <w:bookmarkStart w:id="405" w:name="_Toc122336973"/>
      <w:bookmarkStart w:id="406" w:name="_Toc122342887"/>
      <w:bookmarkStart w:id="407" w:name="_Toc122513298"/>
      <w:bookmarkStart w:id="408" w:name="_Toc131519861"/>
      <w:bookmarkStart w:id="409" w:name="_Toc131520421"/>
      <w:bookmarkStart w:id="410" w:name="_Toc131586503"/>
      <w:r>
        <w:rPr>
          <w:rStyle w:val="CharDivNo"/>
        </w:rPr>
        <w:t>Division 8A</w:t>
      </w:r>
      <w:r>
        <w:t> — </w:t>
      </w:r>
      <w:r>
        <w:rPr>
          <w:rStyle w:val="CharDivText"/>
        </w:rPr>
        <w:t>Conduct of unapproved businesses on or from licensed premises</w:t>
      </w:r>
      <w:bookmarkEnd w:id="405"/>
      <w:bookmarkEnd w:id="406"/>
      <w:bookmarkEnd w:id="407"/>
      <w:bookmarkEnd w:id="408"/>
      <w:bookmarkEnd w:id="409"/>
      <w:bookmarkEnd w:id="410"/>
    </w:p>
    <w:p>
      <w:pPr>
        <w:pStyle w:val="Footnoteheading"/>
      </w:pPr>
      <w:r>
        <w:tab/>
        <w:t>[Heading inserted: No. 73 of 2006 s. 87.]</w:t>
      </w:r>
    </w:p>
    <w:p>
      <w:pPr>
        <w:pStyle w:val="Heading5"/>
        <w:spacing w:before="180"/>
      </w:pPr>
      <w:bookmarkStart w:id="411" w:name="_Toc131586504"/>
      <w:r>
        <w:rPr>
          <w:rStyle w:val="CharSectno"/>
        </w:rPr>
        <w:t>119A</w:t>
      </w:r>
      <w:r>
        <w:t>.</w:t>
      </w:r>
      <w:r>
        <w:tab/>
        <w:t>Non-liquor businesses on licensed premises, conduct of requires approval</w:t>
      </w:r>
      <w:bookmarkEnd w:id="411"/>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lastRenderedPageBreak/>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No. 56 of 2010 s. 61.]</w:t>
      </w:r>
    </w:p>
    <w:p>
      <w:pPr>
        <w:pStyle w:val="Heading3"/>
        <w:keepLines/>
        <w:rPr>
          <w:snapToGrid w:val="0"/>
        </w:rPr>
      </w:pPr>
      <w:bookmarkStart w:id="412" w:name="_Toc122336975"/>
      <w:bookmarkStart w:id="413" w:name="_Toc122342889"/>
      <w:bookmarkStart w:id="414" w:name="_Toc122513300"/>
      <w:bookmarkStart w:id="415" w:name="_Toc131519863"/>
      <w:bookmarkStart w:id="416" w:name="_Toc131520423"/>
      <w:bookmarkStart w:id="417" w:name="_Toc131586505"/>
      <w:r>
        <w:rPr>
          <w:rStyle w:val="CharDivNo"/>
        </w:rPr>
        <w:t>Division 9</w:t>
      </w:r>
      <w:r>
        <w:rPr>
          <w:snapToGrid w:val="0"/>
        </w:rPr>
        <w:t> — </w:t>
      </w:r>
      <w:r>
        <w:rPr>
          <w:rStyle w:val="CharDivText"/>
        </w:rPr>
        <w:t>Juveniles</w:t>
      </w:r>
      <w:bookmarkEnd w:id="412"/>
      <w:bookmarkEnd w:id="413"/>
      <w:bookmarkEnd w:id="414"/>
      <w:bookmarkEnd w:id="415"/>
      <w:bookmarkEnd w:id="416"/>
      <w:bookmarkEnd w:id="417"/>
      <w:r>
        <w:rPr>
          <w:rStyle w:val="CharDivText"/>
        </w:rPr>
        <w:t xml:space="preserve"> </w:t>
      </w:r>
    </w:p>
    <w:p>
      <w:pPr>
        <w:pStyle w:val="Heading5"/>
        <w:rPr>
          <w:snapToGrid w:val="0"/>
        </w:rPr>
      </w:pPr>
      <w:bookmarkStart w:id="418" w:name="_Toc131586506"/>
      <w:r>
        <w:rPr>
          <w:rStyle w:val="CharSectno"/>
        </w:rPr>
        <w:t>120</w:t>
      </w:r>
      <w:r>
        <w:rPr>
          <w:snapToGrid w:val="0"/>
        </w:rPr>
        <w:t>.</w:t>
      </w:r>
      <w:r>
        <w:rPr>
          <w:snapToGrid w:val="0"/>
        </w:rPr>
        <w:tab/>
        <w:t>When juveniles permitted on licensed premises</w:t>
      </w:r>
      <w:bookmarkEnd w:id="418"/>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lastRenderedPageBreak/>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lastRenderedPageBreak/>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No. 56 of 2010 s. 25; No. 9 of 2018 s. 60.] </w:t>
      </w:r>
    </w:p>
    <w:p>
      <w:pPr>
        <w:pStyle w:val="Heading5"/>
        <w:rPr>
          <w:snapToGrid w:val="0"/>
        </w:rPr>
      </w:pPr>
      <w:bookmarkStart w:id="419" w:name="_Toc131586507"/>
      <w:r>
        <w:rPr>
          <w:rStyle w:val="CharSectno"/>
        </w:rPr>
        <w:t>121</w:t>
      </w:r>
      <w:r>
        <w:rPr>
          <w:snapToGrid w:val="0"/>
        </w:rPr>
        <w:t>.</w:t>
      </w:r>
      <w:r>
        <w:rPr>
          <w:snapToGrid w:val="0"/>
        </w:rPr>
        <w:tab/>
        <w:t>Licensed premises, offences as to juveniles</w:t>
      </w:r>
      <w:bookmarkEnd w:id="419"/>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 xml:space="preserve">Where a person, acting at the request of a juvenile on licensed premises, purchases or obtains liquor on behalf of the juvenile </w:t>
      </w:r>
      <w:r>
        <w:rPr>
          <w:snapToGrid w:val="0"/>
        </w:rPr>
        <w:lastRenderedPageBreak/>
        <w:t>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keepNext/>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keepNext/>
        <w:rPr>
          <w:snapToGrid w:val="0"/>
        </w:rPr>
      </w:pPr>
      <w:r>
        <w:rPr>
          <w:snapToGrid w:val="0"/>
        </w:rPr>
        <w:lastRenderedPageBreak/>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keepNext/>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lastRenderedPageBreak/>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lastRenderedPageBreak/>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No. 12 of 1998 s. 83; No. 73 of 2006 s. 88, 109, 110 and 111(9); No. 56 of 2010 s. 19, 62 and 69.]</w:t>
      </w:r>
    </w:p>
    <w:p>
      <w:pPr>
        <w:pStyle w:val="Heading5"/>
        <w:spacing w:before="240"/>
      </w:pPr>
      <w:bookmarkStart w:id="420" w:name="_Toc131586508"/>
      <w:r>
        <w:rPr>
          <w:rStyle w:val="CharSectno"/>
        </w:rPr>
        <w:t>122A</w:t>
      </w:r>
      <w:r>
        <w:t>.</w:t>
      </w:r>
      <w:r>
        <w:tab/>
        <w:t>Supplying juveniles with alcohol on unlicensed premises</w:t>
      </w:r>
      <w:bookmarkEnd w:id="420"/>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lastRenderedPageBreak/>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No. 35 of 2015 s. 20.]</w:t>
      </w:r>
    </w:p>
    <w:p>
      <w:pPr>
        <w:pStyle w:val="Heading5"/>
        <w:rPr>
          <w:snapToGrid w:val="0"/>
        </w:rPr>
      </w:pPr>
      <w:bookmarkStart w:id="421" w:name="_Toc131586509"/>
      <w:r>
        <w:rPr>
          <w:rStyle w:val="CharSectno"/>
        </w:rPr>
        <w:t>122</w:t>
      </w:r>
      <w:r>
        <w:rPr>
          <w:snapToGrid w:val="0"/>
        </w:rPr>
        <w:t>.</w:t>
      </w:r>
      <w:r>
        <w:rPr>
          <w:snapToGrid w:val="0"/>
        </w:rPr>
        <w:tab/>
        <w:t>Regulated premises, offences as to juveniles</w:t>
      </w:r>
      <w:bookmarkEnd w:id="421"/>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 xml:space="preserve">being a person who has purported to accompany the juvenile as a responsible adult for the purpose of obtaining a meal, causes or permits the juvenile to enter or remain in any part of regulated premises where liquor </w:t>
      </w:r>
      <w:r>
        <w:rPr>
          <w:snapToGrid w:val="0"/>
        </w:rPr>
        <w:lastRenderedPageBreak/>
        <w:t>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keepNext/>
        <w:rPr>
          <w:snapToGrid w:val="0"/>
        </w:rPr>
      </w:pPr>
      <w:r>
        <w:rPr>
          <w:snapToGrid w:val="0"/>
        </w:rPr>
        <w:tab/>
        <w:t>(4)</w:t>
      </w:r>
      <w:r>
        <w:rPr>
          <w:snapToGrid w:val="0"/>
        </w:rPr>
        <w:tab/>
        <w:t>Subsection (3) does not apply to or in relation to a juvenile to whom section 120(1)(b) or (f), 120(2), or 121(5)(c) or (d) applies.</w:t>
      </w:r>
    </w:p>
    <w:p>
      <w:pPr>
        <w:pStyle w:val="Footnotesection"/>
        <w:keepNext/>
        <w:ind w:left="890" w:hanging="890"/>
      </w:pPr>
      <w:r>
        <w:tab/>
        <w:t xml:space="preserve">[Section 122 amended: No. 12 of 1998 s. 35(5); No. 73 of 2006 s. 89 and 110; No. 56 of 2010 s. 63 and 69.] </w:t>
      </w:r>
    </w:p>
    <w:p>
      <w:pPr>
        <w:pStyle w:val="Heading5"/>
        <w:spacing w:before="240"/>
        <w:rPr>
          <w:snapToGrid w:val="0"/>
        </w:rPr>
      </w:pPr>
      <w:bookmarkStart w:id="422" w:name="_Toc131586510"/>
      <w:r>
        <w:rPr>
          <w:rStyle w:val="CharSectno"/>
        </w:rPr>
        <w:t>123</w:t>
      </w:r>
      <w:r>
        <w:rPr>
          <w:snapToGrid w:val="0"/>
        </w:rPr>
        <w:t>.</w:t>
      </w:r>
      <w:r>
        <w:rPr>
          <w:snapToGrid w:val="0"/>
        </w:rPr>
        <w:tab/>
        <w:t>Possession etc. of liquor, offences by juveniles</w:t>
      </w:r>
      <w:bookmarkEnd w:id="422"/>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No. 73 of 2006 s. 90 and 110; No. 56 of 2010 s. 69.]</w:t>
      </w:r>
    </w:p>
    <w:p>
      <w:pPr>
        <w:pStyle w:val="Heading5"/>
        <w:keepLines w:val="0"/>
        <w:spacing w:before="160"/>
        <w:rPr>
          <w:snapToGrid w:val="0"/>
        </w:rPr>
      </w:pPr>
      <w:bookmarkStart w:id="423" w:name="_Toc131586511"/>
      <w:r>
        <w:rPr>
          <w:rStyle w:val="CharSectno"/>
        </w:rPr>
        <w:lastRenderedPageBreak/>
        <w:t>124</w:t>
      </w:r>
      <w:r>
        <w:rPr>
          <w:snapToGrid w:val="0"/>
        </w:rPr>
        <w:t>.</w:t>
      </w:r>
      <w:r>
        <w:rPr>
          <w:snapToGrid w:val="0"/>
        </w:rPr>
        <w:tab/>
        <w:t>Sending juveniles to obtain liquor, offence</w:t>
      </w:r>
      <w:bookmarkEnd w:id="423"/>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No. 73 of 2006 s. 110; No. 56 of 2010 s. 69.]</w:t>
      </w:r>
    </w:p>
    <w:p>
      <w:pPr>
        <w:pStyle w:val="Heading5"/>
        <w:spacing w:before="180"/>
        <w:rPr>
          <w:snapToGrid w:val="0"/>
        </w:rPr>
      </w:pPr>
      <w:bookmarkStart w:id="424" w:name="_Toc131586512"/>
      <w:r>
        <w:rPr>
          <w:rStyle w:val="CharSectno"/>
        </w:rPr>
        <w:t>125</w:t>
      </w:r>
      <w:r>
        <w:rPr>
          <w:snapToGrid w:val="0"/>
        </w:rPr>
        <w:t>.</w:t>
      </w:r>
      <w:r>
        <w:rPr>
          <w:snapToGrid w:val="0"/>
        </w:rPr>
        <w:tab/>
        <w:t>Defences to offences under this Division</w:t>
      </w:r>
      <w:bookmarkEnd w:id="424"/>
    </w:p>
    <w:p>
      <w:pPr>
        <w:pStyle w:val="Subsection"/>
        <w:keepNext/>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keepNext/>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 xml:space="preserve">where the offence is alleged to have occurred on regulated premises, if the accused is the </w:t>
      </w:r>
      <w:r>
        <w:t xml:space="preserve">licensee or </w:t>
      </w:r>
      <w:r>
        <w:lastRenderedPageBreak/>
        <w:t>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keepNext/>
        <w:rPr>
          <w:snapToGrid w:val="0"/>
        </w:rPr>
      </w:pPr>
      <w:r>
        <w:rPr>
          <w:snapToGrid w:val="0"/>
        </w:rPr>
        <w:tab/>
        <w:t>(2)</w:t>
      </w:r>
      <w:r>
        <w:rPr>
          <w:snapToGrid w:val="0"/>
        </w:rPr>
        <w:tab/>
        <w:t>For the purposes of any proceedings under this Division — </w:t>
      </w:r>
    </w:p>
    <w:p>
      <w:pPr>
        <w:pStyle w:val="Indenta"/>
        <w:keepNext/>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keepNext/>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No. 12 of 1998 s. 84; No. 28 of 2003 s. 106; No. 84 of 2004 s. 80 and 82; No. 56 of 2010 s. 25.] </w:t>
      </w:r>
    </w:p>
    <w:p>
      <w:pPr>
        <w:pStyle w:val="Heading5"/>
        <w:keepNext w:val="0"/>
        <w:keepLines w:val="0"/>
        <w:rPr>
          <w:snapToGrid w:val="0"/>
        </w:rPr>
      </w:pPr>
      <w:bookmarkStart w:id="425" w:name="_Toc131586513"/>
      <w:r>
        <w:rPr>
          <w:rStyle w:val="CharSectno"/>
        </w:rPr>
        <w:t>126</w:t>
      </w:r>
      <w:r>
        <w:rPr>
          <w:snapToGrid w:val="0"/>
        </w:rPr>
        <w:t>.</w:t>
      </w:r>
      <w:r>
        <w:rPr>
          <w:snapToGrid w:val="0"/>
        </w:rPr>
        <w:tab/>
        <w:t>Suspected juveniles, authorised persons’ powers as to, offences by</w:t>
      </w:r>
      <w:bookmarkEnd w:id="425"/>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keepNext/>
        <w:rPr>
          <w:snapToGrid w:val="0"/>
        </w:rPr>
      </w:pPr>
      <w:r>
        <w:rPr>
          <w:snapToGrid w:val="0"/>
        </w:rPr>
        <w:lastRenderedPageBreak/>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 xml:space="preserve">remove from licensed premises or regulated premises any juvenile, or suspected juvenile, who has failed to </w:t>
      </w:r>
      <w:r>
        <w:rPr>
          <w:snapToGrid w:val="0"/>
        </w:rPr>
        <w:lastRenderedPageBreak/>
        <w:t>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No. 12 of 1998 s. 85; No. 73 of 2006 s. 91, 109 and 110; No. 56 of 2010 s. 69; No. 35 of 2015 s. 21.] </w:t>
      </w:r>
    </w:p>
    <w:p>
      <w:pPr>
        <w:pStyle w:val="Heading5"/>
        <w:spacing w:before="240"/>
      </w:pPr>
      <w:bookmarkStart w:id="426" w:name="_Toc131586514"/>
      <w:r>
        <w:rPr>
          <w:rStyle w:val="CharSectno"/>
        </w:rPr>
        <w:lastRenderedPageBreak/>
        <w:t>126A</w:t>
      </w:r>
      <w:r>
        <w:t>.</w:t>
      </w:r>
      <w:r>
        <w:tab/>
        <w:t>Entertainment for juveniles on licensed premises, application for approval of</w:t>
      </w:r>
      <w:bookmarkEnd w:id="42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No. 73 of 2006 s. 92(1).]</w:t>
      </w:r>
    </w:p>
    <w:p>
      <w:pPr>
        <w:pStyle w:val="Heading5"/>
      </w:pPr>
      <w:bookmarkStart w:id="427" w:name="_Toc131586515"/>
      <w:r>
        <w:rPr>
          <w:rStyle w:val="CharSectno"/>
        </w:rPr>
        <w:t>126B</w:t>
      </w:r>
      <w:r>
        <w:t>.</w:t>
      </w:r>
      <w:r>
        <w:tab/>
        <w:t>Entertainment for juveniles on licensed premises, approval of</w:t>
      </w:r>
      <w:bookmarkEnd w:id="427"/>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lastRenderedPageBreak/>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No. 73 of 2006 s. 92(1).]</w:t>
      </w:r>
    </w:p>
    <w:p>
      <w:pPr>
        <w:pStyle w:val="Heading3"/>
      </w:pPr>
      <w:bookmarkStart w:id="428" w:name="_Toc122336986"/>
      <w:bookmarkStart w:id="429" w:name="_Toc122342900"/>
      <w:bookmarkStart w:id="430" w:name="_Toc122513311"/>
      <w:bookmarkStart w:id="431" w:name="_Toc131519874"/>
      <w:bookmarkStart w:id="432" w:name="_Toc131520434"/>
      <w:bookmarkStart w:id="433" w:name="_Toc131586516"/>
      <w:r>
        <w:rPr>
          <w:rStyle w:val="CharDivNo"/>
        </w:rPr>
        <w:t>Division 10</w:t>
      </w:r>
      <w:r>
        <w:t> — </w:t>
      </w:r>
      <w:r>
        <w:rPr>
          <w:rStyle w:val="CharDivText"/>
        </w:rPr>
        <w:t>Miscellaneous</w:t>
      </w:r>
      <w:bookmarkEnd w:id="428"/>
      <w:bookmarkEnd w:id="429"/>
      <w:bookmarkEnd w:id="430"/>
      <w:bookmarkEnd w:id="431"/>
      <w:bookmarkEnd w:id="432"/>
      <w:bookmarkEnd w:id="433"/>
    </w:p>
    <w:p>
      <w:pPr>
        <w:pStyle w:val="Footnoteheading"/>
        <w:keepNext/>
      </w:pPr>
      <w:r>
        <w:tab/>
        <w:t>[Heading inserted: No. 73 of 2006 s. 93.]</w:t>
      </w:r>
    </w:p>
    <w:p>
      <w:pPr>
        <w:pStyle w:val="Heading5"/>
        <w:spacing w:before="240"/>
      </w:pPr>
      <w:bookmarkStart w:id="434" w:name="_Toc131586517"/>
      <w:r>
        <w:rPr>
          <w:rStyle w:val="CharSectno"/>
        </w:rPr>
        <w:t>126C</w:t>
      </w:r>
      <w:r>
        <w:t>.</w:t>
      </w:r>
      <w:r>
        <w:tab/>
        <w:t>Crowd controllers to be authorised when exercising powers of removal</w:t>
      </w:r>
      <w:bookmarkEnd w:id="434"/>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lastRenderedPageBreak/>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No. 73 of 2006 s. 93; amended: No. 56 of 2010 s. 25.]</w:t>
      </w:r>
    </w:p>
    <w:p>
      <w:pPr>
        <w:pStyle w:val="Heading5"/>
        <w:keepNext w:val="0"/>
        <w:keepLines w:val="0"/>
        <w:spacing w:before="180"/>
      </w:pPr>
      <w:bookmarkStart w:id="435" w:name="_Toc131586518"/>
      <w:r>
        <w:rPr>
          <w:rStyle w:val="CharSectno"/>
        </w:rPr>
        <w:t>126D</w:t>
      </w:r>
      <w:r>
        <w:t>.</w:t>
      </w:r>
      <w:r>
        <w:tab/>
        <w:t>Undesirable liquor products, declaration of and offence as to</w:t>
      </w:r>
      <w:bookmarkEnd w:id="435"/>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lastRenderedPageBreak/>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keepNext/>
      </w:pPr>
      <w:r>
        <w:tab/>
        <w:t>(5)</w:t>
      </w:r>
      <w:r>
        <w:tab/>
        <w:t>A failure to comply with subsection (3) does not affect the validity of the regulation concerned.</w:t>
      </w:r>
    </w:p>
    <w:p>
      <w:pPr>
        <w:pStyle w:val="Footnotesection"/>
        <w:keepNext/>
        <w:spacing w:before="80"/>
        <w:ind w:left="890" w:hanging="890"/>
      </w:pPr>
      <w:r>
        <w:tab/>
        <w:t>[Section 126D inserted: No. 73 of 2006 s. 93; amended: No. 56 of 2010 s. 64.]</w:t>
      </w:r>
    </w:p>
    <w:p>
      <w:pPr>
        <w:pStyle w:val="Heading5"/>
      </w:pPr>
      <w:bookmarkStart w:id="436" w:name="_Toc131586519"/>
      <w:r>
        <w:rPr>
          <w:rStyle w:val="CharSectno"/>
        </w:rPr>
        <w:t>126E</w:t>
      </w:r>
      <w:r>
        <w:t>.</w:t>
      </w:r>
      <w:r>
        <w:tab/>
        <w:t>Special events, operation of Act may be modified for</w:t>
      </w:r>
      <w:bookmarkEnd w:id="43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lastRenderedPageBreak/>
        <w:tab/>
        <w:t>(6)</w:t>
      </w:r>
      <w:r>
        <w:tab/>
        <w:t xml:space="preserve">The Minister may, by notice published in the </w:t>
      </w:r>
      <w:r>
        <w:rPr>
          <w:i/>
        </w:rPr>
        <w:t>Gazette</w:t>
      </w:r>
      <w:r>
        <w:t>, vary or revoke a special event notice.</w:t>
      </w:r>
    </w:p>
    <w:p>
      <w:pPr>
        <w:pStyle w:val="Footnotesection"/>
      </w:pPr>
      <w:r>
        <w:tab/>
        <w:t>[Section 126E inserted: No. 73 of 2006 s. 93.]</w:t>
      </w:r>
    </w:p>
    <w:p>
      <w:pPr>
        <w:pStyle w:val="Heading2"/>
      </w:pPr>
      <w:bookmarkStart w:id="437" w:name="_Toc122336990"/>
      <w:bookmarkStart w:id="438" w:name="_Toc122342904"/>
      <w:bookmarkStart w:id="439" w:name="_Toc122513315"/>
      <w:bookmarkStart w:id="440" w:name="_Toc131519878"/>
      <w:bookmarkStart w:id="441" w:name="_Toc131520438"/>
      <w:bookmarkStart w:id="442" w:name="_Toc131586520"/>
      <w:r>
        <w:rPr>
          <w:rStyle w:val="CharPartNo"/>
        </w:rPr>
        <w:lastRenderedPageBreak/>
        <w:t>Part 5</w:t>
      </w:r>
      <w:r>
        <w:t> — </w:t>
      </w:r>
      <w:r>
        <w:rPr>
          <w:rStyle w:val="CharPartText"/>
        </w:rPr>
        <w:t>Financial provisions</w:t>
      </w:r>
      <w:bookmarkEnd w:id="437"/>
      <w:bookmarkEnd w:id="438"/>
      <w:bookmarkEnd w:id="439"/>
      <w:bookmarkEnd w:id="440"/>
      <w:bookmarkEnd w:id="441"/>
      <w:bookmarkEnd w:id="442"/>
      <w:r>
        <w:rPr>
          <w:rStyle w:val="CharPartText"/>
        </w:rPr>
        <w:t xml:space="preserve"> </w:t>
      </w:r>
    </w:p>
    <w:p>
      <w:pPr>
        <w:pStyle w:val="Heading3"/>
        <w:spacing w:before="220"/>
        <w:rPr>
          <w:snapToGrid w:val="0"/>
        </w:rPr>
      </w:pPr>
      <w:bookmarkStart w:id="443" w:name="_Toc122336991"/>
      <w:bookmarkStart w:id="444" w:name="_Toc122342905"/>
      <w:bookmarkStart w:id="445" w:name="_Toc122513316"/>
      <w:bookmarkStart w:id="446" w:name="_Toc131519879"/>
      <w:bookmarkStart w:id="447" w:name="_Toc131520439"/>
      <w:bookmarkStart w:id="448" w:name="_Toc131586521"/>
      <w:r>
        <w:rPr>
          <w:rStyle w:val="CharDivNo"/>
        </w:rPr>
        <w:t>Division 1</w:t>
      </w:r>
      <w:r>
        <w:rPr>
          <w:snapToGrid w:val="0"/>
        </w:rPr>
        <w:t> — </w:t>
      </w:r>
      <w:r>
        <w:rPr>
          <w:rStyle w:val="CharDivText"/>
        </w:rPr>
        <w:t>Licence fees</w:t>
      </w:r>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131586522"/>
      <w:r>
        <w:rPr>
          <w:rStyle w:val="CharSectno"/>
        </w:rPr>
        <w:t>127</w:t>
      </w:r>
      <w:r>
        <w:rPr>
          <w:snapToGrid w:val="0"/>
        </w:rPr>
        <w:t>.</w:t>
      </w:r>
      <w:r>
        <w:rPr>
          <w:snapToGrid w:val="0"/>
        </w:rPr>
        <w:tab/>
        <w:t>Payment of licence fees</w:t>
      </w:r>
      <w:bookmarkEnd w:id="449"/>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No. 56 of 1997 s. 34; No. 73 of 2006 s. 94.] </w:t>
      </w:r>
    </w:p>
    <w:p>
      <w:pPr>
        <w:pStyle w:val="Heading5"/>
        <w:rPr>
          <w:snapToGrid w:val="0"/>
        </w:rPr>
      </w:pPr>
      <w:bookmarkStart w:id="450" w:name="_Toc131586523"/>
      <w:r>
        <w:rPr>
          <w:rStyle w:val="CharSectno"/>
        </w:rPr>
        <w:t>128</w:t>
      </w:r>
      <w:r>
        <w:rPr>
          <w:snapToGrid w:val="0"/>
        </w:rPr>
        <w:t>.</w:t>
      </w:r>
      <w:r>
        <w:rPr>
          <w:snapToGrid w:val="0"/>
        </w:rPr>
        <w:tab/>
        <w:t>Regulations about licence fees</w:t>
      </w:r>
      <w:bookmarkEnd w:id="450"/>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lastRenderedPageBreak/>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No. 56 of 1997 s. 35; amended: No. 73 of 2006 s. 95; No. 56 of 2010 s. 31.] </w:t>
      </w:r>
    </w:p>
    <w:p>
      <w:pPr>
        <w:pStyle w:val="Heading3"/>
        <w:keepLines/>
        <w:spacing w:before="180"/>
        <w:rPr>
          <w:snapToGrid w:val="0"/>
        </w:rPr>
      </w:pPr>
      <w:bookmarkStart w:id="451" w:name="_Toc122336994"/>
      <w:bookmarkStart w:id="452" w:name="_Toc122342908"/>
      <w:bookmarkStart w:id="453" w:name="_Toc122513319"/>
      <w:bookmarkStart w:id="454" w:name="_Toc131519882"/>
      <w:bookmarkStart w:id="455" w:name="_Toc131520442"/>
      <w:bookmarkStart w:id="456" w:name="_Toc131586524"/>
      <w:r>
        <w:rPr>
          <w:rStyle w:val="CharDivNo"/>
        </w:rPr>
        <w:t>Division 2</w:t>
      </w:r>
      <w:r>
        <w:rPr>
          <w:snapToGrid w:val="0"/>
        </w:rPr>
        <w:t> — </w:t>
      </w:r>
      <w:r>
        <w:rPr>
          <w:rStyle w:val="CharDivText"/>
        </w:rPr>
        <w:t>Subsidies</w:t>
      </w:r>
      <w:bookmarkEnd w:id="451"/>
      <w:bookmarkEnd w:id="452"/>
      <w:bookmarkEnd w:id="453"/>
      <w:bookmarkEnd w:id="454"/>
      <w:bookmarkEnd w:id="455"/>
      <w:bookmarkEnd w:id="456"/>
      <w:r>
        <w:rPr>
          <w:rStyle w:val="CharDivText"/>
        </w:rPr>
        <w:t xml:space="preserve"> </w:t>
      </w:r>
    </w:p>
    <w:p>
      <w:pPr>
        <w:pStyle w:val="Footnoteheading"/>
        <w:keepNext/>
        <w:keepLines/>
        <w:tabs>
          <w:tab w:val="left" w:pos="924"/>
        </w:tabs>
        <w:rPr>
          <w:snapToGrid w:val="0"/>
        </w:rPr>
      </w:pPr>
      <w:r>
        <w:rPr>
          <w:snapToGrid w:val="0"/>
        </w:rPr>
        <w:tab/>
        <w:t xml:space="preserve">[Heading inserted: No. 56 of 1997 s. 36.] </w:t>
      </w:r>
    </w:p>
    <w:p>
      <w:pPr>
        <w:pStyle w:val="Heading5"/>
        <w:spacing w:before="180"/>
        <w:rPr>
          <w:snapToGrid w:val="0"/>
        </w:rPr>
      </w:pPr>
      <w:bookmarkStart w:id="457" w:name="_Toc131586525"/>
      <w:r>
        <w:rPr>
          <w:rStyle w:val="CharSectno"/>
        </w:rPr>
        <w:t>129</w:t>
      </w:r>
      <w:r>
        <w:rPr>
          <w:snapToGrid w:val="0"/>
        </w:rPr>
        <w:t>.</w:t>
      </w:r>
      <w:r>
        <w:rPr>
          <w:snapToGrid w:val="0"/>
        </w:rPr>
        <w:tab/>
        <w:t>Terms used</w:t>
      </w:r>
      <w:bookmarkEnd w:id="45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No. 56 of 1997 s. 36; amended: No. 12 of 1998 s. 35(6).] </w:t>
      </w:r>
    </w:p>
    <w:p>
      <w:pPr>
        <w:pStyle w:val="Heading5"/>
        <w:spacing w:before="180"/>
        <w:rPr>
          <w:snapToGrid w:val="0"/>
        </w:rPr>
      </w:pPr>
      <w:bookmarkStart w:id="458" w:name="_Toc131586526"/>
      <w:r>
        <w:rPr>
          <w:rStyle w:val="CharSectno"/>
        </w:rPr>
        <w:t>130</w:t>
      </w:r>
      <w:r>
        <w:rPr>
          <w:snapToGrid w:val="0"/>
        </w:rPr>
        <w:t>.</w:t>
      </w:r>
      <w:r>
        <w:rPr>
          <w:snapToGrid w:val="0"/>
        </w:rPr>
        <w:tab/>
        <w:t>Subsidies for wholesalers and producers</w:t>
      </w:r>
      <w:bookmarkEnd w:id="458"/>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lastRenderedPageBreak/>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No. 56 of 1997 s. 36.]</w:t>
      </w:r>
    </w:p>
    <w:p>
      <w:pPr>
        <w:pStyle w:val="Heading5"/>
        <w:spacing w:before="180"/>
        <w:rPr>
          <w:snapToGrid w:val="0"/>
        </w:rPr>
      </w:pPr>
      <w:bookmarkStart w:id="459" w:name="_Toc131586527"/>
      <w:r>
        <w:rPr>
          <w:rStyle w:val="CharSectno"/>
        </w:rPr>
        <w:t>131</w:t>
      </w:r>
      <w:r>
        <w:rPr>
          <w:snapToGrid w:val="0"/>
        </w:rPr>
        <w:t>.</w:t>
      </w:r>
      <w:r>
        <w:rPr>
          <w:snapToGrid w:val="0"/>
        </w:rPr>
        <w:tab/>
        <w:t>Application for subsidy</w:t>
      </w:r>
      <w:bookmarkEnd w:id="459"/>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No. 56 of 1997 s. 36.] </w:t>
      </w:r>
    </w:p>
    <w:p>
      <w:pPr>
        <w:pStyle w:val="Heading5"/>
        <w:spacing w:before="180"/>
        <w:rPr>
          <w:snapToGrid w:val="0"/>
        </w:rPr>
      </w:pPr>
      <w:bookmarkStart w:id="460" w:name="_Toc131586528"/>
      <w:r>
        <w:rPr>
          <w:rStyle w:val="CharSectno"/>
        </w:rPr>
        <w:t>132</w:t>
      </w:r>
      <w:r>
        <w:rPr>
          <w:snapToGrid w:val="0"/>
        </w:rPr>
        <w:t>.</w:t>
      </w:r>
      <w:r>
        <w:rPr>
          <w:snapToGrid w:val="0"/>
        </w:rPr>
        <w:tab/>
        <w:t>Director to pay subsidies</w:t>
      </w:r>
      <w:bookmarkEnd w:id="460"/>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No. 56 of 1997 s. 36.]</w:t>
      </w:r>
    </w:p>
    <w:p>
      <w:pPr>
        <w:pStyle w:val="Heading5"/>
        <w:spacing w:before="180"/>
        <w:rPr>
          <w:snapToGrid w:val="0"/>
        </w:rPr>
      </w:pPr>
      <w:bookmarkStart w:id="461" w:name="_Toc131586529"/>
      <w:r>
        <w:rPr>
          <w:rStyle w:val="CharSectno"/>
        </w:rPr>
        <w:t>133</w:t>
      </w:r>
      <w:r>
        <w:rPr>
          <w:snapToGrid w:val="0"/>
        </w:rPr>
        <w:t>.</w:t>
      </w:r>
      <w:r>
        <w:rPr>
          <w:snapToGrid w:val="0"/>
        </w:rPr>
        <w:tab/>
        <w:t>Consolidated Account appropriated</w:t>
      </w:r>
      <w:bookmarkEnd w:id="461"/>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lastRenderedPageBreak/>
        <w:tab/>
        <w:t>[Section 133 inserted: No. 56 of 1997 s. 36; amended: No. 77 of 2006 s. 4.]</w:t>
      </w:r>
    </w:p>
    <w:p>
      <w:pPr>
        <w:pStyle w:val="Heading5"/>
        <w:rPr>
          <w:snapToGrid w:val="0"/>
        </w:rPr>
      </w:pPr>
      <w:bookmarkStart w:id="462" w:name="_Toc131586530"/>
      <w:r>
        <w:rPr>
          <w:rStyle w:val="CharSectno"/>
        </w:rPr>
        <w:t>134</w:t>
      </w:r>
      <w:r>
        <w:rPr>
          <w:snapToGrid w:val="0"/>
        </w:rPr>
        <w:t>.</w:t>
      </w:r>
      <w:r>
        <w:rPr>
          <w:snapToGrid w:val="0"/>
        </w:rPr>
        <w:tab/>
        <w:t>Correcting incorrect subsidy payments</w:t>
      </w:r>
      <w:bookmarkEnd w:id="46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No. 56 of 1997 s. 36.]</w:t>
      </w:r>
    </w:p>
    <w:p>
      <w:pPr>
        <w:pStyle w:val="Heading5"/>
        <w:rPr>
          <w:snapToGrid w:val="0"/>
        </w:rPr>
      </w:pPr>
      <w:bookmarkStart w:id="463" w:name="_Toc131586531"/>
      <w:r>
        <w:rPr>
          <w:rStyle w:val="CharSectno"/>
        </w:rPr>
        <w:t>135</w:t>
      </w:r>
      <w:r>
        <w:rPr>
          <w:snapToGrid w:val="0"/>
        </w:rPr>
        <w:t>.</w:t>
      </w:r>
      <w:r>
        <w:rPr>
          <w:snapToGrid w:val="0"/>
        </w:rPr>
        <w:tab/>
        <w:t>Failure to correct incorrect subsidy application</w:t>
      </w:r>
      <w:bookmarkEnd w:id="463"/>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lastRenderedPageBreak/>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No. 56 of 1997 s. 36; amended: No. 56 of 2010 s. 69.]</w:t>
      </w:r>
    </w:p>
    <w:p>
      <w:pPr>
        <w:pStyle w:val="Heading5"/>
        <w:spacing w:before="180"/>
        <w:rPr>
          <w:snapToGrid w:val="0"/>
        </w:rPr>
      </w:pPr>
      <w:bookmarkStart w:id="464" w:name="_Toc131586532"/>
      <w:r>
        <w:rPr>
          <w:rStyle w:val="CharSectno"/>
        </w:rPr>
        <w:t>136</w:t>
      </w:r>
      <w:r>
        <w:rPr>
          <w:snapToGrid w:val="0"/>
        </w:rPr>
        <w:t>.</w:t>
      </w:r>
      <w:r>
        <w:rPr>
          <w:snapToGrid w:val="0"/>
        </w:rPr>
        <w:tab/>
        <w:t>Minister may order subsidies to cease</w:t>
      </w:r>
      <w:bookmarkEnd w:id="464"/>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lastRenderedPageBreak/>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No. 56 of 1997 s. 36.] </w:t>
      </w:r>
    </w:p>
    <w:p>
      <w:pPr>
        <w:pStyle w:val="Ednotesection"/>
        <w:spacing w:before="240"/>
        <w:ind w:left="890" w:hanging="890"/>
      </w:pPr>
      <w:r>
        <w:t>[</w:t>
      </w:r>
      <w:r>
        <w:rPr>
          <w:b/>
        </w:rPr>
        <w:t>137, 138.</w:t>
      </w:r>
      <w:r>
        <w:rPr>
          <w:b/>
        </w:rPr>
        <w:tab/>
      </w:r>
      <w:r>
        <w:t xml:space="preserve">Deleted: No. 56 of 1997 s. 36.] </w:t>
      </w:r>
    </w:p>
    <w:p>
      <w:pPr>
        <w:pStyle w:val="Heading3"/>
        <w:keepLines/>
        <w:spacing w:before="280"/>
        <w:rPr>
          <w:snapToGrid w:val="0"/>
        </w:rPr>
      </w:pPr>
      <w:bookmarkStart w:id="465" w:name="_Toc122337003"/>
      <w:bookmarkStart w:id="466" w:name="_Toc122342917"/>
      <w:bookmarkStart w:id="467" w:name="_Toc122513328"/>
      <w:bookmarkStart w:id="468" w:name="_Toc131519891"/>
      <w:bookmarkStart w:id="469" w:name="_Toc131520451"/>
      <w:bookmarkStart w:id="470" w:name="_Toc131586533"/>
      <w:r>
        <w:rPr>
          <w:rStyle w:val="CharDivNo"/>
        </w:rPr>
        <w:t>Division 3</w:t>
      </w:r>
      <w:r>
        <w:rPr>
          <w:snapToGrid w:val="0"/>
        </w:rPr>
        <w:t> — </w:t>
      </w:r>
      <w:r>
        <w:rPr>
          <w:rStyle w:val="CharDivText"/>
        </w:rPr>
        <w:t>Power of Commission with respect to moneys due</w:t>
      </w:r>
      <w:bookmarkEnd w:id="465"/>
      <w:bookmarkEnd w:id="466"/>
      <w:bookmarkEnd w:id="467"/>
      <w:bookmarkEnd w:id="468"/>
      <w:bookmarkEnd w:id="469"/>
      <w:bookmarkEnd w:id="470"/>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No. 56 of 1997 s. 37; No. 73 of 2006 s. 96.]</w:t>
      </w:r>
    </w:p>
    <w:p>
      <w:pPr>
        <w:pStyle w:val="Ednotesection"/>
        <w:keepNext/>
        <w:keepLines/>
        <w:spacing w:before="240"/>
      </w:pPr>
      <w:r>
        <w:t>[</w:t>
      </w:r>
      <w:r>
        <w:rPr>
          <w:b/>
        </w:rPr>
        <w:t>139</w:t>
      </w:r>
      <w:r>
        <w:rPr>
          <w:b/>
        </w:rPr>
        <w:noBreakHyphen/>
        <w:t>142.</w:t>
      </w:r>
      <w:r>
        <w:rPr>
          <w:b/>
        </w:rPr>
        <w:tab/>
      </w:r>
      <w:r>
        <w:t xml:space="preserve">Deleted: No. 56 of 1997 s. 38.] </w:t>
      </w:r>
    </w:p>
    <w:p>
      <w:pPr>
        <w:pStyle w:val="Heading5"/>
        <w:spacing w:before="240"/>
        <w:rPr>
          <w:snapToGrid w:val="0"/>
        </w:rPr>
      </w:pPr>
      <w:bookmarkStart w:id="471" w:name="_Toc131586534"/>
      <w:r>
        <w:rPr>
          <w:rStyle w:val="CharSectno"/>
        </w:rPr>
        <w:t>143</w:t>
      </w:r>
      <w:r>
        <w:rPr>
          <w:snapToGrid w:val="0"/>
        </w:rPr>
        <w:t>.</w:t>
      </w:r>
      <w:r>
        <w:rPr>
          <w:snapToGrid w:val="0"/>
        </w:rPr>
        <w:tab/>
        <w:t>Order for payment of money</w:t>
      </w:r>
      <w:bookmarkEnd w:id="471"/>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lastRenderedPageBreak/>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No. 56 of 1997 s. 39; No. 59 of 2004 s. 141; No. 73 of 2006 s. 106.] </w:t>
      </w:r>
    </w:p>
    <w:p>
      <w:pPr>
        <w:pStyle w:val="Ednotesection"/>
        <w:ind w:left="890" w:hanging="890"/>
      </w:pPr>
      <w:r>
        <w:t>[</w:t>
      </w:r>
      <w:r>
        <w:rPr>
          <w:b/>
        </w:rPr>
        <w:t>144.</w:t>
      </w:r>
      <w:r>
        <w:rPr>
          <w:b/>
        </w:rPr>
        <w:tab/>
      </w:r>
      <w:r>
        <w:t xml:space="preserve">Deleted: No. 56 of 1997 s. 40.] </w:t>
      </w:r>
    </w:p>
    <w:p>
      <w:pPr>
        <w:pStyle w:val="Heading3"/>
        <w:keepNext w:val="0"/>
        <w:rPr>
          <w:snapToGrid w:val="0"/>
        </w:rPr>
      </w:pPr>
      <w:bookmarkStart w:id="472" w:name="_Toc122337005"/>
      <w:bookmarkStart w:id="473" w:name="_Toc122342919"/>
      <w:bookmarkStart w:id="474" w:name="_Toc122513330"/>
      <w:bookmarkStart w:id="475" w:name="_Toc131519893"/>
      <w:bookmarkStart w:id="476" w:name="_Toc131520453"/>
      <w:bookmarkStart w:id="477" w:name="_Toc131586535"/>
      <w:r>
        <w:rPr>
          <w:rStyle w:val="CharDivNo"/>
        </w:rPr>
        <w:t>Division 4</w:t>
      </w:r>
      <w:r>
        <w:rPr>
          <w:snapToGrid w:val="0"/>
        </w:rPr>
        <w:t> — </w:t>
      </w:r>
      <w:r>
        <w:rPr>
          <w:rStyle w:val="CharDivText"/>
        </w:rPr>
        <w:t>Records and returns</w:t>
      </w:r>
      <w:bookmarkEnd w:id="472"/>
      <w:bookmarkEnd w:id="473"/>
      <w:bookmarkEnd w:id="474"/>
      <w:bookmarkEnd w:id="475"/>
      <w:bookmarkEnd w:id="476"/>
      <w:bookmarkEnd w:id="477"/>
      <w:r>
        <w:rPr>
          <w:rStyle w:val="CharDivText"/>
        </w:rPr>
        <w:t xml:space="preserve"> </w:t>
      </w:r>
    </w:p>
    <w:p>
      <w:pPr>
        <w:pStyle w:val="Heading5"/>
        <w:keepNext w:val="0"/>
        <w:spacing w:before="160"/>
        <w:rPr>
          <w:snapToGrid w:val="0"/>
        </w:rPr>
      </w:pPr>
      <w:bookmarkStart w:id="478" w:name="_Toc131586536"/>
      <w:r>
        <w:rPr>
          <w:rStyle w:val="CharSectno"/>
        </w:rPr>
        <w:t>145</w:t>
      </w:r>
      <w:r>
        <w:rPr>
          <w:snapToGrid w:val="0"/>
        </w:rPr>
        <w:t>.</w:t>
      </w:r>
      <w:r>
        <w:rPr>
          <w:snapToGrid w:val="0"/>
        </w:rPr>
        <w:tab/>
        <w:t>Records of liquor transactions to be kept by licensees etc.</w:t>
      </w:r>
      <w:bookmarkEnd w:id="478"/>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lastRenderedPageBreak/>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No. 56 of 1997 s. 41; No. 12 of 1998 s. 86; No. 73 of 2006 s. 110; No. 56 of 2010 s. 69.] </w:t>
      </w:r>
    </w:p>
    <w:p>
      <w:pPr>
        <w:pStyle w:val="Heading5"/>
        <w:rPr>
          <w:snapToGrid w:val="0"/>
        </w:rPr>
      </w:pPr>
      <w:bookmarkStart w:id="479" w:name="_Toc131586537"/>
      <w:r>
        <w:rPr>
          <w:rStyle w:val="CharSectno"/>
        </w:rPr>
        <w:t>146</w:t>
      </w:r>
      <w:r>
        <w:rPr>
          <w:snapToGrid w:val="0"/>
        </w:rPr>
        <w:t>.</w:t>
      </w:r>
      <w:r>
        <w:rPr>
          <w:snapToGrid w:val="0"/>
        </w:rPr>
        <w:tab/>
        <w:t>Information to be given to Director in returns</w:t>
      </w:r>
      <w:bookmarkEnd w:id="479"/>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lastRenderedPageBreak/>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No. 56 of 1997 s. 42; No. 73 of 2006 s. 110; No. 56 of 2010 s. 69.] </w:t>
      </w:r>
    </w:p>
    <w:p>
      <w:pPr>
        <w:pStyle w:val="Heading3"/>
        <w:rPr>
          <w:snapToGrid w:val="0"/>
        </w:rPr>
      </w:pPr>
      <w:bookmarkStart w:id="480" w:name="_Toc122337008"/>
      <w:bookmarkStart w:id="481" w:name="_Toc122342922"/>
      <w:bookmarkStart w:id="482" w:name="_Toc122513333"/>
      <w:bookmarkStart w:id="483" w:name="_Toc131519896"/>
      <w:bookmarkStart w:id="484" w:name="_Toc131520456"/>
      <w:bookmarkStart w:id="485" w:name="_Toc131586538"/>
      <w:r>
        <w:rPr>
          <w:rStyle w:val="CharDivNo"/>
        </w:rPr>
        <w:t>Division 5</w:t>
      </w:r>
      <w:r>
        <w:rPr>
          <w:snapToGrid w:val="0"/>
        </w:rPr>
        <w:t> — </w:t>
      </w:r>
      <w:r>
        <w:rPr>
          <w:rStyle w:val="CharDivText"/>
        </w:rPr>
        <w:t>Recovery of illegal gains</w:t>
      </w:r>
      <w:bookmarkEnd w:id="480"/>
      <w:bookmarkEnd w:id="481"/>
      <w:bookmarkEnd w:id="482"/>
      <w:bookmarkEnd w:id="483"/>
      <w:bookmarkEnd w:id="484"/>
      <w:bookmarkEnd w:id="485"/>
      <w:r>
        <w:rPr>
          <w:rStyle w:val="CharDivText"/>
        </w:rPr>
        <w:t xml:space="preserve"> </w:t>
      </w:r>
    </w:p>
    <w:p>
      <w:pPr>
        <w:pStyle w:val="Footnoteheading"/>
        <w:keepNext/>
        <w:keepLines/>
        <w:tabs>
          <w:tab w:val="left" w:pos="924"/>
        </w:tabs>
        <w:rPr>
          <w:snapToGrid w:val="0"/>
        </w:rPr>
      </w:pPr>
      <w:r>
        <w:rPr>
          <w:snapToGrid w:val="0"/>
        </w:rPr>
        <w:tab/>
        <w:t>[Heading amended: No. 56 of 1997 s. 43.]</w:t>
      </w:r>
    </w:p>
    <w:p>
      <w:pPr>
        <w:pStyle w:val="Heading5"/>
        <w:rPr>
          <w:snapToGrid w:val="0"/>
        </w:rPr>
      </w:pPr>
      <w:bookmarkStart w:id="486" w:name="_Toc131586539"/>
      <w:r>
        <w:rPr>
          <w:rStyle w:val="CharSectno"/>
        </w:rPr>
        <w:t>147</w:t>
      </w:r>
      <w:r>
        <w:rPr>
          <w:snapToGrid w:val="0"/>
        </w:rPr>
        <w:t>.</w:t>
      </w:r>
      <w:r>
        <w:rPr>
          <w:snapToGrid w:val="0"/>
        </w:rPr>
        <w:tab/>
        <w:t>Illegal gains, estimation and recovery of</w:t>
      </w:r>
      <w:bookmarkEnd w:id="486"/>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lastRenderedPageBreak/>
        <w:tab/>
        <w:t xml:space="preserve">[Section 147 amended: No. 56 of 1997 s. 44; No. 73 of 2006 s. 106.] </w:t>
      </w:r>
    </w:p>
    <w:p>
      <w:pPr>
        <w:pStyle w:val="Heading3"/>
        <w:rPr>
          <w:snapToGrid w:val="0"/>
        </w:rPr>
      </w:pPr>
      <w:bookmarkStart w:id="487" w:name="_Toc122337010"/>
      <w:bookmarkStart w:id="488" w:name="_Toc122342924"/>
      <w:bookmarkStart w:id="489" w:name="_Toc122513335"/>
      <w:bookmarkStart w:id="490" w:name="_Toc131519898"/>
      <w:bookmarkStart w:id="491" w:name="_Toc131520458"/>
      <w:bookmarkStart w:id="492" w:name="_Toc131586540"/>
      <w:r>
        <w:rPr>
          <w:rStyle w:val="CharDivNo"/>
        </w:rPr>
        <w:t>Division 6</w:t>
      </w:r>
      <w:r>
        <w:rPr>
          <w:snapToGrid w:val="0"/>
        </w:rPr>
        <w:t> — </w:t>
      </w:r>
      <w:r>
        <w:rPr>
          <w:rStyle w:val="CharDivText"/>
        </w:rPr>
        <w:t>Information</w:t>
      </w:r>
      <w:bookmarkEnd w:id="487"/>
      <w:bookmarkEnd w:id="488"/>
      <w:bookmarkEnd w:id="489"/>
      <w:bookmarkEnd w:id="490"/>
      <w:bookmarkEnd w:id="491"/>
      <w:bookmarkEnd w:id="492"/>
      <w:r>
        <w:rPr>
          <w:rStyle w:val="CharDivText"/>
        </w:rPr>
        <w:t xml:space="preserve"> </w:t>
      </w:r>
    </w:p>
    <w:p>
      <w:pPr>
        <w:pStyle w:val="Heading5"/>
        <w:rPr>
          <w:snapToGrid w:val="0"/>
        </w:rPr>
      </w:pPr>
      <w:bookmarkStart w:id="493" w:name="_Toc131586541"/>
      <w:r>
        <w:rPr>
          <w:rStyle w:val="CharSectno"/>
        </w:rPr>
        <w:t>148</w:t>
      </w:r>
      <w:r>
        <w:rPr>
          <w:snapToGrid w:val="0"/>
        </w:rPr>
        <w:t>.</w:t>
      </w:r>
      <w:r>
        <w:rPr>
          <w:snapToGrid w:val="0"/>
        </w:rPr>
        <w:tab/>
        <w:t>Information etc., Director’s powers to obtain</w:t>
      </w:r>
      <w:bookmarkEnd w:id="493"/>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No. 56 of 1997 s. 45.] </w:t>
      </w:r>
    </w:p>
    <w:p>
      <w:pPr>
        <w:pStyle w:val="Heading5"/>
        <w:rPr>
          <w:snapToGrid w:val="0"/>
        </w:rPr>
      </w:pPr>
      <w:bookmarkStart w:id="494" w:name="_Toc131586542"/>
      <w:r>
        <w:rPr>
          <w:rStyle w:val="CharSectno"/>
        </w:rPr>
        <w:t>149</w:t>
      </w:r>
      <w:r>
        <w:rPr>
          <w:snapToGrid w:val="0"/>
        </w:rPr>
        <w:t>.</w:t>
      </w:r>
      <w:r>
        <w:rPr>
          <w:snapToGrid w:val="0"/>
        </w:rPr>
        <w:tab/>
        <w:t>Use of information, Director’s powers as to</w:t>
      </w:r>
      <w:bookmarkEnd w:id="494"/>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495" w:name="_Toc131586543"/>
      <w:r>
        <w:rPr>
          <w:rStyle w:val="CharSectno"/>
        </w:rPr>
        <w:t>150</w:t>
      </w:r>
      <w:r>
        <w:rPr>
          <w:snapToGrid w:val="0"/>
        </w:rPr>
        <w:t>.</w:t>
      </w:r>
      <w:r>
        <w:rPr>
          <w:snapToGrid w:val="0"/>
        </w:rPr>
        <w:tab/>
        <w:t>Premises and records, Director’s right of access to etc.</w:t>
      </w:r>
      <w:bookmarkEnd w:id="495"/>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lastRenderedPageBreak/>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No. 56 of 1997 s. 46; No. 12 of 1998 s. 97(1); No. 73 of 2006 s. 110; No. 56 of 2010 s. 69.] </w:t>
      </w:r>
    </w:p>
    <w:p>
      <w:pPr>
        <w:pStyle w:val="Heading5"/>
        <w:rPr>
          <w:snapToGrid w:val="0"/>
        </w:rPr>
      </w:pPr>
      <w:bookmarkStart w:id="496" w:name="_Toc131586544"/>
      <w:r>
        <w:rPr>
          <w:rStyle w:val="CharSectno"/>
        </w:rPr>
        <w:t>151</w:t>
      </w:r>
      <w:r>
        <w:rPr>
          <w:snapToGrid w:val="0"/>
        </w:rPr>
        <w:t>.</w:t>
      </w:r>
      <w:r>
        <w:rPr>
          <w:snapToGrid w:val="0"/>
        </w:rPr>
        <w:tab/>
        <w:t>Licensing authority may assist other authorities</w:t>
      </w:r>
      <w:bookmarkEnd w:id="496"/>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497" w:name="_Toc131586545"/>
      <w:r>
        <w:rPr>
          <w:rStyle w:val="CharSectno"/>
        </w:rPr>
        <w:t>152</w:t>
      </w:r>
      <w:r>
        <w:rPr>
          <w:snapToGrid w:val="0"/>
        </w:rPr>
        <w:t>.</w:t>
      </w:r>
      <w:r>
        <w:rPr>
          <w:snapToGrid w:val="0"/>
        </w:rPr>
        <w:tab/>
        <w:t>Disclosure of information by officials</w:t>
      </w:r>
      <w:bookmarkEnd w:id="497"/>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 xml:space="preserve">either directly or indirectly, except in the performance of a function in relation to this Act or in accordance with section 151, make a record of, or divulge or communicate to any other person any information </w:t>
      </w:r>
      <w:r>
        <w:rPr>
          <w:snapToGrid w:val="0"/>
        </w:rPr>
        <w:lastRenderedPageBreak/>
        <w:t>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No. 73 of 2006 s. 110; No. 56 of 2010 s. 69.]</w:t>
      </w:r>
    </w:p>
    <w:p>
      <w:pPr>
        <w:pStyle w:val="Heading2"/>
      </w:pPr>
      <w:bookmarkStart w:id="498" w:name="_Toc122337016"/>
      <w:bookmarkStart w:id="499" w:name="_Toc122342930"/>
      <w:bookmarkStart w:id="500" w:name="_Toc122513341"/>
      <w:bookmarkStart w:id="501" w:name="_Toc131519904"/>
      <w:bookmarkStart w:id="502" w:name="_Toc131520464"/>
      <w:bookmarkStart w:id="503" w:name="_Toc131586546"/>
      <w:r>
        <w:rPr>
          <w:rStyle w:val="CharPartNo"/>
        </w:rPr>
        <w:lastRenderedPageBreak/>
        <w:t>Part 5A</w:t>
      </w:r>
      <w:r>
        <w:rPr>
          <w:rStyle w:val="CharDivNo"/>
        </w:rPr>
        <w:t> </w:t>
      </w:r>
      <w:r>
        <w:t>—</w:t>
      </w:r>
      <w:r>
        <w:rPr>
          <w:rStyle w:val="CharDivText"/>
        </w:rPr>
        <w:t> </w:t>
      </w:r>
      <w:r>
        <w:rPr>
          <w:rStyle w:val="CharPartText"/>
        </w:rPr>
        <w:t>Prohibition orders</w:t>
      </w:r>
      <w:bookmarkEnd w:id="498"/>
      <w:bookmarkEnd w:id="499"/>
      <w:bookmarkEnd w:id="500"/>
      <w:bookmarkEnd w:id="501"/>
      <w:bookmarkEnd w:id="502"/>
      <w:bookmarkEnd w:id="503"/>
    </w:p>
    <w:p>
      <w:pPr>
        <w:pStyle w:val="Footnoteheading"/>
      </w:pPr>
      <w:r>
        <w:tab/>
        <w:t>[Heading inserted: No. 73 of 2006 s. 97.]</w:t>
      </w:r>
    </w:p>
    <w:p>
      <w:pPr>
        <w:pStyle w:val="Heading5"/>
        <w:spacing w:before="240"/>
      </w:pPr>
      <w:bookmarkStart w:id="504" w:name="_Toc131586547"/>
      <w:r>
        <w:rPr>
          <w:rStyle w:val="CharSectno"/>
        </w:rPr>
        <w:t>152A</w:t>
      </w:r>
      <w:r>
        <w:t>.</w:t>
      </w:r>
      <w:r>
        <w:tab/>
        <w:t>Terms used</w:t>
      </w:r>
      <w:bookmarkEnd w:id="504"/>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No. 73 of 2006 s. 97.]</w:t>
      </w:r>
    </w:p>
    <w:p>
      <w:pPr>
        <w:pStyle w:val="Heading5"/>
        <w:spacing w:before="240"/>
      </w:pPr>
      <w:bookmarkStart w:id="505" w:name="_Toc131586548"/>
      <w:r>
        <w:rPr>
          <w:rStyle w:val="CharSectno"/>
        </w:rPr>
        <w:t>152B</w:t>
      </w:r>
      <w:r>
        <w:t>.</w:t>
      </w:r>
      <w:r>
        <w:tab/>
        <w:t>Commissioner of Police may apply for prohibition orders</w:t>
      </w:r>
      <w:bookmarkEnd w:id="505"/>
    </w:p>
    <w:p>
      <w:pPr>
        <w:pStyle w:val="Subsection"/>
        <w:spacing w:before="180"/>
      </w:pPr>
      <w:r>
        <w:tab/>
        <w:t>(1)</w:t>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Subsection"/>
      </w:pPr>
      <w:r>
        <w:tab/>
        <w:t>(2)</w:t>
      </w:r>
      <w:r>
        <w:tab/>
        <w:t>The Commissioner of Police must serve a copy of the application on the relevant person.</w:t>
      </w:r>
    </w:p>
    <w:p>
      <w:pPr>
        <w:pStyle w:val="Subsection"/>
      </w:pPr>
      <w:r>
        <w:lastRenderedPageBreak/>
        <w:tab/>
        <w:t>(3)</w:t>
      </w:r>
      <w:r>
        <w:tab/>
        <w:t>Nothing in subsection (2) requires or authorises the Commissioner of Police to disclose confidential police information.</w:t>
      </w:r>
    </w:p>
    <w:p>
      <w:pPr>
        <w:pStyle w:val="Footnotesection"/>
      </w:pPr>
      <w:r>
        <w:tab/>
        <w:t>[Section 152B inserted: No. 73 of 2006 s. 97; amended: No. 9 of 2018 s. 61; No. 44 of 2022 s. 12.]</w:t>
      </w:r>
    </w:p>
    <w:p>
      <w:pPr>
        <w:pStyle w:val="Heading5"/>
        <w:keepNext w:val="0"/>
        <w:keepLines w:val="0"/>
        <w:spacing w:before="240"/>
      </w:pPr>
      <w:bookmarkStart w:id="506" w:name="_Toc131586549"/>
      <w:r>
        <w:rPr>
          <w:rStyle w:val="CharSectno"/>
        </w:rPr>
        <w:t>152C</w:t>
      </w:r>
      <w:r>
        <w:t>.</w:t>
      </w:r>
      <w:r>
        <w:tab/>
        <w:t>Evidence in support of s. 152B application</w:t>
      </w:r>
      <w:bookmarkEnd w:id="506"/>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No. 73 of 2006 s. 97.]</w:t>
      </w:r>
    </w:p>
    <w:p>
      <w:pPr>
        <w:pStyle w:val="Heading5"/>
      </w:pPr>
      <w:bookmarkStart w:id="507" w:name="_Toc131586550"/>
      <w:r>
        <w:rPr>
          <w:rStyle w:val="CharSectno"/>
        </w:rPr>
        <w:t>152D</w:t>
      </w:r>
      <w:r>
        <w:t>.</w:t>
      </w:r>
      <w:r>
        <w:tab/>
        <w:t>Notice of s. 152B application etc. to be given to relevant person</w:t>
      </w:r>
      <w:bookmarkEnd w:id="507"/>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lastRenderedPageBreak/>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No. 73 of 2006 s. 97.]</w:t>
      </w:r>
    </w:p>
    <w:p>
      <w:pPr>
        <w:pStyle w:val="Heading5"/>
      </w:pPr>
      <w:bookmarkStart w:id="508" w:name="_Toc131586551"/>
      <w:r>
        <w:rPr>
          <w:rStyle w:val="CharSectno"/>
        </w:rPr>
        <w:t>152E</w:t>
      </w:r>
      <w:r>
        <w:t>.</w:t>
      </w:r>
      <w:r>
        <w:tab/>
        <w:t>Director may make prohibition orders</w:t>
      </w:r>
      <w:bookmarkEnd w:id="50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lastRenderedPageBreak/>
        <w:tab/>
        <w:t>(4)</w:t>
      </w:r>
      <w:r>
        <w:tab/>
        <w:t>A prohibition order has effect subject to such terms or conditions as the Director thinks fit and specifies in the order.</w:t>
      </w:r>
    </w:p>
    <w:p>
      <w:pPr>
        <w:pStyle w:val="Footnotesection"/>
      </w:pPr>
      <w:r>
        <w:tab/>
        <w:t>[Section 152E inserted: No. 73 of 2006 s. 97.]</w:t>
      </w:r>
    </w:p>
    <w:p>
      <w:pPr>
        <w:pStyle w:val="Heading5"/>
        <w:keepLines w:val="0"/>
        <w:spacing w:before="180"/>
      </w:pPr>
      <w:bookmarkStart w:id="509" w:name="_Toc131586552"/>
      <w:r>
        <w:rPr>
          <w:rStyle w:val="CharSectno"/>
        </w:rPr>
        <w:t>152F</w:t>
      </w:r>
      <w:r>
        <w:t>.</w:t>
      </w:r>
      <w:r>
        <w:tab/>
        <w:t>Term of prohibition orders</w:t>
      </w:r>
      <w:bookmarkEnd w:id="509"/>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No. 73 of 2006 s. 97.]</w:t>
      </w:r>
    </w:p>
    <w:p>
      <w:pPr>
        <w:pStyle w:val="Heading5"/>
      </w:pPr>
      <w:bookmarkStart w:id="510" w:name="_Toc131586553"/>
      <w:r>
        <w:rPr>
          <w:rStyle w:val="CharSectno"/>
        </w:rPr>
        <w:t>152G</w:t>
      </w:r>
      <w:r>
        <w:t>.</w:t>
      </w:r>
      <w:r>
        <w:tab/>
        <w:t>Applications to vary or revoke prohibition orders</w:t>
      </w:r>
      <w:bookmarkEnd w:id="510"/>
    </w:p>
    <w:p>
      <w:pPr>
        <w:pStyle w:val="Subsection"/>
      </w:pPr>
      <w:r>
        <w:tab/>
        <w:t>(1)</w:t>
      </w:r>
      <w:r>
        <w:tab/>
        <w:t>The Commissioner of Police or the relevant person may apply to the Director for an order varying or revoking a prohibition order.</w:t>
      </w:r>
    </w:p>
    <w:p>
      <w:pPr>
        <w:pStyle w:val="Subsection"/>
      </w:pPr>
      <w:r>
        <w:tab/>
        <w:t>(1A)</w:t>
      </w:r>
      <w:r>
        <w:tab/>
        <w:t xml:space="preserve">The application must be — </w:t>
      </w:r>
    </w:p>
    <w:p>
      <w:pPr>
        <w:pStyle w:val="Indenta"/>
      </w:pPr>
      <w:r>
        <w:tab/>
        <w:t>(a)</w:t>
      </w:r>
      <w:r>
        <w:tab/>
        <w:t>in writing in a form approved by the Director; and</w:t>
      </w:r>
    </w:p>
    <w:p>
      <w:pPr>
        <w:pStyle w:val="Indenta"/>
      </w:pPr>
      <w:r>
        <w:tab/>
        <w:t>(b)</w:t>
      </w:r>
      <w:r>
        <w:tab/>
        <w:t>made during the period that the prohibition order is in effect.</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No. 73 of 2006 s. 97; amended: No. 44 of 2022 s. 13.]</w:t>
      </w:r>
    </w:p>
    <w:p>
      <w:pPr>
        <w:pStyle w:val="Heading5"/>
      </w:pPr>
      <w:bookmarkStart w:id="511" w:name="_Toc131586554"/>
      <w:r>
        <w:rPr>
          <w:rStyle w:val="CharSectno"/>
        </w:rPr>
        <w:lastRenderedPageBreak/>
        <w:t>152H</w:t>
      </w:r>
      <w:r>
        <w:t>.</w:t>
      </w:r>
      <w:r>
        <w:tab/>
        <w:t>Evidence in support of s. 152G application</w:t>
      </w:r>
      <w:bookmarkEnd w:id="511"/>
    </w:p>
    <w:p>
      <w:pPr>
        <w:pStyle w:val="Subsection"/>
        <w:keepNext/>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No. 73 of 2006 s. 97.]</w:t>
      </w:r>
    </w:p>
    <w:p>
      <w:pPr>
        <w:pStyle w:val="Heading5"/>
      </w:pPr>
      <w:bookmarkStart w:id="512" w:name="_Toc131586555"/>
      <w:r>
        <w:rPr>
          <w:rStyle w:val="CharSectno"/>
        </w:rPr>
        <w:t>152I</w:t>
      </w:r>
      <w:r>
        <w:t>.</w:t>
      </w:r>
      <w:r>
        <w:tab/>
        <w:t>Notice of s. 152G application etc. to be given to respondent</w:t>
      </w:r>
      <w:bookmarkEnd w:id="512"/>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No. 73 of 2006 s. 97.]</w:t>
      </w:r>
    </w:p>
    <w:p>
      <w:pPr>
        <w:pStyle w:val="Heading5"/>
      </w:pPr>
      <w:bookmarkStart w:id="513" w:name="_Toc131586556"/>
      <w:r>
        <w:rPr>
          <w:rStyle w:val="CharSectno"/>
        </w:rPr>
        <w:t>152J</w:t>
      </w:r>
      <w:r>
        <w:t>.</w:t>
      </w:r>
      <w:r>
        <w:tab/>
        <w:t>Director may vary or revoke prohibition orders</w:t>
      </w:r>
      <w:bookmarkEnd w:id="513"/>
    </w:p>
    <w:p>
      <w:pPr>
        <w:pStyle w:val="Subsection"/>
      </w:pPr>
      <w:r>
        <w:tab/>
        <w:t>(1)</w:t>
      </w:r>
      <w:r>
        <w:tab/>
        <w:t xml:space="preserve">The Director may dispose of the application — </w:t>
      </w:r>
    </w:p>
    <w:p>
      <w:pPr>
        <w:pStyle w:val="Indenta"/>
        <w:spacing w:before="70"/>
      </w:pPr>
      <w:r>
        <w:tab/>
        <w:t>(a)</w:t>
      </w:r>
      <w:r>
        <w:tab/>
        <w:t>by making an order that varies or revokes a prohibition order (whether or not the variation or revocation was applied for);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lastRenderedPageBreak/>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No. 73 of 2006 s. 97; amended: No. 44 of 2022 s. 14.]</w:t>
      </w:r>
    </w:p>
    <w:p>
      <w:pPr>
        <w:pStyle w:val="Heading5"/>
      </w:pPr>
      <w:bookmarkStart w:id="514" w:name="_Toc131586557"/>
      <w:r>
        <w:rPr>
          <w:rStyle w:val="CharSectno"/>
        </w:rPr>
        <w:t>152K</w:t>
      </w:r>
      <w:r>
        <w:t>.</w:t>
      </w:r>
      <w:r>
        <w:tab/>
        <w:t>Service, publication and disclosure of prohibition orders</w:t>
      </w:r>
      <w:bookmarkEnd w:id="514"/>
    </w:p>
    <w:p>
      <w:pPr>
        <w:pStyle w:val="Subsection"/>
      </w:pPr>
      <w:r>
        <w:tab/>
        <w:t>(1A)</w:t>
      </w:r>
      <w:r>
        <w:tab/>
        <w:t xml:space="preserve">In this section — </w:t>
      </w:r>
    </w:p>
    <w:p>
      <w:pPr>
        <w:pStyle w:val="Defstart"/>
      </w:pPr>
      <w:r>
        <w:tab/>
      </w:r>
      <w:r>
        <w:rPr>
          <w:rStyle w:val="CharDefText"/>
        </w:rPr>
        <w:t>personal particulars</w:t>
      </w:r>
      <w:r>
        <w:t xml:space="preserve">, in relation to a prohibition order, means — </w:t>
      </w:r>
    </w:p>
    <w:p>
      <w:pPr>
        <w:pStyle w:val="Defpara"/>
      </w:pPr>
      <w:r>
        <w:tab/>
        <w:t>(a)</w:t>
      </w:r>
      <w:r>
        <w:tab/>
        <w:t>the name and date of birth of the relevant person; and</w:t>
      </w:r>
    </w:p>
    <w:p>
      <w:pPr>
        <w:pStyle w:val="Defpara"/>
      </w:pPr>
      <w:r>
        <w:tab/>
        <w:t>(b)</w:t>
      </w:r>
      <w:r>
        <w:tab/>
        <w:t>a photograph of the relevant person; and</w:t>
      </w:r>
    </w:p>
    <w:p>
      <w:pPr>
        <w:pStyle w:val="Defpara"/>
      </w:pPr>
      <w:r>
        <w:tab/>
        <w:t>(c)</w:t>
      </w:r>
      <w:r>
        <w:tab/>
        <w:t>the address of the relevant person; and</w:t>
      </w:r>
    </w:p>
    <w:p>
      <w:pPr>
        <w:pStyle w:val="Defpara"/>
      </w:pPr>
      <w:r>
        <w:tab/>
        <w:t>(d)</w:t>
      </w:r>
      <w:r>
        <w:tab/>
        <w:t>the licensed premises, or class of licensed premises, to which the order relates;</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keepNext/>
      </w:pPr>
      <w:r>
        <w:lastRenderedPageBreak/>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a prohibition order is in effect, the Director may — </w:t>
      </w:r>
    </w:p>
    <w:p>
      <w:pPr>
        <w:pStyle w:val="Indenta"/>
      </w:pPr>
      <w:r>
        <w:tab/>
        <w:t>(a)</w:t>
      </w:r>
      <w:r>
        <w:tab/>
        <w:t>publish on a secure webpage any of the personal particulars in relation to the order; and</w:t>
      </w:r>
    </w:p>
    <w:p>
      <w:pPr>
        <w:pStyle w:val="Indenta"/>
      </w:pPr>
      <w:r>
        <w:tab/>
        <w:t>(b)</w:t>
      </w:r>
      <w:r>
        <w:tab/>
        <w:t xml:space="preserve">if the relevant person in relation to the order is not a juvenile — publish, in any manner the Director considers appropriate, any of the following in relation to the order — </w:t>
      </w:r>
    </w:p>
    <w:p>
      <w:pPr>
        <w:pStyle w:val="Indenti"/>
      </w:pPr>
      <w:r>
        <w:tab/>
        <w:t>(i)</w:t>
      </w:r>
      <w:r>
        <w:tab/>
        <w:t>the name of the relevant person;</w:t>
      </w:r>
    </w:p>
    <w:p>
      <w:pPr>
        <w:pStyle w:val="Indenti"/>
      </w:pPr>
      <w:r>
        <w:tab/>
        <w:t>(ii)</w:t>
      </w:r>
      <w:r>
        <w:tab/>
        <w:t>a photograph of the relevant person;</w:t>
      </w:r>
    </w:p>
    <w:p>
      <w:pPr>
        <w:pStyle w:val="Indenti"/>
      </w:pPr>
      <w:r>
        <w:tab/>
        <w:t>(iii)</w:t>
      </w:r>
      <w:r>
        <w:tab/>
        <w:t>the town or suburb where the relevant person lives;</w:t>
      </w:r>
    </w:p>
    <w:p>
      <w:pPr>
        <w:pStyle w:val="Indenti"/>
      </w:pPr>
      <w:r>
        <w:tab/>
        <w:t>(iv)</w:t>
      </w:r>
      <w:r>
        <w:tab/>
        <w:t>the licensed premises, or class of licensed premises, to which the order relates.</w:t>
      </w:r>
    </w:p>
    <w:p>
      <w:pPr>
        <w:pStyle w:val="Subsection"/>
      </w:pPr>
      <w:r>
        <w:t>(2AA)</w:t>
      </w:r>
      <w:r>
        <w:tab/>
        <w:t xml:space="preserve">If a prohibition order is in effect, the Director may disclose any of the personal particulars in relation to the order to — </w:t>
      </w:r>
    </w:p>
    <w:p>
      <w:pPr>
        <w:pStyle w:val="Indenta"/>
      </w:pPr>
      <w:r>
        <w:tab/>
        <w:t>(a)</w:t>
      </w:r>
      <w:r>
        <w:tab/>
        <w:t>a public authority if the Director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Director considers that the personal particulars are required by that person for a purpose relating to — </w:t>
      </w:r>
    </w:p>
    <w:p>
      <w:pPr>
        <w:pStyle w:val="Indenti"/>
      </w:pPr>
      <w:r>
        <w:tab/>
        <w:t>(i)</w:t>
      </w:r>
      <w:r>
        <w:tab/>
        <w:t xml:space="preserve">the further provision of the personal particulars to responsible persons in relation to licensed </w:t>
      </w:r>
      <w:r>
        <w:lastRenderedPageBreak/>
        <w:t>premises to assist those responsible persons to identify persons subject to prohibition orders; or</w:t>
      </w:r>
    </w:p>
    <w:p>
      <w:pPr>
        <w:pStyle w:val="Indenti"/>
      </w:pPr>
      <w:r>
        <w:tab/>
        <w:t>(ii)</w:t>
      </w:r>
      <w:r>
        <w:tab/>
        <w:t>the creation or provision of equipment, software, databases or any other thing to be used by responsible persons in identifying persons subject to prohibition orders.</w:t>
      </w:r>
    </w:p>
    <w:p>
      <w:pPr>
        <w:pStyle w:val="Subsection"/>
      </w:pPr>
      <w:r>
        <w:tab/>
        <w:t>(2B)</w:t>
      </w:r>
      <w:r>
        <w:tab/>
        <w:t>Subsections (2A) and (2AA) do not permit the publication or disclosure of anything that identifies, or is capable of identifying —</w:t>
      </w:r>
    </w:p>
    <w:p>
      <w:pPr>
        <w:pStyle w:val="Indenta"/>
      </w:pPr>
      <w:r>
        <w:tab/>
        <w:t>(a)</w:t>
      </w:r>
      <w:r>
        <w:tab/>
        <w:t>a juvenile other than the relevant person; or</w:t>
      </w:r>
    </w:p>
    <w:p>
      <w:pPr>
        <w:pStyle w:val="Indenta"/>
      </w:pPr>
      <w:r>
        <w:tab/>
        <w:t>(b)</w:t>
      </w:r>
      <w:r>
        <w:tab/>
        <w:t>the details of any offence of which the relevant person was convicted in the Children’s Court.</w:t>
      </w:r>
    </w:p>
    <w:p>
      <w:pPr>
        <w:pStyle w:val="Subsection"/>
      </w:pPr>
      <w:r>
        <w:tab/>
        <w:t>(2C)</w:t>
      </w:r>
      <w:r>
        <w:tab/>
        <w:t>A person may republish in any manner something that has been published under subsection (2A)(b).</w:t>
      </w:r>
    </w:p>
    <w:p>
      <w:pPr>
        <w:pStyle w:val="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Penstart"/>
      </w:pPr>
      <w:r>
        <w:tab/>
        <w:t>Penalty for this subsection: a fine of $10 000.</w:t>
      </w:r>
    </w:p>
    <w:p>
      <w:pPr>
        <w:pStyle w:val="Subsection"/>
      </w:pPr>
      <w:r>
        <w:tab/>
        <w:t>(2E)</w:t>
      </w:r>
      <w:r>
        <w:tab/>
        <w:t>Subsection (2D) does not apply to information or a photograph that has also been published under subsection (2A)(b).</w:t>
      </w:r>
    </w:p>
    <w:p>
      <w:pPr>
        <w:pStyle w:val="Subsection"/>
      </w:pPr>
      <w:r>
        <w:tab/>
        <w:t>(2F)</w:t>
      </w:r>
      <w:r>
        <w:tab/>
        <w:t xml:space="preserve">A responsible person in relation to licensed premises does not commit an offence under subsection (2D)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lastRenderedPageBreak/>
        <w:tab/>
        <w:t>(2G)</w:t>
      </w:r>
      <w:r>
        <w:tab/>
        <w:t>A person to whom information or a photograph has been disclosed under subsection (2AA)(a) or (b) does not commit an offence under subsection (2D) if they disclose the information or photograph for a purpose referred to in subsection (2AA)(a) or (b) (as the case requires).</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No. 73 of 2006 s. 97; amended: No. 56 of 2010 s. 32; No. 44 of 2022 s. 15.]</w:t>
      </w:r>
    </w:p>
    <w:p>
      <w:pPr>
        <w:pStyle w:val="Heading5"/>
      </w:pPr>
      <w:bookmarkStart w:id="515" w:name="_Toc131586558"/>
      <w:r>
        <w:rPr>
          <w:rStyle w:val="CharSectno"/>
        </w:rPr>
        <w:t>152L</w:t>
      </w:r>
      <w:r>
        <w:t>.</w:t>
      </w:r>
      <w:r>
        <w:tab/>
        <w:t>Failing to comply with prohibition orders</w:t>
      </w:r>
      <w:bookmarkEnd w:id="515"/>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No. 73 of 2006 s. 97; amended: No. 56 of 2010 s. 69.]</w:t>
      </w:r>
    </w:p>
    <w:p>
      <w:pPr>
        <w:pStyle w:val="Heading5"/>
      </w:pPr>
      <w:bookmarkStart w:id="516" w:name="_Toc131586559"/>
      <w:r>
        <w:rPr>
          <w:rStyle w:val="CharSectno"/>
        </w:rPr>
        <w:t>152M</w:t>
      </w:r>
      <w:r>
        <w:t>.</w:t>
      </w:r>
      <w:r>
        <w:tab/>
        <w:t>Permitting entry to premises contrary to prohibition order</w:t>
      </w:r>
      <w:bookmarkEnd w:id="516"/>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No. 56 of 2010 s. 33.]</w:t>
      </w:r>
    </w:p>
    <w:p>
      <w:pPr>
        <w:pStyle w:val="Heading5"/>
      </w:pPr>
      <w:bookmarkStart w:id="517" w:name="_Toc131586560"/>
      <w:r>
        <w:rPr>
          <w:rStyle w:val="CharSectno"/>
        </w:rPr>
        <w:lastRenderedPageBreak/>
        <w:t>152NA</w:t>
      </w:r>
      <w:r>
        <w:t>.</w:t>
      </w:r>
      <w:r>
        <w:tab/>
        <w:t xml:space="preserve">Relationship with </w:t>
      </w:r>
      <w:r>
        <w:rPr>
          <w:i/>
        </w:rPr>
        <w:t>Criminal Organisations Control Act 2012</w:t>
      </w:r>
      <w:bookmarkEnd w:id="517"/>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No. 49 of 2012 s. 178.]</w:t>
      </w:r>
    </w:p>
    <w:p>
      <w:pPr>
        <w:pStyle w:val="Heading2"/>
      </w:pPr>
      <w:bookmarkStart w:id="518" w:name="_Toc120864681"/>
      <w:bookmarkStart w:id="519" w:name="_Toc120864774"/>
      <w:bookmarkStart w:id="520" w:name="_Toc120864867"/>
      <w:bookmarkStart w:id="521" w:name="_Toc122342945"/>
      <w:bookmarkStart w:id="522" w:name="_Toc122513356"/>
      <w:bookmarkStart w:id="523" w:name="_Toc131519919"/>
      <w:bookmarkStart w:id="524" w:name="_Toc131520479"/>
      <w:bookmarkStart w:id="525" w:name="_Toc131586561"/>
      <w:bookmarkStart w:id="526" w:name="_Toc122337031"/>
      <w:r>
        <w:rPr>
          <w:rStyle w:val="CharPartNo"/>
        </w:rPr>
        <w:lastRenderedPageBreak/>
        <w:t>Part 5AA</w:t>
      </w:r>
      <w:r>
        <w:t> — </w:t>
      </w:r>
      <w:r>
        <w:rPr>
          <w:rStyle w:val="CharPartText"/>
        </w:rPr>
        <w:t>Protected entertainment precincts</w:t>
      </w:r>
      <w:bookmarkEnd w:id="518"/>
      <w:bookmarkEnd w:id="519"/>
      <w:bookmarkEnd w:id="520"/>
      <w:bookmarkEnd w:id="521"/>
      <w:bookmarkEnd w:id="522"/>
      <w:bookmarkEnd w:id="523"/>
      <w:bookmarkEnd w:id="524"/>
      <w:bookmarkEnd w:id="525"/>
    </w:p>
    <w:p>
      <w:pPr>
        <w:pStyle w:val="Footnoteheading"/>
      </w:pPr>
      <w:bookmarkStart w:id="527" w:name="_Toc120864682"/>
      <w:bookmarkStart w:id="528" w:name="_Toc120864775"/>
      <w:bookmarkStart w:id="529" w:name="_Toc120864868"/>
      <w:r>
        <w:tab/>
        <w:t>[Heading inserted: No. 44 of 2022 s. 16.]</w:t>
      </w:r>
    </w:p>
    <w:p>
      <w:pPr>
        <w:pStyle w:val="Heading3"/>
      </w:pPr>
      <w:bookmarkStart w:id="530" w:name="_Toc122342946"/>
      <w:bookmarkStart w:id="531" w:name="_Toc122513357"/>
      <w:bookmarkStart w:id="532" w:name="_Toc131519920"/>
      <w:bookmarkStart w:id="533" w:name="_Toc131520480"/>
      <w:bookmarkStart w:id="534" w:name="_Toc131586562"/>
      <w:r>
        <w:rPr>
          <w:rStyle w:val="CharDivNo"/>
        </w:rPr>
        <w:t>Division 1</w:t>
      </w:r>
      <w:r>
        <w:t> — </w:t>
      </w:r>
      <w:r>
        <w:rPr>
          <w:rStyle w:val="CharDivText"/>
        </w:rPr>
        <w:t>Preliminary</w:t>
      </w:r>
      <w:bookmarkEnd w:id="527"/>
      <w:bookmarkEnd w:id="528"/>
      <w:bookmarkEnd w:id="529"/>
      <w:bookmarkEnd w:id="530"/>
      <w:bookmarkEnd w:id="531"/>
      <w:bookmarkEnd w:id="532"/>
      <w:bookmarkEnd w:id="533"/>
      <w:bookmarkEnd w:id="534"/>
    </w:p>
    <w:p>
      <w:pPr>
        <w:pStyle w:val="Footnoteheading"/>
      </w:pPr>
      <w:bookmarkStart w:id="535" w:name="_Toc120864869"/>
      <w:r>
        <w:tab/>
        <w:t>[Heading inserted: No. 44 of 2022 s. 16.]</w:t>
      </w:r>
    </w:p>
    <w:p>
      <w:pPr>
        <w:pStyle w:val="Heading5"/>
      </w:pPr>
      <w:bookmarkStart w:id="536" w:name="_Toc131586563"/>
      <w:r>
        <w:rPr>
          <w:rStyle w:val="CharSectno"/>
        </w:rPr>
        <w:t>152NB</w:t>
      </w:r>
      <w:r>
        <w:t>.</w:t>
      </w:r>
      <w:r>
        <w:tab/>
        <w:t>Object of Part</w:t>
      </w:r>
      <w:bookmarkEnd w:id="535"/>
      <w:bookmarkEnd w:id="536"/>
    </w:p>
    <w:p>
      <w:pPr>
        <w:pStyle w:val="Subsection"/>
      </w:pPr>
      <w:r>
        <w:tab/>
        <w:t>(1)</w:t>
      </w:r>
      <w:r>
        <w:tab/>
        <w:t xml:space="preserve">The primary object of this Part is to minimise, in relation to areas with a concentration of licensed premises — </w:t>
      </w:r>
    </w:p>
    <w:p>
      <w:pPr>
        <w:pStyle w:val="Indenta"/>
      </w:pPr>
      <w:r>
        <w:tab/>
        <w:t>(a)</w:t>
      </w:r>
      <w:r>
        <w:tab/>
        <w:t>harm, or the potential for harm, to people, or any group of people, in the areas; and</w:t>
      </w:r>
    </w:p>
    <w:p>
      <w:pPr>
        <w:pStyle w:val="Indenta"/>
      </w:pPr>
      <w:r>
        <w:tab/>
        <w:t>(b)</w:t>
      </w:r>
      <w:r>
        <w:tab/>
        <w:t>adverse effects on the safety or welfare of people, or any group of people, in the areas; and</w:t>
      </w:r>
    </w:p>
    <w:p>
      <w:pPr>
        <w:pStyle w:val="Indenta"/>
      </w:pPr>
      <w:r>
        <w:tab/>
        <w:t>(c)</w:t>
      </w:r>
      <w:r>
        <w:tab/>
        <w:t>adverse effects on the atmosphere, ambience, character or pleasantness of the areas; and</w:t>
      </w:r>
    </w:p>
    <w:p>
      <w:pPr>
        <w:pStyle w:val="Indenta"/>
      </w:pPr>
      <w:r>
        <w:tab/>
        <w:t>(d)</w:t>
      </w:r>
      <w:r>
        <w:tab/>
        <w:t>public disturbances and public disorder in the areas.</w:t>
      </w:r>
    </w:p>
    <w:p>
      <w:pPr>
        <w:pStyle w:val="Subsection"/>
      </w:pPr>
      <w:r>
        <w:tab/>
        <w:t>(2)</w:t>
      </w:r>
      <w:r>
        <w:tab/>
        <w:t>The references in subsection (1) to harm, the potential for harm, adverse effects, public disturbances and public disorder include references to harm, the potential for harm, adverse effects, public disturbances and public disorder whether or not arising from, or relating to, the use of liquor or any violence associated with the use of liquor.</w:t>
      </w:r>
    </w:p>
    <w:p>
      <w:pPr>
        <w:pStyle w:val="Subsection"/>
      </w:pPr>
      <w:r>
        <w:tab/>
        <w:t>(3)</w:t>
      </w:r>
      <w:r>
        <w:tab/>
        <w:t xml:space="preserve">In carrying out functions under this Part, a person must have regard to the primary object of this Part. </w:t>
      </w:r>
    </w:p>
    <w:p>
      <w:pPr>
        <w:pStyle w:val="Footnotesection"/>
      </w:pPr>
      <w:bookmarkStart w:id="537" w:name="_Toc120864870"/>
      <w:r>
        <w:tab/>
        <w:t>[Section 152NB inserted: No. 44 of 2022 s. 16.]</w:t>
      </w:r>
    </w:p>
    <w:p>
      <w:pPr>
        <w:pStyle w:val="Heading5"/>
      </w:pPr>
      <w:bookmarkStart w:id="538" w:name="_Toc131586564"/>
      <w:r>
        <w:rPr>
          <w:rStyle w:val="CharSectno"/>
        </w:rPr>
        <w:t>152NC</w:t>
      </w:r>
      <w:r>
        <w:t>.</w:t>
      </w:r>
      <w:r>
        <w:tab/>
        <w:t>Terms used</w:t>
      </w:r>
      <w:bookmarkEnd w:id="537"/>
      <w:bookmarkEnd w:id="538"/>
    </w:p>
    <w:p>
      <w:pPr>
        <w:pStyle w:val="Subsection"/>
      </w:pPr>
      <w:r>
        <w:tab/>
      </w:r>
      <w:r>
        <w:tab/>
        <w:t xml:space="preserve">In this Part — </w:t>
      </w:r>
    </w:p>
    <w:p>
      <w:pPr>
        <w:pStyle w:val="Defstart"/>
      </w:pPr>
      <w:r>
        <w:tab/>
      </w:r>
      <w:r>
        <w:rPr>
          <w:rStyle w:val="CharDefText"/>
        </w:rPr>
        <w:t>excluded offender</w:t>
      </w:r>
      <w:r>
        <w:t xml:space="preserve"> has the meaning given in section 152NZJ(2);</w:t>
      </w:r>
    </w:p>
    <w:p>
      <w:pPr>
        <w:pStyle w:val="Defstart"/>
      </w:pPr>
      <w:r>
        <w:tab/>
      </w:r>
      <w:r>
        <w:rPr>
          <w:rStyle w:val="CharDefText"/>
        </w:rPr>
        <w:t>exclusion order</w:t>
      </w:r>
      <w:r>
        <w:t xml:space="preserve"> means — </w:t>
      </w:r>
    </w:p>
    <w:p>
      <w:pPr>
        <w:pStyle w:val="Defpara"/>
      </w:pPr>
      <w:r>
        <w:tab/>
        <w:t>(a)</w:t>
      </w:r>
      <w:r>
        <w:tab/>
        <w:t>a short</w:t>
      </w:r>
      <w:r>
        <w:noBreakHyphen/>
        <w:t>term exclusion order; or</w:t>
      </w:r>
    </w:p>
    <w:p>
      <w:pPr>
        <w:pStyle w:val="Defpara"/>
      </w:pPr>
      <w:r>
        <w:lastRenderedPageBreak/>
        <w:tab/>
        <w:t>(b)</w:t>
      </w:r>
      <w:r>
        <w:tab/>
        <w:t>an extended exclusion order;</w:t>
      </w:r>
    </w:p>
    <w:p>
      <w:pPr>
        <w:pStyle w:val="Defstart"/>
      </w:pPr>
      <w:r>
        <w:tab/>
      </w:r>
      <w:r>
        <w:rPr>
          <w:rStyle w:val="CharDefText"/>
        </w:rPr>
        <w:t>exclusion period</w:t>
      </w:r>
      <w:r>
        <w:t>, for an excluded offender, has the meaning given in section 152NZJ(4);</w:t>
      </w:r>
    </w:p>
    <w:p>
      <w:pPr>
        <w:pStyle w:val="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Defstart"/>
      </w:pPr>
      <w:r>
        <w:tab/>
      </w:r>
      <w:r>
        <w:rPr>
          <w:rStyle w:val="CharDefText"/>
        </w:rPr>
        <w:t>extended exclusion order respondent</w:t>
      </w:r>
      <w:r>
        <w:t xml:space="preserve">, in relation to an application under section 152NO(1) for the variation or revocation of an extended exclusion order, means — </w:t>
      </w:r>
    </w:p>
    <w:p>
      <w:pPr>
        <w:pStyle w:val="Defpara"/>
      </w:pPr>
      <w:r>
        <w:tab/>
        <w:t>(a)</w:t>
      </w:r>
      <w:r>
        <w:tab/>
        <w:t>if the application is made by the Commissioner of Police — the subject person; or</w:t>
      </w:r>
    </w:p>
    <w:p>
      <w:pPr>
        <w:pStyle w:val="Defpara"/>
      </w:pPr>
      <w:r>
        <w:tab/>
        <w:t>(b)</w:t>
      </w:r>
      <w:r>
        <w:tab/>
        <w:t>if the application is made by the subject person — the Commissioner of Police;</w:t>
      </w:r>
    </w:p>
    <w:p>
      <w:pPr>
        <w:pStyle w:val="Defstart"/>
      </w:pPr>
      <w:r>
        <w:tab/>
      </w:r>
      <w:r>
        <w:rPr>
          <w:rStyle w:val="CharDefText"/>
        </w:rPr>
        <w:t>public place</w:t>
      </w:r>
      <w:r>
        <w:t xml:space="preserve"> includes —</w:t>
      </w:r>
    </w:p>
    <w:p>
      <w:pPr>
        <w:pStyle w:val="Defpara"/>
      </w:pPr>
      <w:r>
        <w:tab/>
        <w:t>(a)</w:t>
      </w:r>
      <w:r>
        <w:tab/>
        <w:t>licensed premises; and</w:t>
      </w:r>
    </w:p>
    <w:p>
      <w:pPr>
        <w:pStyle w:val="Defpara"/>
      </w:pPr>
      <w:r>
        <w:tab/>
        <w:t>(b)</w:t>
      </w:r>
      <w:r>
        <w:tab/>
        <w:t>a place (including a vehicle) to which the public, or any section of the public, has or is permitted to have access, whether on payment or otherwise; and</w:t>
      </w:r>
    </w:p>
    <w:p>
      <w:pPr>
        <w:pStyle w:val="Defpara"/>
      </w:pPr>
      <w:r>
        <w:tab/>
        <w:t>(c)</w:t>
      </w:r>
      <w:r>
        <w:tab/>
        <w:t>a privately owned place (including a vehicle) to which the public has access with the express or implied approval of, or without interference from, the owner, occupier or person who has the control or management of the place; and</w:t>
      </w:r>
    </w:p>
    <w:p>
      <w:pPr>
        <w:pStyle w:val="Defpara"/>
      </w:pPr>
      <w:r>
        <w:tab/>
        <w:t>(d)</w:t>
      </w:r>
      <w:r>
        <w:tab/>
        <w:t>a school, university or other place of education, other than a part of it to which neither students nor the public usually have access; and</w:t>
      </w:r>
    </w:p>
    <w:p>
      <w:pPr>
        <w:pStyle w:val="Defpara"/>
      </w:pPr>
      <w:r>
        <w:tab/>
        <w:t>(e)</w:t>
      </w:r>
      <w:r>
        <w:tab/>
        <w:t>a vehicle (including a privately owned vehicle) that is in a place referred to in paragraph (a), (b), (c) or (d);</w:t>
      </w:r>
    </w:p>
    <w:p>
      <w:pPr>
        <w:pStyle w:val="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Defstart"/>
      </w:pPr>
      <w:r>
        <w:lastRenderedPageBreak/>
        <w:tab/>
      </w:r>
      <w:r>
        <w:rPr>
          <w:rStyle w:val="CharDefText"/>
        </w:rPr>
        <w:t>subject person</w:t>
      </w:r>
      <w:r>
        <w:t xml:space="preserve"> means — </w:t>
      </w:r>
    </w:p>
    <w:p>
      <w:pPr>
        <w:pStyle w:val="Defpara"/>
      </w:pPr>
      <w:r>
        <w:tab/>
        <w:t>(a)</w:t>
      </w:r>
      <w:r>
        <w:tab/>
        <w:t>in relation to an application under section 152NJ(1) — the person who is the subject of the application; or</w:t>
      </w:r>
    </w:p>
    <w:p>
      <w:pPr>
        <w:pStyle w:val="Defpara"/>
      </w:pPr>
      <w:r>
        <w:tab/>
        <w:t>(b)</w:t>
      </w:r>
      <w:r>
        <w:tab/>
        <w:t>in relation to an exclusion order — the person who is the subject of the order.</w:t>
      </w:r>
    </w:p>
    <w:p>
      <w:pPr>
        <w:pStyle w:val="Footnotesection"/>
      </w:pPr>
      <w:bookmarkStart w:id="539" w:name="_Toc120864685"/>
      <w:bookmarkStart w:id="540" w:name="_Toc120864778"/>
      <w:bookmarkStart w:id="541" w:name="_Toc120864871"/>
      <w:r>
        <w:tab/>
        <w:t>[Section 152NC inserted: No. 44 of 2022 s. 16.]</w:t>
      </w:r>
    </w:p>
    <w:p>
      <w:pPr>
        <w:pStyle w:val="Heading3"/>
      </w:pPr>
      <w:bookmarkStart w:id="542" w:name="_Toc122342949"/>
      <w:bookmarkStart w:id="543" w:name="_Toc122513360"/>
      <w:bookmarkStart w:id="544" w:name="_Toc131519923"/>
      <w:bookmarkStart w:id="545" w:name="_Toc131520483"/>
      <w:bookmarkStart w:id="546" w:name="_Toc131586565"/>
      <w:r>
        <w:rPr>
          <w:rStyle w:val="CharDivNo"/>
        </w:rPr>
        <w:t>Division 2</w:t>
      </w:r>
      <w:r>
        <w:t> — </w:t>
      </w:r>
      <w:r>
        <w:rPr>
          <w:rStyle w:val="CharDivText"/>
        </w:rPr>
        <w:t>Short</w:t>
      </w:r>
      <w:r>
        <w:rPr>
          <w:rStyle w:val="CharDivText"/>
        </w:rPr>
        <w:noBreakHyphen/>
        <w:t>term exclusion orders</w:t>
      </w:r>
      <w:bookmarkEnd w:id="539"/>
      <w:bookmarkEnd w:id="540"/>
      <w:bookmarkEnd w:id="541"/>
      <w:bookmarkEnd w:id="542"/>
      <w:bookmarkEnd w:id="543"/>
      <w:bookmarkEnd w:id="544"/>
      <w:bookmarkEnd w:id="545"/>
      <w:bookmarkEnd w:id="546"/>
    </w:p>
    <w:p>
      <w:pPr>
        <w:pStyle w:val="Footnoteheading"/>
      </w:pPr>
      <w:bookmarkStart w:id="547" w:name="_Toc120864872"/>
      <w:r>
        <w:tab/>
        <w:t>[Heading inserted: No. 44 of 2022 s. 16.]</w:t>
      </w:r>
    </w:p>
    <w:p>
      <w:pPr>
        <w:pStyle w:val="Heading5"/>
      </w:pPr>
      <w:bookmarkStart w:id="548" w:name="_Toc131586566"/>
      <w:r>
        <w:rPr>
          <w:rStyle w:val="CharSectno"/>
        </w:rPr>
        <w:t>152ND</w:t>
      </w:r>
      <w:r>
        <w:t>.</w:t>
      </w:r>
      <w:r>
        <w:tab/>
        <w:t>Member of the Police Force may make short</w:t>
      </w:r>
      <w:r>
        <w:noBreakHyphen/>
        <w:t>term exclusion order</w:t>
      </w:r>
      <w:bookmarkEnd w:id="547"/>
      <w:bookmarkEnd w:id="548"/>
    </w:p>
    <w:p>
      <w:pPr>
        <w:pStyle w:val="Subsection"/>
      </w:pPr>
      <w:r>
        <w:tab/>
        <w:t>(1)</w:t>
      </w:r>
      <w:r>
        <w:tab/>
        <w:t>A member of the Police Force may make an order prohibiting a person from entering or remaining in all protected entertainment precincts.</w:t>
      </w:r>
    </w:p>
    <w:p>
      <w:pPr>
        <w:pStyle w:val="Subsection"/>
      </w:pPr>
      <w:r>
        <w:tab/>
        <w:t>(2)</w:t>
      </w:r>
      <w:r>
        <w:tab/>
        <w:t xml:space="preserve">The member of the Police Force must not make the order unless the member is satisfied, on reasonable grounds, that making the order is necessary because — </w:t>
      </w:r>
    </w:p>
    <w:p>
      <w:pPr>
        <w:pStyle w:val="Indenta"/>
      </w:pPr>
      <w:r>
        <w:tab/>
        <w:t>(a)</w:t>
      </w:r>
      <w:r>
        <w:tab/>
        <w:t>the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tab/>
        <w:t>(ii)</w:t>
      </w:r>
      <w:r>
        <w:tab/>
        <w:t>was, at the time the behaviour occurred, in a protected entertainment precinct; and</w:t>
      </w:r>
    </w:p>
    <w:p>
      <w:pPr>
        <w:pStyle w:val="Indenti"/>
      </w:pPr>
      <w:r>
        <w:tab/>
        <w:t>(iii)</w:t>
      </w:r>
      <w:r>
        <w:tab/>
        <w:t>is, at the time the order is to be made, in a protected entertainment precinct;</w:t>
      </w:r>
    </w:p>
    <w:p>
      <w:pPr>
        <w:pStyle w:val="Indenta"/>
      </w:pPr>
      <w:r>
        <w:tab/>
      </w:r>
      <w:r>
        <w:tab/>
        <w:t>and</w:t>
      </w:r>
    </w:p>
    <w:p>
      <w:pPr>
        <w:pStyle w:val="Indenta"/>
        <w:keepNext/>
      </w:pPr>
      <w:r>
        <w:lastRenderedPageBreak/>
        <w:tab/>
        <w:t>(c)</w:t>
      </w:r>
      <w:r>
        <w:tab/>
        <w:t xml:space="preserve">there is a risk that, unless the order is made, the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(3)</w:t>
      </w:r>
      <w:r>
        <w:tab/>
        <w:t>Before making the order, the member of the Police Force must obtain the approval of a member of the Police Force who is, or is acting as, an Inspector or an officer of a rank more senior than Inspector, unless the member making the order is, or is acting as, such an officer.</w:t>
      </w:r>
    </w:p>
    <w:p>
      <w:pPr>
        <w:pStyle w:val="Subsection"/>
      </w:pPr>
      <w:r>
        <w:tab/>
        <w:t>(4)</w:t>
      </w:r>
      <w:r>
        <w:tab/>
        <w:t>In making the order, the member of the Police Force may specify in the order any terms or conditions that the member thinks fit (including, without limitation, terms or conditions that provide exceptions to the prohibition in the order).</w:t>
      </w:r>
    </w:p>
    <w:p>
      <w:pPr>
        <w:pStyle w:val="Subsection"/>
      </w:pPr>
      <w:r>
        <w:tab/>
        <w:t>(5)</w:t>
      </w:r>
      <w:r>
        <w:tab/>
        <w:t>A short</w:t>
      </w:r>
      <w:r>
        <w:noBreakHyphen/>
        <w:t>term exclusion order has effect subject to any terms or conditions specified in the order.</w:t>
      </w:r>
    </w:p>
    <w:p>
      <w:pPr>
        <w:pStyle w:val="Subsection"/>
      </w:pPr>
      <w:r>
        <w:tab/>
        <w:t>(6)</w:t>
      </w:r>
      <w:r>
        <w:tab/>
        <w:t>The approval referred to in subsection (3) may be sought and given orally (including, for example, in person or by telephone), but if given orally must be confirmed in writing as soon as practicable after it is given.</w:t>
      </w:r>
    </w:p>
    <w:p>
      <w:pPr>
        <w:pStyle w:val="Subsection"/>
      </w:pPr>
      <w:r>
        <w:tab/>
        <w:t>(7)</w:t>
      </w:r>
      <w:r>
        <w:tab/>
        <w:t>Failure to confirm the approval in writing does not invalidate the approval or anything done under the approval.</w:t>
      </w:r>
    </w:p>
    <w:p>
      <w:pPr>
        <w:pStyle w:val="Footnotesection"/>
      </w:pPr>
      <w:bookmarkStart w:id="549" w:name="_Toc120864873"/>
      <w:r>
        <w:tab/>
        <w:t>[Section 152ND inserted: No. 44 of 2022 s. 16.]</w:t>
      </w:r>
    </w:p>
    <w:p>
      <w:pPr>
        <w:pStyle w:val="Heading5"/>
      </w:pPr>
      <w:bookmarkStart w:id="550" w:name="_Toc131586567"/>
      <w:r>
        <w:rPr>
          <w:rStyle w:val="CharSectno"/>
        </w:rPr>
        <w:t>152NE</w:t>
      </w:r>
      <w:r>
        <w:t>.</w:t>
      </w:r>
      <w:r>
        <w:tab/>
        <w:t>Provisions in relation to short</w:t>
      </w:r>
      <w:r>
        <w:noBreakHyphen/>
        <w:t>term exclusion orders</w:t>
      </w:r>
      <w:bookmarkEnd w:id="549"/>
      <w:bookmarkEnd w:id="550"/>
    </w:p>
    <w:p>
      <w:pPr>
        <w:pStyle w:val="Subsection"/>
      </w:pPr>
      <w:r>
        <w:tab/>
        <w:t>(1)</w:t>
      </w:r>
      <w:r>
        <w:tab/>
        <w:t>A short</w:t>
      </w:r>
      <w:r>
        <w:noBreakHyphen/>
        <w:t>term exclusion order must specify the term for which the order has effect.</w:t>
      </w:r>
    </w:p>
    <w:p>
      <w:pPr>
        <w:pStyle w:val="Subsection"/>
      </w:pPr>
      <w:r>
        <w:tab/>
        <w:t>(2)</w:t>
      </w:r>
      <w:r>
        <w:tab/>
        <w:t>The specified term referred to in subsection (1) cannot be more than 6 months beginning at the time the order comes into effect.</w:t>
      </w:r>
    </w:p>
    <w:p>
      <w:pPr>
        <w:pStyle w:val="Subsection"/>
      </w:pPr>
      <w:r>
        <w:lastRenderedPageBreak/>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Subsection"/>
      </w:pPr>
      <w:r>
        <w:tab/>
        <w:t>(6)</w:t>
      </w:r>
      <w:r>
        <w:tab/>
        <w:t>A short</w:t>
      </w:r>
      <w:r>
        <w:noBreakHyphen/>
        <w:t>term exclusion order must not be made in respect of a person if an extended exclusion order is in effect in respect of the person.</w:t>
      </w:r>
    </w:p>
    <w:p>
      <w:pPr>
        <w:pStyle w:val="Footnotesection"/>
      </w:pPr>
      <w:bookmarkStart w:id="551" w:name="_Toc120864874"/>
      <w:r>
        <w:tab/>
        <w:t>[Section 152NE inserted: No. 44 of 2022 s. 16.]</w:t>
      </w:r>
    </w:p>
    <w:p>
      <w:pPr>
        <w:pStyle w:val="Heading5"/>
      </w:pPr>
      <w:bookmarkStart w:id="552" w:name="_Toc131586568"/>
      <w:r>
        <w:rPr>
          <w:rStyle w:val="CharSectno"/>
        </w:rPr>
        <w:t>152NF</w:t>
      </w:r>
      <w:r>
        <w:t>.</w:t>
      </w:r>
      <w:r>
        <w:tab/>
        <w:t>Variation or revocation of short</w:t>
      </w:r>
      <w:r>
        <w:noBreakHyphen/>
        <w:t>term exclusion order</w:t>
      </w:r>
      <w:bookmarkEnd w:id="551"/>
      <w:bookmarkEnd w:id="552"/>
    </w:p>
    <w:p>
      <w:pPr>
        <w:pStyle w:val="Subsection"/>
      </w:pPr>
      <w:r>
        <w:tab/>
        <w:t>(1)</w:t>
      </w:r>
      <w:r>
        <w:tab/>
        <w:t>The subject person may apply to the Commissioner of Police for the variation or revocation of a short</w:t>
      </w:r>
      <w:r>
        <w:noBreakHyphen/>
        <w:t>term exclusion order.</w:t>
      </w:r>
    </w:p>
    <w:p>
      <w:pPr>
        <w:pStyle w:val="Subsection"/>
      </w:pPr>
      <w:r>
        <w:tab/>
        <w:t>(2)</w:t>
      </w:r>
      <w:r>
        <w:tab/>
        <w:t xml:space="preserve">The application must be — </w:t>
      </w:r>
    </w:p>
    <w:p>
      <w:pPr>
        <w:pStyle w:val="Indenta"/>
      </w:pPr>
      <w:r>
        <w:tab/>
        <w:t>(a)</w:t>
      </w:r>
      <w:r>
        <w:tab/>
        <w:t>in writing in a form approved by the Commissioner of Police; and</w:t>
      </w:r>
    </w:p>
    <w:p>
      <w:pPr>
        <w:pStyle w:val="Indenta"/>
      </w:pPr>
      <w:r>
        <w:tab/>
        <w:t>(b)</w:t>
      </w:r>
      <w:r>
        <w:tab/>
        <w:t>made during the period that the short</w:t>
      </w:r>
      <w:r>
        <w:noBreakHyphen/>
        <w:t>term exclusion order is in effect.</w:t>
      </w:r>
    </w:p>
    <w:p>
      <w:pPr>
        <w:pStyle w:val="Subsection"/>
      </w:pPr>
      <w:r>
        <w:tab/>
        <w:t>(3)</w:t>
      </w:r>
      <w:r>
        <w:tab/>
        <w:t>The Commissioner of Police must dispose of the application in accordance with subsection (4) within 30 days after the day on which the Commissioner receives the application.</w:t>
      </w:r>
    </w:p>
    <w:p>
      <w:pPr>
        <w:pStyle w:val="Subsection"/>
        <w:keepNext/>
      </w:pPr>
      <w:r>
        <w:lastRenderedPageBreak/>
        <w:tab/>
        <w:t>(4)</w:t>
      </w:r>
      <w:r>
        <w:tab/>
        <w:t xml:space="preserve">The Commissioner of Police may dispose of the application — </w:t>
      </w:r>
    </w:p>
    <w:p>
      <w:pPr>
        <w:pStyle w:val="Indenta"/>
      </w:pPr>
      <w:r>
        <w:tab/>
        <w:t>(a)</w:t>
      </w:r>
      <w:r>
        <w:tab/>
        <w:t>by varying or revoking the short</w:t>
      </w:r>
      <w:r>
        <w:noBreakHyphen/>
        <w:t>term exclusion order (whether or not the variation or revocation was applied for); or</w:t>
      </w:r>
    </w:p>
    <w:p>
      <w:pPr>
        <w:pStyle w:val="Indenta"/>
      </w:pPr>
      <w:r>
        <w:tab/>
        <w:t>(b)</w:t>
      </w:r>
      <w:r>
        <w:tab/>
        <w:t>by dismissing the application; or</w:t>
      </w:r>
    </w:p>
    <w:p>
      <w:pPr>
        <w:pStyle w:val="Indenta"/>
      </w:pPr>
      <w:r>
        <w:tab/>
        <w:t>(c)</w:t>
      </w:r>
      <w:r>
        <w:tab/>
        <w:t>at the request of the subject person — by discontinuing the application.</w:t>
      </w:r>
    </w:p>
    <w:p>
      <w:pPr>
        <w:pStyle w:val="Subsection"/>
      </w:pPr>
      <w:r>
        <w:tab/>
        <w:t>(5)</w:t>
      </w:r>
      <w:r>
        <w:tab/>
        <w:t>The Commissioner of Police may vary or revoke a short</w:t>
      </w:r>
      <w:r>
        <w:noBreakHyphen/>
        <w:t>term exclusion order on the Commissioner’s own initiative.</w:t>
      </w:r>
    </w:p>
    <w:p>
      <w:pPr>
        <w:pStyle w:val="Subsection"/>
      </w:pPr>
      <w:r>
        <w:tab/>
        <w:t>(6)</w:t>
      </w:r>
      <w:r>
        <w:tab/>
        <w:t>If the Commissioner of Police varies a short</w:t>
      </w:r>
      <w:r>
        <w:noBreakHyphen/>
        <w:t xml:space="preserve">term exclusion order — </w:t>
      </w:r>
    </w:p>
    <w:p>
      <w:pPr>
        <w:pStyle w:val="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Indenta"/>
      </w:pPr>
      <w:r>
        <w:tab/>
        <w:t>(b)</w:t>
      </w:r>
      <w:r>
        <w:tab/>
        <w:t>the variation takes effect from the time the notice is served on the subject person in accordance with section 152NZQ(2).</w:t>
      </w:r>
    </w:p>
    <w:p>
      <w:pPr>
        <w:pStyle w:val="Subsection"/>
      </w:pPr>
      <w:r>
        <w:tab/>
        <w:t>(7)</w:t>
      </w:r>
      <w:r>
        <w:tab/>
        <w:t>If the Commissioner of Police revokes a short</w:t>
      </w:r>
      <w:r>
        <w:noBreakHyphen/>
        <w:t xml:space="preserve">term exclusion order — </w:t>
      </w:r>
    </w:p>
    <w:p>
      <w:pPr>
        <w:pStyle w:val="Indenta"/>
      </w:pPr>
      <w:r>
        <w:tab/>
        <w:t>(a)</w:t>
      </w:r>
      <w:r>
        <w:tab/>
        <w:t>the order immediately ceases to have effect; and</w:t>
      </w:r>
    </w:p>
    <w:p>
      <w:pPr>
        <w:pStyle w:val="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Subsection"/>
      </w:pPr>
      <w:r>
        <w:tab/>
        <w:t>(8)</w:t>
      </w:r>
      <w:r>
        <w:tab/>
        <w:t xml:space="preserve">If the Commissioner of Police dismisses or discontinues an application under subsection (4)(b) or (c), the Commissioner must ensure that written notice of the dismissal or </w:t>
      </w:r>
      <w:r>
        <w:lastRenderedPageBreak/>
        <w:t>discontinuation is served on the subject person in accordance with section 152NZQ(2).</w:t>
      </w:r>
    </w:p>
    <w:p>
      <w:pPr>
        <w:pStyle w:val="Footnotesection"/>
      </w:pPr>
      <w:bookmarkStart w:id="553" w:name="_Toc120864875"/>
      <w:r>
        <w:tab/>
        <w:t>[Section 152NF inserted: No. 44 of 2022 s. 16.]</w:t>
      </w:r>
    </w:p>
    <w:p>
      <w:pPr>
        <w:pStyle w:val="Heading5"/>
      </w:pPr>
      <w:bookmarkStart w:id="554" w:name="_Toc131586569"/>
      <w:r>
        <w:rPr>
          <w:rStyle w:val="CharSectno"/>
        </w:rPr>
        <w:t>152NG</w:t>
      </w:r>
      <w:r>
        <w:t>.</w:t>
      </w:r>
      <w:r>
        <w:tab/>
        <w:t>Automatic revocation of short</w:t>
      </w:r>
      <w:r>
        <w:noBreakHyphen/>
        <w:t>term exclusion order if extended exclusion order comes into effect</w:t>
      </w:r>
      <w:bookmarkEnd w:id="553"/>
      <w:bookmarkEnd w:id="554"/>
    </w:p>
    <w:p>
      <w:pPr>
        <w:pStyle w:val="Subsection"/>
      </w:pPr>
      <w:r>
        <w:tab/>
        <w:t>(1)</w:t>
      </w:r>
      <w:r>
        <w:tab/>
        <w:t xml:space="preserve">Subsection (2) applies if — </w:t>
      </w:r>
    </w:p>
    <w:p>
      <w:pPr>
        <w:pStyle w:val="Indenta"/>
      </w:pPr>
      <w:r>
        <w:tab/>
        <w:t>(a)</w:t>
      </w:r>
      <w:r>
        <w:tab/>
        <w:t>an extended exclusion order comes into effect in respect of a person; and</w:t>
      </w:r>
    </w:p>
    <w:p>
      <w:pPr>
        <w:pStyle w:val="Indenta"/>
      </w:pPr>
      <w:r>
        <w:tab/>
        <w:t>(b)</w:t>
      </w:r>
      <w:r>
        <w:tab/>
        <w:t>the person is subject to a short</w:t>
      </w:r>
      <w:r>
        <w:noBreakHyphen/>
        <w:t>term exclusion order.</w:t>
      </w:r>
    </w:p>
    <w:p>
      <w:pPr>
        <w:pStyle w:val="Subsection"/>
      </w:pPr>
      <w:r>
        <w:tab/>
        <w:t>(2)</w:t>
      </w:r>
      <w:r>
        <w:tab/>
        <w:t>The short</w:t>
      </w:r>
      <w:r>
        <w:noBreakHyphen/>
        <w:t>term exclusion order is revoked and ceases to have effect when the extended exclusion order comes into effect.</w:t>
      </w:r>
    </w:p>
    <w:p>
      <w:pPr>
        <w:pStyle w:val="Footnotesection"/>
      </w:pPr>
      <w:bookmarkStart w:id="555" w:name="_Toc120864876"/>
      <w:r>
        <w:tab/>
        <w:t>[Section 152NG inserted: No. 44 of 2022 s. 16.]</w:t>
      </w:r>
    </w:p>
    <w:p>
      <w:pPr>
        <w:pStyle w:val="Heading5"/>
      </w:pPr>
      <w:bookmarkStart w:id="556" w:name="_Toc131586570"/>
      <w:r>
        <w:rPr>
          <w:rStyle w:val="CharSectno"/>
        </w:rPr>
        <w:t>152NH</w:t>
      </w:r>
      <w:r>
        <w:t>.</w:t>
      </w:r>
      <w:r>
        <w:tab/>
        <w:t>Review of short</w:t>
      </w:r>
      <w:r>
        <w:noBreakHyphen/>
        <w:t>term exclusion order</w:t>
      </w:r>
      <w:bookmarkEnd w:id="555"/>
      <w:bookmarkEnd w:id="556"/>
    </w:p>
    <w:p>
      <w:pPr>
        <w:pStyle w:val="Subsection"/>
      </w:pPr>
      <w:r>
        <w:tab/>
        <w:t>(1)</w:t>
      </w:r>
      <w:r>
        <w:tab/>
        <w:t xml:space="preserve">This section applies if — </w:t>
      </w:r>
    </w:p>
    <w:p>
      <w:pPr>
        <w:pStyle w:val="Indenta"/>
      </w:pPr>
      <w:r>
        <w:tab/>
        <w:t>(a)</w:t>
      </w:r>
      <w:r>
        <w:tab/>
        <w:t>a short</w:t>
      </w:r>
      <w:r>
        <w:noBreakHyphen/>
        <w:t>term exclusion order is in effect; and</w:t>
      </w:r>
    </w:p>
    <w:p>
      <w:pPr>
        <w:pStyle w:val="Indenta"/>
      </w:pPr>
      <w:r>
        <w:tab/>
        <w:t>(b)</w:t>
      </w:r>
      <w:r>
        <w:tab/>
        <w:t>the short</w:t>
      </w:r>
      <w:r>
        <w:noBreakHyphen/>
        <w:t xml:space="preserve">term exclusion order — </w:t>
      </w:r>
    </w:p>
    <w:p>
      <w:pPr>
        <w:pStyle w:val="Indenti"/>
      </w:pPr>
      <w:r>
        <w:tab/>
        <w:t>(i)</w:t>
      </w:r>
      <w:r>
        <w:tab/>
        <w:t>has a duration of 1 month or more; or</w:t>
      </w:r>
    </w:p>
    <w:p>
      <w:pPr>
        <w:pStyle w:val="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Subsection"/>
      </w:pPr>
      <w:r>
        <w:tab/>
        <w:t>(2)</w:t>
      </w:r>
      <w:r>
        <w:tab/>
        <w:t xml:space="preserve">The subject person may apply to the Commission for a review of any of the following — </w:t>
      </w:r>
    </w:p>
    <w:p>
      <w:pPr>
        <w:pStyle w:val="Indenta"/>
      </w:pPr>
      <w:r>
        <w:tab/>
        <w:t>(a)</w:t>
      </w:r>
      <w:r>
        <w:tab/>
        <w:t>the decision of the member of the Police Force under section 152ND to make the short</w:t>
      </w:r>
      <w:r>
        <w:noBreakHyphen/>
        <w:t xml:space="preserve">term exclusion order; </w:t>
      </w:r>
    </w:p>
    <w:p>
      <w:pPr>
        <w:pStyle w:val="Indenta"/>
      </w:pPr>
      <w:r>
        <w:tab/>
        <w:t>(b)</w:t>
      </w:r>
      <w:r>
        <w:tab/>
        <w:t>a decision of the Commissioner of Police under section 152NF to vary the short</w:t>
      </w:r>
      <w:r>
        <w:noBreakHyphen/>
        <w:t>term exclusion order.</w:t>
      </w:r>
    </w:p>
    <w:p>
      <w:pPr>
        <w:pStyle w:val="Subsection"/>
      </w:pPr>
      <w:r>
        <w:lastRenderedPageBreak/>
        <w:tab/>
        <w:t>(3)</w:t>
      </w:r>
      <w:r>
        <w:tab/>
        <w:t xml:space="preserve">The application must be — </w:t>
      </w:r>
    </w:p>
    <w:p>
      <w:pPr>
        <w:pStyle w:val="Indenta"/>
      </w:pPr>
      <w:r>
        <w:tab/>
        <w:t>(a)</w:t>
      </w:r>
      <w:r>
        <w:tab/>
        <w:t xml:space="preserve">made within — </w:t>
      </w:r>
    </w:p>
    <w:p>
      <w:pPr>
        <w:pStyle w:val="Indenti"/>
      </w:pPr>
      <w:r>
        <w:tab/>
        <w:t>(i)</w:t>
      </w:r>
      <w:r>
        <w:tab/>
        <w:t>1 month after the short</w:t>
      </w:r>
      <w:r>
        <w:noBreakHyphen/>
        <w:t>term exclusion order or the variation of the short</w:t>
      </w:r>
      <w:r>
        <w:noBreakHyphen/>
        <w:t>term exclusion order (as the case requires) takes effect; or</w:t>
      </w:r>
    </w:p>
    <w:p>
      <w:pPr>
        <w:pStyle w:val="Indenti"/>
      </w:pPr>
      <w:r>
        <w:tab/>
        <w:t>(ii)</w:t>
      </w:r>
      <w:r>
        <w:tab/>
        <w:t>if the Commission allows a longer period — that period;</w:t>
      </w:r>
    </w:p>
    <w:p>
      <w:pPr>
        <w:pStyle w:val="Indenta"/>
      </w:pPr>
      <w:r>
        <w:tab/>
      </w:r>
      <w:r>
        <w:tab/>
        <w:t>and</w:t>
      </w:r>
    </w:p>
    <w:p>
      <w:pPr>
        <w:pStyle w:val="Indenta"/>
      </w:pPr>
      <w:r>
        <w:tab/>
        <w:t>(b)</w:t>
      </w:r>
      <w:r>
        <w:tab/>
        <w:t>in a manner and form approved by the Commission; and</w:t>
      </w:r>
    </w:p>
    <w:p>
      <w:pPr>
        <w:pStyle w:val="Indenta"/>
      </w:pPr>
      <w:r>
        <w:tab/>
        <w:t>(c)</w:t>
      </w:r>
      <w:r>
        <w:tab/>
        <w:t>accompanied by the prescribed fee, if any.</w:t>
      </w:r>
    </w:p>
    <w:p>
      <w:pPr>
        <w:pStyle w:val="Subsection"/>
      </w:pPr>
      <w:r>
        <w:tab/>
        <w:t>(4)</w:t>
      </w:r>
      <w:r>
        <w:tab/>
        <w:t xml:space="preserve">When conducting a review of the decision, the Commission may have regard to — </w:t>
      </w:r>
    </w:p>
    <w:p>
      <w:pPr>
        <w:pStyle w:val="Indenta"/>
      </w:pPr>
      <w:r>
        <w:tab/>
        <w:t>(a)</w:t>
      </w:r>
      <w:r>
        <w:tab/>
        <w:t>the material that was before the member of the Police Force or the Commissioner of Police (as the case requires) when making the decision; and</w:t>
      </w:r>
    </w:p>
    <w:p>
      <w:pPr>
        <w:pStyle w:val="Indenta"/>
      </w:pPr>
      <w:r>
        <w:tab/>
        <w:t>(b)</w:t>
      </w:r>
      <w:r>
        <w:tab/>
        <w:t>any information or document provided by the subject person.</w:t>
      </w:r>
    </w:p>
    <w:p>
      <w:pPr>
        <w:pStyle w:val="Subsection"/>
      </w:pPr>
      <w:r>
        <w:tab/>
        <w:t>(5)</w:t>
      </w:r>
      <w:r>
        <w:tab/>
        <w:t xml:space="preserve">On a review under this section, the Commission may — </w:t>
      </w:r>
    </w:p>
    <w:p>
      <w:pPr>
        <w:pStyle w:val="Indenta"/>
      </w:pPr>
      <w:r>
        <w:tab/>
        <w:t>(a)</w:t>
      </w:r>
      <w:r>
        <w:tab/>
        <w:t>affirm, vary or quash the decision subject to the review; and</w:t>
      </w:r>
    </w:p>
    <w:p>
      <w:pPr>
        <w:pStyle w:val="Indenta"/>
      </w:pPr>
      <w:r>
        <w:tab/>
        <w:t>(b)</w:t>
      </w:r>
      <w:r>
        <w:tab/>
        <w:t>make a decision in substitution for the decision subject to the review; and</w:t>
      </w:r>
    </w:p>
    <w:p>
      <w:pPr>
        <w:pStyle w:val="Indenta"/>
      </w:pPr>
      <w:r>
        <w:tab/>
        <w:t>(c)</w:t>
      </w:r>
      <w:r>
        <w:tab/>
        <w:t>give directions to the Commissioner of Police relating to anything the Commission does under paragraph (a) or (b), to which effect must be given; and</w:t>
      </w:r>
    </w:p>
    <w:p>
      <w:pPr>
        <w:pStyle w:val="Indenta"/>
      </w:pPr>
      <w:r>
        <w:tab/>
        <w:t>(d)</w:t>
      </w:r>
      <w:r>
        <w:tab/>
        <w:t>make any incidental or ancillary order.</w:t>
      </w:r>
    </w:p>
    <w:p>
      <w:pPr>
        <w:pStyle w:val="Subsection"/>
      </w:pPr>
      <w:r>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Footnotesection"/>
      </w:pPr>
      <w:bookmarkStart w:id="557" w:name="_Toc120864877"/>
      <w:r>
        <w:tab/>
        <w:t>[Section 152NH inserted: No. 44 of 2022 s. 16.]</w:t>
      </w:r>
    </w:p>
    <w:p>
      <w:pPr>
        <w:pStyle w:val="Heading5"/>
      </w:pPr>
      <w:bookmarkStart w:id="558" w:name="_Toc131586571"/>
      <w:r>
        <w:rPr>
          <w:rStyle w:val="CharSectno"/>
        </w:rPr>
        <w:lastRenderedPageBreak/>
        <w:t>152NI</w:t>
      </w:r>
      <w:r>
        <w:t>.</w:t>
      </w:r>
      <w:r>
        <w:tab/>
        <w:t>Commissioner of Police to issue guidelines</w:t>
      </w:r>
      <w:bookmarkEnd w:id="557"/>
      <w:bookmarkEnd w:id="558"/>
    </w:p>
    <w:p>
      <w:pPr>
        <w:pStyle w:val="Subsection"/>
      </w:pPr>
      <w:r>
        <w:tab/>
        <w:t>(1)</w:t>
      </w:r>
      <w:r>
        <w:tab/>
        <w:t xml:space="preserve">In this section — </w:t>
      </w:r>
    </w:p>
    <w:p>
      <w:pPr>
        <w:pStyle w:val="Defstart"/>
      </w:pPr>
      <w:r>
        <w:tab/>
      </w:r>
      <w:r>
        <w:rPr>
          <w:rStyle w:val="CharDefText"/>
        </w:rPr>
        <w:t>relevant power</w:t>
      </w:r>
      <w:r>
        <w:t xml:space="preserve"> means a power under section 152ND or 152NF.</w:t>
      </w:r>
    </w:p>
    <w:p>
      <w:pPr>
        <w:pStyle w:val="Subsection"/>
      </w:pPr>
      <w:r>
        <w:tab/>
        <w:t>(2)</w:t>
      </w:r>
      <w:r>
        <w:tab/>
        <w:t>The Commissioner of Police must issue guidelines in relation to the exercise of the relevant powers.</w:t>
      </w:r>
    </w:p>
    <w:p>
      <w:pPr>
        <w:pStyle w:val="Subsection"/>
      </w:pPr>
      <w:r>
        <w:tab/>
        <w:t>(3)</w:t>
      </w:r>
      <w:r>
        <w:tab/>
        <w:t xml:space="preserve">Without limiting subsection (2), guidelines must be issued under that subsection in relation to the following — </w:t>
      </w:r>
    </w:p>
    <w:p>
      <w:pPr>
        <w:pStyle w:val="Indenta"/>
      </w:pPr>
      <w:r>
        <w:tab/>
        <w:t>(a)</w:t>
      </w:r>
      <w:r>
        <w:tab/>
        <w:t>the types of behaviour that are unlawful, anti</w:t>
      </w:r>
      <w:r>
        <w:noBreakHyphen/>
        <w:t xml:space="preserve">social, violent, disorderly, offensive, indecent or threatening for the purposes of section 152ND(2)(a); </w:t>
      </w:r>
    </w:p>
    <w:p>
      <w:pPr>
        <w:pStyle w:val="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Indenta"/>
      </w:pPr>
      <w:r>
        <w:tab/>
        <w:t>(c)</w:t>
      </w:r>
      <w:r>
        <w:tab/>
        <w:t>record</w:t>
      </w:r>
      <w:r>
        <w:noBreakHyphen/>
        <w:t>keeping and reporting requirements in relation to the exercise of the relevant powers.</w:t>
      </w:r>
    </w:p>
    <w:p>
      <w:pPr>
        <w:pStyle w:val="Subsection"/>
      </w:pPr>
      <w:r>
        <w:tab/>
        <w:t>(4)</w:t>
      </w:r>
      <w:r>
        <w:tab/>
        <w:t>The Commissioner of Police may amend or revoke guidelines issued under subsection (2).</w:t>
      </w:r>
    </w:p>
    <w:p>
      <w:pPr>
        <w:pStyle w:val="Subsection"/>
      </w:pPr>
      <w:r>
        <w:tab/>
        <w:t>(5)</w:t>
      </w:r>
      <w:r>
        <w:tab/>
        <w:t xml:space="preserve">A person exercising a relevant power must take into account guidelines issued under subsection (2). </w:t>
      </w:r>
    </w:p>
    <w:p>
      <w:pPr>
        <w:pStyle w:val="Subsection"/>
      </w:pPr>
      <w:r>
        <w:tab/>
        <w:t>(6)</w:t>
      </w:r>
      <w:r>
        <w:tab/>
        <w:t xml:space="preserve">Guidelines issued under subsection (2) are not subsidiary legislation for the purposes of the </w:t>
      </w:r>
      <w:r>
        <w:rPr>
          <w:i/>
        </w:rPr>
        <w:t>Interpretation Act 1984</w:t>
      </w:r>
      <w:r>
        <w:t>.</w:t>
      </w:r>
    </w:p>
    <w:p>
      <w:pPr>
        <w:pStyle w:val="Subsection"/>
      </w:pPr>
      <w:r>
        <w:tab/>
        <w:t>(7)</w:t>
      </w:r>
      <w:r>
        <w:tab/>
        <w:t>Section 3(6) does not apply to a reference to the Commissioner of Police in this section.</w:t>
      </w:r>
    </w:p>
    <w:p>
      <w:pPr>
        <w:pStyle w:val="Footnotesection"/>
      </w:pPr>
      <w:bookmarkStart w:id="559" w:name="_Toc120864692"/>
      <w:bookmarkStart w:id="560" w:name="_Toc120864785"/>
      <w:bookmarkStart w:id="561" w:name="_Toc120864878"/>
      <w:r>
        <w:tab/>
        <w:t>[Section 152NI inserted: No. 44 of 2022 s. 16.]</w:t>
      </w:r>
    </w:p>
    <w:p>
      <w:pPr>
        <w:pStyle w:val="Heading3"/>
      </w:pPr>
      <w:bookmarkStart w:id="562" w:name="_Toc122342956"/>
      <w:bookmarkStart w:id="563" w:name="_Toc122513367"/>
      <w:bookmarkStart w:id="564" w:name="_Toc131519930"/>
      <w:bookmarkStart w:id="565" w:name="_Toc131520490"/>
      <w:bookmarkStart w:id="566" w:name="_Toc131586572"/>
      <w:r>
        <w:rPr>
          <w:rStyle w:val="CharDivNo"/>
        </w:rPr>
        <w:lastRenderedPageBreak/>
        <w:t>Division 3</w:t>
      </w:r>
      <w:r>
        <w:t> — </w:t>
      </w:r>
      <w:r>
        <w:rPr>
          <w:rStyle w:val="CharDivText"/>
        </w:rPr>
        <w:t>Extended exclusion orders</w:t>
      </w:r>
      <w:bookmarkEnd w:id="559"/>
      <w:bookmarkEnd w:id="560"/>
      <w:bookmarkEnd w:id="561"/>
      <w:bookmarkEnd w:id="562"/>
      <w:bookmarkEnd w:id="563"/>
      <w:bookmarkEnd w:id="564"/>
      <w:bookmarkEnd w:id="565"/>
      <w:bookmarkEnd w:id="566"/>
    </w:p>
    <w:p>
      <w:pPr>
        <w:pStyle w:val="Footnoteheading"/>
        <w:keepNext/>
      </w:pPr>
      <w:bookmarkStart w:id="567" w:name="_Toc120864879"/>
      <w:r>
        <w:tab/>
        <w:t>[Heading inserted: No. 44 of 2022 s. 16.]</w:t>
      </w:r>
    </w:p>
    <w:p>
      <w:pPr>
        <w:pStyle w:val="Heading5"/>
      </w:pPr>
      <w:bookmarkStart w:id="568" w:name="_Toc131586573"/>
      <w:r>
        <w:rPr>
          <w:rStyle w:val="CharSectno"/>
        </w:rPr>
        <w:t>152NJ</w:t>
      </w:r>
      <w:r>
        <w:t>.</w:t>
      </w:r>
      <w:r>
        <w:tab/>
        <w:t>Commissioner of Police may apply for extended exclusion order</w:t>
      </w:r>
      <w:bookmarkEnd w:id="567"/>
      <w:bookmarkEnd w:id="568"/>
    </w:p>
    <w:p>
      <w:pPr>
        <w:pStyle w:val="Subsection"/>
      </w:pPr>
      <w:r>
        <w:tab/>
        <w:t>(1)</w:t>
      </w:r>
      <w:r>
        <w:tab/>
        <w:t>The Commissioner of Police may apply to the Director for an order to be made under section 152NM(1)(a) prohibiting a person from entering or remaining in all protected entertainment precincts.</w:t>
      </w:r>
    </w:p>
    <w:p>
      <w:pPr>
        <w:pStyle w:val="Subsection"/>
      </w:pPr>
      <w:r>
        <w:tab/>
        <w:t>(2)</w:t>
      </w:r>
      <w:r>
        <w:tab/>
        <w:t>The application must be in writing in a form approved by the Director.</w:t>
      </w:r>
    </w:p>
    <w:p>
      <w:pPr>
        <w:pStyle w:val="Subsection"/>
      </w:pPr>
      <w:r>
        <w:tab/>
        <w:t>(3)</w:t>
      </w:r>
      <w:r>
        <w:tab/>
        <w:t>The Commissioner of Police must ensure that a copy of the application is served on the subject person in accordance with section 152NZQ(2).</w:t>
      </w:r>
    </w:p>
    <w:p>
      <w:pPr>
        <w:pStyle w:val="Subsection"/>
      </w:pPr>
      <w:r>
        <w:tab/>
        <w:t>(4)</w:t>
      </w:r>
      <w:r>
        <w:tab/>
        <w:t>Nothing in subsection (3) requires or authorises the Commissioner of Police to disclose confidential police information.</w:t>
      </w:r>
    </w:p>
    <w:p>
      <w:pPr>
        <w:pStyle w:val="Footnotesection"/>
      </w:pPr>
      <w:bookmarkStart w:id="569" w:name="_Toc120864880"/>
      <w:r>
        <w:tab/>
        <w:t>[Section 152NJ inserted: No. 44 of 2022 s. 16.]</w:t>
      </w:r>
    </w:p>
    <w:p>
      <w:pPr>
        <w:pStyle w:val="Heading5"/>
      </w:pPr>
      <w:bookmarkStart w:id="570" w:name="_Toc131586574"/>
      <w:r>
        <w:rPr>
          <w:rStyle w:val="CharSectno"/>
        </w:rPr>
        <w:t>152NK</w:t>
      </w:r>
      <w:r>
        <w:t>.</w:t>
      </w:r>
      <w:r>
        <w:tab/>
        <w:t>Evidence in support of application for extended exclusion order</w:t>
      </w:r>
      <w:bookmarkEnd w:id="569"/>
      <w:bookmarkEnd w:id="570"/>
    </w:p>
    <w:p>
      <w:pPr>
        <w:pStyle w:val="Subsection"/>
      </w:pPr>
      <w:r>
        <w:tab/>
        <w:t>(1)</w:t>
      </w:r>
      <w:r>
        <w:tab/>
        <w:t xml:space="preserve">An application under section 152NJ(1) must — </w:t>
      </w:r>
    </w:p>
    <w:p>
      <w:pPr>
        <w:pStyle w:val="Indenta"/>
      </w:pPr>
      <w:r>
        <w:tab/>
        <w:t>(a)</w:t>
      </w:r>
      <w:r>
        <w:tab/>
        <w:t>set out the reasons why the Commissioner of Police considers the order should be made in respect of the subject person; and</w:t>
      </w:r>
    </w:p>
    <w:p>
      <w:pPr>
        <w:pStyle w:val="Indenta"/>
      </w:pPr>
      <w:r>
        <w:tab/>
        <w:t>(b)</w:t>
      </w:r>
      <w:r>
        <w:tab/>
        <w:t>set out any prescribed information and be accompanied by any prescribed document; and</w:t>
      </w:r>
    </w:p>
    <w:p>
      <w:pPr>
        <w:pStyle w:val="Indenta"/>
      </w:pPr>
      <w:r>
        <w:tab/>
        <w:t>(c)</w:t>
      </w:r>
      <w:r>
        <w:tab/>
        <w:t xml:space="preserve">set out any other information, and be accompanied by any other document, that the Commissioner considers relevant to the application. </w:t>
      </w:r>
    </w:p>
    <w:p>
      <w:pPr>
        <w:pStyle w:val="Subsection"/>
        <w:keepNext/>
      </w:pPr>
      <w:r>
        <w:lastRenderedPageBreak/>
        <w:tab/>
        <w:t>(2)</w:t>
      </w:r>
      <w:r>
        <w:tab/>
        <w:t xml:space="preserve">Without limiting subsection (1), the Commissioner of Police is authorised to include in or with the application — </w:t>
      </w:r>
    </w:p>
    <w:p>
      <w:pPr>
        <w:pStyle w:val="Indenta"/>
      </w:pPr>
      <w:r>
        <w:tab/>
        <w:t>(a)</w:t>
      </w:r>
      <w:r>
        <w:tab/>
        <w:t>details of any criminal convictions of the subject person for offences under the law of the Commonwealth or a State or Territory; and</w:t>
      </w:r>
    </w:p>
    <w:p>
      <w:pPr>
        <w:pStyle w:val="Indenta"/>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pPr>
        <w:pStyle w:val="Footnotesection"/>
      </w:pPr>
      <w:bookmarkStart w:id="571" w:name="_Toc120864881"/>
      <w:r>
        <w:tab/>
        <w:t>[Section 152NK inserted: No. 44 of 2022 s. 16.]</w:t>
      </w:r>
    </w:p>
    <w:p>
      <w:pPr>
        <w:pStyle w:val="Heading5"/>
      </w:pPr>
      <w:bookmarkStart w:id="572" w:name="_Toc131586575"/>
      <w:r>
        <w:rPr>
          <w:rStyle w:val="CharSectno"/>
        </w:rPr>
        <w:t>152NL</w:t>
      </w:r>
      <w:r>
        <w:t>.</w:t>
      </w:r>
      <w:r>
        <w:tab/>
        <w:t>Notice of application for extended exclusion order must be served on subject person</w:t>
      </w:r>
      <w:bookmarkEnd w:id="571"/>
      <w:bookmarkEnd w:id="572"/>
    </w:p>
    <w:p>
      <w:pPr>
        <w:pStyle w:val="Subsection"/>
      </w:pPr>
      <w:r>
        <w:tab/>
        <w:t>(1)</w:t>
      </w:r>
      <w:r>
        <w:tab/>
        <w:t xml:space="preserve">The Director must ensure that a written notice is served on the subject person in accordance with section 152NZQ(2) that — </w:t>
      </w:r>
    </w:p>
    <w:p>
      <w:pPr>
        <w:pStyle w:val="Indenta"/>
      </w:pPr>
      <w:r>
        <w:tab/>
        <w:t>(a)</w:t>
      </w:r>
      <w:r>
        <w:tab/>
        <w:t>states that an application under section 152NJ(1) has been made in respect of the subject person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subject person that they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bookmarkStart w:id="573" w:name="_Toc120864882"/>
      <w:r>
        <w:tab/>
        <w:t>[Section 152NL inserted: No. 44 of 2022 s. 16.]</w:t>
      </w:r>
    </w:p>
    <w:p>
      <w:pPr>
        <w:pStyle w:val="Heading5"/>
      </w:pPr>
      <w:bookmarkStart w:id="574" w:name="_Toc131586576"/>
      <w:r>
        <w:rPr>
          <w:rStyle w:val="CharSectno"/>
        </w:rPr>
        <w:lastRenderedPageBreak/>
        <w:t>152NM</w:t>
      </w:r>
      <w:r>
        <w:t>.</w:t>
      </w:r>
      <w:r>
        <w:tab/>
        <w:t>Director may make extended exclusion order</w:t>
      </w:r>
      <w:bookmarkEnd w:id="573"/>
      <w:bookmarkEnd w:id="574"/>
    </w:p>
    <w:p>
      <w:pPr>
        <w:pStyle w:val="Subsection"/>
        <w:keepNext/>
      </w:pPr>
      <w:r>
        <w:tab/>
        <w:t>(1)</w:t>
      </w:r>
      <w:r>
        <w:tab/>
        <w:t>The Director may dispose of an application under section 152NJ(1) —</w:t>
      </w:r>
    </w:p>
    <w:p>
      <w:pPr>
        <w:pStyle w:val="Indenta"/>
      </w:pPr>
      <w:r>
        <w:tab/>
        <w:t>(a)</w:t>
      </w:r>
      <w:r>
        <w:tab/>
        <w:t>by making an order prohibiting the subject person from entering or remaining in all protected entertainment precincts;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must not make an order under subsection (1)(a) unless — </w:t>
      </w:r>
    </w:p>
    <w:p>
      <w:pPr>
        <w:pStyle w:val="Indenta"/>
      </w:pPr>
      <w:r>
        <w:tab/>
        <w:t>(a)</w:t>
      </w:r>
      <w:r>
        <w:tab/>
        <w:t>the Director has given the subject person a reasonable opportunity to make submissions or to be heard in relation to the application; and</w:t>
      </w:r>
    </w:p>
    <w:p>
      <w:pPr>
        <w:pStyle w:val="Indenta"/>
      </w:pPr>
      <w:r>
        <w:tab/>
        <w:t>(b)</w:t>
      </w:r>
      <w:r>
        <w:tab/>
        <w:t xml:space="preserve">the Director has had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subject person under paragraph (a);</w:t>
      </w:r>
    </w:p>
    <w:p>
      <w:pPr>
        <w:pStyle w:val="Indenta"/>
      </w:pPr>
      <w:r>
        <w:tab/>
      </w:r>
      <w:r>
        <w:tab/>
        <w:t>and</w:t>
      </w:r>
    </w:p>
    <w:p>
      <w:pPr>
        <w:pStyle w:val="Indenta"/>
      </w:pPr>
      <w:r>
        <w:tab/>
        <w:t>(c)</w:t>
      </w:r>
      <w:r>
        <w:tab/>
        <w:t>either subsection (3) or (4) applies.</w:t>
      </w:r>
    </w:p>
    <w:p>
      <w:pPr>
        <w:pStyle w:val="Subsection"/>
      </w:pPr>
      <w:r>
        <w:tab/>
        <w:t>(3)</w:t>
      </w:r>
      <w:r>
        <w:tab/>
        <w:t xml:space="preserve">This subsection applies if the Director is satisfied, on reasonable grounds, that making the order is necessary because — </w:t>
      </w:r>
    </w:p>
    <w:p>
      <w:pPr>
        <w:pStyle w:val="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Indenta"/>
      </w:pPr>
      <w:r>
        <w:tab/>
        <w:t>(b)</w:t>
      </w:r>
      <w:r>
        <w:tab/>
        <w:t xml:space="preserve">the location where the behaviour occurred — </w:t>
      </w:r>
    </w:p>
    <w:p>
      <w:pPr>
        <w:pStyle w:val="Indenti"/>
      </w:pPr>
      <w:r>
        <w:tab/>
        <w:t>(i)</w:t>
      </w:r>
      <w:r>
        <w:tab/>
        <w:t>was, at the time the behaviour occurred, a public place; and</w:t>
      </w:r>
    </w:p>
    <w:p>
      <w:pPr>
        <w:pStyle w:val="Indenti"/>
      </w:pPr>
      <w:r>
        <w:lastRenderedPageBreak/>
        <w:tab/>
        <w:t>(ii)</w:t>
      </w:r>
      <w:r>
        <w:tab/>
        <w:t xml:space="preserve">is, at the time the order is to be made, in a protected entertainment precinct (whether or not the location was in a protected entertainment precinct at the time the behaviour occurred); </w:t>
      </w:r>
    </w:p>
    <w:p>
      <w:pPr>
        <w:pStyle w:val="Indenta"/>
      </w:pPr>
      <w:r>
        <w:tab/>
      </w:r>
      <w:r>
        <w:tab/>
        <w:t>and</w:t>
      </w:r>
    </w:p>
    <w:p>
      <w:pPr>
        <w:pStyle w:val="Indenta"/>
      </w:pPr>
      <w:r>
        <w:tab/>
        <w:t>(c)</w:t>
      </w:r>
      <w:r>
        <w:tab/>
        <w:t xml:space="preserve">there is a risk that, unless the order is made, the subject person will behave in a way that — </w:t>
      </w:r>
    </w:p>
    <w:p>
      <w:pPr>
        <w:pStyle w:val="Indenti"/>
      </w:pPr>
      <w:r>
        <w:tab/>
        <w:t>(i)</w:t>
      </w:r>
      <w:r>
        <w:tab/>
        <w:t>causes violence or public disorder in a protected entertainment precinct; or</w:t>
      </w:r>
    </w:p>
    <w:p>
      <w:pPr>
        <w:pStyle w:val="Indenti"/>
      </w:pPr>
      <w:r>
        <w:tab/>
        <w:t>(ii)</w:t>
      </w:r>
      <w:r>
        <w:tab/>
        <w:t>has an adverse effect on the safety or welfare of persons in a protected entertainment precinct.</w:t>
      </w:r>
    </w:p>
    <w:p>
      <w:pPr>
        <w:pStyle w:val="Subsection"/>
      </w:pPr>
      <w:r>
        <w:tab/>
        <w:t>(4)</w:t>
      </w:r>
      <w:r>
        <w:tab/>
        <w:t xml:space="preserve">This subsection applies if — </w:t>
      </w:r>
    </w:p>
    <w:p>
      <w:pPr>
        <w:pStyle w:val="Indenta"/>
      </w:pPr>
      <w:r>
        <w:tab/>
        <w:t>(a)</w:t>
      </w:r>
      <w:r>
        <w:tab/>
        <w:t>the subject person is subject to a prohibition order under Part 5A; and</w:t>
      </w:r>
    </w:p>
    <w:p>
      <w:pPr>
        <w:pStyle w:val="Indenta"/>
      </w:pPr>
      <w:r>
        <w:tab/>
        <w:t>(b)</w:t>
      </w:r>
      <w:r>
        <w:tab/>
        <w:t xml:space="preserve">the Director is satisfied that — </w:t>
      </w:r>
    </w:p>
    <w:p>
      <w:pPr>
        <w:pStyle w:val="Indenti"/>
      </w:pPr>
      <w:r>
        <w:tab/>
        <w:t>(i)</w:t>
      </w:r>
      <w:r>
        <w:tab/>
        <w:t>a reason that the prohibition order was made was that the subject person engaged in particular behaviour (whether or not the behaviour arose from, or was related to, the use of liquor); and</w:t>
      </w:r>
    </w:p>
    <w:p>
      <w:pPr>
        <w:pStyle w:val="Indenti"/>
      </w:pPr>
      <w:r>
        <w:tab/>
        <w:t>(ii)</w:t>
      </w:r>
      <w:r>
        <w:tab/>
        <w:t>the location where the behaviour occurred was, at the time the behaviour occurred, a public place; and</w:t>
      </w:r>
    </w:p>
    <w:p>
      <w:pPr>
        <w:pStyle w:val="Indenti"/>
      </w:pPr>
      <w:r>
        <w:tab/>
        <w:t>(iii)</w:t>
      </w:r>
      <w:r>
        <w:tab/>
        <w:t>the location where the behaviour occurred is, at the time the order under subsection (1)(a) is to be made, in a protected entertainment precinct (whether or not the location was in a protected entertainment precinct at the time the behaviour occurred); and</w:t>
      </w:r>
    </w:p>
    <w:p>
      <w:pPr>
        <w:pStyle w:val="Indenti"/>
      </w:pPr>
      <w:r>
        <w:tab/>
        <w:t>(iv)</w:t>
      </w:r>
      <w:r>
        <w:tab/>
        <w:t>it is in the public interest to make the order under subsection (1)(a).</w:t>
      </w:r>
    </w:p>
    <w:p>
      <w:pPr>
        <w:pStyle w:val="Subsection"/>
      </w:pPr>
      <w:r>
        <w:tab/>
        <w:t>(5)</w:t>
      </w:r>
      <w:r>
        <w:tab/>
        <w:t xml:space="preserve">In making an order under subsection (1)(a), the Director may specify in the order any terms or conditions that the Director </w:t>
      </w:r>
      <w:r>
        <w:lastRenderedPageBreak/>
        <w:t>thinks fit (including, without limitation, terms or conditions that provide exceptions to the prohibition in the order).</w:t>
      </w:r>
    </w:p>
    <w:p>
      <w:pPr>
        <w:pStyle w:val="Subsection"/>
      </w:pPr>
      <w:r>
        <w:tab/>
        <w:t>(6)</w:t>
      </w:r>
      <w:r>
        <w:tab/>
        <w:t>An extended exclusion order has effect subject to any terms or conditions specified in the order.</w:t>
      </w:r>
    </w:p>
    <w:p>
      <w:pPr>
        <w:pStyle w:val="Subsection"/>
      </w:pPr>
      <w:r>
        <w:tab/>
        <w:t>(7)</w:t>
      </w:r>
      <w:r>
        <w:tab/>
        <w:t xml:space="preserve">If the Director dismisses or discontinues an application under subsection (1)(b)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575" w:name="_Toc120864883"/>
      <w:r>
        <w:tab/>
        <w:t>[Section 152NM inserted: No. 44 of 2022 s. 16.]</w:t>
      </w:r>
    </w:p>
    <w:p>
      <w:pPr>
        <w:pStyle w:val="Heading5"/>
      </w:pPr>
      <w:bookmarkStart w:id="576" w:name="_Toc131586577"/>
      <w:r>
        <w:rPr>
          <w:rStyle w:val="CharSectno"/>
        </w:rPr>
        <w:t>152NN</w:t>
      </w:r>
      <w:r>
        <w:t>.</w:t>
      </w:r>
      <w:r>
        <w:tab/>
        <w:t>Provisions in relation to extended exclusion orders</w:t>
      </w:r>
      <w:bookmarkEnd w:id="575"/>
      <w:bookmarkEnd w:id="576"/>
    </w:p>
    <w:p>
      <w:pPr>
        <w:pStyle w:val="Subsection"/>
      </w:pPr>
      <w:r>
        <w:tab/>
        <w:t>(1)</w:t>
      </w:r>
      <w:r>
        <w:tab/>
        <w:t>An extended exclusion order must specify the term for which the order has effect.</w:t>
      </w:r>
    </w:p>
    <w:p>
      <w:pPr>
        <w:pStyle w:val="Subsection"/>
      </w:pPr>
      <w:r>
        <w:tab/>
        <w:t>(2)</w:t>
      </w:r>
      <w:r>
        <w:tab/>
        <w:t xml:space="preserve">The specified term referred to in subsection (1) cannot be more than — </w:t>
      </w:r>
    </w:p>
    <w:p>
      <w:pPr>
        <w:pStyle w:val="Indenta"/>
      </w:pPr>
      <w:r>
        <w:tab/>
        <w:t>(a)</w:t>
      </w:r>
      <w:r>
        <w:tab/>
        <w:t>in the case of an order in respect of a person who is a juvenile at the time the order is made — 2 years beginning at the time the order comes into effect; or</w:t>
      </w:r>
    </w:p>
    <w:p>
      <w:pPr>
        <w:pStyle w:val="Indenta"/>
      </w:pPr>
      <w:r>
        <w:tab/>
        <w:t>(b)</w:t>
      </w:r>
      <w:r>
        <w:tab/>
        <w:t>in any other case — 5 years beginning at the time the order comes into effect.</w:t>
      </w:r>
    </w:p>
    <w:p>
      <w:pPr>
        <w:pStyle w:val="Subsection"/>
      </w:pPr>
      <w:r>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Subsection"/>
      </w:pPr>
      <w:r>
        <w:lastRenderedPageBreak/>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Footnotesection"/>
      </w:pPr>
      <w:bookmarkStart w:id="577" w:name="_Toc120864884"/>
      <w:r>
        <w:tab/>
        <w:t>[Section 152NN inserted: No. 44 of 2022 s. 16.]</w:t>
      </w:r>
    </w:p>
    <w:p>
      <w:pPr>
        <w:pStyle w:val="Heading5"/>
      </w:pPr>
      <w:bookmarkStart w:id="578" w:name="_Toc131586578"/>
      <w:r>
        <w:rPr>
          <w:rStyle w:val="CharSectno"/>
        </w:rPr>
        <w:t>152NO</w:t>
      </w:r>
      <w:r>
        <w:t>.</w:t>
      </w:r>
      <w:r>
        <w:tab/>
        <w:t>Application for variation or revocation of extended exclusion order</w:t>
      </w:r>
      <w:bookmarkEnd w:id="577"/>
      <w:bookmarkEnd w:id="578"/>
    </w:p>
    <w:p>
      <w:pPr>
        <w:pStyle w:val="Subsection"/>
      </w:pPr>
      <w:r>
        <w:tab/>
        <w:t>(1)</w:t>
      </w:r>
      <w:r>
        <w:tab/>
        <w:t>The Commissioner of Police or the subject person may apply to the Director for the variation or revocation of an extended exclusion order.</w:t>
      </w:r>
    </w:p>
    <w:p>
      <w:pPr>
        <w:pStyle w:val="Subsection"/>
      </w:pPr>
      <w:r>
        <w:tab/>
        <w:t>(2)</w:t>
      </w:r>
      <w:r>
        <w:tab/>
        <w:t xml:space="preserve">The application must be — </w:t>
      </w:r>
    </w:p>
    <w:p>
      <w:pPr>
        <w:pStyle w:val="Indenta"/>
      </w:pPr>
      <w:r>
        <w:tab/>
        <w:t>(a)</w:t>
      </w:r>
      <w:r>
        <w:tab/>
        <w:t>in writing in a form approved by the Director; and</w:t>
      </w:r>
    </w:p>
    <w:p>
      <w:pPr>
        <w:pStyle w:val="Indenta"/>
      </w:pPr>
      <w:r>
        <w:tab/>
        <w:t>(b)</w:t>
      </w:r>
      <w:r>
        <w:tab/>
        <w:t>made during the period that the extended exclusion order is in effect.</w:t>
      </w:r>
    </w:p>
    <w:p>
      <w:pPr>
        <w:pStyle w:val="Footnotesection"/>
      </w:pPr>
      <w:bookmarkStart w:id="579" w:name="_Toc120864885"/>
      <w:r>
        <w:tab/>
        <w:t>[Section 152NO inserted: No. 44 of 2022 s. 16.]</w:t>
      </w:r>
    </w:p>
    <w:p>
      <w:pPr>
        <w:pStyle w:val="Heading5"/>
      </w:pPr>
      <w:bookmarkStart w:id="580" w:name="_Toc131586579"/>
      <w:r>
        <w:rPr>
          <w:rStyle w:val="CharSectno"/>
        </w:rPr>
        <w:t>152NP</w:t>
      </w:r>
      <w:r>
        <w:t>.</w:t>
      </w:r>
      <w:r>
        <w:tab/>
        <w:t>Evidence in support of application for variation or revocation</w:t>
      </w:r>
      <w:bookmarkEnd w:id="579"/>
      <w:bookmarkEnd w:id="580"/>
    </w:p>
    <w:p>
      <w:pPr>
        <w:pStyle w:val="Subsection"/>
      </w:pPr>
      <w:r>
        <w:tab/>
      </w:r>
      <w:r>
        <w:tab/>
        <w:t xml:space="preserve">An application under section 152NO(1) must — </w:t>
      </w:r>
    </w:p>
    <w:p>
      <w:pPr>
        <w:pStyle w:val="Indenta"/>
      </w:pPr>
      <w:r>
        <w:tab/>
        <w:t>(a)</w:t>
      </w:r>
      <w:r>
        <w:tab/>
        <w:t>if the application is for a variation of the extended exclusion order — set out the variation applied for; and</w:t>
      </w:r>
    </w:p>
    <w:p>
      <w:pPr>
        <w:pStyle w:val="Indenta"/>
      </w:pPr>
      <w:r>
        <w:tab/>
        <w:t>(b)</w:t>
      </w:r>
      <w:r>
        <w:tab/>
        <w:t>set out the reasons why the applicant considers the extended exclusion order should be varied or revoked; and</w:t>
      </w:r>
    </w:p>
    <w:p>
      <w:pPr>
        <w:pStyle w:val="Indenta"/>
      </w:pPr>
      <w:r>
        <w:tab/>
        <w:t>(c)</w:t>
      </w:r>
      <w:r>
        <w:tab/>
        <w:t>set out any other information, and be accompanied by any document, that the applicant considers relevant to the application.</w:t>
      </w:r>
    </w:p>
    <w:p>
      <w:pPr>
        <w:pStyle w:val="Footnotesection"/>
      </w:pPr>
      <w:bookmarkStart w:id="581" w:name="_Toc120864886"/>
      <w:r>
        <w:tab/>
        <w:t>[Section 152NP inserted: No. 44 of 2022 s. 16.]</w:t>
      </w:r>
    </w:p>
    <w:p>
      <w:pPr>
        <w:pStyle w:val="Heading5"/>
      </w:pPr>
      <w:bookmarkStart w:id="582" w:name="_Toc131586580"/>
      <w:r>
        <w:rPr>
          <w:rStyle w:val="CharSectno"/>
        </w:rPr>
        <w:lastRenderedPageBreak/>
        <w:t>152NQ</w:t>
      </w:r>
      <w:r>
        <w:t>.</w:t>
      </w:r>
      <w:r>
        <w:tab/>
        <w:t>Notice of application for variation or revocation must be given to extended exclusion order respondent</w:t>
      </w:r>
      <w:bookmarkEnd w:id="581"/>
      <w:bookmarkEnd w:id="582"/>
    </w:p>
    <w:p>
      <w:pPr>
        <w:pStyle w:val="Subsection"/>
      </w:pPr>
      <w:r>
        <w:tab/>
        <w:t>(1)</w:t>
      </w:r>
      <w:r>
        <w:tab/>
        <w:t xml:space="preserve">The Director must ensure that the extended exclusion order respondent is given a written notice that — </w:t>
      </w:r>
    </w:p>
    <w:p>
      <w:pPr>
        <w:pStyle w:val="Indenta"/>
      </w:pPr>
      <w:r>
        <w:tab/>
        <w:t>(a)</w:t>
      </w:r>
      <w:r>
        <w:tab/>
        <w:t>states that an application under section 152NO(1) has been made and explains the proposed effect of the variation or revocation applied for; and</w:t>
      </w:r>
    </w:p>
    <w:p>
      <w:pPr>
        <w:pStyle w:val="Indenta"/>
      </w:pPr>
      <w:r>
        <w:tab/>
        <w:t>(b)</w:t>
      </w:r>
      <w:r>
        <w:tab/>
        <w:t>describes the information and documents provided in support of the application; and</w:t>
      </w:r>
    </w:p>
    <w:p>
      <w:pPr>
        <w:pStyle w:val="Indenta"/>
      </w:pPr>
      <w:r>
        <w:tab/>
        <w:t>(c)</w:t>
      </w:r>
      <w:r>
        <w:tab/>
        <w:t>informs the extended exclusion order respondent that they will be given a reasonable opportunity to make submissions or to be heard in relation to the application.</w:t>
      </w:r>
    </w:p>
    <w:p>
      <w:pPr>
        <w:pStyle w:val="Subsection"/>
      </w:pPr>
      <w:r>
        <w:tab/>
        <w:t>(2)</w:t>
      </w:r>
      <w:r>
        <w:tab/>
        <w:t>If the extended exclusion order respondent is the subject person, the written notice must be served on the extended exclusion order respondent in accordance with section 152NZQ(2).</w:t>
      </w:r>
    </w:p>
    <w:p>
      <w:pPr>
        <w:pStyle w:val="Subsection"/>
      </w:pPr>
      <w:r>
        <w:tab/>
        <w:t>(3)</w:t>
      </w:r>
      <w:r>
        <w:tab/>
        <w:t>Nothing in subsection (1) requires or authorises the Director to disclose confidential police information.</w:t>
      </w:r>
    </w:p>
    <w:p>
      <w:pPr>
        <w:pStyle w:val="Footnotesection"/>
      </w:pPr>
      <w:bookmarkStart w:id="583" w:name="_Toc120864887"/>
      <w:r>
        <w:tab/>
        <w:t>[Section 152NQ inserted: No. 44 of 2022 s. 16.]</w:t>
      </w:r>
    </w:p>
    <w:p>
      <w:pPr>
        <w:pStyle w:val="Heading5"/>
      </w:pPr>
      <w:bookmarkStart w:id="584" w:name="_Toc131586581"/>
      <w:r>
        <w:rPr>
          <w:rStyle w:val="CharSectno"/>
        </w:rPr>
        <w:t>152NR</w:t>
      </w:r>
      <w:r>
        <w:t>.</w:t>
      </w:r>
      <w:r>
        <w:tab/>
        <w:t>Director may vary or revoke extended exclusion order on application</w:t>
      </w:r>
      <w:bookmarkEnd w:id="583"/>
      <w:bookmarkEnd w:id="584"/>
    </w:p>
    <w:p>
      <w:pPr>
        <w:pStyle w:val="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Subsection"/>
      </w:pPr>
      <w:r>
        <w:tab/>
        <w:t>(2)</w:t>
      </w:r>
      <w:r>
        <w:tab/>
        <w:t xml:space="preserve">The Director may dispose of the application — </w:t>
      </w:r>
    </w:p>
    <w:p>
      <w:pPr>
        <w:pStyle w:val="Indenta"/>
      </w:pPr>
      <w:r>
        <w:tab/>
        <w:t>(a)</w:t>
      </w:r>
      <w:r>
        <w:tab/>
        <w:t>by varying or revoking the extended exclusion order (whether or not the variation or revocation was applied for); or</w:t>
      </w:r>
    </w:p>
    <w:p>
      <w:pPr>
        <w:pStyle w:val="Indenta"/>
      </w:pPr>
      <w:r>
        <w:tab/>
        <w:t>(b)</w:t>
      </w:r>
      <w:r>
        <w:tab/>
        <w:t>by dismissing the application; or</w:t>
      </w:r>
    </w:p>
    <w:p>
      <w:pPr>
        <w:pStyle w:val="Indenta"/>
      </w:pPr>
      <w:r>
        <w:lastRenderedPageBreak/>
        <w:tab/>
        <w:t>(c)</w:t>
      </w:r>
      <w:r>
        <w:tab/>
        <w:t>at the request of the applicant — by discontinuing the application.</w:t>
      </w:r>
    </w:p>
    <w:p>
      <w:pPr>
        <w:pStyle w:val="Subsection"/>
      </w:pPr>
      <w:r>
        <w:tab/>
        <w:t>(3)</w:t>
      </w:r>
      <w:r>
        <w:tab/>
        <w:t xml:space="preserve">The Director may vary or revoke an extended exclusion order under this section only if satisfied that it is reasonable in the circumstances to do so — </w:t>
      </w:r>
    </w:p>
    <w:p>
      <w:pPr>
        <w:pStyle w:val="Indenta"/>
      </w:pPr>
      <w:r>
        <w:tab/>
        <w:t>(a)</w:t>
      </w:r>
      <w:r>
        <w:tab/>
        <w:t>having given the extended exclusion order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extended exclusion order respondent under paragraph (a).</w:t>
      </w:r>
    </w:p>
    <w:p>
      <w:pPr>
        <w:pStyle w:val="Subsection"/>
      </w:pPr>
      <w:r>
        <w:tab/>
        <w:t>(4)</w:t>
      </w:r>
      <w:r>
        <w:tab/>
        <w:t xml:space="preserve">If the Director dismisses or discontinues an application under subsection (2)(b) or (c), the Director must ensure that written notice of the dismissal or discontinuation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585" w:name="_Toc120864888"/>
      <w:r>
        <w:tab/>
        <w:t>[Section 152NR inserted: No. 44 of 2022 s. 16.]</w:t>
      </w:r>
    </w:p>
    <w:p>
      <w:pPr>
        <w:pStyle w:val="Heading5"/>
      </w:pPr>
      <w:bookmarkStart w:id="586" w:name="_Toc131586582"/>
      <w:r>
        <w:rPr>
          <w:rStyle w:val="CharSectno"/>
        </w:rPr>
        <w:t>152NS</w:t>
      </w:r>
      <w:r>
        <w:t>.</w:t>
      </w:r>
      <w:r>
        <w:tab/>
        <w:t>Director may vary or revoke extended exclusion order on own initiative</w:t>
      </w:r>
      <w:bookmarkEnd w:id="585"/>
      <w:bookmarkEnd w:id="586"/>
    </w:p>
    <w:p>
      <w:pPr>
        <w:pStyle w:val="Subsection"/>
      </w:pPr>
      <w:r>
        <w:tab/>
        <w:t>(1)</w:t>
      </w:r>
      <w:r>
        <w:tab/>
        <w:t>The Director may vary or revoke an extended exclusion order on the Director’s own initiative.</w:t>
      </w:r>
    </w:p>
    <w:p>
      <w:pPr>
        <w:pStyle w:val="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Indenta"/>
      </w:pPr>
      <w:r>
        <w:tab/>
        <w:t>(a)</w:t>
      </w:r>
      <w:r>
        <w:tab/>
        <w:t>explains the effect of the proposed variation or revocation; and</w:t>
      </w:r>
    </w:p>
    <w:p>
      <w:pPr>
        <w:pStyle w:val="Indenta"/>
      </w:pPr>
      <w:r>
        <w:lastRenderedPageBreak/>
        <w:tab/>
        <w:t>(b)</w:t>
      </w:r>
      <w:r>
        <w:tab/>
        <w:t>sets out the reasons why the Director considers that the extended exclusion order should be varied or revoked; and</w:t>
      </w:r>
    </w:p>
    <w:p>
      <w:pPr>
        <w:pStyle w:val="Indenta"/>
      </w:pPr>
      <w:r>
        <w:tab/>
        <w:t>(c)</w:t>
      </w:r>
      <w:r>
        <w:tab/>
        <w:t>informs the Commissioner and the subject person that they will be given a reasonable opportunity to make submissions or to be heard in relation to the proposed variation or revocation.</w:t>
      </w:r>
    </w:p>
    <w:p>
      <w:pPr>
        <w:pStyle w:val="Subsection"/>
      </w:pPr>
      <w:r>
        <w:tab/>
        <w:t>(3)</w:t>
      </w:r>
      <w:r>
        <w:tab/>
        <w:t>The written notice must be served on the subject person in accordance with section 152NZQ(2).</w:t>
      </w:r>
    </w:p>
    <w:p>
      <w:pPr>
        <w:pStyle w:val="Subsection"/>
      </w:pPr>
      <w:r>
        <w:tab/>
        <w:t>(4)</w:t>
      </w:r>
      <w:r>
        <w:tab/>
        <w:t xml:space="preserve">The Director may vary or revoke an extended exclusion order under this section only if satisfied that it is reasonable in the circumstances to do so — </w:t>
      </w:r>
    </w:p>
    <w:p>
      <w:pPr>
        <w:pStyle w:val="Indenta"/>
      </w:pPr>
      <w:r>
        <w:tab/>
        <w:t>(a)</w:t>
      </w:r>
      <w:r>
        <w:tab/>
        <w:t>having given the Commissioner of Police and the subject person a reasonable opportunity to make submissions or to be heard in relation to the proposed variation or revocation; and</w:t>
      </w:r>
    </w:p>
    <w:p>
      <w:pPr>
        <w:pStyle w:val="Indenta"/>
      </w:pPr>
      <w:r>
        <w:tab/>
        <w:t>(b)</w:t>
      </w:r>
      <w:r>
        <w:tab/>
        <w:t>having regard to any information or document provided by the Commissioner or the subject person under paragraph (a).</w:t>
      </w:r>
    </w:p>
    <w:p>
      <w:pPr>
        <w:pStyle w:val="Subsection"/>
      </w:pPr>
      <w:r>
        <w:tab/>
        <w:t>(5)</w:t>
      </w:r>
      <w:r>
        <w:tab/>
        <w:t xml:space="preserve">If the Director decides not to vary or revoke the extended exclusion order, the Director must ensure that written notice of the decision is — </w:t>
      </w:r>
    </w:p>
    <w:p>
      <w:pPr>
        <w:pStyle w:val="Indenta"/>
      </w:pPr>
      <w:r>
        <w:tab/>
        <w:t>(a)</w:t>
      </w:r>
      <w:r>
        <w:tab/>
        <w:t>served on the subject person in accordance with section 152NZQ(2); and</w:t>
      </w:r>
    </w:p>
    <w:p>
      <w:pPr>
        <w:pStyle w:val="Indenta"/>
      </w:pPr>
      <w:r>
        <w:tab/>
        <w:t>(b)</w:t>
      </w:r>
      <w:r>
        <w:tab/>
        <w:t>given to the Commissioner of Police.</w:t>
      </w:r>
    </w:p>
    <w:p>
      <w:pPr>
        <w:pStyle w:val="Footnotesection"/>
      </w:pPr>
      <w:bookmarkStart w:id="587" w:name="_Toc120864889"/>
      <w:r>
        <w:tab/>
        <w:t>[Section 152NS inserted: No. 44 of 2022 s. 16.]</w:t>
      </w:r>
    </w:p>
    <w:p>
      <w:pPr>
        <w:pStyle w:val="Heading5"/>
      </w:pPr>
      <w:bookmarkStart w:id="588" w:name="_Toc131586583"/>
      <w:r>
        <w:rPr>
          <w:rStyle w:val="CharSectno"/>
        </w:rPr>
        <w:t>152NT</w:t>
      </w:r>
      <w:r>
        <w:t>.</w:t>
      </w:r>
      <w:r>
        <w:tab/>
        <w:t>Effect of variation or revocation</w:t>
      </w:r>
      <w:bookmarkEnd w:id="587"/>
      <w:bookmarkEnd w:id="588"/>
    </w:p>
    <w:p>
      <w:pPr>
        <w:pStyle w:val="Subsection"/>
      </w:pPr>
      <w:r>
        <w:tab/>
        <w:t>(1)</w:t>
      </w:r>
      <w:r>
        <w:tab/>
        <w:t xml:space="preserve">If the Director varies an extended exclusion order — </w:t>
      </w:r>
    </w:p>
    <w:p>
      <w:pPr>
        <w:pStyle w:val="Indenta"/>
      </w:pPr>
      <w:r>
        <w:tab/>
        <w:t>(a)</w:t>
      </w:r>
      <w:r>
        <w:tab/>
        <w:t xml:space="preserve">the Director must ensure that a written notice setting out the variation of the order is — </w:t>
      </w:r>
    </w:p>
    <w:p>
      <w:pPr>
        <w:pStyle w:val="Indenti"/>
      </w:pPr>
      <w:r>
        <w:lastRenderedPageBreak/>
        <w:tab/>
        <w:t>(i)</w:t>
      </w:r>
      <w:r>
        <w:tab/>
        <w:t>served on the subject person in accordance with section 152NZQ(2); and</w:t>
      </w:r>
    </w:p>
    <w:p>
      <w:pPr>
        <w:pStyle w:val="Indenti"/>
      </w:pPr>
      <w:r>
        <w:tab/>
        <w:t>(ii)</w:t>
      </w:r>
      <w:r>
        <w:tab/>
        <w:t>given to the Commissioner of Police;</w:t>
      </w:r>
    </w:p>
    <w:p>
      <w:pPr>
        <w:pStyle w:val="Indenta"/>
      </w:pPr>
      <w:r>
        <w:tab/>
      </w:r>
      <w:r>
        <w:tab/>
        <w:t>and</w:t>
      </w:r>
    </w:p>
    <w:p>
      <w:pPr>
        <w:pStyle w:val="Indenta"/>
      </w:pPr>
      <w:r>
        <w:tab/>
        <w:t>(b)</w:t>
      </w:r>
      <w:r>
        <w:tab/>
        <w:t>the variation takes effect from the time the notice is served on the subject person in accordance with section 152NZQ(2).</w:t>
      </w:r>
    </w:p>
    <w:p>
      <w:pPr>
        <w:pStyle w:val="Subsection"/>
      </w:pPr>
      <w:r>
        <w:tab/>
        <w:t>(2)</w:t>
      </w:r>
      <w:r>
        <w:tab/>
        <w:t xml:space="preserve">If the Director revokes an extended exclusion order — </w:t>
      </w:r>
    </w:p>
    <w:p>
      <w:pPr>
        <w:pStyle w:val="Indenta"/>
      </w:pPr>
      <w:r>
        <w:tab/>
        <w:t>(a)</w:t>
      </w:r>
      <w:r>
        <w:tab/>
        <w:t>the order immediately ceases to have effect; and</w:t>
      </w:r>
    </w:p>
    <w:p>
      <w:pPr>
        <w:pStyle w:val="Indenta"/>
      </w:pPr>
      <w:r>
        <w:tab/>
        <w:t>(b)</w:t>
      </w:r>
      <w:r>
        <w:tab/>
        <w:t xml:space="preserve">as soon as practicable after the order is revoked, the Director must ensure that a written notice stating that the order has been revoked and the time of the revocation is — </w:t>
      </w:r>
    </w:p>
    <w:p>
      <w:pPr>
        <w:pStyle w:val="Indenti"/>
      </w:pPr>
      <w:r>
        <w:tab/>
        <w:t>(i)</w:t>
      </w:r>
      <w:r>
        <w:tab/>
        <w:t>served on the subject person in accordance with section 152NZQ(2); and</w:t>
      </w:r>
    </w:p>
    <w:p>
      <w:pPr>
        <w:pStyle w:val="Indenti"/>
      </w:pPr>
      <w:r>
        <w:tab/>
        <w:t>(ii)</w:t>
      </w:r>
      <w:r>
        <w:tab/>
        <w:t>given to the Commissioner of Police.</w:t>
      </w:r>
    </w:p>
    <w:p>
      <w:pPr>
        <w:pStyle w:val="Footnotesection"/>
      </w:pPr>
      <w:bookmarkStart w:id="589" w:name="_Toc120864704"/>
      <w:bookmarkStart w:id="590" w:name="_Toc120864797"/>
      <w:bookmarkStart w:id="591" w:name="_Toc120864890"/>
      <w:r>
        <w:tab/>
        <w:t>[Section 152NT inserted: No. 44 of 2022 s. 16.]</w:t>
      </w:r>
    </w:p>
    <w:p>
      <w:pPr>
        <w:pStyle w:val="Heading3"/>
      </w:pPr>
      <w:bookmarkStart w:id="592" w:name="_Toc122342968"/>
      <w:bookmarkStart w:id="593" w:name="_Toc122513379"/>
      <w:bookmarkStart w:id="594" w:name="_Toc131519942"/>
      <w:bookmarkStart w:id="595" w:name="_Toc131520502"/>
      <w:bookmarkStart w:id="596" w:name="_Toc131586584"/>
      <w:r>
        <w:rPr>
          <w:rStyle w:val="CharDivNo"/>
        </w:rPr>
        <w:t>Division 4</w:t>
      </w:r>
      <w:r>
        <w:t> — </w:t>
      </w:r>
      <w:r>
        <w:rPr>
          <w:rStyle w:val="CharDivText"/>
        </w:rPr>
        <w:t>General provisions about exclusion orders</w:t>
      </w:r>
      <w:bookmarkEnd w:id="589"/>
      <w:bookmarkEnd w:id="590"/>
      <w:bookmarkEnd w:id="591"/>
      <w:bookmarkEnd w:id="592"/>
      <w:bookmarkEnd w:id="593"/>
      <w:bookmarkEnd w:id="594"/>
      <w:bookmarkEnd w:id="595"/>
      <w:bookmarkEnd w:id="596"/>
    </w:p>
    <w:p>
      <w:pPr>
        <w:pStyle w:val="Footnoteheading"/>
      </w:pPr>
      <w:bookmarkStart w:id="597" w:name="_Toc120864891"/>
      <w:r>
        <w:tab/>
        <w:t>[Heading inserted: No. 44 of 2022 s. 16.]</w:t>
      </w:r>
    </w:p>
    <w:p>
      <w:pPr>
        <w:pStyle w:val="Heading5"/>
      </w:pPr>
      <w:bookmarkStart w:id="598" w:name="_Toc131586585"/>
      <w:r>
        <w:rPr>
          <w:rStyle w:val="CharSectno"/>
        </w:rPr>
        <w:t>152NU</w:t>
      </w:r>
      <w:r>
        <w:t>.</w:t>
      </w:r>
      <w:r>
        <w:tab/>
        <w:t>Effect of changes to protected entertainment precincts on exclusion orders</w:t>
      </w:r>
      <w:bookmarkEnd w:id="597"/>
      <w:bookmarkEnd w:id="598"/>
    </w:p>
    <w:p>
      <w:pPr>
        <w:pStyle w:val="Subsection"/>
      </w:pPr>
      <w:r>
        <w:tab/>
        <w:t>(1)</w:t>
      </w:r>
      <w:r>
        <w:tab/>
        <w:t>The prohibition in an exclusion order from entering or remaining in all protected entertainment precincts applies to each area of the State that is, from time to time, a protected entertainment precinct.</w:t>
      </w:r>
    </w:p>
    <w:p>
      <w:pPr>
        <w:pStyle w:val="Subsection"/>
      </w:pPr>
      <w:r>
        <w:tab/>
        <w:t>(2)</w:t>
      </w:r>
      <w:r>
        <w:tab/>
        <w:t>A change to an area of the State that is a protected entertainment precinct is not a variation of an exclusion order for the purposes of this Part.</w:t>
      </w:r>
    </w:p>
    <w:p>
      <w:pPr>
        <w:pStyle w:val="Subsection"/>
      </w:pPr>
      <w:r>
        <w:tab/>
        <w:t>(3)</w:t>
      </w:r>
      <w:r>
        <w:tab/>
        <w:t xml:space="preserve">An exclusion order does not cease to have effect solely because, as a result of a change to an area of the State that is a protected </w:t>
      </w:r>
      <w:r>
        <w:lastRenderedPageBreak/>
        <w:t>entertainment precinct, the location where the behaviour on which the exclusion order is based occurred is no longer in a protected entertainment precinct.</w:t>
      </w:r>
    </w:p>
    <w:p>
      <w:pPr>
        <w:pStyle w:val="Footnotesection"/>
      </w:pPr>
      <w:bookmarkStart w:id="599" w:name="_Toc120864892"/>
      <w:r>
        <w:tab/>
        <w:t>[Section 152NU inserted: No. 44 of 2022 s. 16.]</w:t>
      </w:r>
    </w:p>
    <w:p>
      <w:pPr>
        <w:pStyle w:val="Heading5"/>
      </w:pPr>
      <w:bookmarkStart w:id="600" w:name="_Toc131586586"/>
      <w:r>
        <w:rPr>
          <w:rStyle w:val="CharSectno"/>
        </w:rPr>
        <w:t>152NV</w:t>
      </w:r>
      <w:r>
        <w:t>.</w:t>
      </w:r>
      <w:r>
        <w:tab/>
        <w:t>Exclusion order applies at all times unless varied</w:t>
      </w:r>
      <w:bookmarkEnd w:id="599"/>
      <w:bookmarkEnd w:id="600"/>
    </w:p>
    <w:p>
      <w:pPr>
        <w:pStyle w:val="Subsection"/>
      </w:pPr>
      <w:r>
        <w:tab/>
        <w:t>(1)</w:t>
      </w:r>
      <w:r>
        <w:tab/>
        <w:t>Subject to subsection (2), the prohibition in an exclusion order on the subject person entering or remaining in all protected entertainment precincts applies at all times.</w:t>
      </w:r>
    </w:p>
    <w:p>
      <w:pPr>
        <w:pStyle w:val="Subsection"/>
      </w:pPr>
      <w:r>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Subsection"/>
      </w:pPr>
      <w:r>
        <w:tab/>
        <w:t>(3)</w:t>
      </w:r>
      <w:r>
        <w:tab/>
        <w:t xml:space="preserve">An exclusion order must state whether the prohibition in the order on the subject person entering or remaining in all protected entertainment precincts applies — </w:t>
      </w:r>
    </w:p>
    <w:p>
      <w:pPr>
        <w:pStyle w:val="Indenta"/>
      </w:pPr>
      <w:r>
        <w:tab/>
        <w:t>(a)</w:t>
      </w:r>
      <w:r>
        <w:tab/>
        <w:t>at all times; or</w:t>
      </w:r>
    </w:p>
    <w:p>
      <w:pPr>
        <w:pStyle w:val="Indenta"/>
      </w:pPr>
      <w:r>
        <w:tab/>
        <w:t>(b)</w:t>
      </w:r>
      <w:r>
        <w:tab/>
        <w:t>at times specified in the order.</w:t>
      </w:r>
    </w:p>
    <w:p>
      <w:pPr>
        <w:pStyle w:val="Footnotesection"/>
      </w:pPr>
      <w:bookmarkStart w:id="601" w:name="_Toc120864893"/>
      <w:r>
        <w:tab/>
        <w:t>[Section 152NV inserted: No. 44 of 2022 s. 16.]</w:t>
      </w:r>
    </w:p>
    <w:p>
      <w:pPr>
        <w:pStyle w:val="Heading5"/>
      </w:pPr>
      <w:bookmarkStart w:id="602" w:name="_Toc131586587"/>
      <w:r>
        <w:rPr>
          <w:rStyle w:val="CharSectno"/>
        </w:rPr>
        <w:t>152NW</w:t>
      </w:r>
      <w:r>
        <w:t>.</w:t>
      </w:r>
      <w:r>
        <w:tab/>
        <w:t>Form of exclusion order</w:t>
      </w:r>
      <w:bookmarkEnd w:id="601"/>
      <w:bookmarkEnd w:id="602"/>
    </w:p>
    <w:p>
      <w:pPr>
        <w:pStyle w:val="Subsection"/>
      </w:pPr>
      <w:r>
        <w:tab/>
      </w:r>
      <w:r>
        <w:tab/>
        <w:t>An exclusion order must be in writing in a form approved by the Director.</w:t>
      </w:r>
    </w:p>
    <w:p>
      <w:pPr>
        <w:pStyle w:val="Footnotesection"/>
      </w:pPr>
      <w:bookmarkStart w:id="603" w:name="_Toc120864894"/>
      <w:r>
        <w:tab/>
        <w:t>[Section 152NW inserted: No. 44 of 2022 s. 16.]</w:t>
      </w:r>
    </w:p>
    <w:p>
      <w:pPr>
        <w:pStyle w:val="Heading5"/>
      </w:pPr>
      <w:bookmarkStart w:id="604" w:name="_Toc131586588"/>
      <w:r>
        <w:rPr>
          <w:rStyle w:val="CharSectno"/>
        </w:rPr>
        <w:t>152NX</w:t>
      </w:r>
      <w:r>
        <w:t>.</w:t>
      </w:r>
      <w:r>
        <w:tab/>
        <w:t>Exclusion order must be served and explained</w:t>
      </w:r>
      <w:bookmarkEnd w:id="603"/>
      <w:bookmarkEnd w:id="604"/>
    </w:p>
    <w:p>
      <w:pPr>
        <w:pStyle w:val="Subsection"/>
      </w:pPr>
      <w:r>
        <w:tab/>
        <w:t>(1)</w:t>
      </w:r>
      <w:r>
        <w:tab/>
        <w:t>A person who makes an exclusion order must, as soon as practicable after making the order, ensure that the order is served on the subject person in accordance with section 152NZQ(2).</w:t>
      </w:r>
    </w:p>
    <w:p>
      <w:pPr>
        <w:pStyle w:val="Subsection"/>
      </w:pPr>
      <w:r>
        <w:lastRenderedPageBreak/>
        <w:tab/>
        <w:t>(2)</w:t>
      </w:r>
      <w:r>
        <w:tab/>
        <w:t xml:space="preserve">A person who makes an exclusion order must explain, or cause to be explained, to the subject person, in language likely to be understood by the subject person — </w:t>
      </w:r>
    </w:p>
    <w:p>
      <w:pPr>
        <w:pStyle w:val="Indenta"/>
      </w:pPr>
      <w:r>
        <w:tab/>
        <w:t>(a)</w:t>
      </w:r>
      <w:r>
        <w:tab/>
        <w:t>the duration and effect of the exclusion order; and</w:t>
      </w:r>
    </w:p>
    <w:p>
      <w:pPr>
        <w:pStyle w:val="Indenta"/>
      </w:pPr>
      <w:r>
        <w:tab/>
        <w:t>(b)</w:t>
      </w:r>
      <w:r>
        <w:tab/>
        <w:t>the consequences of contravening the exclusion order; and</w:t>
      </w:r>
    </w:p>
    <w:p>
      <w:pPr>
        <w:pStyle w:val="Indenta"/>
      </w:pPr>
      <w:r>
        <w:tab/>
        <w:t>(c)</w:t>
      </w:r>
      <w:r>
        <w:tab/>
        <w:t>the effect of sections 152NU and 152NZF; and</w:t>
      </w:r>
    </w:p>
    <w:p>
      <w:pPr>
        <w:pStyle w:val="Indenta"/>
      </w:pPr>
      <w:r>
        <w:tab/>
        <w:t>(d)</w:t>
      </w:r>
      <w:r>
        <w:tab/>
        <w:t>if applicable, the right of the subject person to apply to the Commission for a review of the decision to make the exclusion order; and</w:t>
      </w:r>
    </w:p>
    <w:p>
      <w:pPr>
        <w:pStyle w:val="Indenta"/>
      </w:pPr>
      <w:r>
        <w:tab/>
        <w:t>(e)</w:t>
      </w:r>
      <w:r>
        <w:tab/>
        <w:t>in the case of a short</w:t>
      </w:r>
      <w:r>
        <w:noBreakHyphen/>
        <w:t xml:space="preserve">term exclusion order — </w:t>
      </w:r>
    </w:p>
    <w:p>
      <w:pPr>
        <w:pStyle w:val="Indenti"/>
      </w:pPr>
      <w:r>
        <w:tab/>
        <w:t>(i)</w:t>
      </w:r>
      <w:r>
        <w:tab/>
        <w:t>that the subject person may apply to the Commissioner of Police for the variation or revocation of the short</w:t>
      </w:r>
      <w:r>
        <w:noBreakHyphen/>
        <w:t>term exclusion order under section 152NF; and</w:t>
      </w:r>
    </w:p>
    <w:p>
      <w:pPr>
        <w:pStyle w:val="Indenti"/>
      </w:pPr>
      <w:r>
        <w:tab/>
        <w:t>(ii)</w:t>
      </w:r>
      <w:r>
        <w:tab/>
        <w:t>that the Commissioner of Police may apply to the Director for an extended exclusion order, with a term of no more than 5 years (or 2 years for a juvenile); and</w:t>
      </w:r>
    </w:p>
    <w:p>
      <w:pPr>
        <w:pStyle w:val="Indenti"/>
      </w:pPr>
      <w:r>
        <w:tab/>
        <w:t>(iii)</w:t>
      </w:r>
      <w:r>
        <w:tab/>
        <w:t>the effect of section 152NG;</w:t>
      </w:r>
    </w:p>
    <w:p>
      <w:pPr>
        <w:pStyle w:val="Indenta"/>
      </w:pPr>
      <w:r>
        <w:tab/>
      </w:r>
      <w:r>
        <w:tab/>
        <w:t>and</w:t>
      </w:r>
    </w:p>
    <w:p>
      <w:pPr>
        <w:pStyle w:val="Indenta"/>
      </w:pPr>
      <w:r>
        <w:tab/>
        <w:t>(f)</w:t>
      </w:r>
      <w:r>
        <w:tab/>
        <w:t xml:space="preserve">in the case of an extended exclusion order — </w:t>
      </w:r>
    </w:p>
    <w:p>
      <w:pPr>
        <w:pStyle w:val="Indenti"/>
      </w:pPr>
      <w:r>
        <w:tab/>
        <w:t>(i)</w:t>
      </w:r>
      <w:r>
        <w:tab/>
        <w:t>that the subject person may apply to the Director for the variation or revocation of the extended exclusion order under section 152NO(1); and</w:t>
      </w:r>
    </w:p>
    <w:p>
      <w:pPr>
        <w:pStyle w:val="Indenti"/>
      </w:pPr>
      <w:r>
        <w:tab/>
        <w:t>(ii)</w:t>
      </w:r>
      <w:r>
        <w:tab/>
        <w:t>the effect of section 152NZ.</w:t>
      </w:r>
    </w:p>
    <w:p>
      <w:pPr>
        <w:pStyle w:val="Subsection"/>
      </w:pPr>
      <w:r>
        <w:tab/>
        <w:t>(3)</w:t>
      </w:r>
      <w:r>
        <w:tab/>
        <w:t>The explanation referred to in subsection (2) may be given in writing (including as part of an exclusion order), in which case it must be served on the subject person in accordance with section 152NZQ(2).</w:t>
      </w:r>
    </w:p>
    <w:p>
      <w:pPr>
        <w:pStyle w:val="Subsection"/>
      </w:pPr>
      <w:r>
        <w:tab/>
        <w:t>(4)</w:t>
      </w:r>
      <w:r>
        <w:tab/>
        <w:t xml:space="preserve">Failure to comply with subsection (2) does not — </w:t>
      </w:r>
    </w:p>
    <w:p>
      <w:pPr>
        <w:pStyle w:val="Indenta"/>
      </w:pPr>
      <w:r>
        <w:tab/>
        <w:t>(a)</w:t>
      </w:r>
      <w:r>
        <w:tab/>
        <w:t>invalidate an exclusion order; or</w:t>
      </w:r>
    </w:p>
    <w:p>
      <w:pPr>
        <w:pStyle w:val="Indenta"/>
      </w:pPr>
      <w:r>
        <w:lastRenderedPageBreak/>
        <w:tab/>
        <w:t>(b)</w:t>
      </w:r>
      <w:r>
        <w:tab/>
        <w:t>affect the liability of a person for an offence under this Part.</w:t>
      </w:r>
    </w:p>
    <w:p>
      <w:pPr>
        <w:pStyle w:val="Footnotesection"/>
      </w:pPr>
      <w:bookmarkStart w:id="605" w:name="_Toc120864895"/>
      <w:r>
        <w:tab/>
        <w:t>[Section 152NX inserted: No. 44 of 2022 s. 16.]</w:t>
      </w:r>
    </w:p>
    <w:p>
      <w:pPr>
        <w:pStyle w:val="Heading5"/>
      </w:pPr>
      <w:bookmarkStart w:id="606" w:name="_Toc131586589"/>
      <w:r>
        <w:rPr>
          <w:rStyle w:val="CharSectno"/>
        </w:rPr>
        <w:t>152NY</w:t>
      </w:r>
      <w:r>
        <w:t>.</w:t>
      </w:r>
      <w:r>
        <w:tab/>
        <w:t>Duration of exclusion order</w:t>
      </w:r>
      <w:bookmarkEnd w:id="605"/>
      <w:bookmarkEnd w:id="606"/>
    </w:p>
    <w:p>
      <w:pPr>
        <w:pStyle w:val="Subsection"/>
      </w:pPr>
      <w:r>
        <w:tab/>
      </w:r>
      <w:r>
        <w:tab/>
        <w:t xml:space="preserve">An exclusion order — </w:t>
      </w:r>
    </w:p>
    <w:p>
      <w:pPr>
        <w:pStyle w:val="Indenta"/>
      </w:pPr>
      <w:r>
        <w:tab/>
        <w:t>(a)</w:t>
      </w:r>
      <w:r>
        <w:tab/>
        <w:t>has effect from the time the order is served on the subject person in accordance with section 152NZQ(2); and</w:t>
      </w:r>
    </w:p>
    <w:p>
      <w:pPr>
        <w:pStyle w:val="Indenta"/>
      </w:pPr>
      <w:r>
        <w:tab/>
        <w:t>(b)</w:t>
      </w:r>
      <w:r>
        <w:tab/>
        <w:t xml:space="preserve">ceases to have effect when any of the following occurs — </w:t>
      </w:r>
    </w:p>
    <w:p>
      <w:pPr>
        <w:pStyle w:val="Indenti"/>
      </w:pPr>
      <w:r>
        <w:tab/>
        <w:t>(i)</w:t>
      </w:r>
      <w:r>
        <w:tab/>
        <w:t xml:space="preserve">the term of the order expires; </w:t>
      </w:r>
    </w:p>
    <w:p>
      <w:pPr>
        <w:pStyle w:val="Indenti"/>
      </w:pPr>
      <w:r>
        <w:tab/>
        <w:t>(ii)</w:t>
      </w:r>
      <w:r>
        <w:tab/>
        <w:t xml:space="preserve">the order is revoked; </w:t>
      </w:r>
    </w:p>
    <w:p>
      <w:pPr>
        <w:pStyle w:val="Indenti"/>
      </w:pPr>
      <w:r>
        <w:tab/>
        <w:t>(iii)</w:t>
      </w:r>
      <w:r>
        <w:tab/>
        <w:t>the decision to make the order is quashed by the Commission under this Act.</w:t>
      </w:r>
    </w:p>
    <w:p>
      <w:pPr>
        <w:pStyle w:val="Footnotesection"/>
      </w:pPr>
      <w:bookmarkStart w:id="607" w:name="_Toc120864896"/>
      <w:r>
        <w:tab/>
        <w:t>[Section 152NY inserted: No. 44 of 2022 s. 16.]</w:t>
      </w:r>
    </w:p>
    <w:p>
      <w:pPr>
        <w:pStyle w:val="Heading5"/>
      </w:pPr>
      <w:bookmarkStart w:id="608" w:name="_Toc131586590"/>
      <w:r>
        <w:rPr>
          <w:rStyle w:val="CharSectno"/>
        </w:rPr>
        <w:t>152NZ</w:t>
      </w:r>
      <w:r>
        <w:t>.</w:t>
      </w:r>
      <w:r>
        <w:tab/>
        <w:t>Term of extended exclusion order extended by period in custody</w:t>
      </w:r>
      <w:bookmarkEnd w:id="607"/>
      <w:bookmarkEnd w:id="608"/>
    </w:p>
    <w:p>
      <w:pPr>
        <w:pStyle w:val="Subsection"/>
      </w:pPr>
      <w:r>
        <w:tab/>
      </w:r>
      <w:r>
        <w:tab/>
        <w:t xml:space="preserve">The term of an extended exclusion order is extended by any period after the order comes into effect during which the subject person is — </w:t>
      </w:r>
    </w:p>
    <w:p>
      <w:pPr>
        <w:pStyle w:val="Indenta"/>
      </w:pPr>
      <w:r>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Footnotesection"/>
      </w:pPr>
      <w:bookmarkStart w:id="609" w:name="_Toc120864897"/>
      <w:r>
        <w:tab/>
        <w:t>[Section 152NZ inserted: No. 44 of 2022 s. 16.]</w:t>
      </w:r>
    </w:p>
    <w:p>
      <w:pPr>
        <w:pStyle w:val="Heading5"/>
      </w:pPr>
      <w:bookmarkStart w:id="610" w:name="_Toc131586591"/>
      <w:r>
        <w:rPr>
          <w:rStyle w:val="CharSectno"/>
        </w:rPr>
        <w:t>152NZA</w:t>
      </w:r>
      <w:r>
        <w:t>.</w:t>
      </w:r>
      <w:r>
        <w:tab/>
        <w:t>Correcting mistakes in exclusion order</w:t>
      </w:r>
      <w:bookmarkEnd w:id="609"/>
      <w:bookmarkEnd w:id="610"/>
    </w:p>
    <w:p>
      <w:pPr>
        <w:pStyle w:val="Subsection"/>
      </w:pPr>
      <w:r>
        <w:tab/>
        <w:t>(1)</w:t>
      </w:r>
      <w:r>
        <w:tab/>
        <w:t>The Commissioner of Police (in the case of a short</w:t>
      </w:r>
      <w:r>
        <w:noBreakHyphen/>
        <w:t xml:space="preserve">term exclusion order) or the Director (in the case of an extended </w:t>
      </w:r>
      <w:r>
        <w:lastRenderedPageBreak/>
        <w:t>exclusion order) may correct an exclusion order to the extent necessary to rectify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order.</w:t>
      </w:r>
    </w:p>
    <w:p>
      <w:pPr>
        <w:pStyle w:val="Subsection"/>
      </w:pPr>
      <w:r>
        <w:tab/>
        <w:t>(2)</w:t>
      </w:r>
      <w:r>
        <w:tab/>
        <w:t>The Commissioner of Police or Director (as the case requires) must, as soon as practicable after an exclusion order is corrected under this section —</w:t>
      </w:r>
    </w:p>
    <w:p>
      <w:pPr>
        <w:pStyle w:val="Indenta"/>
      </w:pPr>
      <w:r>
        <w:tab/>
        <w:t>(a)</w:t>
      </w:r>
      <w:r>
        <w:tab/>
        <w:t>ensure that written notice of the correction is served on the subject person in accordance with section 152NZQ(2); and</w:t>
      </w:r>
    </w:p>
    <w:p>
      <w:pPr>
        <w:pStyle w:val="Indenta"/>
      </w:pPr>
      <w:r>
        <w:tab/>
        <w:t>(b)</w:t>
      </w:r>
      <w:r>
        <w:tab/>
        <w:t>make a record of the particulars of the correction of the order.</w:t>
      </w:r>
    </w:p>
    <w:p>
      <w:pPr>
        <w:pStyle w:val="Subsection"/>
      </w:pPr>
      <w:r>
        <w:tab/>
        <w:t>(3)</w:t>
      </w:r>
      <w:r>
        <w:tab/>
        <w:t>An exclusion order corrected under this section has the same validity and effect as if the mistake had not been made.</w:t>
      </w:r>
    </w:p>
    <w:p>
      <w:pPr>
        <w:pStyle w:val="Footnotesection"/>
      </w:pPr>
      <w:bookmarkStart w:id="611" w:name="_Toc120864898"/>
      <w:r>
        <w:tab/>
        <w:t>[Section 152NZA inserted: No. 44 of 2022 s. 16.]</w:t>
      </w:r>
    </w:p>
    <w:p>
      <w:pPr>
        <w:pStyle w:val="Heading5"/>
      </w:pPr>
      <w:bookmarkStart w:id="612" w:name="_Toc131586592"/>
      <w:r>
        <w:rPr>
          <w:rStyle w:val="CharSectno"/>
        </w:rPr>
        <w:t>152NZB</w:t>
      </w:r>
      <w:r>
        <w:t>.</w:t>
      </w:r>
      <w:r>
        <w:tab/>
        <w:t>Reasons for decisions and notice of right of review</w:t>
      </w:r>
      <w:bookmarkEnd w:id="611"/>
      <w:bookmarkEnd w:id="612"/>
    </w:p>
    <w:p>
      <w:pPr>
        <w:pStyle w:val="Subsection"/>
      </w:pPr>
      <w:r>
        <w:tab/>
        <w:t>(1)</w:t>
      </w:r>
      <w:r>
        <w:tab/>
        <w:t xml:space="preserve">In this section — </w:t>
      </w:r>
    </w:p>
    <w:p>
      <w:pPr>
        <w:pStyle w:val="Defstart"/>
      </w:pPr>
      <w:r>
        <w:tab/>
      </w:r>
      <w:r>
        <w:rPr>
          <w:rStyle w:val="CharDefText"/>
        </w:rPr>
        <w:t>relevant written notice</w:t>
      </w:r>
      <w:r>
        <w:t xml:space="preserve"> means a written notice under — </w:t>
      </w:r>
    </w:p>
    <w:p>
      <w:pPr>
        <w:pStyle w:val="Defpara"/>
      </w:pPr>
      <w:r>
        <w:tab/>
        <w:t>(a)</w:t>
      </w:r>
      <w:r>
        <w:tab/>
        <w:t>section 152NM(7) that relates to dismissal; or</w:t>
      </w:r>
    </w:p>
    <w:p>
      <w:pPr>
        <w:pStyle w:val="Defpara"/>
      </w:pPr>
      <w:r>
        <w:tab/>
        <w:t>(b)</w:t>
      </w:r>
      <w:r>
        <w:tab/>
        <w:t>section 152NR(4) that relates to dismissal; or</w:t>
      </w:r>
    </w:p>
    <w:p>
      <w:pPr>
        <w:pStyle w:val="Defpara"/>
      </w:pPr>
      <w:r>
        <w:tab/>
        <w:t>(c)</w:t>
      </w:r>
      <w:r>
        <w:tab/>
        <w:t>section 152NS(5); or</w:t>
      </w:r>
    </w:p>
    <w:p>
      <w:pPr>
        <w:pStyle w:val="Defpara"/>
      </w:pPr>
      <w:r>
        <w:tab/>
        <w:t>(d)</w:t>
      </w:r>
      <w:r>
        <w:tab/>
        <w:t>section 152NT(1)(a) or (2)(b). </w:t>
      </w:r>
    </w:p>
    <w:p>
      <w:pPr>
        <w:pStyle w:val="Subsection"/>
      </w:pPr>
      <w:r>
        <w:tab/>
        <w:t>(2)</w:t>
      </w:r>
      <w:r>
        <w:tab/>
        <w:t>A relevant written notice (other than a written notice under section 152NM(7) or 152NT(2)(b)) must contain an explanation of the right of review under section 25 (if applicable).</w:t>
      </w:r>
    </w:p>
    <w:p>
      <w:pPr>
        <w:pStyle w:val="Subsection"/>
      </w:pPr>
      <w:r>
        <w:tab/>
        <w:t>(3)</w:t>
      </w:r>
      <w:r>
        <w:tab/>
        <w:t>A relevant written notice may, but need not, include the reasons for the Director’s decision.</w:t>
      </w:r>
    </w:p>
    <w:p>
      <w:pPr>
        <w:pStyle w:val="Subsection"/>
      </w:pPr>
      <w:r>
        <w:lastRenderedPageBreak/>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pPr>
        <w:pStyle w:val="Subsection"/>
      </w:pPr>
      <w:r>
        <w:tab/>
        <w:t>(6)</w:t>
      </w:r>
      <w:r>
        <w:tab/>
        <w:t>If a person makes a request under subsection (4) or (5), the Director must provide the person with written reasons for the decision.</w:t>
      </w:r>
    </w:p>
    <w:p>
      <w:pPr>
        <w:pStyle w:val="Subsection"/>
      </w:pPr>
      <w:r>
        <w:tab/>
        <w:t>(7)</w:t>
      </w:r>
      <w:r>
        <w:tab/>
        <w:t>Section 18AA does not apply to this Part.</w:t>
      </w:r>
    </w:p>
    <w:p>
      <w:pPr>
        <w:pStyle w:val="Footnotesection"/>
      </w:pPr>
      <w:bookmarkStart w:id="613" w:name="_Toc120864899"/>
      <w:r>
        <w:tab/>
        <w:t>[Section 152NZB inserted: No. 44 of 2022 s. 16.]</w:t>
      </w:r>
    </w:p>
    <w:p>
      <w:pPr>
        <w:pStyle w:val="Heading5"/>
      </w:pPr>
      <w:bookmarkStart w:id="614" w:name="_Toc131586593"/>
      <w:r>
        <w:rPr>
          <w:rStyle w:val="CharSectno"/>
        </w:rPr>
        <w:t>152NZC</w:t>
      </w:r>
      <w:r>
        <w:t>.</w:t>
      </w:r>
      <w:r>
        <w:tab/>
        <w:t>Publication and disclosure of information about exclusion orders</w:t>
      </w:r>
      <w:bookmarkEnd w:id="613"/>
      <w:bookmarkEnd w:id="614"/>
    </w:p>
    <w:p>
      <w:pPr>
        <w:pStyle w:val="Subsection"/>
      </w:pPr>
      <w:r>
        <w:tab/>
        <w:t>(1)</w:t>
      </w:r>
      <w:r>
        <w:tab/>
        <w:t xml:space="preserve">In this section — </w:t>
      </w:r>
    </w:p>
    <w:p>
      <w:pPr>
        <w:pStyle w:val="Defstart"/>
      </w:pPr>
      <w:r>
        <w:tab/>
      </w:r>
      <w:r>
        <w:rPr>
          <w:rStyle w:val="CharDefText"/>
        </w:rPr>
        <w:t>personal particulars</w:t>
      </w:r>
      <w:r>
        <w:t xml:space="preserve">, in relation to an exclusion order, means — </w:t>
      </w:r>
    </w:p>
    <w:p>
      <w:pPr>
        <w:pStyle w:val="Defpara"/>
      </w:pPr>
      <w:r>
        <w:tab/>
        <w:t>(a)</w:t>
      </w:r>
      <w:r>
        <w:tab/>
        <w:t>the name and date of birth of the subject person; and</w:t>
      </w:r>
    </w:p>
    <w:p>
      <w:pPr>
        <w:pStyle w:val="Defpara"/>
      </w:pPr>
      <w:r>
        <w:tab/>
        <w:t>(b)</w:t>
      </w:r>
      <w:r>
        <w:tab/>
        <w:t>a photograph of the subject person; and</w:t>
      </w:r>
    </w:p>
    <w:p>
      <w:pPr>
        <w:pStyle w:val="Defpara"/>
      </w:pPr>
      <w:r>
        <w:tab/>
        <w:t>(c)</w:t>
      </w:r>
      <w:r>
        <w:tab/>
        <w:t>the address of the subject person;</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lastRenderedPageBreak/>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Subsection"/>
      </w:pPr>
      <w:r>
        <w:tab/>
        <w:t>(3)</w:t>
      </w:r>
      <w:r>
        <w:tab/>
        <w:t xml:space="preserve">If an extended exclusion order is in effect, the Director may — </w:t>
      </w:r>
    </w:p>
    <w:p>
      <w:pPr>
        <w:pStyle w:val="Indenta"/>
      </w:pPr>
      <w:r>
        <w:tab/>
        <w:t>(a)</w:t>
      </w:r>
      <w:r>
        <w:tab/>
        <w:t>publish on a secure webpage any of the personal particulars in relation to the order; and</w:t>
      </w:r>
    </w:p>
    <w:p>
      <w:pPr>
        <w:pStyle w:val="Indenta"/>
      </w:pPr>
      <w:r>
        <w:tab/>
        <w:t>(b)</w:t>
      </w:r>
      <w:r>
        <w:tab/>
        <w:t>if the subject person in relation to the order is not a juvenile — publish, in any manner the Director considers appropriate, any of the following in relation to the order —</w:t>
      </w:r>
    </w:p>
    <w:p>
      <w:pPr>
        <w:pStyle w:val="Indenti"/>
      </w:pPr>
      <w:r>
        <w:tab/>
        <w:t>(i)</w:t>
      </w:r>
      <w:r>
        <w:tab/>
        <w:t>the name of the subject person;</w:t>
      </w:r>
    </w:p>
    <w:p>
      <w:pPr>
        <w:pStyle w:val="Indenti"/>
      </w:pPr>
      <w:r>
        <w:tab/>
        <w:t>(ii)</w:t>
      </w:r>
      <w:r>
        <w:tab/>
        <w:t>a photograph of the subject person;</w:t>
      </w:r>
    </w:p>
    <w:p>
      <w:pPr>
        <w:pStyle w:val="Indenti"/>
      </w:pPr>
      <w:r>
        <w:tab/>
        <w:t>(iii)</w:t>
      </w:r>
      <w:r>
        <w:tab/>
        <w:t>the town or suburb where the subject person lives.</w:t>
      </w:r>
    </w:p>
    <w:p>
      <w:pPr>
        <w:pStyle w:val="Subsection"/>
      </w:pPr>
      <w:r>
        <w:tab/>
        <w:t>(4)</w:t>
      </w:r>
      <w:r>
        <w:tab/>
        <w:t xml:space="preserve">If an exclusion order is in effect, the Commissioner of Police or the Director may disclose any of the personal particulars in relation to the order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persons subject to exclusion orders; or</w:t>
      </w:r>
    </w:p>
    <w:p>
      <w:pPr>
        <w:pStyle w:val="Indenti"/>
      </w:pPr>
      <w:r>
        <w:lastRenderedPageBreak/>
        <w:tab/>
        <w:t>(ii)</w:t>
      </w:r>
      <w:r>
        <w:tab/>
        <w:t>the creation or provision of equipment, software, databases or any other thing to be used by responsible persons in identifying persons subject to exclusion orders.</w:t>
      </w:r>
    </w:p>
    <w:p>
      <w:pPr>
        <w:pStyle w:val="Subsection"/>
      </w:pPr>
      <w:r>
        <w:tab/>
        <w:t>(5)</w:t>
      </w:r>
      <w:r>
        <w:tab/>
        <w:t>Subsections (2), (3) and (4) do not permit the publication or disclosure of anything that identifies, or is capable of identifying —</w:t>
      </w:r>
    </w:p>
    <w:p>
      <w:pPr>
        <w:pStyle w:val="Indenta"/>
      </w:pPr>
      <w:r>
        <w:tab/>
        <w:t>(a)</w:t>
      </w:r>
      <w:r>
        <w:tab/>
        <w:t>a juvenile other than the subject person; or</w:t>
      </w:r>
    </w:p>
    <w:p>
      <w:pPr>
        <w:pStyle w:val="Indenta"/>
      </w:pPr>
      <w:r>
        <w:tab/>
        <w:t>(b)</w:t>
      </w:r>
      <w:r>
        <w:tab/>
        <w:t>the details of any offence of which the subject person was convicted in the Children’s Court.</w:t>
      </w:r>
    </w:p>
    <w:p>
      <w:pPr>
        <w:pStyle w:val="Footnotesection"/>
      </w:pPr>
      <w:bookmarkStart w:id="615" w:name="_Toc120864900"/>
      <w:r>
        <w:tab/>
        <w:t>[Section 152NZC inserted: No. 44 of 2022 s. 16.]</w:t>
      </w:r>
    </w:p>
    <w:p>
      <w:pPr>
        <w:pStyle w:val="Heading5"/>
      </w:pPr>
      <w:bookmarkStart w:id="616" w:name="_Toc131586594"/>
      <w:r>
        <w:rPr>
          <w:rStyle w:val="CharSectno"/>
        </w:rPr>
        <w:t>152NZD</w:t>
      </w:r>
      <w:r>
        <w:t>.</w:t>
      </w:r>
      <w:r>
        <w:tab/>
        <w:t>Offence of further disclosing information about exclusion orders</w:t>
      </w:r>
      <w:bookmarkEnd w:id="615"/>
      <w:bookmarkEnd w:id="616"/>
    </w:p>
    <w:p>
      <w:pPr>
        <w:pStyle w:val="Subsection"/>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152NZC(3)(b).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lastRenderedPageBreak/>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Footnotesection"/>
      </w:pPr>
      <w:bookmarkStart w:id="617" w:name="_Toc120864901"/>
      <w:r>
        <w:tab/>
        <w:t>[Section 152NZD inserted: No. 44 of 2022 s. 16.]</w:t>
      </w:r>
    </w:p>
    <w:p>
      <w:pPr>
        <w:pStyle w:val="Heading5"/>
      </w:pPr>
      <w:bookmarkStart w:id="618" w:name="_Toc131586595"/>
      <w:r>
        <w:rPr>
          <w:rStyle w:val="CharSectno"/>
        </w:rPr>
        <w:t>152NZE</w:t>
      </w:r>
      <w:r>
        <w:t>.</w:t>
      </w:r>
      <w:r>
        <w:tab/>
        <w:t xml:space="preserve">Relationship with </w:t>
      </w:r>
      <w:r>
        <w:rPr>
          <w:i/>
        </w:rPr>
        <w:t>Criminal Organisations Control Act 2012</w:t>
      </w:r>
      <w:bookmarkEnd w:id="617"/>
      <w:bookmarkEnd w:id="618"/>
    </w:p>
    <w:p>
      <w:pPr>
        <w:pStyle w:val="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Footnotesection"/>
      </w:pPr>
      <w:bookmarkStart w:id="619" w:name="_Toc120864902"/>
      <w:r>
        <w:tab/>
        <w:t>[Section 152NZE inserted: No. 44 of 2022 s. 16.]</w:t>
      </w:r>
    </w:p>
    <w:p>
      <w:pPr>
        <w:pStyle w:val="Heading5"/>
      </w:pPr>
      <w:bookmarkStart w:id="620" w:name="_Toc131586596"/>
      <w:r>
        <w:rPr>
          <w:rStyle w:val="CharSectno"/>
        </w:rPr>
        <w:t>152NZF</w:t>
      </w:r>
      <w:r>
        <w:t>.</w:t>
      </w:r>
      <w:r>
        <w:tab/>
        <w:t>Orders not affected by other orders under Act</w:t>
      </w:r>
      <w:bookmarkEnd w:id="619"/>
      <w:bookmarkEnd w:id="620"/>
    </w:p>
    <w:p>
      <w:pPr>
        <w:pStyle w:val="Subsection"/>
      </w:pPr>
      <w:r>
        <w:tab/>
        <w:t>(1)</w:t>
      </w:r>
      <w:r>
        <w:tab/>
        <w:t xml:space="preserve">This section applies if more than 1 of the following is in effect in respect of a person (each a </w:t>
      </w:r>
      <w:r>
        <w:rPr>
          <w:rStyle w:val="CharDefText"/>
        </w:rPr>
        <w:t>restriction order</w:t>
      </w:r>
      <w:r>
        <w:t xml:space="preserve">) — </w:t>
      </w:r>
    </w:p>
    <w:p>
      <w:pPr>
        <w:pStyle w:val="Indenta"/>
      </w:pPr>
      <w:r>
        <w:tab/>
        <w:t>(a)</w:t>
      </w:r>
      <w:r>
        <w:tab/>
        <w:t>a notice under section 115AA(2);</w:t>
      </w:r>
    </w:p>
    <w:p>
      <w:pPr>
        <w:pStyle w:val="Indenta"/>
      </w:pPr>
      <w:r>
        <w:tab/>
        <w:t>(b)</w:t>
      </w:r>
      <w:r>
        <w:tab/>
        <w:t>a prohibition order under Part 5A;</w:t>
      </w:r>
    </w:p>
    <w:p>
      <w:pPr>
        <w:pStyle w:val="Indenta"/>
      </w:pPr>
      <w:r>
        <w:tab/>
        <w:t>(c)</w:t>
      </w:r>
      <w:r>
        <w:tab/>
        <w:t>an exclusion order.</w:t>
      </w:r>
    </w:p>
    <w:p>
      <w:pPr>
        <w:pStyle w:val="Subsection"/>
      </w:pPr>
      <w:r>
        <w:tab/>
        <w:t>(2)</w:t>
      </w:r>
      <w:r>
        <w:tab/>
        <w:t>The person must comply with each restriction order that is in effect in respect of them.</w:t>
      </w:r>
    </w:p>
    <w:p>
      <w:pPr>
        <w:pStyle w:val="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Footnotesection"/>
      </w:pPr>
      <w:bookmarkStart w:id="621" w:name="_Toc120864903"/>
      <w:r>
        <w:tab/>
        <w:t>[Section 152NZF inserted: No. 44 of 2022 s. 16.]</w:t>
      </w:r>
    </w:p>
    <w:p>
      <w:pPr>
        <w:pStyle w:val="Heading5"/>
      </w:pPr>
      <w:bookmarkStart w:id="622" w:name="_Toc131586597"/>
      <w:r>
        <w:rPr>
          <w:rStyle w:val="CharSectno"/>
        </w:rPr>
        <w:t>152NZG</w:t>
      </w:r>
      <w:r>
        <w:t>.</w:t>
      </w:r>
      <w:r>
        <w:tab/>
        <w:t>Delegation by Commissioner of Police</w:t>
      </w:r>
      <w:bookmarkEnd w:id="621"/>
      <w:bookmarkEnd w:id="622"/>
    </w:p>
    <w:p>
      <w:pPr>
        <w:pStyle w:val="Subsection"/>
      </w:pPr>
      <w:r>
        <w:tab/>
        <w:t>(1)</w:t>
      </w:r>
      <w:r>
        <w:tab/>
        <w:t xml:space="preserve">The Commissioner of Police may delegate any power or duty of the Commissioner under sections 152NF, 152NJ, 152NK, 152NM, 152NO, 152NR, 152NS and 152NZA to a member of </w:t>
      </w:r>
      <w:r>
        <w:lastRenderedPageBreak/>
        <w:t>the Police Force who is, or is acting as, an Inspector or an officer of a rank more senior than Inspector.</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Subsection"/>
      </w:pPr>
      <w:r>
        <w:tab/>
        <w:t>(6)</w:t>
      </w:r>
      <w:r>
        <w:tab/>
        <w:t>Section 3(6) does not apply to a reference to the Commissioner of Police in a section referred to in subsection (1).</w:t>
      </w:r>
    </w:p>
    <w:p>
      <w:pPr>
        <w:pStyle w:val="Footnotesection"/>
      </w:pPr>
      <w:bookmarkStart w:id="623" w:name="_Toc120864904"/>
      <w:r>
        <w:tab/>
        <w:t>[Section 152NZG inserted: No. 44 of 2022 s. 16.]</w:t>
      </w:r>
    </w:p>
    <w:p>
      <w:pPr>
        <w:pStyle w:val="Heading5"/>
      </w:pPr>
      <w:bookmarkStart w:id="624" w:name="_Toc131586598"/>
      <w:r>
        <w:rPr>
          <w:rStyle w:val="CharSectno"/>
        </w:rPr>
        <w:t>152NZH</w:t>
      </w:r>
      <w:r>
        <w:t>.</w:t>
      </w:r>
      <w:r>
        <w:tab/>
        <w:t>Decisions of Commission on review</w:t>
      </w:r>
      <w:bookmarkEnd w:id="623"/>
      <w:bookmarkEnd w:id="624"/>
    </w:p>
    <w:p>
      <w:pPr>
        <w:pStyle w:val="Subsection"/>
      </w:pPr>
      <w:r>
        <w:tab/>
        <w:t>(1)</w:t>
      </w:r>
      <w:r>
        <w:tab/>
        <w:t xml:space="preserve">This section applies if the Commission does any of the following (each a </w:t>
      </w:r>
      <w:r>
        <w:rPr>
          <w:b/>
          <w:i/>
        </w:rPr>
        <w:t>review</w:t>
      </w:r>
      <w:r>
        <w:t xml:space="preserve">) — </w:t>
      </w:r>
    </w:p>
    <w:p>
      <w:pPr>
        <w:pStyle w:val="Indenta"/>
      </w:pPr>
      <w:r>
        <w:tab/>
        <w:t>(a)</w:t>
      </w:r>
      <w:r>
        <w:tab/>
        <w:t xml:space="preserve">reviews under section 152NH — </w:t>
      </w:r>
    </w:p>
    <w:p>
      <w:pPr>
        <w:pStyle w:val="Indenti"/>
      </w:pPr>
      <w:r>
        <w:tab/>
        <w:t>(i)</w:t>
      </w:r>
      <w:r>
        <w:tab/>
        <w:t>a decision of a member of the Police Force under section 152ND to make a short</w:t>
      </w:r>
      <w:r>
        <w:noBreakHyphen/>
        <w:t>term exclusion order; or</w:t>
      </w:r>
    </w:p>
    <w:p>
      <w:pPr>
        <w:pStyle w:val="Indenti"/>
      </w:pPr>
      <w:r>
        <w:tab/>
        <w:t>(ii)</w:t>
      </w:r>
      <w:r>
        <w:tab/>
        <w:t>a decision of the Commissioner of Police under section 152NF to vary a short</w:t>
      </w:r>
      <w:r>
        <w:noBreakHyphen/>
        <w:t>term exclusion order;</w:t>
      </w:r>
    </w:p>
    <w:p>
      <w:pPr>
        <w:pStyle w:val="Indenta"/>
      </w:pPr>
      <w:r>
        <w:tab/>
      </w:r>
      <w:r>
        <w:tab/>
        <w:t>or</w:t>
      </w:r>
    </w:p>
    <w:p>
      <w:pPr>
        <w:pStyle w:val="Indenta"/>
      </w:pPr>
      <w:r>
        <w:tab/>
        <w:t>(b)</w:t>
      </w:r>
      <w:r>
        <w:tab/>
        <w:t>reviews under section 25 a decision made by the Director that relates to the making, variation or revocation of an extended exclusion order; or</w:t>
      </w:r>
    </w:p>
    <w:p>
      <w:pPr>
        <w:pStyle w:val="Indenta"/>
      </w:pPr>
      <w:r>
        <w:lastRenderedPageBreak/>
        <w:tab/>
        <w:t>(c)</w:t>
      </w:r>
      <w:r>
        <w:tab/>
        <w:t>hears an appeal under section 28 against a decision of the Commission on a review referred to in paragraph (a).</w:t>
      </w:r>
    </w:p>
    <w:p>
      <w:pPr>
        <w:pStyle w:val="Subsection"/>
      </w:pPr>
      <w:r>
        <w:tab/>
        <w:t>(2)</w:t>
      </w:r>
      <w:r>
        <w:tab/>
        <w:t xml:space="preserve">If the effect of the Commission’s decision on the review is to vary or revoke the exclusion order — </w:t>
      </w:r>
    </w:p>
    <w:p>
      <w:pPr>
        <w:pStyle w:val="Indenta"/>
      </w:pPr>
      <w:r>
        <w:tab/>
        <w:t>(a)</w:t>
      </w:r>
      <w:r>
        <w:tab/>
        <w:t>the variation or revocation takes effect at the time specified by the Commission; and</w:t>
      </w:r>
    </w:p>
    <w:p>
      <w:pPr>
        <w:pStyle w:val="Indenta"/>
      </w:pPr>
      <w:r>
        <w:tab/>
        <w:t>(b)</w:t>
      </w:r>
      <w:r>
        <w:tab/>
        <w:t>the Commission must specify how the subject person is to be notified of the variation or revocation.</w:t>
      </w:r>
    </w:p>
    <w:p>
      <w:pPr>
        <w:pStyle w:val="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Indenta"/>
      </w:pPr>
      <w:r>
        <w:tab/>
        <w:t>(a)</w:t>
      </w:r>
      <w:r>
        <w:tab/>
        <w:t>the new exclusion order is to be regarded as, and given effect as, an order made by a member of the Police Force under section 152ND(1) or an order made by the Director under section 152NM(1)(a) (as the case requires); and</w:t>
      </w:r>
    </w:p>
    <w:p>
      <w:pPr>
        <w:pStyle w:val="Indenta"/>
      </w:pPr>
      <w:r>
        <w:tab/>
        <w:t>(b)</w:t>
      </w:r>
      <w:r>
        <w:tab/>
        <w:t xml:space="preserve">without limiting paragraph (a), unless the Commission specifies otherwise — </w:t>
      </w:r>
    </w:p>
    <w:p>
      <w:pPr>
        <w:pStyle w:val="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Indenti"/>
      </w:pPr>
      <w:r>
        <w:tab/>
        <w:t>(ii)</w:t>
      </w:r>
      <w:r>
        <w:tab/>
        <w:t>the new exclusion order has effect under section 152NY from the time the order is served on the subject person.</w:t>
      </w:r>
    </w:p>
    <w:p>
      <w:pPr>
        <w:pStyle w:val="Subsection"/>
      </w:pPr>
      <w:r>
        <w:tab/>
        <w:t>(4)</w:t>
      </w:r>
      <w:r>
        <w:tab/>
        <w:t>Despite subsection (3)(a), the decision to make the new exclusion order is not again open to review by the Commission under section 25 or 152NH.</w:t>
      </w:r>
    </w:p>
    <w:p>
      <w:pPr>
        <w:pStyle w:val="Footnotesection"/>
      </w:pPr>
      <w:bookmarkStart w:id="625" w:name="_Toc120864719"/>
      <w:bookmarkStart w:id="626" w:name="_Toc120864812"/>
      <w:bookmarkStart w:id="627" w:name="_Toc120864905"/>
      <w:r>
        <w:tab/>
        <w:t>[Section 152NZH inserted: No. 44 of 2022 s. 16.]</w:t>
      </w:r>
    </w:p>
    <w:p>
      <w:pPr>
        <w:pStyle w:val="Heading3"/>
      </w:pPr>
      <w:bookmarkStart w:id="628" w:name="_Toc122342983"/>
      <w:bookmarkStart w:id="629" w:name="_Toc122513394"/>
      <w:bookmarkStart w:id="630" w:name="_Toc131519957"/>
      <w:bookmarkStart w:id="631" w:name="_Toc131520517"/>
      <w:bookmarkStart w:id="632" w:name="_Toc131586599"/>
      <w:r>
        <w:rPr>
          <w:rStyle w:val="CharDivNo"/>
        </w:rPr>
        <w:lastRenderedPageBreak/>
        <w:t>Division 5</w:t>
      </w:r>
      <w:r>
        <w:t> — </w:t>
      </w:r>
      <w:r>
        <w:rPr>
          <w:rStyle w:val="CharDivText"/>
        </w:rPr>
        <w:t>Offences</w:t>
      </w:r>
      <w:bookmarkEnd w:id="625"/>
      <w:bookmarkEnd w:id="626"/>
      <w:bookmarkEnd w:id="627"/>
      <w:bookmarkEnd w:id="628"/>
      <w:bookmarkEnd w:id="629"/>
      <w:bookmarkEnd w:id="630"/>
      <w:bookmarkEnd w:id="631"/>
      <w:bookmarkEnd w:id="632"/>
    </w:p>
    <w:p>
      <w:pPr>
        <w:pStyle w:val="Footnoteheading"/>
        <w:keepNext/>
      </w:pPr>
      <w:bookmarkStart w:id="633" w:name="_Toc120864906"/>
      <w:r>
        <w:tab/>
        <w:t>[Heading inserted: No. 44 of 2022 s. 16.]</w:t>
      </w:r>
    </w:p>
    <w:p>
      <w:pPr>
        <w:pStyle w:val="Heading5"/>
      </w:pPr>
      <w:bookmarkStart w:id="634" w:name="_Toc131586600"/>
      <w:r>
        <w:rPr>
          <w:rStyle w:val="CharSectno"/>
        </w:rPr>
        <w:t>152NZI</w:t>
      </w:r>
      <w:r>
        <w:t>.</w:t>
      </w:r>
      <w:r>
        <w:tab/>
        <w:t>Offence of failing to comply with exclusion order</w:t>
      </w:r>
      <w:bookmarkEnd w:id="633"/>
      <w:bookmarkEnd w:id="634"/>
    </w:p>
    <w:p>
      <w:pPr>
        <w:pStyle w:val="Subsection"/>
      </w:pPr>
      <w:r>
        <w:tab/>
        <w:t>(1)</w:t>
      </w:r>
      <w:r>
        <w:tab/>
        <w:t xml:space="preserve">In this section — </w:t>
      </w:r>
    </w:p>
    <w:p>
      <w:pPr>
        <w:pStyle w:val="Defstart"/>
      </w:pPr>
      <w:r>
        <w:tab/>
      </w:r>
      <w:r>
        <w:rPr>
          <w:rStyle w:val="CharDefText"/>
        </w:rPr>
        <w:t>specified exception</w:t>
      </w:r>
      <w:r>
        <w:t>, in relation to an exclusion order, means an exception to the prohibition in the order provided by a term or condition specified in the order.</w:t>
      </w:r>
    </w:p>
    <w:p>
      <w:pPr>
        <w:pStyle w:val="Subsection"/>
      </w:pPr>
      <w:r>
        <w:tab/>
        <w:t>(2)</w:t>
      </w:r>
      <w:r>
        <w:tab/>
        <w:t xml:space="preserve">A person commits an offence if — </w:t>
      </w:r>
    </w:p>
    <w:p>
      <w:pPr>
        <w:pStyle w:val="Indenta"/>
      </w:pPr>
      <w:r>
        <w:tab/>
        <w:t>(a)</w:t>
      </w:r>
      <w:r>
        <w:tab/>
        <w:t>the person is subject to an exclusion order that is in effect; and</w:t>
      </w:r>
    </w:p>
    <w:p>
      <w:pPr>
        <w:pStyle w:val="Indenta"/>
      </w:pPr>
      <w:r>
        <w:tab/>
        <w:t>(b)</w:t>
      </w:r>
      <w:r>
        <w:tab/>
        <w:t>the person enters or remains in a protected entertainment precinct at a time to which the prohibition in the order applies.</w:t>
      </w:r>
    </w:p>
    <w:p>
      <w:pPr>
        <w:pStyle w:val="Penstart"/>
      </w:pPr>
      <w:r>
        <w:tab/>
        <w:t>Penalty for this subsection: imprisonment for 2 years and a fine of $12 000.</w:t>
      </w:r>
    </w:p>
    <w:p>
      <w:pPr>
        <w:pStyle w:val="Subsection"/>
      </w:pPr>
      <w:r>
        <w:tab/>
        <w:t>(3)</w:t>
      </w:r>
      <w:r>
        <w:tab/>
        <w:t xml:space="preserve">It is a defence to a charge under subsection (2) for the accused to prove that at all times the offence is alleged to have been committed — </w:t>
      </w:r>
    </w:p>
    <w:p>
      <w:pPr>
        <w:pStyle w:val="Indenta"/>
      </w:pPr>
      <w:r>
        <w:tab/>
        <w:t>(a)</w:t>
      </w:r>
      <w:r>
        <w:tab/>
        <w:t>the accused entered or remained (as relevant) in the protected entertainment precinct in accordance with a specified exception; and</w:t>
      </w:r>
    </w:p>
    <w:p>
      <w:pPr>
        <w:pStyle w:val="Indenta"/>
      </w:pPr>
      <w:r>
        <w:tab/>
        <w:t>(b)</w:t>
      </w:r>
      <w:r>
        <w:tab/>
        <w:t xml:space="preserve">the accused was complying with any conditions on the specified exception. </w:t>
      </w:r>
    </w:p>
    <w:p>
      <w:pPr>
        <w:pStyle w:val="Subsection"/>
      </w:pPr>
      <w:r>
        <w:tab/>
        <w:t>(4)</w:t>
      </w:r>
      <w:r>
        <w:tab/>
        <w:t>Subsection (3) does not limit section 152NZK(3).</w:t>
      </w:r>
    </w:p>
    <w:p>
      <w:pPr>
        <w:pStyle w:val="Subsection"/>
      </w:pPr>
      <w:r>
        <w:tab/>
        <w:t>(5)</w:t>
      </w:r>
      <w:r>
        <w:tab/>
        <w:t xml:space="preserve">Subsection (2) does not apply if — </w:t>
      </w:r>
    </w:p>
    <w:p>
      <w:pPr>
        <w:pStyle w:val="Indenta"/>
      </w:pPr>
      <w:r>
        <w:tab/>
        <w:t>(a)</w:t>
      </w:r>
      <w:r>
        <w:tab/>
        <w:t>at the time the person is alleged to have committed the offence, the exclusion order had been varied but the variation had not yet taken effect under this Act; and</w:t>
      </w:r>
    </w:p>
    <w:p>
      <w:pPr>
        <w:pStyle w:val="Indenta"/>
      </w:pPr>
      <w:r>
        <w:lastRenderedPageBreak/>
        <w:tab/>
        <w:t>(b)</w:t>
      </w:r>
      <w:r>
        <w:tab/>
        <w:t xml:space="preserve">the person would not have committed an offence under subsection (2) if the variation had taken effect immediately upon it having been made. </w:t>
      </w:r>
    </w:p>
    <w:p>
      <w:pPr>
        <w:pStyle w:val="Footnotesection"/>
      </w:pPr>
      <w:bookmarkStart w:id="635" w:name="_Toc120864907"/>
      <w:r>
        <w:tab/>
        <w:t>[Section 152NZI inserted: No. 44 of 2022 s. 16.]</w:t>
      </w:r>
    </w:p>
    <w:p>
      <w:pPr>
        <w:pStyle w:val="Heading5"/>
      </w:pPr>
      <w:bookmarkStart w:id="636" w:name="_Toc131586601"/>
      <w:r>
        <w:rPr>
          <w:rStyle w:val="CharSectno"/>
        </w:rPr>
        <w:t>152NZJ</w:t>
      </w:r>
      <w:r>
        <w:t>.</w:t>
      </w:r>
      <w:r>
        <w:tab/>
      </w:r>
      <w:r>
        <w:tab/>
        <w:t>Excluded offender must not enter or remain in protected entertainment precinct</w:t>
      </w:r>
      <w:bookmarkEnd w:id="635"/>
      <w:bookmarkEnd w:id="636"/>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despite the </w:t>
      </w:r>
      <w:r>
        <w:rPr>
          <w:i/>
        </w:rPr>
        <w:t>Spent Convictions Act 1988</w:t>
      </w:r>
      <w:r>
        <w:t xml:space="preserve"> section 13 and Part 3 Division 4, includes a spent conviction as defined in section 3(1) of that Act;</w:t>
      </w:r>
    </w:p>
    <w:p>
      <w:pPr>
        <w:pStyle w:val="Defstart"/>
      </w:pPr>
      <w:r>
        <w:tab/>
      </w:r>
      <w:r>
        <w:rPr>
          <w:rStyle w:val="CharDefText"/>
        </w:rPr>
        <w:t>conviction date</w:t>
      </w:r>
      <w:r>
        <w:t>, in relation to an excluded offender, means the day on which the excluded offender was convicted of the specified offence;</w:t>
      </w:r>
    </w:p>
    <w:p>
      <w:pPr>
        <w:pStyle w:val="Defstart"/>
      </w:pPr>
      <w:r>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Defstart"/>
      </w:pPr>
      <w:r>
        <w:tab/>
      </w:r>
      <w:r>
        <w:rPr>
          <w:rStyle w:val="CharDefText"/>
        </w:rPr>
        <w:t>specified offence</w:t>
      </w:r>
      <w:r>
        <w:t xml:space="preserve"> means — </w:t>
      </w:r>
    </w:p>
    <w:p>
      <w:pPr>
        <w:pStyle w:val="Defpara"/>
      </w:pPr>
      <w:r>
        <w:tab/>
        <w:t>(a)</w:t>
      </w:r>
      <w:r>
        <w:tab/>
        <w:t xml:space="preserve">an offence against </w:t>
      </w:r>
      <w:r>
        <w:rPr>
          <w:i/>
        </w:rPr>
        <w:t xml:space="preserve">The Criminal Code </w:t>
      </w:r>
      <w:r>
        <w:t>section 279, 280, 281, 293, 294, 297, 301, 305A, 325 or 326; or</w:t>
      </w:r>
    </w:p>
    <w:p>
      <w:pPr>
        <w:pStyle w:val="Defpara"/>
      </w:pPr>
      <w:r>
        <w:tab/>
        <w:t>(b)</w:t>
      </w:r>
      <w:r>
        <w:tab/>
        <w:t>an offence of attempting, inciting another person or conspiring to commit an offence referred to in paragraph (a).</w:t>
      </w:r>
    </w:p>
    <w:p>
      <w:pPr>
        <w:pStyle w:val="Subsection"/>
      </w:pPr>
      <w:r>
        <w:tab/>
        <w:t>(2)</w:t>
      </w:r>
      <w:r>
        <w:tab/>
        <w:t xml:space="preserve">In this section, a person is an </w:t>
      </w:r>
      <w:r>
        <w:rPr>
          <w:rStyle w:val="CharDefText"/>
        </w:rPr>
        <w:t>excluded offender</w:t>
      </w:r>
      <w:r>
        <w:t xml:space="preserve"> if — </w:t>
      </w:r>
    </w:p>
    <w:p>
      <w:pPr>
        <w:pStyle w:val="Indenta"/>
      </w:pPr>
      <w:r>
        <w:tab/>
        <w:t>(a)</w:t>
      </w:r>
      <w:r>
        <w:tab/>
        <w:t xml:space="preserve">the person has been convicted of a specified offence; and </w:t>
      </w:r>
    </w:p>
    <w:p>
      <w:pPr>
        <w:pStyle w:val="Indenta"/>
      </w:pPr>
      <w:r>
        <w:lastRenderedPageBreak/>
        <w:tab/>
        <w:t>(b)</w:t>
      </w:r>
      <w:r>
        <w:tab/>
        <w:t>the conviction has not been quashed or set aside and is not a conviction in respect of which a pardon has been granted; and</w:t>
      </w:r>
    </w:p>
    <w:p>
      <w:pPr>
        <w:pStyle w:val="Indenta"/>
      </w:pPr>
      <w:r>
        <w:tab/>
        <w:t>(c)</w:t>
      </w:r>
      <w:r>
        <w:tab/>
        <w:t xml:space="preserve">at least 1 of the acts, omissions, events, circumstances or states of affairs that constitute the elements of the offence occurred in a location that — </w:t>
      </w:r>
    </w:p>
    <w:p>
      <w:pPr>
        <w:pStyle w:val="Indenti"/>
      </w:pPr>
      <w:r>
        <w:tab/>
        <w:t>(i)</w:t>
      </w:r>
      <w:r>
        <w:tab/>
        <w:t>was, at the time the act, omission, event, circumstance or state of affairs occurred, a public place; and</w:t>
      </w:r>
    </w:p>
    <w:p>
      <w:pPr>
        <w:pStyle w:val="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Subsection"/>
      </w:pPr>
      <w:r>
        <w:tab/>
        <w:t>(3)</w:t>
      </w:r>
      <w:r>
        <w:tab/>
        <w:t>An excluded offender who enters or remains in a protected entertainment precinct during the exclusion period for the excluded offender commits a crime.</w:t>
      </w:r>
    </w:p>
    <w:p>
      <w:pPr>
        <w:pStyle w:val="Penstart"/>
      </w:pPr>
      <w:r>
        <w:tab/>
        <w:t>Penalty for this subsection: imprisonment for 5 years.</w:t>
      </w:r>
    </w:p>
    <w:p>
      <w:pPr>
        <w:pStyle w:val="Penstart"/>
      </w:pPr>
      <w:r>
        <w:tab/>
        <w:t>Summary conviction penalty for this subsection: imprisonment for 2 years and a fine of $12 000.</w:t>
      </w:r>
    </w:p>
    <w:p>
      <w:pPr>
        <w:pStyle w:val="Subsection"/>
      </w:pPr>
      <w:r>
        <w:tab/>
        <w:t>(4)</w:t>
      </w:r>
      <w:r>
        <w:tab/>
        <w:t xml:space="preserve">For the purposes of subsection (3), the </w:t>
      </w:r>
      <w:r>
        <w:rPr>
          <w:rStyle w:val="CharDefText"/>
        </w:rPr>
        <w:t>exclusion period</w:t>
      </w:r>
      <w:r>
        <w:t xml:space="preserve"> for an excluded offender is, subject to subsection (5) — </w:t>
      </w:r>
    </w:p>
    <w:p>
      <w:pPr>
        <w:pStyle w:val="Indenta"/>
      </w:pPr>
      <w:r>
        <w:tab/>
        <w:t>(a)</w:t>
      </w:r>
      <w:r>
        <w:tab/>
        <w:t>in the case of an excluded offender who is a juvenile on the conviction date — the period of 2 years beginning on the conviction date; or</w:t>
      </w:r>
    </w:p>
    <w:p>
      <w:pPr>
        <w:pStyle w:val="Indenta"/>
      </w:pPr>
      <w:r>
        <w:tab/>
        <w:t>(b)</w:t>
      </w:r>
      <w:r>
        <w:tab/>
        <w:t>in any other case — the period of 5 years beginning on the conviction date.</w:t>
      </w:r>
    </w:p>
    <w:p>
      <w:pPr>
        <w:pStyle w:val="Subsection"/>
      </w:pPr>
      <w:r>
        <w:tab/>
        <w:t>(5)</w:t>
      </w:r>
      <w:r>
        <w:tab/>
        <w:t xml:space="preserve">A period referred to in subsection (4)(a) or (b) is extended by any period on or after the conviction date during which the excluded offender is — </w:t>
      </w:r>
    </w:p>
    <w:p>
      <w:pPr>
        <w:pStyle w:val="Indenta"/>
      </w:pPr>
      <w:r>
        <w:lastRenderedPageBreak/>
        <w:tab/>
        <w:t>(a)</w:t>
      </w:r>
      <w:r>
        <w:tab/>
        <w:t>in custody serving a sentence of imprisonment for any offence, whenever committed; or</w:t>
      </w:r>
    </w:p>
    <w:p>
      <w:pPr>
        <w:pStyle w:val="Indenta"/>
      </w:pPr>
      <w:r>
        <w:tab/>
        <w:t>(b)</w:t>
      </w:r>
      <w:r>
        <w:tab/>
        <w:t>in custody following conviction of an offence, whenever committed, awaiting sentencing for the offence.</w:t>
      </w:r>
    </w:p>
    <w:p>
      <w:pPr>
        <w:pStyle w:val="Subsection"/>
      </w:pPr>
      <w:r>
        <w:tab/>
        <w:t>(6)</w:t>
      </w:r>
      <w:r>
        <w:tab/>
        <w:t>An exclusion order is of no effect in respect of an excluded offender during the exclusion period for the excluded offender.</w:t>
      </w:r>
    </w:p>
    <w:p>
      <w:pPr>
        <w:pStyle w:val="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Footnotesection"/>
      </w:pPr>
      <w:bookmarkStart w:id="637" w:name="_Toc120864908"/>
      <w:r>
        <w:tab/>
        <w:t>[Section 152NZJ inserted: No. 44 of 2022 s. 16.]</w:t>
      </w:r>
    </w:p>
    <w:p>
      <w:pPr>
        <w:pStyle w:val="Heading5"/>
      </w:pPr>
      <w:bookmarkStart w:id="638" w:name="_Toc131586602"/>
      <w:r>
        <w:rPr>
          <w:rStyle w:val="CharSectno"/>
        </w:rPr>
        <w:t>152NZK</w:t>
      </w:r>
      <w:r>
        <w:t>.</w:t>
      </w:r>
      <w:r>
        <w:tab/>
        <w:t>Defences for s. 152NZI and 152NZJ</w:t>
      </w:r>
      <w:bookmarkEnd w:id="637"/>
      <w:bookmarkEnd w:id="638"/>
      <w:r>
        <w:t xml:space="preserve"> </w:t>
      </w:r>
    </w:p>
    <w:p>
      <w:pPr>
        <w:pStyle w:val="Subsection"/>
      </w:pPr>
      <w:r>
        <w:tab/>
        <w:t>(1)</w:t>
      </w:r>
      <w:r>
        <w:tab/>
        <w:t xml:space="preserve">In this section — </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Subsection"/>
      </w:pPr>
      <w:r>
        <w:tab/>
        <w:t>(2)</w:t>
      </w:r>
      <w:r>
        <w:tab/>
        <w:t xml:space="preserve">In this section, a person was </w:t>
      </w:r>
      <w:r>
        <w:rPr>
          <w:rStyle w:val="CharDefText"/>
        </w:rPr>
        <w:t>undertaking permitted travel</w:t>
      </w:r>
      <w:r>
        <w:t xml:space="preserve"> in relation to a protected entertainment precinct if the person — </w:t>
      </w:r>
    </w:p>
    <w:p>
      <w:pPr>
        <w:pStyle w:val="Indenta"/>
      </w:pPr>
      <w:r>
        <w:tab/>
        <w:t>(a)</w:t>
      </w:r>
      <w:r>
        <w:tab/>
        <w:t xml:space="preserve">was travelling through the protected entertainment precinct, or accessing or using a mode of transport in the protected entertainment precinct, for the sole purpose of — </w:t>
      </w:r>
    </w:p>
    <w:p>
      <w:pPr>
        <w:pStyle w:val="Indenti"/>
      </w:pPr>
      <w:r>
        <w:tab/>
        <w:t>(i)</w:t>
      </w:r>
      <w:r>
        <w:tab/>
        <w:t>getting to a place, or doing a thing, referred to in subsection (3)(a) to (m) in the protected entertainment precinct; or</w:t>
      </w:r>
    </w:p>
    <w:p>
      <w:pPr>
        <w:pStyle w:val="Indenti"/>
      </w:pPr>
      <w:r>
        <w:tab/>
        <w:t>(ii)</w:t>
      </w:r>
      <w:r>
        <w:tab/>
        <w:t xml:space="preserve">getting to a place outside of the protected entertainment precinct and it was necessary in the circumstances for the person to travel </w:t>
      </w:r>
      <w:r>
        <w:lastRenderedPageBreak/>
        <w:t>through the protected entertainment precinct, or access or use the mode of transport in the protected entertainment precinct, in order to get to that place;</w:t>
      </w:r>
    </w:p>
    <w:p>
      <w:pPr>
        <w:pStyle w:val="Indenta"/>
      </w:pPr>
      <w:r>
        <w:tab/>
      </w:r>
      <w:r>
        <w:tab/>
        <w:t xml:space="preserve">and </w:t>
      </w:r>
    </w:p>
    <w:p>
      <w:pPr>
        <w:pStyle w:val="Indenta"/>
      </w:pPr>
      <w:r>
        <w:tab/>
        <w:t>(b)</w:t>
      </w:r>
      <w:r>
        <w:tab/>
        <w:t>took the most direct route through the protected entertainment precinct (or the most direct route applicable for the mode of transport used); and</w:t>
      </w:r>
    </w:p>
    <w:p>
      <w:pPr>
        <w:pStyle w:val="Indenta"/>
      </w:pPr>
      <w:r>
        <w:tab/>
        <w:t>(c)</w:t>
      </w:r>
      <w:r>
        <w:tab/>
        <w:t>did not stop unnecessarily in the protected entertainment precinct or remain in the protected entertainment precinct for any purpose other than the relevant travel or access to or use of the mode of transport.</w:t>
      </w:r>
    </w:p>
    <w:p>
      <w:pPr>
        <w:pStyle w:val="Subsection"/>
      </w:pPr>
      <w:r>
        <w:tab/>
        <w:t>(3)</w:t>
      </w:r>
      <w:r>
        <w:tab/>
        <w:t xml:space="preserve">It is a defence to a charge under section 152NZI(2) or 152NZJ(3) for the accused to prove that, at all times the offence is alleged to have been committed, 1 or more of the following applied — </w:t>
      </w:r>
    </w:p>
    <w:p>
      <w:pPr>
        <w:pStyle w:val="Indenta"/>
      </w:pPr>
      <w:r>
        <w:tab/>
        <w:t>(a)</w:t>
      </w:r>
      <w:r>
        <w:tab/>
        <w:t>the accused was at their ordinary place of residence;</w:t>
      </w:r>
    </w:p>
    <w:p>
      <w:pPr>
        <w:pStyle w:val="Indenta"/>
      </w:pPr>
      <w:r>
        <w:tab/>
        <w:t>(b)</w:t>
      </w:r>
      <w:r>
        <w:tab/>
        <w:t xml:space="preserve">the accused was at another person’s place of residence if — </w:t>
      </w:r>
    </w:p>
    <w:p>
      <w:pPr>
        <w:pStyle w:val="Indenti"/>
      </w:pPr>
      <w:r>
        <w:tab/>
        <w:t>(i)</w:t>
      </w:r>
      <w:r>
        <w:tab/>
        <w:t>the accused was the sole carer of that other person and was there solely to provide care to them; and</w:t>
      </w:r>
    </w:p>
    <w:p>
      <w:pPr>
        <w:pStyle w:val="Indenti"/>
      </w:pPr>
      <w:r>
        <w:tab/>
        <w:t>(ii)</w:t>
      </w:r>
      <w:r>
        <w:tab/>
        <w:t>it was necessary in the circumstances for the accused to be there in order to provide the care;</w:t>
      </w:r>
    </w:p>
    <w:p>
      <w:pPr>
        <w:pStyle w:val="Indenta"/>
      </w:pPr>
      <w:r>
        <w:tab/>
        <w:t>(c)</w:t>
      </w:r>
      <w:r>
        <w:tab/>
        <w:t xml:space="preserve">the accused was engaging in a lawful occupation, trade or profession; </w:t>
      </w:r>
    </w:p>
    <w:p>
      <w:pPr>
        <w:pStyle w:val="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w:t>
      </w:r>
      <w:r>
        <w:lastRenderedPageBreak/>
        <w:t>precinct in order to take part in the secondary education, higher education course or approved VET course;</w:t>
      </w:r>
    </w:p>
    <w:p>
      <w:pPr>
        <w:pStyle w:val="Indenta"/>
      </w:pPr>
      <w:r>
        <w:tab/>
        <w:t>(e)</w:t>
      </w:r>
      <w:r>
        <w:tab/>
        <w:t>the accused was receiving a health service or social welfare service and it was necessary in the circumstances for the accused to be in the protected entertainment precinct in order to receive the service;</w:t>
      </w:r>
    </w:p>
    <w:p>
      <w:pPr>
        <w:pStyle w:val="Indenta"/>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Indenta"/>
      </w:pPr>
      <w:r>
        <w:tab/>
        <w:t>(g)</w:t>
      </w:r>
      <w:r>
        <w:tab/>
        <w:t>the accused was receiving legal advice and it was necessary in the circumstances for the accused to be in the protected entertainment precinct in order to receive the advice;</w:t>
      </w:r>
    </w:p>
    <w:p>
      <w:pPr>
        <w:pStyle w:val="Indenta"/>
      </w:pPr>
      <w:r>
        <w:tab/>
        <w:t>(h)</w:t>
      </w:r>
      <w:r>
        <w:tab/>
        <w:t>the accused was in custody;</w:t>
      </w:r>
    </w:p>
    <w:p>
      <w:pPr>
        <w:pStyle w:val="Indenta"/>
      </w:pPr>
      <w:r>
        <w:tab/>
        <w:t>(i)</w:t>
      </w:r>
      <w:r>
        <w:tab/>
        <w:t>the accused was complying with a written law, an order made by a court or tribunal, or any other order, direction or requirement made under a written law;</w:t>
      </w:r>
    </w:p>
    <w:p>
      <w:pPr>
        <w:pStyle w:val="Indenta"/>
      </w:pPr>
      <w:r>
        <w:tab/>
        <w:t>(j)</w:t>
      </w:r>
      <w:r>
        <w:tab/>
        <w:t>the accused was appearing before a court or tribunal;</w:t>
      </w:r>
    </w:p>
    <w:p>
      <w:pPr>
        <w:pStyle w:val="Indenta"/>
      </w:pPr>
      <w:r>
        <w:tab/>
        <w:t>(k)</w:t>
      </w:r>
      <w:r>
        <w:tab/>
        <w:t>the accused was attending a religious service and it was necessary in the circumstances for the accused to be in the protected entertainment precinct in order to attend a religious service of that kind;</w:t>
      </w:r>
    </w:p>
    <w:p>
      <w:pPr>
        <w:pStyle w:val="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Indenta"/>
      </w:pPr>
      <w:r>
        <w:tab/>
        <w:t>(m)</w:t>
      </w:r>
      <w:r>
        <w:tab/>
        <w:t xml:space="preserve">if the accused is an Aboriginal person or a Torres Strait Islander — the accused was fulfilling a cultural practice </w:t>
      </w:r>
      <w:r>
        <w:lastRenderedPageBreak/>
        <w:t>or obligation of the customary laws or traditions of the accused’s community and it was necessary in the circumstances for the accused to be in the protected entertainment precinct in order to fulfil the practice or obligation;</w:t>
      </w:r>
    </w:p>
    <w:p>
      <w:pPr>
        <w:pStyle w:val="Indenta"/>
      </w:pPr>
      <w:r>
        <w:tab/>
        <w:t>(n)</w:t>
      </w:r>
      <w:r>
        <w:tab/>
        <w:t>the accused was undertaking permitted travel in relation to the protected entertainment precinct.</w:t>
      </w:r>
    </w:p>
    <w:p>
      <w:pPr>
        <w:pStyle w:val="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Footnotesection"/>
      </w:pPr>
      <w:bookmarkStart w:id="639" w:name="_Toc120864909"/>
      <w:r>
        <w:tab/>
        <w:t>[Section 152NZK inserted: No. 44 of 2022 s. 16.]</w:t>
      </w:r>
    </w:p>
    <w:p>
      <w:pPr>
        <w:pStyle w:val="Heading5"/>
      </w:pPr>
      <w:bookmarkStart w:id="640" w:name="_Toc131586603"/>
      <w:r>
        <w:rPr>
          <w:rStyle w:val="CharSectno"/>
        </w:rPr>
        <w:t>152NZL</w:t>
      </w:r>
      <w:r>
        <w:t>.</w:t>
      </w:r>
      <w:r>
        <w:tab/>
        <w:t>Permitting person subject to exclusion order or excluded offender to enter premises</w:t>
      </w:r>
      <w:bookmarkEnd w:id="639"/>
      <w:bookmarkEnd w:id="640"/>
    </w:p>
    <w:p>
      <w:pPr>
        <w:pStyle w:val="Subsection"/>
      </w:pPr>
      <w:r>
        <w:tab/>
        <w:t>(1)</w:t>
      </w:r>
      <w:r>
        <w:tab/>
        <w:t>This section applies if licensed premises are located in a protected entertainment precinct.</w:t>
      </w:r>
    </w:p>
    <w:p>
      <w:pPr>
        <w:pStyle w:val="Subsection"/>
      </w:pPr>
      <w:r>
        <w:tab/>
        <w:t>(2)</w:t>
      </w:r>
      <w:r>
        <w:tab/>
        <w:t xml:space="preserve">A responsible person in relation to the licensed premises commits an offence if — </w:t>
      </w:r>
    </w:p>
    <w:p>
      <w:pPr>
        <w:pStyle w:val="Indenta"/>
      </w:pPr>
      <w:r>
        <w:tab/>
        <w:t>(a)</w:t>
      </w:r>
      <w:r>
        <w:tab/>
        <w:t xml:space="preserve">the responsible person — </w:t>
      </w:r>
    </w:p>
    <w:p>
      <w:pPr>
        <w:pStyle w:val="Indenti"/>
      </w:pPr>
      <w:r>
        <w:tab/>
        <w:t>(i)</w:t>
      </w:r>
      <w:r>
        <w:tab/>
        <w:t>knows that an exclusion order is in effect in respect of a person; and</w:t>
      </w:r>
    </w:p>
    <w:p>
      <w:pPr>
        <w:pStyle w:val="Indenti"/>
      </w:pPr>
      <w:r>
        <w:tab/>
        <w:t>(ii)</w:t>
      </w:r>
      <w:r>
        <w:tab/>
        <w:t xml:space="preserve">permits the subject person to enter or remain on the premises in contravention of the exclusion order; </w:t>
      </w:r>
    </w:p>
    <w:p>
      <w:pPr>
        <w:pStyle w:val="Indenta"/>
      </w:pPr>
      <w:r>
        <w:tab/>
      </w:r>
      <w:r>
        <w:tab/>
        <w:t>and</w:t>
      </w:r>
    </w:p>
    <w:p>
      <w:pPr>
        <w:pStyle w:val="Indenta"/>
      </w:pPr>
      <w:r>
        <w:tab/>
        <w:t>(b)</w:t>
      </w:r>
      <w:r>
        <w:tab/>
        <w:t>an exception in section 152NZK(3) does not apply to the subject person entering or remaining on the licensed premises.</w:t>
      </w:r>
    </w:p>
    <w:p>
      <w:pPr>
        <w:pStyle w:val="Penstart"/>
      </w:pPr>
      <w:r>
        <w:tab/>
        <w:t>Penalty for this subsection: a fine of $10 000.</w:t>
      </w:r>
    </w:p>
    <w:p>
      <w:pPr>
        <w:pStyle w:val="Subsection"/>
      </w:pPr>
      <w:r>
        <w:tab/>
        <w:t>(3)</w:t>
      </w:r>
      <w:r>
        <w:tab/>
        <w:t xml:space="preserve">A responsible person in relation to the licensed premises commits an offence if — </w:t>
      </w:r>
    </w:p>
    <w:p>
      <w:pPr>
        <w:pStyle w:val="Indenta"/>
      </w:pPr>
      <w:r>
        <w:lastRenderedPageBreak/>
        <w:tab/>
        <w:t>(a)</w:t>
      </w:r>
      <w:r>
        <w:tab/>
        <w:t xml:space="preserve">the responsible person — </w:t>
      </w:r>
    </w:p>
    <w:p>
      <w:pPr>
        <w:pStyle w:val="Indenti"/>
      </w:pPr>
      <w:r>
        <w:tab/>
        <w:t>(i)</w:t>
      </w:r>
      <w:r>
        <w:tab/>
        <w:t>knows that a person is an excluded offender; and</w:t>
      </w:r>
    </w:p>
    <w:p>
      <w:pPr>
        <w:pStyle w:val="Indenti"/>
      </w:pPr>
      <w:r>
        <w:tab/>
        <w:t>(ii)</w:t>
      </w:r>
      <w:r>
        <w:tab/>
        <w:t>knows that the exclusion period for the excluded offender has not ended; and</w:t>
      </w:r>
    </w:p>
    <w:p>
      <w:pPr>
        <w:pStyle w:val="Indenti"/>
      </w:pPr>
      <w:r>
        <w:tab/>
        <w:t>(iii)</w:t>
      </w:r>
      <w:r>
        <w:tab/>
        <w:t xml:space="preserve">permits the excluded offender to enter or remain on the premises during the excluded offender’s exclusion period; </w:t>
      </w:r>
    </w:p>
    <w:p>
      <w:pPr>
        <w:pStyle w:val="Indenta"/>
      </w:pPr>
      <w:r>
        <w:tab/>
      </w:r>
      <w:r>
        <w:tab/>
        <w:t>and</w:t>
      </w:r>
    </w:p>
    <w:p>
      <w:pPr>
        <w:pStyle w:val="Indenta"/>
      </w:pPr>
      <w:r>
        <w:tab/>
        <w:t>(b)</w:t>
      </w:r>
      <w:r>
        <w:tab/>
        <w:t>an exception in section 152NZK(3) does not apply to the excluded offender entering or remaining on the licensed premises.</w:t>
      </w:r>
    </w:p>
    <w:p>
      <w:pPr>
        <w:pStyle w:val="Penstart"/>
      </w:pPr>
      <w:r>
        <w:tab/>
        <w:t>Penalty for this subsection: a fine of $10 000.</w:t>
      </w:r>
    </w:p>
    <w:p>
      <w:pPr>
        <w:pStyle w:val="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Subsection"/>
      </w:pPr>
      <w:r>
        <w:tab/>
        <w:t>(5)</w:t>
      </w:r>
      <w:r>
        <w:tab/>
        <w:t xml:space="preserve">For the purposes of subsection (4), section 152NZK(3) applies as if — </w:t>
      </w:r>
    </w:p>
    <w:p>
      <w:pPr>
        <w:pStyle w:val="Indenta"/>
      </w:pPr>
      <w:r>
        <w:tab/>
        <w:t>(a)</w:t>
      </w:r>
      <w:r>
        <w:tab/>
        <w:t xml:space="preserve">a reference to the accused were a reference to the subject person or the excluded offender (as the case requires); and </w:t>
      </w:r>
    </w:p>
    <w:p>
      <w:pPr>
        <w:pStyle w:val="Indenta"/>
      </w:pPr>
      <w:r>
        <w:tab/>
        <w:t>(b)</w:t>
      </w:r>
      <w:r>
        <w:tab/>
        <w:t>a reference to the protected entertainment precinct were a reference to the licensed premises.</w:t>
      </w:r>
    </w:p>
    <w:p>
      <w:pPr>
        <w:pStyle w:val="Footnotesection"/>
      </w:pPr>
      <w:bookmarkStart w:id="641" w:name="_Toc120864910"/>
      <w:r>
        <w:tab/>
        <w:t>[Section 152NZL inserted: No. 44 of 2022 s. 16.]</w:t>
      </w:r>
    </w:p>
    <w:p>
      <w:pPr>
        <w:pStyle w:val="Heading5"/>
      </w:pPr>
      <w:bookmarkStart w:id="642" w:name="_Toc131586604"/>
      <w:r>
        <w:rPr>
          <w:rStyle w:val="CharSectno"/>
        </w:rPr>
        <w:t>152NZM</w:t>
      </w:r>
      <w:r>
        <w:t>.</w:t>
      </w:r>
      <w:r>
        <w:tab/>
        <w:t>Member of Police Force may require person to give personal details in certain circumstances</w:t>
      </w:r>
      <w:bookmarkEnd w:id="641"/>
      <w:bookmarkEnd w:id="642"/>
    </w:p>
    <w:p>
      <w:pPr>
        <w:pStyle w:val="Subsection"/>
      </w:pPr>
      <w:r>
        <w:tab/>
        <w:t>(1)</w:t>
      </w:r>
      <w:r>
        <w:tab/>
        <w:t xml:space="preserve">In this section — </w:t>
      </w:r>
    </w:p>
    <w:p>
      <w:pPr>
        <w:pStyle w:val="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Subsection"/>
      </w:pPr>
      <w:r>
        <w:lastRenderedPageBreak/>
        <w:tab/>
        <w:t>(2)</w:t>
      </w:r>
      <w:r>
        <w:tab/>
        <w:t xml:space="preserve">This section applies if — </w:t>
      </w:r>
    </w:p>
    <w:p>
      <w:pPr>
        <w:pStyle w:val="Indenta"/>
      </w:pPr>
      <w:r>
        <w:tab/>
        <w:t>(a)</w:t>
      </w:r>
      <w:r>
        <w:tab/>
        <w:t xml:space="preserve">a person is in a protected entertainment precinct and any or all of the person’s personal details are required for — </w:t>
      </w:r>
    </w:p>
    <w:p>
      <w:pPr>
        <w:pStyle w:val="Indenti"/>
      </w:pPr>
      <w:r>
        <w:tab/>
        <w:t>(i)</w:t>
      </w:r>
      <w:r>
        <w:tab/>
        <w:t>the purposes of making a short</w:t>
      </w:r>
      <w:r>
        <w:noBreakHyphen/>
        <w:t>term exclusion order in respect of the person; or</w:t>
      </w:r>
    </w:p>
    <w:p>
      <w:pPr>
        <w:pStyle w:val="Indenti"/>
      </w:pPr>
      <w:r>
        <w:tab/>
        <w:t>(ii)</w:t>
      </w:r>
      <w:r>
        <w:tab/>
        <w:t>the purposes of the Commissioner of Police making an application under section 152NJ(1) in respect of the person; or</w:t>
      </w:r>
    </w:p>
    <w:p>
      <w:pPr>
        <w:pStyle w:val="Indenti"/>
      </w:pPr>
      <w:r>
        <w:tab/>
        <w:t>(iii)</w:t>
      </w:r>
      <w:r>
        <w:tab/>
        <w:t xml:space="preserve">the service of a document on the person under section 152NZQ(2); </w:t>
      </w:r>
    </w:p>
    <w:p>
      <w:pPr>
        <w:pStyle w:val="Indenta"/>
      </w:pPr>
      <w:r>
        <w:tab/>
      </w:r>
      <w:r>
        <w:tab/>
        <w:t>or</w:t>
      </w:r>
    </w:p>
    <w:p>
      <w:pPr>
        <w:pStyle w:val="Indenta"/>
      </w:pPr>
      <w:r>
        <w:tab/>
        <w:t>(b)</w:t>
      </w:r>
      <w:r>
        <w:tab/>
        <w:t xml:space="preserve">a member of the Police Force reasonably suspects that a person who is in a protected entertainment precinct is — </w:t>
      </w:r>
    </w:p>
    <w:p>
      <w:pPr>
        <w:pStyle w:val="Indenti"/>
      </w:pPr>
      <w:r>
        <w:tab/>
        <w:t>(i)</w:t>
      </w:r>
      <w:r>
        <w:tab/>
        <w:t xml:space="preserve">subject to an exclusion order that is in effect; or </w:t>
      </w:r>
    </w:p>
    <w:p>
      <w:pPr>
        <w:pStyle w:val="Indenti"/>
      </w:pPr>
      <w:r>
        <w:tab/>
        <w:t>(ii)</w:t>
      </w:r>
      <w:r>
        <w:tab/>
        <w:t>an excluded offender whose exclusion period has not ended.</w:t>
      </w:r>
    </w:p>
    <w:p>
      <w:pPr>
        <w:pStyle w:val="Subsection"/>
      </w:pPr>
      <w:r>
        <w:tab/>
        <w:t>(3)</w:t>
      </w:r>
      <w:r>
        <w:tab/>
        <w:t>If any or all of the person’s personal details are unknown to a member of the Police Force, the member of the Police Force may request the person to give the member any or all of the person’s personal details.</w:t>
      </w:r>
    </w:p>
    <w:p>
      <w:pPr>
        <w:pStyle w:val="Subsection"/>
      </w:pPr>
      <w:r>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Footnotesection"/>
      </w:pPr>
      <w:bookmarkStart w:id="643" w:name="_Toc120864725"/>
      <w:bookmarkStart w:id="644" w:name="_Toc120864818"/>
      <w:bookmarkStart w:id="645" w:name="_Toc120864911"/>
      <w:r>
        <w:tab/>
        <w:t>[Section 152NZM inserted: No. 44 of 2022 s. 16.]</w:t>
      </w:r>
    </w:p>
    <w:p>
      <w:pPr>
        <w:pStyle w:val="Heading3"/>
      </w:pPr>
      <w:bookmarkStart w:id="646" w:name="_Toc122342989"/>
      <w:bookmarkStart w:id="647" w:name="_Toc122513400"/>
      <w:bookmarkStart w:id="648" w:name="_Toc131519963"/>
      <w:bookmarkStart w:id="649" w:name="_Toc131520523"/>
      <w:bookmarkStart w:id="650" w:name="_Toc131586605"/>
      <w:r>
        <w:rPr>
          <w:rStyle w:val="CharDivNo"/>
        </w:rPr>
        <w:lastRenderedPageBreak/>
        <w:t>Division 6</w:t>
      </w:r>
      <w:r>
        <w:t> — </w:t>
      </w:r>
      <w:r>
        <w:rPr>
          <w:rStyle w:val="CharDivText"/>
        </w:rPr>
        <w:t>Miscellaneous</w:t>
      </w:r>
      <w:bookmarkEnd w:id="643"/>
      <w:bookmarkEnd w:id="644"/>
      <w:bookmarkEnd w:id="645"/>
      <w:bookmarkEnd w:id="646"/>
      <w:bookmarkEnd w:id="647"/>
      <w:bookmarkEnd w:id="648"/>
      <w:bookmarkEnd w:id="649"/>
      <w:bookmarkEnd w:id="650"/>
    </w:p>
    <w:p>
      <w:pPr>
        <w:pStyle w:val="Footnoteheading"/>
        <w:keepNext/>
      </w:pPr>
      <w:bookmarkStart w:id="651" w:name="_Toc120864726"/>
      <w:bookmarkStart w:id="652" w:name="_Toc120864819"/>
      <w:bookmarkStart w:id="653" w:name="_Toc120864912"/>
      <w:r>
        <w:tab/>
        <w:t>[Heading inserted: No. 44 of 2022 s. 16.]</w:t>
      </w:r>
    </w:p>
    <w:p>
      <w:pPr>
        <w:pStyle w:val="Heading4"/>
      </w:pPr>
      <w:bookmarkStart w:id="654" w:name="_Toc122342990"/>
      <w:bookmarkStart w:id="655" w:name="_Toc122513401"/>
      <w:bookmarkStart w:id="656" w:name="_Toc131519964"/>
      <w:bookmarkStart w:id="657" w:name="_Toc131520524"/>
      <w:bookmarkStart w:id="658" w:name="_Toc131586606"/>
      <w:r>
        <w:t>Subdivision 1 — Other notices</w:t>
      </w:r>
      <w:bookmarkEnd w:id="651"/>
      <w:bookmarkEnd w:id="652"/>
      <w:bookmarkEnd w:id="653"/>
      <w:bookmarkEnd w:id="654"/>
      <w:bookmarkEnd w:id="655"/>
      <w:bookmarkEnd w:id="656"/>
      <w:bookmarkEnd w:id="657"/>
      <w:bookmarkEnd w:id="658"/>
    </w:p>
    <w:p>
      <w:pPr>
        <w:pStyle w:val="Footnoteheading"/>
        <w:keepNext/>
      </w:pPr>
      <w:bookmarkStart w:id="659" w:name="_Toc120864913"/>
      <w:r>
        <w:tab/>
        <w:t>[Heading inserted: No. 44 of 2022 s. 16.]</w:t>
      </w:r>
    </w:p>
    <w:p>
      <w:pPr>
        <w:pStyle w:val="Heading5"/>
      </w:pPr>
      <w:bookmarkStart w:id="660" w:name="_Toc131586607"/>
      <w:r>
        <w:rPr>
          <w:rStyle w:val="CharSectno"/>
        </w:rPr>
        <w:t>152NZN</w:t>
      </w:r>
      <w:r>
        <w:t>.</w:t>
      </w:r>
      <w:r>
        <w:tab/>
        <w:t>Notice must be given to excluded offender</w:t>
      </w:r>
      <w:bookmarkEnd w:id="659"/>
      <w:bookmarkEnd w:id="660"/>
    </w:p>
    <w:p>
      <w:pPr>
        <w:pStyle w:val="Subsection"/>
      </w:pPr>
      <w:r>
        <w:tab/>
        <w:t>(1)</w:t>
      </w:r>
      <w:r>
        <w:tab/>
        <w:t xml:space="preserve">In this section — </w:t>
      </w:r>
    </w:p>
    <w:p>
      <w:pPr>
        <w:pStyle w:val="Defstart"/>
      </w:pPr>
      <w:r>
        <w:tab/>
      </w:r>
      <w:r>
        <w:rPr>
          <w:rStyle w:val="CharDefText"/>
        </w:rPr>
        <w:t>conviction date</w:t>
      </w:r>
      <w:r>
        <w:t>, in relation to an excluded offender, has the meaning given in section 152NZJ(1).</w:t>
      </w:r>
    </w:p>
    <w:p>
      <w:pPr>
        <w:pStyle w:val="Subsection"/>
      </w:pPr>
      <w:r>
        <w:tab/>
        <w:t>(2)</w:t>
      </w:r>
      <w:r>
        <w:tab/>
        <w:t>The Director must ensure that a written notice in accordance with subsection (5) is served on an excluded offender as soon as practicable after the excluded offender’s conviction date.</w:t>
      </w:r>
    </w:p>
    <w:p>
      <w:pPr>
        <w:pStyle w:val="Subsection"/>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Indenta"/>
      </w:pPr>
      <w:r>
        <w:tab/>
        <w:t>(a)</w:t>
      </w:r>
      <w:r>
        <w:tab/>
        <w:t>within 7 days before the excluded offender is released; or</w:t>
      </w:r>
    </w:p>
    <w:p>
      <w:pPr>
        <w:pStyle w:val="Indenta"/>
      </w:pPr>
      <w:r>
        <w:tab/>
        <w:t>(b)</w:t>
      </w:r>
      <w:r>
        <w:tab/>
        <w:t>as soon as practicable after the excluded offender is released.</w:t>
      </w:r>
    </w:p>
    <w:p>
      <w:pPr>
        <w:pStyle w:val="Subsection"/>
      </w:pPr>
      <w:r>
        <w:tab/>
        <w:t>(4)</w:t>
      </w:r>
      <w:r>
        <w:tab/>
        <w:t>A notice under subsection (2) or (3) must be served on the excluded offender in accordance with section 152NZQ(2).</w:t>
      </w:r>
    </w:p>
    <w:p>
      <w:pPr>
        <w:pStyle w:val="Subsection"/>
      </w:pPr>
      <w:r>
        <w:tab/>
        <w:t>(5)</w:t>
      </w:r>
      <w:r>
        <w:tab/>
        <w:t xml:space="preserve">A notice under subsection (2) or (3) must — </w:t>
      </w:r>
    </w:p>
    <w:p>
      <w:pPr>
        <w:pStyle w:val="Indenta"/>
      </w:pPr>
      <w:r>
        <w:tab/>
        <w:t>(a)</w:t>
      </w:r>
      <w:r>
        <w:tab/>
        <w:t>describe each area of the State that is a protected entertainment precinct as at the date of the notice; and</w:t>
      </w:r>
    </w:p>
    <w:p>
      <w:pPr>
        <w:pStyle w:val="Indenta"/>
      </w:pPr>
      <w:r>
        <w:tab/>
        <w:t>(b)</w:t>
      </w:r>
      <w:r>
        <w:tab/>
        <w:t>explain the effect of section 152NZJ and the consequences of committing an offence under section 152NZJ(3).</w:t>
      </w:r>
    </w:p>
    <w:p>
      <w:pPr>
        <w:pStyle w:val="Subsection"/>
      </w:pPr>
      <w:r>
        <w:lastRenderedPageBreak/>
        <w:tab/>
        <w:t>(6)</w:t>
      </w:r>
      <w:r>
        <w:tab/>
        <w:t xml:space="preserve">Failure to comply with this section does not affect the liability of a person for an offence under this Part. </w:t>
      </w:r>
    </w:p>
    <w:p>
      <w:pPr>
        <w:pStyle w:val="Footnotesection"/>
      </w:pPr>
      <w:bookmarkStart w:id="661" w:name="_Toc120864914"/>
      <w:r>
        <w:tab/>
        <w:t>[Section 152NZN inserted: No. 44 of 2022 s. 16.]</w:t>
      </w:r>
    </w:p>
    <w:p>
      <w:pPr>
        <w:pStyle w:val="Heading5"/>
      </w:pPr>
      <w:bookmarkStart w:id="662" w:name="_Toc131586608"/>
      <w:r>
        <w:rPr>
          <w:rStyle w:val="CharSectno"/>
        </w:rPr>
        <w:t>152NZO</w:t>
      </w:r>
      <w:r>
        <w:t>.</w:t>
      </w:r>
      <w:r>
        <w:tab/>
        <w:t>Protected entertainment precincts must be advertised and notified</w:t>
      </w:r>
      <w:bookmarkEnd w:id="661"/>
      <w:bookmarkEnd w:id="662"/>
    </w:p>
    <w:p>
      <w:pPr>
        <w:pStyle w:val="Subsection"/>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pPr>
        <w:pStyle w:val="Indenta"/>
      </w:pPr>
      <w:r>
        <w:tab/>
        <w:t>(a)</w:t>
      </w:r>
      <w:r>
        <w:tab/>
        <w:t>a new area of the State being prescribed under section 175(1E);</w:t>
      </w:r>
    </w:p>
    <w:p>
      <w:pPr>
        <w:pStyle w:val="Indenta"/>
      </w:pPr>
      <w:r>
        <w:tab/>
        <w:t>(b)</w:t>
      </w:r>
      <w:r>
        <w:tab/>
        <w:t>a change to an area of the State that is prescribed under section 175(1E);</w:t>
      </w:r>
    </w:p>
    <w:p>
      <w:pPr>
        <w:pStyle w:val="Indenta"/>
      </w:pPr>
      <w:r>
        <w:tab/>
        <w:t>(c)</w:t>
      </w:r>
      <w:r>
        <w:tab/>
        <w:t xml:space="preserve">an area of the State no longer being prescribed under section 175(1E). </w:t>
      </w:r>
    </w:p>
    <w:p>
      <w:pPr>
        <w:pStyle w:val="Subsection"/>
      </w:pPr>
      <w:r>
        <w:tab/>
        <w:t>(2)</w:t>
      </w:r>
      <w:r>
        <w:tab/>
        <w:t xml:space="preserve">The Director must, before the day on which each change to a protected entertainment precinct is proposed to take effect, ensure that — </w:t>
      </w:r>
    </w:p>
    <w:p>
      <w:pPr>
        <w:pStyle w:val="Indenta"/>
      </w:pPr>
      <w:r>
        <w:tab/>
        <w:t>(a)</w:t>
      </w:r>
      <w:r>
        <w:tab/>
        <w:t xml:space="preserve">the following (the </w:t>
      </w:r>
      <w:r>
        <w:rPr>
          <w:rStyle w:val="CharDefText"/>
        </w:rPr>
        <w:t>changed precinct details</w:t>
      </w:r>
      <w:r>
        <w:t xml:space="preserve">) are advertised in accordance with subsection (3) — </w:t>
      </w:r>
    </w:p>
    <w:p>
      <w:pPr>
        <w:pStyle w:val="Indenti"/>
      </w:pPr>
      <w:r>
        <w:tab/>
        <w:t>(i)</w:t>
      </w:r>
      <w:r>
        <w:tab/>
        <w:t xml:space="preserve">the details of the change (including a description of the areas of the State affected by the change); </w:t>
      </w:r>
    </w:p>
    <w:p>
      <w:pPr>
        <w:pStyle w:val="Indenti"/>
      </w:pPr>
      <w:r>
        <w:tab/>
        <w:t>(ii)</w:t>
      </w:r>
      <w:r>
        <w:tab/>
        <w:t>the day on which the change is proposed to take effect;</w:t>
      </w:r>
    </w:p>
    <w:p>
      <w:pPr>
        <w:pStyle w:val="Indenta"/>
      </w:pPr>
      <w:r>
        <w:tab/>
      </w:r>
      <w:r>
        <w:tab/>
        <w:t>and</w:t>
      </w:r>
    </w:p>
    <w:p>
      <w:pPr>
        <w:pStyle w:val="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Subsection"/>
        <w:keepNext/>
      </w:pPr>
      <w:r>
        <w:lastRenderedPageBreak/>
        <w:tab/>
        <w:t>(3)</w:t>
      </w:r>
      <w:r>
        <w:tab/>
        <w:t xml:space="preserve">The changed precinct details must be advertised — </w:t>
      </w:r>
    </w:p>
    <w:p>
      <w:pPr>
        <w:pStyle w:val="Indenta"/>
      </w:pPr>
      <w:r>
        <w:tab/>
        <w:t>(a)</w:t>
      </w:r>
      <w:r>
        <w:tab/>
        <w:t>by publishing the details on the Department’s website; and</w:t>
      </w:r>
    </w:p>
    <w:p>
      <w:pPr>
        <w:pStyle w:val="Indenta"/>
      </w:pPr>
      <w:r>
        <w:tab/>
        <w:t>(b)</w:t>
      </w:r>
      <w:r>
        <w:tab/>
        <w:t>in any other manner prescribed.</w:t>
      </w:r>
    </w:p>
    <w:p>
      <w:pPr>
        <w:pStyle w:val="Subsection"/>
      </w:pPr>
      <w:r>
        <w:tab/>
        <w:t>(4)</w:t>
      </w:r>
      <w:r>
        <w:tab/>
        <w:t>The Director must ensure that a current description of each area of the State that is a protected entertainment precinct is available on the Department’s website.</w:t>
      </w:r>
    </w:p>
    <w:p>
      <w:pPr>
        <w:pStyle w:val="Subsection"/>
      </w:pPr>
      <w:r>
        <w:tab/>
        <w:t>(5)</w:t>
      </w:r>
      <w:r>
        <w:tab/>
        <w:t xml:space="preserve">Failure to comply with this section does not affect — </w:t>
      </w:r>
    </w:p>
    <w:p>
      <w:pPr>
        <w:pStyle w:val="Indenta"/>
      </w:pPr>
      <w:r>
        <w:tab/>
        <w:t>(a)</w:t>
      </w:r>
      <w:r>
        <w:tab/>
        <w:t>the validity of any regulations made, amended or repealed under section 175(1E); or</w:t>
      </w:r>
    </w:p>
    <w:p>
      <w:pPr>
        <w:pStyle w:val="Indenta"/>
      </w:pPr>
      <w:r>
        <w:tab/>
        <w:t>(b)</w:t>
      </w:r>
      <w:r>
        <w:tab/>
        <w:t>the operation of section 152NU(1); or</w:t>
      </w:r>
    </w:p>
    <w:p>
      <w:pPr>
        <w:pStyle w:val="Indenta"/>
      </w:pPr>
      <w:r>
        <w:tab/>
        <w:t>(c)</w:t>
      </w:r>
      <w:r>
        <w:tab/>
        <w:t xml:space="preserve">the liability of a person for an offence under this Part. </w:t>
      </w:r>
    </w:p>
    <w:p>
      <w:pPr>
        <w:pStyle w:val="Footnotesection"/>
      </w:pPr>
      <w:bookmarkStart w:id="663" w:name="_Toc120864729"/>
      <w:bookmarkStart w:id="664" w:name="_Toc120864822"/>
      <w:bookmarkStart w:id="665" w:name="_Toc120864915"/>
      <w:r>
        <w:tab/>
        <w:t>[Section 152NZO inserted: No. 44 of 2022 s. 16.]</w:t>
      </w:r>
    </w:p>
    <w:p>
      <w:pPr>
        <w:pStyle w:val="Heading4"/>
      </w:pPr>
      <w:bookmarkStart w:id="666" w:name="_Toc122342993"/>
      <w:bookmarkStart w:id="667" w:name="_Toc122513404"/>
      <w:bookmarkStart w:id="668" w:name="_Toc131519967"/>
      <w:bookmarkStart w:id="669" w:name="_Toc131520527"/>
      <w:bookmarkStart w:id="670" w:name="_Toc131586609"/>
      <w:r>
        <w:t>Subdivision 2 — Service of documents</w:t>
      </w:r>
      <w:bookmarkEnd w:id="663"/>
      <w:bookmarkEnd w:id="664"/>
      <w:bookmarkEnd w:id="665"/>
      <w:bookmarkEnd w:id="666"/>
      <w:bookmarkEnd w:id="667"/>
      <w:bookmarkEnd w:id="668"/>
      <w:bookmarkEnd w:id="669"/>
      <w:bookmarkEnd w:id="670"/>
    </w:p>
    <w:p>
      <w:pPr>
        <w:pStyle w:val="Footnoteheading"/>
        <w:keepNext/>
      </w:pPr>
      <w:bookmarkStart w:id="671" w:name="_Toc120864916"/>
      <w:r>
        <w:tab/>
        <w:t>[Heading inserted: No. 44 of 2022 s. 16.]</w:t>
      </w:r>
    </w:p>
    <w:p>
      <w:pPr>
        <w:pStyle w:val="Heading5"/>
      </w:pPr>
      <w:bookmarkStart w:id="672" w:name="_Toc131586610"/>
      <w:r>
        <w:rPr>
          <w:rStyle w:val="CharSectno"/>
        </w:rPr>
        <w:t>152NZP</w:t>
      </w:r>
      <w:r>
        <w:t>.</w:t>
      </w:r>
      <w:r>
        <w:tab/>
        <w:t>Terms used</w:t>
      </w:r>
      <w:bookmarkEnd w:id="671"/>
      <w:bookmarkEnd w:id="672"/>
    </w:p>
    <w:p>
      <w:pPr>
        <w:pStyle w:val="Subsection"/>
      </w:pPr>
      <w:r>
        <w:tab/>
      </w:r>
      <w:r>
        <w:tab/>
        <w:t xml:space="preserve">In this Subdivision — </w:t>
      </w:r>
    </w:p>
    <w:p>
      <w:pPr>
        <w:pStyle w:val="Defstart"/>
      </w:pPr>
      <w:r>
        <w:tab/>
      </w:r>
      <w:r>
        <w:rPr>
          <w:rStyle w:val="CharDefText"/>
        </w:rPr>
        <w:t>document</w:t>
      </w:r>
      <w:r>
        <w:t xml:space="preserve"> includes an order, notice or application;</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pPr>
      <w:r>
        <w:tab/>
      </w:r>
      <w:r>
        <w:rPr>
          <w:rStyle w:val="CharDefText"/>
        </w:rPr>
        <w:t>named juvenile</w:t>
      </w:r>
      <w:r>
        <w:t xml:space="preserve"> has the meaning given in section 152NZQ(3);</w:t>
      </w:r>
    </w:p>
    <w:p>
      <w:pPr>
        <w:pStyle w:val="Defstart"/>
      </w:pPr>
      <w:r>
        <w:tab/>
      </w:r>
      <w:r>
        <w:rPr>
          <w:rStyle w:val="CharDefText"/>
        </w:rPr>
        <w:t>named person</w:t>
      </w:r>
      <w:r>
        <w:t xml:space="preserve"> has the meaning given in section 152NZQ(4).</w:t>
      </w:r>
    </w:p>
    <w:p>
      <w:pPr>
        <w:pStyle w:val="Footnotesection"/>
      </w:pPr>
      <w:bookmarkStart w:id="673" w:name="_Toc120864917"/>
      <w:r>
        <w:tab/>
        <w:t>[Section 152NZP inserted: No. 44 of 2022 s. 16.]</w:t>
      </w:r>
    </w:p>
    <w:p>
      <w:pPr>
        <w:pStyle w:val="Heading5"/>
      </w:pPr>
      <w:bookmarkStart w:id="674" w:name="_Toc131586611"/>
      <w:r>
        <w:rPr>
          <w:rStyle w:val="CharSectno"/>
        </w:rPr>
        <w:lastRenderedPageBreak/>
        <w:t>152NZQ</w:t>
      </w:r>
      <w:r>
        <w:t>.</w:t>
      </w:r>
      <w:r>
        <w:tab/>
        <w:t>Service of exclusion orders and other documents</w:t>
      </w:r>
      <w:bookmarkEnd w:id="673"/>
      <w:bookmarkEnd w:id="674"/>
    </w:p>
    <w:p>
      <w:pPr>
        <w:pStyle w:val="Subsection"/>
        <w:keepNext/>
      </w:pPr>
      <w:r>
        <w:tab/>
        <w:t>(1)</w:t>
      </w:r>
      <w:r>
        <w:tab/>
        <w:t xml:space="preserve">In this section — </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detainee</w:t>
      </w:r>
      <w:r>
        <w:t xml:space="preserve"> has the meaning given in the </w:t>
      </w:r>
      <w:r>
        <w:rPr>
          <w:i/>
        </w:rPr>
        <w:t xml:space="preserve">Young Offenders Act 1994 </w:t>
      </w:r>
      <w:r>
        <w:t>section 3;</w:t>
      </w:r>
    </w:p>
    <w:p>
      <w:pPr>
        <w:pStyle w:val="Defstart"/>
      </w:pPr>
      <w:r>
        <w:tab/>
      </w:r>
      <w:r>
        <w:rPr>
          <w:rStyle w:val="CharDefText"/>
        </w:rPr>
        <w:t>prison</w:t>
      </w:r>
      <w:r>
        <w:t xml:space="preserve"> has the meaning given in the </w:t>
      </w:r>
      <w:r>
        <w:rPr>
          <w:i/>
        </w:rPr>
        <w:t>Prisons Act 1981</w:t>
      </w:r>
      <w:r>
        <w:t xml:space="preserve"> section 3(1);</w:t>
      </w:r>
    </w:p>
    <w:p>
      <w:pPr>
        <w:pStyle w:val="Defstart"/>
      </w:pPr>
      <w:r>
        <w:tab/>
      </w:r>
      <w:r>
        <w:rPr>
          <w:rStyle w:val="CharDefText"/>
        </w:rPr>
        <w:t>superintendent</w:t>
      </w:r>
      <w:r>
        <w:t xml:space="preserve"> has the meaning given in the </w:t>
      </w:r>
      <w:r>
        <w:rPr>
          <w:i/>
        </w:rPr>
        <w:t>Prisons Act 1981</w:t>
      </w:r>
      <w:r>
        <w:t xml:space="preserve"> section 3(1).</w:t>
      </w:r>
    </w:p>
    <w:p>
      <w:pPr>
        <w:pStyle w:val="Subsection"/>
      </w:pPr>
      <w:r>
        <w:tab/>
        <w:t>(2)</w:t>
      </w:r>
      <w:r>
        <w:tab/>
        <w:t xml:space="preserve">To serve a document on a person in accordance with this subsection, the document must be served — </w:t>
      </w:r>
    </w:p>
    <w:p>
      <w:pPr>
        <w:pStyle w:val="Indenta"/>
      </w:pPr>
      <w:r>
        <w:tab/>
        <w:t>(a)</w:t>
      </w:r>
      <w:r>
        <w:tab/>
        <w:t>if the person is a juvenile — in accordance with subsection (3); or</w:t>
      </w:r>
    </w:p>
    <w:p>
      <w:pPr>
        <w:pStyle w:val="Indenta"/>
      </w:pPr>
      <w:r>
        <w:tab/>
        <w:t>(b)</w:t>
      </w:r>
      <w:r>
        <w:tab/>
        <w:t>in any other case — in accordance with subsection (4).</w:t>
      </w:r>
    </w:p>
    <w:p>
      <w:pPr>
        <w:pStyle w:val="Subsection"/>
      </w:pPr>
      <w:r>
        <w:tab/>
        <w:t>(3)</w:t>
      </w:r>
      <w:r>
        <w:tab/>
        <w:t xml:space="preserve">To serve a document on a juvenile (the </w:t>
      </w:r>
      <w:r>
        <w:rPr>
          <w:rStyle w:val="CharDefText"/>
        </w:rPr>
        <w:t>named juvenile</w:t>
      </w:r>
      <w:r>
        <w:t xml:space="preserve">) in accordance with this subsection — </w:t>
      </w:r>
    </w:p>
    <w:p>
      <w:pPr>
        <w:pStyle w:val="Indenta"/>
      </w:pPr>
      <w:r>
        <w:tab/>
        <w:t>(a)</w:t>
      </w:r>
      <w:r>
        <w:tab/>
        <w:t xml:space="preserve">if the named juvenile is a detainee — a custodial officer must — </w:t>
      </w:r>
    </w:p>
    <w:p>
      <w:pPr>
        <w:pStyle w:val="Indenti"/>
      </w:pPr>
      <w:r>
        <w:tab/>
        <w:t>(i)</w:t>
      </w:r>
      <w:r>
        <w:tab/>
        <w:t>hand the document to the named juvenile in person; or</w:t>
      </w:r>
    </w:p>
    <w:p>
      <w:pPr>
        <w:pStyle w:val="Indenti"/>
      </w:pPr>
      <w:r>
        <w:tab/>
        <w:t>(ii)</w:t>
      </w:r>
      <w:r>
        <w:tab/>
        <w:t>if the named juvenile refuses to accept the document — leave it near the named juvenile and orally draw the named juvenile’s attention to it;</w:t>
      </w:r>
    </w:p>
    <w:p>
      <w:pPr>
        <w:pStyle w:val="Indenta"/>
      </w:pPr>
      <w:r>
        <w:tab/>
      </w:r>
      <w:r>
        <w:tab/>
        <w:t>or</w:t>
      </w:r>
    </w:p>
    <w:p>
      <w:pPr>
        <w:pStyle w:val="Indenta"/>
      </w:pPr>
      <w:r>
        <w:tab/>
        <w:t>(b)</w:t>
      </w:r>
      <w:r>
        <w:tab/>
        <w:t xml:space="preserve">in any other case — a member of the Police Force must — </w:t>
      </w:r>
    </w:p>
    <w:p>
      <w:pPr>
        <w:pStyle w:val="Indenti"/>
      </w:pPr>
      <w:r>
        <w:tab/>
        <w:t>(i)</w:t>
      </w:r>
      <w:r>
        <w:tab/>
        <w:t>hand the document to the named juvenile in person; or</w:t>
      </w:r>
    </w:p>
    <w:p>
      <w:pPr>
        <w:pStyle w:val="Indenti"/>
      </w:pPr>
      <w:r>
        <w:lastRenderedPageBreak/>
        <w:tab/>
        <w:t>(ii)</w:t>
      </w:r>
      <w:r>
        <w:tab/>
        <w:t>if the named juvenile refuses to accept the document — leave it near the named juvenile and orally draw the named juvenile’s attention to it.</w:t>
      </w:r>
    </w:p>
    <w:p>
      <w:pPr>
        <w:pStyle w:val="Subsection"/>
      </w:pPr>
      <w:r>
        <w:tab/>
        <w:t>(4)</w:t>
      </w:r>
      <w:r>
        <w:tab/>
        <w:t xml:space="preserve">To serve a document on a person (the </w:t>
      </w:r>
      <w:r>
        <w:rPr>
          <w:rStyle w:val="CharDefText"/>
        </w:rPr>
        <w:t>named person</w:t>
      </w:r>
      <w:r>
        <w:t xml:space="preserve">) in accordance with this subsection, another person must — </w:t>
      </w:r>
    </w:p>
    <w:p>
      <w:pPr>
        <w:pStyle w:val="Indenta"/>
      </w:pPr>
      <w:r>
        <w:tab/>
        <w:t>(a)</w:t>
      </w:r>
      <w:r>
        <w:tab/>
        <w:t xml:space="preserve">do 1 of the following — </w:t>
      </w:r>
    </w:p>
    <w:p>
      <w:pPr>
        <w:pStyle w:val="Indenti"/>
      </w:pPr>
      <w:r>
        <w:tab/>
        <w:t>(i)</w:t>
      </w:r>
      <w:r>
        <w:tab/>
        <w:t>hand it to the named person in person;</w:t>
      </w:r>
    </w:p>
    <w:p>
      <w:pPr>
        <w:pStyle w:val="Indenti"/>
      </w:pPr>
      <w:r>
        <w:tab/>
        <w:t>(ii)</w:t>
      </w:r>
      <w:r>
        <w:tab/>
        <w:t>if the named person refuses to accept it — leave it near the named person and orally draw the named person’s attention to it;</w:t>
      </w:r>
    </w:p>
    <w:p>
      <w:pPr>
        <w:pStyle w:val="Indenti"/>
      </w:pPr>
      <w:r>
        <w:tab/>
        <w:t>(iii)</w:t>
      </w:r>
      <w:r>
        <w:tab/>
        <w:t>hand it to another person who appears to have reached 16 years of age and who appears to be residing at the place where the named person is known to reside;</w:t>
      </w:r>
    </w:p>
    <w:p>
      <w:pPr>
        <w:pStyle w:val="Indenti"/>
      </w:pPr>
      <w:r>
        <w:tab/>
        <w:t>(iv)</w:t>
      </w:r>
      <w:r>
        <w:tab/>
        <w:t>if the named person is in a prison — hand it to the superintendent of the prison;</w:t>
      </w:r>
    </w:p>
    <w:p>
      <w:pPr>
        <w:pStyle w:val="Indenta"/>
      </w:pPr>
      <w:r>
        <w:tab/>
      </w:r>
      <w:r>
        <w:tab/>
        <w:t>or</w:t>
      </w:r>
    </w:p>
    <w:p>
      <w:pPr>
        <w:pStyle w:val="Indenta"/>
      </w:pPr>
      <w:r>
        <w:tab/>
        <w:t>(b)</w:t>
      </w:r>
      <w:r>
        <w:tab/>
        <w:t xml:space="preserve">post the document to — </w:t>
      </w:r>
    </w:p>
    <w:p>
      <w:pPr>
        <w:pStyle w:val="Indenti"/>
      </w:pPr>
      <w:r>
        <w:tab/>
        <w:t>(i)</w:t>
      </w:r>
      <w:r>
        <w:tab/>
        <w:t>the named person at an address provided by the named person, but only if the named person has consented to being served with documents under this Part at that address; or</w:t>
      </w:r>
    </w:p>
    <w:p>
      <w:pPr>
        <w:pStyle w:val="Indenti"/>
      </w:pPr>
      <w:r>
        <w:tab/>
        <w:t>(ii)</w:t>
      </w:r>
      <w:r>
        <w:tab/>
        <w:t>if the named person is in a prison — the named person at the address of the prison;</w:t>
      </w:r>
    </w:p>
    <w:p>
      <w:pPr>
        <w:pStyle w:val="Indenta"/>
      </w:pPr>
      <w:r>
        <w:tab/>
      </w:r>
      <w:r>
        <w:tab/>
        <w:t>or</w:t>
      </w:r>
    </w:p>
    <w:p>
      <w:pPr>
        <w:pStyle w:val="Indenta"/>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Indenta"/>
      </w:pPr>
      <w:r>
        <w:lastRenderedPageBreak/>
        <w:tab/>
        <w:t>(d)</w:t>
      </w:r>
      <w:r>
        <w:tab/>
        <w:t>give the document to the named person by another means, but only if the named person has consented to being served with documents under this Part by those means.</w:t>
      </w:r>
    </w:p>
    <w:p>
      <w:pPr>
        <w:pStyle w:val="Subsection"/>
      </w:pPr>
      <w:r>
        <w:tab/>
        <w:t>(5)</w:t>
      </w:r>
      <w:r>
        <w:tab/>
        <w:t xml:space="preserve">The regulations may make provision for or in relation to the following — </w:t>
      </w:r>
    </w:p>
    <w:p>
      <w:pPr>
        <w:pStyle w:val="Indenta"/>
      </w:pPr>
      <w:r>
        <w:tab/>
        <w:t>(a)</w:t>
      </w:r>
      <w:r>
        <w:tab/>
        <w:t>the manner in which consent under subsection (4)(b)(i), (c) or (d) may or must be given;</w:t>
      </w:r>
    </w:p>
    <w:p>
      <w:pPr>
        <w:pStyle w:val="Indenta"/>
      </w:pPr>
      <w:r>
        <w:tab/>
        <w:t>(b)</w:t>
      </w:r>
      <w:r>
        <w:tab/>
        <w:t>circumstances in which consent under subsection (4)(b)(i), (c) or (d) is taken not to be given.</w:t>
      </w:r>
    </w:p>
    <w:p>
      <w:pPr>
        <w:pStyle w:val="Footnotesection"/>
      </w:pPr>
      <w:bookmarkStart w:id="675" w:name="_Toc120864918"/>
      <w:r>
        <w:tab/>
        <w:t>[Section 152NZQ inserted: No. 44 of 2022 s. 16.]</w:t>
      </w:r>
    </w:p>
    <w:p>
      <w:pPr>
        <w:pStyle w:val="Heading5"/>
      </w:pPr>
      <w:bookmarkStart w:id="676" w:name="_Toc131586612"/>
      <w:r>
        <w:rPr>
          <w:rStyle w:val="CharSectno"/>
        </w:rPr>
        <w:t>152NZR</w:t>
      </w:r>
      <w:r>
        <w:t>.</w:t>
      </w:r>
      <w:r>
        <w:tab/>
        <w:t>Time when document served</w:t>
      </w:r>
      <w:bookmarkEnd w:id="675"/>
      <w:bookmarkEnd w:id="676"/>
    </w:p>
    <w:p>
      <w:pPr>
        <w:pStyle w:val="Subsection"/>
      </w:pPr>
      <w:r>
        <w:tab/>
        <w:t>(1)</w:t>
      </w:r>
      <w:r>
        <w:tab/>
        <w:t xml:space="preserve">In this section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A document served in accordance with section 152NZQ(3) is taken to be served on the named juvenile at the time it is handed to or left near the named juvenile under that provision.</w:t>
      </w:r>
    </w:p>
    <w:p>
      <w:pPr>
        <w:pStyle w:val="Subsection"/>
      </w:pPr>
      <w:r>
        <w:tab/>
        <w:t>(3)</w:t>
      </w:r>
      <w:r>
        <w:tab/>
        <w:t>A document served in accordance with section 152NZQ(4)(a) is taken to be served on the named person at the time it is handed to or left near a person under that provision.</w:t>
      </w:r>
    </w:p>
    <w:p>
      <w:pPr>
        <w:pStyle w:val="Subsection"/>
      </w:pPr>
      <w:r>
        <w:tab/>
        <w:t>(4)</w:t>
      </w:r>
      <w:r>
        <w:tab/>
        <w:t xml:space="preserve">A document served by post in accordance with section 152NZQ(4)(b) is taken to be served on the named person — </w:t>
      </w:r>
    </w:p>
    <w:p>
      <w:pPr>
        <w:pStyle w:val="Indenta"/>
      </w:pPr>
      <w:r>
        <w:tab/>
        <w:t>(a)</w:t>
      </w:r>
      <w:r>
        <w:tab/>
        <w:t>at the end of the 4</w:t>
      </w:r>
      <w:r>
        <w:rPr>
          <w:vertAlign w:val="superscript"/>
        </w:rPr>
        <w:t>th</w:t>
      </w:r>
      <w:r>
        <w:t xml:space="preserve"> working day after the date it was posted; or</w:t>
      </w:r>
    </w:p>
    <w:p>
      <w:pPr>
        <w:pStyle w:val="Indenta"/>
      </w:pPr>
      <w:r>
        <w:tab/>
        <w:t>(b)</w:t>
      </w:r>
      <w:r>
        <w:tab/>
        <w:t>if it is proved that the document was delivered at a different time — at the time at which the document was delivered.</w:t>
      </w:r>
    </w:p>
    <w:p>
      <w:pPr>
        <w:pStyle w:val="Subsection"/>
      </w:pPr>
      <w:r>
        <w:lastRenderedPageBreak/>
        <w:tab/>
        <w:t>(5)</w:t>
      </w:r>
      <w:r>
        <w:tab/>
        <w:t>Despite subsection (4), the document is taken not to be served if the postal service returns the document to the sender or it is proved that the document was not delivered.</w:t>
      </w:r>
    </w:p>
    <w:p>
      <w:pPr>
        <w:pStyle w:val="Subsection"/>
      </w:pPr>
      <w:r>
        <w:tab/>
        <w:t>(6)</w:t>
      </w:r>
      <w:r>
        <w:tab/>
        <w:t xml:space="preserve">The regulations may make provision for or in relation to the following — </w:t>
      </w:r>
    </w:p>
    <w:p>
      <w:pPr>
        <w:pStyle w:val="Indenta"/>
      </w:pPr>
      <w:r>
        <w:tab/>
        <w:t>(a)</w:t>
      </w:r>
      <w:r>
        <w:tab/>
        <w:t xml:space="preserve">the time at which a document served in accordance with section 152NZQ(4)(c) or (d) is taken to be served; </w:t>
      </w:r>
    </w:p>
    <w:p>
      <w:pPr>
        <w:pStyle w:val="Indenta"/>
      </w:pPr>
      <w:r>
        <w:tab/>
        <w:t>(b)</w:t>
      </w:r>
      <w:r>
        <w:tab/>
        <w:t>circumstances in which a document served in accordance with section 152NZQ(4)(c) or (d) is taken not to be served;</w:t>
      </w:r>
    </w:p>
    <w:p>
      <w:pPr>
        <w:pStyle w:val="Indenta"/>
      </w:pPr>
      <w:r>
        <w:tab/>
        <w:t>(c)</w:t>
      </w:r>
      <w:r>
        <w:tab/>
        <w:t>the means of satisfying a requirement under this Part in relation to a document (for example, a requirement that the original of a document be given or that a document be signed) if the document is served by electronic means.</w:t>
      </w:r>
    </w:p>
    <w:p>
      <w:pPr>
        <w:pStyle w:val="Footnotesection"/>
      </w:pPr>
      <w:bookmarkStart w:id="677" w:name="_Toc120864919"/>
      <w:r>
        <w:tab/>
        <w:t>[Section 152NZR inserted: No. 44 of 2022 s. 16.]</w:t>
      </w:r>
    </w:p>
    <w:p>
      <w:pPr>
        <w:pStyle w:val="Heading5"/>
      </w:pPr>
      <w:bookmarkStart w:id="678" w:name="_Toc131586613"/>
      <w:r>
        <w:rPr>
          <w:rStyle w:val="CharSectno"/>
        </w:rPr>
        <w:t>152NZS</w:t>
      </w:r>
      <w:r>
        <w:t>.</w:t>
      </w:r>
      <w:r>
        <w:tab/>
        <w:t>Proof of service of document</w:t>
      </w:r>
      <w:bookmarkEnd w:id="677"/>
      <w:bookmarkEnd w:id="678"/>
    </w:p>
    <w:p>
      <w:pPr>
        <w:pStyle w:val="Subsection"/>
      </w:pPr>
      <w:r>
        <w:tab/>
        <w:t>(1)</w:t>
      </w:r>
      <w:r>
        <w:tab/>
        <w:t>A soon as practicable after a person serves a document in accordance with section 152NZQ(2), the person must make a certificate of service.</w:t>
      </w:r>
    </w:p>
    <w:p>
      <w:pPr>
        <w:pStyle w:val="Subsection"/>
      </w:pPr>
      <w:r>
        <w:tab/>
        <w:t>(2)</w:t>
      </w:r>
      <w:r>
        <w:tab/>
        <w:t xml:space="preserve">The certificate must — </w:t>
      </w:r>
    </w:p>
    <w:p>
      <w:pPr>
        <w:pStyle w:val="Indenta"/>
      </w:pPr>
      <w:r>
        <w:tab/>
        <w:t>(a)</w:t>
      </w:r>
      <w:r>
        <w:tab/>
        <w:t>state that, at the time and place stated in the certificate, the person making the certificate served the document in accordance with section 152NZQ(2); and</w:t>
      </w:r>
    </w:p>
    <w:p>
      <w:pPr>
        <w:pStyle w:val="Indenta"/>
      </w:pPr>
      <w:r>
        <w:tab/>
        <w:t>(b)</w:t>
      </w:r>
      <w:r>
        <w:tab/>
        <w:t>be signed by the person making the certificate (which may be by way of an electronic signature).</w:t>
      </w:r>
    </w:p>
    <w:p>
      <w:pPr>
        <w:pStyle w:val="Subsection"/>
      </w:pPr>
      <w:r>
        <w:tab/>
        <w:t>(3)</w:t>
      </w:r>
      <w:r>
        <w:tab/>
        <w:t>The certificate must state the full name of the person served.</w:t>
      </w:r>
    </w:p>
    <w:p>
      <w:pPr>
        <w:pStyle w:val="Subsection"/>
      </w:pPr>
      <w:r>
        <w:tab/>
        <w:t>(4)</w:t>
      </w:r>
      <w:r>
        <w:tab/>
        <w:t>A signed certificate of service that complies with this section may be tendered in evidence without calling the person who signed the certificate.</w:t>
      </w:r>
    </w:p>
    <w:p>
      <w:pPr>
        <w:pStyle w:val="Subsection"/>
      </w:pPr>
      <w:r>
        <w:lastRenderedPageBreak/>
        <w:tab/>
        <w:t>(5)</w:t>
      </w:r>
      <w:r>
        <w:tab/>
        <w:t xml:space="preserve">When a certificate of service is tendered under subsection (4), it is to be presumed, unless the contrary is proved — </w:t>
      </w:r>
    </w:p>
    <w:p>
      <w:pPr>
        <w:pStyle w:val="Indenta"/>
      </w:pPr>
      <w:r>
        <w:tab/>
        <w:t>(a)</w:t>
      </w:r>
      <w:r>
        <w:tab/>
        <w:t>that the signature is that of the person who made the certificate; and</w:t>
      </w:r>
    </w:p>
    <w:p>
      <w:pPr>
        <w:pStyle w:val="Indenta"/>
      </w:pPr>
      <w:r>
        <w:tab/>
        <w:t>(b)</w:t>
      </w:r>
      <w:r>
        <w:tab/>
        <w:t>that the information in the certificate is true.</w:t>
      </w:r>
    </w:p>
    <w:p>
      <w:pPr>
        <w:pStyle w:val="Subsection"/>
      </w:pPr>
      <w:r>
        <w:tab/>
        <w:t>(6)</w:t>
      </w:r>
      <w:r>
        <w:tab/>
        <w:t>Section 172(4) and (6)(b) do not apply in relation to the service of a document in accordance with section 152NZQ(2).</w:t>
      </w:r>
    </w:p>
    <w:p>
      <w:pPr>
        <w:pStyle w:val="Footnotesection"/>
      </w:pPr>
      <w:bookmarkStart w:id="679" w:name="_Toc120864734"/>
      <w:bookmarkStart w:id="680" w:name="_Toc120864827"/>
      <w:bookmarkStart w:id="681" w:name="_Toc120864920"/>
      <w:r>
        <w:tab/>
        <w:t>[Section 152NZS inserted: No. 44 of 2022 s. 16.]</w:t>
      </w:r>
    </w:p>
    <w:p>
      <w:pPr>
        <w:pStyle w:val="Heading4"/>
      </w:pPr>
      <w:bookmarkStart w:id="682" w:name="_Toc122342998"/>
      <w:bookmarkStart w:id="683" w:name="_Toc122513409"/>
      <w:bookmarkStart w:id="684" w:name="_Toc131519972"/>
      <w:bookmarkStart w:id="685" w:name="_Toc131520532"/>
      <w:bookmarkStart w:id="686" w:name="_Toc131586614"/>
      <w:r>
        <w:t>Subdivision 3 — Other matters</w:t>
      </w:r>
      <w:bookmarkEnd w:id="679"/>
      <w:bookmarkEnd w:id="680"/>
      <w:bookmarkEnd w:id="681"/>
      <w:bookmarkEnd w:id="682"/>
      <w:bookmarkEnd w:id="683"/>
      <w:bookmarkEnd w:id="684"/>
      <w:bookmarkEnd w:id="685"/>
      <w:bookmarkEnd w:id="686"/>
    </w:p>
    <w:p>
      <w:pPr>
        <w:pStyle w:val="Footnoteheading"/>
      </w:pPr>
      <w:bookmarkStart w:id="687" w:name="_Toc120864921"/>
      <w:r>
        <w:tab/>
        <w:t>[Heading inserted: No. 44 of 2022 s. 16.]</w:t>
      </w:r>
    </w:p>
    <w:p>
      <w:pPr>
        <w:pStyle w:val="Heading5"/>
      </w:pPr>
      <w:bookmarkStart w:id="688" w:name="_Toc131586615"/>
      <w:r>
        <w:rPr>
          <w:rStyle w:val="CharSectno"/>
        </w:rPr>
        <w:t>152NZT</w:t>
      </w:r>
      <w:r>
        <w:t>.</w:t>
      </w:r>
      <w:r>
        <w:tab/>
        <w:t>Publication and disclosure of information about excluded offenders</w:t>
      </w:r>
      <w:bookmarkEnd w:id="687"/>
      <w:bookmarkEnd w:id="688"/>
    </w:p>
    <w:p>
      <w:pPr>
        <w:pStyle w:val="Subsection"/>
      </w:pPr>
      <w:r>
        <w:tab/>
        <w:t>(1)</w:t>
      </w:r>
      <w:r>
        <w:tab/>
        <w:t xml:space="preserve">In this section — </w:t>
      </w:r>
    </w:p>
    <w:p>
      <w:pPr>
        <w:pStyle w:val="Defstart"/>
      </w:pPr>
      <w:r>
        <w:tab/>
      </w:r>
      <w:r>
        <w:rPr>
          <w:rStyle w:val="CharDefText"/>
        </w:rPr>
        <w:t>personal particulars</w:t>
      </w:r>
      <w:r>
        <w:t xml:space="preserve">, in relation to an excluded offender, means — </w:t>
      </w:r>
    </w:p>
    <w:p>
      <w:pPr>
        <w:pStyle w:val="Defpara"/>
      </w:pPr>
      <w:r>
        <w:tab/>
        <w:t>(a)</w:t>
      </w:r>
      <w:r>
        <w:tab/>
        <w:t>the name and date of birth of the excluded offender; and</w:t>
      </w:r>
    </w:p>
    <w:p>
      <w:pPr>
        <w:pStyle w:val="Defpara"/>
      </w:pPr>
      <w:r>
        <w:tab/>
        <w:t>(b)</w:t>
      </w:r>
      <w:r>
        <w:tab/>
        <w:t>a photograph of the excluded offender; and</w:t>
      </w:r>
    </w:p>
    <w:p>
      <w:pPr>
        <w:pStyle w:val="Defpara"/>
      </w:pPr>
      <w:r>
        <w:tab/>
        <w:t>(c)</w:t>
      </w:r>
      <w:r>
        <w:tab/>
        <w:t>the address of the excluded offender;</w:t>
      </w:r>
    </w:p>
    <w:p>
      <w:pPr>
        <w:pStyle w:val="Defstart"/>
      </w:pPr>
      <w:r>
        <w:tab/>
      </w:r>
      <w:r>
        <w:rPr>
          <w:rStyle w:val="CharDefText"/>
        </w:rPr>
        <w:t>secure webpage</w:t>
      </w:r>
      <w:r>
        <w:t xml:space="preserve"> means a page on a website that is accessible only by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a person belonging to a prescribed class of persons or a person in a prescribed circumstance.</w:t>
      </w:r>
    </w:p>
    <w:p>
      <w:pPr>
        <w:pStyle w:val="Subsection"/>
      </w:pPr>
      <w:r>
        <w:tab/>
        <w:t>(2)</w:t>
      </w:r>
      <w:r>
        <w:tab/>
        <w:t>During the exclusion period for an excluded offender, the Commissioner of Police or the Director may —</w:t>
      </w:r>
    </w:p>
    <w:p>
      <w:pPr>
        <w:pStyle w:val="Indenta"/>
      </w:pPr>
      <w:r>
        <w:tab/>
        <w:t>(a)</w:t>
      </w:r>
      <w:r>
        <w:tab/>
        <w:t>publish on a secure webpage any of the personal particulars in relation to the excluded offender; and</w:t>
      </w:r>
    </w:p>
    <w:p>
      <w:pPr>
        <w:pStyle w:val="Indenta"/>
      </w:pPr>
      <w:r>
        <w:lastRenderedPageBreak/>
        <w:tab/>
        <w:t>(b)</w:t>
      </w:r>
      <w:r>
        <w:tab/>
        <w:t xml:space="preserve">if the excluded offender is not a juvenile — publish, in any manner the Commissioner or the Director (as the case requires) considers appropriate, any of the following — </w:t>
      </w:r>
    </w:p>
    <w:p>
      <w:pPr>
        <w:pStyle w:val="Indenti"/>
      </w:pPr>
      <w:r>
        <w:tab/>
        <w:t>(i)</w:t>
      </w:r>
      <w:r>
        <w:tab/>
        <w:t>the name of the excluded offender;</w:t>
      </w:r>
    </w:p>
    <w:p>
      <w:pPr>
        <w:pStyle w:val="Indenti"/>
      </w:pPr>
      <w:r>
        <w:tab/>
        <w:t>(ii)</w:t>
      </w:r>
      <w:r>
        <w:tab/>
        <w:t>a photograph of the excluded offender;</w:t>
      </w:r>
    </w:p>
    <w:p>
      <w:pPr>
        <w:pStyle w:val="Indenti"/>
      </w:pPr>
      <w:r>
        <w:tab/>
        <w:t>(iii)</w:t>
      </w:r>
      <w:r>
        <w:tab/>
        <w:t>the town or suburb where the excluded offender lives.</w:t>
      </w:r>
    </w:p>
    <w:p>
      <w:pPr>
        <w:pStyle w:val="Subsection"/>
      </w:pPr>
      <w:r>
        <w:tab/>
        <w:t>(3)</w:t>
      </w:r>
      <w:r>
        <w:tab/>
        <w:t xml:space="preserve">During the exclusion period for an excluded offender, the Commissioner of Police or the Director may disclose any of the personal particulars in relation to the excluded offender to — </w:t>
      </w:r>
    </w:p>
    <w:p>
      <w:pPr>
        <w:pStyle w:val="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Indenti"/>
      </w:pPr>
      <w:r>
        <w:tab/>
        <w:t>(i)</w:t>
      </w:r>
      <w:r>
        <w:tab/>
        <w:t>the further provision of the personal particulars to responsible persons in relation to licensed premises to assist those responsible persons to identify excluded offenders; or</w:t>
      </w:r>
    </w:p>
    <w:p>
      <w:pPr>
        <w:pStyle w:val="Indenti"/>
      </w:pPr>
      <w:r>
        <w:tab/>
        <w:t>(ii)</w:t>
      </w:r>
      <w:r>
        <w:tab/>
        <w:t>the creation or provision of equipment, software, databases or any other thing to be used by responsible persons in identifying excluded offenders.</w:t>
      </w:r>
    </w:p>
    <w:p>
      <w:pPr>
        <w:pStyle w:val="Subsection"/>
      </w:pPr>
      <w:r>
        <w:tab/>
        <w:t>(4)</w:t>
      </w:r>
      <w:r>
        <w:tab/>
        <w:t>Subsections (2) and (3) do not permit the publication or disclosure of anything that identifies, or is capable of identifying —</w:t>
      </w:r>
    </w:p>
    <w:p>
      <w:pPr>
        <w:pStyle w:val="Indenta"/>
      </w:pPr>
      <w:r>
        <w:tab/>
        <w:t>(a)</w:t>
      </w:r>
      <w:r>
        <w:tab/>
        <w:t>a juvenile other than the excluded offender; or</w:t>
      </w:r>
    </w:p>
    <w:p>
      <w:pPr>
        <w:pStyle w:val="Indenta"/>
      </w:pPr>
      <w:r>
        <w:lastRenderedPageBreak/>
        <w:tab/>
        <w:t>(b)</w:t>
      </w:r>
      <w:r>
        <w:tab/>
        <w:t>the details of any offence of which the excluded offender was convicted in the Children’s Court.</w:t>
      </w:r>
    </w:p>
    <w:p>
      <w:pPr>
        <w:pStyle w:val="Footnotesection"/>
      </w:pPr>
      <w:bookmarkStart w:id="689" w:name="_Toc120864922"/>
      <w:r>
        <w:tab/>
        <w:t>[Section 152NZT inserted: No. 44 of 2022 s. 16.]</w:t>
      </w:r>
    </w:p>
    <w:p>
      <w:pPr>
        <w:pStyle w:val="Heading5"/>
      </w:pPr>
      <w:bookmarkStart w:id="690" w:name="_Toc131586616"/>
      <w:r>
        <w:rPr>
          <w:rStyle w:val="CharSectno"/>
        </w:rPr>
        <w:t>152NZU</w:t>
      </w:r>
      <w:r>
        <w:t>.</w:t>
      </w:r>
      <w:r>
        <w:tab/>
        <w:t>Offence of further disclosing information about excluded offenders</w:t>
      </w:r>
      <w:bookmarkEnd w:id="689"/>
      <w:bookmarkEnd w:id="690"/>
    </w:p>
    <w:p>
      <w:pPr>
        <w:pStyle w:val="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Penstart"/>
      </w:pPr>
      <w:r>
        <w:tab/>
        <w:t>Penalty for this subsection: a fine of $10 000.</w:t>
      </w:r>
    </w:p>
    <w:p>
      <w:pPr>
        <w:pStyle w:val="Subsection"/>
      </w:pPr>
      <w:r>
        <w:tab/>
        <w:t>(2)</w:t>
      </w:r>
      <w:r>
        <w:tab/>
        <w:t>Subsection (1) does not apply to information or a photograph that has also been published under section 152NZT(2)(b).</w:t>
      </w:r>
    </w:p>
    <w:p>
      <w:pPr>
        <w:pStyle w:val="Subsection"/>
      </w:pPr>
      <w:r>
        <w:tab/>
        <w:t>(3)</w:t>
      </w:r>
      <w:r>
        <w:tab/>
        <w:t xml:space="preserve">A responsible person in relation to licensed premises does not commit an offence under subsection (1) if — </w:t>
      </w:r>
    </w:p>
    <w:p>
      <w:pPr>
        <w:pStyle w:val="Indenta"/>
      </w:pPr>
      <w:r>
        <w:tab/>
        <w:t>(a)</w:t>
      </w:r>
      <w:r>
        <w:tab/>
        <w:t>the responsible person discloses the information or photograph in the performance of duties relating to the person’s work on the licensed premises; or</w:t>
      </w:r>
    </w:p>
    <w:p>
      <w:pPr>
        <w:pStyle w:val="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Subsection"/>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Footnotesection"/>
      </w:pPr>
      <w:bookmarkStart w:id="691" w:name="_Toc120864923"/>
      <w:r>
        <w:tab/>
        <w:t>[Section 152NZU inserted: No. 44 of 2022 s. 16.]</w:t>
      </w:r>
    </w:p>
    <w:p>
      <w:pPr>
        <w:pStyle w:val="Heading5"/>
      </w:pPr>
      <w:bookmarkStart w:id="692" w:name="_Toc131586617"/>
      <w:r>
        <w:rPr>
          <w:rStyle w:val="CharSectno"/>
        </w:rPr>
        <w:lastRenderedPageBreak/>
        <w:t>152NZV</w:t>
      </w:r>
      <w:r>
        <w:t>.</w:t>
      </w:r>
      <w:r>
        <w:tab/>
        <w:t>Monitoring by Parliamentary Commissioner</w:t>
      </w:r>
      <w:bookmarkEnd w:id="691"/>
      <w:bookmarkEnd w:id="692"/>
    </w:p>
    <w:p>
      <w:pPr>
        <w:pStyle w:val="Subsection"/>
      </w:pPr>
      <w:r>
        <w:tab/>
        <w:t>(1)</w:t>
      </w:r>
      <w:r>
        <w:tab/>
        <w:t xml:space="preserve">In this section — </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Parliamentary Commissioner must keep under scrutiny the operation of, and the exercise of powers under — </w:t>
      </w:r>
    </w:p>
    <w:p>
      <w:pPr>
        <w:pStyle w:val="Indenta"/>
      </w:pPr>
      <w:r>
        <w:tab/>
        <w:t>(a)</w:t>
      </w:r>
      <w:r>
        <w:tab/>
        <w:t>the provisions of this Part; and</w:t>
      </w:r>
    </w:p>
    <w:p>
      <w:pPr>
        <w:pStyle w:val="Indenta"/>
      </w:pPr>
      <w:r>
        <w:tab/>
        <w:t>(b)</w:t>
      </w:r>
      <w:r>
        <w:tab/>
        <w:t xml:space="preserve">any regulations made for the purposes of this Part; and </w:t>
      </w:r>
    </w:p>
    <w:p>
      <w:pPr>
        <w:pStyle w:val="Indenta"/>
      </w:pPr>
      <w:r>
        <w:tab/>
        <w:t>(c)</w:t>
      </w:r>
      <w:r>
        <w:tab/>
        <w:t>any regulations made under section 175(1E).</w:t>
      </w:r>
    </w:p>
    <w:p>
      <w:pPr>
        <w:pStyle w:val="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Subsection"/>
      </w:pPr>
      <w:r>
        <w:tab/>
        <w:t>(4)</w:t>
      </w:r>
      <w:r>
        <w:tab/>
        <w:t xml:space="preserve">The Parliamentary Commissioner — </w:t>
      </w:r>
    </w:p>
    <w:p>
      <w:pPr>
        <w:pStyle w:val="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Indenta"/>
      </w:pPr>
      <w:r>
        <w:tab/>
        <w:t>(b)</w:t>
      </w:r>
      <w:r>
        <w:tab/>
        <w:t>may, at any other time the Parliamentary Commissioner considers appropriate, prepare a report on the Parliamentary Commissioner’s work and activities under this section and give a copy of the report to the Minister and to the Commissioner of Police.</w:t>
      </w:r>
    </w:p>
    <w:p>
      <w:pPr>
        <w:pStyle w:val="Subsection"/>
      </w:pPr>
      <w:r>
        <w:tab/>
        <w:t>(5)</w:t>
      </w:r>
      <w:r>
        <w:tab/>
        <w:t xml:space="preserve">A report under subsection (4) — </w:t>
      </w:r>
    </w:p>
    <w:p>
      <w:pPr>
        <w:pStyle w:val="Indenta"/>
      </w:pPr>
      <w:r>
        <w:tab/>
        <w:t>(a)</w:t>
      </w:r>
      <w:r>
        <w:tab/>
        <w:t xml:space="preserve">must, if the Parliamentary Commissioner has identified any group in the community that is particularly affected by the operation of, or the exercise of powers under, the provisions referred to in subsection (2), include a review </w:t>
      </w:r>
      <w:r>
        <w:lastRenderedPageBreak/>
        <w:t>of the impact of the operation of, and the exercise of powers under, those provisions on that group; and</w:t>
      </w:r>
    </w:p>
    <w:p>
      <w:pPr>
        <w:pStyle w:val="Indenta"/>
      </w:pPr>
      <w:r>
        <w:tab/>
        <w:t>(b)</w:t>
      </w:r>
      <w:r>
        <w:tab/>
        <w:t>may include recommendations about amendments that might appropriately be made to this Act in relation to the operation of, or the exercise of powers under, the provisions referred to in subsection (2).</w:t>
      </w:r>
    </w:p>
    <w:p>
      <w:pPr>
        <w:pStyle w:val="Subsection"/>
      </w:pPr>
      <w:r>
        <w:tab/>
        <w:t>(6)</w:t>
      </w:r>
      <w:r>
        <w:tab/>
        <w:t>The Minister must cause a report under subsection (4) to be laid before each House of Parliament as soon as practicable after the Minister receives the report.</w:t>
      </w:r>
    </w:p>
    <w:p>
      <w:pPr>
        <w:pStyle w:val="Subsection"/>
      </w:pPr>
      <w:r>
        <w:tab/>
        <w:t>(7)</w:t>
      </w:r>
      <w:r>
        <w:tab/>
        <w:t xml:space="preserve">Nothing in this section limits or affects the jurisdiction or functions of the Parliamentary Commissioner under the </w:t>
      </w:r>
      <w:r>
        <w:rPr>
          <w:i/>
        </w:rPr>
        <w:t>Parliamentary Commissioner Act 1971</w:t>
      </w:r>
      <w:r>
        <w:t>.</w:t>
      </w:r>
    </w:p>
    <w:p>
      <w:pPr>
        <w:pStyle w:val="Footnotesection"/>
      </w:pPr>
      <w:r>
        <w:tab/>
        <w:t>[Section 152NZV inserted: No. 44 of 2022 s. 16.]</w:t>
      </w:r>
    </w:p>
    <w:p>
      <w:pPr>
        <w:pStyle w:val="Heading2"/>
      </w:pPr>
      <w:bookmarkStart w:id="693" w:name="_Toc122343002"/>
      <w:bookmarkStart w:id="694" w:name="_Toc122513413"/>
      <w:bookmarkStart w:id="695" w:name="_Toc131519976"/>
      <w:bookmarkStart w:id="696" w:name="_Toc131520536"/>
      <w:bookmarkStart w:id="697" w:name="_Toc131586618"/>
      <w:r>
        <w:rPr>
          <w:rStyle w:val="CharPartNo"/>
        </w:rPr>
        <w:lastRenderedPageBreak/>
        <w:t>Part 5B</w:t>
      </w:r>
      <w:r>
        <w:rPr>
          <w:rStyle w:val="CharDivNo"/>
        </w:rPr>
        <w:t> </w:t>
      </w:r>
      <w:r>
        <w:t>—</w:t>
      </w:r>
      <w:r>
        <w:rPr>
          <w:rStyle w:val="CharDivText"/>
        </w:rPr>
        <w:t> </w:t>
      </w:r>
      <w:r>
        <w:rPr>
          <w:rStyle w:val="CharPartText"/>
        </w:rPr>
        <w:t>Liquor restricted premises</w:t>
      </w:r>
      <w:bookmarkEnd w:id="526"/>
      <w:bookmarkEnd w:id="693"/>
      <w:bookmarkEnd w:id="694"/>
      <w:bookmarkEnd w:id="695"/>
      <w:bookmarkEnd w:id="696"/>
      <w:bookmarkEnd w:id="697"/>
    </w:p>
    <w:p>
      <w:pPr>
        <w:pStyle w:val="Footnoteheading"/>
      </w:pPr>
      <w:r>
        <w:tab/>
        <w:t>[Heading inserted: No. 56 of 2010 s. 26.]</w:t>
      </w:r>
    </w:p>
    <w:p>
      <w:pPr>
        <w:pStyle w:val="Heading5"/>
      </w:pPr>
      <w:bookmarkStart w:id="698" w:name="_Toc131586619"/>
      <w:r>
        <w:rPr>
          <w:rStyle w:val="CharSectno"/>
        </w:rPr>
        <w:t>152N</w:t>
      </w:r>
      <w:r>
        <w:t>.</w:t>
      </w:r>
      <w:r>
        <w:tab/>
        <w:t>Terms used</w:t>
      </w:r>
      <w:bookmarkEnd w:id="698"/>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No. 56 of 2010 s. 26.]</w:t>
      </w:r>
    </w:p>
    <w:p>
      <w:pPr>
        <w:pStyle w:val="Heading5"/>
      </w:pPr>
      <w:bookmarkStart w:id="699" w:name="_Toc131586620"/>
      <w:r>
        <w:rPr>
          <w:rStyle w:val="CharSectno"/>
        </w:rPr>
        <w:t>152O</w:t>
      </w:r>
      <w:r>
        <w:t>.</w:t>
      </w:r>
      <w:r>
        <w:tab/>
        <w:t>Liquor on liquor restricted premises, offences as to</w:t>
      </w:r>
      <w:bookmarkEnd w:id="699"/>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lastRenderedPageBreak/>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No. 56 of 2010 s. 26; No. 35 of 2015 s. 22.]</w:t>
      </w:r>
    </w:p>
    <w:p>
      <w:pPr>
        <w:pStyle w:val="Heading5"/>
      </w:pPr>
      <w:bookmarkStart w:id="700" w:name="_Toc131586621"/>
      <w:r>
        <w:rPr>
          <w:rStyle w:val="CharSectno"/>
        </w:rPr>
        <w:t>152P</w:t>
      </w:r>
      <w:r>
        <w:t>.</w:t>
      </w:r>
      <w:r>
        <w:tab/>
        <w:t>Declaration of liquor restricted premises</w:t>
      </w:r>
      <w:bookmarkEnd w:id="700"/>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lastRenderedPageBreak/>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No. 56 of 2010 s. 26.]</w:t>
      </w:r>
    </w:p>
    <w:p>
      <w:pPr>
        <w:pStyle w:val="Heading5"/>
        <w:spacing w:before="240"/>
      </w:pPr>
      <w:bookmarkStart w:id="701" w:name="_Toc131586622"/>
      <w:r>
        <w:rPr>
          <w:rStyle w:val="CharSectno"/>
        </w:rPr>
        <w:t>152Q</w:t>
      </w:r>
      <w:r>
        <w:t>.</w:t>
      </w:r>
      <w:r>
        <w:tab/>
        <w:t>Liquor restriction declarations, power to make</w:t>
      </w:r>
      <w:bookmarkEnd w:id="701"/>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lastRenderedPageBreak/>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No. 56 of 2010 s. 26.]</w:t>
      </w:r>
    </w:p>
    <w:p>
      <w:pPr>
        <w:pStyle w:val="Heading5"/>
      </w:pPr>
      <w:bookmarkStart w:id="702" w:name="_Toc131586623"/>
      <w:r>
        <w:rPr>
          <w:rStyle w:val="CharSectno"/>
        </w:rPr>
        <w:t>152R</w:t>
      </w:r>
      <w:r>
        <w:t>.</w:t>
      </w:r>
      <w:r>
        <w:tab/>
        <w:t>Service etc. of liquor restriction declarations</w:t>
      </w:r>
      <w:bookmarkEnd w:id="702"/>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lastRenderedPageBreak/>
        <w:tab/>
        <w:t>[Section 152R inserted: No. 56 of 2010 s. 26.]</w:t>
      </w:r>
    </w:p>
    <w:p>
      <w:pPr>
        <w:pStyle w:val="Heading5"/>
      </w:pPr>
      <w:bookmarkStart w:id="703" w:name="_Toc131586624"/>
      <w:r>
        <w:rPr>
          <w:rStyle w:val="CharSectno"/>
        </w:rPr>
        <w:t>152S</w:t>
      </w:r>
      <w:r>
        <w:t>.</w:t>
      </w:r>
      <w:r>
        <w:tab/>
        <w:t>Notice of liquor restriction declaration to be displayed at premises</w:t>
      </w:r>
      <w:bookmarkEnd w:id="703"/>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lastRenderedPageBreak/>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No. 56 of 2010 s. 26; amended: No. 35 of 2015 s. 23.]</w:t>
      </w:r>
    </w:p>
    <w:p>
      <w:pPr>
        <w:pStyle w:val="Heading5"/>
        <w:spacing w:before="180"/>
      </w:pPr>
      <w:bookmarkStart w:id="704" w:name="_Toc131586625"/>
      <w:r>
        <w:rPr>
          <w:rStyle w:val="CharSectno"/>
        </w:rPr>
        <w:t>152T</w:t>
      </w:r>
      <w:r>
        <w:t>.</w:t>
      </w:r>
      <w:r>
        <w:tab/>
        <w:t>Duration of liquor restriction declarations</w:t>
      </w:r>
      <w:bookmarkEnd w:id="704"/>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No. 56 of 2010 s. 26.]</w:t>
      </w:r>
    </w:p>
    <w:p>
      <w:pPr>
        <w:pStyle w:val="Heading5"/>
        <w:spacing w:before="180"/>
      </w:pPr>
      <w:bookmarkStart w:id="705" w:name="_Toc131586626"/>
      <w:r>
        <w:rPr>
          <w:rStyle w:val="CharSectno"/>
        </w:rPr>
        <w:t>152U</w:t>
      </w:r>
      <w:r>
        <w:t>.</w:t>
      </w:r>
      <w:r>
        <w:tab/>
        <w:t>Varying liquor restriction declarations</w:t>
      </w:r>
      <w:bookmarkEnd w:id="705"/>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keepNext/>
      </w:pPr>
      <w:r>
        <w:lastRenderedPageBreak/>
        <w:tab/>
      </w:r>
      <w:r>
        <w:tab/>
        <w:t>and</w:t>
      </w:r>
    </w:p>
    <w:p>
      <w:pPr>
        <w:pStyle w:val="Indenta"/>
        <w:keepNext/>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No. 56 of 2010 s. 26.]</w:t>
      </w:r>
    </w:p>
    <w:p>
      <w:pPr>
        <w:pStyle w:val="Heading5"/>
      </w:pPr>
      <w:bookmarkStart w:id="706" w:name="_Toc131586627"/>
      <w:r>
        <w:rPr>
          <w:rStyle w:val="CharSectno"/>
        </w:rPr>
        <w:lastRenderedPageBreak/>
        <w:t>152V</w:t>
      </w:r>
      <w:r>
        <w:t>.</w:t>
      </w:r>
      <w:r>
        <w:tab/>
        <w:t>Revoking liquor restriction declarations</w:t>
      </w:r>
      <w:bookmarkEnd w:id="706"/>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No. 56 of 2010 s. 26.]</w:t>
      </w:r>
    </w:p>
    <w:p>
      <w:pPr>
        <w:pStyle w:val="Heading5"/>
      </w:pPr>
      <w:bookmarkStart w:id="707" w:name="_Toc131586628"/>
      <w:r>
        <w:rPr>
          <w:rStyle w:val="CharSectno"/>
        </w:rPr>
        <w:t>152W</w:t>
      </w:r>
      <w:r>
        <w:t>.</w:t>
      </w:r>
      <w:r>
        <w:tab/>
        <w:t>Applications generally</w:t>
      </w:r>
      <w:bookmarkEnd w:id="707"/>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lastRenderedPageBreak/>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No. 56 of 2010 s. 26.]</w:t>
      </w:r>
    </w:p>
    <w:p>
      <w:pPr>
        <w:pStyle w:val="Heading5"/>
      </w:pPr>
      <w:bookmarkStart w:id="708" w:name="_Toc131586629"/>
      <w:r>
        <w:rPr>
          <w:rStyle w:val="CharSectno"/>
        </w:rPr>
        <w:t>152X</w:t>
      </w:r>
      <w:r>
        <w:t>.</w:t>
      </w:r>
      <w:r>
        <w:tab/>
        <w:t>Decisions under Part 5B not subject to review under s. 25</w:t>
      </w:r>
      <w:bookmarkEnd w:id="708"/>
    </w:p>
    <w:p>
      <w:pPr>
        <w:pStyle w:val="Subsection"/>
      </w:pPr>
      <w:r>
        <w:tab/>
      </w:r>
      <w:r>
        <w:tab/>
        <w:t>A decision made by the Director under this Part is not subject to review under section 25.</w:t>
      </w:r>
    </w:p>
    <w:p>
      <w:pPr>
        <w:pStyle w:val="Footnotesection"/>
      </w:pPr>
      <w:r>
        <w:tab/>
        <w:t>[Section 152X inserted: No. 56 of 2010 s. 26.]</w:t>
      </w:r>
    </w:p>
    <w:p>
      <w:pPr>
        <w:pStyle w:val="Heading2"/>
      </w:pPr>
      <w:bookmarkStart w:id="709" w:name="_Toc122337043"/>
      <w:bookmarkStart w:id="710" w:name="_Toc122343014"/>
      <w:bookmarkStart w:id="711" w:name="_Toc122513425"/>
      <w:bookmarkStart w:id="712" w:name="_Toc131519988"/>
      <w:bookmarkStart w:id="713" w:name="_Toc131520548"/>
      <w:bookmarkStart w:id="714" w:name="_Toc131586630"/>
      <w:r>
        <w:rPr>
          <w:rStyle w:val="CharPartNo"/>
        </w:rPr>
        <w:lastRenderedPageBreak/>
        <w:t>Part 6</w:t>
      </w:r>
      <w:r>
        <w:rPr>
          <w:rStyle w:val="CharDivNo"/>
        </w:rPr>
        <w:t> </w:t>
      </w:r>
      <w:r>
        <w:t>—</w:t>
      </w:r>
      <w:r>
        <w:rPr>
          <w:rStyle w:val="CharDivText"/>
        </w:rPr>
        <w:t> </w:t>
      </w:r>
      <w:r>
        <w:rPr>
          <w:rStyle w:val="CharPartText"/>
        </w:rPr>
        <w:t>Enforcement</w:t>
      </w:r>
      <w:bookmarkEnd w:id="709"/>
      <w:bookmarkEnd w:id="710"/>
      <w:bookmarkEnd w:id="711"/>
      <w:bookmarkEnd w:id="712"/>
      <w:bookmarkEnd w:id="713"/>
      <w:bookmarkEnd w:id="714"/>
      <w:r>
        <w:rPr>
          <w:rStyle w:val="CharPartText"/>
        </w:rPr>
        <w:t xml:space="preserve"> </w:t>
      </w:r>
    </w:p>
    <w:p>
      <w:pPr>
        <w:pStyle w:val="Heading5"/>
        <w:rPr>
          <w:snapToGrid w:val="0"/>
        </w:rPr>
      </w:pPr>
      <w:bookmarkStart w:id="715" w:name="_Toc131586631"/>
      <w:r>
        <w:rPr>
          <w:rStyle w:val="CharSectno"/>
        </w:rPr>
        <w:t>153</w:t>
      </w:r>
      <w:r>
        <w:rPr>
          <w:snapToGrid w:val="0"/>
        </w:rPr>
        <w:t>.</w:t>
      </w:r>
      <w:r>
        <w:rPr>
          <w:snapToGrid w:val="0"/>
        </w:rPr>
        <w:tab/>
        <w:t>Authorised officers etc., functions and reports of</w:t>
      </w:r>
      <w:bookmarkEnd w:id="715"/>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lastRenderedPageBreak/>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No. 14 of 1996 s. 4; No. 73 of 2006 s. 106.] </w:t>
      </w:r>
    </w:p>
    <w:p>
      <w:pPr>
        <w:pStyle w:val="Heading5"/>
        <w:rPr>
          <w:snapToGrid w:val="0"/>
        </w:rPr>
      </w:pPr>
      <w:bookmarkStart w:id="716" w:name="_Toc131586632"/>
      <w:r>
        <w:rPr>
          <w:rStyle w:val="CharSectno"/>
        </w:rPr>
        <w:t>154</w:t>
      </w:r>
      <w:r>
        <w:rPr>
          <w:snapToGrid w:val="0"/>
        </w:rPr>
        <w:t>.</w:t>
      </w:r>
      <w:r>
        <w:rPr>
          <w:snapToGrid w:val="0"/>
        </w:rPr>
        <w:tab/>
        <w:t>Authorised officers, powers of entry etc., offences as to</w:t>
      </w:r>
      <w:bookmarkEnd w:id="716"/>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 xml:space="preserve">require any person who is in a position to provide information relating to a subsidy, or to the sale, purchase </w:t>
      </w:r>
      <w:r>
        <w:rPr>
          <w:snapToGrid w:val="0"/>
        </w:rPr>
        <w:lastRenderedPageBreak/>
        <w:t>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 xml:space="preserve">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w:t>
      </w:r>
      <w:r>
        <w:rPr>
          <w:snapToGrid w:val="0"/>
        </w:rPr>
        <w:lastRenderedPageBreak/>
        <w:t>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No. 56 of 1997 s. 47; No. 12 of 1998 s. 97(1) and (3); No. 73 of 2006 s. 110; No. 56 of 2010 s. 25 and 69.] </w:t>
      </w:r>
    </w:p>
    <w:p>
      <w:pPr>
        <w:pStyle w:val="Heading5"/>
        <w:rPr>
          <w:snapToGrid w:val="0"/>
        </w:rPr>
      </w:pPr>
      <w:bookmarkStart w:id="717" w:name="_Toc131586633"/>
      <w:r>
        <w:rPr>
          <w:rStyle w:val="CharSectno"/>
        </w:rPr>
        <w:t>155</w:t>
      </w:r>
      <w:r>
        <w:rPr>
          <w:snapToGrid w:val="0"/>
        </w:rPr>
        <w:t>.</w:t>
      </w:r>
      <w:r>
        <w:rPr>
          <w:snapToGrid w:val="0"/>
        </w:rPr>
        <w:tab/>
        <w:t>Police, powers of to enter, seize liquor etc.</w:t>
      </w:r>
      <w:bookmarkEnd w:id="717"/>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 xml:space="preserve">provide for the making of such reports to, and the bringing of such applications, complaints and objections </w:t>
      </w:r>
      <w:r>
        <w:rPr>
          <w:snapToGrid w:val="0"/>
        </w:rPr>
        <w:lastRenderedPageBreak/>
        <w:t>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(5A)</w:t>
      </w:r>
      <w:r>
        <w:tab/>
        <w:t>If a person is contravening section 109A(2) a member of the Police Force may, subject to subsection (5B), seize an opened or unopened container of liquor involved in the contravention.</w:t>
      </w:r>
    </w:p>
    <w:p>
      <w:pPr>
        <w:pStyle w:val="Subsection"/>
      </w:pPr>
      <w:r>
        <w:lastRenderedPageBreak/>
        <w:tab/>
        <w:t>(5B)</w:t>
      </w:r>
      <w:r>
        <w:tab/>
        <w:t>The total quantity of a kind of liquor in any containers seized under subsection (5A) must not exceed the seizable quantity for that kind of liquor.</w:t>
      </w:r>
    </w:p>
    <w:p>
      <w:pPr>
        <w:pStyle w:val="Subsection"/>
      </w:pPr>
      <w:r>
        <w:tab/>
        <w:t>(5C)</w:t>
      </w:r>
      <w:r>
        <w:tab/>
        <w:t xml:space="preserve">In subsection (5B) — </w:t>
      </w:r>
    </w:p>
    <w:p>
      <w:pPr>
        <w:pStyle w:val="Defstart"/>
      </w:pPr>
      <w:r>
        <w:tab/>
      </w:r>
      <w:r>
        <w:rPr>
          <w:rStyle w:val="CharDefText"/>
        </w:rPr>
        <w:t>seizable quantity</w:t>
      </w:r>
      <w:r>
        <w:t>, for a kind of liquor, means the quantity representing the difference between the total quantity of that kind of liquor involved in the contravention and the quantity prescribed for that kind of liquor under section 109A(2).</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suspects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lastRenderedPageBreak/>
        <w:tab/>
        <w:t>(9)</w:t>
      </w:r>
      <w:r>
        <w:tab/>
        <w:t>Despite subsection (5), a member of the Police Force who seizes a container of liquor under subsection (5A), (6), (7), (8) or (9A) must dispose of it as soon as is practicable after it is seized.</w:t>
      </w:r>
    </w:p>
    <w:p>
      <w:pPr>
        <w:pStyle w:val="Footnotesection"/>
      </w:pPr>
      <w:r>
        <w:tab/>
        <w:t>[Section 155 amended: No. 70 of 2004 s. 82; No. 59 of 2006 s. 55; No. 73 of 2006 s. 98 and 109; No. 56 of 2010 s. 65; No. 35 of 2015 s. 24; No. 9 of 2018 s. 62.]</w:t>
      </w:r>
    </w:p>
    <w:p>
      <w:pPr>
        <w:pStyle w:val="Heading5"/>
        <w:rPr>
          <w:snapToGrid w:val="0"/>
        </w:rPr>
      </w:pPr>
      <w:bookmarkStart w:id="718" w:name="_Toc131586634"/>
      <w:r>
        <w:rPr>
          <w:rStyle w:val="CharSectno"/>
        </w:rPr>
        <w:t>156</w:t>
      </w:r>
      <w:r>
        <w:rPr>
          <w:snapToGrid w:val="0"/>
        </w:rPr>
        <w:t>.</w:t>
      </w:r>
      <w:r>
        <w:rPr>
          <w:snapToGrid w:val="0"/>
        </w:rPr>
        <w:tab/>
        <w:t>Local governments, functions of</w:t>
      </w:r>
      <w:bookmarkEnd w:id="718"/>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No. 14 of 1996 s. 4; No. 84 of 2004 s. 80.] </w:t>
      </w:r>
    </w:p>
    <w:p>
      <w:pPr>
        <w:pStyle w:val="Heading5"/>
        <w:rPr>
          <w:snapToGrid w:val="0"/>
        </w:rPr>
      </w:pPr>
      <w:bookmarkStart w:id="719" w:name="_Toc131586635"/>
      <w:r>
        <w:rPr>
          <w:rStyle w:val="CharSectno"/>
        </w:rPr>
        <w:t>157</w:t>
      </w:r>
      <w:r>
        <w:rPr>
          <w:snapToGrid w:val="0"/>
        </w:rPr>
        <w:t>.</w:t>
      </w:r>
      <w:r>
        <w:rPr>
          <w:snapToGrid w:val="0"/>
        </w:rPr>
        <w:tab/>
        <w:t>Evasion of fees due etc., offence</w:t>
      </w:r>
      <w:bookmarkEnd w:id="719"/>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No. 12 of 1998 s. 87; No. 84 of 2004 s. 80; No. 56 of 2010 s. 69.] </w:t>
      </w:r>
    </w:p>
    <w:p>
      <w:pPr>
        <w:pStyle w:val="Heading5"/>
        <w:rPr>
          <w:snapToGrid w:val="0"/>
        </w:rPr>
      </w:pPr>
      <w:bookmarkStart w:id="720" w:name="_Toc131586636"/>
      <w:r>
        <w:rPr>
          <w:rStyle w:val="CharSectno"/>
        </w:rPr>
        <w:lastRenderedPageBreak/>
        <w:t>158</w:t>
      </w:r>
      <w:r>
        <w:rPr>
          <w:snapToGrid w:val="0"/>
        </w:rPr>
        <w:t>.</w:t>
      </w:r>
      <w:r>
        <w:rPr>
          <w:snapToGrid w:val="0"/>
        </w:rPr>
        <w:tab/>
        <w:t>Failing to comply with licensing authority’s requirements etc., offence</w:t>
      </w:r>
      <w:bookmarkEnd w:id="720"/>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No. 73 of 2006 s. 110; No. 56 of 2010 s. 69.]</w:t>
      </w:r>
    </w:p>
    <w:p>
      <w:pPr>
        <w:pStyle w:val="Heading5"/>
        <w:rPr>
          <w:snapToGrid w:val="0"/>
        </w:rPr>
      </w:pPr>
      <w:bookmarkStart w:id="721" w:name="_Toc131586637"/>
      <w:r>
        <w:rPr>
          <w:rStyle w:val="CharSectno"/>
        </w:rPr>
        <w:t>159</w:t>
      </w:r>
      <w:r>
        <w:rPr>
          <w:snapToGrid w:val="0"/>
        </w:rPr>
        <w:t>.</w:t>
      </w:r>
      <w:r>
        <w:rPr>
          <w:snapToGrid w:val="0"/>
        </w:rPr>
        <w:tab/>
        <w:t>False or misleading statements and records, offence</w:t>
      </w:r>
      <w:bookmarkEnd w:id="721"/>
    </w:p>
    <w:p>
      <w:pPr>
        <w:pStyle w:val="Subsection"/>
        <w:keepNext/>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lastRenderedPageBreak/>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No. 73 of 2006 s. 110; No. 56 of 2010 s. 69.]</w:t>
      </w:r>
    </w:p>
    <w:p>
      <w:pPr>
        <w:pStyle w:val="Heading5"/>
        <w:rPr>
          <w:snapToGrid w:val="0"/>
        </w:rPr>
      </w:pPr>
      <w:bookmarkStart w:id="722" w:name="_Toc131586638"/>
      <w:r>
        <w:rPr>
          <w:rStyle w:val="CharSectno"/>
        </w:rPr>
        <w:t>160</w:t>
      </w:r>
      <w:r>
        <w:rPr>
          <w:snapToGrid w:val="0"/>
        </w:rPr>
        <w:t>.</w:t>
      </w:r>
      <w:r>
        <w:rPr>
          <w:snapToGrid w:val="0"/>
        </w:rPr>
        <w:tab/>
        <w:t>Information about offences, power to obtain</w:t>
      </w:r>
      <w:bookmarkEnd w:id="722"/>
    </w:p>
    <w:p>
      <w:pPr>
        <w:pStyle w:val="Subsection"/>
        <w:keepNext/>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w:t>
      </w:r>
      <w:r>
        <w:rPr>
          <w:snapToGrid w:val="0"/>
        </w:rPr>
        <w:lastRenderedPageBreak/>
        <w:t xml:space="preserve">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No. 12 of 1998 s. 88; No. 73 of 2006 s. 110; No. 56 of 2010 s. 69; No. 35 of 2015 s. 25.] </w:t>
      </w:r>
    </w:p>
    <w:p>
      <w:pPr>
        <w:pStyle w:val="Heading5"/>
        <w:spacing w:before="180"/>
        <w:rPr>
          <w:snapToGrid w:val="0"/>
        </w:rPr>
      </w:pPr>
      <w:bookmarkStart w:id="723" w:name="_Toc131586639"/>
      <w:r>
        <w:rPr>
          <w:rStyle w:val="CharSectno"/>
        </w:rPr>
        <w:t>161</w:t>
      </w:r>
      <w:r>
        <w:rPr>
          <w:snapToGrid w:val="0"/>
        </w:rPr>
        <w:t>.</w:t>
      </w:r>
      <w:r>
        <w:rPr>
          <w:snapToGrid w:val="0"/>
        </w:rPr>
        <w:tab/>
        <w:t>Search warrants, issue and execution of</w:t>
      </w:r>
      <w:bookmarkEnd w:id="723"/>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xml:space="preserve">, that there is reason to suspect that liquor is kept on any premises for purposes contravening section 109, 110 or 111 or that there are on the premises records which are relevant to the assessment of a subsidy the justice may, by </w:t>
      </w:r>
      <w:r>
        <w:rPr>
          <w:snapToGrid w:val="0"/>
        </w:rPr>
        <w:lastRenderedPageBreak/>
        <w:t>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lastRenderedPageBreak/>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lastRenderedPageBreak/>
        <w:tab/>
        <w:t xml:space="preserve">[Section 161 amended: No. 56 of 1997 s. 48; No. 84 of 2004 s. 80; No. 73 of 2006 s. 109 and 110; No. 56 of 2010 s. 69.] </w:t>
      </w:r>
    </w:p>
    <w:p>
      <w:pPr>
        <w:pStyle w:val="Heading5"/>
        <w:rPr>
          <w:snapToGrid w:val="0"/>
        </w:rPr>
      </w:pPr>
      <w:bookmarkStart w:id="724" w:name="_Toc131586640"/>
      <w:r>
        <w:rPr>
          <w:rStyle w:val="CharSectno"/>
        </w:rPr>
        <w:t>162</w:t>
      </w:r>
      <w:r>
        <w:rPr>
          <w:snapToGrid w:val="0"/>
        </w:rPr>
        <w:t>.</w:t>
      </w:r>
      <w:r>
        <w:rPr>
          <w:snapToGrid w:val="0"/>
        </w:rPr>
        <w:tab/>
        <w:t>Separate offences and continuing offences</w:t>
      </w:r>
      <w:bookmarkEnd w:id="72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No. 84 of 2004 s. 80.] </w:t>
      </w:r>
    </w:p>
    <w:p>
      <w:pPr>
        <w:pStyle w:val="Heading5"/>
        <w:rPr>
          <w:snapToGrid w:val="0"/>
        </w:rPr>
      </w:pPr>
      <w:bookmarkStart w:id="725" w:name="_Toc131586641"/>
      <w:r>
        <w:rPr>
          <w:rStyle w:val="CharSectno"/>
        </w:rPr>
        <w:t>163</w:t>
      </w:r>
      <w:r>
        <w:rPr>
          <w:snapToGrid w:val="0"/>
        </w:rPr>
        <w:t>.</w:t>
      </w:r>
      <w:r>
        <w:rPr>
          <w:snapToGrid w:val="0"/>
        </w:rPr>
        <w:tab/>
        <w:t>Sale of liquor, presumption of in some cases</w:t>
      </w:r>
      <w:bookmarkEnd w:id="725"/>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726" w:name="_Toc131586642"/>
      <w:r>
        <w:rPr>
          <w:rStyle w:val="CharSectno"/>
        </w:rPr>
        <w:t>164</w:t>
      </w:r>
      <w:r>
        <w:rPr>
          <w:snapToGrid w:val="0"/>
        </w:rPr>
        <w:t>.</w:t>
      </w:r>
      <w:r>
        <w:rPr>
          <w:snapToGrid w:val="0"/>
        </w:rPr>
        <w:tab/>
      </w:r>
      <w:r>
        <w:t>Offences by bodies corporate and partnerships</w:t>
      </w:r>
      <w:bookmarkEnd w:id="726"/>
    </w:p>
    <w:p>
      <w:pPr>
        <w:pStyle w:val="Subsection"/>
        <w:keepNext/>
        <w:rPr>
          <w:snapToGrid w:val="0"/>
        </w:rPr>
      </w:pPr>
      <w:r>
        <w:rPr>
          <w:snapToGrid w:val="0"/>
        </w:rPr>
        <w:tab/>
        <w:t>(1)</w:t>
      </w:r>
      <w:r>
        <w:rPr>
          <w:snapToGrid w:val="0"/>
        </w:rPr>
        <w:tab/>
        <w:t>Where an offence under this Act is found to have been committed by a body corporate, then — </w:t>
      </w:r>
    </w:p>
    <w:p>
      <w:pPr>
        <w:pStyle w:val="Ednotepara"/>
      </w:pPr>
      <w:r>
        <w:tab/>
        <w:t>[(a)</w:t>
      </w:r>
      <w:r>
        <w:tab/>
        <w:t>deleted]</w:t>
      </w:r>
    </w:p>
    <w:p>
      <w:pPr>
        <w:pStyle w:val="Indenta"/>
      </w:pPr>
      <w:r>
        <w:lastRenderedPageBreak/>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 xml:space="preserve">and </w:t>
      </w:r>
      <w:r>
        <w:t>the manager</w:t>
      </w:r>
      <w:r>
        <w:rPr>
          <w:snapToGrid w:val="0"/>
        </w:rPr>
        <w:t xml:space="preserve"> shall be liable to the same penalty as is prescribed for the principal offence.</w:t>
      </w:r>
    </w:p>
    <w:p>
      <w:pPr>
        <w:pStyle w:val="Subsection"/>
        <w:keepNext/>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keepNext/>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keepNext/>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keepNext/>
      </w:pPr>
      <w:r>
        <w:tab/>
        <w:t>(b)</w:t>
      </w:r>
      <w:r>
        <w:tab/>
        <w:t xml:space="preserve">the Commission may impose a penalty under section 96 on any manager who was supervising and managing the premises at the time </w:t>
      </w:r>
      <w:r>
        <w:rPr>
          <w:snapToGrid w:val="0"/>
        </w:rPr>
        <w:t xml:space="preserve">the grounds upon which the </w:t>
      </w:r>
      <w:r>
        <w:rPr>
          <w:snapToGrid w:val="0"/>
        </w:rPr>
        <w:lastRenderedPageBreak/>
        <w:t>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keepNext/>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keepNext/>
        <w:rPr>
          <w:snapToGrid w:val="0"/>
        </w:rPr>
      </w:pPr>
      <w:r>
        <w:rPr>
          <w:snapToGrid w:val="0"/>
        </w:rPr>
        <w:tab/>
        <w:t>(5)</w:t>
      </w:r>
      <w:r>
        <w:rPr>
          <w:snapToGrid w:val="0"/>
        </w:rPr>
        <w:tab/>
        <w:t xml:space="preserve">A person referred to in this section may, on the request of the complainant or prosecutor be dealt with in the same proceedings as the body corporate is dealt with if the court is satisfied that </w:t>
      </w:r>
      <w:r>
        <w:rPr>
          <w:snapToGrid w:val="0"/>
        </w:rPr>
        <w:lastRenderedPageBreak/>
        <w:t>the person had reasonable notice that the complainant or prosecutor intended to make that request.</w:t>
      </w:r>
    </w:p>
    <w:p>
      <w:pPr>
        <w:pStyle w:val="Footnotesection"/>
        <w:spacing w:before="100"/>
        <w:ind w:left="890" w:hanging="890"/>
      </w:pPr>
      <w:r>
        <w:tab/>
        <w:t xml:space="preserve">[Section 164 amended: No. 12 of 1998 s. 89; No. 10 of 2001 s. 220; No. 84 of 2004 s. 80; No. 73 of 2006 s. 106; No. 56 of 2010 s. 20; No. 9 of 2023 s. 93.] </w:t>
      </w:r>
    </w:p>
    <w:p>
      <w:pPr>
        <w:pStyle w:val="Heading5"/>
      </w:pPr>
      <w:bookmarkStart w:id="727" w:name="_Toc130918468"/>
      <w:bookmarkStart w:id="728" w:name="_Toc131586643"/>
      <w:r>
        <w:rPr>
          <w:rStyle w:val="CharSectno"/>
        </w:rPr>
        <w:t>164A</w:t>
      </w:r>
      <w:r>
        <w:t>.</w:t>
      </w:r>
      <w:r>
        <w:tab/>
        <w:t>Liability of officers for offence by body corporate</w:t>
      </w:r>
      <w:bookmarkEnd w:id="727"/>
      <w:bookmarkEnd w:id="728"/>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36"/>
        <w:gridCol w:w="2637"/>
      </w:tblGrid>
      <w:tr>
        <w:tc>
          <w:tcPr>
            <w:tcW w:w="2636" w:type="dxa"/>
            <w:noWrap/>
          </w:tcPr>
          <w:p>
            <w:pPr>
              <w:pStyle w:val="TableNAm"/>
            </w:pPr>
            <w:r>
              <w:t>s. 37A</w:t>
            </w:r>
          </w:p>
        </w:tc>
        <w:tc>
          <w:tcPr>
            <w:tcW w:w="2637" w:type="dxa"/>
            <w:noWrap/>
          </w:tcPr>
          <w:p>
            <w:pPr>
              <w:pStyle w:val="TableNAm"/>
            </w:pPr>
            <w:r>
              <w:t>s. 77(1)</w:t>
            </w:r>
          </w:p>
        </w:tc>
      </w:tr>
      <w:tr>
        <w:tc>
          <w:tcPr>
            <w:tcW w:w="2636" w:type="dxa"/>
            <w:noWrap/>
          </w:tcPr>
          <w:p>
            <w:pPr>
              <w:pStyle w:val="TableNAm"/>
            </w:pPr>
            <w:r>
              <w:t>s. 100(2), (2a) and (8)</w:t>
            </w:r>
          </w:p>
        </w:tc>
        <w:tc>
          <w:tcPr>
            <w:tcW w:w="2637" w:type="dxa"/>
            <w:noWrap/>
          </w:tcPr>
          <w:p>
            <w:pPr>
              <w:pStyle w:val="TableNAm"/>
            </w:pPr>
            <w:r>
              <w:t>s. 101(3)</w:t>
            </w:r>
          </w:p>
        </w:tc>
      </w:tr>
      <w:tr>
        <w:tc>
          <w:tcPr>
            <w:tcW w:w="2636" w:type="dxa"/>
            <w:noWrap/>
          </w:tcPr>
          <w:p>
            <w:pPr>
              <w:pStyle w:val="TableNAm"/>
            </w:pPr>
            <w:r>
              <w:t>s. 102(1)</w:t>
            </w:r>
          </w:p>
        </w:tc>
        <w:tc>
          <w:tcPr>
            <w:tcW w:w="2637" w:type="dxa"/>
            <w:noWrap/>
          </w:tcPr>
          <w:p>
            <w:pPr>
              <w:pStyle w:val="TableNAm"/>
            </w:pPr>
            <w:r>
              <w:t>s. 104(1)</w:t>
            </w:r>
          </w:p>
        </w:tc>
      </w:tr>
      <w:tr>
        <w:tc>
          <w:tcPr>
            <w:tcW w:w="2636" w:type="dxa"/>
            <w:noWrap/>
          </w:tcPr>
          <w:p>
            <w:pPr>
              <w:pStyle w:val="TableNAm"/>
            </w:pPr>
            <w:r>
              <w:t>s. 106(1) and (3)</w:t>
            </w:r>
          </w:p>
        </w:tc>
        <w:tc>
          <w:tcPr>
            <w:tcW w:w="2637" w:type="dxa"/>
            <w:noWrap/>
          </w:tcPr>
          <w:p>
            <w:pPr>
              <w:pStyle w:val="TableNAm"/>
            </w:pPr>
            <w:r>
              <w:t>s. 109(4A)</w:t>
            </w:r>
          </w:p>
        </w:tc>
      </w:tr>
      <w:tr>
        <w:tc>
          <w:tcPr>
            <w:tcW w:w="2636" w:type="dxa"/>
            <w:noWrap/>
          </w:tcPr>
          <w:p>
            <w:pPr>
              <w:pStyle w:val="TableNAm"/>
            </w:pPr>
            <w:r>
              <w:t>s. 110(1), (2), (3) and (7)</w:t>
            </w:r>
          </w:p>
        </w:tc>
        <w:tc>
          <w:tcPr>
            <w:tcW w:w="2637" w:type="dxa"/>
            <w:noWrap/>
          </w:tcPr>
          <w:p>
            <w:pPr>
              <w:pStyle w:val="TableNAm"/>
            </w:pPr>
            <w:r>
              <w:t>s. 115(1) and (2)</w:t>
            </w:r>
          </w:p>
        </w:tc>
      </w:tr>
      <w:tr>
        <w:tc>
          <w:tcPr>
            <w:tcW w:w="2636" w:type="dxa"/>
            <w:noWrap/>
          </w:tcPr>
          <w:p>
            <w:pPr>
              <w:pStyle w:val="TableNAm"/>
            </w:pPr>
            <w:r>
              <w:t>s. 117(7)</w:t>
            </w:r>
          </w:p>
        </w:tc>
        <w:tc>
          <w:tcPr>
            <w:tcW w:w="2637" w:type="dxa"/>
            <w:noWrap/>
          </w:tcPr>
          <w:p>
            <w:pPr>
              <w:pStyle w:val="TableNAm"/>
            </w:pPr>
            <w:r>
              <w:t>s. 119A(5)</w:t>
            </w:r>
          </w:p>
        </w:tc>
      </w:tr>
      <w:tr>
        <w:tc>
          <w:tcPr>
            <w:tcW w:w="2636" w:type="dxa"/>
            <w:noWrap/>
          </w:tcPr>
          <w:p>
            <w:pPr>
              <w:pStyle w:val="TableNAm"/>
            </w:pPr>
            <w:r>
              <w:t>s. 121(1) and (2)</w:t>
            </w:r>
          </w:p>
        </w:tc>
        <w:tc>
          <w:tcPr>
            <w:tcW w:w="2637" w:type="dxa"/>
            <w:noWrap/>
          </w:tcPr>
          <w:p>
            <w:pPr>
              <w:pStyle w:val="TableNAm"/>
            </w:pPr>
            <w:r>
              <w:t>s. 122(2)</w:t>
            </w:r>
          </w:p>
        </w:tc>
      </w:tr>
      <w:tr>
        <w:tc>
          <w:tcPr>
            <w:tcW w:w="2636" w:type="dxa"/>
            <w:noWrap/>
          </w:tcPr>
          <w:p>
            <w:pPr>
              <w:pStyle w:val="TableNAm"/>
            </w:pPr>
            <w:r>
              <w:t>s. 126D(2)</w:t>
            </w:r>
          </w:p>
        </w:tc>
        <w:tc>
          <w:tcPr>
            <w:tcW w:w="2637" w:type="dxa"/>
            <w:noWrap/>
          </w:tcPr>
          <w:p>
            <w:pPr>
              <w:pStyle w:val="TableNAm"/>
            </w:pPr>
            <w:r>
              <w:t>s. 152M</w:t>
            </w:r>
          </w:p>
        </w:tc>
      </w:tr>
      <w:tr>
        <w:tc>
          <w:tcPr>
            <w:tcW w:w="2636" w:type="dxa"/>
            <w:noWrap/>
          </w:tcPr>
          <w:p>
            <w:pPr>
              <w:pStyle w:val="TableNAm"/>
              <w:keepNext/>
            </w:pPr>
            <w:r>
              <w:t>s. 154(3)</w:t>
            </w:r>
          </w:p>
        </w:tc>
        <w:tc>
          <w:tcPr>
            <w:tcW w:w="2637" w:type="dxa"/>
            <w:noWrap/>
          </w:tcPr>
          <w:p>
            <w:pPr>
              <w:pStyle w:val="TableNAm"/>
              <w:keepNext/>
            </w:pPr>
          </w:p>
        </w:tc>
      </w:tr>
    </w:tbl>
    <w:p>
      <w:pPr>
        <w:pStyle w:val="Footnotesection"/>
        <w:spacing w:before="100"/>
        <w:ind w:left="890" w:hanging="890"/>
      </w:pPr>
      <w:r>
        <w:tab/>
        <w:t xml:space="preserve">[Section 164A inserted: No. 9 of 2023 s. 94.] </w:t>
      </w:r>
    </w:p>
    <w:p>
      <w:pPr>
        <w:pStyle w:val="Heading5"/>
        <w:rPr>
          <w:snapToGrid w:val="0"/>
        </w:rPr>
      </w:pPr>
      <w:bookmarkStart w:id="729" w:name="_Toc131586644"/>
      <w:r>
        <w:rPr>
          <w:rStyle w:val="CharSectno"/>
        </w:rPr>
        <w:t>165</w:t>
      </w:r>
      <w:r>
        <w:rPr>
          <w:snapToGrid w:val="0"/>
        </w:rPr>
        <w:t>.</w:t>
      </w:r>
      <w:r>
        <w:rPr>
          <w:snapToGrid w:val="0"/>
        </w:rPr>
        <w:tab/>
        <w:t>Licensee liable for act of employee etc.</w:t>
      </w:r>
      <w:bookmarkEnd w:id="729"/>
      <w:r>
        <w:rPr>
          <w:snapToGrid w:val="0"/>
        </w:rPr>
        <w:t xml:space="preserve"> </w:t>
      </w:r>
    </w:p>
    <w:p>
      <w:pPr>
        <w:pStyle w:val="Subsection"/>
        <w:rPr>
          <w:snapToGrid w:val="0"/>
        </w:rPr>
      </w:pPr>
      <w:r>
        <w:rPr>
          <w:snapToGrid w:val="0"/>
        </w:rPr>
        <w:tab/>
        <w:t>(1)</w:t>
      </w:r>
      <w:r>
        <w:rPr>
          <w:snapToGrid w:val="0"/>
        </w:rPr>
        <w:tab/>
        <w:t xml:space="preserve">Where, in contravention of this Act, an employee or agent of the licensee, or a person acting, or purporting to act, on behalf of the licensee, commits an offence for which the licensee would have been liable had it been committed by the licensee on the </w:t>
      </w:r>
      <w:r>
        <w:rPr>
          <w:snapToGrid w:val="0"/>
        </w:rPr>
        <w:lastRenderedPageBreak/>
        <w:t>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keepNext/>
      </w:pPr>
      <w:r>
        <w:tab/>
        <w:t>(4)</w:t>
      </w:r>
      <w:r>
        <w:tab/>
        <w:t xml:space="preserve">In this section — </w:t>
      </w:r>
    </w:p>
    <w:p>
      <w:pPr>
        <w:pStyle w:val="Defstart"/>
        <w:keepNex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keepNext/>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No. 84 of 2004 s. 80; No. 73 of 2006 s. 99.] </w:t>
      </w:r>
    </w:p>
    <w:p>
      <w:pPr>
        <w:pStyle w:val="Heading5"/>
        <w:rPr>
          <w:snapToGrid w:val="0"/>
        </w:rPr>
      </w:pPr>
      <w:bookmarkStart w:id="730" w:name="_Toc131586645"/>
      <w:r>
        <w:rPr>
          <w:rStyle w:val="CharSectno"/>
        </w:rPr>
        <w:t>166</w:t>
      </w:r>
      <w:r>
        <w:rPr>
          <w:snapToGrid w:val="0"/>
        </w:rPr>
        <w:t>.</w:t>
      </w:r>
      <w:r>
        <w:rPr>
          <w:snapToGrid w:val="0"/>
        </w:rPr>
        <w:tab/>
        <w:t>General penalty</w:t>
      </w:r>
      <w:bookmarkEnd w:id="730"/>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keepNext/>
        <w:rPr>
          <w:snapToGrid w:val="0"/>
        </w:rPr>
      </w:pPr>
      <w:r>
        <w:rPr>
          <w:snapToGrid w:val="0"/>
        </w:rPr>
        <w:lastRenderedPageBreak/>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No. 73 of 2006 s. 110; No. 56 of 2010 s. 66.]</w:t>
      </w:r>
    </w:p>
    <w:p>
      <w:pPr>
        <w:pStyle w:val="Heading5"/>
        <w:rPr>
          <w:snapToGrid w:val="0"/>
        </w:rPr>
      </w:pPr>
      <w:bookmarkStart w:id="731" w:name="_Toc131586646"/>
      <w:r>
        <w:rPr>
          <w:rStyle w:val="CharSectno"/>
        </w:rPr>
        <w:t>167</w:t>
      </w:r>
      <w:r>
        <w:rPr>
          <w:snapToGrid w:val="0"/>
        </w:rPr>
        <w:t>.</w:t>
      </w:r>
      <w:r>
        <w:rPr>
          <w:snapToGrid w:val="0"/>
        </w:rPr>
        <w:tab/>
        <w:t>Infringement notices</w:t>
      </w:r>
      <w:bookmarkEnd w:id="73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tab/>
      </w:r>
      <w:r>
        <w:rPr>
          <w:rStyle w:val="CharDefText"/>
        </w:rPr>
        <w:t>approved form</w:t>
      </w:r>
      <w:r>
        <w:t xml:space="preserve"> means the form approved by the Director;</w:t>
      </w:r>
    </w:p>
    <w:p>
      <w:pPr>
        <w:pStyle w:val="Defstart"/>
      </w:pPr>
      <w:r>
        <w:rPr>
          <w:b/>
        </w:rPr>
        <w:tab/>
      </w:r>
      <w:r>
        <w:rPr>
          <w:rStyle w:val="CharDefText"/>
        </w:rPr>
        <w:t>infringement notice</w:t>
      </w:r>
      <w:r>
        <w:t xml:space="preserve"> means an infringement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keepNext/>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keepNext/>
        <w:rPr>
          <w:snapToGrid w:val="0"/>
        </w:rPr>
      </w:pPr>
      <w:r>
        <w:rPr>
          <w:snapToGrid w:val="0"/>
        </w:rPr>
        <w:tab/>
        <w:t>(b)</w:t>
      </w:r>
      <w:r>
        <w:rPr>
          <w:snapToGrid w:val="0"/>
        </w:rPr>
        <w:tab/>
        <w:t xml:space="preserve">is guilty of an offence by virtue of </w:t>
      </w:r>
      <w:r>
        <w:t xml:space="preserve">section 101, 164, 164A or 165 </w:t>
      </w:r>
      <w:r>
        <w:rPr>
          <w:snapToGrid w:val="0"/>
        </w:rPr>
        <w:t>in relation to any such offence,</w:t>
      </w:r>
    </w:p>
    <w:p>
      <w:pPr>
        <w:pStyle w:val="Subsection"/>
        <w:rPr>
          <w:snapToGrid w:val="0"/>
        </w:rPr>
      </w:pPr>
      <w:r>
        <w:rPr>
          <w:snapToGrid w:val="0"/>
        </w:rPr>
        <w:tab/>
      </w:r>
      <w:r>
        <w:rPr>
          <w:snapToGrid w:val="0"/>
        </w:rPr>
        <w:tab/>
        <w:t xml:space="preserve">may give to that person </w:t>
      </w:r>
      <w:r>
        <w:t>an infringement notice.</w:t>
      </w:r>
    </w:p>
    <w:p>
      <w:pPr>
        <w:pStyle w:val="Subsection"/>
        <w:keepNext/>
      </w:pPr>
      <w:r>
        <w:tab/>
        <w:t>(2A)</w:t>
      </w:r>
      <w:r>
        <w:tab/>
        <w:t xml:space="preserve">An infringement notice must be in the approved form and must —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of money specified in the notice as being the modified </w:t>
      </w:r>
      <w:r>
        <w:lastRenderedPageBreak/>
        <w:t>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 xml:space="preserve">The Director may, whether or not the modified penalty has been paid, withdraw an infringement notice within 2 years after it was given by sending to the alleged offender a notice in the </w:t>
      </w:r>
      <w:r>
        <w:t>approved</w:t>
      </w:r>
      <w:r>
        <w:rPr>
          <w:snapToGrid w:val="0"/>
        </w:rPr>
        <w:t xml:space="preserve">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keepNext/>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keepNext/>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 xml:space="preserve">proceedings which might have been brought or a penalty which might have been imposed even if a </w:t>
      </w:r>
      <w:r>
        <w:rPr>
          <w:snapToGrid w:val="0"/>
        </w:rPr>
        <w:lastRenderedPageBreak/>
        <w:t>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keepNext/>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No. 84 of 2004 s. 80; No. 73 of 2006 s. 100; No. 9 of 2018 s. 63; No. 9 of 2023 s. 95.] </w:t>
      </w:r>
    </w:p>
    <w:p>
      <w:pPr>
        <w:pStyle w:val="Heading5"/>
        <w:spacing w:before="180"/>
        <w:rPr>
          <w:snapToGrid w:val="0"/>
        </w:rPr>
      </w:pPr>
      <w:bookmarkStart w:id="732" w:name="_Toc131586647"/>
      <w:r>
        <w:rPr>
          <w:rStyle w:val="CharSectno"/>
        </w:rPr>
        <w:t>168</w:t>
      </w:r>
      <w:r>
        <w:rPr>
          <w:snapToGrid w:val="0"/>
        </w:rPr>
        <w:t>.</w:t>
      </w:r>
      <w:r>
        <w:rPr>
          <w:snapToGrid w:val="0"/>
        </w:rPr>
        <w:tab/>
        <w:t>Prosecutions, institution of</w:t>
      </w:r>
      <w:bookmarkEnd w:id="732"/>
    </w:p>
    <w:p>
      <w:pPr>
        <w:pStyle w:val="Subsection"/>
        <w:keepNext/>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keepNext/>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No. 84 of 2004 s. 80.] </w:t>
      </w:r>
    </w:p>
    <w:p>
      <w:pPr>
        <w:pStyle w:val="Heading5"/>
        <w:spacing w:before="180"/>
        <w:rPr>
          <w:snapToGrid w:val="0"/>
        </w:rPr>
      </w:pPr>
      <w:bookmarkStart w:id="733" w:name="_Toc131586648"/>
      <w:r>
        <w:rPr>
          <w:rStyle w:val="CharSectno"/>
        </w:rPr>
        <w:lastRenderedPageBreak/>
        <w:t>169</w:t>
      </w:r>
      <w:r>
        <w:rPr>
          <w:snapToGrid w:val="0"/>
        </w:rPr>
        <w:t>.</w:t>
      </w:r>
      <w:r>
        <w:rPr>
          <w:snapToGrid w:val="0"/>
        </w:rPr>
        <w:tab/>
        <w:t>Prosecutions, hearing of and limitation periods for</w:t>
      </w:r>
      <w:bookmarkEnd w:id="733"/>
    </w:p>
    <w:p>
      <w:pPr>
        <w:pStyle w:val="Subsection"/>
        <w:keepNext/>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keepNext/>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No. 56 of 1997 s. 26(4); No. 12 of 1998 s. 91; No. 59 of 2004 s. 141; No. 84 of 2004 s. 82; No. 56 of 2010 s. 67.] </w:t>
      </w:r>
    </w:p>
    <w:p>
      <w:pPr>
        <w:pStyle w:val="Heading5"/>
        <w:rPr>
          <w:snapToGrid w:val="0"/>
        </w:rPr>
      </w:pPr>
      <w:bookmarkStart w:id="734" w:name="_Toc131586649"/>
      <w:r>
        <w:rPr>
          <w:rStyle w:val="CharSectno"/>
        </w:rPr>
        <w:t>170</w:t>
      </w:r>
      <w:r>
        <w:rPr>
          <w:snapToGrid w:val="0"/>
        </w:rPr>
        <w:t>.</w:t>
      </w:r>
      <w:r>
        <w:rPr>
          <w:snapToGrid w:val="0"/>
        </w:rPr>
        <w:tab/>
        <w:t>Evidentiary provisions as to proof of certain facts</w:t>
      </w:r>
      <w:bookmarkEnd w:id="734"/>
    </w:p>
    <w:p>
      <w:pPr>
        <w:pStyle w:val="Subsection"/>
        <w:keepNext/>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 xml:space="preserve">where the offence alleged is a contravention of section 111, liquor shall be deemed to have been sold or consumed on the licensed premises to which the proceedings relate notwithstanding that it is proved that the licensee took or carried, or employed or suffered </w:t>
      </w:r>
      <w:r>
        <w:rPr>
          <w:snapToGrid w:val="0"/>
        </w:rPr>
        <w:lastRenderedPageBreak/>
        <w:t>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 xml:space="preserve">where the offence alleged is a contravention of section 100(2)(c), </w:t>
      </w:r>
      <w:r>
        <w:t xml:space="preserve">a person is taken not to have been appointed </w:t>
      </w:r>
      <w:r>
        <w:rPr>
          <w:snapToGrid w:val="0"/>
        </w:rPr>
        <w:t>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keepNext/>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keepNext/>
        <w:rPr>
          <w:snapToGrid w:val="0"/>
        </w:rPr>
      </w:pPr>
      <w:r>
        <w:rPr>
          <w:snapToGrid w:val="0"/>
        </w:rPr>
        <w:lastRenderedPageBreak/>
        <w:tab/>
        <w:t>(ii)</w:t>
      </w:r>
      <w:r>
        <w:rPr>
          <w:snapToGrid w:val="0"/>
        </w:rPr>
        <w:tab/>
        <w:t>the sale or consumption of liquor on unlicensed premises,</w:t>
      </w:r>
    </w:p>
    <w:p>
      <w:pPr>
        <w:pStyle w:val="Subsection"/>
        <w:keepNext/>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No. 12 of 1998 s. 92; No. 84 of 2004 s. 82; No. 9 of 2018 s. 64.] </w:t>
      </w:r>
    </w:p>
    <w:p>
      <w:pPr>
        <w:pStyle w:val="Heading5"/>
        <w:rPr>
          <w:snapToGrid w:val="0"/>
        </w:rPr>
      </w:pPr>
      <w:bookmarkStart w:id="735" w:name="_Toc131586650"/>
      <w:r>
        <w:rPr>
          <w:rStyle w:val="CharSectno"/>
        </w:rPr>
        <w:t>171</w:t>
      </w:r>
      <w:r>
        <w:rPr>
          <w:snapToGrid w:val="0"/>
        </w:rPr>
        <w:t>.</w:t>
      </w:r>
      <w:r>
        <w:rPr>
          <w:snapToGrid w:val="0"/>
        </w:rPr>
        <w:tab/>
        <w:t>Accomplices, who are not, evidence of</w:t>
      </w:r>
      <w:bookmarkEnd w:id="735"/>
    </w:p>
    <w:p>
      <w:pPr>
        <w:pStyle w:val="Subsection"/>
        <w:keepNext/>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keepNext/>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keepNext/>
        <w:rPr>
          <w:snapToGrid w:val="0"/>
        </w:rPr>
      </w:pPr>
      <w:r>
        <w:rPr>
          <w:snapToGrid w:val="0"/>
        </w:rPr>
        <w:lastRenderedPageBreak/>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No. 84 of 2004 s. 80 and 82.] </w:t>
      </w:r>
    </w:p>
    <w:p>
      <w:pPr>
        <w:pStyle w:val="Heading5"/>
        <w:spacing w:before="260"/>
        <w:rPr>
          <w:snapToGrid w:val="0"/>
        </w:rPr>
      </w:pPr>
      <w:bookmarkStart w:id="736" w:name="_Toc131586651"/>
      <w:r>
        <w:rPr>
          <w:rStyle w:val="CharSectno"/>
        </w:rPr>
        <w:t>172</w:t>
      </w:r>
      <w:r>
        <w:rPr>
          <w:snapToGrid w:val="0"/>
        </w:rPr>
        <w:t>.</w:t>
      </w:r>
      <w:r>
        <w:rPr>
          <w:snapToGrid w:val="0"/>
        </w:rPr>
        <w:tab/>
        <w:t>Averments in charges, proof of certain documents and facts</w:t>
      </w:r>
      <w:bookmarkEnd w:id="736"/>
    </w:p>
    <w:p>
      <w:pPr>
        <w:pStyle w:val="Subsection"/>
        <w:keepNext/>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lastRenderedPageBreak/>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keepNext/>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keepNext/>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keepNext/>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lastRenderedPageBreak/>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keepNext/>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keepNext/>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 xml:space="preserve">the Director or any other authorised officer, shall be </w:t>
      </w:r>
      <w:r>
        <w:rPr>
          <w:snapToGrid w:val="0"/>
        </w:rPr>
        <w:lastRenderedPageBreak/>
        <w:t>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keepNext/>
        <w:rPr>
          <w:snapToGrid w:val="0"/>
        </w:rPr>
      </w:pPr>
      <w:r>
        <w:rPr>
          <w:snapToGrid w:val="0"/>
        </w:rPr>
        <w:lastRenderedPageBreak/>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keepNext/>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keepNext/>
        <w:spacing w:before="70"/>
        <w:rPr>
          <w:snapToGrid w:val="0"/>
        </w:rPr>
      </w:pPr>
      <w:r>
        <w:rPr>
          <w:snapToGrid w:val="0"/>
        </w:rPr>
        <w:tab/>
        <w:t>(g)</w:t>
      </w:r>
      <w:r>
        <w:rPr>
          <w:snapToGrid w:val="0"/>
        </w:rPr>
        <w:tab/>
        <w:t xml:space="preserve">that an amount specified was at the date of the certificate payable as a licence fee or penalty by a specified person </w:t>
      </w:r>
      <w:r>
        <w:rPr>
          <w:snapToGrid w:val="0"/>
        </w:rPr>
        <w:lastRenderedPageBreak/>
        <w:t>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keepNext/>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No. 56 of 1997 s. 49; No. 12 of 1998 s. 10(12) and 93; No. 84 of 2004 s. 80 and 82; No. 73 of 2006 s. 101 and 106; No. 56 of 2010 s. 21.] </w:t>
      </w:r>
    </w:p>
    <w:p>
      <w:pPr>
        <w:pStyle w:val="Heading5"/>
      </w:pPr>
      <w:bookmarkStart w:id="737" w:name="_Toc131586652"/>
      <w:r>
        <w:rPr>
          <w:rStyle w:val="CharSectno"/>
        </w:rPr>
        <w:lastRenderedPageBreak/>
        <w:t>172A</w:t>
      </w:r>
      <w:r>
        <w:t>.</w:t>
      </w:r>
      <w:r>
        <w:tab/>
        <w:t>Forfeiture of liquor etc. on conviction or payment of modified penalty</w:t>
      </w:r>
      <w:bookmarkEnd w:id="737"/>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keepNext/>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No. 59 of 2006 s. 56.]</w:t>
      </w:r>
    </w:p>
    <w:p>
      <w:pPr>
        <w:pStyle w:val="Heading2"/>
      </w:pPr>
      <w:bookmarkStart w:id="738" w:name="_Toc122337065"/>
      <w:bookmarkStart w:id="739" w:name="_Toc122343036"/>
      <w:bookmarkStart w:id="740" w:name="_Toc122513447"/>
      <w:bookmarkStart w:id="741" w:name="_Toc131520010"/>
      <w:bookmarkStart w:id="742" w:name="_Toc131520571"/>
      <w:bookmarkStart w:id="743" w:name="_Toc131586653"/>
      <w:r>
        <w:rPr>
          <w:rStyle w:val="CharPartNo"/>
        </w:rPr>
        <w:lastRenderedPageBreak/>
        <w:t>Part 7</w:t>
      </w:r>
      <w:r>
        <w:rPr>
          <w:rStyle w:val="CharDivNo"/>
        </w:rPr>
        <w:t> </w:t>
      </w:r>
      <w:r>
        <w:t>—</w:t>
      </w:r>
      <w:r>
        <w:rPr>
          <w:rStyle w:val="CharDivText"/>
        </w:rPr>
        <w:t> </w:t>
      </w:r>
      <w:r>
        <w:rPr>
          <w:rStyle w:val="CharPartText"/>
        </w:rPr>
        <w:t>General</w:t>
      </w:r>
      <w:bookmarkEnd w:id="738"/>
      <w:bookmarkEnd w:id="739"/>
      <w:bookmarkEnd w:id="740"/>
      <w:bookmarkEnd w:id="741"/>
      <w:bookmarkEnd w:id="742"/>
      <w:bookmarkEnd w:id="743"/>
      <w:r>
        <w:rPr>
          <w:rStyle w:val="CharPartText"/>
        </w:rPr>
        <w:t xml:space="preserve"> </w:t>
      </w:r>
    </w:p>
    <w:p>
      <w:pPr>
        <w:pStyle w:val="Heading5"/>
        <w:rPr>
          <w:snapToGrid w:val="0"/>
        </w:rPr>
      </w:pPr>
      <w:bookmarkStart w:id="744" w:name="_Toc131586654"/>
      <w:r>
        <w:rPr>
          <w:rStyle w:val="CharSectno"/>
        </w:rPr>
        <w:t>173</w:t>
      </w:r>
      <w:r>
        <w:rPr>
          <w:snapToGrid w:val="0"/>
        </w:rPr>
        <w:t>.</w:t>
      </w:r>
      <w:r>
        <w:rPr>
          <w:snapToGrid w:val="0"/>
        </w:rPr>
        <w:tab/>
        <w:t>Pending review etc. not to affect liability</w:t>
      </w:r>
      <w:bookmarkEnd w:id="74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745" w:name="_Toc131586655"/>
      <w:r>
        <w:rPr>
          <w:rStyle w:val="CharSectno"/>
        </w:rPr>
        <w:t>174</w:t>
      </w:r>
      <w:r>
        <w:rPr>
          <w:snapToGrid w:val="0"/>
        </w:rPr>
        <w:t>.</w:t>
      </w:r>
      <w:r>
        <w:rPr>
          <w:snapToGrid w:val="0"/>
        </w:rPr>
        <w:tab/>
        <w:t>Service of documents</w:t>
      </w:r>
      <w:bookmarkEnd w:id="74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746" w:name="_Toc131586656"/>
      <w:r>
        <w:rPr>
          <w:rStyle w:val="CharSectno"/>
        </w:rPr>
        <w:lastRenderedPageBreak/>
        <w:t>174A</w:t>
      </w:r>
      <w:r>
        <w:t>.</w:t>
      </w:r>
      <w:r>
        <w:tab/>
      </w:r>
      <w:r>
        <w:rPr>
          <w:i/>
          <w:iCs/>
        </w:rPr>
        <w:t>Criminal and Found Property Disposal Act 2006</w:t>
      </w:r>
      <w:r>
        <w:rPr>
          <w:iCs/>
        </w:rPr>
        <w:t xml:space="preserve">, </w:t>
      </w:r>
      <w:r>
        <w:t>application of</w:t>
      </w:r>
      <w:bookmarkEnd w:id="746"/>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is a prescribed agency.</w:t>
      </w:r>
    </w:p>
    <w:p>
      <w:pPr>
        <w:pStyle w:val="Footnotesection"/>
      </w:pPr>
      <w:r>
        <w:tab/>
        <w:t>[Section 174A inserted: No. 59 of 2006 s. 57; amended: No. 56 of 2010 s. 68; No. 9 of 2018 s. 65.]</w:t>
      </w:r>
    </w:p>
    <w:p>
      <w:pPr>
        <w:pStyle w:val="Heading5"/>
      </w:pPr>
      <w:bookmarkStart w:id="747" w:name="_Toc131586657"/>
      <w:r>
        <w:rPr>
          <w:rStyle w:val="CharSectno"/>
        </w:rPr>
        <w:t>174B</w:t>
      </w:r>
      <w:r>
        <w:t>.</w:t>
      </w:r>
      <w:r>
        <w:tab/>
        <w:t xml:space="preserve">Liquor accords: authorisation for purposes of </w:t>
      </w:r>
      <w:r>
        <w:rPr>
          <w:i/>
        </w:rPr>
        <w:t>Competition and Consumer Act 2010</w:t>
      </w:r>
      <w:r>
        <w:t xml:space="preserve"> and Competition Code</w:t>
      </w:r>
      <w:bookmarkEnd w:id="747"/>
    </w:p>
    <w:p>
      <w:pPr>
        <w:pStyle w:val="Subsection"/>
      </w:pPr>
      <w:r>
        <w:tab/>
        <w:t>(1)</w:t>
      </w:r>
      <w:r>
        <w:tab/>
        <w:t xml:space="preserve">In this section — </w:t>
      </w:r>
    </w:p>
    <w:p>
      <w:pPr>
        <w:pStyle w:val="Defstart"/>
      </w:pPr>
      <w:r>
        <w:tab/>
      </w:r>
      <w:r>
        <w:rPr>
          <w:rStyle w:val="CharDefText"/>
        </w:rPr>
        <w:t>liquor accord</w:t>
      </w:r>
      <w:r>
        <w:t xml:space="preserve"> has the meaning given in section 64(1b).</w:t>
      </w:r>
    </w:p>
    <w:p>
      <w:pPr>
        <w:pStyle w:val="Subsection"/>
      </w:pPr>
      <w:r>
        <w:tab/>
        <w:t>(2)</w:t>
      </w:r>
      <w:r>
        <w:tab/>
        <w:t xml:space="preserve">For the purposes of the </w:t>
      </w:r>
      <w:r>
        <w:rPr>
          <w:i/>
        </w:rPr>
        <w:t>Competition and Consumer Act 2010</w:t>
      </w:r>
      <w:r>
        <w:t xml:space="preserve"> (Commonwealth) and the Competition Code, the following conduct is authorised by this Act, to the extent that it would otherwise contravene that Act or that Code — </w:t>
      </w:r>
    </w:p>
    <w:p>
      <w:pPr>
        <w:pStyle w:val="Indenta"/>
      </w:pPr>
      <w:r>
        <w:tab/>
        <w:t>(a)</w:t>
      </w:r>
      <w:r>
        <w:tab/>
        <w:t>the entry by any person into a liquor accord;</w:t>
      </w:r>
    </w:p>
    <w:p>
      <w:pPr>
        <w:pStyle w:val="Indenta"/>
      </w:pPr>
      <w:r>
        <w:tab/>
        <w:t>(b)</w:t>
      </w:r>
      <w:r>
        <w:tab/>
        <w:t>conduct engaged in by any person for the purpose of promoting or giving effect to the terms of a liquor accord.</w:t>
      </w:r>
    </w:p>
    <w:p>
      <w:pPr>
        <w:pStyle w:val="Footnotesection"/>
      </w:pPr>
      <w:r>
        <w:tab/>
        <w:t>[Section 174B inserted: No. 9 of 2018 s. 66.]</w:t>
      </w:r>
    </w:p>
    <w:p>
      <w:pPr>
        <w:pStyle w:val="Heading5"/>
        <w:spacing w:before="180"/>
        <w:rPr>
          <w:snapToGrid w:val="0"/>
        </w:rPr>
      </w:pPr>
      <w:bookmarkStart w:id="748" w:name="_Toc131586658"/>
      <w:r>
        <w:rPr>
          <w:rStyle w:val="CharSectno"/>
        </w:rPr>
        <w:t>175</w:t>
      </w:r>
      <w:r>
        <w:rPr>
          <w:snapToGrid w:val="0"/>
        </w:rPr>
        <w:t>.</w:t>
      </w:r>
      <w:r>
        <w:rPr>
          <w:snapToGrid w:val="0"/>
        </w:rPr>
        <w:tab/>
        <w:t>Regulations</w:t>
      </w:r>
      <w:bookmarkEnd w:id="748"/>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lastRenderedPageBreak/>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pPr>
      <w:r>
        <w:tab/>
        <w:t>(d)</w:t>
      </w:r>
      <w:r>
        <w:tab/>
        <w:t>advertising, websites maintained by licensees, and the content of notices; and</w:t>
      </w:r>
    </w:p>
    <w:p>
      <w:pPr>
        <w:pStyle w:val="Indenta"/>
      </w:pPr>
      <w:r>
        <w:tab/>
        <w:t>(e)</w:t>
      </w:r>
      <w:r>
        <w:tab/>
        <w:t>the endorsement, production and display of licences;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 xml:space="preserve">in relation to any offence in the regulations of failing to comply with restrictions or prohibitions referred to in paragraph (b) and without limiting any other power of a member of the Police Force under this Act — conferring </w:t>
      </w:r>
      <w:r>
        <w:lastRenderedPageBreak/>
        <w:t>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pPr>
      <w:r>
        <w:tab/>
        <w:t>(1E)</w:t>
      </w:r>
      <w:r>
        <w:tab/>
        <w:t>The Governor, on the recommendation of the Minister, may make regulations prescribing an area of the State to be a protected entertainment precinct.</w:t>
      </w:r>
    </w:p>
    <w:p>
      <w:pPr>
        <w:pStyle w:val="Subsection"/>
      </w:pPr>
      <w:r>
        <w:tab/>
        <w:t>(1F)</w:t>
      </w:r>
      <w:r>
        <w:tab/>
        <w:t xml:space="preserve">The Minister cannot make a recommendation for the purposes of subsection (1E) unless — </w:t>
      </w:r>
    </w:p>
    <w:p>
      <w:pPr>
        <w:pStyle w:val="Indenta"/>
      </w:pPr>
      <w:r>
        <w:tab/>
        <w:t>(a)</w:t>
      </w:r>
      <w:r>
        <w:tab/>
        <w:t>the Minister is satisfied that the area of the State contains a concentration of licensed premises; and</w:t>
      </w:r>
    </w:p>
    <w:p>
      <w:pPr>
        <w:pStyle w:val="Indenta"/>
      </w:pPr>
      <w:r>
        <w:tab/>
        <w:t>(b)</w:t>
      </w:r>
      <w:r>
        <w:tab/>
        <w:t>the Minister is satisfied that the proposed regulations are necessary to achieve the primary object set out in section 152NB; and</w:t>
      </w:r>
    </w:p>
    <w:p>
      <w:pPr>
        <w:pStyle w:val="Indenta"/>
      </w:pPr>
      <w:r>
        <w:tab/>
        <w:t>(c)</w:t>
      </w:r>
      <w:r>
        <w:tab/>
        <w:t>after consultation with each of the following, the Minister is satisfied that the proposed regulations are in the public interest —</w:t>
      </w:r>
    </w:p>
    <w:p>
      <w:pPr>
        <w:pStyle w:val="Indenti"/>
      </w:pPr>
      <w:r>
        <w:tab/>
        <w:t>(i)</w:t>
      </w:r>
      <w:r>
        <w:tab/>
        <w:t>the Commissioner of Police;</w:t>
      </w:r>
    </w:p>
    <w:p>
      <w:pPr>
        <w:pStyle w:val="Indenti"/>
      </w:pPr>
      <w:r>
        <w:lastRenderedPageBreak/>
        <w:tab/>
        <w:t>(ii)</w:t>
      </w:r>
      <w:r>
        <w:tab/>
        <w:t>each local government in the district of which any part of the protected entertainment precinct is to be situated;</w:t>
      </w:r>
    </w:p>
    <w:p>
      <w:pPr>
        <w:pStyle w:val="Indenti"/>
      </w:pPr>
      <w:r>
        <w:tab/>
        <w:t>(iii)</w:t>
      </w:r>
      <w:r>
        <w:tab/>
        <w:t>if the Minister considers it appropriate to consult any other person — that person.</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No. 56 of 1997 s. 50; No. 12 of 1998 s. 94; No. 73 of 2006 s. 102 and 106; No. 56 of 2010 s. 22 and 34; No. 9 of 2018 s. 67; No. 44 of 2022 s. 17.] </w:t>
      </w:r>
    </w:p>
    <w:p>
      <w:pPr>
        <w:pStyle w:val="Ednotesection"/>
      </w:pPr>
      <w:r>
        <w:t>[</w:t>
      </w:r>
      <w:r>
        <w:rPr>
          <w:b/>
          <w:bCs/>
        </w:rPr>
        <w:t>176.</w:t>
      </w:r>
      <w:r>
        <w:tab/>
        <w:t>Omitted under the Reprints Act 1984 s. 7(4)(f).]</w:t>
      </w:r>
    </w:p>
    <w:p>
      <w:pPr>
        <w:pStyle w:val="Heading5"/>
        <w:rPr>
          <w:snapToGrid w:val="0"/>
        </w:rPr>
      </w:pPr>
      <w:bookmarkStart w:id="749" w:name="_Toc131586659"/>
      <w:r>
        <w:rPr>
          <w:rStyle w:val="CharSectno"/>
        </w:rPr>
        <w:t>177</w:t>
      </w:r>
      <w:r>
        <w:rPr>
          <w:snapToGrid w:val="0"/>
        </w:rPr>
        <w:t>.</w:t>
      </w:r>
      <w:r>
        <w:rPr>
          <w:snapToGrid w:val="0"/>
        </w:rPr>
        <w:tab/>
        <w:t>Transitional provisions (Sch. 1)</w:t>
      </w:r>
      <w:bookmarkEnd w:id="749"/>
    </w:p>
    <w:p>
      <w:pPr>
        <w:pStyle w:val="Subsection"/>
        <w:rPr>
          <w:snapToGrid w:val="0"/>
        </w:rPr>
      </w:pPr>
      <w:r>
        <w:rPr>
          <w:snapToGrid w:val="0"/>
        </w:rPr>
        <w:tab/>
      </w:r>
      <w:r>
        <w:rPr>
          <w:snapToGrid w:val="0"/>
        </w:rPr>
        <w:tab/>
        <w:t>Schedule 1, which contains transitional provisions, has effect.</w:t>
      </w:r>
    </w:p>
    <w:p>
      <w:pPr>
        <w:pStyle w:val="Heading5"/>
      </w:pPr>
      <w:bookmarkStart w:id="750" w:name="_Toc131586660"/>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750"/>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No. 73 of 2006 s. 103.]</w:t>
      </w:r>
    </w:p>
    <w:p>
      <w:pPr>
        <w:pStyle w:val="Heading5"/>
      </w:pPr>
      <w:bookmarkStart w:id="751" w:name="_Toc131586661"/>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751"/>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lastRenderedPageBreak/>
        <w:tab/>
        <w:t xml:space="preserve">[Section 177B inserted: No. 56 of 2010 s. 23.] </w:t>
      </w:r>
    </w:p>
    <w:p>
      <w:pPr>
        <w:pStyle w:val="Heading5"/>
      </w:pPr>
      <w:bookmarkStart w:id="752" w:name="_Toc131586662"/>
      <w:r>
        <w:rPr>
          <w:rStyle w:val="CharSectno"/>
        </w:rPr>
        <w:t>177C</w:t>
      </w:r>
      <w:r>
        <w:t>.</w:t>
      </w:r>
      <w:r>
        <w:tab/>
        <w:t xml:space="preserve">Transitional provisions for </w:t>
      </w:r>
      <w:r>
        <w:rPr>
          <w:i/>
        </w:rPr>
        <w:t>Liquor Control Amendment Act 2018</w:t>
      </w:r>
      <w:r>
        <w:t xml:space="preserve"> (Sch. 1C)</w:t>
      </w:r>
      <w:bookmarkEnd w:id="752"/>
    </w:p>
    <w:p>
      <w:pPr>
        <w:pStyle w:val="Subsection"/>
      </w:pPr>
      <w:r>
        <w:tab/>
      </w:r>
      <w:r>
        <w:tab/>
        <w:t xml:space="preserve">Schedule 1C sets out transitional provisions relating to amendments made to this Act by the </w:t>
      </w:r>
      <w:r>
        <w:rPr>
          <w:i/>
        </w:rPr>
        <w:t>Liquor Control Amendment Act 2018</w:t>
      </w:r>
      <w:r>
        <w:t>.</w:t>
      </w:r>
    </w:p>
    <w:p>
      <w:pPr>
        <w:pStyle w:val="Footnotesection"/>
      </w:pPr>
      <w:r>
        <w:tab/>
        <w:t xml:space="preserve">[Section 177C inserted: No. 9 of 2018 s. 68.] </w:t>
      </w:r>
    </w:p>
    <w:p>
      <w:pPr>
        <w:pStyle w:val="Heading5"/>
      </w:pPr>
      <w:bookmarkStart w:id="753" w:name="_Toc120864926"/>
      <w:bookmarkStart w:id="754" w:name="_Toc131586663"/>
      <w:r>
        <w:rPr>
          <w:rStyle w:val="CharSectno"/>
        </w:rPr>
        <w:t>177D</w:t>
      </w:r>
      <w:r>
        <w:t>.</w:t>
      </w:r>
      <w:r>
        <w:tab/>
        <w:t xml:space="preserve">Transitional provisions for </w:t>
      </w:r>
      <w:r>
        <w:rPr>
          <w:i/>
        </w:rPr>
        <w:t>Liquor Control Amendment (Protected Entertainment Precincts) Act 2022</w:t>
      </w:r>
      <w:r>
        <w:t xml:space="preserve"> (Sch. 1D)</w:t>
      </w:r>
      <w:bookmarkEnd w:id="753"/>
      <w:bookmarkEnd w:id="754"/>
    </w:p>
    <w:p>
      <w:pPr>
        <w:pStyle w:val="Subsection"/>
      </w:pPr>
      <w:r>
        <w:tab/>
      </w:r>
      <w:r>
        <w:tab/>
        <w:t xml:space="preserve">Schedule 1D sets out transitional provisions relating to amendments made to this Act by the </w:t>
      </w:r>
      <w:r>
        <w:rPr>
          <w:i/>
        </w:rPr>
        <w:t>Liquor Control Amendment (Protected Entertainment Precincts) Act 2022</w:t>
      </w:r>
      <w:r>
        <w:t>.</w:t>
      </w:r>
    </w:p>
    <w:p>
      <w:pPr>
        <w:pStyle w:val="Footnotesection"/>
      </w:pPr>
      <w:r>
        <w:tab/>
        <w:t>[Section 177D inserted: No. 44 of 2022 s. 18.]</w:t>
      </w:r>
    </w:p>
    <w:p>
      <w:pPr>
        <w:pStyle w:val="Heading5"/>
        <w:rPr>
          <w:snapToGrid w:val="0"/>
        </w:rPr>
      </w:pPr>
      <w:bookmarkStart w:id="755" w:name="_Toc131586664"/>
      <w:r>
        <w:rPr>
          <w:rStyle w:val="CharSectno"/>
        </w:rPr>
        <w:t>178</w:t>
      </w:r>
      <w:r>
        <w:rPr>
          <w:snapToGrid w:val="0"/>
        </w:rPr>
        <w:t>.</w:t>
      </w:r>
      <w:r>
        <w:rPr>
          <w:snapToGrid w:val="0"/>
        </w:rPr>
        <w:tab/>
        <w:t>Review of Act</w:t>
      </w:r>
      <w:bookmarkEnd w:id="755"/>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w:t>
      </w:r>
      <w:r>
        <w:t xml:space="preserve">(other than amendments made to the Act by the </w:t>
      </w:r>
      <w:r>
        <w:rPr>
          <w:i/>
        </w:rPr>
        <w:t>Liquor Control Amendment (Protected Entertainment Precincts) Act 2022</w:t>
      </w:r>
      <w:r>
        <w:t xml:space="preserve">) </w:t>
      </w:r>
      <w:r>
        <w:rPr>
          <w:snapToGrid w:val="0"/>
        </w:rPr>
        <w:t xml:space="preserve">as soon as is practicable after the expiration of 5 years from the commencement of </w:t>
      </w:r>
      <w:r>
        <w:t xml:space="preserve">the </w:t>
      </w:r>
      <w:r>
        <w:rPr>
          <w:i/>
        </w:rPr>
        <w:t>Liquor Control Amendment Act 2018</w:t>
      </w:r>
      <w:r>
        <w:t xml:space="preserve"> section 68, </w:t>
      </w:r>
      <w:r>
        <w:rPr>
          <w:snapToGrid w:val="0"/>
        </w:rPr>
        <w:t>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No. 12 of 1998 s. 95; No. 9 of 2018 s. 69; No. 44 of 2022 s. 19.]</w:t>
      </w:r>
    </w:p>
    <w:p>
      <w:pPr>
        <w:pStyle w:val="Footnotesection"/>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757" w:name="_Toc122337076"/>
      <w:bookmarkStart w:id="758" w:name="_Toc122343048"/>
      <w:bookmarkStart w:id="759" w:name="_Toc122513459"/>
      <w:bookmarkStart w:id="760" w:name="_Toc131520022"/>
      <w:bookmarkStart w:id="761" w:name="_Toc131520583"/>
      <w:bookmarkStart w:id="762" w:name="_Toc131586665"/>
      <w:r>
        <w:rPr>
          <w:rStyle w:val="CharSchNo"/>
        </w:rPr>
        <w:lastRenderedPageBreak/>
        <w:t>Schedule 1</w:t>
      </w:r>
      <w:r>
        <w:rPr>
          <w:rStyle w:val="CharSDivNo"/>
        </w:rPr>
        <w:t> </w:t>
      </w:r>
      <w:r>
        <w:t>—</w:t>
      </w:r>
      <w:r>
        <w:rPr>
          <w:rStyle w:val="CharSDivText"/>
        </w:rPr>
        <w:t> </w:t>
      </w:r>
      <w:r>
        <w:rPr>
          <w:rStyle w:val="CharSchText"/>
        </w:rPr>
        <w:t>Transitional provisions</w:t>
      </w:r>
      <w:bookmarkEnd w:id="757"/>
      <w:bookmarkEnd w:id="758"/>
      <w:bookmarkEnd w:id="759"/>
      <w:bookmarkEnd w:id="760"/>
      <w:bookmarkEnd w:id="761"/>
      <w:bookmarkEnd w:id="762"/>
    </w:p>
    <w:p>
      <w:pPr>
        <w:pStyle w:val="yShoulderClause"/>
        <w:rPr>
          <w:snapToGrid w:val="0"/>
        </w:rPr>
      </w:pPr>
      <w:r>
        <w:rPr>
          <w:snapToGrid w:val="0"/>
        </w:rPr>
        <w:t>[s. 177]</w:t>
      </w:r>
    </w:p>
    <w:p>
      <w:pPr>
        <w:pStyle w:val="yFootnoteheading"/>
      </w:pPr>
      <w:r>
        <w:tab/>
        <w:t>[Heading amended: No. 19 of 2010 s. 4.]</w:t>
      </w:r>
    </w:p>
    <w:p>
      <w:pPr>
        <w:pStyle w:val="yHeading5"/>
        <w:rPr>
          <w:snapToGrid w:val="0"/>
        </w:rPr>
      </w:pPr>
      <w:bookmarkStart w:id="763" w:name="_Toc131586666"/>
      <w:r>
        <w:rPr>
          <w:rStyle w:val="CharSClsNo"/>
        </w:rPr>
        <w:t>1</w:t>
      </w:r>
      <w:r>
        <w:rPr>
          <w:snapToGrid w:val="0"/>
        </w:rPr>
        <w:t>.</w:t>
      </w:r>
      <w:r>
        <w:rPr>
          <w:snapToGrid w:val="0"/>
        </w:rPr>
        <w:tab/>
        <w:t>Terms used</w:t>
      </w:r>
      <w:bookmarkEnd w:id="76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1</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1</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lastRenderedPageBreak/>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764" w:name="_Toc131586667"/>
      <w:r>
        <w:rPr>
          <w:rStyle w:val="CharSClsNo"/>
        </w:rPr>
        <w:t>2</w:t>
      </w:r>
      <w:r>
        <w:rPr>
          <w:snapToGrid w:val="0"/>
        </w:rPr>
        <w:t>.</w:t>
      </w:r>
      <w:r>
        <w:rPr>
          <w:snapToGrid w:val="0"/>
        </w:rPr>
        <w:tab/>
        <w:t>Continuing effect of convictions, forfeitures etc.</w:t>
      </w:r>
      <w:bookmarkEnd w:id="764"/>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765" w:name="_Toc131586668"/>
      <w:r>
        <w:rPr>
          <w:rStyle w:val="CharSClsNo"/>
        </w:rPr>
        <w:t>3</w:t>
      </w:r>
      <w:r>
        <w:rPr>
          <w:snapToGrid w:val="0"/>
        </w:rPr>
        <w:t>.</w:t>
      </w:r>
      <w:r>
        <w:rPr>
          <w:snapToGrid w:val="0"/>
        </w:rPr>
        <w:tab/>
        <w:t>Proceedings part heard, rules of court, and appointments under repealed Act</w:t>
      </w:r>
      <w:bookmarkEnd w:id="765"/>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 xml:space="preserve">subject to any direction or requirement made by the Director, where no corresponding provision appears in this Act as though for the purpose of determining the application the </w:t>
      </w:r>
      <w:r>
        <w:rPr>
          <w:snapToGrid w:val="0"/>
        </w:rPr>
        <w:lastRenderedPageBreak/>
        <w:t>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lastRenderedPageBreak/>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vertAlign w:val="superscript"/>
        </w:rPr>
        <w:t> 2</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vertAlign w:val="superscript"/>
        </w:rPr>
        <w:t> 2</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2</w:t>
      </w:r>
      <w:r>
        <w:rPr>
          <w:snapToGrid w:val="0"/>
        </w:rPr>
        <w:t xml:space="preserve"> to hold a like office for the time being under section 14 for the purposes of this Act.</w:t>
      </w:r>
    </w:p>
    <w:p>
      <w:pPr>
        <w:pStyle w:val="yHeading5"/>
        <w:outlineLvl w:val="5"/>
        <w:rPr>
          <w:snapToGrid w:val="0"/>
        </w:rPr>
      </w:pPr>
      <w:bookmarkStart w:id="766" w:name="_Toc131586669"/>
      <w:r>
        <w:rPr>
          <w:rStyle w:val="CharSClsNo"/>
        </w:rPr>
        <w:t>4</w:t>
      </w:r>
      <w:r>
        <w:rPr>
          <w:snapToGrid w:val="0"/>
        </w:rPr>
        <w:t>.</w:t>
      </w:r>
      <w:r>
        <w:rPr>
          <w:snapToGrid w:val="0"/>
        </w:rPr>
        <w:tab/>
        <w:t>Fees</w:t>
      </w:r>
      <w:bookmarkEnd w:id="766"/>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lastRenderedPageBreak/>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767" w:name="_Toc131586670"/>
      <w:r>
        <w:rPr>
          <w:rStyle w:val="CharSClsNo"/>
        </w:rPr>
        <w:t>5</w:t>
      </w:r>
      <w:r>
        <w:rPr>
          <w:snapToGrid w:val="0"/>
        </w:rPr>
        <w:t>.</w:t>
      </w:r>
      <w:r>
        <w:rPr>
          <w:snapToGrid w:val="0"/>
        </w:rPr>
        <w:tab/>
        <w:t>Continuing effect of conditions, delineated or designated areas, approvals etc.</w:t>
      </w:r>
      <w:bookmarkEnd w:id="767"/>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lastRenderedPageBreak/>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768" w:name="_Toc131586671"/>
      <w:r>
        <w:rPr>
          <w:rStyle w:val="CharSClsNo"/>
        </w:rPr>
        <w:t>6</w:t>
      </w:r>
      <w:r>
        <w:rPr>
          <w:snapToGrid w:val="0"/>
        </w:rPr>
        <w:t>.</w:t>
      </w:r>
      <w:r>
        <w:rPr>
          <w:snapToGrid w:val="0"/>
        </w:rPr>
        <w:tab/>
        <w:t>Conversion of licences generally</w:t>
      </w:r>
      <w:bookmarkEnd w:id="768"/>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lastRenderedPageBreak/>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lastRenderedPageBreak/>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769" w:name="_Toc131586672"/>
      <w:r>
        <w:rPr>
          <w:rStyle w:val="CharSClsNo"/>
        </w:rPr>
        <w:t>7</w:t>
      </w:r>
      <w:r>
        <w:rPr>
          <w:snapToGrid w:val="0"/>
        </w:rPr>
        <w:t>.</w:t>
      </w:r>
      <w:r>
        <w:rPr>
          <w:snapToGrid w:val="0"/>
        </w:rPr>
        <w:tab/>
        <w:t>Hotel licences</w:t>
      </w:r>
      <w:bookmarkEnd w:id="769"/>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770" w:name="_Toc131586673"/>
      <w:r>
        <w:rPr>
          <w:rStyle w:val="CharSClsNo"/>
        </w:rPr>
        <w:t>8</w:t>
      </w:r>
      <w:r>
        <w:rPr>
          <w:snapToGrid w:val="0"/>
        </w:rPr>
        <w:t>.</w:t>
      </w:r>
      <w:r>
        <w:rPr>
          <w:snapToGrid w:val="0"/>
        </w:rPr>
        <w:tab/>
        <w:t>Limited hotel licences</w:t>
      </w:r>
      <w:bookmarkEnd w:id="770"/>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771" w:name="_Toc131586674"/>
      <w:r>
        <w:rPr>
          <w:rStyle w:val="CharSClsNo"/>
        </w:rPr>
        <w:t>9</w:t>
      </w:r>
      <w:r>
        <w:rPr>
          <w:snapToGrid w:val="0"/>
        </w:rPr>
        <w:t>.</w:t>
      </w:r>
      <w:r>
        <w:rPr>
          <w:snapToGrid w:val="0"/>
        </w:rPr>
        <w:tab/>
        <w:t>Tavern licences</w:t>
      </w:r>
      <w:bookmarkEnd w:id="771"/>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772" w:name="_Toc131586675"/>
      <w:r>
        <w:rPr>
          <w:rStyle w:val="CharSClsNo"/>
        </w:rPr>
        <w:t>10</w:t>
      </w:r>
      <w:r>
        <w:rPr>
          <w:snapToGrid w:val="0"/>
        </w:rPr>
        <w:t>.</w:t>
      </w:r>
      <w:r>
        <w:rPr>
          <w:snapToGrid w:val="0"/>
        </w:rPr>
        <w:tab/>
        <w:t>Obligatory trading hours relating to hotel licences</w:t>
      </w:r>
      <w:bookmarkEnd w:id="772"/>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773" w:name="_Toc131586676"/>
      <w:r>
        <w:rPr>
          <w:rStyle w:val="CharSClsNo"/>
        </w:rPr>
        <w:lastRenderedPageBreak/>
        <w:t>11</w:t>
      </w:r>
      <w:r>
        <w:rPr>
          <w:snapToGrid w:val="0"/>
        </w:rPr>
        <w:t>.</w:t>
      </w:r>
      <w:r>
        <w:rPr>
          <w:snapToGrid w:val="0"/>
        </w:rPr>
        <w:tab/>
        <w:t>Winehouse licences and Australian wine licences</w:t>
      </w:r>
      <w:bookmarkEnd w:id="773"/>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774" w:name="_Toc131586677"/>
      <w:r>
        <w:rPr>
          <w:rStyle w:val="CharSClsNo"/>
        </w:rPr>
        <w:lastRenderedPageBreak/>
        <w:t>12</w:t>
      </w:r>
      <w:r>
        <w:rPr>
          <w:snapToGrid w:val="0"/>
        </w:rPr>
        <w:t>.</w:t>
      </w:r>
      <w:r>
        <w:rPr>
          <w:snapToGrid w:val="0"/>
        </w:rPr>
        <w:tab/>
        <w:t>Casino liquor licences</w:t>
      </w:r>
      <w:bookmarkEnd w:id="774"/>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775" w:name="_Toc131586678"/>
      <w:r>
        <w:rPr>
          <w:rStyle w:val="CharSClsNo"/>
        </w:rPr>
        <w:t>13</w:t>
      </w:r>
      <w:r>
        <w:rPr>
          <w:snapToGrid w:val="0"/>
        </w:rPr>
        <w:t>.</w:t>
      </w:r>
      <w:r>
        <w:rPr>
          <w:snapToGrid w:val="0"/>
        </w:rPr>
        <w:tab/>
        <w:t>Cabaret licences</w:t>
      </w:r>
      <w:bookmarkEnd w:id="775"/>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776" w:name="_Toc131586679"/>
      <w:r>
        <w:rPr>
          <w:rStyle w:val="CharSClsNo"/>
        </w:rPr>
        <w:t>14</w:t>
      </w:r>
      <w:r>
        <w:rPr>
          <w:snapToGrid w:val="0"/>
        </w:rPr>
        <w:t>.</w:t>
      </w:r>
      <w:r>
        <w:rPr>
          <w:snapToGrid w:val="0"/>
        </w:rPr>
        <w:tab/>
        <w:t>Restaurant licences</w:t>
      </w:r>
      <w:bookmarkEnd w:id="776"/>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777" w:name="_Toc131586680"/>
      <w:r>
        <w:rPr>
          <w:rStyle w:val="CharSClsNo"/>
        </w:rPr>
        <w:t>15</w:t>
      </w:r>
      <w:r>
        <w:rPr>
          <w:snapToGrid w:val="0"/>
        </w:rPr>
        <w:t>.</w:t>
      </w:r>
      <w:r>
        <w:rPr>
          <w:snapToGrid w:val="0"/>
        </w:rPr>
        <w:tab/>
        <w:t>Restaurant facilities on premises formerly licensed as a hotel, tavern, limited hotel, or winehouse</w:t>
      </w:r>
      <w:bookmarkEnd w:id="777"/>
      <w:r>
        <w:rPr>
          <w:snapToGrid w:val="0"/>
        </w:rPr>
        <w:t xml:space="preserve"> </w:t>
      </w:r>
    </w:p>
    <w:p>
      <w:pPr>
        <w:pStyle w:val="ySubsection"/>
        <w:rPr>
          <w:snapToGrid w:val="0"/>
        </w:rPr>
      </w:pPr>
      <w:r>
        <w:rPr>
          <w:snapToGrid w:val="0"/>
        </w:rPr>
        <w:tab/>
        <w:t>(1)</w:t>
      </w:r>
      <w:r>
        <w:rPr>
          <w:snapToGrid w:val="0"/>
        </w:rPr>
        <w:tab/>
        <w:t xml:space="preserve">Where, pursuant to the repealed Act, the holder of a hotel licence, a tavern licence, a limited hotel licence or a winehouse licence under the repealed Act had maintained on the licensed premises a dining room in which liquor was sold ancillary to a meal supplied by the </w:t>
      </w:r>
      <w:r>
        <w:rPr>
          <w:snapToGrid w:val="0"/>
        </w:rPr>
        <w:lastRenderedPageBreak/>
        <w:t>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778" w:name="_Toc131586681"/>
      <w:r>
        <w:rPr>
          <w:rStyle w:val="CharSClsNo"/>
        </w:rPr>
        <w:t>16</w:t>
      </w:r>
      <w:r>
        <w:rPr>
          <w:snapToGrid w:val="0"/>
        </w:rPr>
        <w:t>.</w:t>
      </w:r>
      <w:r>
        <w:rPr>
          <w:snapToGrid w:val="0"/>
        </w:rPr>
        <w:tab/>
        <w:t>Store licences</w:t>
      </w:r>
      <w:bookmarkEnd w:id="778"/>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 xml:space="preserve">Where, immediately before the appointed day, the holder of a store licence held a late delivery permit under section 36(3) of the repealed Act in conjunction with the store licence that permit continues in </w:t>
      </w:r>
      <w:r>
        <w:rPr>
          <w:snapToGrid w:val="0"/>
        </w:rPr>
        <w:lastRenderedPageBreak/>
        <w:t>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779" w:name="_Toc131586682"/>
      <w:r>
        <w:rPr>
          <w:rStyle w:val="CharSClsNo"/>
        </w:rPr>
        <w:t>17</w:t>
      </w:r>
      <w:r>
        <w:rPr>
          <w:snapToGrid w:val="0"/>
        </w:rPr>
        <w:t>.</w:t>
      </w:r>
      <w:r>
        <w:rPr>
          <w:snapToGrid w:val="0"/>
        </w:rPr>
        <w:tab/>
        <w:t>Vigneron’s licences and brewer’s licences</w:t>
      </w:r>
      <w:bookmarkEnd w:id="779"/>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780" w:name="_Toc131586683"/>
      <w:r>
        <w:rPr>
          <w:rStyle w:val="CharSClsNo"/>
        </w:rPr>
        <w:lastRenderedPageBreak/>
        <w:t>18</w:t>
      </w:r>
      <w:r>
        <w:rPr>
          <w:snapToGrid w:val="0"/>
        </w:rPr>
        <w:t>.</w:t>
      </w:r>
      <w:r>
        <w:rPr>
          <w:snapToGrid w:val="0"/>
        </w:rPr>
        <w:tab/>
        <w:t>Wholesale licences</w:t>
      </w:r>
      <w:bookmarkEnd w:id="780"/>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781" w:name="_Toc131586684"/>
      <w:r>
        <w:rPr>
          <w:rStyle w:val="CharSClsNo"/>
        </w:rPr>
        <w:t>19</w:t>
      </w:r>
      <w:r>
        <w:rPr>
          <w:snapToGrid w:val="0"/>
        </w:rPr>
        <w:t>.</w:t>
      </w:r>
      <w:r>
        <w:rPr>
          <w:snapToGrid w:val="0"/>
        </w:rPr>
        <w:tab/>
        <w:t>Club licences and unlicensed club permits</w:t>
      </w:r>
      <w:bookmarkEnd w:id="781"/>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lastRenderedPageBreak/>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 xml:space="preserve">Where the constitution or any rules of a club which held a licence or permit under the repealed Act have not been approved by the Director under that Act, they shall for the purposes of this Act be deemed to </w:t>
      </w:r>
      <w:r>
        <w:rPr>
          <w:snapToGrid w:val="0"/>
        </w:rPr>
        <w:lastRenderedPageBreak/>
        <w:t>have been provisionally approved as at the appointed day subject to any subsequent direction given by the Director.</w:t>
      </w:r>
    </w:p>
    <w:p>
      <w:pPr>
        <w:pStyle w:val="yHeading5"/>
        <w:outlineLvl w:val="5"/>
        <w:rPr>
          <w:snapToGrid w:val="0"/>
        </w:rPr>
      </w:pPr>
      <w:bookmarkStart w:id="782" w:name="_Toc131586685"/>
      <w:r>
        <w:rPr>
          <w:rStyle w:val="CharSClsNo"/>
        </w:rPr>
        <w:t>20</w:t>
      </w:r>
      <w:r>
        <w:rPr>
          <w:snapToGrid w:val="0"/>
        </w:rPr>
        <w:t>.</w:t>
      </w:r>
      <w:r>
        <w:rPr>
          <w:snapToGrid w:val="0"/>
        </w:rPr>
        <w:tab/>
        <w:t>Certain licences to become special facility licences</w:t>
      </w:r>
      <w:bookmarkEnd w:id="782"/>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lastRenderedPageBreak/>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783" w:name="_Toc131586686"/>
      <w:r>
        <w:rPr>
          <w:rStyle w:val="CharSClsNo"/>
        </w:rPr>
        <w:t>21</w:t>
      </w:r>
      <w:r>
        <w:rPr>
          <w:snapToGrid w:val="0"/>
        </w:rPr>
        <w:t>.</w:t>
      </w:r>
      <w:r>
        <w:rPr>
          <w:snapToGrid w:val="0"/>
        </w:rPr>
        <w:tab/>
        <w:t>Caterer’s permit</w:t>
      </w:r>
      <w:bookmarkEnd w:id="783"/>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784" w:name="_Toc131586687"/>
      <w:r>
        <w:rPr>
          <w:rStyle w:val="CharSClsNo"/>
        </w:rPr>
        <w:t>22</w:t>
      </w:r>
      <w:r>
        <w:rPr>
          <w:snapToGrid w:val="0"/>
        </w:rPr>
        <w:t>.</w:t>
      </w:r>
      <w:r>
        <w:rPr>
          <w:snapToGrid w:val="0"/>
        </w:rPr>
        <w:tab/>
        <w:t>Exempted producers etc.</w:t>
      </w:r>
      <w:bookmarkEnd w:id="784"/>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785" w:name="_Toc131586688"/>
      <w:r>
        <w:rPr>
          <w:rStyle w:val="CharSClsNo"/>
        </w:rPr>
        <w:t>23</w:t>
      </w:r>
      <w:r>
        <w:rPr>
          <w:snapToGrid w:val="0"/>
        </w:rPr>
        <w:t>.</w:t>
      </w:r>
      <w:r>
        <w:rPr>
          <w:snapToGrid w:val="0"/>
        </w:rPr>
        <w:tab/>
        <w:t>Certain licences may become special facility licences</w:t>
      </w:r>
      <w:bookmarkEnd w:id="785"/>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lastRenderedPageBreak/>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786" w:name="_Toc131586689"/>
      <w:r>
        <w:rPr>
          <w:rStyle w:val="CharSClsNo"/>
        </w:rPr>
        <w:t>24</w:t>
      </w:r>
      <w:r>
        <w:rPr>
          <w:snapToGrid w:val="0"/>
        </w:rPr>
        <w:t>.</w:t>
      </w:r>
      <w:r>
        <w:rPr>
          <w:snapToGrid w:val="0"/>
        </w:rPr>
        <w:tab/>
        <w:t>References in other written laws</w:t>
      </w:r>
      <w:bookmarkEnd w:id="786"/>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3</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vertAlign w:val="superscript"/>
        </w:rPr>
        <w:t> 4</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787" w:name="_Toc122337101"/>
      <w:bookmarkStart w:id="788" w:name="_Toc122343073"/>
      <w:bookmarkStart w:id="789" w:name="_Toc122513484"/>
      <w:bookmarkStart w:id="790" w:name="_Toc131520047"/>
      <w:bookmarkStart w:id="791" w:name="_Toc131520608"/>
      <w:bookmarkStart w:id="792" w:name="_Toc131586690"/>
      <w:r>
        <w:rPr>
          <w:rStyle w:val="CharSchNo"/>
        </w:rPr>
        <w:lastRenderedPageBreak/>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787"/>
      <w:bookmarkEnd w:id="788"/>
      <w:bookmarkEnd w:id="789"/>
      <w:bookmarkEnd w:id="790"/>
      <w:bookmarkEnd w:id="791"/>
      <w:bookmarkEnd w:id="792"/>
    </w:p>
    <w:p>
      <w:pPr>
        <w:pStyle w:val="yShoulderClause"/>
      </w:pPr>
      <w:r>
        <w:t>[s. 177A]</w:t>
      </w:r>
    </w:p>
    <w:p>
      <w:pPr>
        <w:pStyle w:val="yFootnoteheading"/>
      </w:pPr>
      <w:r>
        <w:tab/>
        <w:t>[Heading inserted: No. 73 of 2006 s. 104.]</w:t>
      </w:r>
    </w:p>
    <w:p>
      <w:pPr>
        <w:pStyle w:val="yHeading5"/>
        <w:outlineLvl w:val="5"/>
      </w:pPr>
      <w:bookmarkStart w:id="793" w:name="_Toc131586691"/>
      <w:r>
        <w:rPr>
          <w:rStyle w:val="CharSClsNo"/>
        </w:rPr>
        <w:t>1</w:t>
      </w:r>
      <w:r>
        <w:t>.</w:t>
      </w:r>
      <w:r>
        <w:rPr>
          <w:b w:val="0"/>
        </w:rPr>
        <w:tab/>
      </w:r>
      <w:r>
        <w:t>Terms used</w:t>
      </w:r>
      <w:bookmarkEnd w:id="793"/>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No. 73 of 2006 s. 104.]</w:t>
      </w:r>
    </w:p>
    <w:p>
      <w:pPr>
        <w:pStyle w:val="yHeading5"/>
        <w:outlineLvl w:val="5"/>
      </w:pPr>
      <w:bookmarkStart w:id="794" w:name="_Toc131586692"/>
      <w:r>
        <w:rPr>
          <w:rStyle w:val="CharSClsNo"/>
        </w:rPr>
        <w:t>2</w:t>
      </w:r>
      <w:r>
        <w:t>.</w:t>
      </w:r>
      <w:r>
        <w:rPr>
          <w:b w:val="0"/>
        </w:rPr>
        <w:tab/>
      </w:r>
      <w:r>
        <w:t>Liquor Licensing Court</w:t>
      </w:r>
      <w:bookmarkEnd w:id="794"/>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No. 73 of 2006 s. 104.]</w:t>
      </w:r>
    </w:p>
    <w:p>
      <w:pPr>
        <w:pStyle w:val="yHeading5"/>
        <w:outlineLvl w:val="5"/>
      </w:pPr>
      <w:bookmarkStart w:id="795" w:name="_Toc131586693"/>
      <w:r>
        <w:rPr>
          <w:rStyle w:val="CharSClsNo"/>
        </w:rPr>
        <w:t>3</w:t>
      </w:r>
      <w:r>
        <w:t>.</w:t>
      </w:r>
      <w:r>
        <w:rPr>
          <w:b w:val="0"/>
        </w:rPr>
        <w:tab/>
      </w:r>
      <w:r>
        <w:t>Liquor Licensing Court judge</w:t>
      </w:r>
      <w:bookmarkEnd w:id="795"/>
    </w:p>
    <w:p>
      <w:pPr>
        <w:pStyle w:val="ySubsection"/>
      </w:pPr>
      <w:r>
        <w:tab/>
      </w:r>
      <w:r>
        <w:tab/>
        <w:t xml:space="preserve">The person holding office, immediately before the commencement day, as the Liquor Licensing Court judge referred to in section 9 of </w:t>
      </w:r>
      <w:r>
        <w:lastRenderedPageBreak/>
        <w:t>the former Act ceases to hold that office on the abolition of the Court under clause 2.</w:t>
      </w:r>
    </w:p>
    <w:p>
      <w:pPr>
        <w:pStyle w:val="yFootnotesection"/>
      </w:pPr>
      <w:r>
        <w:tab/>
        <w:t>[Clause 3 inserted: No. 73 of 2006 s. 104.]</w:t>
      </w:r>
    </w:p>
    <w:p>
      <w:pPr>
        <w:pStyle w:val="yHeading5"/>
        <w:outlineLvl w:val="5"/>
      </w:pPr>
      <w:bookmarkStart w:id="796" w:name="_Toc131586694"/>
      <w:r>
        <w:rPr>
          <w:rStyle w:val="CharSClsNo"/>
        </w:rPr>
        <w:t>4</w:t>
      </w:r>
      <w:r>
        <w:t>.</w:t>
      </w:r>
      <w:r>
        <w:rPr>
          <w:b w:val="0"/>
        </w:rPr>
        <w:tab/>
      </w:r>
      <w:r>
        <w:t>Pending cases stated and appeals to Supreme Court</w:t>
      </w:r>
      <w:bookmarkEnd w:id="796"/>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No. 73 of 2006 s. 104.]</w:t>
      </w:r>
    </w:p>
    <w:p>
      <w:pPr>
        <w:pStyle w:val="yHeading5"/>
        <w:outlineLvl w:val="5"/>
      </w:pPr>
      <w:bookmarkStart w:id="797" w:name="_Toc131586695"/>
      <w:r>
        <w:rPr>
          <w:rStyle w:val="CharSClsNo"/>
        </w:rPr>
        <w:t>5</w:t>
      </w:r>
      <w:r>
        <w:t>.</w:t>
      </w:r>
      <w:r>
        <w:rPr>
          <w:b w:val="0"/>
        </w:rPr>
        <w:tab/>
      </w:r>
      <w:r>
        <w:t>Pending applications and matters</w:t>
      </w:r>
      <w:bookmarkEnd w:id="797"/>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lastRenderedPageBreak/>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No. 73 of 2006 s. 104.]</w:t>
      </w:r>
    </w:p>
    <w:p>
      <w:pPr>
        <w:pStyle w:val="yHeading5"/>
        <w:outlineLvl w:val="5"/>
      </w:pPr>
      <w:bookmarkStart w:id="798" w:name="_Toc131586696"/>
      <w:r>
        <w:rPr>
          <w:rStyle w:val="CharSClsNo"/>
        </w:rPr>
        <w:t>6</w:t>
      </w:r>
      <w:r>
        <w:t>.</w:t>
      </w:r>
      <w:r>
        <w:rPr>
          <w:b w:val="0"/>
        </w:rPr>
        <w:tab/>
      </w:r>
      <w:r>
        <w:t>Licences granted and permits issued by Liquor Licensing Court</w:t>
      </w:r>
      <w:bookmarkEnd w:id="79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No. 73 of 2006 s. 104.]</w:t>
      </w:r>
    </w:p>
    <w:p>
      <w:pPr>
        <w:pStyle w:val="yHeading5"/>
        <w:spacing w:before="180"/>
        <w:outlineLvl w:val="5"/>
      </w:pPr>
      <w:bookmarkStart w:id="799" w:name="_Toc131586697"/>
      <w:r>
        <w:rPr>
          <w:rStyle w:val="CharSClsNo"/>
        </w:rPr>
        <w:t>7</w:t>
      </w:r>
      <w:r>
        <w:t>.</w:t>
      </w:r>
      <w:r>
        <w:rPr>
          <w:b w:val="0"/>
        </w:rPr>
        <w:tab/>
      </w:r>
      <w:r>
        <w:t>Cabaret licences</w:t>
      </w:r>
      <w:bookmarkEnd w:id="799"/>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No. 73 of 2006 s. 104.]</w:t>
      </w:r>
    </w:p>
    <w:p>
      <w:pPr>
        <w:pStyle w:val="yHeading5"/>
        <w:spacing w:before="180"/>
        <w:outlineLvl w:val="5"/>
      </w:pPr>
      <w:bookmarkStart w:id="800" w:name="_Toc131586698"/>
      <w:r>
        <w:rPr>
          <w:rStyle w:val="CharSClsNo"/>
        </w:rPr>
        <w:t>8</w:t>
      </w:r>
      <w:r>
        <w:t>.</w:t>
      </w:r>
      <w:r>
        <w:rPr>
          <w:b w:val="0"/>
        </w:rPr>
        <w:tab/>
      </w:r>
      <w:r>
        <w:t>Courses of training and assessments</w:t>
      </w:r>
      <w:bookmarkEnd w:id="800"/>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No. 73 of 2006 s. 104.]</w:t>
      </w:r>
    </w:p>
    <w:p>
      <w:pPr>
        <w:pStyle w:val="yHeading5"/>
        <w:outlineLvl w:val="5"/>
      </w:pPr>
      <w:bookmarkStart w:id="801" w:name="_Toc131586699"/>
      <w:r>
        <w:rPr>
          <w:rStyle w:val="CharSClsNo"/>
        </w:rPr>
        <w:lastRenderedPageBreak/>
        <w:t>9</w:t>
      </w:r>
      <w:r>
        <w:t>.</w:t>
      </w:r>
      <w:r>
        <w:rPr>
          <w:b w:val="0"/>
        </w:rPr>
        <w:tab/>
      </w:r>
      <w:r>
        <w:t>References to Liquor Licensing Court and Liquor Licensing Court judge</w:t>
      </w:r>
      <w:bookmarkEnd w:id="801"/>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No. 73 of 2006 s. 104.]</w:t>
      </w:r>
    </w:p>
    <w:p>
      <w:pPr>
        <w:pStyle w:val="yHeading5"/>
        <w:outlineLvl w:val="5"/>
      </w:pPr>
      <w:bookmarkStart w:id="802" w:name="_Toc131586700"/>
      <w:r>
        <w:rPr>
          <w:rStyle w:val="CharSClsNo"/>
        </w:rPr>
        <w:t>10</w:t>
      </w:r>
      <w:r>
        <w:t>.</w:t>
      </w:r>
      <w:r>
        <w:rPr>
          <w:b w:val="0"/>
        </w:rPr>
        <w:tab/>
      </w:r>
      <w:r>
        <w:t>Transitional regulations</w:t>
      </w:r>
      <w:bookmarkEnd w:id="80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keepNext/>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No. 73 of 2006 s. 104.]</w:t>
      </w:r>
    </w:p>
    <w:p>
      <w:pPr>
        <w:pStyle w:val="yScheduleHeading"/>
      </w:pPr>
      <w:bookmarkStart w:id="803" w:name="_Toc122337112"/>
      <w:bookmarkStart w:id="804" w:name="_Toc122343084"/>
      <w:bookmarkStart w:id="805" w:name="_Toc122513495"/>
      <w:bookmarkStart w:id="806" w:name="_Toc131520058"/>
      <w:bookmarkStart w:id="807" w:name="_Toc131520619"/>
      <w:bookmarkStart w:id="808" w:name="_Toc131586701"/>
      <w:r>
        <w:rPr>
          <w:rStyle w:val="CharSchNo"/>
        </w:rPr>
        <w:lastRenderedPageBreak/>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803"/>
      <w:bookmarkEnd w:id="804"/>
      <w:bookmarkEnd w:id="805"/>
      <w:bookmarkEnd w:id="806"/>
      <w:bookmarkEnd w:id="807"/>
      <w:bookmarkEnd w:id="808"/>
    </w:p>
    <w:p>
      <w:pPr>
        <w:pStyle w:val="yShoulderClause"/>
      </w:pPr>
      <w:r>
        <w:t>[s. 177B]</w:t>
      </w:r>
    </w:p>
    <w:p>
      <w:pPr>
        <w:pStyle w:val="yFootnoteheading"/>
      </w:pPr>
      <w:r>
        <w:tab/>
        <w:t>[Heading inserted: No. 56 of 2010 s. 24.]</w:t>
      </w:r>
    </w:p>
    <w:p>
      <w:pPr>
        <w:pStyle w:val="yHeading5"/>
      </w:pPr>
      <w:bookmarkStart w:id="809" w:name="_Toc131586702"/>
      <w:r>
        <w:rPr>
          <w:rStyle w:val="CharSClsNo"/>
        </w:rPr>
        <w:t>1</w:t>
      </w:r>
      <w:r>
        <w:t>.</w:t>
      </w:r>
      <w:r>
        <w:tab/>
        <w:t>Terms used</w:t>
      </w:r>
      <w:bookmarkEnd w:id="80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No. 56 of 2010 s. 24.]</w:t>
      </w:r>
    </w:p>
    <w:p>
      <w:pPr>
        <w:pStyle w:val="yHeading5"/>
      </w:pPr>
      <w:bookmarkStart w:id="810" w:name="_Toc131586703"/>
      <w:r>
        <w:rPr>
          <w:rStyle w:val="CharSClsNo"/>
        </w:rPr>
        <w:t>2</w:t>
      </w:r>
      <w:r>
        <w:t>.</w:t>
      </w:r>
      <w:r>
        <w:tab/>
        <w:t>Current managers taken to be licensed</w:t>
      </w:r>
      <w:bookmarkEnd w:id="81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No. 56 of 2010 s. 24.]</w:t>
      </w:r>
    </w:p>
    <w:p>
      <w:pPr>
        <w:pStyle w:val="yHeading5"/>
      </w:pPr>
      <w:bookmarkStart w:id="811" w:name="_Toc131586704"/>
      <w:r>
        <w:t>3.</w:t>
      </w:r>
      <w:r>
        <w:rPr>
          <w:b w:val="0"/>
        </w:rPr>
        <w:tab/>
      </w:r>
      <w:r>
        <w:t>Duration of transitioned approvals</w:t>
      </w:r>
      <w:bookmarkEnd w:id="81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lastRenderedPageBreak/>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No. 56 of 2010 s. 24.]</w:t>
      </w:r>
    </w:p>
    <w:p>
      <w:pPr>
        <w:pStyle w:val="yHeading5"/>
      </w:pPr>
      <w:bookmarkStart w:id="812" w:name="_Toc131586705"/>
      <w:r>
        <w:rPr>
          <w:rStyle w:val="CharSClsNo"/>
        </w:rPr>
        <w:t>4</w:t>
      </w:r>
      <w:r>
        <w:t>.</w:t>
      </w:r>
      <w:r>
        <w:tab/>
        <w:t>Current applications</w:t>
      </w:r>
      <w:bookmarkEnd w:id="81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No. 56 of 2010 s. 24.]</w:t>
      </w:r>
    </w:p>
    <w:p>
      <w:pPr>
        <w:pStyle w:val="yScheduleHeading"/>
      </w:pPr>
      <w:bookmarkStart w:id="813" w:name="_Toc122337117"/>
      <w:bookmarkStart w:id="814" w:name="_Toc122343089"/>
      <w:bookmarkStart w:id="815" w:name="_Toc122513500"/>
      <w:bookmarkStart w:id="816" w:name="_Toc131520063"/>
      <w:bookmarkStart w:id="817" w:name="_Toc131520624"/>
      <w:bookmarkStart w:id="818" w:name="_Toc131586706"/>
      <w:r>
        <w:rPr>
          <w:rStyle w:val="CharSchNo"/>
        </w:rPr>
        <w:lastRenderedPageBreak/>
        <w:t>Schedule 1C</w:t>
      </w:r>
      <w:r>
        <w:rPr>
          <w:rStyle w:val="CharDivNo"/>
        </w:rPr>
        <w:t> </w:t>
      </w:r>
      <w:r>
        <w:t>—</w:t>
      </w:r>
      <w:r>
        <w:rPr>
          <w:rStyle w:val="CharSDivText"/>
        </w:rPr>
        <w:t> </w:t>
      </w:r>
      <w:r>
        <w:rPr>
          <w:rStyle w:val="CharSchText"/>
        </w:rPr>
        <w:t xml:space="preserve">Transitional provisions relating to the </w:t>
      </w:r>
      <w:r>
        <w:rPr>
          <w:rStyle w:val="CharSchText"/>
          <w:i/>
        </w:rPr>
        <w:t>Liquor Control Amendment Act 2018</w:t>
      </w:r>
      <w:bookmarkEnd w:id="813"/>
      <w:bookmarkEnd w:id="814"/>
      <w:bookmarkEnd w:id="815"/>
      <w:bookmarkEnd w:id="816"/>
      <w:bookmarkEnd w:id="817"/>
      <w:bookmarkEnd w:id="818"/>
    </w:p>
    <w:p>
      <w:pPr>
        <w:pStyle w:val="yShoulderClause"/>
      </w:pPr>
      <w:r>
        <w:t>[s. 177C]</w:t>
      </w:r>
    </w:p>
    <w:p>
      <w:pPr>
        <w:pStyle w:val="yFootnoteheading"/>
      </w:pPr>
      <w:r>
        <w:tab/>
        <w:t>[Heading inserted: No. 9 of 2018 s. 70.]</w:t>
      </w:r>
    </w:p>
    <w:p>
      <w:pPr>
        <w:pStyle w:val="yHeading5"/>
      </w:pPr>
      <w:bookmarkStart w:id="819" w:name="_Toc131586707"/>
      <w:r>
        <w:rPr>
          <w:rStyle w:val="CharSClsNo"/>
        </w:rPr>
        <w:t>1</w:t>
      </w:r>
      <w:r>
        <w:t>.</w:t>
      </w:r>
      <w:r>
        <w:tab/>
        <w:t>Application of s. 36B to existing applications for grant or removal of licence</w:t>
      </w:r>
      <w:bookmarkEnd w:id="819"/>
    </w:p>
    <w:p>
      <w:pPr>
        <w:pStyle w:val="ySubsection"/>
      </w:pPr>
      <w:r>
        <w:tab/>
      </w:r>
      <w:r>
        <w:tab/>
        <w:t xml:space="preserve">Section 36B applies to an application for the grant or removal of a licence referred to in section 36B(2) that was made, but not determined by the licensing authority, before the day on which the </w:t>
      </w:r>
      <w:r>
        <w:rPr>
          <w:i/>
        </w:rPr>
        <w:t xml:space="preserve">Liquor Control Amendment Act 2018 </w:t>
      </w:r>
      <w:r>
        <w:t>section 18 comes into operation.</w:t>
      </w:r>
    </w:p>
    <w:p>
      <w:pPr>
        <w:pStyle w:val="yFootnotesection"/>
      </w:pPr>
      <w:r>
        <w:tab/>
        <w:t>[Clause 1 inserted: No. 9 of 2018 s. 70.]</w:t>
      </w:r>
    </w:p>
    <w:p>
      <w:pPr>
        <w:pStyle w:val="yHeading5"/>
      </w:pPr>
      <w:bookmarkStart w:id="820" w:name="_Toc131586708"/>
      <w:r>
        <w:rPr>
          <w:rStyle w:val="CharSClsNo"/>
        </w:rPr>
        <w:t>2</w:t>
      </w:r>
      <w:r>
        <w:t>.</w:t>
      </w:r>
      <w:r>
        <w:tab/>
        <w:t>Small bar licences</w:t>
      </w:r>
      <w:bookmarkEnd w:id="820"/>
    </w:p>
    <w:p>
      <w:pPr>
        <w:pStyle w:val="ySubsection"/>
      </w:pPr>
      <w:r>
        <w:tab/>
        <w:t>(1)</w:t>
      </w:r>
      <w:r>
        <w:tab/>
        <w:t>In this clause —</w:t>
      </w:r>
    </w:p>
    <w:p>
      <w:pPr>
        <w:pStyle w:val="yDefstart"/>
      </w:pPr>
      <w:r>
        <w:tab/>
      </w:r>
      <w:r>
        <w:rPr>
          <w:rStyle w:val="CharDefText"/>
        </w:rPr>
        <w:t>commencement day</w:t>
      </w:r>
      <w:r>
        <w:t xml:space="preserve"> means the day on which the </w:t>
      </w:r>
      <w:r>
        <w:rPr>
          <w:i/>
        </w:rPr>
        <w:t xml:space="preserve">Liquor Control Amendment Act 2018 </w:t>
      </w:r>
      <w:r>
        <w:t>section 21 comes into operation;</w:t>
      </w:r>
    </w:p>
    <w:p>
      <w:pPr>
        <w:pStyle w:val="yDefstart"/>
      </w:pPr>
      <w:r>
        <w:tab/>
      </w:r>
      <w:r>
        <w:rPr>
          <w:rStyle w:val="CharDefText"/>
        </w:rPr>
        <w:t xml:space="preserve">old licence </w:t>
      </w:r>
      <w:r>
        <w:t>means a hotel licence of the kind referred to in section 41(1aa) as in force immediately before commencement day.</w:t>
      </w:r>
    </w:p>
    <w:p>
      <w:pPr>
        <w:pStyle w:val="ySubsection"/>
      </w:pPr>
      <w:r>
        <w:tab/>
        <w:t>(2)</w:t>
      </w:r>
      <w:r>
        <w:tab/>
        <w:t>An old licence that was in effect immediately before commencement day is taken to be a small bar licence under section 41A, subject to the conditions that applied to the old licence immediately before commencement day.</w:t>
      </w:r>
    </w:p>
    <w:p>
      <w:pPr>
        <w:pStyle w:val="ySubsection"/>
        <w:rPr>
          <w:b/>
        </w:rPr>
      </w:pPr>
      <w:r>
        <w:tab/>
        <w:t>(3)</w:t>
      </w:r>
      <w:r>
        <w:tab/>
        <w:t>An application for an old licence that was made, but not determined by the licensing authority, before commencement day is taken to be an application for a small bar licence under section 41A.</w:t>
      </w:r>
    </w:p>
    <w:p>
      <w:pPr>
        <w:pStyle w:val="yFootnotesection"/>
      </w:pPr>
      <w:r>
        <w:tab/>
        <w:t>[Clause 2 inserted: No. 9 of 2018 s. 70.]</w:t>
      </w:r>
    </w:p>
    <w:p>
      <w:pPr>
        <w:pStyle w:val="yHeading5"/>
      </w:pPr>
      <w:bookmarkStart w:id="821" w:name="_Toc131586709"/>
      <w:r>
        <w:rPr>
          <w:rStyle w:val="CharSClsNo"/>
        </w:rPr>
        <w:t>3</w:t>
      </w:r>
      <w:r>
        <w:t>.</w:t>
      </w:r>
      <w:r>
        <w:tab/>
        <w:t>Certain restaurant licences: no fee for application for extended trading permit under section 60(4)(ca)</w:t>
      </w:r>
      <w:bookmarkEnd w:id="82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 xml:space="preserve">Liquor Control Amendment Act 2018 </w:t>
      </w:r>
      <w:r>
        <w:t>section 27 comes into operation;</w:t>
      </w:r>
    </w:p>
    <w:p>
      <w:pPr>
        <w:pStyle w:val="yDefstart"/>
      </w:pPr>
      <w:r>
        <w:lastRenderedPageBreak/>
        <w:tab/>
      </w:r>
      <w:r>
        <w:rPr>
          <w:rStyle w:val="CharDefText"/>
        </w:rPr>
        <w:t>small restaurant licence</w:t>
      </w:r>
      <w:r>
        <w:t xml:space="preserve"> means a restaurant licence that, immediately before commencement day, was subject to a condition limiting the maximum number of persons (excluding responsible persons and authorised officers) who may be on the licensed premises to 120.</w:t>
      </w:r>
    </w:p>
    <w:p>
      <w:pPr>
        <w:pStyle w:val="ySubsection"/>
      </w:pPr>
      <w:r>
        <w:tab/>
        <w:t>(2)</w:t>
      </w:r>
      <w:r>
        <w:tab/>
        <w:t>If, in the period of 12 months beginning on commencement day, the licensee of a small restaurant licence makes an application for an extended trading permit under section 60(4)(ca), then, despite section 68(1)(b), the notice of application is not required to be accompanied by any prescribed fee.</w:t>
      </w:r>
    </w:p>
    <w:p>
      <w:pPr>
        <w:pStyle w:val="yFootnotesection"/>
      </w:pPr>
      <w:r>
        <w:tab/>
        <w:t>[Clause 3 inserted: No. 9 of 2018 s. 70.]</w:t>
      </w:r>
    </w:p>
    <w:p>
      <w:pPr>
        <w:pStyle w:val="yHeading5"/>
      </w:pPr>
      <w:bookmarkStart w:id="822" w:name="_Toc131586710"/>
      <w:r>
        <w:rPr>
          <w:rStyle w:val="CharSClsNo"/>
        </w:rPr>
        <w:t>4</w:t>
      </w:r>
      <w:r>
        <w:t>.</w:t>
      </w:r>
      <w:r>
        <w:tab/>
        <w:t>Application of s. 77A to existing applications for alteration or redefinition of licensed premises</w:t>
      </w:r>
      <w:bookmarkEnd w:id="822"/>
    </w:p>
    <w:p>
      <w:pPr>
        <w:pStyle w:val="ySubsection"/>
      </w:pPr>
      <w:r>
        <w:tab/>
      </w:r>
      <w:r>
        <w:tab/>
        <w:t xml:space="preserve">Section 77A applies to an application under section 77(4) that was made, but not determined by the licensing authority, before the day on which the </w:t>
      </w:r>
      <w:r>
        <w:rPr>
          <w:i/>
        </w:rPr>
        <w:t xml:space="preserve">Liquor Control Amendment Act 2018 </w:t>
      </w:r>
      <w:r>
        <w:t>section 45 comes into operation.</w:t>
      </w:r>
    </w:p>
    <w:p>
      <w:pPr>
        <w:pStyle w:val="yFootnotesection"/>
      </w:pPr>
      <w:r>
        <w:tab/>
        <w:t>[Clause 4 inserted: No. 9 of 2018 s. 70.]</w:t>
      </w:r>
    </w:p>
    <w:p>
      <w:pPr>
        <w:pStyle w:val="yScheduleHeading"/>
      </w:pPr>
      <w:bookmarkStart w:id="823" w:name="_Toc122343094"/>
      <w:bookmarkStart w:id="824" w:name="_Toc122513505"/>
      <w:bookmarkStart w:id="825" w:name="_Toc131520068"/>
      <w:bookmarkStart w:id="826" w:name="_Toc131520629"/>
      <w:bookmarkStart w:id="827" w:name="_Toc131586711"/>
      <w:r>
        <w:rPr>
          <w:rStyle w:val="CharSchNo"/>
        </w:rPr>
        <w:lastRenderedPageBreak/>
        <w:t>Schedule 1D</w:t>
      </w:r>
      <w:r>
        <w:rPr>
          <w:rStyle w:val="CharSDivNo"/>
        </w:rPr>
        <w:t> </w:t>
      </w:r>
      <w:r>
        <w:t>—</w:t>
      </w:r>
      <w:r>
        <w:rPr>
          <w:rStyle w:val="CharSDivText"/>
        </w:rPr>
        <w:t> </w:t>
      </w:r>
      <w:r>
        <w:rPr>
          <w:rStyle w:val="CharSchText"/>
        </w:rPr>
        <w:t xml:space="preserve">Transitional provisions relating to the </w:t>
      </w:r>
      <w:r>
        <w:rPr>
          <w:rStyle w:val="CharSchText"/>
          <w:i/>
        </w:rPr>
        <w:t>Liquor Control Amendment (Protected Entertainment Precincts) Act 2022</w:t>
      </w:r>
      <w:bookmarkEnd w:id="823"/>
      <w:bookmarkEnd w:id="824"/>
      <w:bookmarkEnd w:id="825"/>
      <w:bookmarkEnd w:id="826"/>
      <w:bookmarkEnd w:id="827"/>
    </w:p>
    <w:p>
      <w:pPr>
        <w:pStyle w:val="yShoulderClause"/>
      </w:pPr>
      <w:r>
        <w:t>[s. 177D]</w:t>
      </w:r>
    </w:p>
    <w:p>
      <w:pPr>
        <w:pStyle w:val="yFootnoteheading"/>
      </w:pPr>
      <w:bookmarkStart w:id="828" w:name="_Toc120864930"/>
      <w:bookmarkStart w:id="829" w:name="_Toc122337122"/>
      <w:r>
        <w:tab/>
        <w:t>[Heading inserted: No. 44 of 2022 s. 20.]</w:t>
      </w:r>
    </w:p>
    <w:p>
      <w:pPr>
        <w:pStyle w:val="yHeading5"/>
      </w:pPr>
      <w:bookmarkStart w:id="830" w:name="_Toc131586712"/>
      <w:r>
        <w:rPr>
          <w:rStyle w:val="CharSClsNo"/>
        </w:rPr>
        <w:t>1</w:t>
      </w:r>
      <w:r>
        <w:t>.</w:t>
      </w:r>
      <w:r>
        <w:tab/>
        <w:t>Terms used</w:t>
      </w:r>
      <w:bookmarkEnd w:id="828"/>
      <w:bookmarkEnd w:id="830"/>
    </w:p>
    <w:p>
      <w:pPr>
        <w:pStyle w:val="ySubsection"/>
      </w:pPr>
      <w:r>
        <w:tab/>
      </w:r>
      <w:r>
        <w:tab/>
        <w:t xml:space="preserve">In this Schedule — </w:t>
      </w:r>
    </w:p>
    <w:p>
      <w:pPr>
        <w:pStyle w:val="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yDefstart"/>
      </w:pPr>
      <w:r>
        <w:tab/>
      </w:r>
      <w:r>
        <w:rPr>
          <w:rStyle w:val="CharDefText"/>
        </w:rPr>
        <w:t>conviction</w:t>
      </w:r>
      <w:r>
        <w:t xml:space="preserve"> has the meaning given in section 152NZJ(1);</w:t>
      </w:r>
    </w:p>
    <w:p>
      <w:pPr>
        <w:pStyle w:val="yDefstart"/>
      </w:pPr>
      <w:r>
        <w:tab/>
      </w:r>
      <w:r>
        <w:rPr>
          <w:rStyle w:val="CharDefText"/>
        </w:rPr>
        <w:t>extended exclusion order</w:t>
      </w:r>
      <w:r>
        <w:t xml:space="preserve"> has the meaning given in section 152NC;</w:t>
      </w:r>
    </w:p>
    <w:p>
      <w:pPr>
        <w:pStyle w:val="yDefstart"/>
      </w:pPr>
      <w:r>
        <w:tab/>
      </w:r>
      <w:r>
        <w:rPr>
          <w:rStyle w:val="CharDefText"/>
        </w:rPr>
        <w:t>short</w:t>
      </w:r>
      <w:r>
        <w:rPr>
          <w:rStyle w:val="CharDefText"/>
        </w:rPr>
        <w:noBreakHyphen/>
        <w:t>term exclusion order</w:t>
      </w:r>
      <w:r>
        <w:t xml:space="preserve"> has the meaning given in section 152NC;</w:t>
      </w:r>
    </w:p>
    <w:p>
      <w:pPr>
        <w:pStyle w:val="yDefstart"/>
      </w:pPr>
      <w:r>
        <w:tab/>
      </w:r>
      <w:r>
        <w:rPr>
          <w:rStyle w:val="CharDefText"/>
        </w:rPr>
        <w:t>specified offence</w:t>
      </w:r>
      <w:r>
        <w:t xml:space="preserve"> has the meaning given in section 152NZJ(1).</w:t>
      </w:r>
    </w:p>
    <w:p>
      <w:pPr>
        <w:pStyle w:val="yFootnotesection"/>
      </w:pPr>
      <w:bookmarkStart w:id="831" w:name="_Toc120864931"/>
      <w:r>
        <w:tab/>
        <w:t>[Clause 1 inserted: No. 44 of 2022 s. 20.]</w:t>
      </w:r>
    </w:p>
    <w:p>
      <w:pPr>
        <w:pStyle w:val="yHeading5"/>
      </w:pPr>
      <w:bookmarkStart w:id="832" w:name="_Toc131586713"/>
      <w:r>
        <w:rPr>
          <w:rStyle w:val="CharSClsNo"/>
        </w:rPr>
        <w:t>2</w:t>
      </w:r>
      <w:r>
        <w:t>.</w:t>
      </w:r>
      <w:r>
        <w:tab/>
        <w:t>Application of s. 115AC to existing notices</w:t>
      </w:r>
      <w:bookmarkEnd w:id="831"/>
      <w:bookmarkEnd w:id="832"/>
    </w:p>
    <w:p>
      <w:pPr>
        <w:pStyle w:val="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person under section 115AA(2) whether the notice was given before, on or after the day on which the </w:t>
      </w:r>
      <w:r>
        <w:rPr>
          <w:i/>
        </w:rPr>
        <w:t>Liquor Control Amendment (Protected Entertainment Precincts) Act 2022</w:t>
      </w:r>
      <w:r>
        <w:t xml:space="preserve"> section 11 comes into operation.</w:t>
      </w:r>
    </w:p>
    <w:p>
      <w:pPr>
        <w:pStyle w:val="yFootnotesection"/>
      </w:pPr>
      <w:bookmarkStart w:id="833" w:name="_Toc120864932"/>
      <w:r>
        <w:tab/>
        <w:t>[Clause 2 inserted: No. 44 of 2022 s. 20.]</w:t>
      </w:r>
    </w:p>
    <w:p>
      <w:pPr>
        <w:pStyle w:val="yHeading5"/>
      </w:pPr>
      <w:bookmarkStart w:id="834" w:name="_Toc131586714"/>
      <w:r>
        <w:rPr>
          <w:rStyle w:val="CharSClsNo"/>
        </w:rPr>
        <w:t>3</w:t>
      </w:r>
      <w:r>
        <w:t>.</w:t>
      </w:r>
      <w:r>
        <w:tab/>
        <w:t>Application of s. 152K to existing prohibition orders</w:t>
      </w:r>
      <w:bookmarkEnd w:id="833"/>
      <w:bookmarkEnd w:id="834"/>
    </w:p>
    <w:p>
      <w:pPr>
        <w:pStyle w:val="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pPr>
        <w:pStyle w:val="yFootnotesection"/>
      </w:pPr>
      <w:bookmarkStart w:id="835" w:name="_Toc120864933"/>
      <w:r>
        <w:lastRenderedPageBreak/>
        <w:tab/>
        <w:t>[Clause 3 inserted: No. 44 of 2022 s. 20.]</w:t>
      </w:r>
    </w:p>
    <w:p>
      <w:pPr>
        <w:pStyle w:val="yHeading5"/>
      </w:pPr>
      <w:bookmarkStart w:id="836" w:name="_Toc131586715"/>
      <w:r>
        <w:rPr>
          <w:rStyle w:val="CharSClsNo"/>
        </w:rPr>
        <w:t>4</w:t>
      </w:r>
      <w:r>
        <w:t>.</w:t>
      </w:r>
      <w:r>
        <w:tab/>
        <w:t>Short</w:t>
      </w:r>
      <w:r>
        <w:noBreakHyphen/>
        <w:t>term exclusion orders</w:t>
      </w:r>
      <w:bookmarkEnd w:id="835"/>
      <w:bookmarkEnd w:id="836"/>
    </w:p>
    <w:p>
      <w:pPr>
        <w:pStyle w:val="ySubsection"/>
      </w:pPr>
      <w:r>
        <w:tab/>
      </w:r>
      <w:r>
        <w:tab/>
        <w:t>A short</w:t>
      </w:r>
      <w:r>
        <w:noBreakHyphen/>
        <w:t>term exclusion order must not be made on the basis of behaviour that occurred before commencement day.</w:t>
      </w:r>
    </w:p>
    <w:p>
      <w:pPr>
        <w:pStyle w:val="yFootnotesection"/>
      </w:pPr>
      <w:bookmarkStart w:id="837" w:name="_Toc120864934"/>
      <w:r>
        <w:tab/>
        <w:t>[Clause 4 inserted: No. 44 of 2022 s. 20.]</w:t>
      </w:r>
    </w:p>
    <w:p>
      <w:pPr>
        <w:pStyle w:val="yHeading5"/>
      </w:pPr>
      <w:bookmarkStart w:id="838" w:name="_Toc131586716"/>
      <w:r>
        <w:rPr>
          <w:rStyle w:val="CharSClsNo"/>
        </w:rPr>
        <w:t>5</w:t>
      </w:r>
      <w:r>
        <w:t>.</w:t>
      </w:r>
      <w:r>
        <w:tab/>
        <w:t>Extended exclusion orders</w:t>
      </w:r>
      <w:bookmarkEnd w:id="837"/>
      <w:bookmarkEnd w:id="838"/>
    </w:p>
    <w:p>
      <w:pPr>
        <w:pStyle w:val="ySubsection"/>
      </w:pPr>
      <w:r>
        <w:tab/>
        <w:t>(1)</w:t>
      </w:r>
      <w:r>
        <w:tab/>
        <w:t>Except as provided for in subclause (2), an extended exclusion order must not be made on the basis of behaviour that occurred before commencement day.</w:t>
      </w:r>
    </w:p>
    <w:p>
      <w:pPr>
        <w:pStyle w:val="ySubsection"/>
      </w:pPr>
      <w:r>
        <w:tab/>
        <w:t>(2)</w:t>
      </w:r>
      <w:r>
        <w:tab/>
        <w:t xml:space="preserve">An extended exclusion order to which section 152NM(4) applies may be made whether — </w:t>
      </w:r>
    </w:p>
    <w:p>
      <w:pPr>
        <w:pStyle w:val="yIndenta"/>
      </w:pPr>
      <w:r>
        <w:tab/>
        <w:t>(a)</w:t>
      </w:r>
      <w:r>
        <w:tab/>
        <w:t>the prohibition order referred to in section 152NM(4)(a) was made before, on or after commencement day; or</w:t>
      </w:r>
    </w:p>
    <w:p>
      <w:pPr>
        <w:pStyle w:val="yIndenta"/>
      </w:pPr>
      <w:r>
        <w:tab/>
        <w:t>(b)</w:t>
      </w:r>
      <w:r>
        <w:tab/>
        <w:t>the behaviour referred to in section 152NM(4)(b)(i) occurred before, on or after commencement day.</w:t>
      </w:r>
    </w:p>
    <w:p>
      <w:pPr>
        <w:pStyle w:val="yFootnotesection"/>
      </w:pPr>
      <w:bookmarkStart w:id="839" w:name="_Toc120864935"/>
      <w:r>
        <w:tab/>
        <w:t>[Clause 5 inserted: No. 44 of 2022 s. 20.]</w:t>
      </w:r>
    </w:p>
    <w:p>
      <w:pPr>
        <w:pStyle w:val="yHeading5"/>
      </w:pPr>
      <w:bookmarkStart w:id="840" w:name="_Toc131586717"/>
      <w:r>
        <w:rPr>
          <w:rStyle w:val="CharSClsNo"/>
        </w:rPr>
        <w:t>6</w:t>
      </w:r>
      <w:r>
        <w:t>.</w:t>
      </w:r>
      <w:r>
        <w:tab/>
        <w:t>Excluded offenders</w:t>
      </w:r>
      <w:bookmarkEnd w:id="839"/>
      <w:bookmarkEnd w:id="840"/>
    </w:p>
    <w:p>
      <w:pPr>
        <w:pStyle w:val="ySubsection"/>
      </w:pPr>
      <w:r>
        <w:tab/>
      </w:r>
      <w:r>
        <w:tab/>
        <w:t>For the purposes of section 152NZJ(2), the conviction of the specified offence referred to in section 152NZJ(2)(a) must have occurred on or after commencement day.</w:t>
      </w:r>
    </w:p>
    <w:p>
      <w:pPr>
        <w:pStyle w:val="yFootnotesection"/>
      </w:pPr>
      <w:r>
        <w:tab/>
        <w:t>[Clause 6 inserted: No. 44 of 2022 s. 20.]</w:t>
      </w:r>
    </w:p>
    <w:p>
      <w:pPr>
        <w:pStyle w:val="yScheduleHeading"/>
      </w:pPr>
      <w:bookmarkStart w:id="841" w:name="_Toc122343101"/>
      <w:bookmarkStart w:id="842" w:name="_Toc122513512"/>
      <w:bookmarkStart w:id="843" w:name="_Toc131520075"/>
      <w:bookmarkStart w:id="844" w:name="_Toc131520636"/>
      <w:bookmarkStart w:id="845" w:name="_Toc131586718"/>
      <w:r>
        <w:rPr>
          <w:rStyle w:val="CharSchNo"/>
        </w:rPr>
        <w:lastRenderedPageBreak/>
        <w:t>Schedule 2</w:t>
      </w:r>
      <w:r>
        <w:t> — </w:t>
      </w:r>
      <w:r>
        <w:rPr>
          <w:rStyle w:val="CharSchText"/>
        </w:rPr>
        <w:t>Unincorporated clubs</w:t>
      </w:r>
      <w:bookmarkEnd w:id="829"/>
      <w:bookmarkEnd w:id="841"/>
      <w:bookmarkEnd w:id="842"/>
      <w:bookmarkEnd w:id="843"/>
      <w:bookmarkEnd w:id="844"/>
      <w:bookmarkEnd w:id="845"/>
    </w:p>
    <w:p>
      <w:pPr>
        <w:pStyle w:val="yShoulderClause"/>
        <w:rPr>
          <w:snapToGrid w:val="0"/>
        </w:rPr>
      </w:pPr>
      <w:r>
        <w:rPr>
          <w:snapToGrid w:val="0"/>
        </w:rPr>
        <w:t>[s. 49(1)(a)]</w:t>
      </w:r>
    </w:p>
    <w:p>
      <w:pPr>
        <w:pStyle w:val="yFootnoteheading"/>
      </w:pPr>
      <w:r>
        <w:tab/>
        <w:t>[Heading amended: No. 19 of 2010 s. 4.]</w:t>
      </w:r>
    </w:p>
    <w:p>
      <w:pPr>
        <w:pStyle w:val="yHeading3"/>
      </w:pPr>
      <w:bookmarkStart w:id="846" w:name="_Toc122337123"/>
      <w:bookmarkStart w:id="847" w:name="_Toc122343102"/>
      <w:bookmarkStart w:id="848" w:name="_Toc122513513"/>
      <w:bookmarkStart w:id="849" w:name="_Toc131520076"/>
      <w:bookmarkStart w:id="850" w:name="_Toc131520637"/>
      <w:bookmarkStart w:id="851" w:name="_Toc131586719"/>
      <w:r>
        <w:rPr>
          <w:rStyle w:val="CharSDivNo"/>
        </w:rPr>
        <w:t>Division 1</w:t>
      </w:r>
      <w:r>
        <w:rPr>
          <w:snapToGrid w:val="0"/>
        </w:rPr>
        <w:t> — </w:t>
      </w:r>
      <w:r>
        <w:rPr>
          <w:rStyle w:val="CharSDivText"/>
        </w:rPr>
        <w:t>The Anzac Club</w:t>
      </w:r>
      <w:bookmarkEnd w:id="846"/>
      <w:bookmarkEnd w:id="847"/>
      <w:bookmarkEnd w:id="848"/>
      <w:bookmarkEnd w:id="849"/>
      <w:bookmarkEnd w:id="850"/>
      <w:bookmarkEnd w:id="851"/>
      <w:r>
        <w:rPr>
          <w:snapToGrid w:val="0"/>
        </w:rPr>
        <w:t xml:space="preserve"> </w:t>
      </w:r>
    </w:p>
    <w:p>
      <w:pPr>
        <w:pStyle w:val="yHeading5"/>
        <w:outlineLvl w:val="5"/>
        <w:rPr>
          <w:snapToGrid w:val="0"/>
        </w:rPr>
      </w:pPr>
      <w:bookmarkStart w:id="852" w:name="_Toc131586720"/>
      <w:r>
        <w:rPr>
          <w:rStyle w:val="CharSClsNo"/>
        </w:rPr>
        <w:t>1</w:t>
      </w:r>
      <w:r>
        <w:rPr>
          <w:snapToGrid w:val="0"/>
        </w:rPr>
        <w:t>.</w:t>
      </w:r>
      <w:r>
        <w:rPr>
          <w:snapToGrid w:val="0"/>
        </w:rPr>
        <w:tab/>
        <w:t>Terms used</w:t>
      </w:r>
      <w:bookmarkEnd w:id="852"/>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rPr>
          <w:vertAlign w:val="superscript"/>
        </w:rPr>
        <w:t> 5</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Australia WA Branch Incorporated;</w:t>
      </w:r>
    </w:p>
    <w:p>
      <w:pPr>
        <w:pStyle w:val="yDefstart"/>
      </w:pPr>
      <w:r>
        <w:rPr>
          <w:b/>
        </w:rPr>
        <w:tab/>
      </w:r>
      <w:r>
        <w:rPr>
          <w:rStyle w:val="CharDefText"/>
        </w:rPr>
        <w:t>State Branch Headquarters</w:t>
      </w:r>
      <w:r>
        <w:t xml:space="preserve"> means the premises of the League in Perth, known as Anzac House, and situate at 28 (formerly 30A) St George’s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No. 14 of 1996 s. 4</w:t>
      </w:r>
      <w:r>
        <w:rPr>
          <w:spacing w:val="-4"/>
        </w:rPr>
        <w:t>; No. 47 of 2011 s.</w:t>
      </w:r>
      <w:r>
        <w:t> 17; No. 30 of 2015 s. 232.]</w:t>
      </w:r>
    </w:p>
    <w:p>
      <w:pPr>
        <w:pStyle w:val="yHeading5"/>
        <w:outlineLvl w:val="5"/>
        <w:rPr>
          <w:snapToGrid w:val="0"/>
        </w:rPr>
      </w:pPr>
      <w:bookmarkStart w:id="853" w:name="_Toc131586721"/>
      <w:r>
        <w:rPr>
          <w:rStyle w:val="CharSClsNo"/>
        </w:rPr>
        <w:t>2</w:t>
      </w:r>
      <w:r>
        <w:rPr>
          <w:snapToGrid w:val="0"/>
        </w:rPr>
        <w:t>.</w:t>
      </w:r>
      <w:r>
        <w:rPr>
          <w:snapToGrid w:val="0"/>
        </w:rPr>
        <w:tab/>
        <w:t>Anzac Club</w:t>
      </w:r>
      <w:bookmarkEnd w:id="853"/>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lastRenderedPageBreak/>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854" w:name="_Toc122337126"/>
      <w:bookmarkStart w:id="855" w:name="_Toc122343105"/>
      <w:bookmarkStart w:id="856" w:name="_Toc122513516"/>
      <w:bookmarkStart w:id="857" w:name="_Toc131520079"/>
      <w:bookmarkStart w:id="858" w:name="_Toc131520640"/>
      <w:bookmarkStart w:id="859" w:name="_Toc131586722"/>
      <w:r>
        <w:rPr>
          <w:rStyle w:val="CharSDivNo"/>
        </w:rPr>
        <w:lastRenderedPageBreak/>
        <w:t>Division 2</w:t>
      </w:r>
      <w:r>
        <w:rPr>
          <w:snapToGrid w:val="0"/>
        </w:rPr>
        <w:t> — </w:t>
      </w:r>
      <w:r>
        <w:rPr>
          <w:rStyle w:val="CharSDivText"/>
        </w:rPr>
        <w:t>The Air Force Association Club</w:t>
      </w:r>
      <w:bookmarkEnd w:id="854"/>
      <w:bookmarkEnd w:id="855"/>
      <w:bookmarkEnd w:id="856"/>
      <w:bookmarkEnd w:id="857"/>
      <w:bookmarkEnd w:id="858"/>
      <w:bookmarkEnd w:id="859"/>
      <w:r>
        <w:rPr>
          <w:snapToGrid w:val="0"/>
        </w:rPr>
        <w:t xml:space="preserve"> </w:t>
      </w:r>
    </w:p>
    <w:p>
      <w:pPr>
        <w:pStyle w:val="yHeading5"/>
        <w:outlineLvl w:val="5"/>
        <w:rPr>
          <w:snapToGrid w:val="0"/>
        </w:rPr>
      </w:pPr>
      <w:bookmarkStart w:id="860" w:name="_Toc131586723"/>
      <w:r>
        <w:rPr>
          <w:rStyle w:val="CharSClsNo"/>
        </w:rPr>
        <w:t>1</w:t>
      </w:r>
      <w:r>
        <w:rPr>
          <w:snapToGrid w:val="0"/>
        </w:rPr>
        <w:t>.</w:t>
      </w:r>
      <w:r>
        <w:rPr>
          <w:snapToGrid w:val="0"/>
        </w:rPr>
        <w:tab/>
        <w:t>Terms used</w:t>
      </w:r>
      <w:bookmarkEnd w:id="860"/>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No. 30 of 2015 s. 232.]</w:t>
      </w:r>
    </w:p>
    <w:p>
      <w:pPr>
        <w:pStyle w:val="yHeading5"/>
        <w:outlineLvl w:val="5"/>
        <w:rPr>
          <w:snapToGrid w:val="0"/>
        </w:rPr>
      </w:pPr>
      <w:bookmarkStart w:id="861" w:name="_Toc131586724"/>
      <w:r>
        <w:rPr>
          <w:rStyle w:val="CharSClsNo"/>
        </w:rPr>
        <w:t>2</w:t>
      </w:r>
      <w:r>
        <w:rPr>
          <w:snapToGrid w:val="0"/>
        </w:rPr>
        <w:t>.</w:t>
      </w:r>
      <w:r>
        <w:rPr>
          <w:snapToGrid w:val="0"/>
        </w:rPr>
        <w:tab/>
        <w:t>Air Force Association (Western Australia Division) Club</w:t>
      </w:r>
      <w:bookmarkEnd w:id="861"/>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lastRenderedPageBreak/>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No. 12 of 1998 s. 96; No. 73 of 2006 s. 105.] </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862" w:name="_Toc122337129"/>
      <w:bookmarkStart w:id="863" w:name="_Toc122343108"/>
      <w:bookmarkStart w:id="864" w:name="_Toc122513519"/>
      <w:bookmarkStart w:id="865" w:name="_Toc131520082"/>
      <w:bookmarkStart w:id="866" w:name="_Toc131520643"/>
      <w:bookmarkStart w:id="867" w:name="_Toc131586725"/>
      <w:r>
        <w:lastRenderedPageBreak/>
        <w:t>Notes</w:t>
      </w:r>
      <w:bookmarkEnd w:id="862"/>
      <w:bookmarkEnd w:id="863"/>
      <w:bookmarkEnd w:id="864"/>
      <w:bookmarkEnd w:id="865"/>
      <w:bookmarkEnd w:id="866"/>
      <w:bookmarkEnd w:id="867"/>
    </w:p>
    <w:p>
      <w:pPr>
        <w:pStyle w:val="nStatement"/>
      </w:pPr>
      <w:r>
        <w:t xml:space="preserve">This is a compilation of the </w:t>
      </w:r>
      <w:r>
        <w:rPr>
          <w:i/>
          <w:noProof/>
        </w:rPr>
        <w:t>Liquor Control Act 1988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68" w:name="_Toc131586726"/>
      <w:r>
        <w:t>Compilation table</w:t>
      </w:r>
      <w:bookmarkEnd w:id="868"/>
    </w:p>
    <w:tbl>
      <w:tblPr>
        <w:tblW w:w="7124" w:type="dxa"/>
        <w:tblInd w:w="28" w:type="dxa"/>
        <w:tblLayout w:type="fixed"/>
        <w:tblCellMar>
          <w:left w:w="56" w:type="dxa"/>
          <w:right w:w="56" w:type="dxa"/>
        </w:tblCellMar>
        <w:tblLook w:val="0000" w:firstRow="0" w:lastRow="0" w:firstColumn="0" w:lastColumn="0" w:noHBand="0" w:noVBand="0"/>
      </w:tblPr>
      <w:tblGrid>
        <w:gridCol w:w="14"/>
        <w:gridCol w:w="14"/>
        <w:gridCol w:w="2268"/>
        <w:gridCol w:w="993"/>
        <w:gridCol w:w="1275"/>
        <w:gridCol w:w="2529"/>
        <w:gridCol w:w="16"/>
        <w:gridCol w:w="15"/>
      </w:tblGrid>
      <w:tr>
        <w:trPr>
          <w:gridAfter w:val="2"/>
          <w:wAfter w:w="31" w:type="dxa"/>
          <w:cantSplit/>
          <w:tblHeader/>
        </w:trPr>
        <w:tc>
          <w:tcPr>
            <w:tcW w:w="2296"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275" w:type="dxa"/>
            <w:tcBorders>
              <w:top w:val="single" w:sz="8" w:space="0" w:color="auto"/>
              <w:bottom w:val="single" w:sz="8" w:space="0" w:color="auto"/>
            </w:tcBorders>
            <w:shd w:val="clear" w:color="auto" w:fill="auto"/>
          </w:tcPr>
          <w:p>
            <w:pPr>
              <w:pStyle w:val="nTable"/>
              <w:spacing w:after="40"/>
              <w:rPr>
                <w:b/>
              </w:rPr>
            </w:pPr>
            <w:r>
              <w:rPr>
                <w:b/>
              </w:rPr>
              <w:t>Assent</w:t>
            </w:r>
          </w:p>
        </w:tc>
        <w:tc>
          <w:tcPr>
            <w:tcW w:w="2529"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31" w:type="dxa"/>
          <w:cantSplit/>
        </w:trPr>
        <w:tc>
          <w:tcPr>
            <w:tcW w:w="2296" w:type="dxa"/>
            <w:gridSpan w:val="3"/>
          </w:tcPr>
          <w:p>
            <w:pPr>
              <w:pStyle w:val="nTable"/>
              <w:spacing w:after="40"/>
              <w:ind w:right="113"/>
            </w:pPr>
            <w:r>
              <w:rPr>
                <w:i/>
              </w:rPr>
              <w:t>Liquor Licensing Act 1988</w:t>
            </w:r>
            <w:r>
              <w:rPr>
                <w:vertAlign w:val="superscript"/>
              </w:rPr>
              <w:t> 6</w:t>
            </w:r>
          </w:p>
        </w:tc>
        <w:tc>
          <w:tcPr>
            <w:tcW w:w="993" w:type="dxa"/>
          </w:tcPr>
          <w:p>
            <w:pPr>
              <w:pStyle w:val="nTable"/>
              <w:spacing w:after="40"/>
            </w:pPr>
            <w:r>
              <w:t>54 of 1988</w:t>
            </w:r>
          </w:p>
        </w:tc>
        <w:tc>
          <w:tcPr>
            <w:tcW w:w="1275" w:type="dxa"/>
          </w:tcPr>
          <w:p>
            <w:pPr>
              <w:pStyle w:val="nTable"/>
              <w:spacing w:after="40"/>
            </w:pPr>
            <w:r>
              <w:t>9 Dec 1988</w:t>
            </w:r>
          </w:p>
        </w:tc>
        <w:tc>
          <w:tcPr>
            <w:tcW w:w="2529" w:type="dxa"/>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31" w:type="dxa"/>
          <w:cantSplit/>
        </w:trPr>
        <w:tc>
          <w:tcPr>
            <w:tcW w:w="2296" w:type="dxa"/>
            <w:gridSpan w:val="3"/>
          </w:tcPr>
          <w:p>
            <w:pPr>
              <w:pStyle w:val="nTable"/>
              <w:spacing w:after="40"/>
              <w:ind w:right="113"/>
            </w:pPr>
            <w:r>
              <w:rPr>
                <w:i/>
              </w:rPr>
              <w:t xml:space="preserve">Financial Administration Legislation Amendment Act 1993 </w:t>
            </w:r>
            <w:r>
              <w:t>s. 11</w:t>
            </w:r>
          </w:p>
        </w:tc>
        <w:tc>
          <w:tcPr>
            <w:tcW w:w="993" w:type="dxa"/>
          </w:tcPr>
          <w:p>
            <w:pPr>
              <w:pStyle w:val="nTable"/>
              <w:spacing w:after="40"/>
            </w:pPr>
            <w:r>
              <w:t>6 of 1993</w:t>
            </w:r>
          </w:p>
        </w:tc>
        <w:tc>
          <w:tcPr>
            <w:tcW w:w="1275" w:type="dxa"/>
          </w:tcPr>
          <w:p>
            <w:pPr>
              <w:pStyle w:val="nTable"/>
              <w:spacing w:after="40"/>
            </w:pPr>
            <w:r>
              <w:t>27 Aug 1993</w:t>
            </w:r>
          </w:p>
        </w:tc>
        <w:tc>
          <w:tcPr>
            <w:tcW w:w="2529" w:type="dxa"/>
          </w:tcPr>
          <w:p>
            <w:pPr>
              <w:pStyle w:val="nTable"/>
              <w:spacing w:after="40"/>
            </w:pPr>
            <w:r>
              <w:t>1 Jul 1993 (see s. 2(1))</w:t>
            </w:r>
          </w:p>
        </w:tc>
      </w:tr>
      <w:tr>
        <w:trPr>
          <w:gridAfter w:val="2"/>
          <w:wAfter w:w="31" w:type="dxa"/>
          <w:cantSplit/>
        </w:trPr>
        <w:tc>
          <w:tcPr>
            <w:tcW w:w="2296" w:type="dxa"/>
            <w:gridSpan w:val="3"/>
          </w:tcPr>
          <w:p>
            <w:pPr>
              <w:pStyle w:val="nTable"/>
              <w:spacing w:after="40"/>
              <w:ind w:right="113"/>
            </w:pPr>
            <w:r>
              <w:rPr>
                <w:i/>
              </w:rPr>
              <w:t xml:space="preserve">Acts Amendment (Public Sector Management) Act 1994 </w:t>
            </w:r>
            <w:r>
              <w:t>s. 3(2)</w:t>
            </w:r>
          </w:p>
        </w:tc>
        <w:tc>
          <w:tcPr>
            <w:tcW w:w="993" w:type="dxa"/>
          </w:tcPr>
          <w:p>
            <w:pPr>
              <w:pStyle w:val="nTable"/>
              <w:spacing w:after="40"/>
            </w:pPr>
            <w:r>
              <w:t>32 of 1994</w:t>
            </w:r>
          </w:p>
        </w:tc>
        <w:tc>
          <w:tcPr>
            <w:tcW w:w="1275" w:type="dxa"/>
          </w:tcPr>
          <w:p>
            <w:pPr>
              <w:pStyle w:val="nTable"/>
              <w:spacing w:after="40"/>
            </w:pPr>
            <w:r>
              <w:t>29 Jun 1994</w:t>
            </w:r>
          </w:p>
        </w:tc>
        <w:tc>
          <w:tcPr>
            <w:tcW w:w="2529" w:type="dxa"/>
          </w:tcPr>
          <w:p>
            <w:pPr>
              <w:pStyle w:val="nTable"/>
              <w:spacing w:after="40"/>
            </w:pPr>
            <w:r>
              <w:t xml:space="preserve">1 Oct 1994 (see s. 2 and </w:t>
            </w:r>
            <w:r>
              <w:rPr>
                <w:i/>
              </w:rPr>
              <w:t>Gazette</w:t>
            </w:r>
            <w:r>
              <w:t xml:space="preserve"> 30 Sep 1994 p. 4948)</w:t>
            </w:r>
          </w:p>
        </w:tc>
      </w:tr>
      <w:tr>
        <w:trPr>
          <w:gridAfter w:val="2"/>
          <w:wAfter w:w="31" w:type="dxa"/>
          <w:cantSplit/>
        </w:trPr>
        <w:tc>
          <w:tcPr>
            <w:tcW w:w="2296" w:type="dxa"/>
            <w:gridSpan w:val="3"/>
          </w:tcPr>
          <w:p>
            <w:pPr>
              <w:pStyle w:val="nTable"/>
              <w:spacing w:after="40"/>
              <w:ind w:right="113"/>
            </w:pPr>
            <w:r>
              <w:rPr>
                <w:i/>
              </w:rPr>
              <w:t xml:space="preserve">Statutes (Repeals and Minor Amendments) Act 1994 </w:t>
            </w:r>
            <w:r>
              <w:t>s. 4</w:t>
            </w:r>
          </w:p>
        </w:tc>
        <w:tc>
          <w:tcPr>
            <w:tcW w:w="993" w:type="dxa"/>
          </w:tcPr>
          <w:p>
            <w:pPr>
              <w:pStyle w:val="nTable"/>
              <w:spacing w:after="40"/>
            </w:pPr>
            <w:r>
              <w:t>73 of 1994</w:t>
            </w:r>
          </w:p>
        </w:tc>
        <w:tc>
          <w:tcPr>
            <w:tcW w:w="1275" w:type="dxa"/>
          </w:tcPr>
          <w:p>
            <w:pPr>
              <w:pStyle w:val="nTable"/>
              <w:spacing w:after="40"/>
            </w:pPr>
            <w:r>
              <w:t>9 Dec 1994</w:t>
            </w:r>
          </w:p>
        </w:tc>
        <w:tc>
          <w:tcPr>
            <w:tcW w:w="2529" w:type="dxa"/>
          </w:tcPr>
          <w:p>
            <w:pPr>
              <w:pStyle w:val="nTable"/>
              <w:spacing w:after="40"/>
            </w:pPr>
            <w:r>
              <w:t>9 Dec 1994 (see s. 2)</w:t>
            </w:r>
          </w:p>
        </w:tc>
      </w:tr>
      <w:tr>
        <w:trPr>
          <w:gridAfter w:val="2"/>
          <w:wAfter w:w="31" w:type="dxa"/>
          <w:cantSplit/>
        </w:trPr>
        <w:tc>
          <w:tcPr>
            <w:tcW w:w="2296" w:type="dxa"/>
            <w:gridSpan w:val="3"/>
          </w:tcPr>
          <w:p>
            <w:pPr>
              <w:pStyle w:val="nTable"/>
              <w:spacing w:after="40"/>
              <w:ind w:right="113"/>
            </w:pPr>
            <w:r>
              <w:rPr>
                <w:i/>
              </w:rPr>
              <w:t xml:space="preserve">Acts Amendment (Fines, Penalties and Infringement Notices) Act 1994 </w:t>
            </w:r>
            <w:r>
              <w:t>s. 22</w:t>
            </w:r>
          </w:p>
        </w:tc>
        <w:tc>
          <w:tcPr>
            <w:tcW w:w="993" w:type="dxa"/>
          </w:tcPr>
          <w:p>
            <w:pPr>
              <w:pStyle w:val="nTable"/>
              <w:spacing w:after="40"/>
            </w:pPr>
            <w:r>
              <w:t>92 of 1994</w:t>
            </w:r>
          </w:p>
        </w:tc>
        <w:tc>
          <w:tcPr>
            <w:tcW w:w="1275" w:type="dxa"/>
          </w:tcPr>
          <w:p>
            <w:pPr>
              <w:pStyle w:val="nTable"/>
              <w:spacing w:after="40"/>
            </w:pPr>
            <w:r>
              <w:t>23 Dec 1994</w:t>
            </w:r>
          </w:p>
        </w:tc>
        <w:tc>
          <w:tcPr>
            <w:tcW w:w="2529" w:type="dxa"/>
          </w:tcPr>
          <w:p>
            <w:pPr>
              <w:pStyle w:val="nTable"/>
              <w:spacing w:after="40"/>
            </w:pPr>
            <w:r>
              <w:t xml:space="preserve">1 Jan 1995 (see s. 2(1) and </w:t>
            </w:r>
            <w:r>
              <w:rPr>
                <w:i/>
              </w:rPr>
              <w:t>Gazette</w:t>
            </w:r>
            <w:r>
              <w:t xml:space="preserve"> 30 Dec 1994 p. 7211)</w:t>
            </w:r>
          </w:p>
        </w:tc>
      </w:tr>
      <w:tr>
        <w:trPr>
          <w:gridAfter w:val="2"/>
          <w:wAfter w:w="31" w:type="dxa"/>
          <w:cantSplit/>
        </w:trPr>
        <w:tc>
          <w:tcPr>
            <w:tcW w:w="2296" w:type="dxa"/>
            <w:gridSpan w:val="3"/>
          </w:tcPr>
          <w:p>
            <w:pPr>
              <w:pStyle w:val="nTable"/>
              <w:spacing w:after="40"/>
              <w:ind w:right="113"/>
            </w:pPr>
            <w:r>
              <w:rPr>
                <w:i/>
              </w:rPr>
              <w:t xml:space="preserve">Sentencing (Consequential Provisions) Act 1995 </w:t>
            </w:r>
            <w:r>
              <w:t>s. 66</w:t>
            </w:r>
          </w:p>
        </w:tc>
        <w:tc>
          <w:tcPr>
            <w:tcW w:w="993" w:type="dxa"/>
          </w:tcPr>
          <w:p>
            <w:pPr>
              <w:pStyle w:val="nTable"/>
              <w:spacing w:after="40"/>
            </w:pPr>
            <w:r>
              <w:t>78 of 1995</w:t>
            </w:r>
          </w:p>
        </w:tc>
        <w:tc>
          <w:tcPr>
            <w:tcW w:w="1275" w:type="dxa"/>
          </w:tcPr>
          <w:p>
            <w:pPr>
              <w:pStyle w:val="nTable"/>
              <w:spacing w:after="40"/>
            </w:pPr>
            <w:r>
              <w:t>16 Jan 1996</w:t>
            </w:r>
          </w:p>
        </w:tc>
        <w:tc>
          <w:tcPr>
            <w:tcW w:w="2529" w:type="dxa"/>
          </w:tcPr>
          <w:p>
            <w:pPr>
              <w:pStyle w:val="nTable"/>
              <w:spacing w:after="40"/>
            </w:pPr>
            <w:r>
              <w:t xml:space="preserve">4 Nov 1996 (see s. 2 and </w:t>
            </w:r>
            <w:r>
              <w:rPr>
                <w:i/>
              </w:rPr>
              <w:t xml:space="preserve">Gazette </w:t>
            </w:r>
            <w:r>
              <w:t>25 Oct 1996 p. 5632)</w:t>
            </w:r>
          </w:p>
        </w:tc>
      </w:tr>
      <w:tr>
        <w:trPr>
          <w:gridAfter w:val="2"/>
          <w:wAfter w:w="31" w:type="dxa"/>
          <w:cantSplit/>
        </w:trPr>
        <w:tc>
          <w:tcPr>
            <w:tcW w:w="2296" w:type="dxa"/>
            <w:gridSpan w:val="3"/>
          </w:tcPr>
          <w:p>
            <w:pPr>
              <w:pStyle w:val="nTable"/>
              <w:spacing w:after="40"/>
              <w:ind w:right="113"/>
            </w:pPr>
            <w:r>
              <w:rPr>
                <w:i/>
              </w:rPr>
              <w:t xml:space="preserve">Local Government (Consequential Amendments) Act 1996 </w:t>
            </w:r>
            <w:r>
              <w:t>s. 4</w:t>
            </w:r>
          </w:p>
        </w:tc>
        <w:tc>
          <w:tcPr>
            <w:tcW w:w="993" w:type="dxa"/>
          </w:tcPr>
          <w:p>
            <w:pPr>
              <w:pStyle w:val="nTable"/>
              <w:keepNext/>
              <w:keepLines/>
              <w:spacing w:after="40"/>
            </w:pPr>
            <w:r>
              <w:t>14 of 1996</w:t>
            </w:r>
          </w:p>
        </w:tc>
        <w:tc>
          <w:tcPr>
            <w:tcW w:w="1275" w:type="dxa"/>
          </w:tcPr>
          <w:p>
            <w:pPr>
              <w:pStyle w:val="nTable"/>
              <w:keepNext/>
              <w:keepLines/>
              <w:spacing w:after="40"/>
            </w:pPr>
            <w:r>
              <w:t>28 Jun 1996</w:t>
            </w:r>
          </w:p>
        </w:tc>
        <w:tc>
          <w:tcPr>
            <w:tcW w:w="2529" w:type="dxa"/>
          </w:tcPr>
          <w:p>
            <w:pPr>
              <w:pStyle w:val="nTable"/>
              <w:keepNext/>
              <w:keepLines/>
              <w:spacing w:after="40"/>
            </w:pPr>
            <w:r>
              <w:t>1 Jul 1996 (see s. 2)</w:t>
            </w:r>
          </w:p>
        </w:tc>
      </w:tr>
      <w:tr>
        <w:trPr>
          <w:gridAfter w:val="2"/>
          <w:wAfter w:w="31" w:type="dxa"/>
          <w:cantSplit/>
        </w:trPr>
        <w:tc>
          <w:tcPr>
            <w:tcW w:w="2296" w:type="dxa"/>
            <w:gridSpan w:val="3"/>
          </w:tcPr>
          <w:p>
            <w:pPr>
              <w:pStyle w:val="nTable"/>
              <w:spacing w:after="40"/>
              <w:ind w:right="113"/>
            </w:pPr>
            <w:r>
              <w:rPr>
                <w:i/>
              </w:rPr>
              <w:t xml:space="preserve">Financial Legislation Amendment Act 1996 </w:t>
            </w:r>
            <w:r>
              <w:t>s. 64</w:t>
            </w:r>
          </w:p>
        </w:tc>
        <w:tc>
          <w:tcPr>
            <w:tcW w:w="993" w:type="dxa"/>
          </w:tcPr>
          <w:p>
            <w:pPr>
              <w:pStyle w:val="nTable"/>
              <w:spacing w:after="40"/>
            </w:pPr>
            <w:r>
              <w:t>49 of 1996</w:t>
            </w:r>
          </w:p>
        </w:tc>
        <w:tc>
          <w:tcPr>
            <w:tcW w:w="1275" w:type="dxa"/>
          </w:tcPr>
          <w:p>
            <w:pPr>
              <w:pStyle w:val="nTable"/>
              <w:spacing w:after="40"/>
            </w:pPr>
            <w:r>
              <w:t>25 Oct 1996</w:t>
            </w:r>
          </w:p>
        </w:tc>
        <w:tc>
          <w:tcPr>
            <w:tcW w:w="2529" w:type="dxa"/>
          </w:tcPr>
          <w:p>
            <w:pPr>
              <w:pStyle w:val="nTable"/>
              <w:spacing w:after="40"/>
            </w:pPr>
            <w:r>
              <w:t>25 Oct 1996 (see s. 2(1))</w:t>
            </w:r>
          </w:p>
        </w:tc>
      </w:tr>
      <w:tr>
        <w:trPr>
          <w:gridAfter w:val="2"/>
          <w:wAfter w:w="31" w:type="dxa"/>
          <w:cantSplit/>
        </w:trPr>
        <w:tc>
          <w:tcPr>
            <w:tcW w:w="2296" w:type="dxa"/>
            <w:gridSpan w:val="3"/>
          </w:tcPr>
          <w:p>
            <w:pPr>
              <w:pStyle w:val="nTable"/>
              <w:spacing w:after="40"/>
              <w:ind w:right="113"/>
            </w:pPr>
            <w:r>
              <w:rPr>
                <w:i/>
              </w:rPr>
              <w:t xml:space="preserve">Acts Amendment (Franchise Fees) Act 1997 </w:t>
            </w:r>
            <w:r>
              <w:t>Pt. 4</w:t>
            </w:r>
          </w:p>
        </w:tc>
        <w:tc>
          <w:tcPr>
            <w:tcW w:w="993" w:type="dxa"/>
          </w:tcPr>
          <w:p>
            <w:pPr>
              <w:pStyle w:val="nTable"/>
              <w:spacing w:after="40"/>
            </w:pPr>
            <w:r>
              <w:t>56 of 1997</w:t>
            </w:r>
          </w:p>
        </w:tc>
        <w:tc>
          <w:tcPr>
            <w:tcW w:w="1275" w:type="dxa"/>
          </w:tcPr>
          <w:p>
            <w:pPr>
              <w:pStyle w:val="nTable"/>
              <w:spacing w:after="40"/>
            </w:pPr>
            <w:r>
              <w:t>12 Dec 1997</w:t>
            </w:r>
          </w:p>
        </w:tc>
        <w:tc>
          <w:tcPr>
            <w:tcW w:w="2529" w:type="dxa"/>
          </w:tcPr>
          <w:p>
            <w:pPr>
              <w:pStyle w:val="nTable"/>
              <w:spacing w:after="40"/>
            </w:pPr>
            <w:r>
              <w:t xml:space="preserve">31 Jan 1998 (see s. 2 and </w:t>
            </w:r>
            <w:r>
              <w:rPr>
                <w:i/>
              </w:rPr>
              <w:t>Gazette</w:t>
            </w:r>
            <w:r>
              <w:t xml:space="preserve"> 30 Jan 1998 p. 577)</w:t>
            </w:r>
          </w:p>
        </w:tc>
      </w:tr>
      <w:tr>
        <w:trPr>
          <w:gridAfter w:val="2"/>
          <w:wAfter w:w="31" w:type="dxa"/>
          <w:cantSplit/>
        </w:trPr>
        <w:tc>
          <w:tcPr>
            <w:tcW w:w="2296" w:type="dxa"/>
            <w:gridSpan w:val="3"/>
          </w:tcPr>
          <w:p>
            <w:pPr>
              <w:pStyle w:val="nTable"/>
              <w:spacing w:after="40"/>
              <w:ind w:right="113"/>
            </w:pPr>
            <w:r>
              <w:rPr>
                <w:i/>
              </w:rPr>
              <w:t>Liquor Licensing Amendment Act 1998</w:t>
            </w:r>
          </w:p>
        </w:tc>
        <w:tc>
          <w:tcPr>
            <w:tcW w:w="993" w:type="dxa"/>
          </w:tcPr>
          <w:p>
            <w:pPr>
              <w:pStyle w:val="nTable"/>
              <w:spacing w:after="40"/>
            </w:pPr>
            <w:r>
              <w:t>12 of 1998</w:t>
            </w:r>
          </w:p>
        </w:tc>
        <w:tc>
          <w:tcPr>
            <w:tcW w:w="1275" w:type="dxa"/>
          </w:tcPr>
          <w:p>
            <w:pPr>
              <w:pStyle w:val="nTable"/>
              <w:spacing w:after="40"/>
            </w:pPr>
            <w:r>
              <w:t>12 May 1998</w:t>
            </w:r>
          </w:p>
        </w:tc>
        <w:tc>
          <w:tcPr>
            <w:tcW w:w="2529" w:type="dxa"/>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31" w:type="dxa"/>
          <w:cantSplit/>
        </w:trPr>
        <w:tc>
          <w:tcPr>
            <w:tcW w:w="7093" w:type="dxa"/>
            <w:gridSpan w:val="6"/>
          </w:tcPr>
          <w:p>
            <w:pPr>
              <w:pStyle w:val="nTable"/>
              <w:spacing w:after="40"/>
            </w:pPr>
            <w:r>
              <w:rPr>
                <w:b/>
              </w:rPr>
              <w:lastRenderedPageBreak/>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31" w:type="dxa"/>
          <w:cantSplit/>
        </w:trPr>
        <w:tc>
          <w:tcPr>
            <w:tcW w:w="2296" w:type="dxa"/>
            <w:gridSpan w:val="3"/>
          </w:tcPr>
          <w:p>
            <w:pPr>
              <w:pStyle w:val="nTable"/>
              <w:spacing w:after="40"/>
              <w:ind w:right="113"/>
              <w:rPr>
                <w:i/>
              </w:rPr>
            </w:pPr>
            <w:r>
              <w:rPr>
                <w:i/>
              </w:rPr>
              <w:t>Liquor Licensing Amendment (Petrol Stations and Lodgers’ Registers) Act 2000</w:t>
            </w:r>
          </w:p>
        </w:tc>
        <w:tc>
          <w:tcPr>
            <w:tcW w:w="993" w:type="dxa"/>
          </w:tcPr>
          <w:p>
            <w:pPr>
              <w:pStyle w:val="nTable"/>
              <w:spacing w:after="40"/>
            </w:pPr>
            <w:r>
              <w:t>23 of 2000</w:t>
            </w:r>
          </w:p>
        </w:tc>
        <w:tc>
          <w:tcPr>
            <w:tcW w:w="1275" w:type="dxa"/>
          </w:tcPr>
          <w:p>
            <w:pPr>
              <w:pStyle w:val="nTable"/>
              <w:spacing w:after="40"/>
            </w:pPr>
            <w:r>
              <w:t xml:space="preserve">30 Jun 2000 </w:t>
            </w:r>
          </w:p>
        </w:tc>
        <w:tc>
          <w:tcPr>
            <w:tcW w:w="2529" w:type="dxa"/>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31" w:type="dxa"/>
          <w:cantSplit/>
        </w:trPr>
        <w:tc>
          <w:tcPr>
            <w:tcW w:w="2296" w:type="dxa"/>
            <w:gridSpan w:val="3"/>
          </w:tcPr>
          <w:p>
            <w:pPr>
              <w:pStyle w:val="nTable"/>
              <w:spacing w:after="40"/>
              <w:ind w:right="113"/>
            </w:pPr>
            <w:r>
              <w:rPr>
                <w:i/>
              </w:rPr>
              <w:t xml:space="preserve">Courts Legislation Amendment Act 2000 </w:t>
            </w:r>
            <w:r>
              <w:t>Pt. 3</w:t>
            </w:r>
            <w:r>
              <w:rPr>
                <w:vertAlign w:val="superscript"/>
              </w:rPr>
              <w:t> 7</w:t>
            </w:r>
          </w:p>
        </w:tc>
        <w:tc>
          <w:tcPr>
            <w:tcW w:w="993" w:type="dxa"/>
          </w:tcPr>
          <w:p>
            <w:pPr>
              <w:pStyle w:val="nTable"/>
              <w:spacing w:after="40"/>
            </w:pPr>
            <w:r>
              <w:t>27 of 2000</w:t>
            </w:r>
          </w:p>
        </w:tc>
        <w:tc>
          <w:tcPr>
            <w:tcW w:w="1275" w:type="dxa"/>
          </w:tcPr>
          <w:p>
            <w:pPr>
              <w:pStyle w:val="nTable"/>
              <w:spacing w:after="40"/>
            </w:pPr>
            <w:r>
              <w:t>6 Jul 2000</w:t>
            </w:r>
          </w:p>
        </w:tc>
        <w:tc>
          <w:tcPr>
            <w:tcW w:w="2529" w:type="dxa"/>
          </w:tcPr>
          <w:p>
            <w:pPr>
              <w:pStyle w:val="nTable"/>
              <w:spacing w:after="40"/>
            </w:pPr>
            <w:r>
              <w:t>6 Jul 2000 (see s. 2(1))</w:t>
            </w:r>
          </w:p>
        </w:tc>
      </w:tr>
      <w:tr>
        <w:trPr>
          <w:gridAfter w:val="2"/>
          <w:wAfter w:w="31" w:type="dxa"/>
          <w:cantSplit/>
        </w:trPr>
        <w:tc>
          <w:tcPr>
            <w:tcW w:w="7093" w:type="dxa"/>
            <w:gridSpan w:val="6"/>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31" w:type="dxa"/>
          <w:cantSplit/>
        </w:trPr>
        <w:tc>
          <w:tcPr>
            <w:tcW w:w="2296" w:type="dxa"/>
            <w:gridSpan w:val="3"/>
          </w:tcPr>
          <w:p>
            <w:pPr>
              <w:pStyle w:val="nTable"/>
              <w:spacing w:after="40"/>
              <w:ind w:right="113"/>
              <w:rPr>
                <w:i/>
              </w:rPr>
            </w:pPr>
            <w:r>
              <w:rPr>
                <w:i/>
              </w:rPr>
              <w:t>Corporations (Consequential Amendments) Act 2001</w:t>
            </w:r>
            <w:r>
              <w:t xml:space="preserve"> s. 220</w:t>
            </w:r>
          </w:p>
        </w:tc>
        <w:tc>
          <w:tcPr>
            <w:tcW w:w="993" w:type="dxa"/>
          </w:tcPr>
          <w:p>
            <w:pPr>
              <w:pStyle w:val="nTable"/>
              <w:spacing w:after="40"/>
            </w:pPr>
            <w:r>
              <w:t>10 of 2001</w:t>
            </w:r>
          </w:p>
        </w:tc>
        <w:tc>
          <w:tcPr>
            <w:tcW w:w="1275" w:type="dxa"/>
          </w:tcPr>
          <w:p>
            <w:pPr>
              <w:pStyle w:val="nTable"/>
              <w:spacing w:after="40"/>
            </w:pPr>
            <w:r>
              <w:t>28 Jun 2001</w:t>
            </w:r>
          </w:p>
        </w:tc>
        <w:tc>
          <w:tcPr>
            <w:tcW w:w="252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31" w:type="dxa"/>
          <w:cantSplit/>
        </w:trPr>
        <w:tc>
          <w:tcPr>
            <w:tcW w:w="2296" w:type="dxa"/>
            <w:gridSpan w:val="3"/>
          </w:tcPr>
          <w:p>
            <w:pPr>
              <w:pStyle w:val="nTable"/>
              <w:tabs>
                <w:tab w:val="left" w:pos="1436"/>
              </w:tabs>
              <w:spacing w:after="40"/>
              <w:ind w:right="113"/>
            </w:pPr>
            <w:r>
              <w:rPr>
                <w:i/>
              </w:rPr>
              <w:t>Liquor Licensing Amendment Act 2001</w:t>
            </w:r>
            <w:r>
              <w:rPr>
                <w:vertAlign w:val="superscript"/>
              </w:rPr>
              <w:t> 8</w:t>
            </w:r>
          </w:p>
        </w:tc>
        <w:tc>
          <w:tcPr>
            <w:tcW w:w="993" w:type="dxa"/>
          </w:tcPr>
          <w:p>
            <w:pPr>
              <w:pStyle w:val="nTable"/>
              <w:spacing w:after="40"/>
            </w:pPr>
            <w:r>
              <w:t>26 of 2001</w:t>
            </w:r>
          </w:p>
        </w:tc>
        <w:tc>
          <w:tcPr>
            <w:tcW w:w="1275" w:type="dxa"/>
          </w:tcPr>
          <w:p>
            <w:pPr>
              <w:pStyle w:val="nTable"/>
              <w:spacing w:after="40"/>
            </w:pPr>
            <w:r>
              <w:t>5 Dec 2001</w:t>
            </w:r>
          </w:p>
        </w:tc>
        <w:tc>
          <w:tcPr>
            <w:tcW w:w="2529" w:type="dxa"/>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31" w:type="dxa"/>
          <w:cantSplit/>
        </w:trPr>
        <w:tc>
          <w:tcPr>
            <w:tcW w:w="2296" w:type="dxa"/>
            <w:gridSpan w:val="3"/>
          </w:tcPr>
          <w:p>
            <w:pPr>
              <w:pStyle w:val="nTable"/>
              <w:spacing w:after="40"/>
              <w:ind w:right="113"/>
              <w:rPr>
                <w:i/>
              </w:rPr>
            </w:pPr>
            <w:r>
              <w:rPr>
                <w:i/>
              </w:rPr>
              <w:t>Vexatious Proceedings Restriction Act 2002</w:t>
            </w:r>
            <w:r>
              <w:t xml:space="preserve"> s. 13</w:t>
            </w:r>
          </w:p>
        </w:tc>
        <w:tc>
          <w:tcPr>
            <w:tcW w:w="993" w:type="dxa"/>
          </w:tcPr>
          <w:p>
            <w:pPr>
              <w:pStyle w:val="nTable"/>
              <w:spacing w:after="40"/>
            </w:pPr>
            <w:r>
              <w:t>23 of 2002</w:t>
            </w:r>
          </w:p>
        </w:tc>
        <w:tc>
          <w:tcPr>
            <w:tcW w:w="1275" w:type="dxa"/>
          </w:tcPr>
          <w:p>
            <w:pPr>
              <w:pStyle w:val="nTable"/>
              <w:spacing w:after="40"/>
            </w:pPr>
            <w:r>
              <w:t>18 Sep 2002</w:t>
            </w:r>
          </w:p>
        </w:tc>
        <w:tc>
          <w:tcPr>
            <w:tcW w:w="2529" w:type="dxa"/>
          </w:tcPr>
          <w:p>
            <w:pPr>
              <w:pStyle w:val="nTable"/>
              <w:spacing w:after="40"/>
            </w:pPr>
            <w:r>
              <w:t xml:space="preserve">28 Sep 2002 (see s. 2 and </w:t>
            </w:r>
            <w:r>
              <w:rPr>
                <w:i/>
              </w:rPr>
              <w:t>Gazette</w:t>
            </w:r>
            <w:r>
              <w:t xml:space="preserve"> 27 Sep 2002 p. 4877)</w:t>
            </w:r>
          </w:p>
        </w:tc>
      </w:tr>
      <w:tr>
        <w:trPr>
          <w:gridAfter w:val="2"/>
          <w:wAfter w:w="31" w:type="dxa"/>
          <w:cantSplit/>
        </w:trPr>
        <w:tc>
          <w:tcPr>
            <w:tcW w:w="2296" w:type="dxa"/>
            <w:gridSpan w:val="3"/>
          </w:tcPr>
          <w:p>
            <w:pPr>
              <w:pStyle w:val="nTable"/>
              <w:spacing w:after="40"/>
              <w:ind w:right="113"/>
            </w:pPr>
            <w:r>
              <w:rPr>
                <w:i/>
              </w:rPr>
              <w:t>Acts Amendment (Equality of Status) Act 2003</w:t>
            </w:r>
            <w:r>
              <w:t xml:space="preserve"> Pt. 36</w:t>
            </w:r>
          </w:p>
        </w:tc>
        <w:tc>
          <w:tcPr>
            <w:tcW w:w="993" w:type="dxa"/>
          </w:tcPr>
          <w:p>
            <w:pPr>
              <w:pStyle w:val="nTable"/>
              <w:spacing w:after="40"/>
            </w:pPr>
            <w:r>
              <w:t>28 of 2003</w:t>
            </w:r>
          </w:p>
        </w:tc>
        <w:tc>
          <w:tcPr>
            <w:tcW w:w="1275" w:type="dxa"/>
          </w:tcPr>
          <w:p>
            <w:pPr>
              <w:pStyle w:val="nTable"/>
              <w:spacing w:after="40"/>
            </w:pPr>
            <w:r>
              <w:t>22 May 2003</w:t>
            </w:r>
          </w:p>
        </w:tc>
        <w:tc>
          <w:tcPr>
            <w:tcW w:w="2529" w:type="dxa"/>
          </w:tcPr>
          <w:p>
            <w:pPr>
              <w:pStyle w:val="nTable"/>
              <w:spacing w:after="40"/>
            </w:pPr>
            <w:r>
              <w:t xml:space="preserve">1 Jul 2003 (see s. 2 and </w:t>
            </w:r>
            <w:r>
              <w:rPr>
                <w:i/>
              </w:rPr>
              <w:t xml:space="preserve">Gazette </w:t>
            </w:r>
            <w:r>
              <w:t>30 Jun 2003 p. 2579)</w:t>
            </w:r>
          </w:p>
        </w:tc>
      </w:tr>
      <w:tr>
        <w:trPr>
          <w:gridAfter w:val="2"/>
          <w:wAfter w:w="31" w:type="dxa"/>
          <w:cantSplit/>
        </w:trPr>
        <w:tc>
          <w:tcPr>
            <w:tcW w:w="2296" w:type="dxa"/>
            <w:gridSpan w:val="3"/>
          </w:tcPr>
          <w:p>
            <w:pPr>
              <w:pStyle w:val="nTable"/>
              <w:spacing w:after="40"/>
              <w:ind w:right="113"/>
              <w:rPr>
                <w:i/>
              </w:rPr>
            </w:pPr>
            <w:r>
              <w:rPr>
                <w:i/>
              </w:rPr>
              <w:t>Public Transport Authority Act 2003</w:t>
            </w:r>
            <w:r>
              <w:t xml:space="preserve"> s. 151</w:t>
            </w:r>
          </w:p>
        </w:tc>
        <w:tc>
          <w:tcPr>
            <w:tcW w:w="993" w:type="dxa"/>
          </w:tcPr>
          <w:p>
            <w:pPr>
              <w:pStyle w:val="nTable"/>
              <w:spacing w:after="40"/>
            </w:pPr>
            <w:r>
              <w:t>31 of 2003</w:t>
            </w:r>
          </w:p>
        </w:tc>
        <w:tc>
          <w:tcPr>
            <w:tcW w:w="1275" w:type="dxa"/>
          </w:tcPr>
          <w:p>
            <w:pPr>
              <w:pStyle w:val="nTable"/>
              <w:spacing w:after="40"/>
            </w:pPr>
            <w:r>
              <w:t>26 May 2003</w:t>
            </w:r>
          </w:p>
        </w:tc>
        <w:tc>
          <w:tcPr>
            <w:tcW w:w="2529" w:type="dxa"/>
          </w:tcPr>
          <w:p>
            <w:pPr>
              <w:pStyle w:val="nTable"/>
              <w:spacing w:after="40"/>
            </w:pPr>
            <w:r>
              <w:t xml:space="preserve">1 Jul 2003 (see s. 2(1) and </w:t>
            </w:r>
            <w:r>
              <w:rPr>
                <w:i/>
              </w:rPr>
              <w:t xml:space="preserve">Gazette </w:t>
            </w:r>
            <w:r>
              <w:t>27 Jun 2003 p. 2384)</w:t>
            </w:r>
          </w:p>
        </w:tc>
      </w:tr>
      <w:tr>
        <w:trPr>
          <w:gridAfter w:val="2"/>
          <w:wAfter w:w="31" w:type="dxa"/>
          <w:cantSplit/>
        </w:trPr>
        <w:tc>
          <w:tcPr>
            <w:tcW w:w="2296" w:type="dxa"/>
            <w:gridSpan w:val="3"/>
          </w:tcPr>
          <w:p>
            <w:pPr>
              <w:pStyle w:val="nTable"/>
              <w:spacing w:after="40"/>
              <w:ind w:right="113"/>
              <w:rPr>
                <w:i/>
              </w:rPr>
            </w:pPr>
            <w:r>
              <w:rPr>
                <w:i/>
              </w:rPr>
              <w:t>Racing and Gambling Legislation Amendment and Repeal Act 2003</w:t>
            </w:r>
            <w:r>
              <w:t xml:space="preserve"> s. 173</w:t>
            </w:r>
          </w:p>
        </w:tc>
        <w:tc>
          <w:tcPr>
            <w:tcW w:w="993" w:type="dxa"/>
          </w:tcPr>
          <w:p>
            <w:pPr>
              <w:pStyle w:val="nTable"/>
              <w:spacing w:after="40"/>
              <w:rPr>
                <w:snapToGrid w:val="0"/>
              </w:rPr>
            </w:pPr>
            <w:r>
              <w:t>35 of 2003</w:t>
            </w:r>
          </w:p>
        </w:tc>
        <w:tc>
          <w:tcPr>
            <w:tcW w:w="1275" w:type="dxa"/>
          </w:tcPr>
          <w:p>
            <w:pPr>
              <w:pStyle w:val="nTable"/>
              <w:spacing w:after="40"/>
              <w:rPr>
                <w:snapToGrid w:val="0"/>
              </w:rPr>
            </w:pPr>
            <w:r>
              <w:t>26 Jun 2003</w:t>
            </w:r>
          </w:p>
        </w:tc>
        <w:tc>
          <w:tcPr>
            <w:tcW w:w="2529" w:type="dxa"/>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31" w:type="dxa"/>
          <w:cantSplit/>
        </w:trPr>
        <w:tc>
          <w:tcPr>
            <w:tcW w:w="2296" w:type="dxa"/>
            <w:gridSpan w:val="3"/>
          </w:tcPr>
          <w:p>
            <w:pPr>
              <w:pStyle w:val="nTable"/>
              <w:spacing w:after="40"/>
              <w:ind w:right="113"/>
            </w:pPr>
            <w:r>
              <w:rPr>
                <w:i/>
              </w:rPr>
              <w:t>Statutes (Repeals and Minor Amendments) Act 2003</w:t>
            </w:r>
            <w:r>
              <w:t xml:space="preserve"> s. 78</w:t>
            </w:r>
          </w:p>
        </w:tc>
        <w:tc>
          <w:tcPr>
            <w:tcW w:w="993" w:type="dxa"/>
          </w:tcPr>
          <w:p>
            <w:pPr>
              <w:pStyle w:val="nTable"/>
              <w:spacing w:after="40"/>
            </w:pPr>
            <w:r>
              <w:t>74 of 2003</w:t>
            </w:r>
          </w:p>
        </w:tc>
        <w:tc>
          <w:tcPr>
            <w:tcW w:w="1275" w:type="dxa"/>
          </w:tcPr>
          <w:p>
            <w:pPr>
              <w:pStyle w:val="nTable"/>
              <w:spacing w:after="40"/>
            </w:pPr>
            <w:r>
              <w:t>15 Dec 2003</w:t>
            </w:r>
          </w:p>
        </w:tc>
        <w:tc>
          <w:tcPr>
            <w:tcW w:w="2529" w:type="dxa"/>
          </w:tcPr>
          <w:p>
            <w:pPr>
              <w:pStyle w:val="nTable"/>
              <w:spacing w:after="40"/>
            </w:pPr>
            <w:r>
              <w:rPr>
                <w:spacing w:val="-2"/>
              </w:rPr>
              <w:t>15 Dec 2003 (see s. 2)</w:t>
            </w:r>
          </w:p>
        </w:tc>
      </w:tr>
      <w:tr>
        <w:trPr>
          <w:gridAfter w:val="2"/>
          <w:wAfter w:w="31" w:type="dxa"/>
          <w:cantSplit/>
        </w:trPr>
        <w:tc>
          <w:tcPr>
            <w:tcW w:w="7093" w:type="dxa"/>
            <w:gridSpan w:val="6"/>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31" w:type="dxa"/>
          <w:cantSplit/>
        </w:trPr>
        <w:tc>
          <w:tcPr>
            <w:tcW w:w="2296" w:type="dxa"/>
            <w:gridSpan w:val="3"/>
          </w:tcPr>
          <w:p>
            <w:pPr>
              <w:pStyle w:val="nTable"/>
              <w:spacing w:after="40"/>
              <w:ind w:right="113"/>
            </w:pPr>
            <w:r>
              <w:rPr>
                <w:i/>
                <w:snapToGrid w:val="0"/>
              </w:rPr>
              <w:t>Acts Amendment (Court of Appeal) Act 2004</w:t>
            </w:r>
            <w:r>
              <w:rPr>
                <w:snapToGrid w:val="0"/>
              </w:rPr>
              <w:t xml:space="preserve"> s. 37</w:t>
            </w:r>
          </w:p>
        </w:tc>
        <w:tc>
          <w:tcPr>
            <w:tcW w:w="993" w:type="dxa"/>
          </w:tcPr>
          <w:p>
            <w:pPr>
              <w:pStyle w:val="nTable"/>
              <w:spacing w:after="40"/>
            </w:pPr>
            <w:r>
              <w:rPr>
                <w:snapToGrid w:val="0"/>
              </w:rPr>
              <w:t>45 of 2004</w:t>
            </w:r>
          </w:p>
        </w:tc>
        <w:tc>
          <w:tcPr>
            <w:tcW w:w="1275" w:type="dxa"/>
          </w:tcPr>
          <w:p>
            <w:pPr>
              <w:pStyle w:val="nTable"/>
              <w:spacing w:after="40"/>
            </w:pPr>
            <w:r>
              <w:t>9 Nov 2004</w:t>
            </w:r>
          </w:p>
        </w:tc>
        <w:tc>
          <w:tcPr>
            <w:tcW w:w="2529"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993" w:type="dxa"/>
          </w:tcPr>
          <w:p>
            <w:pPr>
              <w:pStyle w:val="nTable"/>
              <w:keepNext/>
              <w:spacing w:after="40"/>
              <w:rPr>
                <w:snapToGrid w:val="0"/>
              </w:rPr>
            </w:pPr>
            <w:r>
              <w:rPr>
                <w:snapToGrid w:val="0"/>
              </w:rPr>
              <w:t>59 of 2004</w:t>
            </w:r>
          </w:p>
        </w:tc>
        <w:tc>
          <w:tcPr>
            <w:tcW w:w="1275" w:type="dxa"/>
          </w:tcPr>
          <w:p>
            <w:pPr>
              <w:pStyle w:val="nTable"/>
              <w:keepNext/>
              <w:spacing w:after="40"/>
            </w:pPr>
            <w:r>
              <w:t>23 Nov 2004</w:t>
            </w:r>
          </w:p>
        </w:tc>
        <w:tc>
          <w:tcPr>
            <w:tcW w:w="2529"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31" w:type="dxa"/>
          <w:cantSplit/>
        </w:trPr>
        <w:tc>
          <w:tcPr>
            <w:tcW w:w="2296" w:type="dxa"/>
            <w:gridSpan w:val="3"/>
          </w:tcPr>
          <w:p>
            <w:pPr>
              <w:pStyle w:val="nTable"/>
              <w:spacing w:after="40"/>
              <w:ind w:right="113"/>
              <w:rPr>
                <w:i/>
                <w:snapToGrid w:val="0"/>
              </w:rPr>
            </w:pPr>
            <w:r>
              <w:rPr>
                <w:i/>
                <w:snapToGrid w:val="0"/>
              </w:rPr>
              <w:lastRenderedPageBreak/>
              <w:t>Criminal Law Amendment (Simple Offences) Act 2004</w:t>
            </w:r>
            <w:r>
              <w:rPr>
                <w:snapToGrid w:val="0"/>
              </w:rPr>
              <w:t xml:space="preserve"> s. 82</w:t>
            </w:r>
          </w:p>
        </w:tc>
        <w:tc>
          <w:tcPr>
            <w:tcW w:w="993" w:type="dxa"/>
          </w:tcPr>
          <w:p>
            <w:pPr>
              <w:pStyle w:val="nTable"/>
              <w:spacing w:after="40"/>
              <w:rPr>
                <w:snapToGrid w:val="0"/>
              </w:rPr>
            </w:pPr>
            <w:r>
              <w:rPr>
                <w:snapToGrid w:val="0"/>
              </w:rPr>
              <w:t>70 of 2004</w:t>
            </w:r>
          </w:p>
        </w:tc>
        <w:tc>
          <w:tcPr>
            <w:tcW w:w="1275" w:type="dxa"/>
          </w:tcPr>
          <w:p>
            <w:pPr>
              <w:pStyle w:val="nTable"/>
              <w:spacing w:after="40"/>
            </w:pPr>
            <w:r>
              <w:rPr>
                <w:snapToGrid w:val="0"/>
              </w:rPr>
              <w:t>8 Dec 2004</w:t>
            </w:r>
          </w:p>
        </w:tc>
        <w:tc>
          <w:tcPr>
            <w:tcW w:w="2529"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31" w:type="dxa"/>
          <w:cantSplit/>
        </w:trPr>
        <w:tc>
          <w:tcPr>
            <w:tcW w:w="2296"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993" w:type="dxa"/>
          </w:tcPr>
          <w:p>
            <w:pPr>
              <w:pStyle w:val="nTable"/>
              <w:spacing w:after="40"/>
              <w:rPr>
                <w:snapToGrid w:val="0"/>
              </w:rPr>
            </w:pPr>
            <w:r>
              <w:rPr>
                <w:snapToGrid w:val="0"/>
              </w:rPr>
              <w:t>84 of 2004</w:t>
            </w:r>
          </w:p>
        </w:tc>
        <w:tc>
          <w:tcPr>
            <w:tcW w:w="1275" w:type="dxa"/>
          </w:tcPr>
          <w:p>
            <w:pPr>
              <w:pStyle w:val="nTable"/>
              <w:spacing w:after="40"/>
            </w:pPr>
            <w:r>
              <w:t>16 Dec 2004</w:t>
            </w:r>
          </w:p>
        </w:tc>
        <w:tc>
          <w:tcPr>
            <w:tcW w:w="2529"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31" w:type="dxa"/>
          <w:cantSplit/>
        </w:trPr>
        <w:tc>
          <w:tcPr>
            <w:tcW w:w="2296"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993" w:type="dxa"/>
          </w:tcPr>
          <w:p>
            <w:pPr>
              <w:pStyle w:val="nTable"/>
              <w:spacing w:after="40"/>
              <w:rPr>
                <w:snapToGrid w:val="0"/>
              </w:rPr>
            </w:pPr>
            <w:r>
              <w:rPr>
                <w:snapToGrid w:val="0"/>
              </w:rPr>
              <w:t>38 of 2005</w:t>
            </w:r>
          </w:p>
        </w:tc>
        <w:tc>
          <w:tcPr>
            <w:tcW w:w="1275" w:type="dxa"/>
          </w:tcPr>
          <w:p>
            <w:pPr>
              <w:pStyle w:val="nTable"/>
              <w:spacing w:after="40"/>
            </w:pPr>
            <w:r>
              <w:t>12 Dec 2005</w:t>
            </w:r>
          </w:p>
        </w:tc>
        <w:tc>
          <w:tcPr>
            <w:tcW w:w="2529"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31" w:type="dxa"/>
          <w:cantSplit/>
        </w:trPr>
        <w:tc>
          <w:tcPr>
            <w:tcW w:w="7093" w:type="dxa"/>
            <w:gridSpan w:val="6"/>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31" w:type="dxa"/>
        </w:trPr>
        <w:tc>
          <w:tcPr>
            <w:tcW w:w="2296"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993" w:type="dxa"/>
          </w:tcPr>
          <w:p>
            <w:pPr>
              <w:pStyle w:val="nTable"/>
              <w:spacing w:after="40"/>
              <w:rPr>
                <w:snapToGrid w:val="0"/>
              </w:rPr>
            </w:pPr>
            <w:r>
              <w:rPr>
                <w:snapToGrid w:val="0"/>
              </w:rPr>
              <w:t>59 of 2006</w:t>
            </w:r>
          </w:p>
        </w:tc>
        <w:tc>
          <w:tcPr>
            <w:tcW w:w="1275" w:type="dxa"/>
          </w:tcPr>
          <w:p>
            <w:pPr>
              <w:pStyle w:val="nTable"/>
              <w:spacing w:after="40"/>
              <w:rPr>
                <w:snapToGrid w:val="0"/>
              </w:rPr>
            </w:pPr>
            <w:r>
              <w:rPr>
                <w:snapToGrid w:val="0"/>
              </w:rPr>
              <w:t>16 Nov 2006</w:t>
            </w:r>
          </w:p>
        </w:tc>
        <w:tc>
          <w:tcPr>
            <w:tcW w:w="2529" w:type="dxa"/>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31" w:type="dxa"/>
        </w:trPr>
        <w:tc>
          <w:tcPr>
            <w:tcW w:w="2296"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993" w:type="dxa"/>
          </w:tcPr>
          <w:p>
            <w:pPr>
              <w:pStyle w:val="nTable"/>
              <w:spacing w:after="40"/>
              <w:rPr>
                <w:snapToGrid w:val="0"/>
              </w:rPr>
            </w:pPr>
            <w:r>
              <w:rPr>
                <w:snapToGrid w:val="0"/>
              </w:rPr>
              <w:t>73 of 2006</w:t>
            </w:r>
          </w:p>
        </w:tc>
        <w:tc>
          <w:tcPr>
            <w:tcW w:w="1275" w:type="dxa"/>
          </w:tcPr>
          <w:p>
            <w:pPr>
              <w:pStyle w:val="nTable"/>
              <w:spacing w:after="40"/>
              <w:rPr>
                <w:snapToGrid w:val="0"/>
              </w:rPr>
            </w:pPr>
            <w:r>
              <w:rPr>
                <w:snapToGrid w:val="0"/>
              </w:rPr>
              <w:t>13 Dec 2006</w:t>
            </w:r>
          </w:p>
        </w:tc>
        <w:tc>
          <w:tcPr>
            <w:tcW w:w="2529" w:type="dxa"/>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31" w:type="dxa"/>
        </w:trPr>
        <w:tc>
          <w:tcPr>
            <w:tcW w:w="2296"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993" w:type="dxa"/>
          </w:tcPr>
          <w:p>
            <w:pPr>
              <w:pStyle w:val="nTable"/>
              <w:spacing w:after="40"/>
              <w:rPr>
                <w:snapToGrid w:val="0"/>
              </w:rPr>
            </w:pPr>
            <w:r>
              <w:rPr>
                <w:snapToGrid w:val="0"/>
              </w:rPr>
              <w:t>77 of 2006</w:t>
            </w:r>
          </w:p>
        </w:tc>
        <w:tc>
          <w:tcPr>
            <w:tcW w:w="1275" w:type="dxa"/>
          </w:tcPr>
          <w:p>
            <w:pPr>
              <w:pStyle w:val="nTable"/>
              <w:spacing w:after="40"/>
              <w:rPr>
                <w:snapToGrid w:val="0"/>
              </w:rPr>
            </w:pPr>
            <w:r>
              <w:rPr>
                <w:snapToGrid w:val="0"/>
              </w:rPr>
              <w:t>21 Dec 2006</w:t>
            </w:r>
          </w:p>
        </w:tc>
        <w:tc>
          <w:tcPr>
            <w:tcW w:w="2529"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31" w:type="dxa"/>
          <w:cantSplit/>
        </w:trPr>
        <w:tc>
          <w:tcPr>
            <w:tcW w:w="7093" w:type="dxa"/>
            <w:gridSpan w:val="6"/>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31" w:type="dxa"/>
        </w:trPr>
        <w:tc>
          <w:tcPr>
            <w:tcW w:w="2296" w:type="dxa"/>
            <w:gridSpan w:val="3"/>
          </w:tcPr>
          <w:p>
            <w:pPr>
              <w:pStyle w:val="nTable"/>
              <w:spacing w:after="40"/>
              <w:rPr>
                <w:i/>
                <w:snapToGrid w:val="0"/>
              </w:rPr>
            </w:pPr>
            <w:r>
              <w:rPr>
                <w:i/>
                <w:iCs/>
                <w:snapToGrid w:val="0"/>
              </w:rPr>
              <w:t>Legal Profession Act 2008</w:t>
            </w:r>
            <w:r>
              <w:rPr>
                <w:snapToGrid w:val="0"/>
              </w:rPr>
              <w:t xml:space="preserve"> s. 675 </w:t>
            </w:r>
          </w:p>
        </w:tc>
        <w:tc>
          <w:tcPr>
            <w:tcW w:w="993" w:type="dxa"/>
          </w:tcPr>
          <w:p>
            <w:pPr>
              <w:pStyle w:val="nTable"/>
              <w:spacing w:after="40"/>
            </w:pPr>
            <w:r>
              <w:rPr>
                <w:snapToGrid w:val="0"/>
              </w:rPr>
              <w:t>21 of 2008</w:t>
            </w:r>
          </w:p>
        </w:tc>
        <w:tc>
          <w:tcPr>
            <w:tcW w:w="1275" w:type="dxa"/>
          </w:tcPr>
          <w:p>
            <w:pPr>
              <w:pStyle w:val="nTable"/>
              <w:spacing w:after="40"/>
              <w:ind w:right="-80"/>
            </w:pPr>
            <w:r>
              <w:rPr>
                <w:snapToGrid w:val="0"/>
              </w:rPr>
              <w:t>27 May 2008</w:t>
            </w:r>
          </w:p>
        </w:tc>
        <w:tc>
          <w:tcPr>
            <w:tcW w:w="2529" w:type="dxa"/>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31" w:type="dxa"/>
          <w:cantSplit/>
        </w:trPr>
        <w:tc>
          <w:tcPr>
            <w:tcW w:w="2296" w:type="dxa"/>
            <w:gridSpan w:val="3"/>
          </w:tcPr>
          <w:p>
            <w:pPr>
              <w:pStyle w:val="nTable"/>
              <w:spacing w:after="40"/>
              <w:rPr>
                <w:i/>
                <w:iCs/>
                <w:snapToGrid w:val="0"/>
              </w:rPr>
            </w:pPr>
            <w:r>
              <w:rPr>
                <w:i/>
                <w:noProof/>
                <w:snapToGrid w:val="0"/>
              </w:rPr>
              <w:lastRenderedPageBreak/>
              <w:t>Food Act 2008</w:t>
            </w:r>
            <w:r>
              <w:rPr>
                <w:iCs/>
                <w:noProof/>
                <w:snapToGrid w:val="0"/>
              </w:rPr>
              <w:t xml:space="preserve"> s. 148 </w:t>
            </w:r>
          </w:p>
        </w:tc>
        <w:tc>
          <w:tcPr>
            <w:tcW w:w="993" w:type="dxa"/>
          </w:tcPr>
          <w:p>
            <w:pPr>
              <w:pStyle w:val="nTable"/>
              <w:spacing w:after="40"/>
              <w:rPr>
                <w:snapToGrid w:val="0"/>
              </w:rPr>
            </w:pPr>
            <w:r>
              <w:t>43 of 2008</w:t>
            </w:r>
          </w:p>
        </w:tc>
        <w:tc>
          <w:tcPr>
            <w:tcW w:w="1275" w:type="dxa"/>
          </w:tcPr>
          <w:p>
            <w:pPr>
              <w:pStyle w:val="nTable"/>
              <w:spacing w:after="40"/>
              <w:ind w:right="-80"/>
              <w:rPr>
                <w:snapToGrid w:val="0"/>
              </w:rPr>
            </w:pPr>
            <w:r>
              <w:t>8 Jul 2008</w:t>
            </w:r>
          </w:p>
        </w:tc>
        <w:tc>
          <w:tcPr>
            <w:tcW w:w="2529" w:type="dxa"/>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31" w:type="dxa"/>
          <w:cantSplit/>
        </w:trPr>
        <w:tc>
          <w:tcPr>
            <w:tcW w:w="2296"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993" w:type="dxa"/>
          </w:tcPr>
          <w:p>
            <w:pPr>
              <w:pStyle w:val="nTable"/>
              <w:spacing w:after="40"/>
            </w:pPr>
            <w:r>
              <w:t>18 of 2009</w:t>
            </w:r>
          </w:p>
        </w:tc>
        <w:tc>
          <w:tcPr>
            <w:tcW w:w="1275" w:type="dxa"/>
          </w:tcPr>
          <w:p>
            <w:pPr>
              <w:pStyle w:val="nTable"/>
              <w:spacing w:after="40"/>
            </w:pPr>
            <w:r>
              <w:t>16 Sep 2009</w:t>
            </w:r>
          </w:p>
        </w:tc>
        <w:tc>
          <w:tcPr>
            <w:tcW w:w="2529" w:type="dxa"/>
          </w:tcPr>
          <w:p>
            <w:pPr>
              <w:pStyle w:val="nTable"/>
              <w:spacing w:after="40"/>
            </w:pPr>
            <w:r>
              <w:t>17 Sep 2009 (see s. 2(b))</w:t>
            </w:r>
          </w:p>
        </w:tc>
      </w:tr>
      <w:tr>
        <w:trPr>
          <w:gridAfter w:val="2"/>
          <w:wAfter w:w="31" w:type="dxa"/>
          <w:cantSplit/>
        </w:trPr>
        <w:tc>
          <w:tcPr>
            <w:tcW w:w="7093" w:type="dxa"/>
            <w:gridSpan w:val="6"/>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993" w:type="dxa"/>
          </w:tcPr>
          <w:p>
            <w:pPr>
              <w:pStyle w:val="nTable"/>
              <w:spacing w:after="40"/>
              <w:rPr>
                <w:snapToGrid w:val="0"/>
              </w:rPr>
            </w:pPr>
            <w:r>
              <w:rPr>
                <w:snapToGrid w:val="0"/>
              </w:rPr>
              <w:t>19 of 2010</w:t>
            </w:r>
          </w:p>
        </w:tc>
        <w:tc>
          <w:tcPr>
            <w:tcW w:w="1275" w:type="dxa"/>
          </w:tcPr>
          <w:p>
            <w:pPr>
              <w:pStyle w:val="nTable"/>
              <w:spacing w:after="40"/>
              <w:rPr>
                <w:snapToGrid w:val="0"/>
              </w:rPr>
            </w:pPr>
            <w:r>
              <w:rPr>
                <w:snapToGrid w:val="0"/>
              </w:rPr>
              <w:t>28 Jun 2010</w:t>
            </w:r>
          </w:p>
        </w:tc>
        <w:tc>
          <w:tcPr>
            <w:tcW w:w="2545"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993" w:type="dxa"/>
          </w:tcPr>
          <w:p>
            <w:pPr>
              <w:pStyle w:val="nTable"/>
              <w:spacing w:after="40"/>
              <w:rPr>
                <w:snapToGrid w:val="0"/>
              </w:rPr>
            </w:pPr>
            <w:r>
              <w:rPr>
                <w:snapToGrid w:val="0"/>
              </w:rPr>
              <w:t>35 of 2010</w:t>
            </w:r>
          </w:p>
        </w:tc>
        <w:tc>
          <w:tcPr>
            <w:tcW w:w="1275" w:type="dxa"/>
          </w:tcPr>
          <w:p>
            <w:pPr>
              <w:pStyle w:val="nTable"/>
              <w:spacing w:after="40"/>
              <w:rPr>
                <w:snapToGrid w:val="0"/>
              </w:rPr>
            </w:pPr>
            <w:r>
              <w:rPr>
                <w:snapToGrid w:val="0"/>
              </w:rPr>
              <w:t>30 Aug 2010</w:t>
            </w:r>
          </w:p>
        </w:tc>
        <w:tc>
          <w:tcPr>
            <w:tcW w:w="2545"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14" w:type="dxa"/>
          <w:wAfter w:w="15" w:type="dxa"/>
          <w:cantSplit/>
        </w:trPr>
        <w:tc>
          <w:tcPr>
            <w:tcW w:w="2282"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275" w:type="dxa"/>
          </w:tcPr>
          <w:p>
            <w:pPr>
              <w:pStyle w:val="nTable"/>
              <w:spacing w:after="40"/>
              <w:rPr>
                <w:snapToGrid w:val="0"/>
              </w:rPr>
            </w:pPr>
            <w:r>
              <w:rPr>
                <w:snapToGrid w:val="0"/>
              </w:rPr>
              <w:t>1 Oct 2010</w:t>
            </w:r>
          </w:p>
        </w:tc>
        <w:tc>
          <w:tcPr>
            <w:tcW w:w="2545"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14" w:type="dxa"/>
          <w:wAfter w:w="15" w:type="dxa"/>
          <w:cantSplit/>
        </w:trPr>
        <w:tc>
          <w:tcPr>
            <w:tcW w:w="2282" w:type="dxa"/>
            <w:gridSpan w:val="2"/>
          </w:tcPr>
          <w:p>
            <w:pPr>
              <w:pStyle w:val="nTable"/>
              <w:spacing w:after="40"/>
              <w:ind w:right="113"/>
              <w:rPr>
                <w:i/>
                <w:iCs/>
                <w:snapToGrid w:val="0"/>
              </w:rPr>
            </w:pPr>
            <w:r>
              <w:rPr>
                <w:i/>
                <w:snapToGrid w:val="0"/>
              </w:rPr>
              <w:t>Liquor Control Amendment Act 2010</w:t>
            </w:r>
            <w:r>
              <w:rPr>
                <w:iCs/>
                <w:snapToGrid w:val="0"/>
              </w:rPr>
              <w:t xml:space="preserve"> </w:t>
            </w:r>
          </w:p>
        </w:tc>
        <w:tc>
          <w:tcPr>
            <w:tcW w:w="993" w:type="dxa"/>
          </w:tcPr>
          <w:p>
            <w:pPr>
              <w:pStyle w:val="nTable"/>
              <w:spacing w:after="40"/>
              <w:rPr>
                <w:snapToGrid w:val="0"/>
              </w:rPr>
            </w:pPr>
            <w:r>
              <w:t>56 of 2010</w:t>
            </w:r>
          </w:p>
        </w:tc>
        <w:tc>
          <w:tcPr>
            <w:tcW w:w="1275" w:type="dxa"/>
          </w:tcPr>
          <w:p>
            <w:pPr>
              <w:pStyle w:val="nTable"/>
              <w:spacing w:after="40"/>
              <w:rPr>
                <w:snapToGrid w:val="0"/>
              </w:rPr>
            </w:pPr>
            <w:r>
              <w:t>8 Dec 2010</w:t>
            </w:r>
          </w:p>
        </w:tc>
        <w:tc>
          <w:tcPr>
            <w:tcW w:w="2545" w:type="dxa"/>
            <w:gridSpan w:val="2"/>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14" w:type="dxa"/>
          <w:wAfter w:w="15" w:type="dxa"/>
          <w:cantSplit/>
        </w:trPr>
        <w:tc>
          <w:tcPr>
            <w:tcW w:w="2282" w:type="dxa"/>
            <w:gridSpan w:val="2"/>
          </w:tcPr>
          <w:p>
            <w:pPr>
              <w:pStyle w:val="nTable"/>
              <w:spacing w:after="40"/>
              <w:ind w:right="113"/>
              <w:rPr>
                <w:i/>
                <w:snapToGrid w:val="0"/>
              </w:rPr>
            </w:pPr>
            <w:r>
              <w:rPr>
                <w:i/>
                <w:snapToGrid w:val="0"/>
              </w:rPr>
              <w:t>Building Act 2011</w:t>
            </w:r>
            <w:r>
              <w:rPr>
                <w:snapToGrid w:val="0"/>
              </w:rPr>
              <w:t xml:space="preserve"> s. 165</w:t>
            </w:r>
          </w:p>
        </w:tc>
        <w:tc>
          <w:tcPr>
            <w:tcW w:w="993" w:type="dxa"/>
          </w:tcPr>
          <w:p>
            <w:pPr>
              <w:pStyle w:val="nTable"/>
              <w:spacing w:after="40"/>
            </w:pPr>
            <w:r>
              <w:rPr>
                <w:snapToGrid w:val="0"/>
              </w:rPr>
              <w:t>24 of 2011</w:t>
            </w:r>
          </w:p>
        </w:tc>
        <w:tc>
          <w:tcPr>
            <w:tcW w:w="1275" w:type="dxa"/>
          </w:tcPr>
          <w:p>
            <w:pPr>
              <w:pStyle w:val="nTable"/>
              <w:spacing w:after="40"/>
            </w:pPr>
            <w:r>
              <w:t>11 Jul 2011</w:t>
            </w:r>
          </w:p>
        </w:tc>
        <w:tc>
          <w:tcPr>
            <w:tcW w:w="2545" w:type="dxa"/>
            <w:gridSpan w:val="2"/>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993" w:type="dxa"/>
            <w:shd w:val="clear" w:color="auto" w:fill="auto"/>
          </w:tcPr>
          <w:p>
            <w:pPr>
              <w:pStyle w:val="nTable"/>
              <w:spacing w:after="40"/>
            </w:pPr>
            <w:r>
              <w:rPr>
                <w:snapToGrid w:val="0"/>
              </w:rPr>
              <w:t>42 of 2011</w:t>
            </w:r>
          </w:p>
        </w:tc>
        <w:tc>
          <w:tcPr>
            <w:tcW w:w="1275" w:type="dxa"/>
            <w:shd w:val="clear" w:color="auto" w:fill="auto"/>
          </w:tcPr>
          <w:p>
            <w:pPr>
              <w:pStyle w:val="nTable"/>
              <w:spacing w:after="40"/>
            </w:pPr>
            <w:r>
              <w:t>4 Oct 2011</w:t>
            </w:r>
          </w:p>
        </w:tc>
        <w:tc>
          <w:tcPr>
            <w:tcW w:w="2545" w:type="dxa"/>
            <w:gridSpan w:val="2"/>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993" w:type="dxa"/>
            <w:shd w:val="clear" w:color="auto" w:fill="auto"/>
          </w:tcPr>
          <w:p>
            <w:pPr>
              <w:pStyle w:val="nTable"/>
              <w:spacing w:after="40"/>
            </w:pPr>
            <w:r>
              <w:rPr>
                <w:snapToGrid w:val="0"/>
              </w:rPr>
              <w:t>47 of 2011</w:t>
            </w:r>
          </w:p>
        </w:tc>
        <w:tc>
          <w:tcPr>
            <w:tcW w:w="1275" w:type="dxa"/>
            <w:shd w:val="clear" w:color="auto" w:fill="auto"/>
          </w:tcPr>
          <w:p>
            <w:pPr>
              <w:pStyle w:val="nTable"/>
              <w:spacing w:after="40"/>
            </w:pPr>
            <w:r>
              <w:rPr>
                <w:snapToGrid w:val="0"/>
              </w:rPr>
              <w:t>25 Oct 2011</w:t>
            </w:r>
          </w:p>
        </w:tc>
        <w:tc>
          <w:tcPr>
            <w:tcW w:w="2545" w:type="dxa"/>
            <w:gridSpan w:val="2"/>
            <w:shd w:val="clear" w:color="auto" w:fill="auto"/>
          </w:tcPr>
          <w:p>
            <w:pPr>
              <w:pStyle w:val="nTable"/>
              <w:spacing w:after="40"/>
              <w:rPr>
                <w:snapToGrid w:val="0"/>
              </w:rPr>
            </w:pPr>
            <w:r>
              <w:rPr>
                <w:snapToGrid w:val="0"/>
              </w:rPr>
              <w:t>26 Oct 2011 (see s. 2(b))</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tcBorders>
              <w:top w:val="nil"/>
              <w:bottom w:val="nil"/>
            </w:tcBorders>
          </w:tcPr>
          <w:p>
            <w:pPr>
              <w:pStyle w:val="nTable"/>
              <w:spacing w:after="40"/>
              <w:rPr>
                <w:i/>
                <w:snapToGrid w:val="0"/>
              </w:rPr>
            </w:pPr>
            <w:r>
              <w:rPr>
                <w:i/>
                <w:snapToGrid w:val="0"/>
              </w:rPr>
              <w:lastRenderedPageBreak/>
              <w:t xml:space="preserve">Road Traffic Legislation Amendment Act 2012 </w:t>
            </w:r>
            <w:r>
              <w:rPr>
                <w:snapToGrid w:val="0"/>
              </w:rPr>
              <w:t>Pt. 4 Div. 28</w:t>
            </w:r>
          </w:p>
        </w:tc>
        <w:tc>
          <w:tcPr>
            <w:tcW w:w="993" w:type="dxa"/>
            <w:tcBorders>
              <w:top w:val="nil"/>
              <w:bottom w:val="nil"/>
            </w:tcBorders>
          </w:tcPr>
          <w:p>
            <w:pPr>
              <w:pStyle w:val="nTable"/>
              <w:keepNext/>
              <w:keepLines/>
              <w:spacing w:after="40"/>
            </w:pPr>
            <w:r>
              <w:rPr>
                <w:snapToGrid w:val="0"/>
              </w:rPr>
              <w:t>8 of 2012</w:t>
            </w:r>
          </w:p>
        </w:tc>
        <w:tc>
          <w:tcPr>
            <w:tcW w:w="1275" w:type="dxa"/>
            <w:tcBorders>
              <w:top w:val="nil"/>
              <w:bottom w:val="nil"/>
            </w:tcBorders>
          </w:tcPr>
          <w:p>
            <w:pPr>
              <w:pStyle w:val="nTable"/>
              <w:keepNext/>
              <w:keepLines/>
              <w:spacing w:after="40"/>
            </w:pPr>
            <w:r>
              <w:t>21 May 2012</w:t>
            </w:r>
          </w:p>
        </w:tc>
        <w:tc>
          <w:tcPr>
            <w:tcW w:w="2560"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993" w:type="dxa"/>
            <w:shd w:val="clear" w:color="auto" w:fill="auto"/>
          </w:tcPr>
          <w:p>
            <w:pPr>
              <w:pStyle w:val="nTable"/>
              <w:spacing w:after="40"/>
            </w:pPr>
            <w:r>
              <w:rPr>
                <w:snapToGrid w:val="0"/>
              </w:rPr>
              <w:t>49 of 2012</w:t>
            </w:r>
          </w:p>
        </w:tc>
        <w:tc>
          <w:tcPr>
            <w:tcW w:w="1275" w:type="dxa"/>
            <w:shd w:val="clear" w:color="auto" w:fill="auto"/>
          </w:tcPr>
          <w:p>
            <w:pPr>
              <w:pStyle w:val="nTable"/>
              <w:spacing w:after="40"/>
            </w:pPr>
            <w:r>
              <w:t>29 Nov 2012</w:t>
            </w:r>
          </w:p>
        </w:tc>
        <w:tc>
          <w:tcPr>
            <w:tcW w:w="2545" w:type="dxa"/>
            <w:gridSpan w:val="2"/>
            <w:shd w:val="clear" w:color="auto" w:fill="auto"/>
          </w:tcPr>
          <w:p>
            <w:pPr>
              <w:pStyle w:val="nTable"/>
              <w:spacing w:after="40"/>
              <w:rPr>
                <w:snapToGrid w:val="0"/>
              </w:rPr>
            </w:pPr>
            <w:r>
              <w:rPr>
                <w:snapToGrid w:val="0"/>
              </w:rPr>
              <w:t>2 Nov 2013 (see s. 2(b) and Gazette 1 Nov 2013 p. 4891)</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993" w:type="dxa"/>
            <w:shd w:val="clear" w:color="auto" w:fill="auto"/>
          </w:tcPr>
          <w:p>
            <w:pPr>
              <w:pStyle w:val="nTable"/>
              <w:spacing w:after="40"/>
              <w:rPr>
                <w:snapToGrid w:val="0"/>
              </w:rPr>
            </w:pPr>
            <w:r>
              <w:rPr>
                <w:snapToGrid w:val="0"/>
              </w:rPr>
              <w:t>35 of 2014</w:t>
            </w:r>
          </w:p>
        </w:tc>
        <w:tc>
          <w:tcPr>
            <w:tcW w:w="1275" w:type="dxa"/>
            <w:shd w:val="clear" w:color="auto" w:fill="auto"/>
          </w:tcPr>
          <w:p>
            <w:pPr>
              <w:pStyle w:val="nTable"/>
              <w:spacing w:after="40"/>
            </w:pPr>
            <w:r>
              <w:t>9 Dec 2014</w:t>
            </w:r>
          </w:p>
        </w:tc>
        <w:tc>
          <w:tcPr>
            <w:tcW w:w="2545" w:type="dxa"/>
            <w:gridSpan w:val="2"/>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14" w:type="dxa"/>
          <w:wAfter w:w="15" w:type="dxa"/>
          <w:cantSplit/>
        </w:trPr>
        <w:tc>
          <w:tcPr>
            <w:tcW w:w="2282" w:type="dxa"/>
            <w:gridSpan w:val="2"/>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993" w:type="dxa"/>
            <w:shd w:val="clear" w:color="auto" w:fill="auto"/>
          </w:tcPr>
          <w:p>
            <w:pPr>
              <w:pStyle w:val="nTable"/>
              <w:spacing w:after="40"/>
              <w:rPr>
                <w:snapToGrid w:val="0"/>
              </w:rPr>
            </w:pPr>
            <w:r>
              <w:t>30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14" w:type="dxa"/>
          <w:wAfter w:w="15" w:type="dxa"/>
          <w:cantSplit/>
        </w:trPr>
        <w:tc>
          <w:tcPr>
            <w:tcW w:w="2282" w:type="dxa"/>
            <w:gridSpan w:val="2"/>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993" w:type="dxa"/>
            <w:shd w:val="clear" w:color="auto" w:fill="auto"/>
          </w:tcPr>
          <w:p>
            <w:pPr>
              <w:pStyle w:val="nTable"/>
              <w:spacing w:after="40"/>
              <w:rPr>
                <w:snapToGrid w:val="0"/>
              </w:rPr>
            </w:pPr>
            <w:r>
              <w:t>35 of 2015</w:t>
            </w:r>
          </w:p>
        </w:tc>
        <w:tc>
          <w:tcPr>
            <w:tcW w:w="1275" w:type="dxa"/>
            <w:shd w:val="clear" w:color="auto" w:fill="auto"/>
          </w:tcPr>
          <w:p>
            <w:pPr>
              <w:pStyle w:val="nTable"/>
              <w:spacing w:after="40"/>
            </w:pPr>
            <w:r>
              <w:t>2 Nov 2015</w:t>
            </w:r>
          </w:p>
        </w:tc>
        <w:tc>
          <w:tcPr>
            <w:tcW w:w="2545" w:type="dxa"/>
            <w:gridSpan w:val="2"/>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14" w:type="dxa"/>
          <w:wAfter w:w="15" w:type="dxa"/>
          <w:cantSplit/>
        </w:trPr>
        <w:tc>
          <w:tcPr>
            <w:tcW w:w="7095" w:type="dxa"/>
            <w:gridSpan w:val="6"/>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14" w:type="dxa"/>
          <w:wAfter w:w="15" w:type="dxa"/>
          <w:cantSplit/>
        </w:trPr>
        <w:tc>
          <w:tcPr>
            <w:tcW w:w="2282" w:type="dxa"/>
            <w:gridSpan w:val="2"/>
            <w:shd w:val="clear" w:color="auto" w:fill="auto"/>
          </w:tcPr>
          <w:p>
            <w:pPr>
              <w:pStyle w:val="nTable"/>
              <w:spacing w:after="40"/>
              <w:rPr>
                <w:i/>
                <w:snapToGrid w:val="0"/>
              </w:rPr>
            </w:pPr>
            <w:r>
              <w:rPr>
                <w:i/>
                <w:snapToGrid w:val="0"/>
              </w:rPr>
              <w:t>Public Health (Consequential Provisions) Act 2016</w:t>
            </w:r>
            <w:r>
              <w:rPr>
                <w:snapToGrid w:val="0"/>
              </w:rPr>
              <w:t xml:space="preserve"> s. 101 and Pt. 3 Div. 17</w:t>
            </w:r>
          </w:p>
        </w:tc>
        <w:tc>
          <w:tcPr>
            <w:tcW w:w="993" w:type="dxa"/>
            <w:shd w:val="clear" w:color="auto" w:fill="auto"/>
          </w:tcPr>
          <w:p>
            <w:pPr>
              <w:pStyle w:val="nTable"/>
              <w:spacing w:after="40"/>
            </w:pPr>
            <w:r>
              <w:t>19 of 2016</w:t>
            </w:r>
          </w:p>
        </w:tc>
        <w:tc>
          <w:tcPr>
            <w:tcW w:w="1275" w:type="dxa"/>
            <w:shd w:val="clear" w:color="auto" w:fill="auto"/>
          </w:tcPr>
          <w:p>
            <w:pPr>
              <w:pStyle w:val="nTable"/>
              <w:spacing w:after="40"/>
            </w:pPr>
            <w:r>
              <w:t>25 Jul 2016</w:t>
            </w:r>
          </w:p>
        </w:tc>
        <w:tc>
          <w:tcPr>
            <w:tcW w:w="2545" w:type="dxa"/>
            <w:gridSpan w:val="2"/>
            <w:shd w:val="clear" w:color="auto" w:fill="auto"/>
          </w:tcPr>
          <w:p>
            <w:pPr>
              <w:pStyle w:val="nTable"/>
              <w:spacing w:after="40"/>
              <w:rPr>
                <w:snapToGrid w:val="0"/>
              </w:rPr>
            </w:pPr>
            <w:r>
              <w:rPr>
                <w:snapToGrid w:val="0"/>
              </w:rPr>
              <w:t>24 Jan 2017 (see s. 2(1)(c) and Gazette 10 Jan 2017 p. 165)</w:t>
            </w:r>
          </w:p>
        </w:tc>
      </w:tr>
      <w:tr>
        <w:trPr>
          <w:gridBefore w:val="1"/>
          <w:gridAfter w:val="1"/>
          <w:wBefore w:w="14" w:type="dxa"/>
          <w:wAfter w:w="15" w:type="dxa"/>
          <w:cantSplit/>
        </w:trPr>
        <w:tc>
          <w:tcPr>
            <w:tcW w:w="2282"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20</w:t>
            </w:r>
          </w:p>
        </w:tc>
        <w:tc>
          <w:tcPr>
            <w:tcW w:w="993" w:type="dxa"/>
            <w:shd w:val="clear" w:color="auto" w:fill="auto"/>
          </w:tcPr>
          <w:p>
            <w:pPr>
              <w:pStyle w:val="nTable"/>
              <w:spacing w:after="40"/>
              <w:rPr>
                <w:b/>
                <w:snapToGrid w:val="0"/>
              </w:rPr>
            </w:pPr>
            <w:r>
              <w:t>26 of 2016</w:t>
            </w:r>
          </w:p>
        </w:tc>
        <w:tc>
          <w:tcPr>
            <w:tcW w:w="1275" w:type="dxa"/>
            <w:shd w:val="clear" w:color="auto" w:fill="auto"/>
          </w:tcPr>
          <w:p>
            <w:pPr>
              <w:pStyle w:val="nTable"/>
              <w:spacing w:after="40"/>
              <w:rPr>
                <w:b/>
                <w:snapToGrid w:val="0"/>
              </w:rPr>
            </w:pPr>
            <w:r>
              <w:t>21 Sep 2016</w:t>
            </w:r>
          </w:p>
        </w:tc>
        <w:tc>
          <w:tcPr>
            <w:tcW w:w="2545"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Liquor Control Amendment Act 2018</w:t>
            </w:r>
          </w:p>
        </w:tc>
        <w:tc>
          <w:tcPr>
            <w:tcW w:w="993" w:type="dxa"/>
            <w:tcBorders>
              <w:top w:val="nil"/>
              <w:bottom w:val="nil"/>
            </w:tcBorders>
          </w:tcPr>
          <w:p>
            <w:pPr>
              <w:pStyle w:val="nTable"/>
              <w:spacing w:after="40"/>
            </w:pPr>
            <w:r>
              <w:t>9 of 2018</w:t>
            </w:r>
          </w:p>
        </w:tc>
        <w:tc>
          <w:tcPr>
            <w:tcW w:w="1275" w:type="dxa"/>
            <w:tcBorders>
              <w:top w:val="nil"/>
              <w:bottom w:val="nil"/>
            </w:tcBorders>
          </w:tcPr>
          <w:p>
            <w:pPr>
              <w:pStyle w:val="nTable"/>
              <w:spacing w:after="40"/>
            </w:pPr>
            <w:r>
              <w:t>13 Jul 2018</w:t>
            </w:r>
          </w:p>
        </w:tc>
        <w:tc>
          <w:tcPr>
            <w:tcW w:w="2529" w:type="dxa"/>
            <w:tcBorders>
              <w:top w:val="nil"/>
              <w:bottom w:val="nil"/>
            </w:tcBorders>
          </w:tcPr>
          <w:p>
            <w:pPr>
              <w:pStyle w:val="nTable"/>
              <w:keepNext/>
              <w:spacing w:after="40"/>
            </w:pPr>
            <w:r>
              <w:rPr>
                <w:snapToGrid w:val="0"/>
              </w:rPr>
              <w:t>s. 1 and 2: 13 Jul 2018 (see s. 2(a));</w:t>
            </w:r>
            <w:r>
              <w:rPr>
                <w:snapToGrid w:val="0"/>
              </w:rPr>
              <w:br/>
            </w:r>
            <w:r>
              <w:t>s. 3, 4, 6, 7, 9, 11, 13</w:t>
            </w:r>
            <w:r>
              <w:noBreakHyphen/>
              <w:t>16, 19, 23, 24, 27</w:t>
            </w:r>
            <w:r>
              <w:noBreakHyphen/>
              <w:t>31, 33, 34, 37, 40</w:t>
            </w:r>
            <w:r>
              <w:noBreakHyphen/>
              <w:t>44, 47</w:t>
            </w:r>
            <w:r>
              <w:noBreakHyphen/>
              <w:t>52, 54, 55, 57</w:t>
            </w:r>
            <w:r>
              <w:noBreakHyphen/>
              <w:t>59, 61 and 64</w:t>
            </w:r>
            <w:r>
              <w:noBreakHyphen/>
              <w:t xml:space="preserve">70: 18 Aug 2018 (see s. 2(b) and </w:t>
            </w:r>
            <w:r>
              <w:rPr>
                <w:i/>
              </w:rPr>
              <w:t>Gazette</w:t>
            </w:r>
            <w:r>
              <w:t xml:space="preserve"> 17 Aug 2018 p. 2893);</w:t>
            </w:r>
            <w:r>
              <w:br/>
              <w:t>s. 5, 8, 10, 12, 20</w:t>
            </w:r>
            <w:r>
              <w:noBreakHyphen/>
              <w:t xml:space="preserve">22, 25, 26, 32, 35, 38, 39, 46, 56, 60, 62(2) and 63: 3 Oct 2018 (see s. 2(b) and </w:t>
            </w:r>
            <w:r>
              <w:rPr>
                <w:i/>
              </w:rPr>
              <w:t>Gazette</w:t>
            </w:r>
            <w:r>
              <w:t xml:space="preserve"> 2 Oct 2018 p. 3779);</w:t>
            </w:r>
            <w:r>
              <w:br/>
              <w:t xml:space="preserve">s. 17, 18 and 45: 2 Nov 2019 (see s. 2(b) and </w:t>
            </w:r>
            <w:r>
              <w:rPr>
                <w:i/>
              </w:rPr>
              <w:t>Gazette</w:t>
            </w:r>
            <w:r>
              <w:t xml:space="preserve"> 1 Nov 2019 p. 3857);</w:t>
            </w:r>
            <w:r>
              <w:br/>
              <w:t xml:space="preserve">s. 53 and 62(1) and (3): 18 Sep 2021 (see s. 2(b) and </w:t>
            </w:r>
            <w:r>
              <w:lastRenderedPageBreak/>
              <w:t>SL 2021/162 cl. 2);</w:t>
            </w:r>
            <w:r>
              <w:br/>
              <w:t>s. 36: 1 Feb 2022 (see s. 2(b) and SL 2021/198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rPr>
            </w:pPr>
            <w:r>
              <w:rPr>
                <w:i/>
                <w:noProof/>
              </w:rPr>
              <w:lastRenderedPageBreak/>
              <w:t>Heritage Act 2018</w:t>
            </w:r>
            <w:r>
              <w:rPr>
                <w:noProof/>
              </w:rPr>
              <w:t xml:space="preserve"> s. 185</w:t>
            </w:r>
          </w:p>
        </w:tc>
        <w:tc>
          <w:tcPr>
            <w:tcW w:w="993" w:type="dxa"/>
            <w:tcBorders>
              <w:top w:val="nil"/>
              <w:bottom w:val="nil"/>
            </w:tcBorders>
          </w:tcPr>
          <w:p>
            <w:pPr>
              <w:pStyle w:val="nTable"/>
              <w:spacing w:after="40"/>
            </w:pPr>
            <w:r>
              <w:t>22 of 2018</w:t>
            </w:r>
          </w:p>
        </w:tc>
        <w:tc>
          <w:tcPr>
            <w:tcW w:w="1275" w:type="dxa"/>
            <w:tcBorders>
              <w:top w:val="nil"/>
              <w:bottom w:val="nil"/>
            </w:tcBorders>
          </w:tcPr>
          <w:p>
            <w:pPr>
              <w:pStyle w:val="nTable"/>
              <w:spacing w:after="40"/>
            </w:pPr>
            <w:r>
              <w:t>18 Sep 2018</w:t>
            </w:r>
          </w:p>
        </w:tc>
        <w:tc>
          <w:tcPr>
            <w:tcW w:w="2529" w:type="dxa"/>
            <w:tcBorders>
              <w:top w:val="nil"/>
              <w:bottom w:val="nil"/>
            </w:tcBorders>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rPr>
                <w:i/>
                <w:noProof/>
              </w:rPr>
            </w:pPr>
            <w:r>
              <w:rPr>
                <w:i/>
              </w:rPr>
              <w:t>Legal Profession Uniform Law Application Act 2022</w:t>
            </w:r>
            <w:r>
              <w:t xml:space="preserve"> s. 424</w:t>
            </w:r>
          </w:p>
        </w:tc>
        <w:tc>
          <w:tcPr>
            <w:tcW w:w="993" w:type="dxa"/>
            <w:tcBorders>
              <w:top w:val="nil"/>
              <w:bottom w:val="nil"/>
            </w:tcBorders>
          </w:tcPr>
          <w:p>
            <w:pPr>
              <w:pStyle w:val="nTable"/>
              <w:spacing w:after="40"/>
            </w:pPr>
            <w:r>
              <w:t>9 of 2022</w:t>
            </w:r>
          </w:p>
        </w:tc>
        <w:tc>
          <w:tcPr>
            <w:tcW w:w="1275" w:type="dxa"/>
            <w:tcBorders>
              <w:top w:val="nil"/>
              <w:bottom w:val="nil"/>
            </w:tcBorders>
          </w:tcPr>
          <w:p>
            <w:pPr>
              <w:pStyle w:val="nTable"/>
              <w:spacing w:after="40"/>
            </w:pPr>
            <w:r>
              <w:t>14 Apr 2022</w:t>
            </w:r>
          </w:p>
        </w:tc>
        <w:tc>
          <w:tcPr>
            <w:tcW w:w="2529" w:type="dxa"/>
            <w:tcBorders>
              <w:top w:val="nil"/>
              <w:bottom w:val="nil"/>
            </w:tcBorders>
          </w:tcPr>
          <w:p>
            <w:pPr>
              <w:pStyle w:val="nTable"/>
              <w:spacing w:after="40"/>
              <w:rPr>
                <w:snapToGrid w:val="0"/>
              </w:rPr>
            </w:pPr>
            <w:r>
              <w:rPr>
                <w:snapToGrid w:val="0"/>
              </w:rPr>
              <w:t>1 Jul 2022 (see s. 2(c) and SL 2022/113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nil"/>
            </w:tcBorders>
          </w:tcPr>
          <w:p>
            <w:pPr>
              <w:pStyle w:val="nTable"/>
              <w:spacing w:after="40"/>
            </w:pPr>
            <w:r>
              <w:rPr>
                <w:i/>
              </w:rPr>
              <w:t xml:space="preserve">Liquor Control Amendment (Protected Entertainment Precincts) Act 2022 </w:t>
            </w:r>
            <w:r>
              <w:t>Pt. 2</w:t>
            </w:r>
          </w:p>
        </w:tc>
        <w:tc>
          <w:tcPr>
            <w:tcW w:w="993" w:type="dxa"/>
            <w:tcBorders>
              <w:top w:val="nil"/>
              <w:bottom w:val="nil"/>
            </w:tcBorders>
          </w:tcPr>
          <w:p>
            <w:pPr>
              <w:pStyle w:val="nTable"/>
              <w:spacing w:after="40"/>
            </w:pPr>
            <w:r>
              <w:t>44 of 2022</w:t>
            </w:r>
          </w:p>
        </w:tc>
        <w:tc>
          <w:tcPr>
            <w:tcW w:w="1275" w:type="dxa"/>
            <w:tcBorders>
              <w:top w:val="nil"/>
              <w:bottom w:val="nil"/>
            </w:tcBorders>
          </w:tcPr>
          <w:p>
            <w:pPr>
              <w:pStyle w:val="nTable"/>
              <w:spacing w:after="40"/>
            </w:pPr>
            <w:r>
              <w:t>1 Dec 2022</w:t>
            </w:r>
          </w:p>
        </w:tc>
        <w:tc>
          <w:tcPr>
            <w:tcW w:w="2529" w:type="dxa"/>
            <w:tcBorders>
              <w:top w:val="nil"/>
              <w:bottom w:val="nil"/>
            </w:tcBorders>
          </w:tcPr>
          <w:p>
            <w:pPr>
              <w:pStyle w:val="nTable"/>
              <w:spacing w:after="40"/>
              <w:rPr>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31" w:type="dxa"/>
        </w:trPr>
        <w:tc>
          <w:tcPr>
            <w:tcW w:w="2296" w:type="dxa"/>
            <w:gridSpan w:val="3"/>
            <w:tcBorders>
              <w:top w:val="nil"/>
              <w:bottom w:val="single" w:sz="4" w:space="0" w:color="auto"/>
            </w:tcBorders>
          </w:tcPr>
          <w:p>
            <w:pPr>
              <w:pStyle w:val="nTable"/>
              <w:spacing w:after="40"/>
            </w:pPr>
            <w:r>
              <w:rPr>
                <w:i/>
              </w:rPr>
              <w:t>Directors’ Liability Reform Act 2023</w:t>
            </w:r>
            <w:r>
              <w:t xml:space="preserve"> Pt. 3 Div. 36</w:t>
            </w:r>
          </w:p>
        </w:tc>
        <w:tc>
          <w:tcPr>
            <w:tcW w:w="993" w:type="dxa"/>
            <w:tcBorders>
              <w:top w:val="nil"/>
              <w:bottom w:val="single" w:sz="4" w:space="0" w:color="auto"/>
            </w:tcBorders>
          </w:tcPr>
          <w:p>
            <w:pPr>
              <w:pStyle w:val="nTable"/>
              <w:spacing w:after="40"/>
            </w:pPr>
            <w:r>
              <w:t>9 of 2023</w:t>
            </w:r>
          </w:p>
        </w:tc>
        <w:tc>
          <w:tcPr>
            <w:tcW w:w="1275" w:type="dxa"/>
            <w:tcBorders>
              <w:top w:val="nil"/>
              <w:bottom w:val="single" w:sz="4" w:space="0" w:color="auto"/>
            </w:tcBorders>
          </w:tcPr>
          <w:p>
            <w:pPr>
              <w:pStyle w:val="nTable"/>
              <w:spacing w:after="40"/>
            </w:pPr>
            <w:r>
              <w:t>4 Apr 2023</w:t>
            </w:r>
          </w:p>
        </w:tc>
        <w:tc>
          <w:tcPr>
            <w:tcW w:w="2529" w:type="dxa"/>
            <w:tcBorders>
              <w:top w:val="nil"/>
              <w:bottom w:val="single" w:sz="4" w:space="0" w:color="auto"/>
            </w:tcBorders>
          </w:tcPr>
          <w:p>
            <w:pPr>
              <w:pStyle w:val="nTable"/>
              <w:spacing w:after="40"/>
              <w:rPr>
                <w:snapToGrid w:val="0"/>
              </w:rPr>
            </w:pPr>
            <w:r>
              <w:rPr>
                <w:snapToGrid w:val="0"/>
              </w:rPr>
              <w:t>5 Apr 2023 (see s. 2(j))</w:t>
            </w:r>
          </w:p>
        </w:tc>
      </w:tr>
    </w:tbl>
    <w:p>
      <w:pPr>
        <w:pStyle w:val="nHeading3"/>
      </w:pPr>
      <w:bookmarkStart w:id="869" w:name="_Toc131586727"/>
      <w:r>
        <w:t>Uncommenced provisions table</w:t>
      </w:r>
      <w:bookmarkEnd w:id="869"/>
    </w:p>
    <w:p>
      <w:pPr>
        <w:pStyle w:val="nStatement"/>
        <w:keepNext/>
        <w:spacing w:after="240"/>
      </w:pPr>
      <w:r>
        <w:t xml:space="preserve">To view the text of the uncommenced provisions see </w:t>
      </w:r>
      <w:r>
        <w:rPr>
          <w:i/>
        </w:rPr>
        <w:t>Acts as passed</w:t>
      </w:r>
      <w:r>
        <w:t xml:space="preserve"> on the WA Legislation website.</w:t>
      </w:r>
    </w:p>
    <w:tbl>
      <w:tblPr>
        <w:tblW w:w="6946"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82"/>
        <w:gridCol w:w="1134"/>
        <w:gridCol w:w="1134"/>
        <w:gridCol w:w="2496"/>
      </w:tblGrid>
      <w:tr>
        <w:trPr>
          <w:cantSplit/>
          <w:tblHeader/>
        </w:trPr>
        <w:tc>
          <w:tcPr>
            <w:tcW w:w="2182"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496"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c>
          <w:tcPr>
            <w:tcW w:w="2182"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496" w:type="dxa"/>
            <w:tcBorders>
              <w:top w:val="single" w:sz="4" w:space="0" w:color="auto"/>
              <w:bottom w:val="nil"/>
            </w:tcBorders>
          </w:tcPr>
          <w:p>
            <w:pPr>
              <w:pStyle w:val="nTable"/>
              <w:spacing w:after="40"/>
              <w:rPr>
                <w:snapToGrid w:val="0"/>
              </w:rPr>
            </w:pPr>
            <w:r>
              <w:rPr>
                <w:snapToGrid w:val="0"/>
              </w:rPr>
              <w:t>To be proclaimed (see s. 2(b))</w:t>
            </w:r>
          </w:p>
        </w:tc>
      </w:tr>
      <w:tr>
        <w:tc>
          <w:tcPr>
            <w:tcW w:w="2182"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496" w:type="dxa"/>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182" w:type="dxa"/>
            <w:tcBorders>
              <w:top w:val="nil"/>
              <w:bottom w:val="single" w:sz="4" w:space="0" w:color="auto"/>
            </w:tcBorders>
          </w:tcPr>
          <w:p>
            <w:pPr>
              <w:pStyle w:val="nTable"/>
              <w:spacing w:after="40"/>
              <w:rPr>
                <w:noProof/>
                <w:snapToGrid w:val="0"/>
              </w:rPr>
            </w:pPr>
            <w:r>
              <w:rPr>
                <w:i/>
              </w:rPr>
              <w:t>Public Health (Consequential Provisions) Act 2016</w:t>
            </w:r>
            <w:r>
              <w:t xml:space="preserve"> Pt. 5 Div. 12</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496" w:type="dxa"/>
            <w:tcBorders>
              <w:top w:val="nil"/>
              <w:bottom w:val="single" w:sz="4" w:space="0" w:color="auto"/>
            </w:tcBorders>
          </w:tcPr>
          <w:p>
            <w:pPr>
              <w:pStyle w:val="nTable"/>
              <w:spacing w:after="40"/>
              <w:rPr>
                <w:snapToGrid w:val="0"/>
              </w:rPr>
            </w:pPr>
            <w:r>
              <w:t>T</w:t>
            </w:r>
            <w:r>
              <w:rPr>
                <w:snapToGrid w:val="0"/>
              </w:rPr>
              <w:t>o be proclaimed (see s. 2(1)(c))</w:t>
            </w:r>
          </w:p>
        </w:tc>
      </w:tr>
    </w:tbl>
    <w:p>
      <w:pPr>
        <w:pStyle w:val="nHeading3"/>
      </w:pPr>
      <w:bookmarkStart w:id="870" w:name="_Toc131586728"/>
      <w:r>
        <w:t>Other notes</w:t>
      </w:r>
      <w:bookmarkEnd w:id="870"/>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Repealed by the </w:t>
      </w:r>
      <w:r>
        <w:rPr>
          <w:i/>
          <w:snapToGrid w:val="0"/>
        </w:rPr>
        <w:t>Public Sector Management Act 1994</w:t>
      </w:r>
      <w:r>
        <w:rPr>
          <w:snapToGrid w:val="0"/>
        </w:rPr>
        <w:t>.</w:t>
      </w:r>
    </w:p>
    <w:p>
      <w:pPr>
        <w:pStyle w:val="nNote"/>
        <w:rPr>
          <w:snapToGrid w:val="0"/>
        </w:rPr>
      </w:pPr>
      <w:r>
        <w:rPr>
          <w:vertAlign w:val="superscript"/>
        </w:rPr>
        <w:t>3</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Note"/>
        <w:rPr>
          <w:snapToGrid w:val="0"/>
        </w:rPr>
      </w:pPr>
      <w:r>
        <w:rPr>
          <w:snapToGrid w:val="0"/>
          <w:vertAlign w:val="superscript"/>
        </w:rPr>
        <w:t>4</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Note"/>
        <w:rPr>
          <w:snapToGrid w:val="0"/>
        </w:rPr>
      </w:pPr>
      <w:r>
        <w:rPr>
          <w:snapToGrid w:val="0"/>
          <w:vertAlign w:val="superscript"/>
        </w:rPr>
        <w:lastRenderedPageBreak/>
        <w:t>5</w:t>
      </w:r>
      <w:r>
        <w:rPr>
          <w:snapToGrid w:val="0"/>
        </w:rPr>
        <w:tab/>
        <w:t xml:space="preserve">Repealed by the </w:t>
      </w:r>
      <w:r>
        <w:rPr>
          <w:i/>
          <w:snapToGrid w:val="0"/>
        </w:rPr>
        <w:t>Liquor Act 1970</w:t>
      </w:r>
      <w:r>
        <w:rPr>
          <w:snapToGrid w:val="0"/>
        </w:rPr>
        <w:t>, which was repealed by this Act.</w:t>
      </w:r>
    </w:p>
    <w:p>
      <w:pPr>
        <w:pStyle w:val="nNote"/>
      </w:pPr>
      <w:r>
        <w:rPr>
          <w:vertAlign w:val="superscript"/>
        </w:rPr>
        <w:t>6</w:t>
      </w:r>
      <w:r>
        <w:rPr>
          <w:vertAlign w:val="superscript"/>
        </w:rPr>
        <w:tab/>
      </w:r>
      <w:r>
        <w:t xml:space="preserve">Now known as the </w:t>
      </w:r>
      <w:r>
        <w:rPr>
          <w:i/>
        </w:rPr>
        <w:t>Liquor Control Act 1988</w:t>
      </w:r>
      <w:r>
        <w:rPr>
          <w:iCs/>
        </w:rPr>
        <w:t xml:space="preserve">; </w:t>
      </w:r>
      <w:r>
        <w:t>short title changed (see note under s. 1).</w:t>
      </w:r>
    </w:p>
    <w:p>
      <w:pPr>
        <w:pStyle w:val="nNote"/>
      </w:pPr>
      <w:r>
        <w:rPr>
          <w:vertAlign w:val="superscript"/>
        </w:rPr>
        <w:t>7</w:t>
      </w:r>
      <w:r>
        <w:tab/>
        <w:t xml:space="preserve">The </w:t>
      </w:r>
      <w:r>
        <w:rPr>
          <w:i/>
        </w:rPr>
        <w:t xml:space="preserve">Courts Legislation Amendment Act 2000 </w:t>
      </w:r>
      <w:r>
        <w:t>s. 14 is a transitional provision that is of no further effect.</w:t>
      </w:r>
    </w:p>
    <w:p>
      <w:pPr>
        <w:pStyle w:val="nNote"/>
      </w:pPr>
      <w:r>
        <w:rPr>
          <w:vertAlign w:val="superscript"/>
        </w:rPr>
        <w:t>8</w:t>
      </w:r>
      <w:r>
        <w:tab/>
        <w:t xml:space="preserve">The </w:t>
      </w:r>
      <w:r>
        <w:rPr>
          <w:i/>
        </w:rPr>
        <w:t>Liquor Licensing Amendment Act 2001</w:t>
      </w:r>
      <w:r>
        <w:t xml:space="preserve"> s. 5(2) and 6(2) are transitional provisions that are of no further effect.</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872" w:name="_Toc131520086"/>
      <w:bookmarkStart w:id="873" w:name="_Toc131520647"/>
      <w:bookmarkStart w:id="874" w:name="_Toc131586729"/>
      <w:r>
        <w:rPr>
          <w:sz w:val="28"/>
        </w:rPr>
        <w:lastRenderedPageBreak/>
        <w:t>Defined terms</w:t>
      </w:r>
      <w:bookmarkEnd w:id="872"/>
      <w:bookmarkEnd w:id="873"/>
      <w:bookmarkEnd w:id="8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appointed day</w:t>
      </w:r>
      <w:r>
        <w:tab/>
        <w:t>Sch. 1 cl. 1(1)</w:t>
      </w:r>
    </w:p>
    <w:p>
      <w:pPr>
        <w:pStyle w:val="DefinedTerms"/>
      </w:pPr>
      <w:r>
        <w:t>approved form</w:t>
      </w:r>
      <w:r>
        <w:tab/>
        <w:t>167(1)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changed precinct details</w:t>
      </w:r>
      <w:r>
        <w:tab/>
        <w:t>152NZO(2)</w:t>
      </w:r>
    </w:p>
    <w:p>
      <w:pPr>
        <w:pStyle w:val="DefinedTerms"/>
      </w:pPr>
      <w:r>
        <w:t>change to a protected entertainment precinct</w:t>
      </w:r>
      <w:r>
        <w:tab/>
        <w:t>152NZO(1)</w:t>
      </w:r>
    </w:p>
    <w:p>
      <w:pPr>
        <w:pStyle w:val="DefinedTerms"/>
      </w:pPr>
      <w:r>
        <w:t>Chief Health Officer</w:t>
      </w:r>
      <w:r>
        <w:tab/>
        <w:t>3(1)</w:t>
      </w:r>
    </w:p>
    <w:p>
      <w:pPr>
        <w:pStyle w:val="DefinedTerms"/>
      </w:pPr>
      <w:r>
        <w:t>club</w:t>
      </w:r>
      <w:r>
        <w:tab/>
        <w:t>49(1), Sch. 2 cl. 1</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 Sch. 1C cl. 2(1) and 3(1), Sch. 1D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lastRenderedPageBreak/>
        <w:t>conviction</w:t>
      </w:r>
      <w:r>
        <w:tab/>
        <w:t>152NZJ(1), Sch. 1D cl. 1</w:t>
      </w:r>
    </w:p>
    <w:p>
      <w:pPr>
        <w:pStyle w:val="DefinedTerms"/>
      </w:pPr>
      <w:r>
        <w:t>conviction date</w:t>
      </w:r>
      <w:r>
        <w:tab/>
        <w:t>152NZJ(1), 152NZN(1)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custodial officer</w:t>
      </w:r>
      <w:r>
        <w:tab/>
        <w:t>152NZQ(1)</w:t>
      </w:r>
    </w:p>
    <w:p>
      <w:pPr>
        <w:pStyle w:val="DefinedTerms"/>
      </w:pPr>
      <w:r>
        <w:t>decision</w:t>
      </w:r>
      <w:r>
        <w:tab/>
        <w:t>3(1)</w:t>
      </w:r>
    </w:p>
    <w:p>
      <w:pPr>
        <w:pStyle w:val="DefinedTerms"/>
      </w:pPr>
      <w:r>
        <w:t>Department</w:t>
      </w:r>
      <w:r>
        <w:tab/>
        <w:t>3(1)</w:t>
      </w:r>
    </w:p>
    <w:p>
      <w:pPr>
        <w:pStyle w:val="DefinedTerms"/>
      </w:pPr>
      <w:r>
        <w:t>Department’s website</w:t>
      </w:r>
      <w:r>
        <w:tab/>
        <w:t>3(1)</w:t>
      </w:r>
    </w:p>
    <w:p>
      <w:pPr>
        <w:pStyle w:val="DefinedTerms"/>
      </w:pPr>
      <w:r>
        <w:t>detainee</w:t>
      </w:r>
      <w:r>
        <w:tab/>
        <w:t>152NZQ(1)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document</w:t>
      </w:r>
      <w:r>
        <w:tab/>
        <w:t>152NZP</w:t>
      </w:r>
    </w:p>
    <w:p>
      <w:pPr>
        <w:pStyle w:val="DefinedTerms"/>
      </w:pPr>
      <w:r>
        <w:t>driver</w:t>
      </w:r>
      <w:r>
        <w:tab/>
        <w:t>109A(1)</w:t>
      </w:r>
    </w:p>
    <w:p>
      <w:pPr>
        <w:pStyle w:val="DefinedTerms"/>
      </w:pPr>
      <w:r>
        <w:t>drunk</w:t>
      </w:r>
      <w:r>
        <w:tab/>
        <w:t>3(1), 3A(1)</w:t>
      </w:r>
    </w:p>
    <w:p>
      <w:pPr>
        <w:pStyle w:val="DefinedTerms"/>
      </w:pPr>
      <w:r>
        <w:t>electronic means</w:t>
      </w:r>
      <w:r>
        <w:tab/>
        <w:t>152NZP</w:t>
      </w:r>
    </w:p>
    <w:p>
      <w:pPr>
        <w:pStyle w:val="DefinedTerms"/>
      </w:pPr>
      <w:r>
        <w:t>employed</w:t>
      </w:r>
      <w:r>
        <w:tab/>
        <w:t>152A</w:t>
      </w:r>
    </w:p>
    <w:p>
      <w:pPr>
        <w:pStyle w:val="DefinedTerms"/>
      </w:pPr>
      <w:r>
        <w:t>employee</w:t>
      </w:r>
      <w:r>
        <w:tab/>
        <w:t>3(7), 95(1A), 165(4)</w:t>
      </w:r>
    </w:p>
    <w:p>
      <w:pPr>
        <w:pStyle w:val="DefinedTerms"/>
      </w:pPr>
      <w:r>
        <w:t>excluded offender</w:t>
      </w:r>
      <w:r>
        <w:tab/>
        <w:t>152NC, 152NZJ(2)</w:t>
      </w:r>
    </w:p>
    <w:p>
      <w:pPr>
        <w:pStyle w:val="DefinedTerms"/>
      </w:pPr>
      <w:r>
        <w:t>exclusion order</w:t>
      </w:r>
      <w:r>
        <w:tab/>
        <w:t>152NC</w:t>
      </w:r>
    </w:p>
    <w:p>
      <w:pPr>
        <w:pStyle w:val="DefinedTerms"/>
      </w:pPr>
      <w:r>
        <w:t>exclusion period</w:t>
      </w:r>
      <w:r>
        <w:tab/>
        <w:t>152NC, 152NZJ(4)</w:t>
      </w:r>
    </w:p>
    <w:p>
      <w:pPr>
        <w:pStyle w:val="DefinedTerms"/>
      </w:pPr>
      <w:r>
        <w:t>extended exclusion order</w:t>
      </w:r>
      <w:r>
        <w:tab/>
        <w:t>152NC, Sch. 1D cl. 1</w:t>
      </w:r>
    </w:p>
    <w:p>
      <w:pPr>
        <w:pStyle w:val="DefinedTerms"/>
      </w:pPr>
      <w:r>
        <w:t>extended exclusion order respondent</w:t>
      </w:r>
      <w:r>
        <w:tab/>
        <w:t>152NC</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health service</w:t>
      </w:r>
      <w:r>
        <w:tab/>
        <w:t>152NZK(1)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interested person</w:t>
      </w:r>
      <w:r>
        <w:tab/>
        <w:t>25(1A)</w:t>
      </w:r>
    </w:p>
    <w:p>
      <w:pPr>
        <w:pStyle w:val="DefinedTerms"/>
      </w:pPr>
      <w:r>
        <w:t>interstate supplier</w:t>
      </w:r>
      <w:r>
        <w:tab/>
        <w:t>59A(1)</w:t>
      </w:r>
    </w:p>
    <w:p>
      <w:pPr>
        <w:pStyle w:val="DefinedTerms"/>
      </w:pPr>
      <w:r>
        <w:t>juvenile</w:t>
      </w:r>
      <w:r>
        <w:tab/>
        <w:t>3(1)</w:t>
      </w:r>
    </w:p>
    <w:p>
      <w:pPr>
        <w:pStyle w:val="DefinedTerms"/>
      </w:pPr>
      <w:r>
        <w:lastRenderedPageBreak/>
        <w:t>kind</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 174B(1)</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local packaged liquor requirements</w:t>
      </w:r>
      <w:r>
        <w:tab/>
        <w:t>36B(1)</w:t>
      </w:r>
    </w:p>
    <w:p>
      <w:pPr>
        <w:pStyle w:val="DefinedTerms"/>
      </w:pPr>
      <w:r>
        <w:t>lodger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named juvenile</w:t>
      </w:r>
      <w:r>
        <w:tab/>
        <w:t>152NZP, 152NZQ(3)</w:t>
      </w:r>
    </w:p>
    <w:p>
      <w:pPr>
        <w:pStyle w:val="DefinedTerms"/>
      </w:pPr>
      <w:r>
        <w:t>named person</w:t>
      </w:r>
      <w:r>
        <w:tab/>
        <w:t>152NZP, 152NZQ(4)</w:t>
      </w:r>
    </w:p>
    <w:p>
      <w:pPr>
        <w:pStyle w:val="DefinedTerms"/>
      </w:pPr>
      <w:r>
        <w:t>new Act</w:t>
      </w:r>
      <w:r>
        <w:tab/>
        <w:t>Sch. 1A cl. 1</w:t>
      </w:r>
    </w:p>
    <w:p>
      <w:pPr>
        <w:pStyle w:val="DefinedTerms"/>
      </w:pPr>
      <w:r>
        <w:t>new exclusion order</w:t>
      </w:r>
      <w:r>
        <w:tab/>
        <w:t>152NZH(3)</w:t>
      </w:r>
    </w:p>
    <w:p>
      <w:pPr>
        <w:pStyle w:val="DefinedTerms"/>
      </w:pPr>
      <w:r>
        <w:t>nightclub licence</w:t>
      </w:r>
      <w:r>
        <w:tab/>
        <w:t>3(1)</w:t>
      </w:r>
    </w:p>
    <w:p>
      <w:pPr>
        <w:pStyle w:val="DefinedTerms"/>
      </w:pPr>
      <w:r>
        <w:t>non-liquor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 xml:space="preserve">old licence </w:t>
      </w:r>
      <w:r>
        <w:tab/>
        <w:t>Sch. 1C cl. 2(1)</w:t>
      </w:r>
    </w:p>
    <w:p>
      <w:pPr>
        <w:pStyle w:val="DefinedTerms"/>
      </w:pPr>
      <w:r>
        <w:t>old section 35B</w:t>
      </w:r>
      <w:r>
        <w:tab/>
        <w:t>Sch. 1B cl. 1</w:t>
      </w:r>
    </w:p>
    <w:p>
      <w:pPr>
        <w:pStyle w:val="DefinedTerms"/>
      </w:pPr>
      <w:r>
        <w:t>owner</w:t>
      </w:r>
      <w:r>
        <w:tab/>
        <w:t>3(1)</w:t>
      </w:r>
    </w:p>
    <w:p>
      <w:pPr>
        <w:pStyle w:val="DefinedTerms"/>
      </w:pPr>
      <w:r>
        <w:t>packaged liquor</w:t>
      </w:r>
      <w:r>
        <w:tab/>
        <w:t>3(1), 59A(1)</w:t>
      </w:r>
    </w:p>
    <w:p>
      <w:pPr>
        <w:pStyle w:val="DefinedTerms"/>
      </w:pPr>
      <w:r>
        <w:t>packaged liquor licence</w:t>
      </w:r>
      <w:r>
        <w:tab/>
        <w:t>59A(1)</w:t>
      </w:r>
    </w:p>
    <w:p>
      <w:pPr>
        <w:pStyle w:val="DefinedTerms"/>
      </w:pPr>
      <w:r>
        <w:t>packaged liquor outlet</w:t>
      </w:r>
      <w:r>
        <w:tab/>
        <w:t>36A(1)</w:t>
      </w:r>
    </w:p>
    <w:p>
      <w:pPr>
        <w:pStyle w:val="DefinedTerms"/>
      </w:pPr>
      <w:r>
        <w:t>packaged liquor premises</w:t>
      </w:r>
      <w:r>
        <w:tab/>
        <w:t>36B(1), 77A(1)</w:t>
      </w:r>
    </w:p>
    <w:p>
      <w:pPr>
        <w:pStyle w:val="DefinedTerms"/>
      </w:pPr>
      <w:r>
        <w:t>Parliamentary Commissioner</w:t>
      </w:r>
      <w:r>
        <w:tab/>
        <w:t>152NZV(1)</w:t>
      </w:r>
    </w:p>
    <w:p>
      <w:pPr>
        <w:pStyle w:val="DefinedTerms"/>
      </w:pPr>
      <w:r>
        <w:lastRenderedPageBreak/>
        <w:t>party to proceedings</w:t>
      </w:r>
      <w:r>
        <w:tab/>
        <w:t>3(1)</w:t>
      </w:r>
    </w:p>
    <w:p>
      <w:pPr>
        <w:pStyle w:val="DefinedTerms"/>
      </w:pPr>
      <w:r>
        <w:t>permit</w:t>
      </w:r>
      <w:r>
        <w:tab/>
        <w:t>3(1), Sch. 1 cl. 1(1)</w:t>
      </w:r>
    </w:p>
    <w:p>
      <w:pPr>
        <w:pStyle w:val="DefinedTerms"/>
      </w:pPr>
      <w:r>
        <w:t>permitted hours</w:t>
      </w:r>
      <w:r>
        <w:tab/>
        <w:t>3(1)</w:t>
      </w:r>
    </w:p>
    <w:p>
      <w:pPr>
        <w:pStyle w:val="DefinedTerms"/>
      </w:pPr>
      <w:r>
        <w:t>personal details</w:t>
      </w:r>
      <w:r>
        <w:tab/>
        <w:t>152NZM(1)</w:t>
      </w:r>
    </w:p>
    <w:p>
      <w:pPr>
        <w:pStyle w:val="DefinedTerms"/>
      </w:pPr>
      <w:r>
        <w:t>personal particulars</w:t>
      </w:r>
      <w:r>
        <w:tab/>
        <w:t>115AC(1A), 152K(1A), 152NZC(1), 152NZT(1)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prescribed area</w:t>
      </w:r>
      <w:r>
        <w:tab/>
        <w:t>36B(1), 77A(1)</w:t>
      </w:r>
    </w:p>
    <w:p>
      <w:pPr>
        <w:pStyle w:val="DefinedTerms"/>
      </w:pPr>
      <w:r>
        <w:t xml:space="preserve">prescribed distance </w:t>
      </w:r>
      <w:r>
        <w:tab/>
        <w:t>36B(1)</w:t>
      </w:r>
    </w:p>
    <w:p>
      <w:pPr>
        <w:pStyle w:val="DefinedTerms"/>
      </w:pPr>
      <w:r>
        <w:t>prescribed distance</w:t>
      </w:r>
      <w:r>
        <w:tab/>
        <w:t>77A(1)</w:t>
      </w:r>
    </w:p>
    <w:p>
      <w:pPr>
        <w:pStyle w:val="DefinedTerms"/>
      </w:pPr>
      <w:r>
        <w:t>prison</w:t>
      </w:r>
      <w:r>
        <w:tab/>
        <w:t>152NZQ(1)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proposed licensed premises</w:t>
      </w:r>
      <w:r>
        <w:tab/>
        <w:t>36B(1)</w:t>
      </w:r>
    </w:p>
    <w:p>
      <w:pPr>
        <w:pStyle w:val="DefinedTerms"/>
      </w:pPr>
      <w:r>
        <w:t>proprietary company</w:t>
      </w:r>
      <w:r>
        <w:tab/>
        <w:t>3(1)</w:t>
      </w:r>
    </w:p>
    <w:p>
      <w:pPr>
        <w:pStyle w:val="DefinedTerms"/>
      </w:pPr>
      <w:r>
        <w:t>protected entertainment precinct</w:t>
      </w:r>
      <w:r>
        <w:tab/>
        <w:t>3(1)</w:t>
      </w:r>
    </w:p>
    <w:p>
      <w:pPr>
        <w:pStyle w:val="DefinedTerms"/>
      </w:pPr>
      <w:r>
        <w:t>protection order</w:t>
      </w:r>
      <w:r>
        <w:tab/>
        <w:t>3(1), 87(1)</w:t>
      </w:r>
    </w:p>
    <w:p>
      <w:pPr>
        <w:pStyle w:val="DefinedTerms"/>
      </w:pPr>
      <w:r>
        <w:t>public authority</w:t>
      </w:r>
      <w:r>
        <w:tab/>
        <w:t>3(1)</w:t>
      </w:r>
    </w:p>
    <w:p>
      <w:pPr>
        <w:pStyle w:val="DefinedTerms"/>
      </w:pPr>
      <w:r>
        <w:t>public body</w:t>
      </w:r>
      <w:r>
        <w:tab/>
        <w:t>37(1A)</w:t>
      </w:r>
    </w:p>
    <w:p>
      <w:pPr>
        <w:pStyle w:val="DefinedTerms"/>
      </w:pPr>
      <w:r>
        <w:t>public event</w:t>
      </w:r>
      <w:r>
        <w:tab/>
        <w:t>110(4B)</w:t>
      </w:r>
    </w:p>
    <w:p>
      <w:pPr>
        <w:pStyle w:val="DefinedTerms"/>
      </w:pPr>
      <w:r>
        <w:t>public place</w:t>
      </w:r>
      <w:r>
        <w:tab/>
        <w:t>152NC</w:t>
      </w:r>
    </w:p>
    <w:p>
      <w:pPr>
        <w:pStyle w:val="DefinedTerms"/>
      </w:pPr>
      <w:r>
        <w:t>purchaser</w:t>
      </w:r>
      <w:r>
        <w:tab/>
        <w:t>110(6A)</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material</w:t>
      </w:r>
      <w:r>
        <w:tab/>
        <w:t>152NZJ(1)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relevant power</w:t>
      </w:r>
      <w:r>
        <w:tab/>
        <w:t>152NI(1)</w:t>
      </w:r>
    </w:p>
    <w:p>
      <w:pPr>
        <w:pStyle w:val="DefinedTerms"/>
      </w:pPr>
      <w:r>
        <w:t>relevant written notice</w:t>
      </w:r>
      <w:r>
        <w:tab/>
        <w:t>152NZB(1)</w:t>
      </w:r>
    </w:p>
    <w:p>
      <w:pPr>
        <w:pStyle w:val="DefinedTerms"/>
      </w:pPr>
      <w:r>
        <w:t>removal</w:t>
      </w:r>
      <w:r>
        <w:tab/>
        <w:t>3(1)</w:t>
      </w:r>
    </w:p>
    <w:p>
      <w:pPr>
        <w:pStyle w:val="DefinedTerms"/>
      </w:pPr>
      <w:r>
        <w:t>repealed Act</w:t>
      </w:r>
      <w:r>
        <w:tab/>
        <w:t>Sch. 1 cl. 1(1)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restriction order</w:t>
      </w:r>
      <w:r>
        <w:tab/>
        <w:t>152NZF(1)</w:t>
      </w:r>
    </w:p>
    <w:p>
      <w:pPr>
        <w:pStyle w:val="DefinedTerms"/>
      </w:pPr>
      <w:r>
        <w:t>retail section</w:t>
      </w:r>
      <w:r>
        <w:tab/>
        <w:t>36B(1), 77A(1)</w:t>
      </w:r>
    </w:p>
    <w:p>
      <w:pPr>
        <w:pStyle w:val="DefinedTerms"/>
      </w:pPr>
      <w:r>
        <w:lastRenderedPageBreak/>
        <w:t>reviewable decision</w:t>
      </w:r>
      <w:r>
        <w:tab/>
        <w:t>25(1A)</w:t>
      </w:r>
    </w:p>
    <w:p>
      <w:pPr>
        <w:pStyle w:val="DefinedTerms"/>
      </w:pPr>
      <w:r>
        <w:t>sample</w:t>
      </w:r>
      <w:r>
        <w:tab/>
        <w:t>3(1)</w:t>
      </w:r>
    </w:p>
    <w:p>
      <w:pPr>
        <w:pStyle w:val="DefinedTerms"/>
      </w:pPr>
      <w:r>
        <w:t>Secretary</w:t>
      </w:r>
      <w:r>
        <w:tab/>
        <w:t>3(1)</w:t>
      </w:r>
    </w:p>
    <w:p>
      <w:pPr>
        <w:pStyle w:val="DefinedTerms"/>
      </w:pPr>
      <w:r>
        <w:t>secure webpage</w:t>
      </w:r>
      <w:r>
        <w:tab/>
        <w:t>115AC(1A), 152K(1A), 152NZC(1), 152NZT(1)</w:t>
      </w:r>
    </w:p>
    <w:p>
      <w:pPr>
        <w:pStyle w:val="DefinedTerms"/>
      </w:pPr>
      <w:r>
        <w:t>seizable quantity</w:t>
      </w:r>
      <w:r>
        <w:tab/>
        <w:t>155(5C)</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short-term exclusion order</w:t>
      </w:r>
      <w:r>
        <w:tab/>
        <w:t>152NC, Sch. 1D cl. 1</w:t>
      </w:r>
    </w:p>
    <w:p>
      <w:pPr>
        <w:pStyle w:val="DefinedTerms"/>
      </w:pPr>
      <w:r>
        <w:t>small bar licence</w:t>
      </w:r>
      <w:r>
        <w:tab/>
        <w:t>3(1)</w:t>
      </w:r>
    </w:p>
    <w:p>
      <w:pPr>
        <w:pStyle w:val="DefinedTerms"/>
      </w:pPr>
      <w:r>
        <w:t>small restaurant licence</w:t>
      </w:r>
      <w:r>
        <w:tab/>
        <w:t>Sch. 1C cl. 3(1)</w:t>
      </w:r>
    </w:p>
    <w:p>
      <w:pPr>
        <w:pStyle w:val="DefinedTerms"/>
      </w:pPr>
      <w:r>
        <w:t>social welfare service</w:t>
      </w:r>
      <w:r>
        <w:tab/>
        <w:t>152NZK(1)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specified exception</w:t>
      </w:r>
      <w:r>
        <w:tab/>
        <w:t>152NZI(1)</w:t>
      </w:r>
    </w:p>
    <w:p>
      <w:pPr>
        <w:pStyle w:val="DefinedTerms"/>
      </w:pPr>
      <w:r>
        <w:t>specified offence</w:t>
      </w:r>
      <w:r>
        <w:tab/>
        <w:t>152NZJ(1), Sch. 1D cl. 1</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subject person</w:t>
      </w:r>
      <w:r>
        <w:tab/>
        <w:t>152NC</w:t>
      </w:r>
    </w:p>
    <w:p>
      <w:pPr>
        <w:pStyle w:val="DefinedTerms"/>
      </w:pPr>
      <w:r>
        <w:t>submission</w:t>
      </w:r>
      <w:r>
        <w:tab/>
        <w:t>72A(1)</w:t>
      </w:r>
    </w:p>
    <w:p>
      <w:pPr>
        <w:pStyle w:val="DefinedTerms"/>
      </w:pPr>
      <w:r>
        <w:t>subsidy</w:t>
      </w:r>
      <w:r>
        <w:tab/>
        <w:t>3(1)</w:t>
      </w:r>
    </w:p>
    <w:p>
      <w:pPr>
        <w:pStyle w:val="DefinedTerms"/>
      </w:pPr>
      <w:r>
        <w:t>substance</w:t>
      </w:r>
      <w:r>
        <w:tab/>
        <w:t>3(1)</w:t>
      </w:r>
    </w:p>
    <w:p>
      <w:pPr>
        <w:pStyle w:val="DefinedTerms"/>
      </w:pPr>
      <w:r>
        <w:t>superintendent</w:t>
      </w:r>
      <w:r>
        <w:tab/>
        <w:t>152NZQ(1)</w:t>
      </w:r>
    </w:p>
    <w:p>
      <w:pPr>
        <w:pStyle w:val="DefinedTerms"/>
      </w:pPr>
      <w:r>
        <w:t>supplier</w:t>
      </w:r>
      <w:r>
        <w:tab/>
        <w:t>59A(2)</w:t>
      </w:r>
    </w:p>
    <w:p>
      <w:pPr>
        <w:pStyle w:val="DefinedTerms"/>
      </w:pPr>
      <w:r>
        <w:t>tavern licence</w:t>
      </w:r>
      <w:r>
        <w:tab/>
        <w:t>3(1)</w:t>
      </w:r>
    </w:p>
    <w:p>
      <w:pPr>
        <w:pStyle w:val="DefinedTerms"/>
      </w:pPr>
      <w:r>
        <w:t>tavern restricted licence</w:t>
      </w:r>
      <w:r>
        <w:tab/>
        <w:t>3(1)</w:t>
      </w:r>
    </w:p>
    <w:p>
      <w:pPr>
        <w:pStyle w:val="DefinedTerms"/>
      </w:pPr>
      <w:r>
        <w:t>the required day</w:t>
      </w:r>
      <w:r>
        <w:tab/>
        <w:t>62(4)</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Tribunal</w:t>
      </w:r>
      <w:r>
        <w:tab/>
        <w:t>25A(1)</w:t>
      </w:r>
    </w:p>
    <w:p>
      <w:pPr>
        <w:pStyle w:val="DefinedTerms"/>
      </w:pPr>
      <w:r>
        <w:t>trustee</w:t>
      </w:r>
      <w:r>
        <w:tab/>
        <w:t>3(1)</w:t>
      </w:r>
    </w:p>
    <w:p>
      <w:pPr>
        <w:pStyle w:val="DefinedTerms"/>
      </w:pPr>
      <w:r>
        <w:t>undertaking permitted travel</w:t>
      </w:r>
      <w:r>
        <w:tab/>
        <w:t>152NZK(2)</w:t>
      </w:r>
    </w:p>
    <w:p>
      <w:pPr>
        <w:pStyle w:val="DefinedTerms"/>
      </w:pPr>
      <w:r>
        <w:t>vehicle</w:t>
      </w:r>
      <w:r>
        <w:tab/>
        <w:t>3(1), 109A(1)</w:t>
      </w:r>
    </w:p>
    <w:p>
      <w:pPr>
        <w:pStyle w:val="DefinedTerms"/>
      </w:pPr>
      <w:r>
        <w:t>visitor</w:t>
      </w:r>
      <w:r>
        <w:tab/>
        <w:t>48(2B)</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Pr>
        <w:pStyle w:val="DefinedTerms"/>
      </w:pPr>
      <w:r>
        <w:lastRenderedPageBreak/>
        <w:t>working day</w:t>
      </w:r>
      <w:r>
        <w:tab/>
        <w:t>152NZR(1)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p>
    <w:pPr>
      <w:pStyle w:val="Footer"/>
      <w:tabs>
        <w:tab w:val="center" w:pos="3600"/>
      </w:tabs>
      <w:rPr>
        <w:sz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08-s0-00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756" w:name="Schedule"/>
    <w:bookmarkEnd w:id="7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60" w:type="dxa"/>
        </w:tcPr>
        <w:p>
          <w:pPr>
            <w:pStyle w:val="Header"/>
            <w:spacing w:before="40"/>
            <w:jc w:val="right"/>
          </w:pPr>
          <w:r>
            <w:fldChar w:fldCharType="begin"/>
          </w:r>
          <w:r>
            <w:instrText xml:space="preserve"> styleref CharSDivText </w:instrText>
          </w:r>
          <w:r>
            <w:fldChar w:fldCharType="end"/>
          </w:r>
        </w:p>
      </w:tc>
      <w:tc>
        <w:tcPr>
          <w:tcW w:w="1400"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r>
    <w:tr>
      <w:trPr>
        <w:cantSplit/>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71" w:name="Compilation"/>
    <w:bookmarkEnd w:id="87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75" w:name="DefinedTerms"/>
    <w:bookmarkEnd w:id="8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6" w:name="Coversheet"/>
    <w:bookmarkEnd w:id="8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F80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E03BA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228A5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3887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2C67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BB0AF8"/>
    <w:multiLevelType w:val="hybridMultilevel"/>
    <w:tmpl w:val="E7149C68"/>
    <w:lvl w:ilvl="0" w:tplc="04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0B3396"/>
    <w:multiLevelType w:val="hybridMultilevel"/>
    <w:tmpl w:val="5BBE1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7" w15:restartNumberingAfterBreak="0">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6"/>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9095828"/>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 w:name="WAFER_20180920150641" w:val="RemoveTocBookmarks,RemoveUnusedBookmarks,RemoveLanguageTags,UsedStyles,ResetPageSize"/>
    <w:docVar w:name="WAFER_20180920150641_GUID" w:val="543c4eab-d763-417b-9a78-9c19e133e1f4"/>
    <w:docVar w:name="WAFER_202002131324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2400_GUID" w:val="ce220b70-39db-41d7-b7b9-aa45c43e47a9"/>
    <w:docVar w:name="WAFER_2021091613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31125_GUID" w:val="90ee5332-1a02-4df1-bc90-bafb58b9d1ae"/>
    <w:docVar w:name="WAFER_202112011206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20614_GUID" w:val="73829c1f-5c27-496e-9181-cca6affaa125"/>
    <w:docVar w:name="WAFER_20220124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905_GUID" w:val="2ef573a7-3462-4d24-81f3-0b16f17a0685"/>
    <w:docVar w:name="WAFER_20220411090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0747_GUID" w:val="47ca691c-de31-40fd-ad8d-f4129e5a7f59"/>
    <w:docVar w:name="WAFER_2022062816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5101_GUID" w:val="801c2264-38a8-4d81-900b-439e9d975bdc"/>
    <w:docVar w:name="WAFER_2022120210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742_GUID" w:val="a4903d6d-c5a5-407e-8ea0-ea3865094194"/>
    <w:docVar w:name="WAFER_202212190958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9095828_GUID" w:val="7aef3c50-00f2-4af2-97e2-9977d70853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F859DD8A-E9C5-44B0-A898-A5994FEF6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015F24-5FD9-42DA-B320-20A087DA5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107309</Words>
  <Characters>511867</Characters>
  <Application>Microsoft Office Word</Application>
  <DocSecurity>0</DocSecurity>
  <Lines>13470</Lines>
  <Paragraphs>7550</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611626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1988 - 08-s0-00</dc:title>
  <dc:subject/>
  <dc:creator/>
  <cp:keywords/>
  <dc:description/>
  <cp:lastModifiedBy>Master Repository Process</cp:lastModifiedBy>
  <cp:revision>4</cp:revision>
  <cp:lastPrinted>2018-08-17T03:42:00Z</cp:lastPrinted>
  <dcterms:created xsi:type="dcterms:W3CDTF">2023-04-05T03:53:00Z</dcterms:created>
  <dcterms:modified xsi:type="dcterms:W3CDTF">2023-04-05T03:54:00Z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05 Apr 2023</vt:lpwstr>
  </property>
  <property fmtid="{D5CDD505-2E9C-101B-9397-08002B2CF9AE}" pid="9" name="Suffix">
    <vt:lpwstr>08-s0-00</vt:lpwstr>
  </property>
  <property fmtid="{D5CDD505-2E9C-101B-9397-08002B2CF9AE}" pid="10" name="CommencementDate">
    <vt:lpwstr>20230405</vt:lpwstr>
  </property>
</Properties>
</file>