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Retirement Villages Act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Retirement Villages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_Toc131509246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_Toc131509247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_Toc131509248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binds Crown</w:t>
      </w:r>
      <w:r>
        <w:tab/>
      </w:r>
      <w:r>
        <w:fldChar w:fldCharType="begin"/>
      </w:r>
      <w:r>
        <w:instrText xml:space="preserve"> PAGEREF _Toc131509249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w:t>
      </w:r>
      <w:r>
        <w:tab/>
      </w:r>
      <w:r>
        <w:fldChar w:fldCharType="begin"/>
      </w:r>
      <w:r>
        <w:instrText xml:space="preserve"> PAGEREF _Toc131509250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Contracting out</w:t>
      </w:r>
      <w:r>
        <w:tab/>
      </w:r>
      <w:r>
        <w:fldChar w:fldCharType="begin"/>
      </w:r>
      <w:r>
        <w:instrText xml:space="preserve"> PAGEREF _Toc131509251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Act on other legislation</w:t>
      </w:r>
      <w:r>
        <w:tab/>
      </w:r>
      <w:r>
        <w:fldChar w:fldCharType="begin"/>
      </w:r>
      <w:r>
        <w:instrText xml:space="preserve"> PAGEREF _Toc131509252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7A.</w:t>
      </w:r>
      <w:r>
        <w:tab/>
        <w:t>Commissioner</w:t>
      </w:r>
      <w:r>
        <w:tab/>
      </w:r>
      <w:r>
        <w:fldChar w:fldCharType="begin"/>
      </w:r>
      <w:r>
        <w:instrText xml:space="preserve"> PAGEREF _Toc131509254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Commissioner</w:t>
      </w:r>
      <w:r>
        <w:tab/>
      </w:r>
      <w:r>
        <w:fldChar w:fldCharType="begin"/>
      </w:r>
      <w:r>
        <w:instrText xml:space="preserve"> PAGEREF _Toc131509255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may institute or defend proceedings for party</w:t>
      </w:r>
      <w:r>
        <w:tab/>
      </w:r>
      <w:r>
        <w:fldChar w:fldCharType="begin"/>
      </w:r>
      <w:r>
        <w:instrText xml:space="preserve"> PAGEREF _Toc131509256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 by Commissioner</w:t>
      </w:r>
      <w:r>
        <w:tab/>
      </w:r>
      <w:r>
        <w:fldChar w:fldCharType="begin"/>
      </w:r>
      <w:r>
        <w:instrText xml:space="preserve"> PAGEREF _Toc131509257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of officers</w:t>
      </w:r>
      <w:r>
        <w:tab/>
      </w:r>
      <w:r>
        <w:fldChar w:fldCharType="begin"/>
      </w:r>
      <w:r>
        <w:instrText xml:space="preserve"> PAGEREF _Toc131509258 \h </w:instrText>
      </w:r>
      <w:r>
        <w:fldChar w:fldCharType="separate"/>
      </w:r>
      <w:r>
        <w:t>11</w:t>
      </w:r>
      <w:r>
        <w:fldChar w:fldCharType="end"/>
      </w:r>
    </w:p>
    <w:p>
      <w:pPr>
        <w:pStyle w:val="TOC8"/>
        <w:rPr>
          <w:rFonts w:asciiTheme="minorHAnsi" w:eastAsiaTheme="minorEastAsia" w:hAnsiTheme="minorHAnsi" w:cstheme="minorBidi"/>
          <w:szCs w:val="22"/>
        </w:rPr>
      </w:pPr>
      <w:r>
        <w:t>11A.</w:t>
      </w:r>
      <w:r>
        <w:tab/>
        <w:t>Information officially obtained to be confidential</w:t>
      </w:r>
      <w:r>
        <w:tab/>
      </w:r>
      <w:r>
        <w:fldChar w:fldCharType="begin"/>
      </w:r>
      <w:r>
        <w:instrText xml:space="preserve"> PAGEREF _Toc131509259 \h </w:instrText>
      </w:r>
      <w:r>
        <w:fldChar w:fldCharType="separate"/>
      </w:r>
      <w:r>
        <w:t>12</w:t>
      </w:r>
      <w:r>
        <w:fldChar w:fldCharType="end"/>
      </w:r>
    </w:p>
    <w:p>
      <w:pPr>
        <w:pStyle w:val="TOC8"/>
        <w:rPr>
          <w:rFonts w:asciiTheme="minorHAnsi" w:eastAsiaTheme="minorEastAsia" w:hAnsiTheme="minorHAnsi" w:cstheme="minorBidi"/>
          <w:szCs w:val="22"/>
        </w:rPr>
      </w:pPr>
      <w:r>
        <w:t>11B.</w:t>
      </w:r>
      <w:r>
        <w:tab/>
        <w:t>Powers of investigation</w:t>
      </w:r>
      <w:r>
        <w:tab/>
      </w:r>
      <w:r>
        <w:fldChar w:fldCharType="begin"/>
      </w:r>
      <w:r>
        <w:instrText xml:space="preserve"> PAGEREF _Toc131509260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Annual report</w:t>
      </w:r>
      <w:r>
        <w:tab/>
      </w:r>
      <w:r>
        <w:fldChar w:fldCharType="begin"/>
      </w:r>
      <w:r>
        <w:instrText xml:space="preserve"> PAGEREF _Toc131509261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Rights and obligations of residents, owners and administering bodies</w:t>
      </w:r>
    </w:p>
    <w:p>
      <w:pPr>
        <w:pStyle w:val="TOC8"/>
        <w:rPr>
          <w:rFonts w:asciiTheme="minorHAnsi" w:eastAsiaTheme="minorEastAsia" w:hAnsiTheme="minorHAnsi" w:cstheme="minorBidi"/>
          <w:szCs w:val="22"/>
        </w:rPr>
      </w:pPr>
      <w:r>
        <w:t>13</w:t>
      </w:r>
      <w:r>
        <w:rPr>
          <w:snapToGrid w:val="0"/>
        </w:rPr>
        <w:t>.</w:t>
      </w:r>
      <w:r>
        <w:rPr>
          <w:snapToGrid w:val="0"/>
        </w:rPr>
        <w:tab/>
        <w:t>Residence contract</w:t>
      </w:r>
      <w:r>
        <w:tab/>
      </w:r>
      <w:r>
        <w:fldChar w:fldCharType="begin"/>
      </w:r>
      <w:r>
        <w:instrText xml:space="preserve"> PAGEREF _Toc131509263 \h </w:instrText>
      </w:r>
      <w:r>
        <w:fldChar w:fldCharType="separate"/>
      </w:r>
      <w:r>
        <w:t>14</w:t>
      </w:r>
      <w:r>
        <w:fldChar w:fldCharType="end"/>
      </w:r>
    </w:p>
    <w:p>
      <w:pPr>
        <w:pStyle w:val="TOC8"/>
        <w:rPr>
          <w:rFonts w:asciiTheme="minorHAnsi" w:eastAsiaTheme="minorEastAsia" w:hAnsiTheme="minorHAnsi" w:cstheme="minorBidi"/>
          <w:szCs w:val="22"/>
        </w:rPr>
      </w:pPr>
      <w:r>
        <w:t>14A.</w:t>
      </w:r>
      <w:r>
        <w:tab/>
        <w:t>Residence contracts to comply with prescribed requirements</w:t>
      </w:r>
      <w:r>
        <w:tab/>
      </w:r>
      <w:r>
        <w:fldChar w:fldCharType="begin"/>
      </w:r>
      <w:r>
        <w:instrText xml:space="preserve"> PAGEREF _Toc131509264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Cooling</w:t>
      </w:r>
      <w:r>
        <w:rPr>
          <w:snapToGrid w:val="0"/>
        </w:rPr>
        <w:noBreakHyphen/>
        <w:t>off period</w:t>
      </w:r>
      <w:r>
        <w:tab/>
      </w:r>
      <w:r>
        <w:fldChar w:fldCharType="begin"/>
      </w:r>
      <w:r>
        <w:instrText xml:space="preserve"> PAGEREF _Toc131509265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Owner to deliver memorial</w:t>
      </w:r>
      <w:r>
        <w:tab/>
      </w:r>
      <w:r>
        <w:fldChar w:fldCharType="begin"/>
      </w:r>
      <w:r>
        <w:instrText xml:space="preserve"> PAGEREF _Toc131509266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Occupation right not to be created unless memorial is lodged</w:t>
      </w:r>
      <w:r>
        <w:tab/>
      </w:r>
      <w:r>
        <w:fldChar w:fldCharType="begin"/>
      </w:r>
      <w:r>
        <w:instrText xml:space="preserve"> PAGEREF _Toc131509267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Termination of residence rights</w:t>
      </w:r>
      <w:r>
        <w:tab/>
      </w:r>
      <w:r>
        <w:fldChar w:fldCharType="begin"/>
      </w:r>
      <w:r>
        <w:instrText xml:space="preserve"> PAGEREF _Toc131509268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Premiums</w:t>
      </w:r>
      <w:r>
        <w:tab/>
      </w:r>
      <w:r>
        <w:fldChar w:fldCharType="begin"/>
      </w:r>
      <w:r>
        <w:instrText xml:space="preserve"> PAGEREF _Toc131509269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Contractual rights of residents</w:t>
      </w:r>
      <w:r>
        <w:tab/>
      </w:r>
      <w:r>
        <w:fldChar w:fldCharType="begin"/>
      </w:r>
      <w:r>
        <w:instrText xml:space="preserve"> PAGEREF _Toc131509270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Charges</w:t>
      </w:r>
      <w:r>
        <w:tab/>
      </w:r>
      <w:r>
        <w:fldChar w:fldCharType="begin"/>
      </w:r>
      <w:r>
        <w:instrText xml:space="preserve"> PAGEREF _Toc131509271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Enforcement of charge</w:t>
      </w:r>
      <w:r>
        <w:tab/>
      </w:r>
      <w:r>
        <w:fldChar w:fldCharType="begin"/>
      </w:r>
      <w:r>
        <w:instrText xml:space="preserve"> PAGEREF _Toc131509272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Termination of retirement village scheme</w:t>
      </w:r>
      <w:r>
        <w:tab/>
      </w:r>
      <w:r>
        <w:fldChar w:fldCharType="begin"/>
      </w:r>
      <w:r>
        <w:instrText xml:space="preserve"> PAGEREF _Toc131509273 \h </w:instrText>
      </w:r>
      <w:r>
        <w:fldChar w:fldCharType="separate"/>
      </w:r>
      <w:r>
        <w:t>26</w:t>
      </w:r>
      <w:r>
        <w:fldChar w:fldCharType="end"/>
      </w:r>
    </w:p>
    <w:p>
      <w:pPr>
        <w:pStyle w:val="TOC8"/>
        <w:rPr>
          <w:rFonts w:asciiTheme="minorHAnsi" w:eastAsiaTheme="minorEastAsia" w:hAnsiTheme="minorHAnsi" w:cstheme="minorBidi"/>
          <w:szCs w:val="22"/>
        </w:rPr>
      </w:pPr>
      <w:r>
        <w:t>23.</w:t>
      </w:r>
      <w:r>
        <w:tab/>
        <w:t>Recurrent charges payable by former residents</w:t>
      </w:r>
      <w:r>
        <w:tab/>
      </w:r>
      <w:r>
        <w:fldChar w:fldCharType="begin"/>
      </w:r>
      <w:r>
        <w:instrText xml:space="preserve"> PAGEREF _Toc131509274 \h </w:instrText>
      </w:r>
      <w:r>
        <w:fldChar w:fldCharType="separate"/>
      </w:r>
      <w:r>
        <w:t>26</w:t>
      </w:r>
      <w:r>
        <w:fldChar w:fldCharType="end"/>
      </w:r>
    </w:p>
    <w:p>
      <w:pPr>
        <w:pStyle w:val="TOC8"/>
        <w:rPr>
          <w:rFonts w:asciiTheme="minorHAnsi" w:eastAsiaTheme="minorEastAsia" w:hAnsiTheme="minorHAnsi" w:cstheme="minorBidi"/>
          <w:szCs w:val="22"/>
        </w:rPr>
      </w:pPr>
      <w:r>
        <w:t>24.</w:t>
      </w:r>
      <w:r>
        <w:tab/>
        <w:t>Recurrent charges may be deducted from premium repayable to former resident</w:t>
      </w:r>
      <w:r>
        <w:tab/>
      </w:r>
      <w:r>
        <w:fldChar w:fldCharType="begin"/>
      </w:r>
      <w:r>
        <w:instrText xml:space="preserve"> PAGEREF _Toc131509275 \h </w:instrText>
      </w:r>
      <w:r>
        <w:fldChar w:fldCharType="separate"/>
      </w:r>
      <w:r>
        <w:t>28</w:t>
      </w:r>
      <w:r>
        <w:fldChar w:fldCharType="end"/>
      </w:r>
    </w:p>
    <w:p>
      <w:pPr>
        <w:pStyle w:val="TOC8"/>
        <w:rPr>
          <w:rFonts w:asciiTheme="minorHAnsi" w:eastAsiaTheme="minorEastAsia" w:hAnsiTheme="minorHAnsi" w:cstheme="minorBidi"/>
          <w:szCs w:val="22"/>
        </w:rPr>
      </w:pPr>
      <w:r>
        <w:t>25.</w:t>
      </w:r>
      <w:r>
        <w:tab/>
        <w:t>Administering body not to require payment in respect of prescribed matters</w:t>
      </w:r>
      <w:r>
        <w:tab/>
      </w:r>
      <w:r>
        <w:fldChar w:fldCharType="begin"/>
      </w:r>
      <w:r>
        <w:instrText xml:space="preserve"> PAGEREF _Toc131509276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Resolution of disputes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w:t>
      </w:r>
      <w:r>
        <w:rPr>
          <w:snapToGrid w:val="0"/>
        </w:rPr>
        <w:t>.</w:t>
      </w:r>
      <w:r>
        <w:rPr>
          <w:snapToGrid w:val="0"/>
        </w:rPr>
        <w:tab/>
        <w:t>Use of other means of resolution</w:t>
      </w:r>
      <w:r>
        <w:tab/>
      </w:r>
      <w:r>
        <w:fldChar w:fldCharType="begin"/>
      </w:r>
      <w:r>
        <w:instrText xml:space="preserve"> PAGEREF _Toc131509279 \h </w:instrText>
      </w:r>
      <w:r>
        <w:fldChar w:fldCharType="separate"/>
      </w:r>
      <w:r>
        <w:t>32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Extension of time</w:t>
      </w:r>
      <w:r>
        <w:tab/>
      </w:r>
      <w:r>
        <w:fldChar w:fldCharType="begin"/>
      </w:r>
      <w:r>
        <w:instrText xml:space="preserve"> PAGEREF _Toc131509280 \h </w:instrText>
      </w:r>
      <w:r>
        <w:fldChar w:fldCharType="separate"/>
      </w:r>
      <w:r>
        <w:t>32</w:t>
      </w:r>
      <w:r>
        <w:fldChar w:fldCharType="end"/>
      </w:r>
    </w:p>
    <w:p>
      <w:pPr>
        <w:pStyle w:val="TOC8"/>
        <w:rPr>
          <w:rFonts w:asciiTheme="minorHAnsi" w:eastAsiaTheme="minorEastAsia" w:hAnsiTheme="minorHAnsi" w:cstheme="minorBidi"/>
          <w:szCs w:val="22"/>
        </w:rPr>
      </w:pPr>
      <w:r>
        <w:rPr>
          <w:spacing w:val="-4"/>
        </w:rPr>
        <w:t>48</w:t>
      </w:r>
      <w:r>
        <w:rPr>
          <w:snapToGrid w:val="0"/>
          <w:spacing w:val="-4"/>
        </w:rPr>
        <w:t>.</w:t>
      </w:r>
      <w:r>
        <w:rPr>
          <w:snapToGrid w:val="0"/>
          <w:spacing w:val="-4"/>
        </w:rPr>
        <w:tab/>
        <w:t>Reference of certain matters concerning administering bodies</w:t>
      </w:r>
      <w:r>
        <w:tab/>
      </w:r>
      <w:r>
        <w:fldChar w:fldCharType="begin"/>
      </w:r>
      <w:r>
        <w:instrText xml:space="preserve"> PAGEREF _Toc131509281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Orders by State Administrative Tribunal</w:t>
      </w:r>
    </w:p>
    <w:p>
      <w:pPr>
        <w:pStyle w:val="TOC8"/>
        <w:rPr>
          <w:rFonts w:asciiTheme="minorHAnsi" w:eastAsiaTheme="minorEastAsia" w:hAnsiTheme="minorHAnsi" w:cstheme="minorBidi"/>
          <w:szCs w:val="22"/>
        </w:rPr>
      </w:pPr>
      <w:r>
        <w:t>52</w:t>
      </w:r>
      <w:r>
        <w:rPr>
          <w:snapToGrid w:val="0"/>
        </w:rPr>
        <w:t>.</w:t>
      </w:r>
      <w:r>
        <w:rPr>
          <w:snapToGrid w:val="0"/>
        </w:rPr>
        <w:tab/>
        <w:t>Limits on orders by SAT</w:t>
      </w:r>
      <w:r>
        <w:tab/>
      </w:r>
      <w:r>
        <w:fldChar w:fldCharType="begin"/>
      </w:r>
      <w:r>
        <w:instrText xml:space="preserve"> PAGEREF _Toc131509283 \h </w:instrText>
      </w:r>
      <w:r>
        <w:fldChar w:fldCharType="separate"/>
      </w:r>
      <w:r>
        <w:t>33</w:t>
      </w:r>
      <w:r>
        <w:fldChar w:fldCharType="end"/>
      </w:r>
    </w:p>
    <w:p>
      <w:pPr>
        <w:pStyle w:val="TOC8"/>
        <w:rPr>
          <w:rFonts w:asciiTheme="minorHAnsi" w:eastAsiaTheme="minorEastAsia" w:hAnsiTheme="minorHAnsi" w:cstheme="minorBidi"/>
          <w:szCs w:val="22"/>
        </w:rPr>
      </w:pPr>
      <w:r>
        <w:rPr>
          <w:spacing w:val="-4"/>
        </w:rPr>
        <w:t>54</w:t>
      </w:r>
      <w:r>
        <w:rPr>
          <w:snapToGrid w:val="0"/>
          <w:spacing w:val="-4"/>
        </w:rPr>
        <w:t>.</w:t>
      </w:r>
      <w:r>
        <w:rPr>
          <w:snapToGrid w:val="0"/>
          <w:spacing w:val="-4"/>
        </w:rPr>
        <w:tab/>
        <w:t>Jurisdiction where title to land in question</w:t>
      </w:r>
      <w:r>
        <w:tab/>
      </w:r>
      <w:r>
        <w:fldChar w:fldCharType="begin"/>
      </w:r>
      <w:r>
        <w:instrText xml:space="preserve"> PAGEREF _Toc131509284 \h </w:instrText>
      </w:r>
      <w:r>
        <w:fldChar w:fldCharType="separate"/>
      </w:r>
      <w:r>
        <w:t>34</w:t>
      </w:r>
      <w:r>
        <w:fldChar w:fldCharType="end"/>
      </w:r>
    </w:p>
    <w:p>
      <w:pPr>
        <w:pStyle w:val="TOC8"/>
        <w:rPr>
          <w:rFonts w:asciiTheme="minorHAnsi" w:eastAsiaTheme="minorEastAsia" w:hAnsiTheme="minorHAnsi" w:cstheme="minorBidi"/>
          <w:szCs w:val="22"/>
        </w:rPr>
      </w:pPr>
      <w:r>
        <w:rPr>
          <w:spacing w:val="-4"/>
        </w:rPr>
        <w:t>54A</w:t>
      </w:r>
      <w:r>
        <w:t>.</w:t>
      </w:r>
      <w:r>
        <w:tab/>
        <w:t xml:space="preserve">Jurisdiction of Tribunal under </w:t>
      </w:r>
      <w:r>
        <w:rPr>
          <w:i/>
        </w:rPr>
        <w:t>Community Titles Act 2018</w:t>
      </w:r>
      <w:r>
        <w:tab/>
      </w:r>
      <w:r>
        <w:fldChar w:fldCharType="begin"/>
      </w:r>
      <w:r>
        <w:instrText xml:space="preserve"> PAGEREF _Toc131509285 \h </w:instrText>
      </w:r>
      <w:r>
        <w:fldChar w:fldCharType="separate"/>
      </w:r>
      <w:r>
        <w:t>34</w:t>
      </w:r>
      <w:r>
        <w:fldChar w:fldCharType="end"/>
      </w:r>
    </w:p>
    <w:p>
      <w:pPr>
        <w:pStyle w:val="TOC8"/>
        <w:rPr>
          <w:rFonts w:asciiTheme="minorHAnsi" w:eastAsiaTheme="minorEastAsia" w:hAnsiTheme="minorHAnsi" w:cstheme="minorBidi"/>
          <w:szCs w:val="22"/>
        </w:rPr>
      </w:pPr>
      <w:r>
        <w:t>54B.</w:t>
      </w:r>
      <w:r>
        <w:tab/>
        <w:t xml:space="preserve">Jurisdiction of Tribunal under </w:t>
      </w:r>
      <w:r>
        <w:rPr>
          <w:i/>
        </w:rPr>
        <w:t>Strata Titles Act 1985</w:t>
      </w:r>
      <w:r>
        <w:tab/>
      </w:r>
      <w:r>
        <w:fldChar w:fldCharType="begin"/>
      </w:r>
      <w:r>
        <w:instrText xml:space="preserve"> PAGEREF _Toc131509286 \h </w:instrText>
      </w:r>
      <w:r>
        <w:fldChar w:fldCharType="separate"/>
      </w:r>
      <w:r>
        <w:t>34</w:t>
      </w:r>
      <w:r>
        <w:fldChar w:fldCharType="end"/>
      </w:r>
    </w:p>
    <w:p>
      <w:pPr>
        <w:pStyle w:val="TOC8"/>
        <w:rPr>
          <w:rFonts w:asciiTheme="minorHAnsi" w:eastAsiaTheme="minorEastAsia" w:hAnsiTheme="minorHAnsi" w:cstheme="minorBidi"/>
          <w:szCs w:val="22"/>
        </w:rPr>
      </w:pPr>
      <w:r>
        <w:rPr>
          <w:spacing w:val="-4"/>
        </w:rPr>
        <w:t>55</w:t>
      </w:r>
      <w:r>
        <w:t>.</w:t>
      </w:r>
      <w:r>
        <w:tab/>
        <w:t>Applications to SAT in relation to residence contracts</w:t>
      </w:r>
      <w:r>
        <w:tab/>
      </w:r>
      <w:r>
        <w:fldChar w:fldCharType="begin"/>
      </w:r>
      <w:r>
        <w:instrText xml:space="preserve"> PAGEREF _Toc131509287 \h </w:instrText>
      </w:r>
      <w:r>
        <w:fldChar w:fldCharType="separate"/>
      </w:r>
      <w:r>
        <w:t>34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Disputes in relation to service contracts</w:t>
      </w:r>
      <w:r>
        <w:tab/>
      </w:r>
      <w:r>
        <w:fldChar w:fldCharType="begin"/>
      </w:r>
      <w:r>
        <w:instrText xml:space="preserve"> PAGEREF _Toc131509288 \h </w:instrText>
      </w:r>
      <w:r>
        <w:fldChar w:fldCharType="separate"/>
      </w:r>
      <w:r>
        <w:t>35</w:t>
      </w:r>
      <w:r>
        <w:fldChar w:fldCharType="end"/>
      </w:r>
    </w:p>
    <w:p>
      <w:pPr>
        <w:pStyle w:val="TOC8"/>
        <w:rPr>
          <w:rFonts w:asciiTheme="minorHAnsi" w:eastAsiaTheme="minorEastAsia" w:hAnsiTheme="minorHAnsi" w:cstheme="minorBidi"/>
          <w:szCs w:val="22"/>
        </w:rPr>
      </w:pPr>
      <w:r>
        <w:rPr>
          <w:spacing w:val="-4"/>
        </w:rPr>
        <w:t>57A</w:t>
      </w:r>
      <w:r>
        <w:t>.</w:t>
      </w:r>
      <w:r>
        <w:tab/>
        <w:t>Disputes in relation to recurrent charges or levy payable by residents</w:t>
      </w:r>
      <w:r>
        <w:tab/>
      </w:r>
      <w:r>
        <w:fldChar w:fldCharType="begin"/>
      </w:r>
      <w:r>
        <w:instrText xml:space="preserve"> PAGEREF _Toc131509289 \h </w:instrText>
      </w:r>
      <w:r>
        <w:fldChar w:fldCharType="separate"/>
      </w:r>
      <w:r>
        <w:t>37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Applications relating to transfer of residents</w:t>
      </w:r>
      <w:r>
        <w:tab/>
      </w:r>
      <w:r>
        <w:fldChar w:fldCharType="begin"/>
      </w:r>
      <w:r>
        <w:instrText xml:space="preserve"> PAGEREF _Toc131509290 \h </w:instrText>
      </w:r>
      <w:r>
        <w:fldChar w:fldCharType="separate"/>
      </w:r>
      <w:r>
        <w:t>37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Termination of occupation on medical grounds</w:t>
      </w:r>
      <w:r>
        <w:tab/>
      </w:r>
      <w:r>
        <w:fldChar w:fldCharType="begin"/>
      </w:r>
      <w:r>
        <w:instrText xml:space="preserve"> PAGEREF _Toc131509291 \h </w:instrText>
      </w:r>
      <w:r>
        <w:fldChar w:fldCharType="separate"/>
      </w:r>
      <w:r>
        <w:t>39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Termination of occupation on grounds of breach of residence contract or rules</w:t>
      </w:r>
      <w:r>
        <w:tab/>
      </w:r>
      <w:r>
        <w:fldChar w:fldCharType="begin"/>
      </w:r>
      <w:r>
        <w:instrText xml:space="preserve"> PAGEREF _Toc131509292 \h </w:instrText>
      </w:r>
      <w:r>
        <w:fldChar w:fldCharType="separate"/>
      </w:r>
      <w:r>
        <w:t>40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Parties to minimise loss from breach of residence contract</w:t>
      </w:r>
      <w:r>
        <w:tab/>
      </w:r>
      <w:r>
        <w:fldChar w:fldCharType="begin"/>
      </w:r>
      <w:r>
        <w:instrText xml:space="preserve"> PAGEREF _Toc131509293 \h </w:instrText>
      </w:r>
      <w:r>
        <w:fldChar w:fldCharType="separate"/>
      </w:r>
      <w:r>
        <w:t>41</w:t>
      </w:r>
      <w:r>
        <w:fldChar w:fldCharType="end"/>
      </w:r>
    </w:p>
    <w:p>
      <w:pPr>
        <w:pStyle w:val="TOC8"/>
        <w:rPr>
          <w:rFonts w:asciiTheme="minorHAnsi" w:eastAsiaTheme="minorEastAsia" w:hAnsiTheme="minorHAnsi" w:cstheme="minorBidi"/>
          <w:szCs w:val="22"/>
        </w:rPr>
      </w:pPr>
      <w:r>
        <w:lastRenderedPageBreak/>
        <w:t>61</w:t>
      </w:r>
      <w:r>
        <w:rPr>
          <w:snapToGrid w:val="0"/>
        </w:rPr>
        <w:t>.</w:t>
      </w:r>
      <w:r>
        <w:rPr>
          <w:snapToGrid w:val="0"/>
        </w:rPr>
        <w:tab/>
        <w:t>SAT may waive defect in notice of intention to terminate</w:t>
      </w:r>
      <w:r>
        <w:tab/>
      </w:r>
      <w:r>
        <w:fldChar w:fldCharType="begin"/>
      </w:r>
      <w:r>
        <w:instrText xml:space="preserve"> PAGEREF _Toc131509294 \h </w:instrText>
      </w:r>
      <w:r>
        <w:fldChar w:fldCharType="separate"/>
      </w:r>
      <w:r>
        <w:t>42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SAT may terminate residence contract where resident causes serious damage or injury</w:t>
      </w:r>
      <w:r>
        <w:tab/>
      </w:r>
      <w:r>
        <w:fldChar w:fldCharType="begin"/>
      </w:r>
      <w:r>
        <w:instrText xml:space="preserve"> PAGEREF _Toc131509295 \h </w:instrText>
      </w:r>
      <w:r>
        <w:fldChar w:fldCharType="separate"/>
      </w:r>
      <w:r>
        <w:t>42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SAT may terminate residence contract where administering body would otherwise suffer undue hardship</w:t>
      </w:r>
      <w:r>
        <w:tab/>
      </w:r>
      <w:r>
        <w:fldChar w:fldCharType="begin"/>
      </w:r>
      <w:r>
        <w:instrText xml:space="preserve"> PAGEREF _Toc131509296 \h </w:instrText>
      </w:r>
      <w:r>
        <w:fldChar w:fldCharType="separate"/>
      </w:r>
      <w:r>
        <w:t>43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Suspension or refusal of orders to terminate</w:t>
      </w:r>
      <w:r>
        <w:tab/>
      </w:r>
      <w:r>
        <w:fldChar w:fldCharType="begin"/>
      </w:r>
      <w:r>
        <w:instrText xml:space="preserve"> PAGEREF _Toc131509297 \h </w:instrText>
      </w:r>
      <w:r>
        <w:fldChar w:fldCharType="separate"/>
      </w:r>
      <w:r>
        <w:t>43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Prohibition on certain recovery proceedings in courts etc.</w:t>
      </w:r>
      <w:r>
        <w:tab/>
      </w:r>
      <w:r>
        <w:fldChar w:fldCharType="begin"/>
      </w:r>
      <w:r>
        <w:instrText xml:space="preserve"> PAGEREF _Toc131509298 \h </w:instrText>
      </w:r>
      <w:r>
        <w:fldChar w:fldCharType="separate"/>
      </w:r>
      <w:r>
        <w:t>44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Recovery of possession of premises prohibited except by order</w:t>
      </w:r>
      <w:r>
        <w:tab/>
      </w:r>
      <w:r>
        <w:fldChar w:fldCharType="begin"/>
      </w:r>
      <w:r>
        <w:instrText xml:space="preserve"> PAGEREF _Toc131509299 \h </w:instrText>
      </w:r>
      <w:r>
        <w:fldChar w:fldCharType="separate"/>
      </w:r>
      <w:r>
        <w:t>45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Liability of resident remaining in possession</w:t>
      </w:r>
      <w:r>
        <w:tab/>
      </w:r>
      <w:r>
        <w:fldChar w:fldCharType="begin"/>
      </w:r>
      <w:r>
        <w:instrText xml:space="preserve"> PAGEREF _Toc131509300 \h </w:instrText>
      </w:r>
      <w:r>
        <w:fldChar w:fldCharType="separate"/>
      </w:r>
      <w:r>
        <w:t>45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Abandoned premises</w:t>
      </w:r>
      <w:r>
        <w:tab/>
      </w:r>
      <w:r>
        <w:fldChar w:fldCharType="begin"/>
      </w:r>
      <w:r>
        <w:instrText xml:space="preserve"> PAGEREF _Toc131509301 \h </w:instrText>
      </w:r>
      <w:r>
        <w:fldChar w:fldCharType="separate"/>
      </w:r>
      <w:r>
        <w:t>46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Right of administering body to compensation where resident abandons premises</w:t>
      </w:r>
      <w:r>
        <w:tab/>
      </w:r>
      <w:r>
        <w:fldChar w:fldCharType="begin"/>
      </w:r>
      <w:r>
        <w:instrText xml:space="preserve"> PAGEREF _Toc131509302 \h </w:instrText>
      </w:r>
      <w:r>
        <w:fldChar w:fldCharType="separate"/>
      </w:r>
      <w:r>
        <w:t>46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Goods abandoned by resident after residence contract is terminated</w:t>
      </w:r>
      <w:r>
        <w:tab/>
      </w:r>
      <w:r>
        <w:fldChar w:fldCharType="begin"/>
      </w:r>
      <w:r>
        <w:instrText xml:space="preserve"> PAGEREF _Toc131509303 \h </w:instrText>
      </w:r>
      <w:r>
        <w:fldChar w:fldCharType="separate"/>
      </w:r>
      <w:r>
        <w:t>46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Protection</w:t>
      </w:r>
      <w:r>
        <w:tab/>
      </w:r>
      <w:r>
        <w:fldChar w:fldCharType="begin"/>
      </w:r>
      <w:r>
        <w:instrText xml:space="preserve"> PAGEREF _Toc131509304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5A — Statutory manager</w:t>
      </w:r>
    </w:p>
    <w:p>
      <w:pPr>
        <w:pStyle w:val="TOC8"/>
        <w:rPr>
          <w:rFonts w:asciiTheme="minorHAnsi" w:eastAsiaTheme="minorEastAsia" w:hAnsiTheme="minorHAnsi" w:cstheme="minorBidi"/>
          <w:szCs w:val="22"/>
        </w:rPr>
      </w:pPr>
      <w:r>
        <w:t>75A.</w:t>
      </w:r>
      <w:r>
        <w:tab/>
        <w:t>Terms used</w:t>
      </w:r>
      <w:r>
        <w:tab/>
      </w:r>
      <w:r>
        <w:fldChar w:fldCharType="begin"/>
      </w:r>
      <w:r>
        <w:instrText xml:space="preserve"> PAGEREF _Toc131509306 \h </w:instrText>
      </w:r>
      <w:r>
        <w:fldChar w:fldCharType="separate"/>
      </w:r>
      <w:r>
        <w:t>49</w:t>
      </w:r>
      <w:r>
        <w:fldChar w:fldCharType="end"/>
      </w:r>
    </w:p>
    <w:p>
      <w:pPr>
        <w:pStyle w:val="TOC8"/>
        <w:rPr>
          <w:rFonts w:asciiTheme="minorHAnsi" w:eastAsiaTheme="minorEastAsia" w:hAnsiTheme="minorHAnsi" w:cstheme="minorBidi"/>
          <w:szCs w:val="22"/>
        </w:rPr>
      </w:pPr>
      <w:r>
        <w:t>75B.</w:t>
      </w:r>
      <w:r>
        <w:tab/>
        <w:t>SAT may appoint statutory manager on application of Commissioner</w:t>
      </w:r>
      <w:r>
        <w:tab/>
      </w:r>
      <w:r>
        <w:fldChar w:fldCharType="begin"/>
      </w:r>
      <w:r>
        <w:instrText xml:space="preserve"> PAGEREF _Toc131509307 \h </w:instrText>
      </w:r>
      <w:r>
        <w:fldChar w:fldCharType="separate"/>
      </w:r>
      <w:r>
        <w:t>50</w:t>
      </w:r>
      <w:r>
        <w:fldChar w:fldCharType="end"/>
      </w:r>
    </w:p>
    <w:p>
      <w:pPr>
        <w:pStyle w:val="TOC8"/>
        <w:rPr>
          <w:rFonts w:asciiTheme="minorHAnsi" w:eastAsiaTheme="minorEastAsia" w:hAnsiTheme="minorHAnsi" w:cstheme="minorBidi"/>
          <w:szCs w:val="22"/>
        </w:rPr>
      </w:pPr>
      <w:r>
        <w:t>75C.</w:t>
      </w:r>
      <w:r>
        <w:tab/>
        <w:t>Proposed statutory manager must consent to appointment</w:t>
      </w:r>
      <w:r>
        <w:tab/>
      </w:r>
      <w:r>
        <w:fldChar w:fldCharType="begin"/>
      </w:r>
      <w:r>
        <w:instrText xml:space="preserve"> PAGEREF _Toc131509308 \h </w:instrText>
      </w:r>
      <w:r>
        <w:fldChar w:fldCharType="separate"/>
      </w:r>
      <w:r>
        <w:t>51</w:t>
      </w:r>
      <w:r>
        <w:fldChar w:fldCharType="end"/>
      </w:r>
    </w:p>
    <w:p>
      <w:pPr>
        <w:pStyle w:val="TOC8"/>
        <w:rPr>
          <w:rFonts w:asciiTheme="minorHAnsi" w:eastAsiaTheme="minorEastAsia" w:hAnsiTheme="minorHAnsi" w:cstheme="minorBidi"/>
          <w:szCs w:val="22"/>
        </w:rPr>
      </w:pPr>
      <w:r>
        <w:t>75D.</w:t>
      </w:r>
      <w:r>
        <w:tab/>
        <w:t>Variation and revocation of orders</w:t>
      </w:r>
      <w:r>
        <w:tab/>
      </w:r>
      <w:r>
        <w:fldChar w:fldCharType="begin"/>
      </w:r>
      <w:r>
        <w:instrText xml:space="preserve"> PAGEREF _Toc131509309 \h </w:instrText>
      </w:r>
      <w:r>
        <w:fldChar w:fldCharType="separate"/>
      </w:r>
      <w:r>
        <w:t>52</w:t>
      </w:r>
      <w:r>
        <w:fldChar w:fldCharType="end"/>
      </w:r>
    </w:p>
    <w:p>
      <w:pPr>
        <w:pStyle w:val="TOC8"/>
        <w:rPr>
          <w:rFonts w:asciiTheme="minorHAnsi" w:eastAsiaTheme="minorEastAsia" w:hAnsiTheme="minorHAnsi" w:cstheme="minorBidi"/>
          <w:szCs w:val="22"/>
        </w:rPr>
      </w:pPr>
      <w:r>
        <w:t>75E.</w:t>
      </w:r>
      <w:r>
        <w:tab/>
        <w:t>Matters to be dealt with in order appointing a statutory manager</w:t>
      </w:r>
      <w:r>
        <w:tab/>
      </w:r>
      <w:r>
        <w:fldChar w:fldCharType="begin"/>
      </w:r>
      <w:r>
        <w:instrText xml:space="preserve"> PAGEREF _Toc131509310 \h </w:instrText>
      </w:r>
      <w:r>
        <w:fldChar w:fldCharType="separate"/>
      </w:r>
      <w:r>
        <w:t>53</w:t>
      </w:r>
      <w:r>
        <w:fldChar w:fldCharType="end"/>
      </w:r>
    </w:p>
    <w:p>
      <w:pPr>
        <w:pStyle w:val="TOC8"/>
        <w:rPr>
          <w:rFonts w:asciiTheme="minorHAnsi" w:eastAsiaTheme="minorEastAsia" w:hAnsiTheme="minorHAnsi" w:cstheme="minorBidi"/>
          <w:szCs w:val="22"/>
        </w:rPr>
      </w:pPr>
      <w:r>
        <w:t>75F.</w:t>
      </w:r>
      <w:r>
        <w:tab/>
        <w:t>Other matters arising from appointment of statutory manager</w:t>
      </w:r>
      <w:r>
        <w:tab/>
      </w:r>
      <w:r>
        <w:fldChar w:fldCharType="begin"/>
      </w:r>
      <w:r>
        <w:instrText xml:space="preserve"> PAGEREF _Toc131509311 \h </w:instrText>
      </w:r>
      <w:r>
        <w:fldChar w:fldCharType="separate"/>
      </w:r>
      <w:r>
        <w:t>54</w:t>
      </w:r>
      <w:r>
        <w:fldChar w:fldCharType="end"/>
      </w:r>
    </w:p>
    <w:p>
      <w:pPr>
        <w:pStyle w:val="TOC8"/>
        <w:rPr>
          <w:rFonts w:asciiTheme="minorHAnsi" w:eastAsiaTheme="minorEastAsia" w:hAnsiTheme="minorHAnsi" w:cstheme="minorBidi"/>
          <w:szCs w:val="22"/>
        </w:rPr>
      </w:pPr>
      <w:r>
        <w:t>75G.</w:t>
      </w:r>
      <w:r>
        <w:tab/>
        <w:t>Appointment of both statutory manager and external administrator</w:t>
      </w:r>
      <w:r>
        <w:tab/>
      </w:r>
      <w:r>
        <w:fldChar w:fldCharType="begin"/>
      </w:r>
      <w:r>
        <w:instrText xml:space="preserve"> PAGEREF _Toc131509312 \h </w:instrText>
      </w:r>
      <w:r>
        <w:fldChar w:fldCharType="separate"/>
      </w:r>
      <w:r>
        <w:t>54</w:t>
      </w:r>
      <w:r>
        <w:fldChar w:fldCharType="end"/>
      </w:r>
    </w:p>
    <w:p>
      <w:pPr>
        <w:pStyle w:val="TOC8"/>
        <w:rPr>
          <w:rFonts w:asciiTheme="minorHAnsi" w:eastAsiaTheme="minorEastAsia" w:hAnsiTheme="minorHAnsi" w:cstheme="minorBidi"/>
          <w:szCs w:val="22"/>
        </w:rPr>
      </w:pPr>
      <w:r>
        <w:t>75H.</w:t>
      </w:r>
      <w:r>
        <w:tab/>
        <w:t>Administering body to cooperate with statutory manager</w:t>
      </w:r>
      <w:r>
        <w:tab/>
      </w:r>
      <w:r>
        <w:fldChar w:fldCharType="begin"/>
      </w:r>
      <w:r>
        <w:instrText xml:space="preserve"> PAGEREF _Toc131509313 \h </w:instrText>
      </w:r>
      <w:r>
        <w:fldChar w:fldCharType="separate"/>
      </w:r>
      <w:r>
        <w:t>55</w:t>
      </w:r>
      <w:r>
        <w:fldChar w:fldCharType="end"/>
      </w:r>
    </w:p>
    <w:p>
      <w:pPr>
        <w:pStyle w:val="TOC8"/>
        <w:rPr>
          <w:rFonts w:asciiTheme="minorHAnsi" w:eastAsiaTheme="minorEastAsia" w:hAnsiTheme="minorHAnsi" w:cstheme="minorBidi"/>
          <w:szCs w:val="22"/>
        </w:rPr>
      </w:pPr>
      <w:r>
        <w:t>75I.</w:t>
      </w:r>
      <w:r>
        <w:tab/>
        <w:t>State Administrative Tribunal may require reports and recommendations from statutory manager</w:t>
      </w:r>
      <w:r>
        <w:tab/>
      </w:r>
      <w:r>
        <w:fldChar w:fldCharType="begin"/>
      </w:r>
      <w:r>
        <w:instrText xml:space="preserve"> PAGEREF _Toc131509314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75</w:t>
      </w:r>
      <w:r>
        <w:rPr>
          <w:snapToGrid w:val="0"/>
        </w:rPr>
        <w:t>.</w:t>
      </w:r>
      <w:r>
        <w:rPr>
          <w:snapToGrid w:val="0"/>
        </w:rPr>
        <w:tab/>
        <w:t>Rescission of contract</w:t>
      </w:r>
      <w:r>
        <w:tab/>
      </w:r>
      <w:r>
        <w:fldChar w:fldCharType="begin"/>
      </w:r>
      <w:r>
        <w:instrText xml:space="preserve"> PAGEREF _Toc131509316 \h </w:instrText>
      </w:r>
      <w:r>
        <w:fldChar w:fldCharType="separate"/>
      </w:r>
      <w:r>
        <w:t>58</w:t>
      </w:r>
      <w:r>
        <w:fldChar w:fldCharType="end"/>
      </w:r>
    </w:p>
    <w:p>
      <w:pPr>
        <w:pStyle w:val="TOC8"/>
        <w:rPr>
          <w:rFonts w:asciiTheme="minorHAnsi" w:eastAsiaTheme="minorEastAsia" w:hAnsiTheme="minorHAnsi" w:cstheme="minorBidi"/>
          <w:szCs w:val="22"/>
        </w:rPr>
      </w:pPr>
      <w:r>
        <w:lastRenderedPageBreak/>
        <w:t>76.</w:t>
      </w:r>
      <w:r>
        <w:tab/>
        <w:t>Persons who are not to be involved in administration of retirement villages</w:t>
      </w:r>
      <w:r>
        <w:tab/>
      </w:r>
      <w:r>
        <w:fldChar w:fldCharType="begin"/>
      </w:r>
      <w:r>
        <w:instrText xml:space="preserve"> PAGEREF _Toc131509317 \h </w:instrText>
      </w:r>
      <w:r>
        <w:fldChar w:fldCharType="separate"/>
      </w:r>
      <w:r>
        <w:t>60</w:t>
      </w:r>
      <w:r>
        <w:fldChar w:fldCharType="end"/>
      </w:r>
    </w:p>
    <w:p>
      <w:pPr>
        <w:pStyle w:val="TOC8"/>
        <w:rPr>
          <w:rFonts w:asciiTheme="minorHAnsi" w:eastAsiaTheme="minorEastAsia" w:hAnsiTheme="minorHAnsi" w:cstheme="minorBidi"/>
          <w:szCs w:val="22"/>
        </w:rPr>
      </w:pPr>
      <w:r>
        <w:t>77A.</w:t>
      </w:r>
      <w:r>
        <w:tab/>
        <w:t>Limitation of period for which section 76 applies to certain persons</w:t>
      </w:r>
      <w:r>
        <w:tab/>
      </w:r>
      <w:r>
        <w:fldChar w:fldCharType="begin"/>
      </w:r>
      <w:r>
        <w:instrText xml:space="preserve"> PAGEREF _Toc131509318 \h </w:instrText>
      </w:r>
      <w:r>
        <w:fldChar w:fldCharType="separate"/>
      </w:r>
      <w:r>
        <w:t>61</w:t>
      </w:r>
      <w:r>
        <w:fldChar w:fldCharType="end"/>
      </w:r>
    </w:p>
    <w:p>
      <w:pPr>
        <w:pStyle w:val="TOC8"/>
        <w:rPr>
          <w:rFonts w:asciiTheme="minorHAnsi" w:eastAsiaTheme="minorEastAsia" w:hAnsiTheme="minorHAnsi" w:cstheme="minorBidi"/>
          <w:szCs w:val="22"/>
        </w:rPr>
      </w:pPr>
      <w:r>
        <w:t>77B.</w:t>
      </w:r>
      <w:r>
        <w:tab/>
        <w:t>Offences by persons involved in administration of retirement village</w:t>
      </w:r>
      <w:r>
        <w:tab/>
      </w:r>
      <w:r>
        <w:fldChar w:fldCharType="begin"/>
      </w:r>
      <w:r>
        <w:instrText xml:space="preserve"> PAGEREF _Toc131509319 \h </w:instrText>
      </w:r>
      <w:r>
        <w:fldChar w:fldCharType="separate"/>
      </w:r>
      <w:r>
        <w:t>62</w:t>
      </w:r>
      <w:r>
        <w:fldChar w:fldCharType="end"/>
      </w:r>
    </w:p>
    <w:p>
      <w:pPr>
        <w:pStyle w:val="TOC8"/>
        <w:rPr>
          <w:rFonts w:asciiTheme="minorHAnsi" w:eastAsiaTheme="minorEastAsia" w:hAnsiTheme="minorHAnsi" w:cstheme="minorBidi"/>
          <w:szCs w:val="22"/>
        </w:rPr>
      </w:pPr>
      <w:r>
        <w:t>77C.</w:t>
      </w:r>
      <w:r>
        <w:tab/>
        <w:t>Commissioner may grant exemption certificates</w:t>
      </w:r>
      <w:r>
        <w:tab/>
      </w:r>
      <w:r>
        <w:fldChar w:fldCharType="begin"/>
      </w:r>
      <w:r>
        <w:instrText xml:space="preserve"> PAGEREF _Toc131509320 \h </w:instrText>
      </w:r>
      <w:r>
        <w:fldChar w:fldCharType="separate"/>
      </w:r>
      <w:r>
        <w:t>62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Non</w:t>
      </w:r>
      <w:r>
        <w:rPr>
          <w:snapToGrid w:val="0"/>
        </w:rPr>
        <w:noBreakHyphen/>
        <w:t>compliance may be excused by Court</w:t>
      </w:r>
      <w:r>
        <w:tab/>
      </w:r>
      <w:r>
        <w:fldChar w:fldCharType="begin"/>
      </w:r>
      <w:r>
        <w:instrText xml:space="preserve"> PAGEREF _Toc131509321 \h </w:instrText>
      </w:r>
      <w:r>
        <w:fldChar w:fldCharType="separate"/>
      </w:r>
      <w:r>
        <w:t>63</w:t>
      </w:r>
      <w:r>
        <w:fldChar w:fldCharType="end"/>
      </w:r>
    </w:p>
    <w:p>
      <w:pPr>
        <w:pStyle w:val="TOC8"/>
        <w:rPr>
          <w:rFonts w:asciiTheme="minorHAnsi" w:eastAsiaTheme="minorEastAsia" w:hAnsiTheme="minorHAnsi" w:cstheme="minorBidi"/>
          <w:szCs w:val="22"/>
        </w:rPr>
      </w:pPr>
      <w:r>
        <w:t>79.</w:t>
      </w:r>
      <w:r>
        <w:tab/>
        <w:t>Liability of officers for offence by body corporate</w:t>
      </w:r>
      <w:r>
        <w:tab/>
      </w:r>
      <w:r>
        <w:fldChar w:fldCharType="begin"/>
      </w:r>
      <w:r>
        <w:instrText xml:space="preserve"> PAGEREF _Toc131509322 \h </w:instrText>
      </w:r>
      <w:r>
        <w:fldChar w:fldCharType="separate"/>
      </w:r>
      <w:r>
        <w:t>64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Time for bringing proceedings</w:t>
      </w:r>
      <w:r>
        <w:tab/>
      </w:r>
      <w:r>
        <w:fldChar w:fldCharType="begin"/>
      </w:r>
      <w:r>
        <w:instrText xml:space="preserve"> PAGEREF _Toc131509323 \h </w:instrText>
      </w:r>
      <w:r>
        <w:fldChar w:fldCharType="separate"/>
      </w:r>
      <w:r>
        <w:t>64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Regulations</w:t>
      </w:r>
      <w:r>
        <w:tab/>
      </w:r>
      <w:r>
        <w:fldChar w:fldCharType="begin"/>
      </w:r>
      <w:r>
        <w:instrText xml:space="preserve"> PAGEREF _Toc131509324 \h </w:instrText>
      </w:r>
      <w:r>
        <w:fldChar w:fldCharType="separate"/>
      </w:r>
      <w:r>
        <w:t>65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Review of Act</w:t>
      </w:r>
      <w:r>
        <w:tab/>
      </w:r>
      <w:r>
        <w:fldChar w:fldCharType="begin"/>
      </w:r>
      <w:r>
        <w:instrText xml:space="preserve"> PAGEREF _Toc131509325 \h </w:instrText>
      </w:r>
      <w:r>
        <w:fldChar w:fldCharType="separate"/>
      </w:r>
      <w:r>
        <w:t>65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Savings and transitional</w:t>
      </w:r>
      <w:r>
        <w:tab/>
      </w:r>
      <w:r>
        <w:fldChar w:fldCharType="begin"/>
      </w:r>
      <w:r>
        <w:instrText xml:space="preserve"> PAGEREF _Toc131509326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Schedule 1 — Savings and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Provisions relating to commencement of Act</w:t>
      </w:r>
    </w:p>
    <w:p>
      <w:pPr>
        <w:pStyle w:val="TOC8"/>
        <w:rPr>
          <w:rFonts w:asciiTheme="minorHAnsi" w:eastAsiaTheme="minorEastAsia" w:hAnsiTheme="minorHAnsi" w:cstheme="minorBidi"/>
          <w:szCs w:val="22"/>
        </w:rPr>
      </w:pPr>
      <w:r>
        <w:t>1</w:t>
      </w:r>
      <w:r>
        <w:rPr>
          <w:snapToGrid w:val="0"/>
        </w:rPr>
        <w:t>.</w:t>
      </w:r>
      <w:r>
        <w:rPr>
          <w:snapToGrid w:val="0"/>
        </w:rPr>
        <w:tab/>
        <w:t>Existing disputes and other matters</w:t>
      </w:r>
      <w:r>
        <w:tab/>
      </w:r>
      <w:r>
        <w:fldChar w:fldCharType="begin"/>
      </w:r>
      <w:r>
        <w:instrText xml:space="preserve"> PAGEREF _Toc131509329 \h </w:instrText>
      </w:r>
      <w:r>
        <w:fldChar w:fldCharType="separate"/>
      </w:r>
      <w:r>
        <w:t>67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Regulations</w:t>
      </w:r>
      <w:r>
        <w:tab/>
      </w:r>
      <w:r>
        <w:fldChar w:fldCharType="begin"/>
      </w:r>
      <w:r>
        <w:instrText xml:space="preserve"> PAGEREF _Toc131509330 \h </w:instrText>
      </w:r>
      <w:r>
        <w:fldChar w:fldCharType="separate"/>
      </w:r>
      <w:r>
        <w:t>67</w:t>
      </w:r>
      <w:r>
        <w:fldChar w:fldCharType="end"/>
      </w:r>
    </w:p>
    <w:p>
      <w:pPr>
        <w:pStyle w:val="TOC8"/>
        <w:rPr>
          <w:rFonts w:asciiTheme="minorHAnsi" w:eastAsiaTheme="minorEastAsia" w:hAnsiTheme="minorHAnsi" w:cstheme="minorBidi"/>
          <w:szCs w:val="22"/>
        </w:rPr>
      </w:pPr>
      <w:r>
        <w:t>3</w:t>
      </w:r>
      <w:r>
        <w:rPr>
          <w:rFonts w:ascii="Times" w:hAnsi="Times"/>
          <w:snapToGrid w:val="0"/>
        </w:rPr>
        <w:t>.</w:t>
      </w:r>
      <w:r>
        <w:rPr>
          <w:rFonts w:ascii="Times" w:hAnsi="Times"/>
          <w:snapToGrid w:val="0"/>
        </w:rPr>
        <w:tab/>
        <w:t>Exemption</w:t>
      </w:r>
      <w:r>
        <w:tab/>
      </w:r>
      <w:r>
        <w:fldChar w:fldCharType="begin"/>
      </w:r>
      <w:r>
        <w:instrText xml:space="preserve"> PAGEREF _Toc131509331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Provisions relating to Retirement Villages Amendment Act 2012</w:t>
      </w:r>
    </w:p>
    <w:p>
      <w:pPr>
        <w:pStyle w:val="TOC8"/>
        <w:rPr>
          <w:rFonts w:asciiTheme="minorHAnsi" w:eastAsiaTheme="minorEastAsia" w:hAnsiTheme="minorHAnsi" w:cstheme="minorBidi"/>
          <w:szCs w:val="22"/>
        </w:rPr>
      </w:pPr>
      <w:r>
        <w:t>4.</w:t>
      </w:r>
      <w:r>
        <w:tab/>
        <w:t>Exemption certificate taken to have been granted to certain persons</w:t>
      </w:r>
      <w:r>
        <w:tab/>
      </w:r>
      <w:r>
        <w:fldChar w:fldCharType="begin"/>
      </w:r>
      <w:r>
        <w:instrText xml:space="preserve"> PAGEREF _Toc131509333 \h </w:instrText>
      </w:r>
      <w:r>
        <w:fldChar w:fldCharType="separate"/>
      </w:r>
      <w:r>
        <w:t>68</w:t>
      </w:r>
      <w:r>
        <w:fldChar w:fldCharType="end"/>
      </w:r>
    </w:p>
    <w:p>
      <w:pPr>
        <w:pStyle w:val="TOC8"/>
        <w:rPr>
          <w:rFonts w:asciiTheme="minorHAnsi" w:eastAsiaTheme="minorEastAsia" w:hAnsiTheme="minorHAnsi" w:cstheme="minorBidi"/>
          <w:szCs w:val="22"/>
        </w:rPr>
      </w:pPr>
      <w:r>
        <w:t>5.</w:t>
      </w:r>
      <w:r>
        <w:tab/>
        <w:t>Transitional regulations</w:t>
      </w:r>
      <w:r>
        <w:tab/>
      </w:r>
      <w:r>
        <w:fldChar w:fldCharType="begin"/>
      </w:r>
      <w:r>
        <w:instrText xml:space="preserve"> PAGEREF _Toc131509334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_Toc131509336 \h </w:instrText>
      </w:r>
      <w:r>
        <w:fldChar w:fldCharType="separate"/>
      </w:r>
      <w:r>
        <w:t>71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_Toc131509337 \h </w:instrText>
      </w:r>
      <w:r>
        <w:fldChar w:fldCharType="separate"/>
      </w:r>
      <w:r>
        <w:t>73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_Toc131509338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00" w:after="1000"/>
      </w:pPr>
      <w:r>
        <w:t>Retirement Villages Act 1992</w:t>
      </w:r>
    </w:p>
    <w:p>
      <w:pPr>
        <w:pStyle w:val="LongTitle"/>
        <w:rPr>
          <w:snapToGrid w:val="0"/>
        </w:rPr>
      </w:pPr>
      <w:r>
        <w:rPr>
          <w:snapToGrid w:val="0"/>
        </w:rPr>
        <w:t>An Act to regulate retirement villages and the rights of residents in such villages and for related purposes.</w:t>
      </w:r>
    </w:p>
    <w:p>
      <w:pPr>
        <w:pStyle w:val="Heading2"/>
      </w:pPr>
      <w:bookmarkStart w:id="3" w:name="_Toc75341052"/>
      <w:bookmarkStart w:id="4" w:name="_Toc75341952"/>
      <w:bookmarkStart w:id="5" w:name="_Toc75447449"/>
      <w:bookmarkStart w:id="6" w:name="_Toc131507106"/>
      <w:bookmarkStart w:id="7" w:name="_Toc131507324"/>
      <w:bookmarkStart w:id="8" w:name="_Toc13150924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spacing w:before="260"/>
        <w:rPr>
          <w:snapToGrid w:val="0"/>
        </w:rPr>
      </w:pPr>
      <w:bookmarkStart w:id="9" w:name="_Toc131509246"/>
      <w:r>
        <w:rPr>
          <w:rStyle w:val="CharSectno"/>
        </w:rPr>
        <w:t>1</w:t>
      </w:r>
      <w:r>
        <w:rPr>
          <w:snapToGrid w:val="0"/>
        </w:rPr>
        <w:t>.</w:t>
      </w:r>
      <w:r>
        <w:rPr>
          <w:snapToGrid w:val="0"/>
        </w:rPr>
        <w:tab/>
        <w:t>Short title</w:t>
      </w:r>
      <w:bookmarkEnd w:id="9"/>
    </w:p>
    <w:p>
      <w:pPr>
        <w:pStyle w:val="Subsection"/>
        <w:spacing w:before="180"/>
        <w:rPr>
          <w:snapToGrid w:val="0"/>
        </w:rPr>
      </w:pPr>
      <w:r>
        <w:rPr>
          <w:snapToGrid w:val="0"/>
        </w:rPr>
        <w:tab/>
      </w:r>
      <w:r>
        <w:rPr>
          <w:snapToGrid w:val="0"/>
        </w:rPr>
        <w:tab/>
        <w:t xml:space="preserve">This Act may be cited as the </w:t>
      </w:r>
      <w:r>
        <w:rPr>
          <w:i/>
          <w:snapToGrid w:val="0"/>
        </w:rPr>
        <w:t>Retirement Villages Act 1992</w:t>
      </w:r>
      <w:r>
        <w:rPr>
          <w:snapToGrid w:val="0"/>
        </w:rPr>
        <w:t>.</w:t>
      </w:r>
    </w:p>
    <w:p>
      <w:pPr>
        <w:pStyle w:val="Heading5"/>
        <w:spacing w:before="260"/>
        <w:rPr>
          <w:snapToGrid w:val="0"/>
        </w:rPr>
      </w:pPr>
      <w:bookmarkStart w:id="10" w:name="_Toc131509247"/>
      <w:r>
        <w:rPr>
          <w:rStyle w:val="CharSectno"/>
        </w:rPr>
        <w:t>2</w:t>
      </w:r>
      <w:r>
        <w:rPr>
          <w:snapToGrid w:val="0"/>
        </w:rPr>
        <w:t>.</w:t>
      </w:r>
      <w:r>
        <w:rPr>
          <w:snapToGrid w:val="0"/>
        </w:rPr>
        <w:tab/>
        <w:t>Commencement</w:t>
      </w:r>
      <w:bookmarkEnd w:id="10"/>
    </w:p>
    <w:p>
      <w:pPr>
        <w:pStyle w:val="Subsection"/>
        <w:spacing w:before="180"/>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w:t>
      </w:r>
    </w:p>
    <w:p>
      <w:pPr>
        <w:pStyle w:val="Heading5"/>
        <w:spacing w:before="260"/>
        <w:rPr>
          <w:snapToGrid w:val="0"/>
        </w:rPr>
      </w:pPr>
      <w:bookmarkStart w:id="11" w:name="_Toc131509248"/>
      <w:r>
        <w:rPr>
          <w:rStyle w:val="CharSectno"/>
        </w:rPr>
        <w:t>3</w:t>
      </w:r>
      <w:r>
        <w:rPr>
          <w:snapToGrid w:val="0"/>
        </w:rPr>
        <w:t>.</w:t>
      </w:r>
      <w:r>
        <w:rPr>
          <w:snapToGrid w:val="0"/>
        </w:rPr>
        <w:tab/>
        <w:t>Terms used</w:t>
      </w:r>
      <w:bookmarkEnd w:id="11"/>
    </w:p>
    <w:p>
      <w:pPr>
        <w:pStyle w:val="Subsection"/>
        <w:spacing w:before="180"/>
        <w:rPr>
          <w:snapToGrid w:val="0"/>
        </w:rPr>
      </w:pPr>
      <w:r>
        <w:rPr>
          <w:snapToGrid w:val="0"/>
        </w:rPr>
        <w:tab/>
        <w:t>(1)</w:t>
      </w:r>
      <w:r>
        <w:rPr>
          <w:snapToGrid w:val="0"/>
        </w:rPr>
        <w:tab/>
        <w:t>In this Act, unless the contrary intention appears —</w:t>
      </w:r>
    </w:p>
    <w:p>
      <w:pPr>
        <w:pStyle w:val="Defstart"/>
        <w:spacing w:before="120"/>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Defstart"/>
        <w:spacing w:before="120"/>
      </w:pPr>
      <w:r>
        <w:rPr>
          <w:b/>
        </w:rPr>
        <w:tab/>
      </w:r>
      <w:r>
        <w:rPr>
          <w:rStyle w:val="CharDefText"/>
        </w:rPr>
        <w:t>code</w:t>
      </w:r>
      <w:r>
        <w:t xml:space="preserve"> means any code of practice prescribed under the </w:t>
      </w:r>
      <w:r>
        <w:rPr>
          <w:i/>
          <w:iCs/>
        </w:rPr>
        <w:t xml:space="preserve">Fair Trading Act 2010 </w:t>
      </w:r>
      <w:r>
        <w:t>which relates to retirement villages;</w:t>
      </w:r>
    </w:p>
    <w:p>
      <w:pPr>
        <w:pStyle w:val="Defstart"/>
        <w:spacing w:before="120"/>
      </w:pPr>
      <w:r>
        <w:tab/>
      </w:r>
      <w:r>
        <w:rPr>
          <w:rStyle w:val="CharDefText"/>
        </w:rPr>
        <w:t>Commissioner</w:t>
      </w:r>
      <w:r>
        <w:t xml:space="preserve"> means the person for the time being designated as the Commissioner under section 7A;</w:t>
      </w:r>
    </w:p>
    <w:p>
      <w:pPr>
        <w:pStyle w:val="Defstart"/>
        <w:spacing w:before="120"/>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levy</w:t>
      </w:r>
      <w:r>
        <w:t xml:space="preserve"> means a single amount that the residents of a retirement village are required to pay to recover an unforeseen operating expense of the retirement village not provided for in the recurrent charges;</w:t>
      </w:r>
    </w:p>
    <w:p>
      <w:pPr>
        <w:pStyle w:val="Defstart"/>
        <w:spacing w:before="120"/>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Defstart"/>
        <w:spacing w:before="120"/>
      </w:pPr>
      <w:r>
        <w:rPr>
          <w:b/>
        </w:rPr>
        <w:tab/>
      </w:r>
      <w:r>
        <w:rPr>
          <w:rStyle w:val="CharDefText"/>
        </w:rPr>
        <w:t>premium</w:t>
      </w:r>
      <w:r>
        <w:t xml:space="preserve"> means a payment (including a gift) made to the administering body of a retirement village in consideration for, or in contemplation of, admission of the person by or on whose </w:t>
      </w:r>
      <w:r>
        <w:lastRenderedPageBreak/>
        <w:t>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Defpara"/>
        <w:spacing w:before="50"/>
      </w:pPr>
      <w:r>
        <w:tab/>
        <w:t>(a)</w:t>
      </w:r>
      <w:r>
        <w:tab/>
        <w:t>any such payment excluded by regulation from the ambit of this definition; or</w:t>
      </w:r>
    </w:p>
    <w:p>
      <w:pPr>
        <w:pStyle w:val="Defpara"/>
      </w:pPr>
      <w:r>
        <w:tab/>
        <w:t>(b)</w:t>
      </w:r>
      <w:r>
        <w:tab/>
        <w:t>a levy or recurrent charges;</w:t>
      </w:r>
    </w:p>
    <w:p>
      <w:pPr>
        <w:pStyle w:val="Defstart"/>
        <w:spacing w:before="60"/>
      </w:pPr>
      <w:r>
        <w:rPr>
          <w:b/>
        </w:rPr>
        <w:tab/>
      </w:r>
      <w:r>
        <w:rPr>
          <w:rStyle w:val="CharDefText"/>
        </w:rPr>
        <w:t>recurrent charge</w:t>
      </w:r>
      <w:r>
        <w:t xml:space="preserve"> means any amount (including rent) payable by a resident to the administering body of a retirement village on a recurrent basis;</w:t>
      </w:r>
    </w:p>
    <w:p>
      <w:pPr>
        <w:pStyle w:val="Defstart"/>
        <w:spacing w:before="60"/>
      </w:pPr>
      <w:r>
        <w:rPr>
          <w:b/>
        </w:rPr>
        <w:tab/>
      </w:r>
      <w:r>
        <w:rPr>
          <w:rStyle w:val="CharDefText"/>
        </w:rPr>
        <w:t>Registrar of Titles</w:t>
      </w:r>
      <w:r>
        <w:t xml:space="preserve"> has the meaning given to that expression by the </w:t>
      </w:r>
      <w:r>
        <w:rPr>
          <w:i/>
        </w:rPr>
        <w:t>Transfer of Land Act 1893</w:t>
      </w:r>
      <w:r>
        <w:t>;</w:t>
      </w:r>
    </w:p>
    <w:p>
      <w:pPr>
        <w:pStyle w:val="Defstart"/>
        <w:spacing w:before="60"/>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Defstart"/>
        <w:spacing w:before="60"/>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spacing w:before="60"/>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pPr>
        <w:pStyle w:val="Defpara"/>
        <w:spacing w:before="50"/>
      </w:pPr>
      <w:r>
        <w:tab/>
        <w:t>(a)</w:t>
      </w:r>
      <w:r>
        <w:tab/>
        <w:t>is residing with that person; or</w:t>
      </w:r>
    </w:p>
    <w:p>
      <w:pPr>
        <w:pStyle w:val="Defpara"/>
        <w:spacing w:before="50"/>
      </w:pPr>
      <w:r>
        <w:tab/>
        <w:t>(b)</w:t>
      </w:r>
      <w:r>
        <w:tab/>
        <w:t>was residing with that person at the time of his or her death;</w:t>
      </w:r>
    </w:p>
    <w:p>
      <w:pPr>
        <w:pStyle w:val="Defstart"/>
        <w:spacing w:before="60"/>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Defstart"/>
        <w:spacing w:before="60"/>
      </w:pPr>
      <w:r>
        <w:rPr>
          <w:b/>
        </w:rPr>
        <w:tab/>
      </w:r>
      <w:r>
        <w:rPr>
          <w:rStyle w:val="CharDefText"/>
        </w:rPr>
        <w:t>residential tenancy agreement</w:t>
      </w:r>
      <w:r>
        <w:t xml:space="preserve"> has the same meaning as in the </w:t>
      </w:r>
      <w:r>
        <w:rPr>
          <w:i/>
        </w:rPr>
        <w:t>Residential Tenancies Act 1987</w:t>
      </w:r>
      <w:r>
        <w:t>;</w:t>
      </w:r>
    </w:p>
    <w:p>
      <w:pPr>
        <w:pStyle w:val="Defstart"/>
        <w:spacing w:before="60"/>
      </w:pPr>
      <w:r>
        <w:rPr>
          <w:b/>
        </w:rPr>
        <w:lastRenderedPageBreak/>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Defpara"/>
      </w:pPr>
      <w:r>
        <w:tab/>
        <w:t>(a)</w:t>
      </w:r>
      <w:r>
        <w:tab/>
        <w:t>residential premises are occupied in pursuance of a residential tenancy agreement or any other lease or licence; or</w:t>
      </w:r>
    </w:p>
    <w:p>
      <w:pPr>
        <w:pStyle w:val="Defpara"/>
      </w:pPr>
      <w:r>
        <w:tab/>
        <w:t>(b)</w:t>
      </w:r>
      <w:r>
        <w:tab/>
        <w:t>a right to occupation of residential premises is conferred by ownership of shares; or</w:t>
      </w:r>
    </w:p>
    <w:p>
      <w:pPr>
        <w:pStyle w:val="Defpara"/>
      </w:pPr>
      <w:r>
        <w:tab/>
        <w:t>(c)</w:t>
      </w:r>
      <w:r>
        <w:tab/>
        <w:t>residential premises are purchased from the administering body subject to a right or option of repurchase; or</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w:t>
      </w:r>
    </w:p>
    <w:p>
      <w:pPr>
        <w:pStyle w:val="Defpara"/>
      </w:pPr>
      <w:r>
        <w:tab/>
        <w:t>(a)</w:t>
      </w:r>
      <w:r>
        <w:tab/>
        <w:t>hostel care; or</w:t>
      </w:r>
    </w:p>
    <w:p>
      <w:pPr>
        <w:pStyle w:val="Defpara"/>
      </w:pPr>
      <w:r>
        <w:tab/>
        <w:t>(b)</w:t>
      </w:r>
      <w:r>
        <w:tab/>
        <w:t>infirmary care; or</w:t>
      </w:r>
    </w:p>
    <w:p>
      <w:pPr>
        <w:pStyle w:val="Defpara"/>
      </w:pPr>
      <w:r>
        <w:tab/>
        <w:t>(c)</w:t>
      </w:r>
      <w:r>
        <w:tab/>
        <w:t>medical or nursing services; or</w:t>
      </w:r>
    </w:p>
    <w:p>
      <w:pPr>
        <w:pStyle w:val="Defpara"/>
      </w:pPr>
      <w:r>
        <w:lastRenderedPageBreak/>
        <w:tab/>
        <w:t>(d)</w:t>
      </w:r>
      <w:r>
        <w:tab/>
        <w:t>meals; or</w:t>
      </w:r>
    </w:p>
    <w:p>
      <w:pPr>
        <w:pStyle w:val="Defpara"/>
      </w:pPr>
      <w:r>
        <w:tab/>
        <w:t>(e)</w:t>
      </w:r>
      <w:r>
        <w:tab/>
        <w:t>administrative and management services; or</w:t>
      </w:r>
    </w:p>
    <w:p>
      <w:pPr>
        <w:pStyle w:val="Defpara"/>
      </w:pPr>
      <w:r>
        <w:tab/>
        <w:t>(f)</w:t>
      </w:r>
      <w:r>
        <w:tab/>
        <w:t>maintenance and repair services; or</w:t>
      </w:r>
    </w:p>
    <w:p>
      <w:pPr>
        <w:pStyle w:val="Defpara"/>
      </w:pPr>
      <w:r>
        <w:tab/>
        <w:t>(g)</w:t>
      </w:r>
      <w:r>
        <w:tab/>
        <w:t>recreation services or amenities or entertainment services or amenities; or</w:t>
      </w:r>
    </w:p>
    <w:p>
      <w:pPr>
        <w:pStyle w:val="Defpara"/>
      </w:pPr>
      <w:r>
        <w:tab/>
        <w:t>(h)</w:t>
      </w:r>
      <w:r>
        <w:tab/>
        <w:t>any other services,</w:t>
      </w:r>
    </w:p>
    <w:p>
      <w:pPr>
        <w:pStyle w:val="Defstart"/>
      </w:pPr>
      <w:r>
        <w:tab/>
        <w:t>and any collateral agreement or document relating to the provision of any such service;</w:t>
      </w:r>
    </w:p>
    <w:p>
      <w:pPr>
        <w:pStyle w:val="Defstart"/>
      </w:pPr>
      <w:r>
        <w:rPr>
          <w:b/>
        </w:rPr>
        <w:tab/>
      </w:r>
      <w:r>
        <w:rPr>
          <w:rStyle w:val="CharDefText"/>
        </w:rPr>
        <w:t>working day</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 xml:space="preserve">[Section 3 amended: No. 57 of 1997 s. 39(10); No. 28 of 2003 s. 179; No. 55 of 2004 s. 1023; No. 28 of 2006 s. 139; </w:t>
      </w:r>
      <w:r>
        <w:rPr>
          <w:spacing w:val="-4"/>
        </w:rPr>
        <w:t>No. 58 of 2010 s. 199; No. 36 of 2012 s. 4(1)-(3)</w:t>
      </w:r>
      <w:r>
        <w:t>.]</w:t>
      </w:r>
    </w:p>
    <w:p>
      <w:pPr>
        <w:pStyle w:val="Heading5"/>
        <w:rPr>
          <w:snapToGrid w:val="0"/>
        </w:rPr>
      </w:pPr>
      <w:bookmarkStart w:id="12" w:name="_Toc131509249"/>
      <w:r>
        <w:rPr>
          <w:rStyle w:val="CharSectno"/>
        </w:rPr>
        <w:t>4</w:t>
      </w:r>
      <w:r>
        <w:rPr>
          <w:snapToGrid w:val="0"/>
        </w:rPr>
        <w:t>.</w:t>
      </w:r>
      <w:r>
        <w:rPr>
          <w:snapToGrid w:val="0"/>
        </w:rPr>
        <w:tab/>
        <w:t>Act binds Crown</w:t>
      </w:r>
      <w:bookmarkEnd w:id="12"/>
    </w:p>
    <w:p>
      <w:pPr>
        <w:pStyle w:val="Subsection"/>
        <w:rPr>
          <w:snapToGrid w:val="0"/>
        </w:rPr>
      </w:pPr>
      <w:r>
        <w:rPr>
          <w:snapToGrid w:val="0"/>
        </w:rPr>
        <w:tab/>
      </w:r>
      <w:r>
        <w:rPr>
          <w:snapToGrid w:val="0"/>
        </w:rPr>
        <w:tab/>
        <w:t>This Act binds the Crown.</w:t>
      </w:r>
    </w:p>
    <w:p>
      <w:pPr>
        <w:pStyle w:val="Heading5"/>
        <w:rPr>
          <w:snapToGrid w:val="0"/>
        </w:rPr>
      </w:pPr>
      <w:bookmarkStart w:id="13" w:name="_Toc131509250"/>
      <w:r>
        <w:rPr>
          <w:rStyle w:val="CharSectno"/>
        </w:rPr>
        <w:t>5</w:t>
      </w:r>
      <w:r>
        <w:rPr>
          <w:snapToGrid w:val="0"/>
        </w:rPr>
        <w:t>.</w:t>
      </w:r>
      <w:r>
        <w:rPr>
          <w:snapToGrid w:val="0"/>
        </w:rPr>
        <w:tab/>
        <w:t>Application of Act</w:t>
      </w:r>
      <w:bookmarkEnd w:id="13"/>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r>
        <w:tab/>
        <w:t>(2)</w:t>
      </w:r>
      <w:r>
        <w:tab/>
        <w:t>This Act does not apply to a resident or prospective resident of a retirement village or to the administering body of that retirement village if —</w:t>
      </w:r>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w:t>
      </w:r>
      <w:r>
        <w:lastRenderedPageBreak/>
        <w:t>used or intended to be used as a place of residence by the resident or prospective resident; and</w:t>
      </w:r>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 No. 69 of 2006 s. 34.]</w:t>
      </w:r>
    </w:p>
    <w:p>
      <w:pPr>
        <w:pStyle w:val="Heading5"/>
        <w:keepLines w:val="0"/>
        <w:rPr>
          <w:snapToGrid w:val="0"/>
        </w:rPr>
      </w:pPr>
      <w:bookmarkStart w:id="14" w:name="_Toc131509251"/>
      <w:r>
        <w:rPr>
          <w:rStyle w:val="CharSectno"/>
        </w:rPr>
        <w:t>6</w:t>
      </w:r>
      <w:r>
        <w:rPr>
          <w:snapToGrid w:val="0"/>
        </w:rPr>
        <w:t>.</w:t>
      </w:r>
      <w:r>
        <w:rPr>
          <w:snapToGrid w:val="0"/>
        </w:rPr>
        <w:tab/>
        <w:t>Contracting out</w:t>
      </w:r>
      <w:bookmarkEnd w:id="14"/>
    </w:p>
    <w:p>
      <w:pPr>
        <w:pStyle w:val="Subsection"/>
        <w:rPr>
          <w:snapToGrid w:val="0"/>
        </w:rPr>
      </w:pPr>
      <w:r>
        <w:rPr>
          <w:snapToGrid w:val="0"/>
        </w:rPr>
        <w:tab/>
        <w:t>(1)</w:t>
      </w:r>
      <w:r>
        <w:rPr>
          <w:snapToGrid w:val="0"/>
        </w:rPr>
        <w:tab/>
        <w:t xml:space="preserve">Subject to </w:t>
      </w:r>
      <w:r>
        <w:t xml:space="preserve">subsection (2) and without affecting the operation of sections 23(4) and 24(6), </w:t>
      </w:r>
      <w:r>
        <w:rPr>
          <w:snapToGrid w:val="0"/>
        </w:rPr>
        <w:t>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r>
      <w:r>
        <w:t>Unless this Act provides that this subsection does not have effect in relation to the provision concerned, a</w:t>
      </w:r>
      <w:r>
        <w:rPr>
          <w:snapToGrid w:val="0"/>
        </w:rPr>
        <w:t xml:space="preserve">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Footnotesection"/>
      </w:pPr>
      <w:r>
        <w:tab/>
        <w:t>[Section 6 amended: No. 36 of 2012 s. 5.]</w:t>
      </w:r>
    </w:p>
    <w:p>
      <w:pPr>
        <w:pStyle w:val="Heading5"/>
        <w:rPr>
          <w:snapToGrid w:val="0"/>
        </w:rPr>
      </w:pPr>
      <w:bookmarkStart w:id="15" w:name="_Toc131509252"/>
      <w:r>
        <w:rPr>
          <w:rStyle w:val="CharSectno"/>
        </w:rPr>
        <w:lastRenderedPageBreak/>
        <w:t>7</w:t>
      </w:r>
      <w:r>
        <w:rPr>
          <w:snapToGrid w:val="0"/>
        </w:rPr>
        <w:t>.</w:t>
      </w:r>
      <w:r>
        <w:rPr>
          <w:snapToGrid w:val="0"/>
        </w:rPr>
        <w:tab/>
        <w:t>Effect of Act on other legislation</w:t>
      </w:r>
      <w:bookmarkEnd w:id="15"/>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16" w:name="_Toc75341060"/>
      <w:bookmarkStart w:id="17" w:name="_Toc75341960"/>
      <w:bookmarkStart w:id="18" w:name="_Toc75447457"/>
      <w:bookmarkStart w:id="19" w:name="_Toc131507114"/>
      <w:bookmarkStart w:id="20" w:name="_Toc131507332"/>
      <w:bookmarkStart w:id="21" w:name="_Toc131509253"/>
      <w:r>
        <w:rPr>
          <w:rStyle w:val="CharPartNo"/>
        </w:rPr>
        <w:lastRenderedPageBreak/>
        <w:t>Part 2</w:t>
      </w:r>
      <w:r>
        <w:rPr>
          <w:rStyle w:val="CharDivNo"/>
        </w:rPr>
        <w:t> </w:t>
      </w:r>
      <w:r>
        <w:t>—</w:t>
      </w:r>
      <w:r>
        <w:rPr>
          <w:rStyle w:val="CharDivText"/>
        </w:rPr>
        <w:t> </w:t>
      </w:r>
      <w:r>
        <w:rPr>
          <w:rStyle w:val="CharPartText"/>
        </w:rPr>
        <w:t>Administration</w:t>
      </w:r>
      <w:bookmarkEnd w:id="16"/>
      <w:bookmarkEnd w:id="17"/>
      <w:bookmarkEnd w:id="18"/>
      <w:bookmarkEnd w:id="19"/>
      <w:bookmarkEnd w:id="20"/>
      <w:bookmarkEnd w:id="21"/>
    </w:p>
    <w:p>
      <w:pPr>
        <w:pStyle w:val="Heading5"/>
      </w:pPr>
      <w:bookmarkStart w:id="22" w:name="_Toc131509254"/>
      <w:r>
        <w:rPr>
          <w:rStyle w:val="CharSectno"/>
        </w:rPr>
        <w:t>7A</w:t>
      </w:r>
      <w:r>
        <w:t>.</w:t>
      </w:r>
      <w:r>
        <w:tab/>
        <w:t>Commissioner</w:t>
      </w:r>
      <w:bookmarkEnd w:id="22"/>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140.]</w:t>
      </w:r>
    </w:p>
    <w:p>
      <w:pPr>
        <w:pStyle w:val="Heading5"/>
        <w:rPr>
          <w:snapToGrid w:val="0"/>
        </w:rPr>
      </w:pPr>
      <w:bookmarkStart w:id="23" w:name="_Toc131509255"/>
      <w:r>
        <w:rPr>
          <w:rStyle w:val="CharSectno"/>
        </w:rPr>
        <w:t>8</w:t>
      </w:r>
      <w:r>
        <w:rPr>
          <w:snapToGrid w:val="0"/>
        </w:rPr>
        <w:t>.</w:t>
      </w:r>
      <w:r>
        <w:rPr>
          <w:snapToGrid w:val="0"/>
        </w:rPr>
        <w:tab/>
        <w:t>Functions of Commissioner</w:t>
      </w:r>
      <w:bookmarkEnd w:id="23"/>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No. 57 of 1997 s. 104; No. 28 of 2006 s. 141.]</w:t>
      </w:r>
    </w:p>
    <w:p>
      <w:pPr>
        <w:pStyle w:val="Heading5"/>
        <w:keepNext w:val="0"/>
        <w:keepLines w:val="0"/>
        <w:rPr>
          <w:snapToGrid w:val="0"/>
        </w:rPr>
      </w:pPr>
      <w:bookmarkStart w:id="24" w:name="_Toc131509256"/>
      <w:r>
        <w:rPr>
          <w:rStyle w:val="CharSectno"/>
        </w:rPr>
        <w:lastRenderedPageBreak/>
        <w:t>9</w:t>
      </w:r>
      <w:r>
        <w:rPr>
          <w:snapToGrid w:val="0"/>
        </w:rPr>
        <w:t>.</w:t>
      </w:r>
      <w:r>
        <w:rPr>
          <w:snapToGrid w:val="0"/>
        </w:rPr>
        <w:tab/>
        <w:t>Commissioner may institute or defend proceedings for party</w:t>
      </w:r>
      <w:bookmarkEnd w:id="24"/>
    </w:p>
    <w:p>
      <w:pPr>
        <w:pStyle w:val="Subsection"/>
        <w:rPr>
          <w:snapToGrid w:val="0"/>
        </w:rPr>
      </w:pPr>
      <w:r>
        <w:rPr>
          <w:snapToGrid w:val="0"/>
        </w:rPr>
        <w:tab/>
        <w:t>(1)</w:t>
      </w:r>
      <w:r>
        <w:rPr>
          <w:snapToGrid w:val="0"/>
        </w:rPr>
        <w:tab/>
        <w:t>If a resident of a retirement village has made a complaint to the Commissioner and the Commissioner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 and</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 and</w:t>
      </w:r>
    </w:p>
    <w:p>
      <w:pPr>
        <w:pStyle w:val="Indenta"/>
        <w:rPr>
          <w:snapToGrid w:val="0"/>
        </w:rPr>
      </w:pPr>
      <w:r>
        <w:rPr>
          <w:snapToGrid w:val="0"/>
        </w:rPr>
        <w:tab/>
        <w:t>(c)</w:t>
      </w:r>
      <w:r>
        <w:rPr>
          <w:snapToGrid w:val="0"/>
        </w:rPr>
        <w:tab/>
        <w:t xml:space="preserve">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w:t>
      </w:r>
      <w:r>
        <w:rPr>
          <w:snapToGrid w:val="0"/>
        </w:rPr>
        <w:lastRenderedPageBreak/>
        <w:t>give such other directions in that behalf as the State Administrative Tribunal or the court thinks fit; and</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 xml:space="preserve">In any proceedings referred to in subsection (1) a document purporting to be the consent of the resident of the retirement village to the Commissioner instituting, defending, or assuming </w:t>
      </w:r>
      <w:r>
        <w:rPr>
          <w:snapToGrid w:val="0"/>
        </w:rPr>
        <w:lastRenderedPageBreak/>
        <w:t>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pPr>
        <w:pStyle w:val="Footnotesection"/>
      </w:pPr>
      <w:r>
        <w:tab/>
        <w:t>[Section 9 amended: No. 6 of 1993 s. 11; No. 49 of 1996 s. 64; No. 55 of 2004 s. 1044; No. 77 of 2006 s. 4.]</w:t>
      </w:r>
    </w:p>
    <w:p>
      <w:pPr>
        <w:pStyle w:val="Heading5"/>
        <w:rPr>
          <w:snapToGrid w:val="0"/>
        </w:rPr>
      </w:pPr>
      <w:bookmarkStart w:id="25" w:name="_Toc131509257"/>
      <w:r>
        <w:rPr>
          <w:rStyle w:val="CharSectno"/>
        </w:rPr>
        <w:t>10</w:t>
      </w:r>
      <w:r>
        <w:rPr>
          <w:snapToGrid w:val="0"/>
        </w:rPr>
        <w:t>.</w:t>
      </w:r>
      <w:r>
        <w:rPr>
          <w:snapToGrid w:val="0"/>
        </w:rPr>
        <w:tab/>
        <w:t>Delegation by Commissioner</w:t>
      </w:r>
      <w:bookmarkEnd w:id="25"/>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26" w:name="_Toc131509258"/>
      <w:r>
        <w:rPr>
          <w:rStyle w:val="CharSectno"/>
        </w:rPr>
        <w:t>11</w:t>
      </w:r>
      <w:r>
        <w:rPr>
          <w:snapToGrid w:val="0"/>
        </w:rPr>
        <w:t>.</w:t>
      </w:r>
      <w:r>
        <w:rPr>
          <w:snapToGrid w:val="0"/>
        </w:rPr>
        <w:tab/>
        <w:t>Protection of officers</w:t>
      </w:r>
      <w:bookmarkEnd w:id="26"/>
    </w:p>
    <w:p>
      <w:pPr>
        <w:pStyle w:val="Subsection"/>
      </w:pPr>
      <w:r>
        <w:tab/>
        <w:t>(1)</w:t>
      </w:r>
      <w:r>
        <w:tab/>
        <w:t xml:space="preserve">In this section — </w:t>
      </w:r>
    </w:p>
    <w:p>
      <w:pPr>
        <w:pStyle w:val="Defstart"/>
      </w:pPr>
      <w:r>
        <w:tab/>
      </w:r>
      <w:r>
        <w:rPr>
          <w:rStyle w:val="CharDefText"/>
        </w:rPr>
        <w:t>statutory manager</w:t>
      </w:r>
      <w:r>
        <w:t xml:space="preserve"> means a person appointed under section 75B and includes an agent of, or a person employed or engaged by, a </w:t>
      </w:r>
      <w:r>
        <w:lastRenderedPageBreak/>
        <w:t>statutory manager who is assisting the statutory manager in the performance of the functions of the statutory manager under this Act.</w:t>
      </w:r>
    </w:p>
    <w:p>
      <w:pPr>
        <w:pStyle w:val="Subsection"/>
        <w:rPr>
          <w:snapToGrid w:val="0"/>
        </w:rPr>
      </w:pPr>
      <w:r>
        <w:tab/>
        <w:t>(2)</w:t>
      </w:r>
      <w:r>
        <w:tab/>
        <w:t>No</w:t>
      </w:r>
      <w:r>
        <w:rPr>
          <w:snapToGrid w:val="0"/>
        </w:rPr>
        <w:t xml:space="preserve"> liability attaches to the Commissioner or any delegate of the Commissioner, or any officer of the Department </w:t>
      </w:r>
      <w:r>
        <w:t>or a statutory manager</w:t>
      </w:r>
      <w:r>
        <w:rPr>
          <w:snapToGrid w:val="0"/>
        </w:rPr>
        <w:t xml:space="preserve"> for any act or omission by the Commissioner, the delegate, </w:t>
      </w:r>
      <w:r>
        <w:t>the officer or the statutory manager</w:t>
      </w:r>
      <w:r>
        <w:rPr>
          <w:snapToGrid w:val="0"/>
        </w:rPr>
        <w:t xml:space="preserve"> that occurred in good faith and in the performance or discharge or purported performance or discharge of the functions of the </w:t>
      </w:r>
      <w:r>
        <w:t xml:space="preserve">Commissioner, the Department or the statutory manager under this Act but, except as stated in subsection (3), </w:t>
      </w:r>
      <w:r>
        <w:rPr>
          <w:snapToGrid w:val="0"/>
        </w:rPr>
        <w:t>nothing in this section shall relieve the Crown of any liability that it might have for the actions of such persons but for this section.</w:t>
      </w:r>
    </w:p>
    <w:p>
      <w:pPr>
        <w:pStyle w:val="Subsection"/>
      </w:pPr>
      <w:r>
        <w:tab/>
        <w:t>(3)</w:t>
      </w:r>
      <w:r>
        <w:tab/>
        <w:t>The Crown is relieved of any liability that it might otherwise have had for any act or omission, as described in subsection (2), by a statutory manager.</w:t>
      </w:r>
    </w:p>
    <w:p>
      <w:pPr>
        <w:pStyle w:val="Footnotesection"/>
      </w:pPr>
      <w:r>
        <w:tab/>
        <w:t>[Section 11 amended: No. 36 of 2012 s. 6.]</w:t>
      </w:r>
    </w:p>
    <w:p>
      <w:pPr>
        <w:pStyle w:val="Heading5"/>
      </w:pPr>
      <w:bookmarkStart w:id="27" w:name="_Toc131509259"/>
      <w:r>
        <w:rPr>
          <w:rStyle w:val="CharSectno"/>
        </w:rPr>
        <w:t>11A</w:t>
      </w:r>
      <w:r>
        <w:t>.</w:t>
      </w:r>
      <w:r>
        <w:tab/>
        <w:t>Information officially obtained to be confidential</w:t>
      </w:r>
      <w:bookmarkEnd w:id="2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lastRenderedPageBreak/>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142.]</w:t>
      </w:r>
    </w:p>
    <w:p>
      <w:pPr>
        <w:pStyle w:val="Heading5"/>
      </w:pPr>
      <w:bookmarkStart w:id="28" w:name="_Toc131509260"/>
      <w:r>
        <w:rPr>
          <w:rStyle w:val="CharSectno"/>
        </w:rPr>
        <w:t>11B</w:t>
      </w:r>
      <w:r>
        <w:t>.</w:t>
      </w:r>
      <w:r>
        <w:tab/>
        <w:t>Powers of investigation</w:t>
      </w:r>
      <w:bookmarkEnd w:id="28"/>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190.]</w:t>
      </w:r>
    </w:p>
    <w:p>
      <w:pPr>
        <w:pStyle w:val="Heading5"/>
        <w:rPr>
          <w:snapToGrid w:val="0"/>
        </w:rPr>
      </w:pPr>
      <w:bookmarkStart w:id="29" w:name="_Toc131509261"/>
      <w:r>
        <w:rPr>
          <w:rStyle w:val="CharSectno"/>
        </w:rPr>
        <w:t>12</w:t>
      </w:r>
      <w:r>
        <w:rPr>
          <w:snapToGrid w:val="0"/>
        </w:rPr>
        <w:t>.</w:t>
      </w:r>
      <w:r>
        <w:rPr>
          <w:snapToGrid w:val="0"/>
        </w:rPr>
        <w:tab/>
        <w:t>Annual report</w:t>
      </w:r>
      <w:bookmarkEnd w:id="29"/>
    </w:p>
    <w:p>
      <w:pPr>
        <w:pStyle w:val="Subsection"/>
        <w:rPr>
          <w:snapToGrid w:val="0"/>
        </w:rPr>
      </w:pPr>
      <w:r>
        <w:rPr>
          <w:snapToGrid w:val="0"/>
          <w:spacing w:val="-6"/>
        </w:rPr>
        <w:tab/>
        <w:t>(1)</w:t>
      </w:r>
      <w:r>
        <w:rPr>
          <w:snapToGrid w:val="0"/>
          <w:spacing w:val="-6"/>
        </w:rPr>
        <w:tab/>
      </w:r>
      <w:r>
        <w:rPr>
          <w:snapToGrid w:val="0"/>
        </w:rPr>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30" w:name="_Toc75341069"/>
      <w:bookmarkStart w:id="31" w:name="_Toc75341969"/>
      <w:bookmarkStart w:id="32" w:name="_Toc75447466"/>
      <w:bookmarkStart w:id="33" w:name="_Toc131507123"/>
      <w:bookmarkStart w:id="34" w:name="_Toc131507341"/>
      <w:bookmarkStart w:id="35" w:name="_Toc131509262"/>
      <w:r>
        <w:rPr>
          <w:rStyle w:val="CharPartNo"/>
        </w:rPr>
        <w:lastRenderedPageBreak/>
        <w:t>Part 3</w:t>
      </w:r>
      <w:r>
        <w:rPr>
          <w:rStyle w:val="CharDivNo"/>
        </w:rPr>
        <w:t> </w:t>
      </w:r>
      <w:r>
        <w:t>—</w:t>
      </w:r>
      <w:r>
        <w:rPr>
          <w:rStyle w:val="CharDivText"/>
        </w:rPr>
        <w:t> </w:t>
      </w:r>
      <w:r>
        <w:rPr>
          <w:rStyle w:val="CharPartText"/>
        </w:rPr>
        <w:t>Rights and obligations of residents, owners and administering bodies</w:t>
      </w:r>
      <w:bookmarkEnd w:id="30"/>
      <w:bookmarkEnd w:id="31"/>
      <w:bookmarkEnd w:id="32"/>
      <w:bookmarkEnd w:id="33"/>
      <w:bookmarkEnd w:id="34"/>
      <w:bookmarkEnd w:id="35"/>
    </w:p>
    <w:p>
      <w:pPr>
        <w:pStyle w:val="Heading5"/>
        <w:spacing w:before="180"/>
        <w:rPr>
          <w:snapToGrid w:val="0"/>
        </w:rPr>
      </w:pPr>
      <w:bookmarkStart w:id="36" w:name="_Toc131509263"/>
      <w:r>
        <w:rPr>
          <w:rStyle w:val="CharSectno"/>
        </w:rPr>
        <w:t>13</w:t>
      </w:r>
      <w:r>
        <w:rPr>
          <w:snapToGrid w:val="0"/>
        </w:rPr>
        <w:t>.</w:t>
      </w:r>
      <w:r>
        <w:rPr>
          <w:snapToGrid w:val="0"/>
        </w:rPr>
        <w:tab/>
        <w:t>Residence contract</w:t>
      </w:r>
      <w:bookmarkEnd w:id="36"/>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 xml:space="preserve">At least </w:t>
      </w:r>
      <w:r>
        <w:t>10 working days</w:t>
      </w:r>
      <w:r>
        <w:rPr>
          <w:snapToGrid w:val="0"/>
        </w:rPr>
        <w:t xml:space="preserve"> before a person enters into a residence contract, the owner shall cause to be given to that person —</w:t>
      </w:r>
    </w:p>
    <w:p>
      <w:pPr>
        <w:pStyle w:val="Indenta"/>
        <w:rPr>
          <w:snapToGrid w:val="0"/>
        </w:rPr>
      </w:pPr>
      <w:r>
        <w:rPr>
          <w:snapToGrid w:val="0"/>
        </w:rPr>
        <w:tab/>
        <w:t>(a)</w:t>
      </w:r>
      <w:r>
        <w:rPr>
          <w:snapToGrid w:val="0"/>
        </w:rPr>
        <w:tab/>
        <w:t>a statement in the prescribed form completed and signed by the owner containing the information required by the regulations; and</w:t>
      </w:r>
    </w:p>
    <w:p>
      <w:pPr>
        <w:pStyle w:val="Indenta"/>
        <w:rPr>
          <w:snapToGrid w:val="0"/>
        </w:rPr>
      </w:pPr>
      <w:r>
        <w:rPr>
          <w:snapToGrid w:val="0"/>
        </w:rPr>
        <w:tab/>
        <w:t>(b)</w:t>
      </w:r>
      <w:r>
        <w:rPr>
          <w:snapToGrid w:val="0"/>
        </w:rPr>
        <w:tab/>
        <w:t>a notice in the prescribed form of the person’s rights under this section and section 14; and</w:t>
      </w:r>
    </w:p>
    <w:p>
      <w:pPr>
        <w:pStyle w:val="Indenta"/>
        <w:rPr>
          <w:snapToGrid w:val="0"/>
        </w:rPr>
      </w:pPr>
      <w:r>
        <w:rPr>
          <w:snapToGrid w:val="0"/>
        </w:rPr>
        <w:tab/>
        <w:t>(c)</w:t>
      </w:r>
      <w:r>
        <w:rPr>
          <w:snapToGrid w:val="0"/>
        </w:rPr>
        <w:tab/>
        <w:t>a copy of the residence rules; and</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pPr>
      <w:r>
        <w:tab/>
        <w:t>(4A)</w:t>
      </w:r>
      <w:r>
        <w:tab/>
        <w:t>A person must not demand or receive any fee or charge for any information or document given under subsection (2) or (3).</w:t>
      </w:r>
    </w:p>
    <w:p>
      <w:pPr>
        <w:pStyle w:val="Penstart"/>
      </w:pPr>
      <w:r>
        <w:tab/>
        <w:t>Penalty: a fine of $5 000.</w:t>
      </w:r>
    </w:p>
    <w:p>
      <w:pPr>
        <w:pStyle w:val="Subsection"/>
        <w:rPr>
          <w:snapToGrid w:val="0"/>
        </w:rPr>
      </w:pPr>
      <w:r>
        <w:rPr>
          <w:snapToGrid w:val="0"/>
          <w:spacing w:val="-8"/>
        </w:rPr>
        <w:tab/>
        <w:t>(4)</w:t>
      </w:r>
      <w:r>
        <w:rPr>
          <w:snapToGrid w:val="0"/>
          <w:spacing w:val="-8"/>
        </w:rPr>
        <w:tab/>
      </w:r>
      <w:r>
        <w:rPr>
          <w:snapToGrid w:val="0"/>
        </w:rPr>
        <w:t xml:space="preserve">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w:t>
      </w:r>
      <w:r>
        <w:rPr>
          <w:snapToGrid w:val="0"/>
        </w:rPr>
        <w:lastRenderedPageBreak/>
        <w:t>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pPr>
        <w:pStyle w:val="Footnotesection"/>
      </w:pPr>
      <w:r>
        <w:tab/>
        <w:t>[Section 13 amended: No. 36 of 2012 s. 7.]</w:t>
      </w:r>
    </w:p>
    <w:p>
      <w:pPr>
        <w:pStyle w:val="Heading5"/>
      </w:pPr>
      <w:bookmarkStart w:id="37" w:name="_Toc131509264"/>
      <w:r>
        <w:rPr>
          <w:rStyle w:val="CharSectno"/>
        </w:rPr>
        <w:t>14A</w:t>
      </w:r>
      <w:r>
        <w:t>.</w:t>
      </w:r>
      <w:r>
        <w:tab/>
        <w:t>Residence contracts to comply with prescribed requirements</w:t>
      </w:r>
      <w:bookmarkEnd w:id="37"/>
    </w:p>
    <w:p>
      <w:pPr>
        <w:pStyle w:val="Subsection"/>
      </w:pPr>
      <w:r>
        <w:tab/>
        <w:t>(1)</w:t>
      </w:r>
      <w:r>
        <w:tab/>
        <w:t>The regulations may provide for provisions or matters that must be included, or provisions or matters that must not be included, in residence contracts or in residence contracts of a specified kind.</w:t>
      </w:r>
    </w:p>
    <w:p>
      <w:pPr>
        <w:pStyle w:val="Subsection"/>
      </w:pPr>
      <w:r>
        <w:tab/>
        <w:t>(2)</w:t>
      </w:r>
      <w:r>
        <w:tab/>
        <w:t>A person must not enter into a residence contract with a prospective resident unless the residence contract, otherwise than because of the operation of subsection (3) or (4), complies with any regulations made for the purposes of subsection (1).</w:t>
      </w:r>
    </w:p>
    <w:p>
      <w:pPr>
        <w:pStyle w:val="Penstart"/>
      </w:pPr>
      <w:r>
        <w:lastRenderedPageBreak/>
        <w:tab/>
        <w:t>Penalty: a fine of $20 000.</w:t>
      </w:r>
    </w:p>
    <w:p>
      <w:pPr>
        <w:pStyle w:val="Subsection"/>
      </w:pPr>
      <w:r>
        <w:tab/>
        <w:t>(3)</w:t>
      </w:r>
      <w:r>
        <w:tab/>
        <w:t>If regulations made for the purposes of subsection (1) provide that residence contracts or residence contracts of a specified kind must contain a provision in the terms specified in those regulations, a residence contract to which those regulations apply that does not include a provision in the specified terms is to be taken to include that provision.</w:t>
      </w:r>
    </w:p>
    <w:p>
      <w:pPr>
        <w:pStyle w:val="Subsection"/>
      </w:pPr>
      <w:r>
        <w:tab/>
        <w:t>(4)</w:t>
      </w:r>
      <w:r>
        <w:tab/>
        <w:t>If regulations made for the purposes of subsection (1) provide that any provision or matter must not be included in residence contracts or residence contracts of a specified kind, a residence contract to which those regulations apply that includes any provision or matter contrary to those regulations is void to the extent of the provision or matter.</w:t>
      </w:r>
    </w:p>
    <w:p>
      <w:pPr>
        <w:pStyle w:val="Subsection"/>
      </w:pPr>
      <w:r>
        <w:tab/>
        <w:t>(5)</w:t>
      </w:r>
      <w:r>
        <w:tab/>
        <w:t>The regulations may provide that section 6(2) does not have effect in relation to any specified regulations, or any specified provisions of regulations, made for the purposes of subsection (1).</w:t>
      </w:r>
    </w:p>
    <w:p>
      <w:pPr>
        <w:pStyle w:val="Footnotesection"/>
      </w:pPr>
      <w:r>
        <w:tab/>
        <w:t>[Section 14A inserted: No. 36 of 2012 s. 8.]</w:t>
      </w:r>
    </w:p>
    <w:p>
      <w:pPr>
        <w:pStyle w:val="Heading5"/>
        <w:rPr>
          <w:snapToGrid w:val="0"/>
        </w:rPr>
      </w:pPr>
      <w:bookmarkStart w:id="38" w:name="_Toc131509265"/>
      <w:r>
        <w:rPr>
          <w:rStyle w:val="CharSectno"/>
        </w:rPr>
        <w:t>14</w:t>
      </w:r>
      <w:r>
        <w:rPr>
          <w:snapToGrid w:val="0"/>
        </w:rPr>
        <w:t>.</w:t>
      </w:r>
      <w:r>
        <w:rPr>
          <w:snapToGrid w:val="0"/>
        </w:rPr>
        <w:tab/>
        <w:t>Cooling</w:t>
      </w:r>
      <w:r>
        <w:rPr>
          <w:snapToGrid w:val="0"/>
        </w:rPr>
        <w:noBreakHyphen/>
        <w:t>off period</w:t>
      </w:r>
      <w:bookmarkEnd w:id="38"/>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pPr>
        <w:pStyle w:val="Indenta"/>
        <w:rPr>
          <w:snapToGrid w:val="0"/>
        </w:rPr>
      </w:pPr>
      <w:r>
        <w:rPr>
          <w:snapToGrid w:val="0"/>
        </w:rPr>
        <w:tab/>
        <w:t>(a)</w:t>
      </w:r>
      <w:r>
        <w:rPr>
          <w:snapToGrid w:val="0"/>
        </w:rPr>
        <w:tab/>
        <w:t xml:space="preserve">at any time within </w:t>
      </w:r>
      <w:r>
        <w:t>7 working days</w:t>
      </w:r>
      <w:r>
        <w:rPr>
          <w:snapToGrid w:val="0"/>
        </w:rPr>
        <w:t xml:space="preserve"> after the date of the contract; or</w:t>
      </w:r>
    </w:p>
    <w:p>
      <w:pPr>
        <w:pStyle w:val="Indenta"/>
        <w:rPr>
          <w:snapToGrid w:val="0"/>
        </w:rPr>
      </w:pPr>
      <w:r>
        <w:rPr>
          <w:snapToGrid w:val="0"/>
        </w:rPr>
        <w:tab/>
        <w:t>(b)</w:t>
      </w:r>
      <w:r>
        <w:rPr>
          <w:snapToGrid w:val="0"/>
        </w:rPr>
        <w:tab/>
        <w:t xml:space="preserve">if section 13(2) is not complied with — at any time before the expiration of </w:t>
      </w:r>
      <w:r>
        <w:t>17 working days</w:t>
      </w:r>
      <w:r>
        <w:rPr>
          <w:snapToGrid w:val="0"/>
        </w:rPr>
        <w:t xml:space="preserve">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Footnotesection"/>
      </w:pPr>
      <w:r>
        <w:tab/>
        <w:t>[Section 14 amended: No. 36 of 2012 s. 9.]</w:t>
      </w:r>
    </w:p>
    <w:p>
      <w:pPr>
        <w:pStyle w:val="Heading5"/>
        <w:rPr>
          <w:snapToGrid w:val="0"/>
        </w:rPr>
      </w:pPr>
      <w:bookmarkStart w:id="39" w:name="_Toc131509266"/>
      <w:r>
        <w:rPr>
          <w:rStyle w:val="CharSectno"/>
        </w:rPr>
        <w:lastRenderedPageBreak/>
        <w:t>15</w:t>
      </w:r>
      <w:r>
        <w:rPr>
          <w:snapToGrid w:val="0"/>
        </w:rPr>
        <w:t>.</w:t>
      </w:r>
      <w:r>
        <w:rPr>
          <w:snapToGrid w:val="0"/>
        </w:rPr>
        <w:tab/>
        <w:t>Owner to deliver memorial</w:t>
      </w:r>
      <w:bookmarkEnd w:id="39"/>
    </w:p>
    <w:p>
      <w:pPr>
        <w:pStyle w:val="Subsection"/>
        <w:spacing w:before="120"/>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spacing w:before="60"/>
        <w:rPr>
          <w:snapToGrid w:val="0"/>
        </w:rPr>
      </w:pPr>
      <w:r>
        <w:rPr>
          <w:snapToGrid w:val="0"/>
        </w:rPr>
        <w:tab/>
        <w:t>Penalty: $20 000.</w:t>
      </w:r>
    </w:p>
    <w:p>
      <w:pPr>
        <w:pStyle w:val="Subsection"/>
        <w:spacing w:before="120"/>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spacing w:before="120"/>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spacing w:before="120"/>
        <w:rPr>
          <w:snapToGrid w:val="0"/>
        </w:rPr>
      </w:pPr>
      <w:r>
        <w:rPr>
          <w:snapToGrid w:val="0"/>
        </w:rPr>
        <w:tab/>
        <w:t>(4)</w:t>
      </w:r>
      <w:r>
        <w:rPr>
          <w:snapToGrid w:val="0"/>
        </w:rPr>
        <w:tab/>
        <w:t>The owner of retirement village land shall cause a memorial referred to in subsection (3) to be lodged with the Registrar of Titles —</w:t>
      </w:r>
    </w:p>
    <w:p>
      <w:pPr>
        <w:pStyle w:val="Indenta"/>
        <w:spacing w:before="60"/>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spacing w:before="60"/>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spacing w:before="60"/>
        <w:rPr>
          <w:snapToGrid w:val="0"/>
        </w:rPr>
      </w:pPr>
      <w:r>
        <w:rPr>
          <w:snapToGrid w:val="0"/>
        </w:rPr>
        <w:tab/>
        <w:t>Penalty: $20 000.</w:t>
      </w:r>
    </w:p>
    <w:p>
      <w:pPr>
        <w:pStyle w:val="Subsection"/>
        <w:spacing w:before="130"/>
        <w:rPr>
          <w:snapToGrid w:val="0"/>
        </w:rPr>
      </w:pPr>
      <w:r>
        <w:rPr>
          <w:snapToGrid w:val="0"/>
        </w:rPr>
        <w:tab/>
        <w:t>(5)</w:t>
      </w:r>
      <w:r>
        <w:rPr>
          <w:snapToGrid w:val="0"/>
        </w:rPr>
        <w:tab/>
        <w:t>Before a memorial is lodged under subsection (3) the owner must —</w:t>
      </w:r>
    </w:p>
    <w:p>
      <w:pPr>
        <w:pStyle w:val="Indenta"/>
        <w:rPr>
          <w:snapToGrid w:val="0"/>
        </w:rPr>
      </w:pPr>
      <w:r>
        <w:rPr>
          <w:snapToGrid w:val="0"/>
        </w:rPr>
        <w:tab/>
        <w:t>(a)</w:t>
      </w:r>
      <w:r>
        <w:rPr>
          <w:snapToGrid w:val="0"/>
        </w:rPr>
        <w:tab/>
        <w:t>notify each person who holds a mortgage, charge or encumbrance over the land; and</w:t>
      </w:r>
    </w:p>
    <w:p>
      <w:pPr>
        <w:pStyle w:val="Indenta"/>
        <w:spacing w:before="60"/>
        <w:rPr>
          <w:snapToGrid w:val="0"/>
        </w:rPr>
      </w:pPr>
      <w:r>
        <w:rPr>
          <w:snapToGrid w:val="0"/>
        </w:rPr>
        <w:tab/>
        <w:t>(b)</w:t>
      </w:r>
      <w:r>
        <w:rPr>
          <w:snapToGrid w:val="0"/>
        </w:rPr>
        <w:tab/>
        <w:t xml:space="preserve">if the memorial relates to a retirement village established, or for which the plan and specifications </w:t>
      </w:r>
      <w:r>
        <w:rPr>
          <w:snapToGrid w:val="0"/>
        </w:rPr>
        <w:lastRenderedPageBreak/>
        <w:t xml:space="preserve">were approved under the </w:t>
      </w:r>
      <w:r>
        <w:rPr>
          <w:i/>
          <w:snapToGrid w:val="0"/>
        </w:rPr>
        <w:t>Local Government (Miscellaneous Provisions) Act 1960</w:t>
      </w:r>
      <w:r>
        <w:rPr>
          <w:snapToGrid w:val="0"/>
        </w:rPr>
        <w:t xml:space="preserve">, </w:t>
      </w:r>
      <w:r>
        <w:t xml:space="preserve">or for which a building permit was granted under the </w:t>
      </w:r>
      <w:r>
        <w:rPr>
          <w:i/>
          <w:iCs/>
        </w:rPr>
        <w:t>Building Act 2011</w:t>
      </w:r>
      <w:r>
        <w:t xml:space="preserve">, </w:t>
      </w:r>
      <w:r>
        <w:rPr>
          <w:snapToGrid w:val="0"/>
        </w:rPr>
        <w:t>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w:t>
      </w:r>
      <w:r>
        <w:t xml:space="preserve">the </w:t>
      </w:r>
      <w:r>
        <w:rPr>
          <w:i/>
        </w:rPr>
        <w:t>Community Titles Act 2018</w:t>
      </w:r>
      <w:r>
        <w:t xml:space="preserve"> or</w:t>
      </w:r>
      <w:r>
        <w:rPr>
          <w:snapToGrid w:val="0"/>
        </w:rPr>
        <w:t xml:space="preserve"> the </w:t>
      </w:r>
      <w:r>
        <w:rPr>
          <w:i/>
          <w:snapToGrid w:val="0"/>
        </w:rPr>
        <w:t>Strata Titles Act 1985</w:t>
      </w:r>
      <w:r>
        <w:rPr>
          <w:snapToGrid w:val="0"/>
        </w:rPr>
        <w:t xml:space="preserve"> is not required to lodge a memorial under subsection (3) so long as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plan, to that effect in relation to the land concerned.</w:t>
      </w:r>
    </w:p>
    <w:p>
      <w:pPr>
        <w:pStyle w:val="Footnotesection"/>
        <w:keepLines w:val="0"/>
      </w:pPr>
      <w:r>
        <w:tab/>
        <w:t>[Section 15 amended: No. 14 of 1996 s. 4; No. 81 of 1996 s. 153(1); No. 24 of 2011 s. 171; No. 32 of 2018 s. 239.]</w:t>
      </w:r>
    </w:p>
    <w:p>
      <w:pPr>
        <w:pStyle w:val="Heading5"/>
        <w:rPr>
          <w:snapToGrid w:val="0"/>
        </w:rPr>
      </w:pPr>
      <w:bookmarkStart w:id="40" w:name="_Toc131509267"/>
      <w:r>
        <w:rPr>
          <w:rStyle w:val="CharSectno"/>
        </w:rPr>
        <w:lastRenderedPageBreak/>
        <w:t>16</w:t>
      </w:r>
      <w:r>
        <w:rPr>
          <w:snapToGrid w:val="0"/>
        </w:rPr>
        <w:t>.</w:t>
      </w:r>
      <w:r>
        <w:rPr>
          <w:snapToGrid w:val="0"/>
        </w:rPr>
        <w:tab/>
        <w:t>Occupation right not to be created unless memorial is lodged</w:t>
      </w:r>
      <w:bookmarkEnd w:id="40"/>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41" w:name="_Toc131509268"/>
      <w:r>
        <w:rPr>
          <w:rStyle w:val="CharSectno"/>
        </w:rPr>
        <w:t>17</w:t>
      </w:r>
      <w:r>
        <w:rPr>
          <w:snapToGrid w:val="0"/>
        </w:rPr>
        <w:t>.</w:t>
      </w:r>
      <w:r>
        <w:rPr>
          <w:snapToGrid w:val="0"/>
        </w:rPr>
        <w:tab/>
        <w:t>Termination of residence rights</w:t>
      </w:r>
      <w:bookmarkEnd w:id="41"/>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pPr>
        <w:pStyle w:val="Indenta"/>
        <w:rPr>
          <w:snapToGrid w:val="0"/>
        </w:rPr>
      </w:pPr>
      <w:r>
        <w:rPr>
          <w:snapToGrid w:val="0"/>
        </w:rPr>
        <w:tab/>
        <w:t>(a)</w:t>
      </w:r>
      <w:r>
        <w:rPr>
          <w:snapToGrid w:val="0"/>
        </w:rPr>
        <w:tab/>
        <w:t>the resident dies; or</w:t>
      </w:r>
    </w:p>
    <w:p>
      <w:pPr>
        <w:pStyle w:val="Indenta"/>
        <w:rPr>
          <w:snapToGrid w:val="0"/>
        </w:rPr>
      </w:pPr>
      <w:r>
        <w:rPr>
          <w:snapToGrid w:val="0"/>
        </w:rPr>
        <w:tab/>
        <w:t>(b)</w:t>
      </w:r>
      <w:r>
        <w:rPr>
          <w:snapToGrid w:val="0"/>
        </w:rPr>
        <w:tab/>
        <w:t>the residence contract is terminated by the resident in accordance with the residence contract or under this Act; or</w:t>
      </w:r>
    </w:p>
    <w:p>
      <w:pPr>
        <w:pStyle w:val="Indenta"/>
        <w:rPr>
          <w:snapToGrid w:val="0"/>
        </w:rPr>
      </w:pPr>
      <w:r>
        <w:rPr>
          <w:snapToGrid w:val="0"/>
        </w:rPr>
        <w:tab/>
        <w:t>(c)</w:t>
      </w:r>
      <w:r>
        <w:rPr>
          <w:snapToGrid w:val="0"/>
        </w:rPr>
        <w:tab/>
        <w:t>the resident abandons the residential premises; or</w:t>
      </w:r>
    </w:p>
    <w:p>
      <w:pPr>
        <w:pStyle w:val="Indenta"/>
        <w:rPr>
          <w:snapToGrid w:val="0"/>
        </w:rPr>
      </w:pPr>
      <w:r>
        <w:rPr>
          <w:snapToGrid w:val="0"/>
        </w:rPr>
        <w:lastRenderedPageBreak/>
        <w:tab/>
        <w:t>(d)</w:t>
      </w:r>
      <w:r>
        <w:rPr>
          <w:snapToGrid w:val="0"/>
        </w:rPr>
        <w:tab/>
        <w:t>the residence contract is terminated by the State Administrative Tribunal under this Act; or</w:t>
      </w:r>
    </w:p>
    <w:p>
      <w:pPr>
        <w:pStyle w:val="Indenta"/>
        <w:spacing w:before="60"/>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pPr>
        <w:pStyle w:val="Indenta"/>
        <w:spacing w:before="60"/>
        <w:rPr>
          <w:snapToGrid w:val="0"/>
        </w:rPr>
      </w:pPr>
      <w:r>
        <w:rPr>
          <w:snapToGrid w:val="0"/>
        </w:rPr>
        <w:tab/>
        <w:t>(a)</w:t>
      </w:r>
      <w:r>
        <w:rPr>
          <w:snapToGrid w:val="0"/>
        </w:rPr>
        <w:tab/>
        <w:t>arising because the resident is the owner of residential premises; or</w:t>
      </w:r>
    </w:p>
    <w:p>
      <w:pPr>
        <w:pStyle w:val="Indenta"/>
        <w:spacing w:before="60"/>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pPr>
        <w:pStyle w:val="Footnotesection"/>
        <w:spacing w:before="100"/>
      </w:pPr>
      <w:r>
        <w:tab/>
        <w:t>[Section 17 amended: No. 55 of 2004 s. 1044.]</w:t>
      </w:r>
    </w:p>
    <w:p>
      <w:pPr>
        <w:pStyle w:val="Heading5"/>
        <w:rPr>
          <w:snapToGrid w:val="0"/>
        </w:rPr>
      </w:pPr>
      <w:bookmarkStart w:id="42" w:name="_Toc131509269"/>
      <w:r>
        <w:rPr>
          <w:rStyle w:val="CharSectno"/>
        </w:rPr>
        <w:t>18</w:t>
      </w:r>
      <w:r>
        <w:rPr>
          <w:snapToGrid w:val="0"/>
        </w:rPr>
        <w:t>.</w:t>
      </w:r>
      <w:r>
        <w:rPr>
          <w:snapToGrid w:val="0"/>
        </w:rPr>
        <w:tab/>
        <w:t>Premiums</w:t>
      </w:r>
      <w:bookmarkEnd w:id="42"/>
    </w:p>
    <w:p>
      <w:pPr>
        <w:pStyle w:val="Subsection"/>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w:t>
      </w:r>
    </w:p>
    <w:p>
      <w:pPr>
        <w:pStyle w:val="Indenta"/>
        <w:spacing w:before="100"/>
      </w:pPr>
      <w:r>
        <w:tab/>
        <w:t>(a)</w:t>
      </w:r>
      <w:r>
        <w:tab/>
        <w:t xml:space="preserve">the person by or on whose behalf the premium was paid — </w:t>
      </w:r>
    </w:p>
    <w:p>
      <w:pPr>
        <w:pStyle w:val="Indenti"/>
        <w:spacing w:before="100"/>
      </w:pPr>
      <w:r>
        <w:tab/>
        <w:t>(i)</w:t>
      </w:r>
      <w:r>
        <w:tab/>
        <w:t>enters into occupation of the residential premises; or</w:t>
      </w:r>
    </w:p>
    <w:p>
      <w:pPr>
        <w:pStyle w:val="Indenti"/>
        <w:spacing w:before="100"/>
      </w:pPr>
      <w:r>
        <w:tab/>
        <w:t>(ii)</w:t>
      </w:r>
      <w:r>
        <w:tab/>
        <w:t>is entitled to enter into occupation of the residential premises and is no longer entitled to rescind the residence contract under section 14 because the applicable period referred to in that section has expired,</w:t>
      </w:r>
    </w:p>
    <w:p>
      <w:pPr>
        <w:pStyle w:val="Indenta"/>
      </w:pPr>
      <w:r>
        <w:lastRenderedPageBreak/>
        <w:tab/>
      </w:r>
      <w:r>
        <w:tab/>
        <w:t>whichever occurs first; or</w:t>
      </w:r>
    </w:p>
    <w:p>
      <w:pPr>
        <w:pStyle w:val="Indenta"/>
        <w:spacing w:before="60"/>
        <w:rPr>
          <w:snapToGrid w:val="0"/>
        </w:rPr>
      </w:pPr>
      <w:r>
        <w:rPr>
          <w:snapToGrid w:val="0"/>
        </w:rPr>
        <w:tab/>
        <w:t>(b)</w:t>
      </w:r>
      <w:r>
        <w:rPr>
          <w:snapToGrid w:val="0"/>
        </w:rPr>
        <w:tab/>
        <w:t>it becomes apparent that that person will not enter into occupation of the residential premises.</w:t>
      </w:r>
    </w:p>
    <w:p>
      <w:pPr>
        <w:pStyle w:val="Subsection"/>
      </w:pPr>
      <w:r>
        <w:tab/>
        <w:t>(2A)</w:t>
      </w:r>
      <w:r>
        <w:tab/>
        <w:t xml:space="preserve">If — </w:t>
      </w:r>
    </w:p>
    <w:p>
      <w:pPr>
        <w:pStyle w:val="Indenta"/>
      </w:pPr>
      <w:r>
        <w:tab/>
        <w:t>(a)</w:t>
      </w:r>
      <w:r>
        <w:tab/>
        <w:t>a premium is paid to an administering body and subsection (2) does not apply; and</w:t>
      </w:r>
    </w:p>
    <w:p>
      <w:pPr>
        <w:pStyle w:val="Indenta"/>
      </w:pPr>
      <w:r>
        <w:tab/>
        <w:t>(b)</w:t>
      </w:r>
      <w:r>
        <w:tab/>
        <w:t>the premium is not held in trust or invested as required by subsection (1),</w:t>
      </w:r>
    </w:p>
    <w:p>
      <w:pPr>
        <w:pStyle w:val="Subsection"/>
      </w:pPr>
      <w:r>
        <w:tab/>
      </w:r>
      <w:r>
        <w:tab/>
        <w:t>the administering body is guilty of an offence.</w:t>
      </w:r>
    </w:p>
    <w:p>
      <w:pPr>
        <w:pStyle w:val="Penstart"/>
      </w:pPr>
      <w:r>
        <w:tab/>
        <w:t>Penalty: a fine of $20 000</w:t>
      </w:r>
    </w:p>
    <w:p>
      <w:pPr>
        <w:pStyle w:val="Subsection"/>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spacing w:before="60"/>
        <w:rPr>
          <w:snapToGrid w:val="0"/>
        </w:rPr>
      </w:pPr>
      <w:r>
        <w:rPr>
          <w:snapToGrid w:val="0"/>
        </w:rPr>
        <w:tab/>
        <w:t xml:space="preserve">Penalty: </w:t>
      </w:r>
      <w:r>
        <w:t>a fine of</w:t>
      </w:r>
      <w:r>
        <w:rPr>
          <w:snapToGrid w:val="0"/>
        </w:rPr>
        <w:t xml:space="preserve"> $5 000.</w:t>
      </w:r>
    </w:p>
    <w:p>
      <w:pPr>
        <w:pStyle w:val="Subsection"/>
        <w:spacing w:before="140"/>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w:t>
      </w:r>
    </w:p>
    <w:p>
      <w:pPr>
        <w:pStyle w:val="Indenta"/>
        <w:spacing w:before="60"/>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spacing w:before="60"/>
        <w:rPr>
          <w:snapToGrid w:val="0"/>
        </w:rPr>
      </w:pPr>
      <w:r>
        <w:rPr>
          <w:snapToGrid w:val="0"/>
        </w:rPr>
        <w:tab/>
        <w:t>(b)</w:t>
      </w:r>
      <w:r>
        <w:rPr>
          <w:snapToGrid w:val="0"/>
        </w:rPr>
        <w:tab/>
        <w:t>in any other case, the administering body will be entitled to retain any such interest and accretions.</w:t>
      </w:r>
    </w:p>
    <w:p>
      <w:pPr>
        <w:pStyle w:val="Subsection"/>
        <w:keepNext/>
      </w:pPr>
      <w:r>
        <w:lastRenderedPageBreak/>
        <w:tab/>
        <w:t>(5)</w:t>
      </w:r>
      <w:r>
        <w:tab/>
        <w:t xml:space="preserve">If — </w:t>
      </w:r>
    </w:p>
    <w:p>
      <w:pPr>
        <w:pStyle w:val="Indenta"/>
      </w:pPr>
      <w:r>
        <w:tab/>
        <w:t>(a)</w:t>
      </w:r>
      <w:r>
        <w:tab/>
        <w:t>a question affecting entitlement to or disposition of the premium is required by subsection (4) to be determined by reference to the residence contract and the administering body fails to act in accordance with that requirement; or</w:t>
      </w:r>
    </w:p>
    <w:p>
      <w:pPr>
        <w:pStyle w:val="Indenta"/>
      </w:pPr>
      <w:r>
        <w:tab/>
        <w:t>(b)</w:t>
      </w:r>
      <w:r>
        <w:tab/>
        <w:t>interest and accretions arising from investment of the premium are required by subsection (4)(a) to be paid to the prospective resident and that interest and those accretions are not paid accordingly,</w:t>
      </w:r>
    </w:p>
    <w:p>
      <w:pPr>
        <w:pStyle w:val="Subsection"/>
      </w:pPr>
      <w:r>
        <w:tab/>
      </w:r>
      <w:r>
        <w:tab/>
        <w:t>the administering body is guilty of an offence.</w:t>
      </w:r>
    </w:p>
    <w:p>
      <w:pPr>
        <w:pStyle w:val="Penstart"/>
      </w:pPr>
      <w:r>
        <w:tab/>
        <w:t>Penalty: a fine of $20 000.</w:t>
      </w:r>
    </w:p>
    <w:p>
      <w:pPr>
        <w:pStyle w:val="Footnotesection"/>
        <w:spacing w:before="80"/>
      </w:pPr>
      <w:r>
        <w:tab/>
        <w:t>[Section 18 amended: No. 1 of 1997 s. 18; No. 36 of 2012 s. 10.]</w:t>
      </w:r>
    </w:p>
    <w:p>
      <w:pPr>
        <w:pStyle w:val="Heading5"/>
        <w:spacing w:before="200"/>
        <w:rPr>
          <w:snapToGrid w:val="0"/>
        </w:rPr>
      </w:pPr>
      <w:bookmarkStart w:id="43" w:name="_Toc131509270"/>
      <w:r>
        <w:rPr>
          <w:rStyle w:val="CharSectno"/>
        </w:rPr>
        <w:t>19</w:t>
      </w:r>
      <w:r>
        <w:rPr>
          <w:snapToGrid w:val="0"/>
        </w:rPr>
        <w:t>.</w:t>
      </w:r>
      <w:r>
        <w:rPr>
          <w:snapToGrid w:val="0"/>
        </w:rPr>
        <w:tab/>
        <w:t>Contractual rights of residents</w:t>
      </w:r>
      <w:bookmarkEnd w:id="43"/>
    </w:p>
    <w:p>
      <w:pPr>
        <w:pStyle w:val="Subsection"/>
        <w:spacing w:before="13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3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3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w:t>
      </w:r>
    </w:p>
    <w:p>
      <w:pPr>
        <w:pStyle w:val="Indenta"/>
        <w:spacing w:before="60"/>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lastRenderedPageBreak/>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w:t>
      </w:r>
    </w:p>
    <w:p>
      <w:pPr>
        <w:pStyle w:val="Indenta"/>
        <w:spacing w:before="60"/>
        <w:rPr>
          <w:snapToGrid w:val="0"/>
        </w:rPr>
      </w:pPr>
      <w:r>
        <w:rPr>
          <w:snapToGrid w:val="0"/>
        </w:rPr>
        <w:tab/>
        <w:t>(a)</w:t>
      </w:r>
      <w:r>
        <w:rPr>
          <w:snapToGrid w:val="0"/>
        </w:rPr>
        <w:tab/>
        <w:t>the residence contract has been terminated in accordance with the terms of the residence contract; and</w:t>
      </w:r>
    </w:p>
    <w:p>
      <w:pPr>
        <w:pStyle w:val="Indenta"/>
        <w:spacing w:before="60"/>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w:t>
      </w:r>
    </w:p>
    <w:p>
      <w:pPr>
        <w:pStyle w:val="Indenta"/>
        <w:spacing w:before="60"/>
        <w:rPr>
          <w:snapToGrid w:val="0"/>
        </w:rPr>
      </w:pPr>
      <w:r>
        <w:rPr>
          <w:snapToGrid w:val="0"/>
        </w:rPr>
        <w:tab/>
        <w:t>(a)</w:t>
      </w:r>
      <w:r>
        <w:rPr>
          <w:snapToGrid w:val="0"/>
        </w:rPr>
        <w:tab/>
        <w:t>the owner is a party to the contract under which the premium is repayable; or</w:t>
      </w:r>
    </w:p>
    <w:p>
      <w:pPr>
        <w:pStyle w:val="Indenta"/>
        <w:spacing w:before="60"/>
        <w:rPr>
          <w:snapToGrid w:val="0"/>
        </w:rPr>
      </w:pPr>
      <w:r>
        <w:rPr>
          <w:snapToGrid w:val="0"/>
        </w:rPr>
        <w:tab/>
        <w:t>(b)</w:t>
      </w:r>
      <w:r>
        <w:rPr>
          <w:snapToGrid w:val="0"/>
        </w:rPr>
        <w:tab/>
        <w:t>the owner is the sole administering body of the retirement village; or</w:t>
      </w:r>
    </w:p>
    <w:p>
      <w:pPr>
        <w:pStyle w:val="Indenta"/>
        <w:spacing w:before="60"/>
        <w:rPr>
          <w:snapToGrid w:val="0"/>
        </w:rPr>
      </w:pPr>
      <w:r>
        <w:rPr>
          <w:snapToGrid w:val="0"/>
          <w:spacing w:val="-6"/>
        </w:rPr>
        <w:tab/>
        <w:t>(c)</w:t>
      </w:r>
      <w:r>
        <w:rPr>
          <w:snapToGrid w:val="0"/>
          <w:spacing w:val="-6"/>
        </w:rPr>
        <w:tab/>
      </w:r>
      <w:r>
        <w:rPr>
          <w:snapToGrid w:val="0"/>
        </w:rPr>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w:t>
      </w:r>
      <w:r>
        <w:rPr>
          <w:b/>
          <w:i/>
          <w:snapToGrid w:val="0"/>
        </w:rPr>
        <w:t>service contract</w:t>
      </w:r>
      <w:r>
        <w:rPr>
          <w:snapToGrid w:val="0"/>
        </w:rPr>
        <w:t xml:space="preserve"> in section 3.</w:t>
      </w:r>
    </w:p>
    <w:p>
      <w:pPr>
        <w:pStyle w:val="Footnotesection"/>
        <w:spacing w:before="100"/>
      </w:pPr>
      <w:r>
        <w:tab/>
        <w:t>[Section 19 amended: No. 55 of 2004 s. 1044.]</w:t>
      </w:r>
    </w:p>
    <w:p>
      <w:pPr>
        <w:pStyle w:val="Heading5"/>
        <w:rPr>
          <w:snapToGrid w:val="0"/>
        </w:rPr>
      </w:pPr>
      <w:bookmarkStart w:id="44" w:name="_Toc131509271"/>
      <w:r>
        <w:rPr>
          <w:rStyle w:val="CharSectno"/>
        </w:rPr>
        <w:t>20</w:t>
      </w:r>
      <w:r>
        <w:rPr>
          <w:snapToGrid w:val="0"/>
        </w:rPr>
        <w:t>.</w:t>
      </w:r>
      <w:r>
        <w:rPr>
          <w:snapToGrid w:val="0"/>
        </w:rPr>
        <w:tab/>
        <w:t>Charges</w:t>
      </w:r>
      <w:bookmarkEnd w:id="44"/>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pPr>
        <w:pStyle w:val="Indenta"/>
        <w:spacing w:before="60"/>
        <w:rPr>
          <w:snapToGrid w:val="0"/>
        </w:rPr>
      </w:pPr>
      <w:r>
        <w:rPr>
          <w:snapToGrid w:val="0"/>
        </w:rPr>
        <w:tab/>
        <w:t>(a)</w:t>
      </w:r>
      <w:r>
        <w:rPr>
          <w:snapToGrid w:val="0"/>
        </w:rPr>
        <w:tab/>
        <w:t>residential premises owned by a resident; or</w:t>
      </w:r>
    </w:p>
    <w:p>
      <w:pPr>
        <w:pStyle w:val="Indenta"/>
        <w:spacing w:before="60"/>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lastRenderedPageBreak/>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45" w:name="_Toc131509272"/>
      <w:r>
        <w:rPr>
          <w:rStyle w:val="CharSectno"/>
        </w:rPr>
        <w:t>21</w:t>
      </w:r>
      <w:r>
        <w:rPr>
          <w:snapToGrid w:val="0"/>
        </w:rPr>
        <w:t>.</w:t>
      </w:r>
      <w:r>
        <w:rPr>
          <w:snapToGrid w:val="0"/>
        </w:rPr>
        <w:tab/>
        <w:t>Enforcement of charge</w:t>
      </w:r>
      <w:bookmarkEnd w:id="45"/>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lastRenderedPageBreak/>
        <w:tab/>
        <w:t>(2)</w:t>
      </w:r>
      <w:r>
        <w:rPr>
          <w:snapToGrid w:val="0"/>
        </w:rPr>
        <w:tab/>
        <w:t>On application by a resident in accordance with subsection (1) the Supreme Court may make an order for enforcement of the charge if it is satisfied that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lastRenderedPageBreak/>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46" w:name="_Toc131509273"/>
      <w:r>
        <w:rPr>
          <w:rStyle w:val="CharSectno"/>
        </w:rPr>
        <w:t>22</w:t>
      </w:r>
      <w:r>
        <w:rPr>
          <w:snapToGrid w:val="0"/>
        </w:rPr>
        <w:t>.</w:t>
      </w:r>
      <w:r>
        <w:rPr>
          <w:snapToGrid w:val="0"/>
        </w:rPr>
        <w:tab/>
        <w:t>Termination of retirement village scheme</w:t>
      </w:r>
      <w:bookmarkEnd w:id="46"/>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5"/>
      </w:pPr>
      <w:bookmarkStart w:id="47" w:name="_Toc131509274"/>
      <w:r>
        <w:rPr>
          <w:rStyle w:val="CharSectno"/>
        </w:rPr>
        <w:t>23</w:t>
      </w:r>
      <w:r>
        <w:t>.</w:t>
      </w:r>
      <w:r>
        <w:tab/>
        <w:t>Recurrent charges payable by former residents</w:t>
      </w:r>
      <w:bookmarkEnd w:id="47"/>
    </w:p>
    <w:p>
      <w:pPr>
        <w:pStyle w:val="Subsection"/>
      </w:pPr>
      <w:r>
        <w:tab/>
        <w:t>(1)</w:t>
      </w:r>
      <w:r>
        <w:tab/>
        <w:t xml:space="preserve">In this section — </w:t>
      </w:r>
    </w:p>
    <w:p>
      <w:pPr>
        <w:pStyle w:val="Defstart"/>
      </w:pPr>
      <w:r>
        <w:tab/>
      </w:r>
      <w:r>
        <w:rPr>
          <w:rStyle w:val="CharDefText"/>
        </w:rPr>
        <w:t>former resident</w:t>
      </w:r>
      <w:r>
        <w:t xml:space="preserve"> means a former resident of a retirement village who has permanently vacated residential premises in the retirement village and who does not have an interest in the retirement village as a tenant in common or as an owner of a lot under the </w:t>
      </w:r>
      <w:r>
        <w:rPr>
          <w:i/>
        </w:rPr>
        <w:t>Community Titles Act 2018</w:t>
      </w:r>
      <w:r>
        <w:t xml:space="preserve"> or the </w:t>
      </w:r>
      <w:r>
        <w:rPr>
          <w:i/>
        </w:rPr>
        <w:t>Strata Titles Act 1985</w:t>
      </w:r>
      <w:r>
        <w:t xml:space="preserve"> in relation to the residential premises in the retirement village that he or she formerly occupied;</w:t>
      </w:r>
    </w:p>
    <w:p>
      <w:pPr>
        <w:pStyle w:val="Defstart"/>
      </w:pPr>
      <w:r>
        <w:tab/>
      </w:r>
      <w:r>
        <w:rPr>
          <w:b/>
          <w:i/>
        </w:rPr>
        <w:t>permanently vacated</w:t>
      </w:r>
      <w:r>
        <w:t xml:space="preserve">, in relation to a former resident and residential premises in a retirement village, means that — </w:t>
      </w:r>
    </w:p>
    <w:p>
      <w:pPr>
        <w:pStyle w:val="Indenta"/>
      </w:pPr>
      <w:r>
        <w:tab/>
        <w:t>(a)</w:t>
      </w:r>
      <w:r>
        <w:tab/>
        <w:t xml:space="preserve">if required by the residence contract — the administering body has been given notice of the former </w:t>
      </w:r>
      <w:r>
        <w:lastRenderedPageBreak/>
        <w:t>resident’s intention to vacate the residential premises; and</w:t>
      </w:r>
    </w:p>
    <w:p>
      <w:pPr>
        <w:pStyle w:val="Indenta"/>
      </w:pPr>
      <w:r>
        <w:tab/>
        <w:t>(b)</w:t>
      </w:r>
      <w:r>
        <w:tab/>
        <w:t>the goods and belongings of the former resident have been removed from the residential premises; and</w:t>
      </w:r>
    </w:p>
    <w:p>
      <w:pPr>
        <w:pStyle w:val="Indenta"/>
      </w:pPr>
      <w:r>
        <w:tab/>
        <w:t>(c)</w:t>
      </w:r>
      <w:r>
        <w:tab/>
        <w:t>the former resident has ceased to reside in the residential premises; and</w:t>
      </w:r>
    </w:p>
    <w:p>
      <w:pPr>
        <w:pStyle w:val="Indenta"/>
      </w:pPr>
      <w:r>
        <w:tab/>
        <w:t>(d)</w:t>
      </w:r>
      <w:r>
        <w:tab/>
        <w:t>the right to exclusively occupy the residential premises has been given up by the former resident (or, if the former resident is deceased, by the estate of the former resident) by returning the keys to the residential premises to the administering body;</w:t>
      </w:r>
    </w:p>
    <w:p>
      <w:pPr>
        <w:pStyle w:val="Defstart"/>
      </w:pPr>
      <w:r>
        <w:tab/>
      </w:r>
      <w:r>
        <w:rPr>
          <w:rStyle w:val="CharDefText"/>
        </w:rPr>
        <w:t>recurrent charges</w:t>
      </w:r>
      <w:r>
        <w:t xml:space="preserve">, except in subsection (6), means recurrent charges — </w:t>
      </w:r>
    </w:p>
    <w:p>
      <w:pPr>
        <w:pStyle w:val="Indenta"/>
      </w:pPr>
      <w:r>
        <w:tab/>
        <w:t>(a)</w:t>
      </w:r>
      <w:r>
        <w:tab/>
        <w:t>that are payable in respect of the residential premises in a retirement village that a former resident formerly occupied; and</w:t>
      </w:r>
    </w:p>
    <w:p>
      <w:pPr>
        <w:pStyle w:val="Indenta"/>
      </w:pPr>
      <w:r>
        <w:tab/>
        <w:t>(b)</w:t>
      </w:r>
      <w:r>
        <w:tab/>
        <w:t xml:space="preserve">that arise — </w:t>
      </w:r>
    </w:p>
    <w:p>
      <w:pPr>
        <w:pStyle w:val="Indenti"/>
      </w:pPr>
      <w:r>
        <w:tab/>
        <w:t>(i)</w:t>
      </w:r>
      <w:r>
        <w:tab/>
        <w:t>after those premises have been permanently vacated by the former resident; and</w:t>
      </w:r>
    </w:p>
    <w:p>
      <w:pPr>
        <w:pStyle w:val="Indenti"/>
      </w:pPr>
      <w:r>
        <w:tab/>
        <w:t>(ii)</w:t>
      </w:r>
      <w:r>
        <w:tab/>
        <w:t xml:space="preserve">on or after the commencement of the </w:t>
      </w:r>
      <w:r>
        <w:rPr>
          <w:i/>
          <w:iCs/>
        </w:rPr>
        <w:t xml:space="preserve">Retirement Villages Amendment Act 2012 </w:t>
      </w:r>
      <w:r>
        <w:t>section 11.</w:t>
      </w:r>
    </w:p>
    <w:p>
      <w:pPr>
        <w:pStyle w:val="Subsection"/>
      </w:pPr>
      <w:r>
        <w:tab/>
        <w:t>(2)</w:t>
      </w:r>
      <w:r>
        <w:tab/>
        <w:t xml:space="preserve">This section applies to a former resident of residential premises in a retirement village, whether that former resident permanently vacated those premises before or after the commencement of the </w:t>
      </w:r>
      <w:r>
        <w:rPr>
          <w:i/>
        </w:rPr>
        <w:t>Retirement Villages Amendment Act 2012</w:t>
      </w:r>
      <w:r>
        <w:t xml:space="preserve"> section 11.</w:t>
      </w:r>
    </w:p>
    <w:p>
      <w:pPr>
        <w:pStyle w:val="Subsection"/>
      </w:pPr>
      <w:r>
        <w:tab/>
        <w:t>(3)</w:t>
      </w:r>
      <w:r>
        <w:tab/>
        <w:t xml:space="preserve">Subject to subsection (4), a former resident’s liability to pay recurrent charges — </w:t>
      </w:r>
    </w:p>
    <w:p>
      <w:pPr>
        <w:pStyle w:val="Indenta"/>
      </w:pPr>
      <w:r>
        <w:tab/>
        <w:t>(a)</w:t>
      </w:r>
      <w:r>
        <w:tab/>
        <w:t>begins when the residential premises have been permanently vacated by the former resident; and</w:t>
      </w:r>
    </w:p>
    <w:p>
      <w:pPr>
        <w:pStyle w:val="Indenta"/>
      </w:pPr>
      <w:r>
        <w:tab/>
        <w:t>(b)</w:t>
      </w:r>
      <w:r>
        <w:tab/>
        <w:t>ceases in accordance with the regulations.</w:t>
      </w:r>
    </w:p>
    <w:p>
      <w:pPr>
        <w:pStyle w:val="Subsection"/>
      </w:pPr>
      <w:r>
        <w:tab/>
        <w:t>(4)</w:t>
      </w:r>
      <w:r>
        <w:tab/>
        <w:t xml:space="preserve">If a former resident’s residence contract provides for the former resident’s liability to pay recurrent charges to cease at a time that would occur before the time provided for in regulations </w:t>
      </w:r>
      <w:r>
        <w:lastRenderedPageBreak/>
        <w:t>made for the purposes of subsection (3)(b), that liability ceases in accordance with that contract.</w:t>
      </w:r>
    </w:p>
    <w:p>
      <w:pPr>
        <w:pStyle w:val="Subsection"/>
      </w:pPr>
      <w:r>
        <w:tab/>
        <w:t>(5)</w:t>
      </w:r>
      <w:r>
        <w:tab/>
        <w:t xml:space="preserve">The administering body of a retirement village must pay recurrent charges, at the time when a former resident would have been required to pay those charges if the former resident were still liable to pay them, that are payable in respect of the period that — </w:t>
      </w:r>
    </w:p>
    <w:p>
      <w:pPr>
        <w:pStyle w:val="Defpara"/>
      </w:pPr>
      <w:r>
        <w:tab/>
        <w:t>(a)</w:t>
      </w:r>
      <w:r>
        <w:tab/>
        <w:t>begins when the former resident’s liability to pay the recurrent charges ceases in accordance with regulations made for the purposes of subsection (3) or with the residence contract referred to in subsection (4), as the case requires; and</w:t>
      </w:r>
    </w:p>
    <w:p>
      <w:pPr>
        <w:pStyle w:val="Defpara"/>
      </w:pPr>
      <w:r>
        <w:tab/>
        <w:t>(b)</w:t>
      </w:r>
      <w:r>
        <w:tab/>
        <w:t>ceases when a new resident of the residential premises becomes liable to pay the recurrent charges.</w:t>
      </w:r>
    </w:p>
    <w:p>
      <w:pPr>
        <w:pStyle w:val="Subsection"/>
      </w:pPr>
      <w:r>
        <w:tab/>
        <w:t>(6)</w:t>
      </w:r>
      <w:r>
        <w:tab/>
        <w:t>The administering body must not seek to recover from the residents of the retirement village, by increasing the recurrent charges payable by them or by demanding or receiving from them any additional fee or charge, any amount payable by the administering body under subsection (5).</w:t>
      </w:r>
    </w:p>
    <w:p>
      <w:pPr>
        <w:pStyle w:val="Penstart"/>
      </w:pPr>
      <w:r>
        <w:tab/>
        <w:t>Penalty: a fine of $20 000.</w:t>
      </w:r>
    </w:p>
    <w:p>
      <w:pPr>
        <w:pStyle w:val="Subsection"/>
      </w:pPr>
      <w:r>
        <w:tab/>
        <w:t>(7)</w:t>
      </w:r>
      <w:r>
        <w:tab/>
        <w:t>Section 6(2) does not have effect in relation to this section.</w:t>
      </w:r>
    </w:p>
    <w:p>
      <w:pPr>
        <w:pStyle w:val="Footnotesection"/>
      </w:pPr>
      <w:r>
        <w:tab/>
        <w:t>[Section 23 inserted: No. 36 of 2012 s. 11; amended: No. 32 of 2018 s. 240.]</w:t>
      </w:r>
    </w:p>
    <w:p>
      <w:pPr>
        <w:pStyle w:val="Heading5"/>
      </w:pPr>
      <w:bookmarkStart w:id="48" w:name="_Toc131509275"/>
      <w:r>
        <w:rPr>
          <w:rStyle w:val="CharSectno"/>
        </w:rPr>
        <w:t>24</w:t>
      </w:r>
      <w:r>
        <w:t>.</w:t>
      </w:r>
      <w:r>
        <w:tab/>
        <w:t>Recurrent charges may be deducted from premium repayable to former resident</w:t>
      </w:r>
      <w:bookmarkEnd w:id="48"/>
    </w:p>
    <w:p>
      <w:pPr>
        <w:pStyle w:val="Subsection"/>
      </w:pPr>
      <w:r>
        <w:tab/>
        <w:t>(1)</w:t>
      </w:r>
      <w:r>
        <w:tab/>
        <w:t xml:space="preserve">In this section — </w:t>
      </w:r>
    </w:p>
    <w:p>
      <w:pPr>
        <w:pStyle w:val="Defstart"/>
      </w:pPr>
      <w:r>
        <w:tab/>
      </w:r>
      <w:r>
        <w:rPr>
          <w:rStyle w:val="CharDefText"/>
        </w:rPr>
        <w:t>former resident</w:t>
      </w:r>
      <w:r>
        <w:t xml:space="preserve"> has the meaning given in section 23(1);</w:t>
      </w:r>
    </w:p>
    <w:p>
      <w:pPr>
        <w:pStyle w:val="Defstart"/>
        <w:keepNext/>
      </w:pPr>
      <w:r>
        <w:tab/>
      </w:r>
      <w:r>
        <w:rPr>
          <w:rStyle w:val="CharDefText"/>
        </w:rPr>
        <w:t>recurrent charges</w:t>
      </w:r>
      <w:r>
        <w:t xml:space="preserve"> means recurrent charges — </w:t>
      </w:r>
    </w:p>
    <w:p>
      <w:pPr>
        <w:pStyle w:val="Defpara"/>
      </w:pPr>
      <w:r>
        <w:tab/>
        <w:t>(a)</w:t>
      </w:r>
      <w:r>
        <w:tab/>
        <w:t>that are payable in respect of the residential premises in a retirement village that a former resident formerly occupied; and</w:t>
      </w:r>
    </w:p>
    <w:p>
      <w:pPr>
        <w:pStyle w:val="Defpara"/>
        <w:keepNext/>
      </w:pPr>
      <w:r>
        <w:lastRenderedPageBreak/>
        <w:tab/>
        <w:t>(b)</w:t>
      </w:r>
      <w:r>
        <w:tab/>
        <w:t xml:space="preserve">that arise — </w:t>
      </w:r>
    </w:p>
    <w:p>
      <w:pPr>
        <w:pStyle w:val="Defsubpara"/>
      </w:pPr>
      <w:r>
        <w:tab/>
        <w:t>(i)</w:t>
      </w:r>
      <w:r>
        <w:tab/>
        <w:t>after those premises have been permanently vacated by the former resident; and</w:t>
      </w:r>
    </w:p>
    <w:p>
      <w:pPr>
        <w:pStyle w:val="Defsubpara"/>
      </w:pPr>
      <w:r>
        <w:tab/>
        <w:t>(ii)</w:t>
      </w:r>
      <w:r>
        <w:tab/>
        <w:t xml:space="preserve">on or after the commencement of the </w:t>
      </w:r>
      <w:r>
        <w:rPr>
          <w:i/>
        </w:rPr>
        <w:t>Retirement Villages Amendment Act 2012</w:t>
      </w:r>
      <w:r>
        <w:t xml:space="preserve"> section 11.</w:t>
      </w:r>
    </w:p>
    <w:p>
      <w:pPr>
        <w:pStyle w:val="Subsection"/>
      </w:pPr>
      <w:r>
        <w:tab/>
        <w:t>(2)</w:t>
      </w:r>
      <w:r>
        <w:tab/>
        <w:t>If a premium is repayable in whole or in part to a former resident, the former resident may elect, by notice in writing given to the administering body of the retirement village, to pay any recurrent charges for which he or she is liable (including any interest payable in respect of those charges under subsection (4)) by their deduction from the amount of premium repayable.</w:t>
      </w:r>
    </w:p>
    <w:p>
      <w:pPr>
        <w:pStyle w:val="Subsection"/>
      </w:pPr>
      <w:r>
        <w:tab/>
        <w:t>(3)</w:t>
      </w:r>
      <w:r>
        <w:tab/>
        <w:t>A former resident who elects to pay recurrent charges under subsection (2) may give the notice to the administering body at any time after the former resident has permanently vacated the residential premises that he or she formerly occupied.</w:t>
      </w:r>
    </w:p>
    <w:p>
      <w:pPr>
        <w:pStyle w:val="Subsection"/>
      </w:pPr>
      <w:r>
        <w:tab/>
        <w:t>(4)</w:t>
      </w:r>
      <w:r>
        <w:tab/>
        <w:t>Subject to subsection (6) and to any regulations made for the purposes of this subsection, a former resident who elects to pay recurrent charges under subsection (2) is liable to pay interest to the administering body in respect of those charges if the effect of that election is to defer the payment of the charges.</w:t>
      </w:r>
    </w:p>
    <w:p>
      <w:pPr>
        <w:pStyle w:val="Subsection"/>
      </w:pPr>
      <w:r>
        <w:tab/>
        <w:t>(5)</w:t>
      </w:r>
      <w:r>
        <w:tab/>
        <w:t xml:space="preserve">Interest is payable — </w:t>
      </w:r>
    </w:p>
    <w:p>
      <w:pPr>
        <w:pStyle w:val="Indenta"/>
      </w:pPr>
      <w:r>
        <w:tab/>
        <w:t>(a)</w:t>
      </w:r>
      <w:r>
        <w:tab/>
        <w:t>from the time the recurrent charges would, apart from subsection (2), be payable by the former resident until their deduction from the premium repayable to the former resident; and</w:t>
      </w:r>
    </w:p>
    <w:p>
      <w:pPr>
        <w:pStyle w:val="Indenta"/>
        <w:keepNext/>
      </w:pPr>
      <w:r>
        <w:tab/>
        <w:t>(b)</w:t>
      </w:r>
      <w:r>
        <w:tab/>
        <w:t>at the rate determined in the prescribed manner.</w:t>
      </w:r>
    </w:p>
    <w:p>
      <w:pPr>
        <w:pStyle w:val="Subsection"/>
        <w:keepNext/>
      </w:pPr>
      <w:r>
        <w:tab/>
        <w:t>(6)</w:t>
      </w:r>
      <w:r>
        <w:tab/>
        <w:t xml:space="preserve">If — </w:t>
      </w:r>
    </w:p>
    <w:p>
      <w:pPr>
        <w:pStyle w:val="Indenta"/>
      </w:pPr>
      <w:r>
        <w:tab/>
        <w:t>(a)</w:t>
      </w:r>
      <w:r>
        <w:tab/>
        <w:t>the administering body and the former resident agree to a rate of interest that is lower than the rate referred to in subsection (5)(b); or</w:t>
      </w:r>
    </w:p>
    <w:p>
      <w:pPr>
        <w:pStyle w:val="Indenta"/>
      </w:pPr>
      <w:r>
        <w:lastRenderedPageBreak/>
        <w:tab/>
        <w:t>(b)</w:t>
      </w:r>
      <w:r>
        <w:tab/>
        <w:t>the former resident’s residence contract specifies a rate of interest for the purposes of this section that is lower than the rate referred to in subsection (5)(b),</w:t>
      </w:r>
    </w:p>
    <w:p>
      <w:pPr>
        <w:pStyle w:val="Subsection"/>
      </w:pPr>
      <w:r>
        <w:tab/>
      </w:r>
      <w:r>
        <w:tab/>
        <w:t>interest is payable by the former resident at that lower rate.</w:t>
      </w:r>
    </w:p>
    <w:p>
      <w:pPr>
        <w:pStyle w:val="Subsection"/>
      </w:pPr>
      <w:r>
        <w:tab/>
        <w:t>(7)</w:t>
      </w:r>
      <w:r>
        <w:tab/>
        <w:t xml:space="preserve">If the effect of the election under subsection (2) is to defer the payment by a former resident of any recurrent charges, the administering body — </w:t>
      </w:r>
    </w:p>
    <w:p>
      <w:pPr>
        <w:pStyle w:val="Indenta"/>
      </w:pPr>
      <w:r>
        <w:tab/>
        <w:t>(a)</w:t>
      </w:r>
      <w:r>
        <w:tab/>
        <w:t>must pay the recurrent charges at the time when the former resident would have been required to pay those charges apart from subsection (2); and</w:t>
      </w:r>
    </w:p>
    <w:p>
      <w:pPr>
        <w:pStyle w:val="Indenta"/>
      </w:pPr>
      <w:r>
        <w:tab/>
        <w:t>(b)</w:t>
      </w:r>
      <w:r>
        <w:tab/>
        <w:t>may deduct the amount paid from the premium that is repayable to the former resident.</w:t>
      </w:r>
    </w:p>
    <w:p>
      <w:pPr>
        <w:pStyle w:val="Subsection"/>
        <w:spacing w:before="120"/>
      </w:pPr>
      <w:r>
        <w:tab/>
        <w:t>(8)</w:t>
      </w:r>
      <w:r>
        <w:tab/>
        <w:t>A former resident is to be taken to have paid any recurrent charges in respect of which a deduction is made from the premium that is repayable to the former resident.</w:t>
      </w:r>
    </w:p>
    <w:p>
      <w:pPr>
        <w:pStyle w:val="Subsection"/>
        <w:spacing w:before="120"/>
      </w:pPr>
      <w:r>
        <w:tab/>
        <w:t>(9)</w:t>
      </w:r>
      <w:r>
        <w:tab/>
        <w:t>If a former resident elects to pay any recurrent charges under subsection (2), the administering body must not demand or receive payment of those charges otherwise than in accordance with that election.</w:t>
      </w:r>
    </w:p>
    <w:p>
      <w:pPr>
        <w:pStyle w:val="Penstart"/>
        <w:spacing w:before="120"/>
      </w:pPr>
      <w:r>
        <w:tab/>
        <w:t>Penalty: a fine of $20 000.</w:t>
      </w:r>
    </w:p>
    <w:p>
      <w:pPr>
        <w:pStyle w:val="Subsection"/>
        <w:spacing w:before="120"/>
      </w:pPr>
      <w:r>
        <w:tab/>
        <w:t>(10)</w:t>
      </w:r>
      <w:r>
        <w:tab/>
        <w:t>Section 6(2) does not have effect in relation to this section.</w:t>
      </w:r>
    </w:p>
    <w:p>
      <w:pPr>
        <w:pStyle w:val="Footnotesection"/>
      </w:pPr>
      <w:r>
        <w:tab/>
        <w:t>[Section 24 inserted: No. 36 of 2012 s. 11.]</w:t>
      </w:r>
    </w:p>
    <w:p>
      <w:pPr>
        <w:pStyle w:val="Heading5"/>
        <w:pageBreakBefore/>
      </w:pPr>
      <w:bookmarkStart w:id="49" w:name="_Toc131509276"/>
      <w:r>
        <w:rPr>
          <w:rStyle w:val="CharSectno"/>
        </w:rPr>
        <w:lastRenderedPageBreak/>
        <w:t>25</w:t>
      </w:r>
      <w:r>
        <w:t>.</w:t>
      </w:r>
      <w:r>
        <w:tab/>
        <w:t>Administering body not to require payment in respect of prescribed matters</w:t>
      </w:r>
      <w:bookmarkEnd w:id="49"/>
    </w:p>
    <w:p>
      <w:pPr>
        <w:pStyle w:val="Subsection"/>
      </w:pPr>
      <w:r>
        <w:tab/>
        <w:t>(1)</w:t>
      </w:r>
      <w:r>
        <w:tab/>
        <w:t>The administering body of a retirement village must not demand or receive payment from a resident or former resident in respect of any matter prescribed for the purposes of this section.</w:t>
      </w:r>
    </w:p>
    <w:p>
      <w:pPr>
        <w:pStyle w:val="Penstart"/>
      </w:pPr>
      <w:r>
        <w:tab/>
        <w:t>Penalty: a fine of $20 000.</w:t>
      </w:r>
    </w:p>
    <w:p>
      <w:pPr>
        <w:pStyle w:val="Subsection"/>
      </w:pPr>
      <w:r>
        <w:tab/>
        <w:t>(2)</w:t>
      </w:r>
      <w:r>
        <w:tab/>
        <w:t>Section 6(2) does not have effect in relation to this section.</w:t>
      </w:r>
    </w:p>
    <w:p>
      <w:pPr>
        <w:pStyle w:val="Footnotesection"/>
      </w:pPr>
      <w:r>
        <w:tab/>
        <w:t>[Section 25 inserted: No. 36 of 2012 s. 11.]</w:t>
      </w:r>
    </w:p>
    <w:p>
      <w:pPr>
        <w:pStyle w:val="Heading2"/>
      </w:pPr>
      <w:bookmarkStart w:id="50" w:name="_Toc75341084"/>
      <w:bookmarkStart w:id="51" w:name="_Toc75341984"/>
      <w:bookmarkStart w:id="52" w:name="_Toc75447481"/>
      <w:bookmarkStart w:id="53" w:name="_Toc131507138"/>
      <w:bookmarkStart w:id="54" w:name="_Toc131507356"/>
      <w:bookmarkStart w:id="55" w:name="_Toc131509277"/>
      <w:r>
        <w:rPr>
          <w:rStyle w:val="CharPartNo"/>
        </w:rPr>
        <w:lastRenderedPageBreak/>
        <w:t>Part 4</w:t>
      </w:r>
      <w:r>
        <w:t> — </w:t>
      </w:r>
      <w:r>
        <w:rPr>
          <w:rStyle w:val="CharPartText"/>
        </w:rPr>
        <w:t>Resolution of disputes</w:t>
      </w:r>
      <w:bookmarkEnd w:id="50"/>
      <w:bookmarkEnd w:id="51"/>
      <w:bookmarkEnd w:id="52"/>
      <w:bookmarkEnd w:id="53"/>
      <w:bookmarkEnd w:id="54"/>
      <w:bookmarkEnd w:id="55"/>
    </w:p>
    <w:p>
      <w:pPr>
        <w:pStyle w:val="Heading3"/>
        <w:spacing w:before="220"/>
        <w:rPr>
          <w:snapToGrid w:val="0"/>
        </w:rPr>
      </w:pPr>
      <w:bookmarkStart w:id="56" w:name="_Toc75341085"/>
      <w:bookmarkStart w:id="57" w:name="_Toc75341985"/>
      <w:bookmarkStart w:id="58" w:name="_Toc75447482"/>
      <w:bookmarkStart w:id="59" w:name="_Toc131507139"/>
      <w:bookmarkStart w:id="60" w:name="_Toc131507357"/>
      <w:bookmarkStart w:id="61" w:name="_Toc131509278"/>
      <w:r>
        <w:rPr>
          <w:rStyle w:val="CharDivNo"/>
        </w:rPr>
        <w:t>Division 1</w:t>
      </w:r>
      <w:r>
        <w:t> — </w:t>
      </w:r>
      <w:r>
        <w:rPr>
          <w:rStyle w:val="CharDivText"/>
        </w:rPr>
        <w:t>General</w:t>
      </w:r>
      <w:bookmarkEnd w:id="56"/>
      <w:bookmarkEnd w:id="57"/>
      <w:bookmarkEnd w:id="58"/>
      <w:bookmarkEnd w:id="59"/>
      <w:bookmarkEnd w:id="60"/>
      <w:bookmarkEnd w:id="61"/>
    </w:p>
    <w:p>
      <w:pPr>
        <w:pStyle w:val="Footnoteheading"/>
        <w:tabs>
          <w:tab w:val="clear" w:pos="879"/>
          <w:tab w:val="left" w:pos="896"/>
        </w:tabs>
      </w:pPr>
      <w:r>
        <w:tab/>
        <w:t>[Heading inserted: No. 55 of 2004 s. 1024.]</w:t>
      </w:r>
    </w:p>
    <w:p>
      <w:pPr>
        <w:pStyle w:val="Ednotesection"/>
      </w:pPr>
      <w:r>
        <w:t>[</w:t>
      </w:r>
      <w:r>
        <w:rPr>
          <w:b/>
        </w:rPr>
        <w:t>26.</w:t>
      </w:r>
      <w:r>
        <w:tab/>
        <w:t>Deleted: No. 55 of 2004 s. 1025.]</w:t>
      </w:r>
    </w:p>
    <w:p>
      <w:pPr>
        <w:pStyle w:val="Ednotedivision"/>
      </w:pPr>
      <w:r>
        <w:t>[Divisions 2 and 3 (s. 27</w:t>
      </w:r>
      <w:r>
        <w:noBreakHyphen/>
        <w:t>37) deleted: No. 55 of 2004 s. 1026.]</w:t>
      </w:r>
    </w:p>
    <w:p>
      <w:pPr>
        <w:pStyle w:val="Ednotedivision"/>
        <w:tabs>
          <w:tab w:val="left" w:pos="896"/>
        </w:tabs>
      </w:pPr>
      <w:r>
        <w:tab/>
        <w:t>[Heading deleted: No. 55 of 2004 s. 1027.]</w:t>
      </w:r>
    </w:p>
    <w:p>
      <w:pPr>
        <w:pStyle w:val="Ednotesection"/>
      </w:pPr>
      <w:r>
        <w:t>[</w:t>
      </w:r>
      <w:r>
        <w:rPr>
          <w:b/>
        </w:rPr>
        <w:t>38</w:t>
      </w:r>
      <w:r>
        <w:rPr>
          <w:b/>
        </w:rPr>
        <w:noBreakHyphen/>
        <w:t>41.</w:t>
      </w:r>
      <w:r>
        <w:tab/>
        <w:t>Deleted: No. 55 of 2004 s. 1028.]</w:t>
      </w:r>
    </w:p>
    <w:p>
      <w:pPr>
        <w:pStyle w:val="Heading5"/>
        <w:rPr>
          <w:snapToGrid w:val="0"/>
        </w:rPr>
      </w:pPr>
      <w:bookmarkStart w:id="62" w:name="_Toc131509279"/>
      <w:r>
        <w:rPr>
          <w:rStyle w:val="CharSectno"/>
        </w:rPr>
        <w:t>42</w:t>
      </w:r>
      <w:r>
        <w:rPr>
          <w:snapToGrid w:val="0"/>
        </w:rPr>
        <w:t>.</w:t>
      </w:r>
      <w:r>
        <w:rPr>
          <w:snapToGrid w:val="0"/>
        </w:rPr>
        <w:tab/>
        <w:t>Use of other means of resolution</w:t>
      </w:r>
      <w:bookmarkEnd w:id="62"/>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No. 55 of 2004 s. 1029.]</w:t>
      </w:r>
    </w:p>
    <w:p>
      <w:pPr>
        <w:pStyle w:val="Ednotesection"/>
      </w:pPr>
      <w:r>
        <w:t>[</w:t>
      </w:r>
      <w:r>
        <w:rPr>
          <w:b/>
        </w:rPr>
        <w:t>43.</w:t>
      </w:r>
      <w:r>
        <w:rPr>
          <w:b/>
        </w:rPr>
        <w:tab/>
      </w:r>
      <w:r>
        <w:t>Deleted: No. 55 of 2004 s. 1030.]</w:t>
      </w:r>
    </w:p>
    <w:p>
      <w:pPr>
        <w:pStyle w:val="Heading5"/>
        <w:rPr>
          <w:snapToGrid w:val="0"/>
        </w:rPr>
      </w:pPr>
      <w:bookmarkStart w:id="63" w:name="_Toc131509280"/>
      <w:r>
        <w:rPr>
          <w:rStyle w:val="CharSectno"/>
        </w:rPr>
        <w:t>44</w:t>
      </w:r>
      <w:r>
        <w:rPr>
          <w:snapToGrid w:val="0"/>
        </w:rPr>
        <w:t>.</w:t>
      </w:r>
      <w:r>
        <w:rPr>
          <w:snapToGrid w:val="0"/>
        </w:rPr>
        <w:tab/>
        <w:t>Extension of time</w:t>
      </w:r>
      <w:bookmarkEnd w:id="63"/>
    </w:p>
    <w:p>
      <w:pPr>
        <w:pStyle w:val="Subsection"/>
        <w:rPr>
          <w:snapToGrid w:val="0"/>
        </w:rPr>
      </w:pPr>
      <w:r>
        <w:rPr>
          <w:snapToGrid w:val="0"/>
        </w:rPr>
        <w:tab/>
        <w:t>(1)</w:t>
      </w:r>
      <w:r>
        <w:rPr>
          <w:snapToGrid w:val="0"/>
        </w:rPr>
        <w:tab/>
        <w:t>Notwithstanding any other provision of this Act, the State Administrative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No. 55 of 2004 s. 1031; No. 8 of 2009 s. 110.]</w:t>
      </w:r>
    </w:p>
    <w:p>
      <w:pPr>
        <w:pStyle w:val="Ednotesection"/>
      </w:pPr>
      <w:r>
        <w:t>[</w:t>
      </w:r>
      <w:r>
        <w:rPr>
          <w:b/>
        </w:rPr>
        <w:t>45</w:t>
      </w:r>
      <w:r>
        <w:rPr>
          <w:b/>
        </w:rPr>
        <w:noBreakHyphen/>
        <w:t>47.</w:t>
      </w:r>
      <w:r>
        <w:tab/>
        <w:t>Deleted: No. 55 of 2004 s. 1032.]</w:t>
      </w:r>
    </w:p>
    <w:p>
      <w:pPr>
        <w:pStyle w:val="Heading5"/>
        <w:rPr>
          <w:snapToGrid w:val="0"/>
          <w:spacing w:val="-4"/>
        </w:rPr>
      </w:pPr>
      <w:bookmarkStart w:id="64" w:name="_Toc131509281"/>
      <w:r>
        <w:rPr>
          <w:rStyle w:val="CharSectno"/>
          <w:spacing w:val="-4"/>
        </w:rPr>
        <w:lastRenderedPageBreak/>
        <w:t>48</w:t>
      </w:r>
      <w:r>
        <w:rPr>
          <w:snapToGrid w:val="0"/>
          <w:spacing w:val="-4"/>
        </w:rPr>
        <w:t>.</w:t>
      </w:r>
      <w:r>
        <w:rPr>
          <w:snapToGrid w:val="0"/>
          <w:spacing w:val="-4"/>
        </w:rPr>
        <w:tab/>
        <w:t>Reference of certain matters concerning administering bodies</w:t>
      </w:r>
      <w:bookmarkEnd w:id="64"/>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No. 55 of 2004 s. 1033 and 1044.]</w:t>
      </w:r>
    </w:p>
    <w:p>
      <w:pPr>
        <w:pStyle w:val="Ednotesection"/>
      </w:pPr>
      <w:r>
        <w:t>[</w:t>
      </w:r>
      <w:r>
        <w:rPr>
          <w:b/>
        </w:rPr>
        <w:t>49</w:t>
      </w:r>
      <w:r>
        <w:rPr>
          <w:b/>
        </w:rPr>
        <w:noBreakHyphen/>
        <w:t>51.</w:t>
      </w:r>
      <w:r>
        <w:tab/>
        <w:t>Deleted: No. 55 of 2004 s. 1034.]</w:t>
      </w:r>
    </w:p>
    <w:p>
      <w:pPr>
        <w:pStyle w:val="Heading3"/>
        <w:spacing w:before="220"/>
      </w:pPr>
      <w:bookmarkStart w:id="65" w:name="_Toc75341089"/>
      <w:bookmarkStart w:id="66" w:name="_Toc75341989"/>
      <w:bookmarkStart w:id="67" w:name="_Toc75447486"/>
      <w:bookmarkStart w:id="68" w:name="_Toc131507143"/>
      <w:bookmarkStart w:id="69" w:name="_Toc131507361"/>
      <w:bookmarkStart w:id="70" w:name="_Toc131509282"/>
      <w:r>
        <w:rPr>
          <w:rStyle w:val="CharDivNo"/>
        </w:rPr>
        <w:t>Division 5</w:t>
      </w:r>
      <w:r>
        <w:rPr>
          <w:snapToGrid w:val="0"/>
        </w:rPr>
        <w:t> — </w:t>
      </w:r>
      <w:r>
        <w:rPr>
          <w:rStyle w:val="CharDivText"/>
        </w:rPr>
        <w:t>Orders by State Administrative Tribunal</w:t>
      </w:r>
      <w:bookmarkEnd w:id="65"/>
      <w:bookmarkEnd w:id="66"/>
      <w:bookmarkEnd w:id="67"/>
      <w:bookmarkEnd w:id="68"/>
      <w:bookmarkEnd w:id="69"/>
      <w:bookmarkEnd w:id="70"/>
    </w:p>
    <w:p>
      <w:pPr>
        <w:pStyle w:val="Footnoteheading"/>
        <w:tabs>
          <w:tab w:val="clear" w:pos="879"/>
          <w:tab w:val="left" w:pos="896"/>
        </w:tabs>
      </w:pPr>
      <w:r>
        <w:tab/>
        <w:t>[Heading amended: No. 55 of 2004 s. 1035.]</w:t>
      </w:r>
    </w:p>
    <w:p>
      <w:pPr>
        <w:pStyle w:val="Heading5"/>
        <w:rPr>
          <w:snapToGrid w:val="0"/>
        </w:rPr>
      </w:pPr>
      <w:bookmarkStart w:id="71" w:name="_Toc131509283"/>
      <w:r>
        <w:rPr>
          <w:rStyle w:val="CharSectno"/>
        </w:rPr>
        <w:t>52</w:t>
      </w:r>
      <w:r>
        <w:rPr>
          <w:snapToGrid w:val="0"/>
        </w:rPr>
        <w:t>.</w:t>
      </w:r>
      <w:r>
        <w:rPr>
          <w:snapToGrid w:val="0"/>
        </w:rPr>
        <w:tab/>
        <w:t>Limits on orders by SAT</w:t>
      </w:r>
      <w:bookmarkEnd w:id="71"/>
    </w:p>
    <w:p>
      <w:pPr>
        <w:pStyle w:val="Subsection"/>
        <w:rPr>
          <w:snapToGrid w:val="0"/>
        </w:rPr>
      </w:pPr>
      <w:r>
        <w:rPr>
          <w:snapToGrid w:val="0"/>
        </w:rPr>
        <w:tab/>
        <w:t>(1)</w:t>
      </w:r>
      <w:r>
        <w:rPr>
          <w:snapToGrid w:val="0"/>
        </w:rPr>
        <w:tab/>
        <w:t>The State Administrative Tribunal shall not make orders under this Act that are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Subsection"/>
      </w:pPr>
      <w:r>
        <w:tab/>
        <w:t>(3)</w:t>
      </w:r>
      <w:r>
        <w:tab/>
        <w:t xml:space="preserve">Subsection (1)(b) does not apply to — </w:t>
      </w:r>
    </w:p>
    <w:p>
      <w:pPr>
        <w:pStyle w:val="Indenta"/>
      </w:pPr>
      <w:r>
        <w:tab/>
        <w:t>(a)</w:t>
      </w:r>
      <w:r>
        <w:tab/>
        <w:t>an order made under section 55(3) or 57A(4) or Part 5A; or</w:t>
      </w:r>
    </w:p>
    <w:p>
      <w:pPr>
        <w:pStyle w:val="Indenta"/>
      </w:pPr>
      <w:r>
        <w:tab/>
        <w:t>(b)</w:t>
      </w:r>
      <w:r>
        <w:tab/>
        <w:t>if the order is made in relation to a residence contract — an order made under section 56(4).</w:t>
      </w:r>
    </w:p>
    <w:p>
      <w:pPr>
        <w:pStyle w:val="Footnotesection"/>
      </w:pPr>
      <w:r>
        <w:tab/>
        <w:t>[Section 52 amended: No. 55 of 2004 s. 1044; No. 36 of 2012 s. 12.]</w:t>
      </w:r>
    </w:p>
    <w:p>
      <w:pPr>
        <w:pStyle w:val="Ednotesection"/>
      </w:pPr>
      <w:r>
        <w:t>[</w:t>
      </w:r>
      <w:r>
        <w:rPr>
          <w:b/>
        </w:rPr>
        <w:t>53.</w:t>
      </w:r>
      <w:r>
        <w:rPr>
          <w:b/>
        </w:rPr>
        <w:tab/>
      </w:r>
      <w:r>
        <w:t>Deleted: No. 55 of 2004 s. 1036.]</w:t>
      </w:r>
    </w:p>
    <w:p>
      <w:pPr>
        <w:pStyle w:val="Heading5"/>
        <w:rPr>
          <w:snapToGrid w:val="0"/>
          <w:spacing w:val="-4"/>
        </w:rPr>
      </w:pPr>
      <w:bookmarkStart w:id="72" w:name="_Toc131509284"/>
      <w:r>
        <w:rPr>
          <w:rStyle w:val="CharSectno"/>
          <w:spacing w:val="-4"/>
        </w:rPr>
        <w:lastRenderedPageBreak/>
        <w:t>54</w:t>
      </w:r>
      <w:r>
        <w:rPr>
          <w:snapToGrid w:val="0"/>
          <w:spacing w:val="-4"/>
        </w:rPr>
        <w:t>.</w:t>
      </w:r>
      <w:r>
        <w:rPr>
          <w:snapToGrid w:val="0"/>
          <w:spacing w:val="-4"/>
        </w:rPr>
        <w:tab/>
        <w:t>Jurisdiction where title to land in question</w:t>
      </w:r>
      <w:bookmarkEnd w:id="72"/>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No. 55 of 2004 s. 1044.]</w:t>
      </w:r>
    </w:p>
    <w:p>
      <w:pPr>
        <w:pStyle w:val="Heading5"/>
      </w:pPr>
      <w:bookmarkStart w:id="73" w:name="_Toc131509285"/>
      <w:r>
        <w:rPr>
          <w:rStyle w:val="CharSectno"/>
          <w:spacing w:val="-4"/>
        </w:rPr>
        <w:t>54A</w:t>
      </w:r>
      <w:r>
        <w:t>.</w:t>
      </w:r>
      <w:r>
        <w:tab/>
        <w:t xml:space="preserve">Jurisdiction of Tribunal under </w:t>
      </w:r>
      <w:r>
        <w:rPr>
          <w:i/>
        </w:rPr>
        <w:t>Community Titles Act 2018</w:t>
      </w:r>
      <w:bookmarkEnd w:id="73"/>
    </w:p>
    <w:p>
      <w:pPr>
        <w:pStyle w:val="Subsection"/>
      </w:pPr>
      <w:r>
        <w:tab/>
      </w:r>
      <w:r>
        <w:tab/>
        <w:t xml:space="preserve">Section 54 does not derogate from the jurisdiction of the Tribunal under the </w:t>
      </w:r>
      <w:r>
        <w:rPr>
          <w:i/>
        </w:rPr>
        <w:t xml:space="preserve">Community Titles Act 2018 </w:t>
      </w:r>
      <w:r>
        <w:t>in respect of a retirement village that is also a community titles scheme.</w:t>
      </w:r>
    </w:p>
    <w:p>
      <w:pPr>
        <w:pStyle w:val="Footnotesection"/>
      </w:pPr>
      <w:r>
        <w:tab/>
        <w:t>[Section 54A inserted: No. 32 of 2018 s. 241.]</w:t>
      </w:r>
    </w:p>
    <w:p>
      <w:pPr>
        <w:pStyle w:val="Heading5"/>
      </w:pPr>
      <w:bookmarkStart w:id="74" w:name="_Toc131509286"/>
      <w:r>
        <w:rPr>
          <w:rStyle w:val="CharSectno"/>
        </w:rPr>
        <w:t>54B</w:t>
      </w:r>
      <w:r>
        <w:t>.</w:t>
      </w:r>
      <w:r>
        <w:tab/>
        <w:t xml:space="preserve">Jurisdiction of Tribunal under </w:t>
      </w:r>
      <w:r>
        <w:rPr>
          <w:i/>
        </w:rPr>
        <w:t>Strata Titles Act 1985</w:t>
      </w:r>
      <w:bookmarkEnd w:id="74"/>
    </w:p>
    <w:p>
      <w:pPr>
        <w:pStyle w:val="Subsection"/>
      </w:pPr>
      <w:r>
        <w:tab/>
      </w:r>
      <w:r>
        <w:tab/>
        <w:t xml:space="preserve">Section 54 does not derogate from the jurisdiction of the Tribunal under the </w:t>
      </w:r>
      <w:r>
        <w:rPr>
          <w:i/>
        </w:rPr>
        <w:t xml:space="preserve">Strata Titles Act 1985 </w:t>
      </w:r>
      <w:r>
        <w:t>in respect of a retirement village that is also a strata titles scheme.</w:t>
      </w:r>
    </w:p>
    <w:p>
      <w:pPr>
        <w:pStyle w:val="Footnotesection"/>
      </w:pPr>
      <w:r>
        <w:tab/>
        <w:t>[Section 54B inserted: No. 30 of 2018 s. 184.]</w:t>
      </w:r>
    </w:p>
    <w:p>
      <w:pPr>
        <w:pStyle w:val="Heading5"/>
      </w:pPr>
      <w:bookmarkStart w:id="75" w:name="_Toc131509287"/>
      <w:r>
        <w:rPr>
          <w:rStyle w:val="CharSectno"/>
          <w:spacing w:val="-4"/>
        </w:rPr>
        <w:t>55</w:t>
      </w:r>
      <w:r>
        <w:t>.</w:t>
      </w:r>
      <w:r>
        <w:tab/>
        <w:t>Applications to SAT in relation to residence contracts</w:t>
      </w:r>
      <w:bookmarkEnd w:id="75"/>
    </w:p>
    <w:p>
      <w:pPr>
        <w:pStyle w:val="Subsection"/>
      </w:pPr>
      <w:r>
        <w:tab/>
        <w:t>(1)</w:t>
      </w:r>
      <w:r>
        <w:tab/>
        <w:t xml:space="preserve">If a dispute arises between the parties to a residence contract as to the residence contract’s compliance with a requirement of regulations made for the purposes of section 14A(1) — </w:t>
      </w:r>
    </w:p>
    <w:p>
      <w:pPr>
        <w:pStyle w:val="Indenta"/>
      </w:pPr>
      <w:r>
        <w:tab/>
        <w:t>(a)</w:t>
      </w:r>
      <w:r>
        <w:tab/>
        <w:t>either party to the residence contract; or</w:t>
      </w:r>
    </w:p>
    <w:p>
      <w:pPr>
        <w:pStyle w:val="Indenta"/>
      </w:pPr>
      <w:r>
        <w:tab/>
        <w:t>(b)</w:t>
      </w:r>
      <w:r>
        <w:tab/>
        <w:t>if the dispute has been brought to the attention of the Commissioner — the Commissioner,</w:t>
      </w:r>
    </w:p>
    <w:p>
      <w:pPr>
        <w:pStyle w:val="Subsection"/>
      </w:pPr>
      <w:r>
        <w:tab/>
      </w:r>
      <w:r>
        <w:tab/>
        <w:t>may make an application in relation to the matter to the State Administrative Tribunal.</w:t>
      </w:r>
    </w:p>
    <w:p>
      <w:pPr>
        <w:pStyle w:val="Subsection"/>
        <w:keepNext/>
      </w:pPr>
      <w:r>
        <w:tab/>
        <w:t>(2)</w:t>
      </w:r>
      <w:r>
        <w:tab/>
        <w:t xml:space="preserve">If the State Administrative Tribunal is of the opinion that an order, if made under subsection (3), may be relevant to other </w:t>
      </w:r>
      <w:r>
        <w:lastRenderedPageBreak/>
        <w:t xml:space="preserve">residence contracts (including residence contracts that relate to another retirement village), the State Administrative Tribunal — </w:t>
      </w:r>
    </w:p>
    <w:p>
      <w:pPr>
        <w:pStyle w:val="Indenta"/>
      </w:pPr>
      <w:r>
        <w:tab/>
        <w:t>(a)</w:t>
      </w:r>
      <w:r>
        <w:tab/>
        <w:t>may order the administering body of a retirement village or other person to provide the State Administrative Tribunal with specified information or documents in relation to any residence contract; and</w:t>
      </w:r>
    </w:p>
    <w:p>
      <w:pPr>
        <w:pStyle w:val="Indenta"/>
      </w:pPr>
      <w:r>
        <w:tab/>
        <w:t>(b)</w:t>
      </w:r>
      <w:r>
        <w:tab/>
        <w:t>on its own initiative or at the request of the administering body or other person — may order that the administering body or other person be joined as a party to the proceeding under this section.</w:t>
      </w:r>
    </w:p>
    <w:p>
      <w:pPr>
        <w:pStyle w:val="Subsection"/>
      </w:pPr>
      <w:r>
        <w:tab/>
        <w:t>(3)</w:t>
      </w:r>
      <w:r>
        <w:tab/>
        <w:t xml:space="preserve">The State Administrative Tribunal may, on an application made under this section, order — </w:t>
      </w:r>
    </w:p>
    <w:p>
      <w:pPr>
        <w:pStyle w:val="Indenta"/>
      </w:pPr>
      <w:r>
        <w:tab/>
        <w:t>(a)</w:t>
      </w:r>
      <w:r>
        <w:tab/>
        <w:t>the variation or cancellation of any of the terms of the residence contract, as specified in the order;</w:t>
      </w:r>
    </w:p>
    <w:p>
      <w:pPr>
        <w:pStyle w:val="Indenta"/>
      </w:pPr>
      <w:r>
        <w:tab/>
        <w:t>(b)</w:t>
      </w:r>
      <w:r>
        <w:tab/>
        <w:t>specific performance of the residence contract;</w:t>
      </w:r>
    </w:p>
    <w:p>
      <w:pPr>
        <w:pStyle w:val="Indenta"/>
      </w:pPr>
      <w:r>
        <w:tab/>
        <w:t>(c)</w:t>
      </w:r>
      <w:r>
        <w:tab/>
        <w:t>the payment of a sum of money,</w:t>
      </w:r>
    </w:p>
    <w:p>
      <w:pPr>
        <w:pStyle w:val="Subsection"/>
      </w:pPr>
      <w:r>
        <w:tab/>
      </w:r>
      <w:r>
        <w:tab/>
        <w:t>and may make such other orders as the State Administrative Tribunal considers appropriate and may declare that the order applies to any residence contracts specified in the order, and the order is to have effect accordingly.</w:t>
      </w:r>
    </w:p>
    <w:p>
      <w:pPr>
        <w:pStyle w:val="Subsection"/>
      </w:pPr>
      <w:r>
        <w:tab/>
        <w:t>(4)</w:t>
      </w:r>
      <w:r>
        <w:tab/>
        <w:t xml:space="preserve">Subsection (2) does not limit the </w:t>
      </w:r>
      <w:r>
        <w:rPr>
          <w:i/>
        </w:rPr>
        <w:t>State Administrative Tribunal Act 2004</w:t>
      </w:r>
      <w:r>
        <w:t xml:space="preserve"> section 35 or 38.</w:t>
      </w:r>
    </w:p>
    <w:p>
      <w:pPr>
        <w:pStyle w:val="Footnotesection"/>
      </w:pPr>
      <w:r>
        <w:tab/>
        <w:t>[Section 55 inserted: No. 36 of 2012 s. 13.]</w:t>
      </w:r>
    </w:p>
    <w:p>
      <w:pPr>
        <w:pStyle w:val="Heading5"/>
        <w:rPr>
          <w:snapToGrid w:val="0"/>
        </w:rPr>
      </w:pPr>
      <w:bookmarkStart w:id="76" w:name="_Toc131509288"/>
      <w:r>
        <w:rPr>
          <w:rStyle w:val="CharSectno"/>
        </w:rPr>
        <w:t>56</w:t>
      </w:r>
      <w:r>
        <w:rPr>
          <w:snapToGrid w:val="0"/>
        </w:rPr>
        <w:t>.</w:t>
      </w:r>
      <w:r>
        <w:rPr>
          <w:snapToGrid w:val="0"/>
        </w:rPr>
        <w:tab/>
        <w:t>Disputes in relation to service contracts</w:t>
      </w:r>
      <w:bookmarkEnd w:id="76"/>
    </w:p>
    <w:p>
      <w:pPr>
        <w:pStyle w:val="Subsection"/>
      </w:pPr>
      <w:r>
        <w:tab/>
        <w:t>(1A)</w:t>
      </w:r>
      <w:r>
        <w:tab/>
        <w:t>A reference in this section to a service contract includes a reference to a residence contract but only to the extent that the residence contract provides for the provision to a resident of a service or amenity that may be provided to the resident under a service contract.</w:t>
      </w:r>
    </w:p>
    <w:p>
      <w:pPr>
        <w:pStyle w:val="Subsection"/>
        <w:keepNext/>
        <w:rPr>
          <w:snapToGrid w:val="0"/>
        </w:rPr>
      </w:pPr>
      <w:r>
        <w:rPr>
          <w:snapToGrid w:val="0"/>
        </w:rPr>
        <w:lastRenderedPageBreak/>
        <w:tab/>
        <w:t>(1)</w:t>
      </w:r>
      <w:r>
        <w:rPr>
          <w:snapToGrid w:val="0"/>
        </w:rPr>
        <w:tab/>
        <w:t>Where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spacing w:before="80"/>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deleted]</w:t>
      </w:r>
    </w:p>
    <w:p>
      <w:pPr>
        <w:pStyle w:val="Subsection"/>
        <w:keepNext/>
      </w:pPr>
      <w:r>
        <w:tab/>
        <w:t>(3)</w:t>
      </w:r>
      <w:r>
        <w:tab/>
        <w:t xml:space="preserve">If the State Administrative Tribunal is of the opinion that an order, if made under subsection (4), may be relevant to other service contracts (including service contracts that relate to another retirement village), the State Administrative Tribunal — </w:t>
      </w:r>
    </w:p>
    <w:p>
      <w:pPr>
        <w:pStyle w:val="Indenta"/>
      </w:pPr>
      <w:r>
        <w:tab/>
        <w:t>(a)</w:t>
      </w:r>
      <w:r>
        <w:tab/>
        <w:t>may order the administering body of a retirement village or other person to provide the State Administrative Tribunal with specified information or documents in relation to any service contract; and</w:t>
      </w:r>
    </w:p>
    <w:p>
      <w:pPr>
        <w:pStyle w:val="Indenta"/>
      </w:pPr>
      <w:r>
        <w:tab/>
        <w:t>(b)</w:t>
      </w:r>
      <w:r>
        <w:tab/>
        <w:t>on its own initiative or at the request of the administering body or other person — may order that the administering body or other person be joined as a party to the proceeding under this section.</w:t>
      </w:r>
    </w:p>
    <w:p>
      <w:pPr>
        <w:pStyle w:val="Subsection"/>
        <w:rPr>
          <w:snapToGrid w:val="0"/>
        </w:rPr>
      </w:pPr>
      <w:r>
        <w:rPr>
          <w:snapToGrid w:val="0"/>
        </w:rPr>
        <w:tab/>
        <w:t>(4)</w:t>
      </w:r>
      <w:r>
        <w:rPr>
          <w:snapToGrid w:val="0"/>
        </w:rPr>
        <w:tab/>
        <w:t>The State Administrative Tribunal may upon application made under this section order —</w:t>
      </w:r>
    </w:p>
    <w:p>
      <w:pPr>
        <w:pStyle w:val="Indenta"/>
      </w:pPr>
      <w:r>
        <w:tab/>
        <w:t>(aa)</w:t>
      </w:r>
      <w:r>
        <w:tab/>
        <w:t>the variation or cancellation of any of the terms of the service contract, as specified in the order;</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Subsection"/>
      </w:pPr>
      <w:r>
        <w:tab/>
        <w:t>(5)</w:t>
      </w:r>
      <w:r>
        <w:tab/>
        <w:t xml:space="preserve">Subsection (3) does not limit the </w:t>
      </w:r>
      <w:r>
        <w:rPr>
          <w:i/>
        </w:rPr>
        <w:t>State Administrative Tribunal Act 2004</w:t>
      </w:r>
      <w:r>
        <w:t xml:space="preserve"> section 35 or 38.</w:t>
      </w:r>
    </w:p>
    <w:p>
      <w:pPr>
        <w:pStyle w:val="Footnotesection"/>
      </w:pPr>
      <w:r>
        <w:lastRenderedPageBreak/>
        <w:tab/>
        <w:t>[Section 56 amended: No. 55 of 2004 s. 1037 and 1044; No. 36 of 2012 s. 14.]</w:t>
      </w:r>
    </w:p>
    <w:p>
      <w:pPr>
        <w:pStyle w:val="Heading5"/>
      </w:pPr>
      <w:bookmarkStart w:id="77" w:name="_Toc131509289"/>
      <w:r>
        <w:rPr>
          <w:rStyle w:val="CharSectno"/>
          <w:spacing w:val="-4"/>
        </w:rPr>
        <w:t>57A</w:t>
      </w:r>
      <w:r>
        <w:t>.</w:t>
      </w:r>
      <w:r>
        <w:tab/>
        <w:t>Disputes in relation to recurrent charges or levy payable by residents</w:t>
      </w:r>
      <w:bookmarkEnd w:id="77"/>
    </w:p>
    <w:p>
      <w:pPr>
        <w:pStyle w:val="Subsection"/>
      </w:pPr>
      <w:r>
        <w:tab/>
        <w:t>(1)</w:t>
      </w:r>
      <w:r>
        <w:tab/>
        <w:t>This section applies if a dispute arises between the residents of a retirement village and the administering body of the retirement village regarding an increase in recurrent charges or the imposition of a levy.</w:t>
      </w:r>
    </w:p>
    <w:p>
      <w:pPr>
        <w:pStyle w:val="Subsection"/>
      </w:pPr>
      <w:r>
        <w:tab/>
        <w:t>(2)</w:t>
      </w:r>
      <w:r>
        <w:tab/>
        <w:t>If the residents pass a special resolution that authorises the application to be made, the residents may make an application in relation to the matter in dispute to the State Administrative Tribunal.</w:t>
      </w:r>
    </w:p>
    <w:p>
      <w:pPr>
        <w:pStyle w:val="Subsection"/>
      </w:pPr>
      <w:r>
        <w:tab/>
        <w:t>(3)</w:t>
      </w:r>
      <w:r>
        <w:tab/>
        <w:t xml:space="preserve">In subsection (2) — </w:t>
      </w:r>
    </w:p>
    <w:p>
      <w:pPr>
        <w:pStyle w:val="Defstart"/>
      </w:pPr>
      <w:r>
        <w:tab/>
      </w:r>
      <w:r>
        <w:rPr>
          <w:rStyle w:val="CharDefText"/>
        </w:rPr>
        <w:t>special resolution</w:t>
      </w:r>
      <w:r>
        <w:t xml:space="preserve"> means a resolution passed at a meeting of the residents of a retirement village that is held in accordance with the requirements in an applicable code for passing a special resolution.</w:t>
      </w:r>
    </w:p>
    <w:p>
      <w:pPr>
        <w:pStyle w:val="Subsection"/>
      </w:pPr>
      <w:r>
        <w:tab/>
        <w:t>(4)</w:t>
      </w:r>
      <w:r>
        <w:tab/>
        <w:t>The State Administrative Tribunal may, on an application made under this section, make such orders as the State Administrative Tribunal considers appropriate.</w:t>
      </w:r>
    </w:p>
    <w:p>
      <w:pPr>
        <w:pStyle w:val="Subsection"/>
      </w:pPr>
      <w:r>
        <w:tab/>
        <w:t>(5)</w:t>
      </w:r>
      <w:r>
        <w:tab/>
        <w:t>Nothing in this section limits the matters in relation to which an application may be made under section 56.</w:t>
      </w:r>
    </w:p>
    <w:p>
      <w:pPr>
        <w:pStyle w:val="Subsection"/>
      </w:pPr>
      <w:r>
        <w:tab/>
        <w:t>(6)</w:t>
      </w:r>
      <w:r>
        <w:tab/>
        <w:t>Section 6(2) does not have effect in relation to this section.</w:t>
      </w:r>
    </w:p>
    <w:p>
      <w:pPr>
        <w:pStyle w:val="Footnotesection"/>
      </w:pPr>
      <w:r>
        <w:tab/>
        <w:t>[Section 57A inserted: No. 36 of 2012 s. 15.]</w:t>
      </w:r>
    </w:p>
    <w:p>
      <w:pPr>
        <w:pStyle w:val="Heading5"/>
        <w:rPr>
          <w:snapToGrid w:val="0"/>
        </w:rPr>
      </w:pPr>
      <w:bookmarkStart w:id="78" w:name="_Toc131509290"/>
      <w:r>
        <w:rPr>
          <w:rStyle w:val="CharSectno"/>
        </w:rPr>
        <w:t>57</w:t>
      </w:r>
      <w:r>
        <w:rPr>
          <w:snapToGrid w:val="0"/>
        </w:rPr>
        <w:t>.</w:t>
      </w:r>
      <w:r>
        <w:rPr>
          <w:snapToGrid w:val="0"/>
        </w:rPr>
        <w:tab/>
        <w:t>Applications relating to transfer of residents</w:t>
      </w:r>
      <w:bookmarkEnd w:id="78"/>
    </w:p>
    <w:p>
      <w:pPr>
        <w:pStyle w:val="Subsection"/>
        <w:keepNext/>
        <w:rPr>
          <w:snapToGrid w:val="0"/>
        </w:rPr>
      </w:pPr>
      <w:r>
        <w:rPr>
          <w:snapToGrid w:val="0"/>
        </w:rPr>
        <w:tab/>
        <w:t>(1)</w:t>
      </w:r>
      <w:r>
        <w:rPr>
          <w:snapToGrid w:val="0"/>
        </w:rPr>
        <w:tab/>
        <w:t>If a resident of a retirement village claims that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lastRenderedPageBreak/>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w:t>
      </w:r>
    </w:p>
    <w:p>
      <w:pPr>
        <w:pStyle w:val="Indenta"/>
        <w:rPr>
          <w:snapToGrid w:val="0"/>
        </w:rPr>
      </w:pPr>
      <w:r>
        <w:rPr>
          <w:snapToGrid w:val="0"/>
        </w:rPr>
        <w:tab/>
        <w:t>(a)</w:t>
      </w:r>
      <w:r>
        <w:rPr>
          <w:snapToGrid w:val="0"/>
        </w:rPr>
        <w:tab/>
        <w:t>an order that —</w:t>
      </w:r>
    </w:p>
    <w:p>
      <w:pPr>
        <w:pStyle w:val="Indenti"/>
        <w:rPr>
          <w:rFonts w:ascii="Times" w:hAnsi="Times"/>
          <w:snapToGrid w:val="0"/>
        </w:rPr>
      </w:pPr>
      <w:r>
        <w:rPr>
          <w:snapToGrid w:val="0"/>
          <w:spacing w:val="-6"/>
        </w:rPr>
        <w:tab/>
        <w:t>(i)</w:t>
      </w:r>
      <w:r>
        <w:rPr>
          <w:snapToGrid w:val="0"/>
          <w:spacing w:val="-6"/>
        </w:rPr>
        <w:tab/>
      </w:r>
      <w:r>
        <w:rPr>
          <w:rFonts w:ascii="Times" w:hAnsi="Times"/>
          <w:snapToGrid w:val="0"/>
        </w:rPr>
        <w:t>restrains the administering body from transferring the resident from one kind of accommodation in the retirement village to another; or</w:t>
      </w:r>
    </w:p>
    <w:p>
      <w:pPr>
        <w:pStyle w:val="Indenti"/>
        <w:rPr>
          <w:rFonts w:ascii="Times" w:hAnsi="Times"/>
          <w:snapToGrid w:val="0"/>
        </w:rPr>
      </w:pPr>
      <w:r>
        <w:rPr>
          <w:snapToGrid w:val="0"/>
          <w:spacing w:val="-6"/>
        </w:rPr>
        <w:tab/>
        <w:t>(ii)</w:t>
      </w:r>
      <w:r>
        <w:rPr>
          <w:snapToGrid w:val="0"/>
          <w:spacing w:val="-6"/>
        </w:rPr>
        <w:tab/>
      </w:r>
      <w:r>
        <w:rPr>
          <w:rFonts w:ascii="Times" w:hAnsi="Times"/>
          <w:snapToGrid w:val="0"/>
        </w:rPr>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lastRenderedPageBreak/>
        <w:tab/>
        <w:t>(6)</w:t>
      </w:r>
      <w:r>
        <w:rPr>
          <w:snapToGrid w:val="0"/>
        </w:rPr>
        <w:tab/>
        <w:t>For the purpose of determining any application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No. 55 of 2004 s. 1044; No. 28 of 2006 s. 143.]</w:t>
      </w:r>
    </w:p>
    <w:p>
      <w:pPr>
        <w:pStyle w:val="Heading5"/>
        <w:rPr>
          <w:snapToGrid w:val="0"/>
        </w:rPr>
      </w:pPr>
      <w:bookmarkStart w:id="79" w:name="_Toc131509291"/>
      <w:r>
        <w:rPr>
          <w:rStyle w:val="CharSectno"/>
        </w:rPr>
        <w:t>58</w:t>
      </w:r>
      <w:r>
        <w:rPr>
          <w:snapToGrid w:val="0"/>
        </w:rPr>
        <w:t>.</w:t>
      </w:r>
      <w:r>
        <w:rPr>
          <w:snapToGrid w:val="0"/>
        </w:rPr>
        <w:tab/>
        <w:t>Termination of occupation on medical grounds</w:t>
      </w:r>
      <w:bookmarkEnd w:id="79"/>
    </w:p>
    <w:p>
      <w:pPr>
        <w:pStyle w:val="Subsection"/>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lastRenderedPageBreak/>
        <w:tab/>
        <w:t>(b)</w:t>
      </w:r>
      <w:r>
        <w:rPr>
          <w:snapToGrid w:val="0"/>
        </w:rPr>
        <w:tab/>
        <w:t>having considered the circumstances of the case, it is otherwise appropriate to make an order terminating the residence contract.</w:t>
      </w:r>
    </w:p>
    <w:p>
      <w:pPr>
        <w:pStyle w:val="Subsection"/>
        <w:keepNext/>
        <w:rPr>
          <w:snapToGrid w:val="0"/>
        </w:rPr>
      </w:pPr>
      <w:r>
        <w:rPr>
          <w:snapToGrid w:val="0"/>
        </w:rPr>
        <w:tab/>
        <w:t>(3)</w:t>
      </w:r>
      <w:r>
        <w:rPr>
          <w:snapToGrid w:val="0"/>
        </w:rPr>
        <w:tab/>
        <w:t>In determining whether to terminate a residence contract under this section, the State Administrative Tribunal may —</w:t>
      </w:r>
    </w:p>
    <w:p>
      <w:pPr>
        <w:pStyle w:val="Indenta"/>
        <w:spacing w:before="60"/>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spacing w:before="60"/>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No. 55 of 2004 s. 1044; No. 28 of 2006 s. 143.]</w:t>
      </w:r>
    </w:p>
    <w:p>
      <w:pPr>
        <w:pStyle w:val="Heading5"/>
        <w:rPr>
          <w:snapToGrid w:val="0"/>
        </w:rPr>
      </w:pPr>
      <w:bookmarkStart w:id="80" w:name="_Toc131509292"/>
      <w:r>
        <w:rPr>
          <w:rStyle w:val="CharSectno"/>
        </w:rPr>
        <w:t>59</w:t>
      </w:r>
      <w:r>
        <w:rPr>
          <w:snapToGrid w:val="0"/>
        </w:rPr>
        <w:t>.</w:t>
      </w:r>
      <w:r>
        <w:rPr>
          <w:snapToGrid w:val="0"/>
        </w:rPr>
        <w:tab/>
        <w:t>Termination of occupation on grounds of breach of residence contract or rules</w:t>
      </w:r>
      <w:bookmarkEnd w:id="80"/>
    </w:p>
    <w:p>
      <w:pPr>
        <w:pStyle w:val="Subsection"/>
        <w:rPr>
          <w:snapToGrid w:val="0"/>
        </w:rPr>
      </w:pPr>
      <w:r>
        <w:rPr>
          <w:snapToGrid w:val="0"/>
        </w:rPr>
        <w:tab/>
        <w:t>(1)</w:t>
      </w:r>
      <w:r>
        <w:rPr>
          <w:snapToGrid w:val="0"/>
        </w:rPr>
        <w:tab/>
        <w:t>If —</w:t>
      </w:r>
    </w:p>
    <w:p>
      <w:pPr>
        <w:pStyle w:val="Indenta"/>
        <w:spacing w:before="60"/>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spacing w:before="60"/>
        <w:rPr>
          <w:snapToGrid w:val="0"/>
        </w:rPr>
      </w:pPr>
      <w:r>
        <w:rPr>
          <w:snapToGrid w:val="0"/>
        </w:rPr>
        <w:tab/>
        <w:t>(b)</w:t>
      </w:r>
      <w:r>
        <w:rPr>
          <w:snapToGrid w:val="0"/>
        </w:rPr>
        <w:tab/>
        <w:t xml:space="preserve">any procedures specified under any applicable code or the residence contract for giving notice of intention to </w:t>
      </w:r>
      <w:r>
        <w:rPr>
          <w:snapToGrid w:val="0"/>
        </w:rPr>
        <w:lastRenderedPageBreak/>
        <w:t>terminate the residence contract and for termination of the residence contract have been complied with by the administering body of the retirement village,</w:t>
      </w:r>
    </w:p>
    <w:p>
      <w:pPr>
        <w:pStyle w:val="Subsection"/>
        <w:spacing w:before="130"/>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spacing w:before="130"/>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spacing w:before="60"/>
        <w:rPr>
          <w:snapToGrid w:val="0"/>
        </w:rPr>
      </w:pPr>
      <w:r>
        <w:rPr>
          <w:snapToGrid w:val="0"/>
        </w:rPr>
        <w:tab/>
        <w:t>(b)</w:t>
      </w:r>
      <w:r>
        <w:rPr>
          <w:snapToGrid w:val="0"/>
        </w:rPr>
        <w:tab/>
        <w:t>persistent breaches by the resident are, in the circumstances of the case, such as to justify termination of the contract; or</w:t>
      </w:r>
    </w:p>
    <w:p>
      <w:pPr>
        <w:pStyle w:val="Indenta"/>
        <w:spacing w:before="60"/>
        <w:rPr>
          <w:snapToGrid w:val="0"/>
        </w:rPr>
      </w:pPr>
      <w:r>
        <w:rPr>
          <w:snapToGrid w:val="0"/>
        </w:rPr>
        <w:tab/>
        <w:t>(c)</w:t>
      </w:r>
      <w:r>
        <w:rPr>
          <w:snapToGrid w:val="0"/>
        </w:rPr>
        <w:tab/>
        <w:t>having considered the circumstances of the case, it is otherwise appropriate to do so.</w:t>
      </w:r>
    </w:p>
    <w:p>
      <w:pPr>
        <w:pStyle w:val="Subsection"/>
        <w:spacing w:before="130"/>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spacing w:before="130"/>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spacing w:before="100"/>
      </w:pPr>
      <w:r>
        <w:tab/>
        <w:t>[Section 59 amended: No. 55 of 2004 s. 1044.]</w:t>
      </w:r>
    </w:p>
    <w:p>
      <w:pPr>
        <w:pStyle w:val="Heading5"/>
        <w:spacing w:before="200"/>
        <w:rPr>
          <w:snapToGrid w:val="0"/>
        </w:rPr>
      </w:pPr>
      <w:bookmarkStart w:id="81" w:name="_Toc131509293"/>
      <w:r>
        <w:rPr>
          <w:rStyle w:val="CharSectno"/>
        </w:rPr>
        <w:t>60</w:t>
      </w:r>
      <w:r>
        <w:rPr>
          <w:snapToGrid w:val="0"/>
        </w:rPr>
        <w:t>.</w:t>
      </w:r>
      <w:r>
        <w:rPr>
          <w:snapToGrid w:val="0"/>
        </w:rPr>
        <w:tab/>
        <w:t>Parties to minimise loss from breach of residence contract</w:t>
      </w:r>
      <w:bookmarkEnd w:id="81"/>
    </w:p>
    <w:p>
      <w:pPr>
        <w:pStyle w:val="Subsection"/>
        <w:spacing w:before="130"/>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spacing w:before="130"/>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82" w:name="_Toc131509294"/>
      <w:r>
        <w:rPr>
          <w:rStyle w:val="CharSectno"/>
        </w:rPr>
        <w:lastRenderedPageBreak/>
        <w:t>61</w:t>
      </w:r>
      <w:r>
        <w:rPr>
          <w:snapToGrid w:val="0"/>
        </w:rPr>
        <w:t>.</w:t>
      </w:r>
      <w:r>
        <w:rPr>
          <w:snapToGrid w:val="0"/>
        </w:rPr>
        <w:tab/>
        <w:t>SAT may waive defect in notice of intention to terminate</w:t>
      </w:r>
      <w:bookmarkEnd w:id="82"/>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No. 55 of 2004 s. 1044.]</w:t>
      </w:r>
    </w:p>
    <w:p>
      <w:pPr>
        <w:pStyle w:val="Heading5"/>
        <w:rPr>
          <w:snapToGrid w:val="0"/>
        </w:rPr>
      </w:pPr>
      <w:bookmarkStart w:id="83" w:name="_Toc131509295"/>
      <w:r>
        <w:rPr>
          <w:rStyle w:val="CharSectno"/>
        </w:rPr>
        <w:t>62</w:t>
      </w:r>
      <w:r>
        <w:rPr>
          <w:snapToGrid w:val="0"/>
        </w:rPr>
        <w:t>.</w:t>
      </w:r>
      <w:r>
        <w:rPr>
          <w:snapToGrid w:val="0"/>
        </w:rPr>
        <w:tab/>
        <w:t>SAT may terminate residence contract where resident causes serious damage or injury</w:t>
      </w:r>
      <w:bookmarkEnd w:id="83"/>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snapToGrid w:val="0"/>
        </w:rPr>
      </w:pPr>
      <w:r>
        <w:rPr>
          <w:snapToGrid w:val="0"/>
          <w:spacing w:val="-6"/>
        </w:rPr>
        <w:tab/>
        <w:t>(a)</w:t>
      </w:r>
      <w:r>
        <w:rPr>
          <w:snapToGrid w:val="0"/>
          <w:spacing w:val="-6"/>
        </w:rPr>
        <w:tab/>
      </w:r>
      <w:r>
        <w:rPr>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lastRenderedPageBreak/>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No. 55 of 2004 s. 1044.]</w:t>
      </w:r>
    </w:p>
    <w:p>
      <w:pPr>
        <w:pStyle w:val="Heading5"/>
        <w:rPr>
          <w:snapToGrid w:val="0"/>
        </w:rPr>
      </w:pPr>
      <w:bookmarkStart w:id="84" w:name="_Toc131509296"/>
      <w:r>
        <w:rPr>
          <w:rStyle w:val="CharSectno"/>
        </w:rPr>
        <w:t>63</w:t>
      </w:r>
      <w:r>
        <w:rPr>
          <w:snapToGrid w:val="0"/>
        </w:rPr>
        <w:t>.</w:t>
      </w:r>
      <w:r>
        <w:rPr>
          <w:snapToGrid w:val="0"/>
        </w:rPr>
        <w:tab/>
        <w:t>SAT may terminate residence contract where administering body would otherwise suffer undue hardship</w:t>
      </w:r>
      <w:bookmarkEnd w:id="84"/>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No. 55 of 2004 s. 1044.]</w:t>
      </w:r>
    </w:p>
    <w:p>
      <w:pPr>
        <w:pStyle w:val="Heading5"/>
        <w:rPr>
          <w:snapToGrid w:val="0"/>
        </w:rPr>
      </w:pPr>
      <w:bookmarkStart w:id="85" w:name="_Toc131509297"/>
      <w:r>
        <w:rPr>
          <w:rStyle w:val="CharSectno"/>
        </w:rPr>
        <w:t>64</w:t>
      </w:r>
      <w:r>
        <w:rPr>
          <w:snapToGrid w:val="0"/>
        </w:rPr>
        <w:t>.</w:t>
      </w:r>
      <w:r>
        <w:rPr>
          <w:snapToGrid w:val="0"/>
        </w:rPr>
        <w:tab/>
        <w:t>Suspension or refusal of orders to terminate</w:t>
      </w:r>
      <w:bookmarkEnd w:id="85"/>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w:t>
      </w:r>
    </w:p>
    <w:p>
      <w:pPr>
        <w:pStyle w:val="Indenta"/>
        <w:rPr>
          <w:snapToGrid w:val="0"/>
        </w:rPr>
      </w:pPr>
      <w:r>
        <w:rPr>
          <w:snapToGrid w:val="0"/>
        </w:rPr>
        <w:tab/>
        <w:t>(a)</w:t>
      </w:r>
      <w:r>
        <w:rPr>
          <w:snapToGrid w:val="0"/>
        </w:rPr>
        <w:tab/>
        <w:t>the resident; and</w:t>
      </w:r>
    </w:p>
    <w:p>
      <w:pPr>
        <w:pStyle w:val="Indenta"/>
        <w:rPr>
          <w:snapToGrid w:val="0"/>
        </w:rPr>
      </w:pPr>
      <w:r>
        <w:rPr>
          <w:snapToGrid w:val="0"/>
        </w:rPr>
        <w:lastRenderedPageBreak/>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w:t>
      </w:r>
    </w:p>
    <w:p>
      <w:pPr>
        <w:pStyle w:val="Indenta"/>
        <w:rPr>
          <w:snapToGrid w:val="0"/>
        </w:rPr>
      </w:pPr>
      <w:r>
        <w:rPr>
          <w:snapToGrid w:val="0"/>
        </w:rPr>
        <w:tab/>
        <w:t>(a)</w:t>
      </w:r>
      <w:r>
        <w:rPr>
          <w:snapToGrid w:val="0"/>
        </w:rPr>
        <w:tab/>
        <w:t>the administering body was wholly or partly motivated to seek the termination of the contract by the fact that —</w:t>
      </w:r>
    </w:p>
    <w:p>
      <w:pPr>
        <w:pStyle w:val="Indenti"/>
        <w:rPr>
          <w:snapToGrid w:val="0"/>
        </w:rPr>
      </w:pPr>
      <w:r>
        <w:rPr>
          <w:snapToGrid w:val="0"/>
        </w:rPr>
        <w:tab/>
        <w:t>(i)</w:t>
      </w:r>
      <w:r>
        <w:rPr>
          <w:snapToGrid w:val="0"/>
        </w:rPr>
        <w:tab/>
        <w:t>the resident had applied or proposed to apply to the State Administrative Tribunal for an order; or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No. 55 of 2004 s. 1044.]</w:t>
      </w:r>
    </w:p>
    <w:p>
      <w:pPr>
        <w:pStyle w:val="Heading5"/>
        <w:rPr>
          <w:snapToGrid w:val="0"/>
        </w:rPr>
      </w:pPr>
      <w:bookmarkStart w:id="86" w:name="_Toc131509298"/>
      <w:r>
        <w:rPr>
          <w:rStyle w:val="CharSectno"/>
        </w:rPr>
        <w:t>65</w:t>
      </w:r>
      <w:r>
        <w:rPr>
          <w:snapToGrid w:val="0"/>
        </w:rPr>
        <w:t>.</w:t>
      </w:r>
      <w:r>
        <w:rPr>
          <w:snapToGrid w:val="0"/>
        </w:rPr>
        <w:tab/>
        <w:t>Prohibition on certain recovery proceedings in courts etc.</w:t>
      </w:r>
      <w:bookmarkEnd w:id="86"/>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87" w:name="_Toc131509299"/>
      <w:r>
        <w:rPr>
          <w:rStyle w:val="CharSectno"/>
        </w:rPr>
        <w:lastRenderedPageBreak/>
        <w:t>66</w:t>
      </w:r>
      <w:r>
        <w:rPr>
          <w:snapToGrid w:val="0"/>
        </w:rPr>
        <w:t>.</w:t>
      </w:r>
      <w:r>
        <w:rPr>
          <w:snapToGrid w:val="0"/>
        </w:rPr>
        <w:tab/>
        <w:t>Recovery of possession of premises prohibited except by order</w:t>
      </w:r>
      <w:bookmarkEnd w:id="87"/>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No. 55 of 2004 s. 1044.]</w:t>
      </w:r>
    </w:p>
    <w:p>
      <w:pPr>
        <w:pStyle w:val="Heading5"/>
        <w:rPr>
          <w:snapToGrid w:val="0"/>
        </w:rPr>
      </w:pPr>
      <w:bookmarkStart w:id="88" w:name="_Toc131509300"/>
      <w:r>
        <w:rPr>
          <w:rStyle w:val="CharSectno"/>
        </w:rPr>
        <w:t>67</w:t>
      </w:r>
      <w:r>
        <w:rPr>
          <w:snapToGrid w:val="0"/>
        </w:rPr>
        <w:t>.</w:t>
      </w:r>
      <w:r>
        <w:rPr>
          <w:snapToGrid w:val="0"/>
        </w:rPr>
        <w:tab/>
        <w:t>Liability of resident remaining in possession</w:t>
      </w:r>
      <w:bookmarkEnd w:id="88"/>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No. 55 of 2004 s. 1044.]</w:t>
      </w:r>
    </w:p>
    <w:p>
      <w:pPr>
        <w:pStyle w:val="Heading5"/>
        <w:rPr>
          <w:snapToGrid w:val="0"/>
        </w:rPr>
      </w:pPr>
      <w:bookmarkStart w:id="89" w:name="_Toc131509301"/>
      <w:r>
        <w:rPr>
          <w:rStyle w:val="CharSectno"/>
        </w:rPr>
        <w:lastRenderedPageBreak/>
        <w:t>68</w:t>
      </w:r>
      <w:r>
        <w:rPr>
          <w:snapToGrid w:val="0"/>
        </w:rPr>
        <w:t>.</w:t>
      </w:r>
      <w:r>
        <w:rPr>
          <w:snapToGrid w:val="0"/>
        </w:rPr>
        <w:tab/>
        <w:t>Abandoned premises</w:t>
      </w:r>
      <w:bookmarkEnd w:id="89"/>
    </w:p>
    <w:p>
      <w:pPr>
        <w:pStyle w:val="Subsection"/>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No. 55 of 2004 s. 1044.]</w:t>
      </w:r>
    </w:p>
    <w:p>
      <w:pPr>
        <w:pStyle w:val="Heading5"/>
        <w:rPr>
          <w:snapToGrid w:val="0"/>
        </w:rPr>
      </w:pPr>
      <w:bookmarkStart w:id="90" w:name="_Toc131509302"/>
      <w:r>
        <w:rPr>
          <w:rStyle w:val="CharSectno"/>
        </w:rPr>
        <w:t>69</w:t>
      </w:r>
      <w:r>
        <w:rPr>
          <w:snapToGrid w:val="0"/>
        </w:rPr>
        <w:t>.</w:t>
      </w:r>
      <w:r>
        <w:rPr>
          <w:snapToGrid w:val="0"/>
        </w:rPr>
        <w:tab/>
        <w:t>Right of administering body to compensation where resident abandons premises</w:t>
      </w:r>
      <w:bookmarkEnd w:id="90"/>
    </w:p>
    <w:p>
      <w:pPr>
        <w:pStyle w:val="Subsection"/>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No. 55 of 2004 s. 1044.]</w:t>
      </w:r>
    </w:p>
    <w:p>
      <w:pPr>
        <w:pStyle w:val="Heading5"/>
        <w:rPr>
          <w:snapToGrid w:val="0"/>
        </w:rPr>
      </w:pPr>
      <w:bookmarkStart w:id="91" w:name="_Toc131509303"/>
      <w:r>
        <w:rPr>
          <w:rStyle w:val="CharSectno"/>
        </w:rPr>
        <w:t>70</w:t>
      </w:r>
      <w:r>
        <w:rPr>
          <w:snapToGrid w:val="0"/>
        </w:rPr>
        <w:t>.</w:t>
      </w:r>
      <w:r>
        <w:rPr>
          <w:snapToGrid w:val="0"/>
        </w:rPr>
        <w:tab/>
        <w:t>Goods abandoned by resident after residence contract is terminated</w:t>
      </w:r>
      <w:bookmarkEnd w:id="91"/>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lastRenderedPageBreak/>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keepNext/>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w:t>
      </w:r>
    </w:p>
    <w:p>
      <w:pPr>
        <w:pStyle w:val="Indenta"/>
        <w:rPr>
          <w:snapToGrid w:val="0"/>
        </w:rPr>
      </w:pPr>
      <w:r>
        <w:rPr>
          <w:snapToGrid w:val="0"/>
        </w:rPr>
        <w:tab/>
        <w:t>(a)</w:t>
      </w:r>
      <w:r>
        <w:rPr>
          <w:snapToGrid w:val="0"/>
        </w:rPr>
        <w:tab/>
        <w:t>an order authorising the removal, destruction or disposal of the goods;</w:t>
      </w:r>
    </w:p>
    <w:p>
      <w:pPr>
        <w:pStyle w:val="Indenta"/>
        <w:rPr>
          <w:snapToGrid w:val="0"/>
        </w:rPr>
      </w:pPr>
      <w:r>
        <w:rPr>
          <w:snapToGrid w:val="0"/>
        </w:rPr>
        <w:tab/>
        <w:t>(b)</w:t>
      </w:r>
      <w:r>
        <w:rPr>
          <w:snapToGrid w:val="0"/>
        </w:rPr>
        <w:tab/>
        <w:t>an order authorising the sale of the goods;</w:t>
      </w:r>
    </w:p>
    <w:p>
      <w:pPr>
        <w:pStyle w:val="Indenta"/>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rPr>
          <w:snapToGrid w:val="0"/>
        </w:rPr>
      </w:pPr>
      <w:r>
        <w:rPr>
          <w:snapToGrid w:val="0"/>
        </w:rPr>
        <w:tab/>
        <w:t>(d)</w:t>
      </w:r>
      <w:r>
        <w:rPr>
          <w:snapToGrid w:val="0"/>
        </w:rPr>
        <w:tab/>
        <w:t>an order as to the manner of sale of the goods;</w:t>
      </w:r>
    </w:p>
    <w:p>
      <w:pPr>
        <w:pStyle w:val="Indenta"/>
        <w:rPr>
          <w:snapToGrid w:val="0"/>
        </w:rPr>
      </w:pPr>
      <w:r>
        <w:rPr>
          <w:snapToGrid w:val="0"/>
        </w:rPr>
        <w:tab/>
        <w:t>(e)</w:t>
      </w:r>
      <w:r>
        <w:rPr>
          <w:snapToGrid w:val="0"/>
        </w:rPr>
        <w:tab/>
        <w:t>an order as to the proceeds of sale of the goods;</w:t>
      </w:r>
    </w:p>
    <w:p>
      <w:pPr>
        <w:pStyle w:val="Indenta"/>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No. 55 of 2004 s. 1044.]</w:t>
      </w:r>
    </w:p>
    <w:p>
      <w:pPr>
        <w:pStyle w:val="Ednotesection"/>
      </w:pPr>
      <w:r>
        <w:t>[</w:t>
      </w:r>
      <w:r>
        <w:rPr>
          <w:b/>
        </w:rPr>
        <w:t>71</w:t>
      </w:r>
      <w:r>
        <w:rPr>
          <w:b/>
        </w:rPr>
        <w:noBreakHyphen/>
        <w:t>73.</w:t>
      </w:r>
      <w:r>
        <w:tab/>
        <w:t>Deleted: No. 55 of 2004 s. 1038.]</w:t>
      </w:r>
    </w:p>
    <w:p>
      <w:pPr>
        <w:pStyle w:val="Heading5"/>
        <w:rPr>
          <w:snapToGrid w:val="0"/>
        </w:rPr>
      </w:pPr>
      <w:bookmarkStart w:id="92" w:name="_Toc131509304"/>
      <w:r>
        <w:rPr>
          <w:rStyle w:val="CharSectno"/>
        </w:rPr>
        <w:t>74</w:t>
      </w:r>
      <w:r>
        <w:rPr>
          <w:snapToGrid w:val="0"/>
        </w:rPr>
        <w:t>.</w:t>
      </w:r>
      <w:r>
        <w:rPr>
          <w:snapToGrid w:val="0"/>
        </w:rPr>
        <w:tab/>
        <w:t>Protection</w:t>
      </w:r>
      <w:bookmarkEnd w:id="92"/>
    </w:p>
    <w:p>
      <w:pPr>
        <w:pStyle w:val="Subsection"/>
        <w:rPr>
          <w:snapToGrid w:val="0"/>
        </w:rPr>
      </w:pPr>
      <w:r>
        <w:rPr>
          <w:snapToGrid w:val="0"/>
        </w:rPr>
        <w:tab/>
      </w:r>
      <w:r>
        <w:rPr>
          <w:snapToGrid w:val="0"/>
        </w:rPr>
        <w:tab/>
        <w:t xml:space="preserve">No liability attaches to a member of a committee convened under a code to hear and mediate disputes within a retirement village, any such committee, or any other person for any act or omission by him or her or on his or her part or by any such </w:t>
      </w:r>
      <w:r>
        <w:rPr>
          <w:snapToGrid w:val="0"/>
        </w:rPr>
        <w:lastRenderedPageBreak/>
        <w:t>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No. 55 of 2004 s. 1039.]</w:t>
      </w:r>
    </w:p>
    <w:p>
      <w:pPr>
        <w:pStyle w:val="Heading2"/>
      </w:pPr>
      <w:bookmarkStart w:id="93" w:name="_Toc75341111"/>
      <w:bookmarkStart w:id="94" w:name="_Toc75342012"/>
      <w:bookmarkStart w:id="95" w:name="_Toc75447509"/>
      <w:bookmarkStart w:id="96" w:name="_Toc131507166"/>
      <w:bookmarkStart w:id="97" w:name="_Toc131507384"/>
      <w:bookmarkStart w:id="98" w:name="_Toc131509305"/>
      <w:r>
        <w:rPr>
          <w:rStyle w:val="CharPartNo"/>
        </w:rPr>
        <w:lastRenderedPageBreak/>
        <w:t>Part 5A</w:t>
      </w:r>
      <w:r>
        <w:rPr>
          <w:rStyle w:val="CharDivNo"/>
        </w:rPr>
        <w:t> </w:t>
      </w:r>
      <w:r>
        <w:t>—</w:t>
      </w:r>
      <w:r>
        <w:rPr>
          <w:rStyle w:val="CharDivText"/>
        </w:rPr>
        <w:t> </w:t>
      </w:r>
      <w:r>
        <w:rPr>
          <w:rStyle w:val="CharPartText"/>
        </w:rPr>
        <w:t>Statutory manager</w:t>
      </w:r>
      <w:bookmarkEnd w:id="93"/>
      <w:bookmarkEnd w:id="94"/>
      <w:bookmarkEnd w:id="95"/>
      <w:bookmarkEnd w:id="96"/>
      <w:bookmarkEnd w:id="97"/>
      <w:bookmarkEnd w:id="98"/>
    </w:p>
    <w:p>
      <w:pPr>
        <w:pStyle w:val="Footnoteheading"/>
      </w:pPr>
      <w:r>
        <w:tab/>
        <w:t>[Heading inserted: No. 36 of 2012 s. 16.]</w:t>
      </w:r>
    </w:p>
    <w:p>
      <w:pPr>
        <w:pStyle w:val="Heading5"/>
      </w:pPr>
      <w:bookmarkStart w:id="99" w:name="_Toc131509306"/>
      <w:r>
        <w:rPr>
          <w:rStyle w:val="CharSectno"/>
        </w:rPr>
        <w:t>75A</w:t>
      </w:r>
      <w:r>
        <w:t>.</w:t>
      </w:r>
      <w:r>
        <w:tab/>
        <w:t>Terms used</w:t>
      </w:r>
      <w:bookmarkEnd w:id="99"/>
    </w:p>
    <w:p>
      <w:pPr>
        <w:pStyle w:val="Subsection"/>
        <w:spacing w:before="120"/>
      </w:pPr>
      <w:r>
        <w:tab/>
      </w:r>
      <w:r>
        <w:tab/>
        <w:t xml:space="preserve">In this Part — </w:t>
      </w:r>
    </w:p>
    <w:p>
      <w:pPr>
        <w:pStyle w:val="Defstart"/>
        <w:spacing w:before="60"/>
      </w:pPr>
      <w:r>
        <w:tab/>
      </w:r>
      <w:r>
        <w:rPr>
          <w:rStyle w:val="CharDefText"/>
        </w:rPr>
        <w:t>assets</w:t>
      </w:r>
      <w:r>
        <w:t xml:space="preserve">, of the administering body of a retirement village, means — </w:t>
      </w:r>
    </w:p>
    <w:p>
      <w:pPr>
        <w:pStyle w:val="Defpara"/>
        <w:spacing w:before="60"/>
      </w:pPr>
      <w:r>
        <w:tab/>
        <w:t>(a)</w:t>
      </w:r>
      <w:r>
        <w:tab/>
        <w:t>if the owner of land in the retirement village is the sole administering body of the retirement village — that land and any other property held for the purposes of the retirement village by the owner; or</w:t>
      </w:r>
    </w:p>
    <w:p>
      <w:pPr>
        <w:pStyle w:val="Defpara"/>
        <w:spacing w:before="60"/>
      </w:pPr>
      <w:r>
        <w:tab/>
        <w:t>(b)</w:t>
      </w:r>
      <w:r>
        <w:tab/>
        <w:t>if the owner of land in the retirement village is not the sole administering body of the retirement village — the land and property of the owner referred to in paragraph (a) and any other property held for the purposes of the retirement village by an administering body other than the owner;</w:t>
      </w:r>
    </w:p>
    <w:p>
      <w:pPr>
        <w:pStyle w:val="Defstart"/>
        <w:spacing w:before="60"/>
      </w:pPr>
      <w:r>
        <w:tab/>
      </w:r>
      <w:r>
        <w:rPr>
          <w:rStyle w:val="CharDefText"/>
        </w:rPr>
        <w:t>functions</w:t>
      </w:r>
      <w:r>
        <w:t>, of the administering body of a retirement village, means the powers and duties that the administering body exercises and performs in the administration of the retirement village under this Act or another written law;</w:t>
      </w:r>
    </w:p>
    <w:p>
      <w:pPr>
        <w:pStyle w:val="Defstart"/>
        <w:spacing w:before="60"/>
      </w:pPr>
      <w:r>
        <w:tab/>
      </w:r>
      <w:r>
        <w:rPr>
          <w:rStyle w:val="CharDefText"/>
        </w:rPr>
        <w:t>property</w:t>
      </w:r>
      <w:r>
        <w:t xml:space="preserve"> includes money, bank credits, travellers cheques, bank cheques, money orders, shares, securities, bonds, debt instruments, drafts and letters of credit;</w:t>
      </w:r>
    </w:p>
    <w:p>
      <w:pPr>
        <w:pStyle w:val="Defstart"/>
        <w:spacing w:before="60"/>
      </w:pPr>
      <w:r>
        <w:tab/>
      </w:r>
      <w:r>
        <w:rPr>
          <w:rStyle w:val="CharDefText"/>
        </w:rPr>
        <w:t>statutory manager</w:t>
      </w:r>
      <w:r>
        <w:t xml:space="preserve"> means a person appointed under section 75B.</w:t>
      </w:r>
    </w:p>
    <w:p>
      <w:pPr>
        <w:pStyle w:val="Footnotesection"/>
      </w:pPr>
      <w:r>
        <w:tab/>
        <w:t>[Section 75A inserted: No. 36 of 2012 s. 16.]</w:t>
      </w:r>
    </w:p>
    <w:p>
      <w:pPr>
        <w:pStyle w:val="Heading5"/>
      </w:pPr>
      <w:bookmarkStart w:id="100" w:name="_Toc131509307"/>
      <w:r>
        <w:rPr>
          <w:rStyle w:val="CharSectno"/>
        </w:rPr>
        <w:lastRenderedPageBreak/>
        <w:t>75B</w:t>
      </w:r>
      <w:r>
        <w:t>.</w:t>
      </w:r>
      <w:r>
        <w:tab/>
        <w:t>SAT may appoint statutory manager on application of Commissioner</w:t>
      </w:r>
      <w:bookmarkEnd w:id="100"/>
    </w:p>
    <w:p>
      <w:pPr>
        <w:pStyle w:val="Subsection"/>
        <w:keepNext/>
        <w:spacing w:before="120"/>
      </w:pPr>
      <w:r>
        <w:tab/>
        <w:t>(1)</w:t>
      </w:r>
      <w:r>
        <w:tab/>
        <w:t xml:space="preserve">The State Administrative Tribunal may, on application by the Commissioner under this section, make an order appointing one or more persons specified in the application to perform — </w:t>
      </w:r>
    </w:p>
    <w:p>
      <w:pPr>
        <w:pStyle w:val="Indenta"/>
        <w:spacing w:before="60"/>
      </w:pPr>
      <w:r>
        <w:tab/>
        <w:t>(a)</w:t>
      </w:r>
      <w:r>
        <w:tab/>
        <w:t>all the functions of the administering body of a retirement village; or</w:t>
      </w:r>
    </w:p>
    <w:p>
      <w:pPr>
        <w:pStyle w:val="Indenta"/>
      </w:pPr>
      <w:r>
        <w:tab/>
        <w:t>(b)</w:t>
      </w:r>
      <w:r>
        <w:tab/>
        <w:t>specified functions of the administering body of a retirement village; or</w:t>
      </w:r>
    </w:p>
    <w:p>
      <w:pPr>
        <w:pStyle w:val="Indenta"/>
      </w:pPr>
      <w:r>
        <w:tab/>
        <w:t>(c)</w:t>
      </w:r>
      <w:r>
        <w:tab/>
        <w:t>all the functions other than specified functions of the administering body of a retirement village,</w:t>
      </w:r>
    </w:p>
    <w:p>
      <w:pPr>
        <w:pStyle w:val="Subsection"/>
      </w:pPr>
      <w:r>
        <w:tab/>
      </w:r>
      <w:r>
        <w:tab/>
        <w:t>and may make such other orders as the State Administrative Tribunal thinks fit.</w:t>
      </w:r>
    </w:p>
    <w:p>
      <w:pPr>
        <w:pStyle w:val="Subsection"/>
      </w:pPr>
      <w:r>
        <w:tab/>
        <w:t>(2)</w:t>
      </w:r>
      <w:r>
        <w:tab/>
        <w:t xml:space="preserve">An application under this section is to be accompanied by — </w:t>
      </w:r>
    </w:p>
    <w:p>
      <w:pPr>
        <w:pStyle w:val="Indenta"/>
      </w:pPr>
      <w:r>
        <w:tab/>
        <w:t>(a)</w:t>
      </w:r>
      <w:r>
        <w:tab/>
        <w:t>a copy of the consent given under section 75C(1) by each person to be appointed; and</w:t>
      </w:r>
    </w:p>
    <w:p>
      <w:pPr>
        <w:pStyle w:val="Indenta"/>
      </w:pPr>
      <w:r>
        <w:tab/>
        <w:t>(b)</w:t>
      </w:r>
      <w:r>
        <w:tab/>
        <w:t>the Commissioner’s recommendations as to the statutory manager’s terms and conditions to be dealt with in the order under section 75E.</w:t>
      </w:r>
    </w:p>
    <w:p>
      <w:pPr>
        <w:pStyle w:val="Subsection"/>
      </w:pPr>
      <w:r>
        <w:tab/>
        <w:t>(3)</w:t>
      </w:r>
      <w:r>
        <w:tab/>
        <w:t>The Commissioner must give a copy of the application to the administering body.</w:t>
      </w:r>
    </w:p>
    <w:p>
      <w:pPr>
        <w:pStyle w:val="Subsection"/>
      </w:pPr>
      <w:r>
        <w:tab/>
        <w:t>(4)</w:t>
      </w:r>
      <w:r>
        <w:tab/>
        <w:t xml:space="preserve">For the purposes of the </w:t>
      </w:r>
      <w:r>
        <w:rPr>
          <w:i/>
        </w:rPr>
        <w:t>State Administrative Tribunal Act 2004</w:t>
      </w:r>
      <w:r>
        <w:t xml:space="preserve"> section 36, the administering body is a party to the proceeding on an application under this section.</w:t>
      </w:r>
    </w:p>
    <w:p>
      <w:pPr>
        <w:pStyle w:val="Subsection"/>
      </w:pPr>
      <w:r>
        <w:tab/>
        <w:t>(5)</w:t>
      </w:r>
      <w:r>
        <w:tab/>
        <w:t xml:space="preserve">The State Administrative Tribunal may make an order appointing a statutory manager only if the State Administrative Tribunal is satisfied that — </w:t>
      </w:r>
    </w:p>
    <w:p>
      <w:pPr>
        <w:pStyle w:val="Indenta"/>
      </w:pPr>
      <w:r>
        <w:tab/>
        <w:t>(a)</w:t>
      </w:r>
      <w:r>
        <w:tab/>
        <w:t>the wellbeing or financial interests of the residents of the retirement village may be at risk if the administering body continued to perform all the functions of the administering body of the retirement village; or</w:t>
      </w:r>
    </w:p>
    <w:p>
      <w:pPr>
        <w:pStyle w:val="Indenta"/>
      </w:pPr>
      <w:r>
        <w:lastRenderedPageBreak/>
        <w:tab/>
        <w:t>(b)</w:t>
      </w:r>
      <w:r>
        <w:tab/>
        <w:t>the administering body has contravened, or is contravening, an order made by the State Administrative Tribunal or a court in relation to the administering body or the retirement village; or</w:t>
      </w:r>
    </w:p>
    <w:p>
      <w:pPr>
        <w:pStyle w:val="Indenta"/>
      </w:pPr>
      <w:r>
        <w:tab/>
        <w:t>(c)</w:t>
      </w:r>
      <w:r>
        <w:tab/>
        <w:t>the administering body has contravened, or is contravening, section 18 or another provision of this Act, or a provision of the regulations, prescribed for the purposes of this subsection.</w:t>
      </w:r>
    </w:p>
    <w:p>
      <w:pPr>
        <w:pStyle w:val="Subsection"/>
      </w:pPr>
      <w:r>
        <w:tab/>
        <w:t>(6)</w:t>
      </w:r>
      <w:r>
        <w:tab/>
        <w:t>Without limiting the matters to which the State Administrative Tribunal may have regard for the purposes of subsection (5)(a), for those purposes the State Administrative Tribunal must have regard to any prescribed provisions of any applicable code.</w:t>
      </w:r>
    </w:p>
    <w:p>
      <w:pPr>
        <w:pStyle w:val="Subsection"/>
      </w:pPr>
      <w:r>
        <w:tab/>
        <w:t>(7)</w:t>
      </w:r>
      <w:r>
        <w:tab/>
        <w:t>If 2 or more persons are appointed under subsection (1), a function of the administering body to be performed by the statutory manager under this Part may be performed by any one of them, or by any 2 or more of them together, except to the extent that the order appointing them provides otherwise.</w:t>
      </w:r>
    </w:p>
    <w:p>
      <w:pPr>
        <w:pStyle w:val="Subsection"/>
      </w:pPr>
      <w:r>
        <w:tab/>
        <w:t>(8)</w:t>
      </w:r>
      <w:r>
        <w:tab/>
        <w:t>Unless sooner revoked, an order under this section has effect for the period specified in the order.</w:t>
      </w:r>
    </w:p>
    <w:p>
      <w:pPr>
        <w:pStyle w:val="Subsection"/>
      </w:pPr>
      <w:r>
        <w:tab/>
        <w:t>(9)</w:t>
      </w:r>
      <w:r>
        <w:tab/>
        <w:t>The State Administrative Tribunal is not to require the Commissioner, as a condition of granting an application under this section, to give an undertaking as to damages.</w:t>
      </w:r>
    </w:p>
    <w:p>
      <w:pPr>
        <w:pStyle w:val="Footnotesection"/>
      </w:pPr>
      <w:r>
        <w:tab/>
        <w:t>[Section 75B inserted: No. 36 of 2012 s. 16.]</w:t>
      </w:r>
    </w:p>
    <w:p>
      <w:pPr>
        <w:pStyle w:val="Heading5"/>
      </w:pPr>
      <w:bookmarkStart w:id="101" w:name="_Toc131509308"/>
      <w:r>
        <w:rPr>
          <w:rStyle w:val="CharSectno"/>
        </w:rPr>
        <w:t>75C</w:t>
      </w:r>
      <w:r>
        <w:t>.</w:t>
      </w:r>
      <w:r>
        <w:tab/>
        <w:t>Proposed statutory manager must consent to appointment</w:t>
      </w:r>
      <w:bookmarkEnd w:id="101"/>
    </w:p>
    <w:p>
      <w:pPr>
        <w:pStyle w:val="Subsection"/>
      </w:pPr>
      <w:r>
        <w:tab/>
        <w:t>(1)</w:t>
      </w:r>
      <w:r>
        <w:tab/>
        <w:t>The Commissioner is not to make an application for an order under section 75B appointing a person to be a statutory manager unless the person has given the Commissioner written consent to the application.</w:t>
      </w:r>
    </w:p>
    <w:p>
      <w:pPr>
        <w:pStyle w:val="Subsection"/>
        <w:keepNext/>
      </w:pPr>
      <w:r>
        <w:tab/>
        <w:t>(2)</w:t>
      </w:r>
      <w:r>
        <w:tab/>
        <w:t xml:space="preserve">The order appointing a person to be a statutory manager does not have effect unless the person has given the Commissioner </w:t>
      </w:r>
      <w:r>
        <w:lastRenderedPageBreak/>
        <w:t>written consent under subsection (1) and has not withdrawn that consent as at the time of the appointment.</w:t>
      </w:r>
    </w:p>
    <w:p>
      <w:pPr>
        <w:pStyle w:val="Footnotesection"/>
      </w:pPr>
      <w:r>
        <w:tab/>
        <w:t>[Section 75C inserted: No. 36 of 2012 s. 16.]</w:t>
      </w:r>
    </w:p>
    <w:p>
      <w:pPr>
        <w:pStyle w:val="Heading5"/>
      </w:pPr>
      <w:bookmarkStart w:id="102" w:name="_Toc131509309"/>
      <w:r>
        <w:rPr>
          <w:rStyle w:val="CharSectno"/>
        </w:rPr>
        <w:t>75D</w:t>
      </w:r>
      <w:r>
        <w:t>.</w:t>
      </w:r>
      <w:r>
        <w:tab/>
        <w:t>Variation and revocation of orders</w:t>
      </w:r>
      <w:bookmarkEnd w:id="102"/>
    </w:p>
    <w:p>
      <w:pPr>
        <w:pStyle w:val="Subsection"/>
        <w:keepNext/>
      </w:pPr>
      <w:r>
        <w:tab/>
        <w:t>(1)</w:t>
      </w:r>
      <w:r>
        <w:tab/>
        <w:t xml:space="preserve">In this section — </w:t>
      </w:r>
    </w:p>
    <w:p>
      <w:pPr>
        <w:pStyle w:val="Defstart"/>
        <w:keepNext/>
      </w:pPr>
      <w:r>
        <w:tab/>
      </w:r>
      <w:r>
        <w:rPr>
          <w:rStyle w:val="CharDefText"/>
        </w:rPr>
        <w:t>other persons</w:t>
      </w:r>
      <w:r>
        <w:t xml:space="preserve"> means — </w:t>
      </w:r>
    </w:p>
    <w:p>
      <w:pPr>
        <w:pStyle w:val="Defpara"/>
      </w:pPr>
      <w:r>
        <w:tab/>
        <w:t>(a)</w:t>
      </w:r>
      <w:r>
        <w:tab/>
        <w:t>if an application is made under this section by the Commissioner — the administering body of the retirement village and the statutory manager;</w:t>
      </w:r>
    </w:p>
    <w:p>
      <w:pPr>
        <w:pStyle w:val="Defpara"/>
      </w:pPr>
      <w:r>
        <w:tab/>
        <w:t>(b)</w:t>
      </w:r>
      <w:r>
        <w:tab/>
        <w:t>if an application is made under this section by the administering body of the retirement village — the Commissioner and the statutory manager;</w:t>
      </w:r>
    </w:p>
    <w:p>
      <w:pPr>
        <w:pStyle w:val="Defpara"/>
      </w:pPr>
      <w:r>
        <w:tab/>
        <w:t>(c)</w:t>
      </w:r>
      <w:r>
        <w:tab/>
        <w:t>if an application is made under this section by the statutory manager — the Commissioner and the administering body of the retirement village.</w:t>
      </w:r>
    </w:p>
    <w:p>
      <w:pPr>
        <w:pStyle w:val="Subsection"/>
      </w:pPr>
      <w:r>
        <w:tab/>
        <w:t>(2)</w:t>
      </w:r>
      <w:r>
        <w:tab/>
        <w:t>The State Administrative Tribunal may, on application by the Commissioner, the administering body of the retirement village or the statutory manager under this section, vary or revoke an order appointing a statutory manager under section 75B.</w:t>
      </w:r>
    </w:p>
    <w:p>
      <w:pPr>
        <w:pStyle w:val="Subsection"/>
      </w:pPr>
      <w:r>
        <w:tab/>
        <w:t>(3)</w:t>
      </w:r>
      <w:r>
        <w:tab/>
        <w:t>The applicant must give a copy of the application to the other persons.</w:t>
      </w:r>
    </w:p>
    <w:p>
      <w:pPr>
        <w:pStyle w:val="Subsection"/>
      </w:pPr>
      <w:r>
        <w:tab/>
        <w:t>(4)</w:t>
      </w:r>
      <w:r>
        <w:tab/>
        <w:t>The State Administrative Tribunal may give any directions it considers necessary or expedient for the purposes of this section.</w:t>
      </w:r>
    </w:p>
    <w:p>
      <w:pPr>
        <w:pStyle w:val="Subsection"/>
      </w:pPr>
      <w:r>
        <w:tab/>
        <w:t>(5)</w:t>
      </w:r>
      <w:r>
        <w:tab/>
        <w:t xml:space="preserve">For the purposes of the </w:t>
      </w:r>
      <w:r>
        <w:rPr>
          <w:i/>
        </w:rPr>
        <w:t>State Administrative Tribunal Act 2004</w:t>
      </w:r>
      <w:r>
        <w:t xml:space="preserve"> section 36, the other persons are parties to the proceeding on an application under this section.</w:t>
      </w:r>
    </w:p>
    <w:p>
      <w:pPr>
        <w:pStyle w:val="Footnotesection"/>
      </w:pPr>
      <w:r>
        <w:tab/>
        <w:t>[Section 75D inserted: No. 36 of 2012 s. 16.]</w:t>
      </w:r>
    </w:p>
    <w:p>
      <w:pPr>
        <w:pStyle w:val="Heading5"/>
      </w:pPr>
      <w:bookmarkStart w:id="103" w:name="_Toc131509310"/>
      <w:r>
        <w:rPr>
          <w:rStyle w:val="CharSectno"/>
        </w:rPr>
        <w:lastRenderedPageBreak/>
        <w:t>75E</w:t>
      </w:r>
      <w:r>
        <w:t>.</w:t>
      </w:r>
      <w:r>
        <w:tab/>
        <w:t>Matters to be dealt with in order appointing a statutory manager</w:t>
      </w:r>
      <w:bookmarkEnd w:id="103"/>
    </w:p>
    <w:p>
      <w:pPr>
        <w:pStyle w:val="Subsection"/>
        <w:keepNext/>
      </w:pPr>
      <w:r>
        <w:tab/>
        <w:t>(1)</w:t>
      </w:r>
      <w:r>
        <w:tab/>
        <w:t xml:space="preserve">An order under section 75B appointing a statutory manager is to — </w:t>
      </w:r>
    </w:p>
    <w:p>
      <w:pPr>
        <w:pStyle w:val="Indenta"/>
      </w:pPr>
      <w:r>
        <w:tab/>
        <w:t>(a)</w:t>
      </w:r>
      <w:r>
        <w:tab/>
        <w:t>set out the terms and conditions that the State Administrative Tribunal considers appropriate to the appointment, including terms and conditions as to the remuneration and expenses payable to the statutory manager; and</w:t>
      </w:r>
    </w:p>
    <w:p>
      <w:pPr>
        <w:pStyle w:val="Indenta"/>
      </w:pPr>
      <w:r>
        <w:tab/>
        <w:t>(b)</w:t>
      </w:r>
      <w:r>
        <w:tab/>
        <w:t>specify the assets of the administering body of the retirement village that are to be under the control of the statutory manager; and</w:t>
      </w:r>
    </w:p>
    <w:p>
      <w:pPr>
        <w:pStyle w:val="Indenta"/>
      </w:pPr>
      <w:r>
        <w:tab/>
        <w:t>(c)</w:t>
      </w:r>
      <w:r>
        <w:tab/>
        <w:t xml:space="preserve">specify the assets of the administering body of the retirement village that may be applied for the purpose of providing funds for — </w:t>
      </w:r>
    </w:p>
    <w:p>
      <w:pPr>
        <w:pStyle w:val="Indenti"/>
      </w:pPr>
      <w:r>
        <w:tab/>
        <w:t>(i)</w:t>
      </w:r>
      <w:r>
        <w:tab/>
        <w:t>the performance by the statutory manager of the functions of the administering body conferred on the statutory manager under section 75B(1); and</w:t>
      </w:r>
    </w:p>
    <w:p>
      <w:pPr>
        <w:pStyle w:val="Indenti"/>
      </w:pPr>
      <w:r>
        <w:tab/>
        <w:t>(ii)</w:t>
      </w:r>
      <w:r>
        <w:tab/>
        <w:t>the payment of the remuneration and expenses of the statutory manager.</w:t>
      </w:r>
    </w:p>
    <w:p>
      <w:pPr>
        <w:pStyle w:val="Subsection"/>
      </w:pPr>
      <w:r>
        <w:tab/>
        <w:t>(2)</w:t>
      </w:r>
      <w:r>
        <w:tab/>
        <w:t>The State Administrative Tribunal may give any directions it considers necessary or expedient for the purposes of this section.</w:t>
      </w:r>
    </w:p>
    <w:p>
      <w:pPr>
        <w:pStyle w:val="Subsection"/>
      </w:pPr>
      <w:r>
        <w:tab/>
        <w:t>(3)</w:t>
      </w:r>
      <w:r>
        <w:tab/>
        <w:t>Without limiting section 11, neither the Crown, the Minister nor the Commissioner is liable for the remuneration of a statutory manager or any expenses incurred by a statutory manager in performing any functions of the administering body of a retirement village.</w:t>
      </w:r>
    </w:p>
    <w:p>
      <w:pPr>
        <w:pStyle w:val="Footnotesection"/>
      </w:pPr>
      <w:r>
        <w:tab/>
        <w:t>[Section 75E inserted: No. 36 of 2012 s. 16.]</w:t>
      </w:r>
    </w:p>
    <w:p>
      <w:pPr>
        <w:pStyle w:val="Heading5"/>
      </w:pPr>
      <w:bookmarkStart w:id="104" w:name="_Toc131509311"/>
      <w:r>
        <w:rPr>
          <w:rStyle w:val="CharSectno"/>
        </w:rPr>
        <w:lastRenderedPageBreak/>
        <w:t>75F</w:t>
      </w:r>
      <w:r>
        <w:t>.</w:t>
      </w:r>
      <w:r>
        <w:tab/>
        <w:t>Other matters arising from appointment of statutory manager</w:t>
      </w:r>
      <w:bookmarkEnd w:id="104"/>
    </w:p>
    <w:p>
      <w:pPr>
        <w:pStyle w:val="Subsection"/>
        <w:keepNext/>
      </w:pPr>
      <w:r>
        <w:tab/>
        <w:t>(1)</w:t>
      </w:r>
      <w:r>
        <w:tab/>
        <w:t xml:space="preserve">In this section — </w:t>
      </w:r>
    </w:p>
    <w:p>
      <w:pPr>
        <w:pStyle w:val="Defstart"/>
      </w:pPr>
      <w:r>
        <w:tab/>
      </w:r>
      <w:r>
        <w:rPr>
          <w:rStyle w:val="CharDefText"/>
        </w:rPr>
        <w:t>appointed</w:t>
      </w:r>
      <w:r>
        <w:t xml:space="preserve"> means appointed by an order under section 75B.</w:t>
      </w:r>
    </w:p>
    <w:p>
      <w:pPr>
        <w:pStyle w:val="Subsection"/>
      </w:pPr>
      <w:r>
        <w:tab/>
        <w:t>(2)</w:t>
      </w:r>
      <w:r>
        <w:tab/>
        <w:t>The administering body of a retirement village must not, during the period of a statutory manager’s appointment, perform any of the administering body’s functions that the statutory manager is appointed to perform.</w:t>
      </w:r>
    </w:p>
    <w:p>
      <w:pPr>
        <w:pStyle w:val="Penstart"/>
      </w:pPr>
      <w:r>
        <w:tab/>
        <w:t>Penalty: a fine of $20 000.</w:t>
      </w:r>
    </w:p>
    <w:p>
      <w:pPr>
        <w:pStyle w:val="Subsection"/>
      </w:pPr>
      <w:r>
        <w:tab/>
        <w:t>(3)</w:t>
      </w:r>
      <w:r>
        <w:tab/>
        <w:t xml:space="preserve">Subject to any terms and conditions to which the appointment is subject, a statutory manager must perform any function of the administering body that the statutory manager is appointed to perform in accordance with any residence contract, service contract or other contract, agreement or arrangement — </w:t>
      </w:r>
    </w:p>
    <w:p>
      <w:pPr>
        <w:pStyle w:val="Indenta"/>
      </w:pPr>
      <w:r>
        <w:tab/>
        <w:t>(a)</w:t>
      </w:r>
      <w:r>
        <w:tab/>
        <w:t>to which the administering body is a party; and</w:t>
      </w:r>
    </w:p>
    <w:p>
      <w:pPr>
        <w:pStyle w:val="Indenta"/>
      </w:pPr>
      <w:r>
        <w:tab/>
        <w:t>(b)</w:t>
      </w:r>
      <w:r>
        <w:tab/>
        <w:t>that relates to the performance of that function.</w:t>
      </w:r>
    </w:p>
    <w:p>
      <w:pPr>
        <w:pStyle w:val="Subsection"/>
      </w:pPr>
      <w:r>
        <w:tab/>
        <w:t>(4)</w:t>
      </w:r>
      <w:r>
        <w:tab/>
        <w:t>Any act or thing done, in good faith, by or with the consent of a statutory manager in the performance of any function of the administering body that the statutory manager is appointed to perform is valid and effectual for the purposes of this Act.</w:t>
      </w:r>
    </w:p>
    <w:p>
      <w:pPr>
        <w:pStyle w:val="Subsection"/>
      </w:pPr>
      <w:r>
        <w:tab/>
        <w:t>(5)</w:t>
      </w:r>
      <w:r>
        <w:tab/>
        <w:t>A statutory manager must, in accordance with the regulations, provide the prescribed persons with the prescribed written information about the performance of any function of the administering body that the statutory manager is appointed to perform.</w:t>
      </w:r>
    </w:p>
    <w:p>
      <w:pPr>
        <w:pStyle w:val="Footnotesection"/>
      </w:pPr>
      <w:r>
        <w:tab/>
        <w:t>[Section 75F inserted: No. 36 of 2012 s. 16.]</w:t>
      </w:r>
    </w:p>
    <w:p>
      <w:pPr>
        <w:pStyle w:val="Heading5"/>
      </w:pPr>
      <w:bookmarkStart w:id="105" w:name="_Toc131509312"/>
      <w:r>
        <w:rPr>
          <w:rStyle w:val="CharSectno"/>
        </w:rPr>
        <w:t>75G</w:t>
      </w:r>
      <w:r>
        <w:t>.</w:t>
      </w:r>
      <w:r>
        <w:tab/>
        <w:t>Appointment of both statutory manager and external administrator</w:t>
      </w:r>
      <w:bookmarkEnd w:id="105"/>
    </w:p>
    <w:p>
      <w:pPr>
        <w:pStyle w:val="Subsection"/>
      </w:pPr>
      <w:r>
        <w:tab/>
        <w:t>(1)</w:t>
      </w:r>
      <w:r>
        <w:tab/>
        <w:t xml:space="preserve">In this section — </w:t>
      </w:r>
    </w:p>
    <w:p>
      <w:pPr>
        <w:pStyle w:val="Defstart"/>
      </w:pPr>
      <w:r>
        <w:tab/>
      </w:r>
      <w:r>
        <w:rPr>
          <w:rStyle w:val="CharDefText"/>
        </w:rPr>
        <w:t>external administration</w:t>
      </w:r>
      <w:r>
        <w:t xml:space="preserve"> means external administration under the </w:t>
      </w:r>
      <w:r>
        <w:rPr>
          <w:i/>
        </w:rPr>
        <w:t>Corporations Act 2001</w:t>
      </w:r>
      <w:r>
        <w:t xml:space="preserve"> (Commonwealth) Chapter 5;</w:t>
      </w:r>
    </w:p>
    <w:p>
      <w:pPr>
        <w:pStyle w:val="Defstart"/>
      </w:pPr>
      <w:r>
        <w:lastRenderedPageBreak/>
        <w:tab/>
      </w:r>
      <w:r>
        <w:rPr>
          <w:rStyle w:val="CharDefText"/>
        </w:rPr>
        <w:t>external administrator</w:t>
      </w:r>
      <w:r>
        <w:t xml:space="preserve"> means a person appointed under the </w:t>
      </w:r>
      <w:r>
        <w:rPr>
          <w:i/>
        </w:rPr>
        <w:t>Corporations Act 2001</w:t>
      </w:r>
      <w:r>
        <w:t xml:space="preserve"> (Commonwealth) for the purposes of the external administration of the administering body of a retirement village.</w:t>
      </w:r>
    </w:p>
    <w:p>
      <w:pPr>
        <w:pStyle w:val="Subsection"/>
      </w:pPr>
      <w:r>
        <w:tab/>
        <w:t>(2)</w:t>
      </w:r>
      <w:r>
        <w:tab/>
        <w:t xml:space="preserve">This section applies if the administering body of a retirement village is the subject of both — </w:t>
      </w:r>
    </w:p>
    <w:p>
      <w:pPr>
        <w:pStyle w:val="Indenta"/>
      </w:pPr>
      <w:r>
        <w:tab/>
        <w:t>(a)</w:t>
      </w:r>
      <w:r>
        <w:tab/>
        <w:t>the appointment by an order under section 75B of a statutory manager; and</w:t>
      </w:r>
    </w:p>
    <w:p>
      <w:pPr>
        <w:pStyle w:val="Indenta"/>
      </w:pPr>
      <w:r>
        <w:tab/>
        <w:t>(b)</w:t>
      </w:r>
      <w:r>
        <w:tab/>
        <w:t>the appointment of an external administrator.</w:t>
      </w:r>
    </w:p>
    <w:p>
      <w:pPr>
        <w:pStyle w:val="Subsection"/>
      </w:pPr>
      <w:r>
        <w:tab/>
        <w:t>(3)</w:t>
      </w:r>
      <w:r>
        <w:tab/>
        <w:t>The statutory manager is under a duty to tell the external administrator of the appointment of the statutory manager, whether the appointment precedes, follows or happens at the same time as the appointment of the external administrator.</w:t>
      </w:r>
    </w:p>
    <w:p>
      <w:pPr>
        <w:pStyle w:val="Subsection"/>
      </w:pPr>
      <w:r>
        <w:tab/>
        <w:t>(4)</w:t>
      </w:r>
      <w:r>
        <w:tab/>
        <w:t xml:space="preserve">The appointment of the statutory manager continues to have effect while the administering body is subject to external administration, but the statutory manager may perform any function that the statutory manager is appointed by an order under section 75B to perform — </w:t>
      </w:r>
    </w:p>
    <w:p>
      <w:pPr>
        <w:pStyle w:val="Indenta"/>
      </w:pPr>
      <w:r>
        <w:tab/>
        <w:t>(a)</w:t>
      </w:r>
      <w:r>
        <w:tab/>
        <w:t>only if authorised in writing by the external administrator to do so; and</w:t>
      </w:r>
    </w:p>
    <w:p>
      <w:pPr>
        <w:pStyle w:val="Indenta"/>
      </w:pPr>
      <w:r>
        <w:tab/>
        <w:t>(b)</w:t>
      </w:r>
      <w:r>
        <w:tab/>
        <w:t>subject to any condition or limitation specified in that authorisation.</w:t>
      </w:r>
    </w:p>
    <w:p>
      <w:pPr>
        <w:pStyle w:val="Footnotesection"/>
      </w:pPr>
      <w:r>
        <w:tab/>
        <w:t>[Section 75G inserted: No. 36 of 2012 s. 16.]</w:t>
      </w:r>
    </w:p>
    <w:p>
      <w:pPr>
        <w:pStyle w:val="Heading5"/>
      </w:pPr>
      <w:bookmarkStart w:id="106" w:name="_Toc131509313"/>
      <w:r>
        <w:rPr>
          <w:rStyle w:val="CharSectno"/>
        </w:rPr>
        <w:t>75H</w:t>
      </w:r>
      <w:r>
        <w:t>.</w:t>
      </w:r>
      <w:r>
        <w:tab/>
        <w:t>Administering body to cooperate with statutory manager</w:t>
      </w:r>
      <w:bookmarkEnd w:id="106"/>
    </w:p>
    <w:p>
      <w:pPr>
        <w:pStyle w:val="Subsection"/>
      </w:pPr>
      <w:r>
        <w:tab/>
        <w:t>(1)</w:t>
      </w:r>
      <w:r>
        <w:tab/>
        <w:t>In this section —</w:t>
      </w:r>
    </w:p>
    <w:p>
      <w:pPr>
        <w:pStyle w:val="Defstart"/>
      </w:pPr>
      <w:r>
        <w:tab/>
      </w:r>
      <w:r>
        <w:rPr>
          <w:rStyle w:val="CharDefText"/>
        </w:rPr>
        <w:t>records</w:t>
      </w:r>
      <w:r>
        <w:t xml:space="preserve"> includes documents and information;</w:t>
      </w:r>
    </w:p>
    <w:p>
      <w:pPr>
        <w:pStyle w:val="Defstart"/>
      </w:pPr>
      <w:r>
        <w:tab/>
      </w:r>
      <w:r>
        <w:rPr>
          <w:rStyle w:val="CharDefText"/>
        </w:rPr>
        <w:t>relevant</w:t>
      </w:r>
      <w:r>
        <w:t xml:space="preserve"> means relevant to the performance of a function referred to in subsection (2).</w:t>
      </w:r>
    </w:p>
    <w:p>
      <w:pPr>
        <w:pStyle w:val="Subsection"/>
      </w:pPr>
      <w:r>
        <w:tab/>
        <w:t>(2)</w:t>
      </w:r>
      <w:r>
        <w:tab/>
        <w:t>This section applies if a statutory manager is appointed by an order under section 75B to perform any function of the administering body of a retirement village.</w:t>
      </w:r>
    </w:p>
    <w:p>
      <w:pPr>
        <w:pStyle w:val="Subsection"/>
      </w:pPr>
      <w:r>
        <w:lastRenderedPageBreak/>
        <w:tab/>
        <w:t>(3)</w:t>
      </w:r>
      <w:r>
        <w:tab/>
        <w:t>The administering body of a retirement village must cooperate with the statutory manager to the extent reasonably required by the statutory manager to perform a function referred to in subsection (2).</w:t>
      </w:r>
    </w:p>
    <w:p>
      <w:pPr>
        <w:pStyle w:val="Penstart"/>
      </w:pPr>
      <w:r>
        <w:tab/>
        <w:t>Penalty: a fine of $20 000.</w:t>
      </w:r>
    </w:p>
    <w:p>
      <w:pPr>
        <w:pStyle w:val="Subsection"/>
      </w:pPr>
      <w:r>
        <w:tab/>
        <w:t>(4)</w:t>
      </w:r>
      <w:r>
        <w:tab/>
        <w:t xml:space="preserve">Without limiting subsection (3), that subsection requires the administering body — </w:t>
      </w:r>
    </w:p>
    <w:p>
      <w:pPr>
        <w:pStyle w:val="Indenta"/>
      </w:pPr>
      <w:r>
        <w:tab/>
        <w:t>(a)</w:t>
      </w:r>
      <w:r>
        <w:tab/>
        <w:t>to answer, orally or in writing, relevant questions asked by the statutory manager; and</w:t>
      </w:r>
    </w:p>
    <w:p>
      <w:pPr>
        <w:pStyle w:val="Indenta"/>
      </w:pPr>
      <w:r>
        <w:tab/>
        <w:t>(b)</w:t>
      </w:r>
      <w:r>
        <w:tab/>
        <w:t>to produce to the statutory manager relevant documents in the administering body’s custody or under the administering body’s control; and</w:t>
      </w:r>
    </w:p>
    <w:p>
      <w:pPr>
        <w:pStyle w:val="Indenta"/>
      </w:pPr>
      <w:r>
        <w:tab/>
        <w:t>(c)</w:t>
      </w:r>
      <w:r>
        <w:tab/>
        <w:t>to give the statutory manager access to relevant records stored electronically, including any translation, code, password or other information necessary to gain access to, or to interpret and understand, those records; and</w:t>
      </w:r>
    </w:p>
    <w:p>
      <w:pPr>
        <w:pStyle w:val="Indenta"/>
      </w:pPr>
      <w:r>
        <w:tab/>
        <w:t>(d)</w:t>
      </w:r>
      <w:r>
        <w:tab/>
        <w:t>to give the statutory manager any other relevant assistance the statutory manager reasonably requires.</w:t>
      </w:r>
    </w:p>
    <w:p>
      <w:pPr>
        <w:pStyle w:val="Subsection"/>
      </w:pPr>
      <w:r>
        <w:tab/>
        <w:t>(5)</w:t>
      </w:r>
      <w:r>
        <w:tab/>
        <w:t>The administering body must not hinder or obstruct the statutory manager in the performance of a function referred to in subsection (2).</w:t>
      </w:r>
    </w:p>
    <w:p>
      <w:pPr>
        <w:pStyle w:val="Penstart"/>
      </w:pPr>
      <w:r>
        <w:tab/>
        <w:t>Penalty: a fine of $20 000.</w:t>
      </w:r>
    </w:p>
    <w:p>
      <w:pPr>
        <w:pStyle w:val="Footnotesection"/>
      </w:pPr>
      <w:r>
        <w:tab/>
        <w:t>[Section 75H inserted: No. 36 of 2012 s. 16.]</w:t>
      </w:r>
    </w:p>
    <w:p>
      <w:pPr>
        <w:pStyle w:val="Heading5"/>
      </w:pPr>
      <w:bookmarkStart w:id="107" w:name="_Toc131509314"/>
      <w:r>
        <w:rPr>
          <w:rStyle w:val="CharSectno"/>
        </w:rPr>
        <w:t>75I</w:t>
      </w:r>
      <w:r>
        <w:t>.</w:t>
      </w:r>
      <w:r>
        <w:tab/>
        <w:t>State Administrative Tribunal may require reports and recommendations from statutory manager</w:t>
      </w:r>
      <w:bookmarkEnd w:id="107"/>
    </w:p>
    <w:p>
      <w:pPr>
        <w:pStyle w:val="Subsection"/>
      </w:pPr>
      <w:r>
        <w:tab/>
        <w:t>(1)</w:t>
      </w:r>
      <w:r>
        <w:tab/>
        <w:t>The State Administrative Tribunal may, on its own initiative or on application by the Commissioner under this section, make an order directing a statutory manager to prepare a report and make recommendations concerning the retirement village in respect of which the statutory manager is appointed.</w:t>
      </w:r>
    </w:p>
    <w:p>
      <w:pPr>
        <w:pStyle w:val="Subsection"/>
      </w:pPr>
      <w:r>
        <w:tab/>
        <w:t>(2)</w:t>
      </w:r>
      <w:r>
        <w:tab/>
        <w:t xml:space="preserve">An order under subsection (1) is to specify the matters that are to be the subject of the statutory manager’s report and </w:t>
      </w:r>
      <w:r>
        <w:lastRenderedPageBreak/>
        <w:t>recommendations and the period within which the report and recommendations are to be prepared.</w:t>
      </w:r>
    </w:p>
    <w:p>
      <w:pPr>
        <w:pStyle w:val="Subsection"/>
      </w:pPr>
      <w:r>
        <w:tab/>
        <w:t>(3)</w:t>
      </w:r>
      <w:r>
        <w:tab/>
        <w:t>The statutory manager must provide a copy of the report and recommendations to the State Administrative Tribunal and the Commissioner and to any other person the State Administrative Tribunal specifies in the order under subsection (1).</w:t>
      </w:r>
    </w:p>
    <w:p>
      <w:pPr>
        <w:pStyle w:val="Footnotesection"/>
      </w:pPr>
      <w:r>
        <w:tab/>
        <w:t>[Section 75I inserted: No. 36 of 2012 s. 16.]</w:t>
      </w:r>
    </w:p>
    <w:p>
      <w:pPr>
        <w:pStyle w:val="Heading2"/>
      </w:pPr>
      <w:bookmarkStart w:id="108" w:name="_Toc75341121"/>
      <w:bookmarkStart w:id="109" w:name="_Toc75342022"/>
      <w:bookmarkStart w:id="110" w:name="_Toc75447519"/>
      <w:bookmarkStart w:id="111" w:name="_Toc131507176"/>
      <w:bookmarkStart w:id="112" w:name="_Toc131507394"/>
      <w:bookmarkStart w:id="113" w:name="_Toc131509315"/>
      <w:r>
        <w:rPr>
          <w:rStyle w:val="CharPartNo"/>
        </w:rPr>
        <w:lastRenderedPageBreak/>
        <w:t>Part 5</w:t>
      </w:r>
      <w:r>
        <w:rPr>
          <w:rStyle w:val="CharDivNo"/>
        </w:rPr>
        <w:t> </w:t>
      </w:r>
      <w:r>
        <w:t>—</w:t>
      </w:r>
      <w:r>
        <w:rPr>
          <w:rStyle w:val="CharDivText"/>
        </w:rPr>
        <w:t> </w:t>
      </w:r>
      <w:r>
        <w:rPr>
          <w:rStyle w:val="CharPartText"/>
        </w:rPr>
        <w:t>Miscellaneous</w:t>
      </w:r>
      <w:bookmarkEnd w:id="108"/>
      <w:bookmarkEnd w:id="109"/>
      <w:bookmarkEnd w:id="110"/>
      <w:bookmarkEnd w:id="111"/>
      <w:bookmarkEnd w:id="112"/>
      <w:bookmarkEnd w:id="113"/>
    </w:p>
    <w:p>
      <w:pPr>
        <w:pStyle w:val="Heading5"/>
        <w:spacing w:before="180"/>
        <w:rPr>
          <w:snapToGrid w:val="0"/>
        </w:rPr>
      </w:pPr>
      <w:bookmarkStart w:id="114" w:name="_Toc131509316"/>
      <w:r>
        <w:rPr>
          <w:rStyle w:val="CharSectno"/>
        </w:rPr>
        <w:t>75</w:t>
      </w:r>
      <w:r>
        <w:rPr>
          <w:snapToGrid w:val="0"/>
        </w:rPr>
        <w:t>.</w:t>
      </w:r>
      <w:r>
        <w:rPr>
          <w:snapToGrid w:val="0"/>
        </w:rPr>
        <w:tab/>
        <w:t>Rescission of contract</w:t>
      </w:r>
      <w:bookmarkEnd w:id="114"/>
    </w:p>
    <w:p>
      <w:pPr>
        <w:pStyle w:val="Subsection"/>
        <w:spacing w:before="110"/>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spacing w:before="110"/>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spacing w:before="110"/>
        <w:rPr>
          <w:snapToGrid w:val="0"/>
        </w:rPr>
      </w:pPr>
      <w:r>
        <w:rPr>
          <w:snapToGrid w:val="0"/>
          <w:spacing w:val="-6"/>
        </w:rPr>
        <w:tab/>
        <w:t>(3)</w:t>
      </w:r>
      <w:r>
        <w:rPr>
          <w:snapToGrid w:val="0"/>
          <w:spacing w:val="-6"/>
        </w:rPr>
        <w:tab/>
      </w:r>
      <w:r>
        <w:rPr>
          <w:snapToGrid w:val="0"/>
        </w:rPr>
        <w:t>Subject to the making of an order to the contrary under subsection (4), if a contract is rescinded under section 14 or 16 —</w:t>
      </w:r>
    </w:p>
    <w:p>
      <w:pPr>
        <w:pStyle w:val="Indenta"/>
        <w:spacing w:before="50"/>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spacing w:before="50"/>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spacing w:before="120"/>
        <w:rPr>
          <w:snapToGrid w:val="0"/>
        </w:rPr>
      </w:pPr>
      <w:r>
        <w:rPr>
          <w:snapToGrid w:val="0"/>
        </w:rPr>
        <w:tab/>
        <w:t>(4)</w:t>
      </w:r>
      <w:r>
        <w:rPr>
          <w:snapToGrid w:val="0"/>
        </w:rPr>
        <w:tab/>
        <w:t>If a contract is rescinded under section 14 or 16, the State Administrative Tribunal may, upon application by any party to that contract, make —</w:t>
      </w:r>
    </w:p>
    <w:p>
      <w:pPr>
        <w:pStyle w:val="Indenta"/>
        <w:spacing w:before="50"/>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spacing w:before="50"/>
        <w:rPr>
          <w:snapToGrid w:val="0"/>
        </w:rPr>
      </w:pPr>
      <w:r>
        <w:rPr>
          <w:snapToGrid w:val="0"/>
          <w:spacing w:val="-6"/>
        </w:rPr>
        <w:tab/>
        <w:t>(b)</w:t>
      </w:r>
      <w:r>
        <w:rPr>
          <w:snapToGrid w:val="0"/>
          <w:spacing w:val="-6"/>
        </w:rPr>
        <w:tab/>
      </w:r>
      <w:r>
        <w:rPr>
          <w:snapToGrid w:val="0"/>
        </w:rPr>
        <w:t>such other vesting or consequential orders as it thinks just,</w:t>
      </w:r>
    </w:p>
    <w:p>
      <w:pPr>
        <w:pStyle w:val="Subsection"/>
        <w:spacing w:before="80"/>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lastRenderedPageBreak/>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rPr>
        <w:t>Community Titles Act 2018</w:t>
      </w:r>
      <w:r>
        <w:t xml:space="preserve"> or the</w:t>
      </w:r>
      <w:r>
        <w:rPr>
          <w:snapToGrid w:val="0"/>
        </w:rPr>
        <w:t xml:space="preserve"> </w:t>
      </w:r>
      <w:r>
        <w:rPr>
          <w:i/>
          <w:snapToGrid w:val="0"/>
        </w:rPr>
        <w:t>Strata Titles Act 1985</w:t>
      </w:r>
      <w:r>
        <w:rPr>
          <w:snapToGrid w:val="0"/>
        </w:rPr>
        <w:t xml:space="preserve"> and nothing in this section shall derogate from the rights of a </w:t>
      </w:r>
      <w:r>
        <w:t>buyer</w:t>
      </w:r>
      <w:r>
        <w:rPr>
          <w:snapToGrid w:val="0"/>
        </w:rPr>
        <w:t xml:space="preserve"> under </w:t>
      </w:r>
      <w:r>
        <w:t>those Acts.</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No. 55 of 2004 s. 1040 and 1044; No. 32 of 2018 s. 242.]</w:t>
      </w:r>
    </w:p>
    <w:p>
      <w:pPr>
        <w:pStyle w:val="Heading5"/>
      </w:pPr>
      <w:bookmarkStart w:id="115" w:name="_Toc131509317"/>
      <w:r>
        <w:rPr>
          <w:rStyle w:val="CharSectno"/>
        </w:rPr>
        <w:lastRenderedPageBreak/>
        <w:t>76</w:t>
      </w:r>
      <w:r>
        <w:t>.</w:t>
      </w:r>
      <w:r>
        <w:tab/>
        <w:t>Persons who are not to be involved in administration of retirement villages</w:t>
      </w:r>
      <w:bookmarkEnd w:id="115"/>
    </w:p>
    <w:p>
      <w:pPr>
        <w:pStyle w:val="Subsection"/>
        <w:keepNext/>
      </w:pPr>
      <w:r>
        <w:tab/>
        <w:t>(1)</w:t>
      </w:r>
      <w:r>
        <w:tab/>
        <w:t xml:space="preserve">Subject to section 77A, this section applies to these persons — </w:t>
      </w:r>
    </w:p>
    <w:p>
      <w:pPr>
        <w:pStyle w:val="Indenta"/>
      </w:pPr>
      <w:r>
        <w:tab/>
        <w:t>(a)</w:t>
      </w:r>
      <w:r>
        <w:tab/>
        <w:t xml:space="preserve">a person who is, according to the </w:t>
      </w:r>
      <w:r>
        <w:rPr>
          <w:i/>
        </w:rPr>
        <w:t>Interpretation Act 1984</w:t>
      </w:r>
      <w:r>
        <w:t xml:space="preserve"> section 13D, a bankrupt or a person whose affairs are under insolvency laws;</w:t>
      </w:r>
    </w:p>
    <w:p>
      <w:pPr>
        <w:pStyle w:val="Indenta"/>
      </w:pPr>
      <w:r>
        <w:tab/>
        <w:t>(b)</w:t>
      </w:r>
      <w:r>
        <w:tab/>
        <w:t xml:space="preserve">a person who has been convicted, within or outside Western Australia, of — </w:t>
      </w:r>
    </w:p>
    <w:p>
      <w:pPr>
        <w:pStyle w:val="Indenti"/>
      </w:pPr>
      <w:r>
        <w:tab/>
        <w:t>(i)</w:t>
      </w:r>
      <w:r>
        <w:tab/>
        <w:t>an offence involving violence to another person punishable on conviction by imprisonment for not less than 3 months; or</w:t>
      </w:r>
    </w:p>
    <w:p>
      <w:pPr>
        <w:pStyle w:val="Indenti"/>
      </w:pPr>
      <w:r>
        <w:tab/>
        <w:t>(ii)</w:t>
      </w:r>
      <w:r>
        <w:tab/>
        <w:t>an offence involving fraud or dishonesty punishable on conviction by imprisonment for not less than 3 months; or</w:t>
      </w:r>
    </w:p>
    <w:p>
      <w:pPr>
        <w:pStyle w:val="Indenti"/>
      </w:pPr>
      <w:r>
        <w:tab/>
        <w:t>(iii)</w:t>
      </w:r>
      <w:r>
        <w:tab/>
        <w:t xml:space="preserve">an offence under </w:t>
      </w:r>
      <w:r>
        <w:rPr>
          <w:i/>
        </w:rPr>
        <w:t>The Criminal Code</w:t>
      </w:r>
      <w:r>
        <w:t xml:space="preserve"> Chapter XXXI or an offence that, if committed in Western Australia, would constitute such an offence; or</w:t>
      </w:r>
    </w:p>
    <w:p>
      <w:pPr>
        <w:pStyle w:val="Indenti"/>
      </w:pPr>
      <w:r>
        <w:tab/>
        <w:t>(iv)</w:t>
      </w:r>
      <w:r>
        <w:tab/>
        <w:t>a prescribed offence;</w:t>
      </w:r>
    </w:p>
    <w:p>
      <w:pPr>
        <w:pStyle w:val="Indenta"/>
      </w:pPr>
      <w:r>
        <w:tab/>
        <w:t>(c)</w:t>
      </w:r>
      <w:r>
        <w:tab/>
        <w:t xml:space="preserve">a person who is disqualified from managing corporations under the </w:t>
      </w:r>
      <w:r>
        <w:rPr>
          <w:i/>
        </w:rPr>
        <w:t>Corporations Act 2001</w:t>
      </w:r>
      <w:r>
        <w:t xml:space="preserve"> (Commonwealth) Part 2D.6;</w:t>
      </w:r>
    </w:p>
    <w:p>
      <w:pPr>
        <w:pStyle w:val="Indenta"/>
      </w:pPr>
      <w:r>
        <w:tab/>
        <w:t>(d)</w:t>
      </w:r>
      <w:r>
        <w:tab/>
        <w:t xml:space="preserve">a person who was a director of, or concerned in the management of, a corporation, as defined in the </w:t>
      </w:r>
      <w:r>
        <w:rPr>
          <w:i/>
        </w:rPr>
        <w:t xml:space="preserve">Corporations Act 2001 </w:t>
      </w:r>
      <w:r>
        <w:t>(Commonwealth) section 57A, when it was wound up otherwise than voluntarily;</w:t>
      </w:r>
    </w:p>
    <w:p>
      <w:pPr>
        <w:pStyle w:val="Indenta"/>
      </w:pPr>
      <w:r>
        <w:tab/>
        <w:t>(e)</w:t>
      </w:r>
      <w:r>
        <w:tab/>
        <w:t>a person prescribed as a person to whom this section applies.</w:t>
      </w:r>
    </w:p>
    <w:p>
      <w:pPr>
        <w:pStyle w:val="Subsection"/>
      </w:pPr>
      <w:r>
        <w:tab/>
        <w:t>(2)</w:t>
      </w:r>
      <w:r>
        <w:tab/>
        <w:t xml:space="preserve">A person to whom this section applies must not — </w:t>
      </w:r>
    </w:p>
    <w:p>
      <w:pPr>
        <w:pStyle w:val="Indenta"/>
      </w:pPr>
      <w:r>
        <w:tab/>
        <w:t>(a)</w:t>
      </w:r>
      <w:r>
        <w:tab/>
        <w:t>be the administering body of a retirement village; or</w:t>
      </w:r>
    </w:p>
    <w:p>
      <w:pPr>
        <w:pStyle w:val="Indenta"/>
      </w:pPr>
      <w:r>
        <w:tab/>
        <w:t>(b)</w:t>
      </w:r>
      <w:r>
        <w:tab/>
        <w:t>be in any way, whether directly or indirectly, concerned in the administration of a retirement village.</w:t>
      </w:r>
    </w:p>
    <w:p>
      <w:pPr>
        <w:pStyle w:val="Penstart"/>
      </w:pPr>
      <w:r>
        <w:tab/>
        <w:t>Penalty: a fine of $20 000.</w:t>
      </w:r>
    </w:p>
    <w:p>
      <w:pPr>
        <w:pStyle w:val="Subsection"/>
      </w:pPr>
      <w:r>
        <w:lastRenderedPageBreak/>
        <w:tab/>
        <w:t>(3)</w:t>
      </w:r>
      <w:r>
        <w:tab/>
        <w:t>In any proceeding taken for an offence against subsection (2), it is a defence to prove that, at the time the offence occurred, the accused held a current exemption certificate granted under section 77C.</w:t>
      </w:r>
    </w:p>
    <w:p>
      <w:pPr>
        <w:pStyle w:val="Subsection"/>
      </w:pPr>
      <w:r>
        <w:tab/>
        <w:t>(4)</w:t>
      </w:r>
      <w:r>
        <w:tab/>
        <w:t>A person must not employ or engage a person to whom this section applies if the person’s employment or engagement is or is to be in any way, whether directly or indirectly, concerned in the administration of a retirement village.</w:t>
      </w:r>
    </w:p>
    <w:p>
      <w:pPr>
        <w:pStyle w:val="Penstart"/>
      </w:pPr>
      <w:r>
        <w:tab/>
        <w:t>Penalty: a fine of $20 000.</w:t>
      </w:r>
    </w:p>
    <w:p>
      <w:pPr>
        <w:pStyle w:val="Subsection"/>
      </w:pPr>
      <w:r>
        <w:tab/>
        <w:t>(5)</w:t>
      </w:r>
      <w:r>
        <w:tab/>
        <w:t>In any proceeding taken for an offence against subsection (4), it is a defence to prove that, at the time the offence occurred, the person employed or engaged held a current exemption certificate granted under section 77C.</w:t>
      </w:r>
    </w:p>
    <w:p>
      <w:pPr>
        <w:pStyle w:val="Footnotesection"/>
      </w:pPr>
      <w:r>
        <w:tab/>
        <w:t>[Section 76 inserted: No. 36 of 2012 s. 17.]</w:t>
      </w:r>
    </w:p>
    <w:p>
      <w:pPr>
        <w:pStyle w:val="Heading5"/>
      </w:pPr>
      <w:bookmarkStart w:id="116" w:name="_Toc131509318"/>
      <w:r>
        <w:rPr>
          <w:rStyle w:val="CharSectno"/>
        </w:rPr>
        <w:t>77A</w:t>
      </w:r>
      <w:r>
        <w:t>.</w:t>
      </w:r>
      <w:r>
        <w:tab/>
        <w:t>Limitation of period for which section 76 applies to certain persons</w:t>
      </w:r>
      <w:bookmarkEnd w:id="116"/>
    </w:p>
    <w:p>
      <w:pPr>
        <w:pStyle w:val="Subsection"/>
      </w:pPr>
      <w:r>
        <w:tab/>
        <w:t>(1)</w:t>
      </w:r>
      <w:r>
        <w:tab/>
        <w:t xml:space="preserve">Section 76 applies to a person referred to in subsection (1)(b) of that section, in relation to the person’s conviction of an offence, only for the period of 5 years — </w:t>
      </w:r>
    </w:p>
    <w:p>
      <w:pPr>
        <w:pStyle w:val="Indenta"/>
      </w:pPr>
      <w:r>
        <w:tab/>
        <w:t>(a)</w:t>
      </w:r>
      <w:r>
        <w:tab/>
        <w:t>from the time of the person’s conviction; or</w:t>
      </w:r>
    </w:p>
    <w:p>
      <w:pPr>
        <w:pStyle w:val="Indenta"/>
      </w:pPr>
      <w:r>
        <w:tab/>
        <w:t>(b)</w:t>
      </w:r>
      <w:r>
        <w:tab/>
        <w:t>if the conviction results in a term of imprisonment, from the time of the person’s release from custody.</w:t>
      </w:r>
    </w:p>
    <w:p>
      <w:pPr>
        <w:pStyle w:val="Subsection"/>
      </w:pPr>
      <w:r>
        <w:tab/>
        <w:t>(2)</w:t>
      </w:r>
      <w:r>
        <w:tab/>
        <w:t>Section 76 applies to a person referred to in subsection (1)(c) of that section, in relation to the person’s disqualification from managing corporations, only for the period of 5 years from the time of that disqualification.</w:t>
      </w:r>
    </w:p>
    <w:p>
      <w:pPr>
        <w:pStyle w:val="Subsection"/>
      </w:pPr>
      <w:r>
        <w:tab/>
        <w:t>(3)</w:t>
      </w:r>
      <w:r>
        <w:tab/>
        <w:t>Section 76 applies to a person referred to in subsection (1)(d) of that section, in relation to the winding up of a corporation, only for the period of 5 years from the time of that winding up.</w:t>
      </w:r>
    </w:p>
    <w:p>
      <w:pPr>
        <w:pStyle w:val="Footnotesection"/>
      </w:pPr>
      <w:r>
        <w:tab/>
        <w:t>[Section 77A inserted: No. 36 of 2012 s. 17.]</w:t>
      </w:r>
    </w:p>
    <w:p>
      <w:pPr>
        <w:pStyle w:val="Heading5"/>
      </w:pPr>
      <w:bookmarkStart w:id="117" w:name="_Toc131509319"/>
      <w:r>
        <w:rPr>
          <w:rStyle w:val="CharSectno"/>
        </w:rPr>
        <w:lastRenderedPageBreak/>
        <w:t>77B</w:t>
      </w:r>
      <w:r>
        <w:t>.</w:t>
      </w:r>
      <w:r>
        <w:tab/>
        <w:t>Offences by persons involved in administration of retirement village</w:t>
      </w:r>
      <w:bookmarkEnd w:id="117"/>
    </w:p>
    <w:p>
      <w:pPr>
        <w:pStyle w:val="Subsection"/>
      </w:pPr>
      <w:r>
        <w:tab/>
        <w:t>(1)</w:t>
      </w:r>
      <w:r>
        <w:tab/>
        <w:t xml:space="preserve">In this section — </w:t>
      </w:r>
    </w:p>
    <w:p>
      <w:pPr>
        <w:pStyle w:val="Defstart"/>
      </w:pPr>
      <w:r>
        <w:tab/>
      </w:r>
      <w:r>
        <w:rPr>
          <w:rStyle w:val="CharDefText"/>
        </w:rPr>
        <w:t>relevant information</w:t>
      </w:r>
      <w:r>
        <w:t>, in relation to a person, means information as to the application of section 76 to the person.</w:t>
      </w:r>
    </w:p>
    <w:p>
      <w:pPr>
        <w:pStyle w:val="Subsection"/>
        <w:keepNext/>
      </w:pPr>
      <w:r>
        <w:tab/>
        <w:t>(2)</w:t>
      </w:r>
      <w:r>
        <w:tab/>
        <w:t xml:space="preserve">A person — </w:t>
      </w:r>
    </w:p>
    <w:p>
      <w:pPr>
        <w:pStyle w:val="Indenta"/>
      </w:pPr>
      <w:r>
        <w:tab/>
        <w:t>(a)</w:t>
      </w:r>
      <w:r>
        <w:tab/>
        <w:t>whose employment or engagement is in any way, whether directly or indirectly, concerned in the administration of a retirement village; and</w:t>
      </w:r>
    </w:p>
    <w:p>
      <w:pPr>
        <w:pStyle w:val="Indenta"/>
      </w:pPr>
      <w:r>
        <w:tab/>
        <w:t>(b)</w:t>
      </w:r>
      <w:r>
        <w:tab/>
        <w:t>who becomes a person to whom section 76 applies because of the occurrence, after that employment or engagement has commenced, of a bankruptcy, conviction, disqualification, winding up or other matter relevant to that section,</w:t>
      </w:r>
    </w:p>
    <w:p>
      <w:pPr>
        <w:pStyle w:val="Subsection"/>
      </w:pPr>
      <w:r>
        <w:tab/>
      </w:r>
      <w:r>
        <w:tab/>
        <w:t>must give relevant information to the person by whom he or she is employed or engaged within 14 days after that occurrence.</w:t>
      </w:r>
    </w:p>
    <w:p>
      <w:pPr>
        <w:pStyle w:val="Penstart"/>
      </w:pPr>
      <w:r>
        <w:tab/>
        <w:t>Penalty: a fine of $20 000.</w:t>
      </w:r>
    </w:p>
    <w:p>
      <w:pPr>
        <w:pStyle w:val="Subsection"/>
      </w:pPr>
      <w:r>
        <w:tab/>
        <w:t>(3)</w:t>
      </w:r>
      <w:r>
        <w:tab/>
        <w:t>A person must not give relevant information that is false or misleading to a person who employs or engages, or who proposes to employ or engage, him or her if the employment or engagement is or is to be in any way, whether directly or indirectly, concerned in the administration of a retirement village.</w:t>
      </w:r>
    </w:p>
    <w:p>
      <w:pPr>
        <w:pStyle w:val="Penstart"/>
      </w:pPr>
      <w:r>
        <w:tab/>
        <w:t>Penalty: a fine of $20 000.</w:t>
      </w:r>
    </w:p>
    <w:p>
      <w:pPr>
        <w:pStyle w:val="Footnotesection"/>
      </w:pPr>
      <w:r>
        <w:tab/>
        <w:t>[Section 77B inserted: No. 36 of 2012 s. 17.]</w:t>
      </w:r>
    </w:p>
    <w:p>
      <w:pPr>
        <w:pStyle w:val="Heading5"/>
      </w:pPr>
      <w:bookmarkStart w:id="118" w:name="_Toc131509320"/>
      <w:r>
        <w:rPr>
          <w:rStyle w:val="CharSectno"/>
        </w:rPr>
        <w:t>77C</w:t>
      </w:r>
      <w:r>
        <w:t>.</w:t>
      </w:r>
      <w:r>
        <w:tab/>
        <w:t>Commissioner may grant exemption certificates</w:t>
      </w:r>
      <w:bookmarkEnd w:id="118"/>
    </w:p>
    <w:p>
      <w:pPr>
        <w:pStyle w:val="Subsection"/>
      </w:pPr>
      <w:r>
        <w:tab/>
        <w:t>(1)</w:t>
      </w:r>
      <w:r>
        <w:tab/>
        <w:t xml:space="preserve">The Commissioner may grant an exemption certificate to a person to whom section 76 applies if — </w:t>
      </w:r>
    </w:p>
    <w:p>
      <w:pPr>
        <w:pStyle w:val="Indenta"/>
      </w:pPr>
      <w:r>
        <w:tab/>
        <w:t>(a)</w:t>
      </w:r>
      <w:r>
        <w:tab/>
        <w:t>the person applies for the certificate in the form approved by the Commissioner and pays the prescribed fee; and</w:t>
      </w:r>
    </w:p>
    <w:p>
      <w:pPr>
        <w:pStyle w:val="Indenta"/>
      </w:pPr>
      <w:r>
        <w:lastRenderedPageBreak/>
        <w:tab/>
        <w:t>(b)</w:t>
      </w:r>
      <w:r>
        <w:tab/>
        <w:t xml:space="preserve">satisfies the Commissioner that neither the wellbeing nor financial interests of the residents of a retirement village will be at risk if the person — </w:t>
      </w:r>
    </w:p>
    <w:p>
      <w:pPr>
        <w:pStyle w:val="Indenti"/>
      </w:pPr>
      <w:r>
        <w:tab/>
        <w:t>(i)</w:t>
      </w:r>
      <w:r>
        <w:tab/>
        <w:t>is the administering body of the retirement village; or</w:t>
      </w:r>
    </w:p>
    <w:p>
      <w:pPr>
        <w:pStyle w:val="Indenti"/>
      </w:pPr>
      <w:r>
        <w:tab/>
        <w:t>(ii)</w:t>
      </w:r>
      <w:r>
        <w:tab/>
        <w:t>is in any way, whether directly or indirectly, concerned in the administration of the retirement village,</w:t>
      </w:r>
    </w:p>
    <w:p>
      <w:pPr>
        <w:pStyle w:val="Indenta"/>
      </w:pPr>
      <w:r>
        <w:tab/>
      </w:r>
      <w:r>
        <w:tab/>
        <w:t>as the case requires.</w:t>
      </w:r>
    </w:p>
    <w:p>
      <w:pPr>
        <w:pStyle w:val="Subsection"/>
      </w:pPr>
      <w:r>
        <w:tab/>
        <w:t>(2)</w:t>
      </w:r>
      <w:r>
        <w:tab/>
        <w:t>An exemption certificate may be granted subject to any condition or limitation the Commissioner considers appropriate and specifies in the certificate, which may include a limitation on the period during which the certificate has effect.</w:t>
      </w:r>
    </w:p>
    <w:p>
      <w:pPr>
        <w:pStyle w:val="Subsection"/>
      </w:pPr>
      <w:r>
        <w:tab/>
        <w:t>(3)</w:t>
      </w:r>
      <w:r>
        <w:tab/>
        <w:t>The Commissioner may at any time revoke an exemption certificate by written notice given to the person granted the certificate.</w:t>
      </w:r>
    </w:p>
    <w:p>
      <w:pPr>
        <w:pStyle w:val="Subsection"/>
      </w:pPr>
      <w:r>
        <w:tab/>
        <w:t>(4)</w:t>
      </w:r>
      <w:r>
        <w:tab/>
        <w:t>An exemption certificate is cancelled by force of this subsection if the person granted the certificate becomes a person to whom section 76 applies because of the occurrence, after the person has been granted the certificate, of a bankruptcy, conviction, disqualification, winding up or other matter relevant to that section.</w:t>
      </w:r>
    </w:p>
    <w:p>
      <w:pPr>
        <w:pStyle w:val="Subsection"/>
      </w:pPr>
      <w:r>
        <w:tab/>
        <w:t>(5)</w:t>
      </w:r>
      <w:r>
        <w:tab/>
        <w:t>A person must return his or her exemption certificate to the Commissioner within 14 days after the certificate is revoked under subsection (3) or cancelled under subsection (4).</w:t>
      </w:r>
    </w:p>
    <w:p>
      <w:pPr>
        <w:pStyle w:val="Penstart"/>
      </w:pPr>
      <w:r>
        <w:tab/>
        <w:t>Penalty: a fine of $20 000.</w:t>
      </w:r>
    </w:p>
    <w:p>
      <w:pPr>
        <w:pStyle w:val="Footnotesection"/>
      </w:pPr>
      <w:r>
        <w:tab/>
        <w:t>[Section 77C inserted: No. 36 of 2012 s. 17.]</w:t>
      </w:r>
    </w:p>
    <w:p>
      <w:pPr>
        <w:pStyle w:val="Heading5"/>
        <w:rPr>
          <w:snapToGrid w:val="0"/>
        </w:rPr>
      </w:pPr>
      <w:bookmarkStart w:id="119" w:name="_Toc131509321"/>
      <w:r>
        <w:rPr>
          <w:rStyle w:val="CharSectno"/>
        </w:rPr>
        <w:t>77</w:t>
      </w:r>
      <w:r>
        <w:rPr>
          <w:snapToGrid w:val="0"/>
        </w:rPr>
        <w:t>.</w:t>
      </w:r>
      <w:r>
        <w:rPr>
          <w:snapToGrid w:val="0"/>
        </w:rPr>
        <w:tab/>
        <w:t>Non</w:t>
      </w:r>
      <w:r>
        <w:rPr>
          <w:snapToGrid w:val="0"/>
        </w:rPr>
        <w:noBreakHyphen/>
        <w:t>compliance may be excused by Court</w:t>
      </w:r>
      <w:bookmarkEnd w:id="119"/>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lastRenderedPageBreak/>
        <w:tab/>
        <w:t>(2)</w:t>
      </w:r>
      <w:r>
        <w:rPr>
          <w:snapToGrid w:val="0"/>
        </w:rPr>
        <w:tab/>
        <w:t>Where the District Court acts under subsection (1), it may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Deleted: No. 28 of 2006 s. 144.]</w:t>
      </w:r>
    </w:p>
    <w:p>
      <w:pPr>
        <w:pStyle w:val="Heading5"/>
      </w:pPr>
      <w:bookmarkStart w:id="120" w:name="_Toc130918539"/>
      <w:bookmarkStart w:id="121" w:name="_Toc131509322"/>
      <w:r>
        <w:rPr>
          <w:rStyle w:val="CharSectno"/>
        </w:rPr>
        <w:t>79</w:t>
      </w:r>
      <w:r>
        <w:t>.</w:t>
      </w:r>
      <w:r>
        <w:tab/>
        <w:t>Liability of officers for offence by body corporate</w:t>
      </w:r>
      <w:bookmarkEnd w:id="120"/>
      <w:bookmarkEnd w:id="121"/>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80"/>
        <w:gridCol w:w="2481"/>
      </w:tblGrid>
      <w:tr>
        <w:tc>
          <w:tcPr>
            <w:tcW w:w="2480" w:type="dxa"/>
            <w:noWrap/>
          </w:tcPr>
          <w:p>
            <w:pPr>
              <w:pStyle w:val="TableNAm"/>
            </w:pPr>
            <w:r>
              <w:t>s. 6(3)</w:t>
            </w:r>
          </w:p>
        </w:tc>
        <w:tc>
          <w:tcPr>
            <w:tcW w:w="2481" w:type="dxa"/>
            <w:noWrap/>
          </w:tcPr>
          <w:p>
            <w:pPr>
              <w:pStyle w:val="TableNAm"/>
            </w:pPr>
            <w:r>
              <w:t>s. 13(2), (3) and (5)</w:t>
            </w:r>
          </w:p>
        </w:tc>
      </w:tr>
      <w:tr>
        <w:tc>
          <w:tcPr>
            <w:tcW w:w="2480" w:type="dxa"/>
            <w:noWrap/>
          </w:tcPr>
          <w:p>
            <w:pPr>
              <w:pStyle w:val="TableNAm"/>
            </w:pPr>
            <w:r>
              <w:t>s. 14A(2)</w:t>
            </w:r>
          </w:p>
        </w:tc>
        <w:tc>
          <w:tcPr>
            <w:tcW w:w="2481" w:type="dxa"/>
            <w:noWrap/>
          </w:tcPr>
          <w:p>
            <w:pPr>
              <w:pStyle w:val="TableNAm"/>
            </w:pPr>
            <w:r>
              <w:t>s. 15(1), (4) and (5)</w:t>
            </w:r>
          </w:p>
        </w:tc>
      </w:tr>
      <w:tr>
        <w:tc>
          <w:tcPr>
            <w:tcW w:w="2480" w:type="dxa"/>
            <w:noWrap/>
          </w:tcPr>
          <w:p>
            <w:pPr>
              <w:pStyle w:val="TableNAm"/>
            </w:pPr>
            <w:r>
              <w:t>s. 16(1) and (2)</w:t>
            </w:r>
          </w:p>
        </w:tc>
        <w:tc>
          <w:tcPr>
            <w:tcW w:w="2481" w:type="dxa"/>
            <w:noWrap/>
          </w:tcPr>
          <w:p>
            <w:pPr>
              <w:pStyle w:val="TableNAm"/>
            </w:pPr>
            <w:r>
              <w:t>s. 18(2A), (3) and (5)</w:t>
            </w:r>
          </w:p>
        </w:tc>
      </w:tr>
      <w:tr>
        <w:tc>
          <w:tcPr>
            <w:tcW w:w="2480" w:type="dxa"/>
            <w:noWrap/>
          </w:tcPr>
          <w:p>
            <w:pPr>
              <w:pStyle w:val="TableNAm"/>
            </w:pPr>
            <w:r>
              <w:t>s. 23(6)</w:t>
            </w:r>
          </w:p>
        </w:tc>
        <w:tc>
          <w:tcPr>
            <w:tcW w:w="2481" w:type="dxa"/>
            <w:noWrap/>
          </w:tcPr>
          <w:p>
            <w:pPr>
              <w:pStyle w:val="TableNAm"/>
            </w:pPr>
            <w:r>
              <w:t>s. 24(9)</w:t>
            </w:r>
          </w:p>
        </w:tc>
      </w:tr>
      <w:tr>
        <w:tc>
          <w:tcPr>
            <w:tcW w:w="2480" w:type="dxa"/>
            <w:noWrap/>
          </w:tcPr>
          <w:p>
            <w:pPr>
              <w:pStyle w:val="TableNAm"/>
            </w:pPr>
            <w:r>
              <w:t>s. 25(1)</w:t>
            </w:r>
          </w:p>
        </w:tc>
        <w:tc>
          <w:tcPr>
            <w:tcW w:w="2481" w:type="dxa"/>
            <w:noWrap/>
          </w:tcPr>
          <w:p>
            <w:pPr>
              <w:pStyle w:val="TableNAm"/>
            </w:pPr>
            <w:r>
              <w:t>s. 75F(2)</w:t>
            </w:r>
          </w:p>
        </w:tc>
      </w:tr>
      <w:tr>
        <w:tc>
          <w:tcPr>
            <w:tcW w:w="2480" w:type="dxa"/>
            <w:noWrap/>
          </w:tcPr>
          <w:p>
            <w:pPr>
              <w:pStyle w:val="TableNAm"/>
            </w:pPr>
            <w:r>
              <w:t>s. 75H(3) and (5)</w:t>
            </w:r>
          </w:p>
        </w:tc>
        <w:tc>
          <w:tcPr>
            <w:tcW w:w="2481" w:type="dxa"/>
            <w:noWrap/>
          </w:tcPr>
          <w:p>
            <w:pPr>
              <w:pStyle w:val="TableNAm"/>
            </w:pPr>
            <w:r>
              <w:t>s. 75(6)</w:t>
            </w:r>
          </w:p>
        </w:tc>
      </w:tr>
    </w:tbl>
    <w:p>
      <w:pPr>
        <w:pStyle w:val="Footnotesection"/>
      </w:pPr>
      <w:r>
        <w:tab/>
        <w:t>[Section 79 inserted: No. 9 of 2023 s. 134.]</w:t>
      </w:r>
    </w:p>
    <w:p>
      <w:pPr>
        <w:pStyle w:val="Heading5"/>
        <w:rPr>
          <w:snapToGrid w:val="0"/>
        </w:rPr>
      </w:pPr>
      <w:bookmarkStart w:id="122" w:name="_Toc131509323"/>
      <w:r>
        <w:rPr>
          <w:rStyle w:val="CharSectno"/>
        </w:rPr>
        <w:t>80</w:t>
      </w:r>
      <w:r>
        <w:rPr>
          <w:snapToGrid w:val="0"/>
        </w:rPr>
        <w:t>.</w:t>
      </w:r>
      <w:r>
        <w:rPr>
          <w:snapToGrid w:val="0"/>
        </w:rPr>
        <w:tab/>
        <w:t>Time for bringing proceedings</w:t>
      </w:r>
      <w:bookmarkEnd w:id="122"/>
    </w:p>
    <w:p>
      <w:pPr>
        <w:pStyle w:val="Subsection"/>
        <w:keepNext/>
        <w:rPr>
          <w:snapToGrid w:val="0"/>
        </w:rPr>
      </w:pPr>
      <w:r>
        <w:rPr>
          <w:snapToGrid w:val="0"/>
        </w:rPr>
        <w:tab/>
      </w:r>
      <w:r>
        <w:rPr>
          <w:snapToGrid w:val="0"/>
        </w:rPr>
        <w:tab/>
        <w:t xml:space="preserve">Proceedings for an offence against this Act may be commenced at any time within </w:t>
      </w:r>
      <w:r>
        <w:t>3 years</w:t>
      </w:r>
      <w:r>
        <w:rPr>
          <w:snapToGrid w:val="0"/>
        </w:rPr>
        <w:t xml:space="preserve"> of the day on which the offence is alleged to have been committed.</w:t>
      </w:r>
    </w:p>
    <w:p>
      <w:pPr>
        <w:pStyle w:val="Footnotesection"/>
      </w:pPr>
      <w:r>
        <w:tab/>
        <w:t>[Section 80 amended: No. 36 of 2012 s. 18.]</w:t>
      </w:r>
    </w:p>
    <w:p>
      <w:pPr>
        <w:pStyle w:val="Ednotesection"/>
      </w:pPr>
      <w:r>
        <w:lastRenderedPageBreak/>
        <w:t>[</w:t>
      </w:r>
      <w:r>
        <w:rPr>
          <w:b/>
        </w:rPr>
        <w:t>81.</w:t>
      </w:r>
      <w:r>
        <w:rPr>
          <w:b/>
        </w:rPr>
        <w:tab/>
      </w:r>
      <w:r>
        <w:t>Deleted: No. 55 of 2004 s. 1042.]</w:t>
      </w:r>
    </w:p>
    <w:p>
      <w:pPr>
        <w:pStyle w:val="Heading5"/>
        <w:rPr>
          <w:snapToGrid w:val="0"/>
        </w:rPr>
      </w:pPr>
      <w:bookmarkStart w:id="123" w:name="_Toc131509324"/>
      <w:r>
        <w:rPr>
          <w:rStyle w:val="CharSectno"/>
        </w:rPr>
        <w:t>82</w:t>
      </w:r>
      <w:r>
        <w:rPr>
          <w:snapToGrid w:val="0"/>
        </w:rPr>
        <w:t>.</w:t>
      </w:r>
      <w:r>
        <w:rPr>
          <w:snapToGrid w:val="0"/>
        </w:rPr>
        <w:tab/>
        <w:t>Regulations</w:t>
      </w:r>
      <w:bookmarkEnd w:id="123"/>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keepNext/>
        <w:rPr>
          <w:snapToGrid w:val="0"/>
        </w:rPr>
      </w:pPr>
      <w:r>
        <w:rPr>
          <w:snapToGrid w:val="0"/>
        </w:rPr>
        <w:tab/>
        <w:t>(2)</w:t>
      </w:r>
      <w:r>
        <w:rPr>
          <w:snapToGrid w:val="0"/>
        </w:rPr>
        <w:tab/>
        <w:t>In particular, the regulations may make provision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keepNext/>
        <w:rPr>
          <w:snapToGrid w:val="0"/>
        </w:rPr>
      </w:pPr>
      <w:r>
        <w:rPr>
          <w:snapToGrid w:val="0"/>
        </w:rPr>
        <w:tab/>
        <w:t>(3)</w:t>
      </w:r>
      <w:r>
        <w:rPr>
          <w:snapToGrid w:val="0"/>
        </w:rPr>
        <w:tab/>
        <w:t xml:space="preserve">A regulation may create an offence punishable by a penalty not exceeding </w:t>
      </w:r>
      <w:r>
        <w:t>$5 000.</w:t>
      </w:r>
    </w:p>
    <w:p>
      <w:pPr>
        <w:pStyle w:val="Footnotesection"/>
      </w:pPr>
      <w:r>
        <w:tab/>
        <w:t>[Section 82 amended: No. 55 of 2004 s. 1043; No. 36 of 2012 s. 19.]</w:t>
      </w:r>
    </w:p>
    <w:p>
      <w:pPr>
        <w:pStyle w:val="Heading5"/>
        <w:rPr>
          <w:snapToGrid w:val="0"/>
        </w:rPr>
      </w:pPr>
      <w:bookmarkStart w:id="124" w:name="_Toc131509325"/>
      <w:r>
        <w:rPr>
          <w:rStyle w:val="CharSectno"/>
        </w:rPr>
        <w:t>83</w:t>
      </w:r>
      <w:r>
        <w:rPr>
          <w:snapToGrid w:val="0"/>
        </w:rPr>
        <w:t>.</w:t>
      </w:r>
      <w:r>
        <w:rPr>
          <w:snapToGrid w:val="0"/>
        </w:rPr>
        <w:tab/>
        <w:t>Review of Act</w:t>
      </w:r>
      <w:bookmarkEnd w:id="124"/>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125" w:name="_Toc131509326"/>
      <w:r>
        <w:rPr>
          <w:rStyle w:val="CharSectno"/>
        </w:rPr>
        <w:lastRenderedPageBreak/>
        <w:t>84</w:t>
      </w:r>
      <w:r>
        <w:rPr>
          <w:snapToGrid w:val="0"/>
        </w:rPr>
        <w:t>.</w:t>
      </w:r>
      <w:r>
        <w:rPr>
          <w:snapToGrid w:val="0"/>
        </w:rPr>
        <w:tab/>
        <w:t>Savings and transitional</w:t>
      </w:r>
      <w:bookmarkEnd w:id="125"/>
    </w:p>
    <w:p>
      <w:pPr>
        <w:pStyle w:val="Subsection"/>
        <w:keepNext/>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26" w:name="_Toc75341133"/>
      <w:bookmarkStart w:id="127" w:name="_Toc75342034"/>
      <w:bookmarkStart w:id="128" w:name="_Toc75447531"/>
      <w:bookmarkStart w:id="129" w:name="_Toc131507188"/>
      <w:bookmarkStart w:id="130" w:name="_Toc131507406"/>
      <w:bookmarkStart w:id="131" w:name="_Toc131509327"/>
      <w:r>
        <w:rPr>
          <w:rStyle w:val="CharSchNo"/>
        </w:rPr>
        <w:lastRenderedPageBreak/>
        <w:t>Schedule 1</w:t>
      </w:r>
      <w:r>
        <w:t> — </w:t>
      </w:r>
      <w:r>
        <w:rPr>
          <w:rStyle w:val="CharSchText"/>
        </w:rPr>
        <w:t>Savings and transitional provisions</w:t>
      </w:r>
      <w:bookmarkEnd w:id="126"/>
      <w:bookmarkEnd w:id="127"/>
      <w:bookmarkEnd w:id="128"/>
      <w:bookmarkEnd w:id="129"/>
      <w:bookmarkEnd w:id="130"/>
      <w:bookmarkEnd w:id="131"/>
    </w:p>
    <w:p>
      <w:pPr>
        <w:pStyle w:val="yShoulderClause"/>
        <w:spacing w:before="80"/>
        <w:rPr>
          <w:snapToGrid w:val="0"/>
        </w:rPr>
      </w:pPr>
      <w:r>
        <w:rPr>
          <w:snapToGrid w:val="0"/>
        </w:rPr>
        <w:t>[s. 84]</w:t>
      </w:r>
    </w:p>
    <w:p>
      <w:pPr>
        <w:pStyle w:val="yFootnoteheading"/>
      </w:pPr>
      <w:r>
        <w:tab/>
        <w:t>[Heading amended: No. 19 of 2010 s. 4.]</w:t>
      </w:r>
    </w:p>
    <w:p>
      <w:pPr>
        <w:pStyle w:val="yHeading3"/>
      </w:pPr>
      <w:bookmarkStart w:id="132" w:name="_Toc75341134"/>
      <w:bookmarkStart w:id="133" w:name="_Toc75342035"/>
      <w:bookmarkStart w:id="134" w:name="_Toc75447532"/>
      <w:bookmarkStart w:id="135" w:name="_Toc131507189"/>
      <w:bookmarkStart w:id="136" w:name="_Toc131507407"/>
      <w:bookmarkStart w:id="137" w:name="_Toc131509328"/>
      <w:r>
        <w:rPr>
          <w:rStyle w:val="CharSDivNo"/>
        </w:rPr>
        <w:t>Division 1</w:t>
      </w:r>
      <w:r>
        <w:rPr>
          <w:b w:val="0"/>
        </w:rPr>
        <w:t> — </w:t>
      </w:r>
      <w:r>
        <w:rPr>
          <w:rStyle w:val="CharSDivText"/>
        </w:rPr>
        <w:t>Provisions relating to commencement of Act</w:t>
      </w:r>
      <w:bookmarkEnd w:id="132"/>
      <w:bookmarkEnd w:id="133"/>
      <w:bookmarkEnd w:id="134"/>
      <w:bookmarkEnd w:id="135"/>
      <w:bookmarkEnd w:id="136"/>
      <w:bookmarkEnd w:id="137"/>
    </w:p>
    <w:p>
      <w:pPr>
        <w:pStyle w:val="yFootnoteheading"/>
      </w:pPr>
      <w:r>
        <w:tab/>
        <w:t>[Heading inserted: No. 36 of 2012 s. 20.]</w:t>
      </w:r>
    </w:p>
    <w:p>
      <w:pPr>
        <w:pStyle w:val="yHeading5"/>
        <w:outlineLvl w:val="9"/>
        <w:rPr>
          <w:snapToGrid w:val="0"/>
        </w:rPr>
      </w:pPr>
      <w:bookmarkStart w:id="138" w:name="_Toc131509329"/>
      <w:r>
        <w:rPr>
          <w:rStyle w:val="CharSClsNo"/>
        </w:rPr>
        <w:t>1</w:t>
      </w:r>
      <w:r>
        <w:rPr>
          <w:snapToGrid w:val="0"/>
        </w:rPr>
        <w:t>.</w:t>
      </w:r>
      <w:r>
        <w:rPr>
          <w:snapToGrid w:val="0"/>
        </w:rPr>
        <w:tab/>
        <w:t>Existing disputes and other matters</w:t>
      </w:r>
      <w:bookmarkEnd w:id="138"/>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139" w:name="_Toc131509330"/>
      <w:r>
        <w:rPr>
          <w:rStyle w:val="CharSClsNo"/>
        </w:rPr>
        <w:t>2</w:t>
      </w:r>
      <w:r>
        <w:rPr>
          <w:snapToGrid w:val="0"/>
        </w:rPr>
        <w:t>.</w:t>
      </w:r>
      <w:r>
        <w:rPr>
          <w:snapToGrid w:val="0"/>
        </w:rPr>
        <w:tab/>
        <w:t>Regulations</w:t>
      </w:r>
      <w:bookmarkEnd w:id="139"/>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140" w:name="_Toc131509331"/>
      <w:r>
        <w:rPr>
          <w:rStyle w:val="CharSClsNo"/>
        </w:rPr>
        <w:t>3</w:t>
      </w:r>
      <w:r>
        <w:rPr>
          <w:rFonts w:ascii="Times" w:hAnsi="Times"/>
          <w:snapToGrid w:val="0"/>
        </w:rPr>
        <w:t>.</w:t>
      </w:r>
      <w:r>
        <w:rPr>
          <w:rFonts w:ascii="Times" w:hAnsi="Times"/>
          <w:snapToGrid w:val="0"/>
        </w:rPr>
        <w:tab/>
        <w:t>Exemption</w:t>
      </w:r>
      <w:bookmarkEnd w:id="140"/>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lastRenderedPageBreak/>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w:t>
      </w:r>
    </w:p>
    <w:p>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pPr>
        <w:pStyle w:val="yHeading3"/>
      </w:pPr>
      <w:bookmarkStart w:id="141" w:name="_Toc75341138"/>
      <w:bookmarkStart w:id="142" w:name="_Toc75342039"/>
      <w:bookmarkStart w:id="143" w:name="_Toc75447536"/>
      <w:bookmarkStart w:id="144" w:name="_Toc131507193"/>
      <w:bookmarkStart w:id="145" w:name="_Toc131507411"/>
      <w:bookmarkStart w:id="146" w:name="_Toc131509332"/>
      <w:r>
        <w:rPr>
          <w:rStyle w:val="CharSDivNo"/>
        </w:rPr>
        <w:t>Division 2</w:t>
      </w:r>
      <w:r>
        <w:rPr>
          <w:b w:val="0"/>
        </w:rPr>
        <w:t> — </w:t>
      </w:r>
      <w:r>
        <w:rPr>
          <w:rStyle w:val="CharSDivText"/>
        </w:rPr>
        <w:t>Provisions relating to Retirement Villages Amendment Act 2012</w:t>
      </w:r>
      <w:bookmarkEnd w:id="141"/>
      <w:bookmarkEnd w:id="142"/>
      <w:bookmarkEnd w:id="143"/>
      <w:bookmarkEnd w:id="144"/>
      <w:bookmarkEnd w:id="145"/>
      <w:bookmarkEnd w:id="146"/>
    </w:p>
    <w:p>
      <w:pPr>
        <w:pStyle w:val="yFootnoteheading"/>
      </w:pPr>
      <w:r>
        <w:tab/>
        <w:t>[Heading inserted: No. 36 of 2012 s. 21.]</w:t>
      </w:r>
    </w:p>
    <w:p>
      <w:pPr>
        <w:pStyle w:val="yHeading5"/>
      </w:pPr>
      <w:bookmarkStart w:id="147" w:name="_Toc131509333"/>
      <w:r>
        <w:rPr>
          <w:rStyle w:val="CharSClsNo"/>
        </w:rPr>
        <w:t>4</w:t>
      </w:r>
      <w:r>
        <w:t>.</w:t>
      </w:r>
      <w:r>
        <w:tab/>
        <w:t>Exemption certificate taken to have been granted to certain persons</w:t>
      </w:r>
      <w:bookmarkEnd w:id="147"/>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Retirement Villages Amendment Act 2012</w:t>
      </w:r>
      <w:r>
        <w:t xml:space="preserve"> section 17 comes into operation;</w:t>
      </w:r>
    </w:p>
    <w:p>
      <w:pPr>
        <w:pStyle w:val="yDefstart"/>
      </w:pPr>
      <w:r>
        <w:tab/>
      </w:r>
      <w:r>
        <w:rPr>
          <w:rStyle w:val="CharDefText"/>
        </w:rPr>
        <w:t>relevant information</w:t>
      </w:r>
      <w:r>
        <w:t>, in relation to a person, means information as to the application of section 76 to the person.</w:t>
      </w:r>
    </w:p>
    <w:p>
      <w:pPr>
        <w:pStyle w:val="ySubsection"/>
      </w:pPr>
      <w:r>
        <w:tab/>
        <w:t>(2)</w:t>
      </w:r>
      <w:r>
        <w:tab/>
        <w:t xml:space="preserve">Subclause (3) applies to a person (a </w:t>
      </w:r>
      <w:r>
        <w:rPr>
          <w:rStyle w:val="CharDefText"/>
        </w:rPr>
        <w:t>relevant person</w:t>
      </w:r>
      <w:r>
        <w:t xml:space="preserve">) who on the commencement day — </w:t>
      </w:r>
    </w:p>
    <w:p>
      <w:pPr>
        <w:pStyle w:val="yIndenta"/>
      </w:pPr>
      <w:r>
        <w:tab/>
        <w:t>(a)</w:t>
      </w:r>
      <w:r>
        <w:tab/>
        <w:t xml:space="preserve">is — </w:t>
      </w:r>
    </w:p>
    <w:p>
      <w:pPr>
        <w:pStyle w:val="yIndenti0"/>
      </w:pPr>
      <w:r>
        <w:tab/>
        <w:t>(i)</w:t>
      </w:r>
      <w:r>
        <w:tab/>
        <w:t>the administering body of a retirement village; or</w:t>
      </w:r>
    </w:p>
    <w:p>
      <w:pPr>
        <w:pStyle w:val="yIndenti0"/>
      </w:pPr>
      <w:r>
        <w:tab/>
        <w:t>(ii)</w:t>
      </w:r>
      <w:r>
        <w:tab/>
        <w:t>in any way, whether directly or indirectly, concerned in the administration of a retirement village;</w:t>
      </w:r>
    </w:p>
    <w:p>
      <w:pPr>
        <w:pStyle w:val="yIndenta"/>
      </w:pPr>
      <w:r>
        <w:tab/>
      </w:r>
      <w:r>
        <w:tab/>
        <w:t>and</w:t>
      </w:r>
    </w:p>
    <w:p>
      <w:pPr>
        <w:pStyle w:val="yIndenta"/>
      </w:pPr>
      <w:r>
        <w:tab/>
        <w:t>(b)</w:t>
      </w:r>
      <w:r>
        <w:tab/>
        <w:t>is a person to whom section 76 applies.</w:t>
      </w:r>
    </w:p>
    <w:p>
      <w:pPr>
        <w:pStyle w:val="ySubsection"/>
      </w:pPr>
      <w:r>
        <w:tab/>
        <w:t>(3)</w:t>
      </w:r>
      <w:r>
        <w:tab/>
        <w:t>On the commencement day, an exemption certificate is to be taken to have been granted under section 77C to a relevant person that has effect, subject to subclause (4) and section 77C(3) and (4), for the period of 6 months from that day.</w:t>
      </w:r>
    </w:p>
    <w:p>
      <w:pPr>
        <w:pStyle w:val="ySubsection"/>
      </w:pPr>
      <w:r>
        <w:tab/>
        <w:t>(4)</w:t>
      </w:r>
      <w:r>
        <w:tab/>
        <w:t xml:space="preserve">If — </w:t>
      </w:r>
    </w:p>
    <w:p>
      <w:pPr>
        <w:pStyle w:val="yIndenta"/>
      </w:pPr>
      <w:r>
        <w:tab/>
        <w:t>(a)</w:t>
      </w:r>
      <w:r>
        <w:tab/>
        <w:t>an exemption certificate is to be taken to have been granted to a relevant person; and</w:t>
      </w:r>
    </w:p>
    <w:p>
      <w:pPr>
        <w:pStyle w:val="yIndenta"/>
      </w:pPr>
      <w:r>
        <w:lastRenderedPageBreak/>
        <w:tab/>
        <w:t>(b)</w:t>
      </w:r>
      <w:r>
        <w:tab/>
        <w:t>the person makes an application under section 77C(1) during the period referred to in subclause (3),</w:t>
      </w:r>
    </w:p>
    <w:p>
      <w:pPr>
        <w:pStyle w:val="ySubsection"/>
      </w:pPr>
      <w:r>
        <w:tab/>
      </w:r>
      <w:r>
        <w:tab/>
        <w:t xml:space="preserve">the exemption certificate — </w:t>
      </w:r>
    </w:p>
    <w:p>
      <w:pPr>
        <w:pStyle w:val="yIndenta"/>
      </w:pPr>
      <w:r>
        <w:tab/>
        <w:t>(c)</w:t>
      </w:r>
      <w:r>
        <w:tab/>
        <w:t>continues to have effect, whether or not the period referred to in subclause (3) expires, until the application is determined; and</w:t>
      </w:r>
    </w:p>
    <w:p>
      <w:pPr>
        <w:pStyle w:val="yIndenta"/>
      </w:pPr>
      <w:r>
        <w:tab/>
        <w:t>(d)</w:t>
      </w:r>
      <w:r>
        <w:tab/>
        <w:t>is cancelled by force of this subclause at the time of that determination.</w:t>
      </w:r>
    </w:p>
    <w:p>
      <w:pPr>
        <w:pStyle w:val="ySubsection"/>
      </w:pPr>
      <w:r>
        <w:tab/>
        <w:t>(5)</w:t>
      </w:r>
      <w:r>
        <w:tab/>
        <w:t xml:space="preserve">A person who on the commencement day — </w:t>
      </w:r>
    </w:p>
    <w:p>
      <w:pPr>
        <w:pStyle w:val="yIndenta"/>
      </w:pPr>
      <w:r>
        <w:tab/>
        <w:t>(a)</w:t>
      </w:r>
      <w:r>
        <w:tab/>
        <w:t>is employed or engaged in any way that, whether directly or indirectly, is concerned in the administration of a retirement village; and</w:t>
      </w:r>
    </w:p>
    <w:p>
      <w:pPr>
        <w:pStyle w:val="yIndenta"/>
      </w:pPr>
      <w:r>
        <w:tab/>
        <w:t>(b)</w:t>
      </w:r>
      <w:r>
        <w:tab/>
        <w:t>is a person to whom section 76 applies,</w:t>
      </w:r>
    </w:p>
    <w:p>
      <w:pPr>
        <w:pStyle w:val="ySubsection"/>
      </w:pPr>
      <w:r>
        <w:tab/>
      </w:r>
      <w:r>
        <w:tab/>
        <w:t>must give relevant information to the person by whom he or she is employed or engaged within 14 days after the commencement day.</w:t>
      </w:r>
    </w:p>
    <w:p>
      <w:pPr>
        <w:pStyle w:val="yPenstart"/>
      </w:pPr>
      <w:r>
        <w:tab/>
        <w:t>Penalty: a fine of $20 000.</w:t>
      </w:r>
    </w:p>
    <w:p>
      <w:pPr>
        <w:pStyle w:val="yFootnotesection"/>
      </w:pPr>
      <w:r>
        <w:tab/>
        <w:t>[Clause 4 inserted: No. 36 of 2012 s. 21.]</w:t>
      </w:r>
    </w:p>
    <w:p>
      <w:pPr>
        <w:pStyle w:val="yHeading5"/>
      </w:pPr>
      <w:bookmarkStart w:id="148" w:name="_Toc131509334"/>
      <w:r>
        <w:rPr>
          <w:rStyle w:val="CharSClsNo"/>
        </w:rPr>
        <w:t>5</w:t>
      </w:r>
      <w:r>
        <w:t>.</w:t>
      </w:r>
      <w:r>
        <w:tab/>
        <w:t>Transitional regulations</w:t>
      </w:r>
      <w:bookmarkEnd w:id="148"/>
    </w:p>
    <w:p>
      <w:pPr>
        <w:pStyle w:val="ySubsection"/>
      </w:pPr>
      <w:r>
        <w:tab/>
        <w:t>(1)</w:t>
      </w:r>
      <w:r>
        <w:tab/>
        <w:t xml:space="preserve">In this clause — </w:t>
      </w:r>
    </w:p>
    <w:p>
      <w:pPr>
        <w:pStyle w:val="yDefstart"/>
      </w:pPr>
      <w:r>
        <w:tab/>
      </w:r>
      <w:r>
        <w:rPr>
          <w:rStyle w:val="CharDefText"/>
        </w:rPr>
        <w:t>amending Act</w:t>
      </w:r>
      <w:r>
        <w:t xml:space="preserve"> means the </w:t>
      </w:r>
      <w:r>
        <w:rPr>
          <w:i/>
        </w:rPr>
        <w:t>Retirement Villages Amendment Act 2012</w:t>
      </w:r>
      <w:r>
        <w:t>;</w:t>
      </w:r>
    </w:p>
    <w:p>
      <w:pPr>
        <w:pStyle w:val="yDefstart"/>
      </w:pPr>
      <w:r>
        <w:tab/>
      </w:r>
      <w:r>
        <w:rPr>
          <w:rStyle w:val="CharDefText"/>
        </w:rPr>
        <w:t>commencement day</w:t>
      </w:r>
      <w:r>
        <w:t xml:space="preserve"> means the day on which section 21 of the amending Act comes into operation;</w:t>
      </w:r>
    </w:p>
    <w:p>
      <w:pPr>
        <w:pStyle w:val="yDefstart"/>
      </w:pPr>
      <w:r>
        <w:tab/>
      </w:r>
      <w:r>
        <w:rPr>
          <w:rStyle w:val="CharDefText"/>
        </w:rPr>
        <w:t>Gazettal day</w:t>
      </w:r>
      <w:r>
        <w:t xml:space="preserve"> means the day on which transitional regulations are published in the </w:t>
      </w:r>
      <w:r>
        <w:rPr>
          <w:i/>
        </w:rPr>
        <w:t>Gazette</w:t>
      </w:r>
      <w:r>
        <w:t>;</w:t>
      </w:r>
    </w:p>
    <w:p>
      <w:pPr>
        <w:pStyle w:val="yDefstart"/>
      </w:pPr>
      <w:r>
        <w:tab/>
      </w:r>
      <w:r>
        <w:rPr>
          <w:rStyle w:val="CharDefText"/>
        </w:rPr>
        <w:t>transitional matter</w:t>
      </w:r>
      <w:r>
        <w:t xml:space="preserve"> means a matter of a transitional, savings or application nature;</w:t>
      </w:r>
    </w:p>
    <w:p>
      <w:pPr>
        <w:pStyle w:val="yDefstart"/>
      </w:pPr>
      <w:r>
        <w:tab/>
      </w:r>
      <w:r>
        <w:rPr>
          <w:rStyle w:val="CharDefText"/>
        </w:rPr>
        <w:t>transitional regulations</w:t>
      </w:r>
      <w:r>
        <w:t xml:space="preserve"> means regulations under subclause (2).</w:t>
      </w:r>
    </w:p>
    <w:p>
      <w:pPr>
        <w:pStyle w:val="ySubsection"/>
      </w:pPr>
      <w:r>
        <w:tab/>
        <w:t>(2)</w:t>
      </w:r>
      <w:r>
        <w:tab/>
        <w:t>Regulations may prescribe anything necessary or convenient to be prescribed in relation to a transitional matter in connection with amendments made to this Act by the amending Act.</w:t>
      </w:r>
    </w:p>
    <w:p>
      <w:pPr>
        <w:pStyle w:val="ySubsection"/>
      </w:pPr>
      <w:r>
        <w:lastRenderedPageBreak/>
        <w:tab/>
        <w:t>(3)</w:t>
      </w:r>
      <w:r>
        <w:tab/>
        <w:t>Without limiting subclause (2), transitional regulations may modify the operation of section 6(2) in respect of any matter specified in the regulations.</w:t>
      </w:r>
    </w:p>
    <w:p>
      <w:pPr>
        <w:pStyle w:val="ySubsection"/>
      </w:pPr>
      <w:r>
        <w:tab/>
        <w:t>(4)</w:t>
      </w:r>
      <w:r>
        <w:tab/>
        <w:t>Transitional regulations can only be made before the end of the period of 12 months beginning on commencement day.</w:t>
      </w:r>
    </w:p>
    <w:p>
      <w:pPr>
        <w:pStyle w:val="y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commencement day.</w:t>
      </w:r>
    </w:p>
    <w:p>
      <w:pPr>
        <w:pStyle w:val="ySubsection"/>
      </w:pPr>
      <w:r>
        <w:tab/>
        <w:t>(6)</w:t>
      </w:r>
      <w:r>
        <w:tab/>
        <w:t xml:space="preserve">If transitional regulations contain a provision referred to in subclause (5), the provision does not operate so as — </w:t>
      </w:r>
    </w:p>
    <w:p>
      <w:pPr>
        <w:pStyle w:val="yIndenta"/>
      </w:pPr>
      <w:r>
        <w:tab/>
        <w:t>(a)</w:t>
      </w:r>
      <w:r>
        <w:tab/>
        <w:t>to affect in a manner prejudicial to any person (other than the State or an authority of the State), the rights of that person existing before Gazettal day; or</w:t>
      </w:r>
    </w:p>
    <w:p>
      <w:pPr>
        <w:pStyle w:val="yIndenta"/>
      </w:pPr>
      <w:r>
        <w:tab/>
        <w:t>(b)</w:t>
      </w:r>
      <w:r>
        <w:tab/>
        <w:t>to impose liabilities on any person (other than the State or an authority of the State) in respect of anything done or omitted to be done before Gazettal day.</w:t>
      </w:r>
    </w:p>
    <w:p>
      <w:pPr>
        <w:pStyle w:val="yFootnotesection"/>
      </w:pPr>
      <w:r>
        <w:tab/>
        <w:t>[Clause 5 inserted: No. 36 of 2012 s. 21.]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50" w:name="_Toc75341141"/>
      <w:bookmarkStart w:id="151" w:name="_Toc75342042"/>
      <w:bookmarkStart w:id="152" w:name="_Toc75447539"/>
      <w:bookmarkStart w:id="153" w:name="_Toc131507196"/>
      <w:bookmarkStart w:id="154" w:name="_Toc131507414"/>
      <w:bookmarkStart w:id="155" w:name="_Toc131509335"/>
      <w:r>
        <w:lastRenderedPageBreak/>
        <w:t>Notes</w:t>
      </w:r>
      <w:bookmarkEnd w:id="150"/>
      <w:bookmarkEnd w:id="151"/>
      <w:bookmarkEnd w:id="152"/>
      <w:bookmarkEnd w:id="153"/>
      <w:bookmarkEnd w:id="154"/>
      <w:bookmarkEnd w:id="155"/>
    </w:p>
    <w:p>
      <w:pPr>
        <w:pStyle w:val="nStatement"/>
      </w:pPr>
      <w:r>
        <w:t xml:space="preserve">This is a compilation of the </w:t>
      </w:r>
      <w:r>
        <w:rPr>
          <w:i/>
          <w:noProof/>
        </w:rPr>
        <w:t>Retirement Villages Act 1992</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pPr>
        <w:pStyle w:val="nHeading3"/>
      </w:pPr>
      <w:bookmarkStart w:id="156" w:name="_Toc131509336"/>
      <w:r>
        <w:t>Compilation table</w:t>
      </w:r>
      <w:bookmarkEnd w:id="1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rPr>
              <w:t>Retirement Villages Act 1992</w:t>
            </w:r>
          </w:p>
        </w:tc>
        <w:tc>
          <w:tcPr>
            <w:tcW w:w="1134" w:type="dxa"/>
            <w:tcBorders>
              <w:top w:val="single" w:sz="8" w:space="0" w:color="auto"/>
            </w:tcBorders>
          </w:tcPr>
          <w:p>
            <w:pPr>
              <w:pStyle w:val="nTable"/>
              <w:spacing w:after="40"/>
            </w:pPr>
            <w:r>
              <w:t>34 of 1992</w:t>
            </w:r>
          </w:p>
        </w:tc>
        <w:tc>
          <w:tcPr>
            <w:tcW w:w="1136" w:type="dxa"/>
            <w:tcBorders>
              <w:top w:val="single" w:sz="8" w:space="0" w:color="auto"/>
            </w:tcBorders>
          </w:tcPr>
          <w:p>
            <w:pPr>
              <w:pStyle w:val="nTable"/>
              <w:spacing w:after="40"/>
            </w:pPr>
            <w:r>
              <w:t>19 Jun 1992</w:t>
            </w:r>
          </w:p>
        </w:tc>
        <w:tc>
          <w:tcPr>
            <w:tcW w:w="2551" w:type="dxa"/>
            <w:tcBorders>
              <w:top w:val="single" w:sz="8" w:space="0" w:color="auto"/>
            </w:tcBorders>
          </w:tcPr>
          <w:p>
            <w:pPr>
              <w:pStyle w:val="nTable"/>
              <w:spacing w:after="40"/>
            </w:pPr>
            <w:r>
              <w:t>s. 1 and 2: 19 Jun 1992;</w:t>
            </w:r>
            <w:r>
              <w:br/>
              <w:t xml:space="preserve">Act other than s. 1 and 2: 10 Jul 1992 (see s. 2 and </w:t>
            </w:r>
            <w:r>
              <w:rPr>
                <w:i/>
              </w:rPr>
              <w:t>Gazette</w:t>
            </w:r>
            <w:r>
              <w:t xml:space="preserve"> 10 Jul 1992 p. 3185)</w:t>
            </w:r>
          </w:p>
        </w:tc>
      </w:tr>
      <w:tr>
        <w:trPr>
          <w:cantSplit/>
        </w:trPr>
        <w:tc>
          <w:tcPr>
            <w:tcW w:w="2268" w:type="dxa"/>
          </w:tcPr>
          <w:p>
            <w:pPr>
              <w:pStyle w:val="nTable"/>
              <w:spacing w:after="40"/>
            </w:pPr>
            <w:r>
              <w:rPr>
                <w:i/>
              </w:rPr>
              <w:t xml:space="preserve">Financial Administration Legislation Amendment Act 1993 </w:t>
            </w:r>
            <w:r>
              <w:t>s.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 xml:space="preserve">Financial Legislation Amendment Act 1996 </w:t>
            </w:r>
            <w:r>
              <w:t>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pPr>
            <w:r>
              <w:rPr>
                <w:i/>
              </w:rPr>
              <w:t>Transfer of Land Amendment Act 1996</w:t>
            </w:r>
            <w:r>
              <w:t xml:space="preserve"> s. 153(1)</w:t>
            </w:r>
          </w:p>
        </w:tc>
        <w:tc>
          <w:tcPr>
            <w:tcW w:w="1134" w:type="dxa"/>
          </w:tcPr>
          <w:p>
            <w:pPr>
              <w:pStyle w:val="nTable"/>
              <w:spacing w:after="40"/>
            </w:pPr>
            <w:r>
              <w:t>81 of 1996</w:t>
            </w:r>
          </w:p>
        </w:tc>
        <w:tc>
          <w:tcPr>
            <w:tcW w:w="1136" w:type="dxa"/>
          </w:tcPr>
          <w:p>
            <w:pPr>
              <w:pStyle w:val="nTable"/>
              <w:spacing w:after="40"/>
            </w:pPr>
            <w:r>
              <w:t>14 Nov 1996</w:t>
            </w:r>
          </w:p>
        </w:tc>
        <w:tc>
          <w:tcPr>
            <w:tcW w:w="2551" w:type="dxa"/>
          </w:tcPr>
          <w:p>
            <w:pPr>
              <w:pStyle w:val="nTable"/>
              <w:spacing w:after="40"/>
            </w:pPr>
            <w:r>
              <w:t>14 Nov 1996 (see s. 2(1))</w:t>
            </w:r>
          </w:p>
        </w:tc>
      </w:tr>
      <w:tr>
        <w:trPr>
          <w:cantSplit/>
        </w:trPr>
        <w:tc>
          <w:tcPr>
            <w:tcW w:w="2268" w:type="dxa"/>
          </w:tcPr>
          <w:p>
            <w:pPr>
              <w:pStyle w:val="nTable"/>
              <w:spacing w:after="40"/>
            </w:pPr>
            <w:r>
              <w:rPr>
                <w:i/>
              </w:rPr>
              <w:t>Trustees Amendment Act 1997</w:t>
            </w:r>
            <w:r>
              <w:t xml:space="preserve"> s. 18</w:t>
            </w:r>
          </w:p>
        </w:tc>
        <w:tc>
          <w:tcPr>
            <w:tcW w:w="1134" w:type="dxa"/>
          </w:tcPr>
          <w:p>
            <w:pPr>
              <w:pStyle w:val="nTable"/>
              <w:spacing w:after="40"/>
            </w:pPr>
            <w:r>
              <w:t>1 of 1997</w:t>
            </w:r>
          </w:p>
        </w:tc>
        <w:tc>
          <w:tcPr>
            <w:tcW w:w="1136"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pPr>
            <w:r>
              <w:rPr>
                <w:i/>
              </w:rPr>
              <w:t>Statutes (Repeals and Minor Amendments) Act 1997</w:t>
            </w:r>
            <w:r>
              <w:t xml:space="preserve"> s. 39(10) and 104</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7089" w:type="dxa"/>
            <w:gridSpan w:val="4"/>
          </w:tcPr>
          <w:p>
            <w:pPr>
              <w:pStyle w:val="nTable"/>
              <w:spacing w:after="40"/>
            </w:pPr>
            <w:r>
              <w:rPr>
                <w:b/>
              </w:rPr>
              <w:t xml:space="preserve">Reprint of the </w:t>
            </w:r>
            <w:r>
              <w:rPr>
                <w:b/>
                <w:i/>
              </w:rPr>
              <w:t>Retirement Villages Act 1992</w:t>
            </w:r>
            <w:r>
              <w:rPr>
                <w:b/>
              </w:rPr>
              <w:t xml:space="preserve"> as at 22 Jan 1999</w:t>
            </w:r>
            <w:r>
              <w:t xml:space="preserve"> (includes amendments listed above)</w:t>
            </w:r>
          </w:p>
        </w:tc>
      </w:tr>
      <w:tr>
        <w:trPr>
          <w:cantSplit/>
        </w:trPr>
        <w:tc>
          <w:tcPr>
            <w:tcW w:w="2268" w:type="dxa"/>
          </w:tcPr>
          <w:p>
            <w:pPr>
              <w:pStyle w:val="nTable"/>
              <w:spacing w:after="40"/>
            </w:pPr>
            <w:r>
              <w:rPr>
                <w:i/>
              </w:rPr>
              <w:t xml:space="preserve">State Superannuation (Transitional and Consequential Provisions) Act 2000 </w:t>
            </w:r>
            <w:r>
              <w:t>s. 60(1)</w:t>
            </w:r>
          </w:p>
        </w:tc>
        <w:tc>
          <w:tcPr>
            <w:tcW w:w="1134" w:type="dxa"/>
          </w:tcPr>
          <w:p>
            <w:pPr>
              <w:pStyle w:val="nTable"/>
              <w:spacing w:after="40"/>
            </w:pPr>
            <w:r>
              <w:t>43 of 2000</w:t>
            </w:r>
          </w:p>
        </w:tc>
        <w:tc>
          <w:tcPr>
            <w:tcW w:w="1136" w:type="dxa"/>
          </w:tcPr>
          <w:p>
            <w:pPr>
              <w:pStyle w:val="nTable"/>
              <w:spacing w:after="40"/>
            </w:pPr>
            <w:r>
              <w:t>2 Nov 2000</w:t>
            </w:r>
          </w:p>
        </w:tc>
        <w:tc>
          <w:tcPr>
            <w:tcW w:w="2551" w:type="dxa"/>
          </w:tcPr>
          <w:p>
            <w:pPr>
              <w:pStyle w:val="nTable"/>
              <w:spacing w:after="40"/>
            </w:pPr>
            <w:r>
              <w:t xml:space="preserve">17 Feb 2001 (see s. 2(2) and </w:t>
            </w:r>
            <w:r>
              <w:rPr>
                <w:i/>
              </w:rPr>
              <w:t>Gazette</w:t>
            </w:r>
            <w:r>
              <w:t xml:space="preserve"> 16 Feb 2001 p. 903)</w:t>
            </w:r>
          </w:p>
        </w:tc>
      </w:tr>
      <w:tr>
        <w:trPr>
          <w:cantSplit/>
        </w:trPr>
        <w:tc>
          <w:tcPr>
            <w:tcW w:w="2268" w:type="dxa"/>
          </w:tcPr>
          <w:p>
            <w:pPr>
              <w:pStyle w:val="nTable"/>
              <w:spacing w:after="40"/>
              <w:rPr>
                <w:i/>
              </w:rPr>
            </w:pPr>
            <w:r>
              <w:rPr>
                <w:i/>
              </w:rPr>
              <w:lastRenderedPageBreak/>
              <w:t xml:space="preserve">Corporations (Consequential Amendments) Act 2001 </w:t>
            </w:r>
            <w:r>
              <w:t>s. 220</w:t>
            </w:r>
          </w:p>
        </w:tc>
        <w:tc>
          <w:tcPr>
            <w:tcW w:w="1134" w:type="dxa"/>
          </w:tcPr>
          <w:p>
            <w:pPr>
              <w:pStyle w:val="nTable"/>
              <w:spacing w:after="40"/>
            </w:pPr>
            <w:r>
              <w:t>10 of 2001</w:t>
            </w:r>
          </w:p>
        </w:tc>
        <w:tc>
          <w:tcPr>
            <w:tcW w:w="1136"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pPr>
            <w:r>
              <w:rPr>
                <w:i/>
              </w:rPr>
              <w:t>Acts Amendment (Equality of Status) Act 2003</w:t>
            </w:r>
            <w:r>
              <w:t xml:space="preserve"> Pt. 52</w:t>
            </w:r>
          </w:p>
        </w:tc>
        <w:tc>
          <w:tcPr>
            <w:tcW w:w="1134" w:type="dxa"/>
          </w:tcPr>
          <w:p>
            <w:pPr>
              <w:pStyle w:val="nTable"/>
              <w:spacing w:after="40"/>
            </w:pPr>
            <w:r>
              <w:t>28 of 2003</w:t>
            </w:r>
          </w:p>
        </w:tc>
        <w:tc>
          <w:tcPr>
            <w:tcW w:w="1136"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pPr>
            <w:r>
              <w:rPr>
                <w:i/>
              </w:rPr>
              <w:t>Acts Amendment and Repeal (Courts and Legal Practice) Act 2003</w:t>
            </w:r>
            <w:r>
              <w:t xml:space="preserve"> s. 62</w:t>
            </w:r>
          </w:p>
        </w:tc>
        <w:tc>
          <w:tcPr>
            <w:tcW w:w="1134" w:type="dxa"/>
          </w:tcPr>
          <w:p>
            <w:pPr>
              <w:pStyle w:val="nTable"/>
              <w:spacing w:after="40"/>
            </w:pPr>
            <w:r>
              <w:t>65 of 2003</w:t>
            </w:r>
          </w:p>
        </w:tc>
        <w:tc>
          <w:tcPr>
            <w:tcW w:w="1136"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113</w:t>
            </w:r>
            <w:r>
              <w:rPr>
                <w:vertAlign w:val="superscript"/>
              </w:rPr>
              <w:t> 2, 3</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7089" w:type="dxa"/>
            <w:gridSpan w:val="4"/>
          </w:tcPr>
          <w:p>
            <w:pPr>
              <w:pStyle w:val="nTable"/>
              <w:spacing w:after="40"/>
            </w:pPr>
            <w:r>
              <w:rPr>
                <w:b/>
              </w:rPr>
              <w:t xml:space="preserve">Reprint 2: The </w:t>
            </w:r>
            <w:r>
              <w:rPr>
                <w:b/>
                <w:i/>
              </w:rPr>
              <w:t>Retirement Villages Act 1992</w:t>
            </w:r>
            <w:r>
              <w:rPr>
                <w:b/>
              </w:rPr>
              <w:t xml:space="preserve"> as at 1 Apr 2005</w:t>
            </w:r>
            <w:r>
              <w:t xml:space="preserve"> (includes amendments listed above)</w:t>
            </w:r>
          </w:p>
        </w:tc>
      </w:tr>
      <w:tr>
        <w:trPr>
          <w:cantSplit/>
        </w:trPr>
        <w:tc>
          <w:tcPr>
            <w:tcW w:w="2268" w:type="dxa"/>
          </w:tcPr>
          <w:p>
            <w:pPr>
              <w:pStyle w:val="nTable"/>
              <w:spacing w:after="40"/>
              <w:rPr>
                <w:i/>
              </w:rPr>
            </w:pPr>
            <w:r>
              <w:rPr>
                <w:i/>
              </w:rPr>
              <w:t xml:space="preserve">Machinery of Government (Miscellaneous Amendments) Act 2006 </w:t>
            </w:r>
            <w:r>
              <w:t>Pt. 4 Div. 21</w:t>
            </w:r>
            <w:r>
              <w:rPr>
                <w:vertAlign w:val="superscript"/>
              </w:rPr>
              <w:t> 4</w:t>
            </w:r>
          </w:p>
        </w:tc>
        <w:tc>
          <w:tcPr>
            <w:tcW w:w="1134" w:type="dxa"/>
          </w:tcPr>
          <w:p>
            <w:pPr>
              <w:pStyle w:val="nTable"/>
              <w:spacing w:after="40"/>
            </w:pPr>
            <w:r>
              <w:t>28 of 2006</w:t>
            </w:r>
          </w:p>
        </w:tc>
        <w:tc>
          <w:tcPr>
            <w:tcW w:w="1136"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rPr>
                <w:iCs/>
              </w:rPr>
            </w:pPr>
            <w:r>
              <w:rPr>
                <w:i/>
                <w:snapToGrid w:val="0"/>
              </w:rPr>
              <w:t>Consumer Protection Legislation Amendment and Repeal Act 2006</w:t>
            </w:r>
            <w:r>
              <w:rPr>
                <w:iCs/>
                <w:snapToGrid w:val="0"/>
              </w:rPr>
              <w:t xml:space="preserve"> Pt. 10</w:t>
            </w:r>
          </w:p>
        </w:tc>
        <w:tc>
          <w:tcPr>
            <w:tcW w:w="1134" w:type="dxa"/>
          </w:tcPr>
          <w:p>
            <w:pPr>
              <w:pStyle w:val="nTable"/>
              <w:spacing w:after="40"/>
            </w:pPr>
            <w:r>
              <w:t>69 of 2006</w:t>
            </w:r>
          </w:p>
        </w:tc>
        <w:tc>
          <w:tcPr>
            <w:tcW w:w="1136" w:type="dxa"/>
          </w:tcPr>
          <w:p>
            <w:pPr>
              <w:pStyle w:val="nTable"/>
              <w:spacing w:after="40"/>
            </w:pPr>
            <w:r>
              <w:t>13 Dec 2006</w:t>
            </w:r>
          </w:p>
        </w:tc>
        <w:tc>
          <w:tcPr>
            <w:tcW w:w="2551" w:type="dxa"/>
          </w:tcPr>
          <w:p>
            <w:pPr>
              <w:pStyle w:val="nTable"/>
              <w:spacing w:after="40"/>
            </w:pPr>
            <w:r>
              <w:t xml:space="preserve">14 Jul 2007 (see s. 2 and </w:t>
            </w:r>
            <w:r>
              <w:rPr>
                <w:i/>
                <w:iCs/>
              </w:rPr>
              <w:t>Gazette</w:t>
            </w:r>
            <w:r>
              <w:t xml:space="preserve"> 13 Jul 2007 p. 3453)</w:t>
            </w:r>
          </w:p>
        </w:tc>
      </w:tr>
      <w:tr>
        <w:trPr>
          <w:cantSplit/>
        </w:trPr>
        <w:tc>
          <w:tcPr>
            <w:tcW w:w="2268" w:type="dxa"/>
          </w:tcPr>
          <w:p>
            <w:pPr>
              <w:pStyle w:val="nTable"/>
              <w:spacing w:after="40"/>
              <w:rPr>
                <w:i/>
              </w:rPr>
            </w:pPr>
            <w:r>
              <w:rPr>
                <w:i/>
                <w:snapToGrid w:val="0"/>
              </w:rPr>
              <w:t xml:space="preserve">Financial Legislation Amendment and Repeal Act 2006 </w:t>
            </w:r>
            <w:r>
              <w:rPr>
                <w:snapToGrid w:val="0"/>
              </w:rPr>
              <w:t>s. 4</w:t>
            </w:r>
          </w:p>
        </w:tc>
        <w:tc>
          <w:tcPr>
            <w:tcW w:w="1134" w:type="dxa"/>
          </w:tcPr>
          <w:p>
            <w:pPr>
              <w:pStyle w:val="nTable"/>
              <w:spacing w:after="40"/>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rPr>
              <w:t xml:space="preserve">Reprint 3: The </w:t>
            </w:r>
            <w:r>
              <w:rPr>
                <w:b/>
                <w:i/>
              </w:rPr>
              <w:t>Retirement Villages Act 1992</w:t>
            </w:r>
            <w:r>
              <w:rPr>
                <w:b/>
              </w:rPr>
              <w:t xml:space="preserve"> as at 10 Oct 2008</w:t>
            </w:r>
            <w:r>
              <w:t xml:space="preserve"> (includes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110</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190 and 199</w:t>
            </w:r>
          </w:p>
        </w:tc>
        <w:tc>
          <w:tcPr>
            <w:tcW w:w="1134" w:type="dxa"/>
          </w:tcPr>
          <w:p>
            <w:pPr>
              <w:pStyle w:val="nTable"/>
              <w:spacing w:after="40"/>
              <w:rPr>
                <w:snapToGrid w:val="0"/>
              </w:rPr>
            </w:pPr>
            <w:r>
              <w:t>58 of 2010</w:t>
            </w:r>
          </w:p>
        </w:tc>
        <w:tc>
          <w:tcPr>
            <w:tcW w:w="1136" w:type="dxa"/>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tcPr>
          <w:p>
            <w:pPr>
              <w:pStyle w:val="nTable"/>
              <w:spacing w:after="40"/>
              <w:ind w:right="113"/>
              <w:rPr>
                <w:i/>
                <w:noProof/>
                <w:snapToGrid w:val="0"/>
              </w:rPr>
            </w:pPr>
            <w:r>
              <w:rPr>
                <w:i/>
                <w:snapToGrid w:val="0"/>
              </w:rPr>
              <w:t>Building Act 2011</w:t>
            </w:r>
            <w:r>
              <w:rPr>
                <w:snapToGrid w:val="0"/>
              </w:rPr>
              <w:t xml:space="preserve"> s. 171</w:t>
            </w:r>
          </w:p>
        </w:tc>
        <w:tc>
          <w:tcPr>
            <w:tcW w:w="1134" w:type="dxa"/>
          </w:tcPr>
          <w:p>
            <w:pPr>
              <w:pStyle w:val="nTable"/>
              <w:spacing w:after="40"/>
            </w:pPr>
            <w:r>
              <w:rPr>
                <w:snapToGrid w:val="0"/>
              </w:rPr>
              <w:t>24 of 2011</w:t>
            </w:r>
          </w:p>
        </w:tc>
        <w:tc>
          <w:tcPr>
            <w:tcW w:w="1136" w:type="dxa"/>
          </w:tcPr>
          <w:p>
            <w:pPr>
              <w:pStyle w:val="nTable"/>
              <w:spacing w:after="40"/>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268" w:type="dxa"/>
          </w:tcPr>
          <w:p>
            <w:pPr>
              <w:pStyle w:val="nTable"/>
              <w:spacing w:after="40"/>
              <w:ind w:right="113"/>
              <w:rPr>
                <w:i/>
                <w:noProof/>
                <w:snapToGrid w:val="0"/>
              </w:rPr>
            </w:pPr>
            <w:r>
              <w:rPr>
                <w:i/>
                <w:snapToGrid w:val="0"/>
              </w:rPr>
              <w:lastRenderedPageBreak/>
              <w:t>Retirement Villages Amendment Act 2012</w:t>
            </w:r>
            <w:r>
              <w:rPr>
                <w:snapToGrid w:val="0"/>
              </w:rPr>
              <w:t xml:space="preserve"> (other than s. 4(4))</w:t>
            </w:r>
          </w:p>
        </w:tc>
        <w:tc>
          <w:tcPr>
            <w:tcW w:w="1134" w:type="dxa"/>
          </w:tcPr>
          <w:p>
            <w:pPr>
              <w:pStyle w:val="nTable"/>
              <w:spacing w:after="40"/>
            </w:pPr>
            <w:r>
              <w:t>36 of 2012</w:t>
            </w:r>
          </w:p>
        </w:tc>
        <w:tc>
          <w:tcPr>
            <w:tcW w:w="1136" w:type="dxa"/>
          </w:tcPr>
          <w:p>
            <w:pPr>
              <w:pStyle w:val="nTable"/>
              <w:spacing w:after="40"/>
            </w:pPr>
            <w:r>
              <w:t>5 Nov 2012</w:t>
            </w:r>
          </w:p>
        </w:tc>
        <w:tc>
          <w:tcPr>
            <w:tcW w:w="2551" w:type="dxa"/>
          </w:tcPr>
          <w:p>
            <w:pPr>
              <w:pStyle w:val="nTable"/>
              <w:spacing w:after="40"/>
            </w:pPr>
            <w:r>
              <w:rPr>
                <w:snapToGrid w:val="0"/>
              </w:rPr>
              <w:t>s. 1 and 2: 5 Nov 2012 (see s. 2(a));</w:t>
            </w:r>
            <w:r>
              <w:rPr>
                <w:snapToGrid w:val="0"/>
              </w:rPr>
              <w:br/>
              <w:t xml:space="preserve">Act other than s. 1, 2 and 4(4): 1 Apr 2014 (see s. 2(b) and </w:t>
            </w:r>
            <w:r>
              <w:rPr>
                <w:i/>
                <w:snapToGrid w:val="0"/>
              </w:rPr>
              <w:t>Gazette</w:t>
            </w:r>
            <w:r>
              <w:rPr>
                <w:snapToGrid w:val="0"/>
              </w:rPr>
              <w:t xml:space="preserve"> 21 Mar 2014 p. 721)</w:t>
            </w:r>
          </w:p>
        </w:tc>
      </w:tr>
      <w:tr>
        <w:trPr>
          <w:cantSplit/>
        </w:trPr>
        <w:tc>
          <w:tcPr>
            <w:tcW w:w="7089" w:type="dxa"/>
            <w:gridSpan w:val="4"/>
            <w:shd w:val="clear" w:color="auto" w:fill="auto"/>
          </w:tcPr>
          <w:p>
            <w:pPr>
              <w:pStyle w:val="nTable"/>
              <w:spacing w:after="40"/>
              <w:rPr>
                <w:snapToGrid w:val="0"/>
              </w:rPr>
            </w:pPr>
            <w:r>
              <w:rPr>
                <w:b/>
              </w:rPr>
              <w:t xml:space="preserve">Reprint 4: The </w:t>
            </w:r>
            <w:r>
              <w:rPr>
                <w:b/>
                <w:i/>
              </w:rPr>
              <w:t>Retirement Villages Act 1992</w:t>
            </w:r>
            <w:r>
              <w:rPr>
                <w:b/>
              </w:rPr>
              <w:t xml:space="preserve"> as at 5 Jul 2013</w:t>
            </w:r>
            <w:r>
              <w:t xml:space="preserve"> (includes amendments listed above except those in the </w:t>
            </w:r>
            <w:r>
              <w:rPr>
                <w:i/>
              </w:rPr>
              <w:t>Retirement Villages Amendment Act 2012</w:t>
            </w:r>
            <w:r>
              <w:t>)</w:t>
            </w:r>
          </w:p>
        </w:tc>
      </w:tr>
      <w:tr>
        <w:trPr>
          <w:cantSplit/>
        </w:trPr>
        <w:tc>
          <w:tcPr>
            <w:tcW w:w="2268" w:type="dxa"/>
          </w:tcPr>
          <w:p>
            <w:pPr>
              <w:pStyle w:val="nTable"/>
              <w:spacing w:after="40"/>
              <w:ind w:right="113"/>
              <w:rPr>
                <w:i/>
                <w:noProof/>
                <w:snapToGrid w:val="0"/>
              </w:rPr>
            </w:pPr>
            <w:r>
              <w:rPr>
                <w:i/>
              </w:rPr>
              <w:t>Strata Titles Amendment Act 2018</w:t>
            </w:r>
            <w:r>
              <w:t xml:space="preserve"> Pt. 3 Div. 19</w:t>
            </w:r>
          </w:p>
        </w:tc>
        <w:tc>
          <w:tcPr>
            <w:tcW w:w="1134" w:type="dxa"/>
          </w:tcPr>
          <w:p>
            <w:pPr>
              <w:pStyle w:val="nTable"/>
              <w:spacing w:after="40"/>
            </w:pPr>
            <w:r>
              <w:t>30 of 2018</w:t>
            </w:r>
          </w:p>
        </w:tc>
        <w:tc>
          <w:tcPr>
            <w:tcW w:w="1136" w:type="dxa"/>
          </w:tcPr>
          <w:p>
            <w:pPr>
              <w:pStyle w:val="nTable"/>
              <w:spacing w:after="40"/>
            </w:pPr>
            <w:r>
              <w:t>19 Nov 2018</w:t>
            </w:r>
          </w:p>
        </w:tc>
        <w:tc>
          <w:tcPr>
            <w:tcW w:w="2551" w:type="dxa"/>
          </w:tcPr>
          <w:p>
            <w:pPr>
              <w:pStyle w:val="nTable"/>
              <w:spacing w:after="40"/>
            </w:pPr>
            <w:r>
              <w:rPr>
                <w:snapToGrid w:val="0"/>
              </w:rPr>
              <w:t>1 May 2020 (see s. 2(b) and SL 2020/39 cl. 2)</w:t>
            </w:r>
          </w:p>
        </w:tc>
      </w:tr>
      <w:tr>
        <w:trPr>
          <w:cantSplit/>
        </w:trPr>
        <w:tc>
          <w:tcPr>
            <w:tcW w:w="2268" w:type="dxa"/>
          </w:tcPr>
          <w:p>
            <w:pPr>
              <w:pStyle w:val="nTable"/>
              <w:spacing w:after="40"/>
              <w:ind w:right="113"/>
              <w:rPr>
                <w:i/>
              </w:rPr>
            </w:pPr>
            <w:r>
              <w:rPr>
                <w:i/>
              </w:rPr>
              <w:t>Community Titles Act 2018</w:t>
            </w:r>
            <w:r>
              <w:t xml:space="preserve"> Pt. 14 Div. 19</w:t>
            </w:r>
          </w:p>
        </w:tc>
        <w:tc>
          <w:tcPr>
            <w:tcW w:w="1134" w:type="dxa"/>
          </w:tcPr>
          <w:p>
            <w:pPr>
              <w:pStyle w:val="nTable"/>
              <w:spacing w:after="40"/>
            </w:pPr>
            <w:r>
              <w:t>32 of 2018</w:t>
            </w:r>
          </w:p>
        </w:tc>
        <w:tc>
          <w:tcPr>
            <w:tcW w:w="1136" w:type="dxa"/>
          </w:tcPr>
          <w:p>
            <w:pPr>
              <w:pStyle w:val="nTable"/>
              <w:spacing w:after="40"/>
            </w:pPr>
            <w:r>
              <w:t>19 Nov 2018</w:t>
            </w:r>
          </w:p>
        </w:tc>
        <w:tc>
          <w:tcPr>
            <w:tcW w:w="2551" w:type="dxa"/>
          </w:tcPr>
          <w:p>
            <w:pPr>
              <w:pStyle w:val="nTable"/>
              <w:spacing w:after="40"/>
              <w:rPr>
                <w:snapToGrid w:val="0"/>
              </w:rPr>
            </w:pPr>
            <w:r>
              <w:t>30 Jun 2021 (see s. 2(b) and SL 2021/69 cl. 2)</w:t>
            </w:r>
          </w:p>
        </w:tc>
      </w:tr>
      <w:tr>
        <w:trPr>
          <w:cantSplit/>
        </w:trPr>
        <w:tc>
          <w:tcPr>
            <w:tcW w:w="2268" w:type="dxa"/>
            <w:tcBorders>
              <w:bottom w:val="single" w:sz="4" w:space="0" w:color="auto"/>
            </w:tcBorders>
          </w:tcPr>
          <w:p>
            <w:pPr>
              <w:pStyle w:val="nTable"/>
              <w:spacing w:after="40"/>
              <w:ind w:right="113"/>
            </w:pPr>
            <w:r>
              <w:rPr>
                <w:i/>
              </w:rPr>
              <w:t>Directors’ Liability Reform Act 2023</w:t>
            </w:r>
            <w:r>
              <w:t xml:space="preserve"> Pt. 3 Div. 54</w:t>
            </w:r>
          </w:p>
        </w:tc>
        <w:tc>
          <w:tcPr>
            <w:tcW w:w="1134" w:type="dxa"/>
            <w:tcBorders>
              <w:bottom w:val="single" w:sz="4" w:space="0" w:color="auto"/>
            </w:tcBorders>
          </w:tcPr>
          <w:p>
            <w:pPr>
              <w:pStyle w:val="nTable"/>
              <w:spacing w:after="40"/>
            </w:pPr>
            <w:r>
              <w:t>9 of 2023</w:t>
            </w:r>
          </w:p>
        </w:tc>
        <w:tc>
          <w:tcPr>
            <w:tcW w:w="1136" w:type="dxa"/>
            <w:tcBorders>
              <w:bottom w:val="single" w:sz="4" w:space="0" w:color="auto"/>
            </w:tcBorders>
          </w:tcPr>
          <w:p>
            <w:pPr>
              <w:pStyle w:val="nTable"/>
              <w:spacing w:after="40"/>
            </w:pPr>
            <w:r>
              <w:t>4 Apr 2023</w:t>
            </w:r>
          </w:p>
        </w:tc>
        <w:tc>
          <w:tcPr>
            <w:tcW w:w="2551" w:type="dxa"/>
            <w:tcBorders>
              <w:bottom w:val="single" w:sz="4" w:space="0" w:color="auto"/>
            </w:tcBorders>
          </w:tcPr>
          <w:p>
            <w:pPr>
              <w:pStyle w:val="nTable"/>
              <w:spacing w:after="40"/>
            </w:pPr>
            <w:r>
              <w:t>5 Apr 2023 (see s. 2(j))</w:t>
            </w:r>
          </w:p>
        </w:tc>
      </w:tr>
    </w:tbl>
    <w:p>
      <w:pPr>
        <w:pStyle w:val="nHeading3"/>
      </w:pPr>
      <w:bookmarkStart w:id="157" w:name="_Toc131509337"/>
      <w:r>
        <w:t>Uncommenced provisions table</w:t>
      </w:r>
      <w:bookmarkEnd w:id="157"/>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2"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60(2)</w:t>
            </w:r>
            <w:r>
              <w:rPr>
                <w:snapToGrid w:val="0"/>
                <w:vertAlign w:val="superscript"/>
              </w:rPr>
              <w:t> 5</w:t>
            </w:r>
          </w:p>
        </w:tc>
        <w:tc>
          <w:tcPr>
            <w:tcW w:w="1134" w:type="dxa"/>
            <w:tcBorders>
              <w:top w:val="single" w:sz="2" w:space="0" w:color="auto"/>
            </w:tcBorders>
          </w:tcPr>
          <w:p>
            <w:pPr>
              <w:pStyle w:val="nTable"/>
              <w:keepNext/>
              <w:spacing w:after="40"/>
            </w:pPr>
            <w:r>
              <w:t>43 of 2000</w:t>
            </w:r>
          </w:p>
        </w:tc>
        <w:tc>
          <w:tcPr>
            <w:tcW w:w="1136" w:type="dxa"/>
            <w:tcBorders>
              <w:top w:val="single" w:sz="2" w:space="0" w:color="auto"/>
            </w:tcBorders>
          </w:tcPr>
          <w:p>
            <w:pPr>
              <w:pStyle w:val="nTable"/>
              <w:keepNext/>
              <w:spacing w:after="40"/>
            </w:pPr>
            <w:r>
              <w:t>2 Nov 2000</w:t>
            </w:r>
          </w:p>
        </w:tc>
        <w:tc>
          <w:tcPr>
            <w:tcW w:w="2551" w:type="dxa"/>
            <w:tcBorders>
              <w:top w:val="single" w:sz="2" w:space="0" w:color="auto"/>
            </w:tcBorders>
          </w:tcPr>
          <w:p>
            <w:pPr>
              <w:pStyle w:val="nTable"/>
              <w:keepNext/>
              <w:spacing w:after="40"/>
            </w:pPr>
            <w:r>
              <w:t>To be proclaimed (see s. 2(2))</w:t>
            </w:r>
          </w:p>
        </w:tc>
      </w:tr>
      <w:tr>
        <w:trPr>
          <w:cantSplit/>
        </w:trPr>
        <w:tc>
          <w:tcPr>
            <w:tcW w:w="2268" w:type="dxa"/>
            <w:tcBorders>
              <w:bottom w:val="single" w:sz="4" w:space="0" w:color="auto"/>
            </w:tcBorders>
            <w:shd w:val="clear" w:color="auto" w:fill="auto"/>
          </w:tcPr>
          <w:p>
            <w:pPr>
              <w:pStyle w:val="nTable"/>
              <w:spacing w:after="40"/>
              <w:ind w:right="113"/>
              <w:rPr>
                <w:snapToGrid w:val="0"/>
                <w:vertAlign w:val="superscript"/>
              </w:rPr>
            </w:pPr>
            <w:r>
              <w:rPr>
                <w:i/>
                <w:snapToGrid w:val="0"/>
              </w:rPr>
              <w:t>Retirement Villages Amendment Act 2012</w:t>
            </w:r>
            <w:r>
              <w:rPr>
                <w:snapToGrid w:val="0"/>
              </w:rPr>
              <w:t xml:space="preserve"> s. 4(4)</w:t>
            </w:r>
          </w:p>
        </w:tc>
        <w:tc>
          <w:tcPr>
            <w:tcW w:w="1134" w:type="dxa"/>
            <w:tcBorders>
              <w:bottom w:val="single" w:sz="4" w:space="0" w:color="auto"/>
            </w:tcBorders>
            <w:shd w:val="clear" w:color="auto" w:fill="auto"/>
          </w:tcPr>
          <w:p>
            <w:pPr>
              <w:pStyle w:val="nTable"/>
              <w:keepNext/>
              <w:spacing w:after="40"/>
            </w:pPr>
            <w:r>
              <w:t>36 of 2012</w:t>
            </w:r>
          </w:p>
        </w:tc>
        <w:tc>
          <w:tcPr>
            <w:tcW w:w="1136" w:type="dxa"/>
            <w:tcBorders>
              <w:bottom w:val="single" w:sz="4" w:space="0" w:color="auto"/>
            </w:tcBorders>
            <w:shd w:val="clear" w:color="auto" w:fill="auto"/>
          </w:tcPr>
          <w:p>
            <w:pPr>
              <w:pStyle w:val="nTable"/>
              <w:keepNext/>
              <w:spacing w:after="40"/>
            </w:pPr>
            <w:r>
              <w:t>5 Nov 2012</w:t>
            </w:r>
          </w:p>
        </w:tc>
        <w:tc>
          <w:tcPr>
            <w:tcW w:w="2551" w:type="dxa"/>
            <w:tcBorders>
              <w:bottom w:val="single" w:sz="4" w:space="0" w:color="auto"/>
            </w:tcBorders>
            <w:shd w:val="clear" w:color="auto" w:fill="auto"/>
          </w:tcPr>
          <w:p>
            <w:pPr>
              <w:pStyle w:val="nTable"/>
              <w:keepNext/>
              <w:spacing w:after="40"/>
            </w:pPr>
            <w:r>
              <w:t>To be proclaimed (see s. 2(b))</w:t>
            </w:r>
          </w:p>
        </w:tc>
      </w:tr>
    </w:tbl>
    <w:p>
      <w:pPr>
        <w:pStyle w:val="nHeading3"/>
      </w:pPr>
      <w:bookmarkStart w:id="158" w:name="_Toc131509338"/>
      <w:r>
        <w:t>Other notes</w:t>
      </w:r>
      <w:bookmarkEnd w:id="158"/>
    </w:p>
    <w:p>
      <w:pPr>
        <w:pStyle w:val="nNote"/>
        <w:spacing w:before="120"/>
        <w:rPr>
          <w:snapToGrid w:val="0"/>
        </w:rPr>
      </w:pPr>
      <w:r>
        <w:rPr>
          <w:vertAlign w:val="superscript"/>
        </w:rPr>
        <w:t>1</w:t>
      </w:r>
      <w:r>
        <w:tab/>
      </w:r>
      <w:r>
        <w:rPr>
          <w:snapToGrid w:val="0"/>
        </w:rPr>
        <w:t xml:space="preserve">The </w:t>
      </w:r>
      <w:r>
        <w:rPr>
          <w:i/>
          <w:snapToGrid w:val="0"/>
        </w:rPr>
        <w:t>Courts Legislation Amendment and Repeal Act 2004</w:t>
      </w:r>
      <w:r>
        <w:rPr>
          <w:snapToGrid w:val="0"/>
        </w:rPr>
        <w:t xml:space="preserve"> Sch. 2 cl. 45 was repealed by the </w:t>
      </w:r>
      <w:r>
        <w:rPr>
          <w:i/>
          <w:iCs/>
          <w:snapToGrid w:val="0"/>
        </w:rPr>
        <w:t>Criminal Law and Evidence Amendment Act 2008</w:t>
      </w:r>
      <w:r>
        <w:rPr>
          <w:snapToGrid w:val="0"/>
        </w:rPr>
        <w:t xml:space="preserve"> s. 77(13).</w:t>
      </w:r>
    </w:p>
    <w:p>
      <w:pPr>
        <w:pStyle w:val="nNote"/>
        <w:spacing w:before="120"/>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spacing w:before="120"/>
      </w:pPr>
      <w:r>
        <w:rPr>
          <w:vertAlign w:val="superscript"/>
        </w:rPr>
        <w:lastRenderedPageBreak/>
        <w:t>3</w:t>
      </w:r>
      <w:r>
        <w:tab/>
        <w:t xml:space="preserve">The </w:t>
      </w:r>
      <w:r>
        <w:rPr>
          <w:i/>
        </w:rPr>
        <w:t>State Administrative Tribunal Regulations 2004</w:t>
      </w:r>
      <w:r>
        <w:t xml:space="preserve"> r. 37 reads as follows:</w:t>
      </w:r>
    </w:p>
    <w:p>
      <w:pPr>
        <w:pStyle w:val="BlankOpen"/>
        <w:rPr>
          <w:snapToGrid w:val="0"/>
        </w:rPr>
      </w:pPr>
    </w:p>
    <w:p>
      <w:pPr>
        <w:pStyle w:val="nzHeading5"/>
        <w:keepLines w:val="0"/>
        <w:spacing w:before="40"/>
      </w:pPr>
      <w:r>
        <w:rPr>
          <w:rStyle w:val="CharSectno"/>
        </w:rPr>
        <w:t>37</w:t>
      </w:r>
      <w:r>
        <w:t>.</w:t>
      </w:r>
      <w:r>
        <w:tab/>
      </w:r>
      <w:r>
        <w:rPr>
          <w:i/>
        </w:rPr>
        <w:t>Retirement Villages Act 1992</w:t>
      </w:r>
    </w:p>
    <w:p>
      <w:pPr>
        <w:pStyle w:val="nzSubsection"/>
        <w:keepNext/>
        <w:spacing w:before="40"/>
      </w:pPr>
      <w:r>
        <w:tab/>
        <w:t>(1)</w:t>
      </w:r>
      <w:r>
        <w:tab/>
        <w:t>In this regulation —</w:t>
      </w:r>
    </w:p>
    <w:p>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BlankClose"/>
      </w:pPr>
    </w:p>
    <w:p>
      <w:pPr>
        <w:pStyle w:val="nNote"/>
        <w:spacing w:before="120"/>
      </w:pPr>
      <w:r>
        <w:rPr>
          <w:vertAlign w:val="superscript"/>
        </w:rPr>
        <w:t>4</w:t>
      </w:r>
      <w:r>
        <w:tab/>
        <w:t xml:space="preserve">The </w:t>
      </w:r>
      <w:r>
        <w:rPr>
          <w:i/>
        </w:rPr>
        <w:t>Machinery of Government (Miscellaneous Amendments) Act 2006</w:t>
      </w:r>
      <w:r>
        <w:t xml:space="preserve"> Pt. 4 Div. 23 is a transitional provision that is of no further effect.</w:t>
      </w:r>
    </w:p>
    <w:p>
      <w:pPr>
        <w:pStyle w:val="nNote"/>
        <w:spacing w:before="120"/>
      </w:pPr>
      <w:r>
        <w:rPr>
          <w:snapToGrid w:val="0"/>
          <w:vertAlign w:val="superscript"/>
        </w:rPr>
        <w:t>5</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60(2) had not come into operation.</w:t>
      </w:r>
      <w:r>
        <w:t xml:space="preserve"> The section that it seeks to amend has been deleted.</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160" w:name="_Toc75341145"/>
      <w:bookmarkStart w:id="161" w:name="_Toc75342046"/>
      <w:bookmarkStart w:id="162" w:name="_Toc75447543"/>
      <w:bookmarkStart w:id="163" w:name="_Toc131507200"/>
      <w:bookmarkStart w:id="164" w:name="_Toc131507418"/>
      <w:bookmarkStart w:id="165" w:name="_Toc131509339"/>
      <w:r>
        <w:rPr>
          <w:sz w:val="28"/>
        </w:rPr>
        <w:lastRenderedPageBreak/>
        <w:t>Defined terms</w:t>
      </w:r>
      <w:bookmarkEnd w:id="160"/>
      <w:bookmarkEnd w:id="161"/>
      <w:bookmarkEnd w:id="162"/>
      <w:bookmarkEnd w:id="163"/>
      <w:bookmarkEnd w:id="164"/>
      <w:bookmarkEnd w:id="1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3(1)</w:t>
      </w:r>
    </w:p>
    <w:p>
      <w:pPr>
        <w:pStyle w:val="DefinedTerms"/>
      </w:pPr>
      <w:r>
        <w:t>amending Act</w:t>
      </w:r>
      <w:r>
        <w:tab/>
        <w:t>Sch. 1 cl. 5(1)</w:t>
      </w:r>
    </w:p>
    <w:p>
      <w:pPr>
        <w:pStyle w:val="DefinedTerms"/>
      </w:pPr>
      <w:r>
        <w:t>appointed</w:t>
      </w:r>
      <w:r>
        <w:tab/>
        <w:t>75F(1)</w:t>
      </w:r>
    </w:p>
    <w:p>
      <w:pPr>
        <w:pStyle w:val="DefinedTerms"/>
      </w:pPr>
      <w:r>
        <w:t>assets</w:t>
      </w:r>
      <w:r>
        <w:tab/>
        <w:t>75A</w:t>
      </w:r>
    </w:p>
    <w:p>
      <w:pPr>
        <w:pStyle w:val="DefinedTerms"/>
      </w:pPr>
      <w:r>
        <w:t>code</w:t>
      </w:r>
      <w:r>
        <w:tab/>
        <w:t>3(1)</w:t>
      </w:r>
    </w:p>
    <w:p>
      <w:pPr>
        <w:pStyle w:val="DefinedTerms"/>
      </w:pPr>
      <w:r>
        <w:t>commencement date</w:t>
      </w:r>
      <w:r>
        <w:tab/>
        <w:t>Sch. 1 cl. 3(2)</w:t>
      </w:r>
    </w:p>
    <w:p>
      <w:pPr>
        <w:pStyle w:val="DefinedTerms"/>
      </w:pPr>
      <w:r>
        <w:t>commencement day</w:t>
      </w:r>
      <w:r>
        <w:tab/>
        <w:t>Sch. 1 cl. 4(1), Sch. 1 cl. 5(1)</w:t>
      </w:r>
    </w:p>
    <w:p>
      <w:pPr>
        <w:pStyle w:val="DefinedTerms"/>
      </w:pPr>
      <w:r>
        <w:t>Commissioner</w:t>
      </w:r>
      <w:r>
        <w:tab/>
        <w:t>3(1)</w:t>
      </w:r>
    </w:p>
    <w:p>
      <w:pPr>
        <w:pStyle w:val="DefinedTerms"/>
      </w:pPr>
      <w:r>
        <w:t>Department</w:t>
      </w:r>
      <w:r>
        <w:tab/>
        <w:t>3(1)</w:t>
      </w:r>
    </w:p>
    <w:p>
      <w:pPr>
        <w:pStyle w:val="DefinedTerms"/>
      </w:pPr>
      <w:r>
        <w:t>executive officer</w:t>
      </w:r>
      <w:r>
        <w:tab/>
        <w:t>7A(3)</w:t>
      </w:r>
    </w:p>
    <w:p>
      <w:pPr>
        <w:pStyle w:val="DefinedTerms"/>
      </w:pPr>
      <w:r>
        <w:t>external administration</w:t>
      </w:r>
      <w:r>
        <w:tab/>
        <w:t>75G(1)</w:t>
      </w:r>
    </w:p>
    <w:p>
      <w:pPr>
        <w:pStyle w:val="DefinedTerms"/>
      </w:pPr>
      <w:r>
        <w:t>external administrator</w:t>
      </w:r>
      <w:r>
        <w:tab/>
        <w:t>75G(1)</w:t>
      </w:r>
    </w:p>
    <w:p>
      <w:pPr>
        <w:pStyle w:val="DefinedTerms"/>
      </w:pPr>
      <w:r>
        <w:t>former resident</w:t>
      </w:r>
      <w:r>
        <w:tab/>
        <w:t>23(1), 24(1)</w:t>
      </w:r>
    </w:p>
    <w:p>
      <w:pPr>
        <w:pStyle w:val="DefinedTerms"/>
      </w:pPr>
      <w:r>
        <w:t>functions</w:t>
      </w:r>
      <w:r>
        <w:tab/>
        <w:t>75A</w:t>
      </w:r>
    </w:p>
    <w:p>
      <w:pPr>
        <w:pStyle w:val="DefinedTerms"/>
      </w:pPr>
      <w:r>
        <w:t>Gazettal day</w:t>
      </w:r>
      <w:r>
        <w:tab/>
        <w:t>Sch. 1 cl. 5(1)</w:t>
      </w:r>
    </w:p>
    <w:p>
      <w:pPr>
        <w:pStyle w:val="DefinedTerms"/>
      </w:pPr>
      <w:r>
        <w:t>information</w:t>
      </w:r>
      <w:r>
        <w:tab/>
        <w:t>11A(3)</w:t>
      </w:r>
    </w:p>
    <w:p>
      <w:pPr>
        <w:pStyle w:val="DefinedTerms"/>
      </w:pPr>
      <w:r>
        <w:t>levy</w:t>
      </w:r>
      <w:r>
        <w:tab/>
        <w:t>3(1)</w:t>
      </w:r>
    </w:p>
    <w:p>
      <w:pPr>
        <w:pStyle w:val="DefinedTerms"/>
      </w:pPr>
      <w:r>
        <w:t>officer</w:t>
      </w:r>
      <w:r>
        <w:tab/>
        <w:t>79(2)</w:t>
      </w:r>
    </w:p>
    <w:p>
      <w:pPr>
        <w:pStyle w:val="DefinedTerms"/>
      </w:pPr>
      <w:r>
        <w:t>operative day</w:t>
      </w:r>
      <w:r>
        <w:tab/>
        <w:t>Sch. 1 cl. 5(5)</w:t>
      </w:r>
    </w:p>
    <w:p>
      <w:pPr>
        <w:pStyle w:val="DefinedTerms"/>
      </w:pPr>
      <w:r>
        <w:t>other persons</w:t>
      </w:r>
      <w:r>
        <w:tab/>
        <w:t>75D(1)</w:t>
      </w:r>
    </w:p>
    <w:p>
      <w:pPr>
        <w:pStyle w:val="DefinedTerms"/>
      </w:pPr>
      <w:r>
        <w:t>owner</w:t>
      </w:r>
      <w:r>
        <w:tab/>
        <w:t>3(1), 13(7)</w:t>
      </w:r>
    </w:p>
    <w:p>
      <w:pPr>
        <w:pStyle w:val="DefinedTerms"/>
      </w:pPr>
      <w:r>
        <w:t>premium</w:t>
      </w:r>
      <w:r>
        <w:tab/>
        <w:t>3(1)</w:t>
      </w:r>
    </w:p>
    <w:p>
      <w:pPr>
        <w:pStyle w:val="DefinedTerms"/>
      </w:pPr>
      <w:r>
        <w:t>property</w:t>
      </w:r>
      <w:r>
        <w:tab/>
        <w:t>75A</w:t>
      </w:r>
    </w:p>
    <w:p>
      <w:pPr>
        <w:pStyle w:val="DefinedTerms"/>
      </w:pPr>
      <w:r>
        <w:t>records</w:t>
      </w:r>
      <w:r>
        <w:tab/>
        <w:t>75H(1)</w:t>
      </w:r>
    </w:p>
    <w:p>
      <w:pPr>
        <w:pStyle w:val="DefinedTerms"/>
      </w:pPr>
      <w:r>
        <w:t>recurrent charge</w:t>
      </w:r>
      <w:r>
        <w:tab/>
        <w:t>3(1)</w:t>
      </w:r>
    </w:p>
    <w:p>
      <w:pPr>
        <w:pStyle w:val="DefinedTerms"/>
      </w:pPr>
      <w:r>
        <w:t>recurrent charges</w:t>
      </w:r>
      <w:r>
        <w:tab/>
        <w:t>23(1), 24(1)</w:t>
      </w:r>
    </w:p>
    <w:p>
      <w:pPr>
        <w:pStyle w:val="DefinedTerms"/>
      </w:pPr>
      <w:r>
        <w:t>Registrar of Titles</w:t>
      </w:r>
      <w:r>
        <w:tab/>
        <w:t>3(1)</w:t>
      </w:r>
    </w:p>
    <w:p>
      <w:pPr>
        <w:pStyle w:val="DefinedTerms"/>
      </w:pPr>
      <w:r>
        <w:t>relevant</w:t>
      </w:r>
      <w:r>
        <w:tab/>
        <w:t>75H(1)</w:t>
      </w:r>
    </w:p>
    <w:p>
      <w:pPr>
        <w:pStyle w:val="DefinedTerms"/>
      </w:pPr>
      <w:r>
        <w:t>relevant information</w:t>
      </w:r>
      <w:r>
        <w:tab/>
        <w:t>77B(1), Sch. 1 cl. 4(1)</w:t>
      </w:r>
    </w:p>
    <w:p>
      <w:pPr>
        <w:pStyle w:val="DefinedTerms"/>
      </w:pPr>
      <w:r>
        <w:t>relevant person</w:t>
      </w:r>
      <w:r>
        <w:tab/>
        <w:t>Sch. 1 cl. 4(2)</w:t>
      </w:r>
    </w:p>
    <w:p>
      <w:pPr>
        <w:pStyle w:val="DefinedTerms"/>
      </w:pPr>
      <w:r>
        <w:t>residence contract</w:t>
      </w:r>
      <w:r>
        <w:tab/>
        <w:t>3(1)</w:t>
      </w:r>
    </w:p>
    <w:p>
      <w:pPr>
        <w:pStyle w:val="DefinedTerms"/>
      </w:pPr>
      <w:r>
        <w:t>residence rules</w:t>
      </w:r>
      <w:r>
        <w:tab/>
        <w:t>3(1)</w:t>
      </w:r>
    </w:p>
    <w:p>
      <w:pPr>
        <w:pStyle w:val="DefinedTerms"/>
      </w:pPr>
      <w:r>
        <w:t>resident</w:t>
      </w:r>
      <w:r>
        <w:tab/>
        <w:t>3(1), 9(8)</w:t>
      </w:r>
    </w:p>
    <w:p>
      <w:pPr>
        <w:pStyle w:val="DefinedTerms"/>
      </w:pPr>
      <w:r>
        <w:t>residential premises</w:t>
      </w:r>
      <w:r>
        <w:tab/>
        <w:t>3(1)</w:t>
      </w:r>
    </w:p>
    <w:p>
      <w:pPr>
        <w:pStyle w:val="DefinedTerms"/>
      </w:pPr>
      <w:r>
        <w:t>residential tenancy agreement</w:t>
      </w:r>
      <w:r>
        <w:tab/>
        <w:t>3(1)</w:t>
      </w:r>
    </w:p>
    <w:p>
      <w:pPr>
        <w:pStyle w:val="DefinedTerms"/>
      </w:pPr>
      <w:r>
        <w:t>retired person</w:t>
      </w:r>
      <w:r>
        <w:tab/>
        <w:t>3(1)</w:t>
      </w:r>
    </w:p>
    <w:p>
      <w:pPr>
        <w:pStyle w:val="DefinedTerms"/>
      </w:pPr>
      <w:r>
        <w:t>retirement village</w:t>
      </w:r>
      <w:r>
        <w:tab/>
        <w:t>3(1)</w:t>
      </w:r>
    </w:p>
    <w:p>
      <w:pPr>
        <w:pStyle w:val="DefinedTerms"/>
      </w:pPr>
      <w:r>
        <w:t>retirement village scheme</w:t>
      </w:r>
      <w:r>
        <w:tab/>
        <w:t>3(1)</w:t>
      </w:r>
    </w:p>
    <w:p>
      <w:pPr>
        <w:pStyle w:val="DefinedTerms"/>
      </w:pPr>
      <w:r>
        <w:t>scheme</w:t>
      </w:r>
      <w:r>
        <w:tab/>
        <w:t>3(1)</w:t>
      </w:r>
    </w:p>
    <w:p>
      <w:pPr>
        <w:pStyle w:val="DefinedTerms"/>
      </w:pPr>
      <w:r>
        <w:t>service</w:t>
      </w:r>
      <w:r>
        <w:tab/>
        <w:t>19(7)</w:t>
      </w:r>
    </w:p>
    <w:p>
      <w:pPr>
        <w:pStyle w:val="DefinedTerms"/>
      </w:pPr>
      <w:r>
        <w:lastRenderedPageBreak/>
        <w:t>service contract</w:t>
      </w:r>
      <w:r>
        <w:tab/>
        <w:t>3(1)</w:t>
      </w:r>
    </w:p>
    <w:p>
      <w:pPr>
        <w:pStyle w:val="DefinedTerms"/>
      </w:pPr>
      <w:r>
        <w:t>special resolution</w:t>
      </w:r>
      <w:r>
        <w:tab/>
        <w:t>57A(3)</w:t>
      </w:r>
    </w:p>
    <w:p>
      <w:pPr>
        <w:pStyle w:val="DefinedTerms"/>
      </w:pPr>
      <w:r>
        <w:t>statutory manager</w:t>
      </w:r>
      <w:r>
        <w:tab/>
        <w:t>11(1), 75A</w:t>
      </w:r>
    </w:p>
    <w:p>
      <w:pPr>
        <w:pStyle w:val="DefinedTerms"/>
      </w:pPr>
      <w:r>
        <w:t>successor in title</w:t>
      </w:r>
      <w:r>
        <w:tab/>
        <w:t>17(3)</w:t>
      </w:r>
    </w:p>
    <w:p>
      <w:pPr>
        <w:pStyle w:val="DefinedTerms"/>
      </w:pPr>
      <w:r>
        <w:t>transitional matter</w:t>
      </w:r>
      <w:r>
        <w:tab/>
        <w:t>Sch. 1 cl. 5(1)</w:t>
      </w:r>
    </w:p>
    <w:p>
      <w:pPr>
        <w:pStyle w:val="DefinedTerms"/>
      </w:pPr>
      <w:r>
        <w:t>transitional regulations</w:t>
      </w:r>
      <w:r>
        <w:tab/>
        <w:t>Sch. 1 cl. 5(1)</w:t>
      </w:r>
    </w:p>
    <w:p>
      <w:pPr>
        <w:pStyle w:val="DefinedTerms"/>
      </w:pPr>
      <w:r>
        <w:t>working day</w:t>
      </w:r>
      <w:r>
        <w:tab/>
        <w:t>3(1)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Retirement Villages Act 1992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Retirement Villages Act 1992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Retirement Villages Act 1992</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Retirement Villages Act 1992</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Retirement Villages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Retirement Villages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9" w:name="Schedule"/>
    <w:bookmarkEnd w:id="1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Retirement Villages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Retirement Villages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9" w:name="Compilation"/>
    <w:bookmarkEnd w:id="15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Retirement Villages Act 1992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Retirement Villages Act 1992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6" w:name="DefinedTerms"/>
    <w:bookmarkEnd w:id="16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7" w:name="Coversheet"/>
    <w:bookmarkEnd w:id="1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E2CA2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8DABD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F161F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FA29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A3C7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C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7DC7C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66F3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8A5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B8DF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DFCB29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14247"/>
    <w:docVar w:name="WAFER_20140113161814" w:val="RemoveTocBookmarks,RemoveUnusedBookmarks,RemoveLanguageTags,UsedStyles,ResetPageSize,UpdateArrangement"/>
    <w:docVar w:name="WAFER_20140113161814_GUID" w:val="b3976cb2-3da9-4a34-a3b9-eb5272942f5b"/>
    <w:docVar w:name="WAFER_20140113161822" w:val="RemoveTocBookmarks,RunningHeaders"/>
    <w:docVar w:name="WAFER_20140113161822_GUID" w:val="05da69c5-09ba-422d-b633-af48b72315d0"/>
    <w:docVar w:name="WAFER_20140306140212" w:val="RemoveTocBookmarks,RemoveUnusedBookmarks,RemoveLanguageTags,UsedStyles,ResetPageSize"/>
    <w:docVar w:name="WAFER_20140306140212_GUID" w:val="8a90b3fc-06ee-4497-b15c-2aeb2ba57c53"/>
    <w:docVar w:name="WAFER_20140306140947" w:val="RemoveTocBookmarks,RunningHeaders"/>
    <w:docVar w:name="WAFER_20140306140947_GUID" w:val="c0d41ad9-b5c0-4ddd-8d74-1670c40a63df"/>
    <w:docVar w:name="WAFER_20140320154504" w:val="RemoveTocBookmarks,RunningHeaders"/>
    <w:docVar w:name="WAFER_20140320154504_GUID" w:val="970c1608-1a4a-4943-8dcb-41221a95b7d7"/>
    <w:docVar w:name="WAFER_20150710142424" w:val="ResetPageSize,UpdateArrangement,UpdateNTable"/>
    <w:docVar w:name="WAFER_20150710142424_GUID" w:val="ea2b1c73-356e-4c37-9517-f8d505e78b3f"/>
    <w:docVar w:name="WAFER_20151111175435" w:val="UpdateStyles,UsedStyles"/>
    <w:docVar w:name="WAFER_20151111175435_GUID" w:val="eb34300b-fa33-4e84-a24b-8ed9ae3d5a0e"/>
    <w:docVar w:name="WAFER_202002121614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413_GUID" w:val="dabed12e-35f3-4c29-ab71-062cd6d7db94"/>
    <w:docVar w:name="WAFER_202002201114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1422_GUID" w:val="8fcab5e6-3e67-4439-bc4e-76a527113c6f"/>
    <w:docVar w:name="WAFER_20210615132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725_GUID" w:val="bf9fdda3-1a09-4092-aa0f-f4e8a5ae0db1"/>
    <w:docVar w:name="WAFER_202106231142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14247_GUID" w:val="d33e55c7-5605-4b62-93a9-7708b750ce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ReprintNo">
    <w:name w:val="ReprintNo"/>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92DC67-BE6A-452A-80B0-9B814A27A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19150</Words>
  <Characters>94794</Characters>
  <Application>Microsoft Office Word</Application>
  <DocSecurity>0</DocSecurity>
  <Lines>2562</Lines>
  <Paragraphs>1340</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112604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1992 - 04-f0-00</dc:title>
  <dc:subject/>
  <dc:creator/>
  <cp:keywords/>
  <dc:description/>
  <cp:lastModifiedBy>Master Repository Process</cp:lastModifiedBy>
  <cp:revision>4</cp:revision>
  <cp:lastPrinted>2021-06-24T09:00:00Z</cp:lastPrinted>
  <dcterms:created xsi:type="dcterms:W3CDTF">2023-04-05T04:27:00Z</dcterms:created>
  <dcterms:modified xsi:type="dcterms:W3CDTF">2023-04-05T04:27:00Z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DocumentType">
    <vt:lpwstr>Act</vt:lpwstr>
  </property>
  <property fmtid="{D5CDD505-2E9C-101B-9397-08002B2CF9AE}" pid="4" name="OwlsUID">
    <vt:i4>697</vt:i4>
  </property>
  <property fmtid="{D5CDD505-2E9C-101B-9397-08002B2CF9AE}" pid="5" name="ReprintNo">
    <vt:lpwstr>4</vt:lpwstr>
  </property>
  <property fmtid="{D5CDD505-2E9C-101B-9397-08002B2CF9AE}" pid="6" name="ReprintedAsAt">
    <vt:filetime>2013-07-04T16:00:00Z</vt:filetime>
  </property>
  <property fmtid="{D5CDD505-2E9C-101B-9397-08002B2CF9AE}" pid="7" name="AsAtDate">
    <vt:lpwstr>05 Apr 2023</vt:lpwstr>
  </property>
  <property fmtid="{D5CDD505-2E9C-101B-9397-08002B2CF9AE}" pid="8" name="Suffix">
    <vt:lpwstr>04-f0-00</vt:lpwstr>
  </property>
  <property fmtid="{D5CDD505-2E9C-101B-9397-08002B2CF9AE}" pid="9" name="CommencementDate">
    <vt:lpwstr>20230405</vt:lpwstr>
  </property>
</Properties>
</file>