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Owner</w:t>
      </w:r>
      <w:r>
        <w:noBreakHyphen/>
        <w:t>Drivers (Contracts and Disputes) Act 2007</w:t>
      </w:r>
    </w:p>
    <w:p>
      <w:pPr>
        <w:pStyle w:val="NameofActRegPage1"/>
        <w:spacing w:before="1800"/>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pStyle w:val="NameofActRegPage1"/>
        <w:spacing w:before="1800"/>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_Toc131666044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_Toc131666045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Conduct prescribed</w:t>
      </w:r>
      <w:r>
        <w:tab/>
      </w:r>
      <w:r>
        <w:fldChar w:fldCharType="begin"/>
      </w:r>
      <w:r>
        <w:instrText xml:space="preserve"> PAGEREF _Toc131666046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Schedule 1 — </w:t>
      </w:r>
      <w:r>
        <w:rPr>
          <w:i/>
          <w:iCs/>
        </w:rPr>
        <w:t>Owner-Driver Contracts Code of Conduct 2010</w:t>
      </w:r>
    </w:p>
    <w:p>
      <w:pPr>
        <w:pStyle w:val="TOC4"/>
        <w:tabs>
          <w:tab w:val="right" w:leader="dot" w:pos="708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_Toc131666049 \h </w:instrText>
      </w:r>
      <w:r>
        <w:fldChar w:fldCharType="separate"/>
      </w:r>
      <w:r>
        <w:t>2</w:t>
      </w:r>
      <w:r>
        <w:fldChar w:fldCharType="end"/>
      </w:r>
    </w:p>
    <w:p>
      <w:pPr>
        <w:pStyle w:val="TOC8"/>
        <w:rPr>
          <w:rFonts w:asciiTheme="minorHAnsi" w:eastAsiaTheme="minorEastAsia" w:hAnsiTheme="minorHAnsi" w:cstheme="minorBidi"/>
          <w:szCs w:val="22"/>
        </w:rPr>
      </w:pPr>
      <w:r>
        <w:t>2.</w:t>
      </w:r>
      <w:r>
        <w:tab/>
        <w:t>Purpose of this Code</w:t>
      </w:r>
      <w:r>
        <w:tab/>
      </w:r>
      <w:r>
        <w:fldChar w:fldCharType="begin"/>
      </w:r>
      <w:r>
        <w:instrText xml:space="preserve"> PAGEREF _Toc131666050 \h </w:instrText>
      </w:r>
      <w:r>
        <w:fldChar w:fldCharType="separate"/>
      </w:r>
      <w:r>
        <w:t>2</w:t>
      </w:r>
      <w:r>
        <w:fldChar w:fldCharType="end"/>
      </w:r>
    </w:p>
    <w:p>
      <w:pPr>
        <w:pStyle w:val="TOC4"/>
        <w:tabs>
          <w:tab w:val="right" w:leader="dot" w:pos="7087"/>
        </w:tabs>
        <w:rPr>
          <w:rFonts w:asciiTheme="minorHAnsi" w:eastAsiaTheme="minorEastAsia" w:hAnsiTheme="minorHAnsi" w:cstheme="minorBidi"/>
          <w:b w:val="0"/>
          <w:szCs w:val="22"/>
        </w:rPr>
      </w:pPr>
      <w:r>
        <w:t>Division 2 — Contract negotiations</w:t>
      </w:r>
    </w:p>
    <w:p>
      <w:pPr>
        <w:pStyle w:val="TOC8"/>
        <w:rPr>
          <w:rFonts w:asciiTheme="minorHAnsi" w:eastAsiaTheme="minorEastAsia" w:hAnsiTheme="minorHAnsi" w:cstheme="minorBidi"/>
          <w:szCs w:val="22"/>
        </w:rPr>
      </w:pPr>
      <w:r>
        <w:t>3.</w:t>
      </w:r>
      <w:r>
        <w:tab/>
        <w:t>Term used: negotiating agent</w:t>
      </w:r>
      <w:r>
        <w:tab/>
      </w:r>
      <w:r>
        <w:fldChar w:fldCharType="begin"/>
      </w:r>
      <w:r>
        <w:instrText xml:space="preserve"> PAGEREF _Toc131666052 \h </w:instrText>
      </w:r>
      <w:r>
        <w:fldChar w:fldCharType="separate"/>
      </w:r>
      <w:r>
        <w:t>2</w:t>
      </w:r>
      <w:r>
        <w:fldChar w:fldCharType="end"/>
      </w:r>
    </w:p>
    <w:p>
      <w:pPr>
        <w:pStyle w:val="TOC8"/>
        <w:rPr>
          <w:rFonts w:asciiTheme="minorHAnsi" w:eastAsiaTheme="minorEastAsia" w:hAnsiTheme="minorHAnsi" w:cstheme="minorBidi"/>
          <w:szCs w:val="22"/>
        </w:rPr>
      </w:pPr>
      <w:r>
        <w:t>4.</w:t>
      </w:r>
      <w:r>
        <w:tab/>
        <w:t>Persons who may conduct negotiations for a single contract</w:t>
      </w:r>
      <w:r>
        <w:tab/>
      </w:r>
      <w:r>
        <w:fldChar w:fldCharType="begin"/>
      </w:r>
      <w:r>
        <w:instrText xml:space="preserve"> PAGEREF _Toc131666053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who may conduct joint negotiations for several contracts</w:t>
      </w:r>
      <w:r>
        <w:tab/>
      </w:r>
      <w:r>
        <w:fldChar w:fldCharType="begin"/>
      </w:r>
      <w:r>
        <w:instrText xml:space="preserve"> PAGEREF _Toc131666054 \h </w:instrText>
      </w:r>
      <w:r>
        <w:fldChar w:fldCharType="separate"/>
      </w:r>
      <w:r>
        <w:t>3</w:t>
      </w:r>
      <w:r>
        <w:fldChar w:fldCharType="end"/>
      </w:r>
    </w:p>
    <w:p>
      <w:pPr>
        <w:pStyle w:val="TOC8"/>
        <w:rPr>
          <w:rFonts w:asciiTheme="minorHAnsi" w:eastAsiaTheme="minorEastAsia" w:hAnsiTheme="minorHAnsi" w:cstheme="minorBidi"/>
          <w:szCs w:val="22"/>
        </w:rPr>
      </w:pPr>
      <w:r>
        <w:t>6.</w:t>
      </w:r>
      <w:r>
        <w:tab/>
        <w:t>Parties to negotiate in good faith</w:t>
      </w:r>
      <w:r>
        <w:tab/>
      </w:r>
      <w:r>
        <w:fldChar w:fldCharType="begin"/>
      </w:r>
      <w:r>
        <w:instrText xml:space="preserve"> PAGEREF _Toc131666055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 to be given to owner</w:t>
      </w:r>
      <w:r>
        <w:noBreakHyphen/>
        <w:t>driver</w:t>
      </w:r>
      <w:r>
        <w:tab/>
      </w:r>
      <w:r>
        <w:fldChar w:fldCharType="begin"/>
      </w:r>
      <w:r>
        <w:instrText xml:space="preserve"> PAGEREF _Toc131666056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3 — Guideline rates of payment</w:t>
      </w:r>
    </w:p>
    <w:p>
      <w:pPr>
        <w:pStyle w:val="TOC8"/>
        <w:rPr>
          <w:rFonts w:asciiTheme="minorHAnsi" w:eastAsiaTheme="minorEastAsia" w:hAnsiTheme="minorHAnsi" w:cstheme="minorBidi"/>
          <w:szCs w:val="22"/>
        </w:rPr>
      </w:pPr>
      <w:r>
        <w:t>8.</w:t>
      </w:r>
      <w:r>
        <w:tab/>
        <w:t>Council may determine guideline rates</w:t>
      </w:r>
      <w:r>
        <w:tab/>
      </w:r>
      <w:r>
        <w:fldChar w:fldCharType="begin"/>
      </w:r>
      <w:r>
        <w:instrText xml:space="preserve"> PAGEREF _Toc131666058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4 — Penalty clauses in contracts</w:t>
      </w:r>
    </w:p>
    <w:p>
      <w:pPr>
        <w:pStyle w:val="TOC8"/>
        <w:rPr>
          <w:rFonts w:asciiTheme="minorHAnsi" w:eastAsiaTheme="minorEastAsia" w:hAnsiTheme="minorHAnsi" w:cstheme="minorBidi"/>
          <w:szCs w:val="22"/>
        </w:rPr>
      </w:pPr>
      <w:r>
        <w:t>9.</w:t>
      </w:r>
      <w:r>
        <w:tab/>
        <w:t>Penalty cannot be imposed on owner</w:t>
      </w:r>
      <w:r>
        <w:noBreakHyphen/>
        <w:t>driver</w:t>
      </w:r>
      <w:r>
        <w:tab/>
      </w:r>
      <w:r>
        <w:fldChar w:fldCharType="begin"/>
      </w:r>
      <w:r>
        <w:instrText xml:space="preserve"> PAGEREF _Toc131666060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5 — Deductions from money payable to owner</w:t>
      </w:r>
      <w:r>
        <w:noBreakHyphen/>
        <w:t>driver</w:t>
      </w:r>
    </w:p>
    <w:p>
      <w:pPr>
        <w:pStyle w:val="TOC8"/>
        <w:rPr>
          <w:rFonts w:asciiTheme="minorHAnsi" w:eastAsiaTheme="minorEastAsia" w:hAnsiTheme="minorHAnsi" w:cstheme="minorBidi"/>
          <w:szCs w:val="22"/>
        </w:rPr>
      </w:pPr>
      <w:r>
        <w:t>10.</w:t>
      </w:r>
      <w:r>
        <w:tab/>
        <w:t>Deductions must be authorised by the contract or this section</w:t>
      </w:r>
      <w:r>
        <w:tab/>
      </w:r>
      <w:r>
        <w:fldChar w:fldCharType="begin"/>
      </w:r>
      <w:r>
        <w:instrText xml:space="preserve"> PAGEREF _Toc131666062 \h </w:instrText>
      </w:r>
      <w:r>
        <w:fldChar w:fldCharType="separate"/>
      </w:r>
      <w:r>
        <w:t>6</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6 — Rate of interest on overdue amounts</w:t>
      </w:r>
    </w:p>
    <w:p>
      <w:pPr>
        <w:pStyle w:val="TOC8"/>
        <w:rPr>
          <w:rFonts w:asciiTheme="minorHAnsi" w:eastAsiaTheme="minorEastAsia" w:hAnsiTheme="minorHAnsi" w:cstheme="minorBidi"/>
          <w:szCs w:val="22"/>
        </w:rPr>
      </w:pPr>
      <w:r>
        <w:t>11.</w:t>
      </w:r>
      <w:r>
        <w:tab/>
        <w:t>Rate of interest to be paid</w:t>
      </w:r>
      <w:r>
        <w:tab/>
      </w:r>
      <w:r>
        <w:fldChar w:fldCharType="begin"/>
      </w:r>
      <w:r>
        <w:instrText xml:space="preserve"> PAGEREF _Toc131666064 \h </w:instrText>
      </w:r>
      <w:r>
        <w:fldChar w:fldCharType="separate"/>
      </w:r>
      <w:r>
        <w:t>7</w:t>
      </w:r>
      <w:r>
        <w:fldChar w:fldCharType="end"/>
      </w:r>
    </w:p>
    <w:p>
      <w:pPr>
        <w:pStyle w:val="TOC4"/>
        <w:tabs>
          <w:tab w:val="right" w:leader="dot" w:pos="7087"/>
        </w:tabs>
        <w:rPr>
          <w:rFonts w:asciiTheme="minorHAnsi" w:eastAsiaTheme="minorEastAsia" w:hAnsiTheme="minorHAnsi" w:cstheme="minorBidi"/>
          <w:b w:val="0"/>
          <w:szCs w:val="22"/>
        </w:rPr>
      </w:pPr>
      <w:r>
        <w:t>Division 7 — Records to be kept by hirer</w:t>
      </w:r>
    </w:p>
    <w:p>
      <w:pPr>
        <w:pStyle w:val="TOC8"/>
        <w:rPr>
          <w:rFonts w:asciiTheme="minorHAnsi" w:eastAsiaTheme="minorEastAsia" w:hAnsiTheme="minorHAnsi" w:cstheme="minorBidi"/>
          <w:szCs w:val="22"/>
        </w:rPr>
      </w:pPr>
      <w:r>
        <w:t>12.</w:t>
      </w:r>
      <w:r>
        <w:tab/>
        <w:t>Information to be recorded by hirer</w:t>
      </w:r>
      <w:r>
        <w:tab/>
      </w:r>
      <w:r>
        <w:fldChar w:fldCharType="begin"/>
      </w:r>
      <w:r>
        <w:instrText xml:space="preserve"> PAGEREF _Toc131666066 \h </w:instrText>
      </w:r>
      <w:r>
        <w:fldChar w:fldCharType="separate"/>
      </w:r>
      <w:r>
        <w:t>7</w:t>
      </w:r>
      <w:r>
        <w:fldChar w:fldCharType="end"/>
      </w:r>
    </w:p>
    <w:p>
      <w:pPr>
        <w:pStyle w:val="TOC8"/>
        <w:rPr>
          <w:rFonts w:asciiTheme="minorHAnsi" w:eastAsiaTheme="minorEastAsia" w:hAnsiTheme="minorHAnsi" w:cstheme="minorBidi"/>
          <w:szCs w:val="22"/>
        </w:rPr>
      </w:pPr>
      <w:r>
        <w:t>13.</w:t>
      </w:r>
      <w:r>
        <w:tab/>
        <w:t>How information to be recorded</w:t>
      </w:r>
      <w:r>
        <w:tab/>
      </w:r>
      <w:r>
        <w:fldChar w:fldCharType="begin"/>
      </w:r>
      <w:r>
        <w:instrText xml:space="preserve"> PAGEREF _Toc131666067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8 — Provision for particular payment to owner</w:t>
      </w:r>
      <w:r>
        <w:noBreakHyphen/>
        <w:t>driver</w:t>
      </w:r>
    </w:p>
    <w:p>
      <w:pPr>
        <w:pStyle w:val="TOC8"/>
        <w:rPr>
          <w:rFonts w:asciiTheme="minorHAnsi" w:eastAsiaTheme="minorEastAsia" w:hAnsiTheme="minorHAnsi" w:cstheme="minorBidi"/>
          <w:szCs w:val="22"/>
        </w:rPr>
      </w:pPr>
      <w:r>
        <w:t>14.</w:t>
      </w:r>
      <w:r>
        <w:tab/>
        <w:t>Particular payment that must be made to owner</w:t>
      </w:r>
      <w:r>
        <w:noBreakHyphen/>
        <w:t>driver</w:t>
      </w:r>
      <w:r>
        <w:tab/>
      </w:r>
      <w:r>
        <w:fldChar w:fldCharType="begin"/>
      </w:r>
      <w:r>
        <w:instrText xml:space="preserve"> PAGEREF _Toc131666069 \h </w:instrText>
      </w:r>
      <w:r>
        <w:fldChar w:fldCharType="separate"/>
      </w:r>
      <w:r>
        <w:t>9</w:t>
      </w:r>
      <w:r>
        <w:fldChar w:fldCharType="end"/>
      </w:r>
    </w:p>
    <w:p>
      <w:pPr>
        <w:pStyle w:val="TOC2"/>
        <w:tabs>
          <w:tab w:val="right" w:leader="dot" w:pos="7087"/>
        </w:tabs>
        <w:rPr>
          <w:rFonts w:asciiTheme="minorHAnsi" w:eastAsiaTheme="minorEastAsia" w:hAnsiTheme="minorHAnsi" w:cstheme="minorBidi"/>
          <w:b w:val="0"/>
          <w:sz w:val="22"/>
          <w:szCs w:val="22"/>
        </w:rPr>
      </w:pPr>
      <w:r>
        <w:t>Appendix 1 — Information to be given to owner</w:t>
      </w:r>
      <w:r>
        <w:noBreakHyphen/>
        <w:t>driver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_Toc131666072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_Toc131666073 \h </w:instrText>
      </w:r>
      <w:r>
        <w:fldChar w:fldCharType="separate"/>
      </w:r>
      <w:r>
        <w:t>17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Owner</w:t>
      </w:r>
      <w:r>
        <w:noBreakHyphen/>
        <w:t>Drivers (Contracts and Disputes) Act 2007</w:t>
      </w:r>
    </w:p>
    <w:p>
      <w:pPr>
        <w:pStyle w:val="NameofActReg"/>
      </w:pPr>
      <w:r>
        <w:t>Owner</w:t>
      </w:r>
      <w:r>
        <w:noBreakHyphen/>
        <w:t>Drivers (Contracts and Disputes) (Code of Conduct) Regulations 2010</w:t>
      </w:r>
    </w:p>
    <w:p>
      <w:pPr>
        <w:pStyle w:val="Heading5"/>
      </w:pPr>
      <w:bookmarkStart w:id="3" w:name="_Toc13166604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Owner</w:t>
      </w:r>
      <w:r>
        <w:rPr>
          <w:i/>
        </w:rPr>
        <w:noBreakHyphen/>
        <w:t>Drivers (Contracts and Disputes) (Code of Conduct) Regulations 2010</w:t>
      </w:r>
      <w:r>
        <w:t>.</w:t>
      </w:r>
    </w:p>
    <w:p>
      <w:pPr>
        <w:pStyle w:val="Heading5"/>
        <w:rPr>
          <w:spacing w:val="-2"/>
        </w:rPr>
      </w:pPr>
      <w:bookmarkStart w:id="5" w:name="_Toc13166604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31666046"/>
      <w:r>
        <w:rPr>
          <w:rStyle w:val="CharSectno"/>
        </w:rPr>
        <w:t>3</w:t>
      </w:r>
      <w:r>
        <w:t>.</w:t>
      </w:r>
      <w:r>
        <w:tab/>
        <w:t>Code of Conduct prescribed</w:t>
      </w:r>
      <w:bookmarkEnd w:id="6"/>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ageBreakBefore w:val="0"/>
        <w:outlineLvl w:val="0"/>
      </w:pPr>
      <w:bookmarkStart w:id="7" w:name="_Toc131599097"/>
      <w:bookmarkStart w:id="8" w:name="_Toc131599328"/>
      <w:bookmarkStart w:id="9" w:name="_Toc131666047"/>
      <w:r>
        <w:rPr>
          <w:rStyle w:val="CharSchNo"/>
        </w:rPr>
        <w:lastRenderedPageBreak/>
        <w:t>Schedule 1</w:t>
      </w:r>
      <w:r>
        <w:t> — </w:t>
      </w:r>
      <w:r>
        <w:rPr>
          <w:rStyle w:val="CharSchText"/>
          <w:i/>
          <w:iCs/>
        </w:rPr>
        <w:t>Owner-Driver Contracts Code of Conduct 2010</w:t>
      </w:r>
      <w:bookmarkEnd w:id="7"/>
      <w:bookmarkEnd w:id="8"/>
      <w:bookmarkEnd w:id="9"/>
    </w:p>
    <w:p>
      <w:pPr>
        <w:pStyle w:val="yShoulderClause"/>
      </w:pPr>
      <w:r>
        <w:t>[r. 3]</w:t>
      </w:r>
    </w:p>
    <w:p>
      <w:pPr>
        <w:pStyle w:val="yHeading3"/>
      </w:pPr>
      <w:bookmarkStart w:id="10" w:name="_Toc131599098"/>
      <w:bookmarkStart w:id="11" w:name="_Toc131599329"/>
      <w:bookmarkStart w:id="12" w:name="_Toc131666048"/>
      <w:r>
        <w:rPr>
          <w:rStyle w:val="CharSDivNo"/>
        </w:rPr>
        <w:t>Division 1</w:t>
      </w:r>
      <w:r>
        <w:t> — </w:t>
      </w:r>
      <w:r>
        <w:rPr>
          <w:rStyle w:val="CharSDivText"/>
        </w:rPr>
        <w:t>Introductory provisions</w:t>
      </w:r>
      <w:bookmarkEnd w:id="10"/>
      <w:bookmarkEnd w:id="11"/>
      <w:bookmarkEnd w:id="12"/>
    </w:p>
    <w:p>
      <w:pPr>
        <w:pStyle w:val="yHeading5"/>
      </w:pPr>
      <w:bookmarkStart w:id="13" w:name="_Toc131666049"/>
      <w:r>
        <w:rPr>
          <w:rStyle w:val="CharSClsNo"/>
        </w:rPr>
        <w:t>1</w:t>
      </w:r>
      <w:r>
        <w:t>.</w:t>
      </w:r>
      <w:r>
        <w:tab/>
        <w:t>Citation</w:t>
      </w:r>
      <w:bookmarkEnd w:id="13"/>
    </w:p>
    <w:p>
      <w:pPr>
        <w:pStyle w:val="ySubsection"/>
      </w:pPr>
      <w:r>
        <w:tab/>
      </w:r>
      <w:r>
        <w:tab/>
        <w:t xml:space="preserve">This is the </w:t>
      </w:r>
      <w:r>
        <w:rPr>
          <w:i/>
          <w:iCs/>
        </w:rPr>
        <w:t>Owner</w:t>
      </w:r>
      <w:r>
        <w:rPr>
          <w:i/>
          <w:iCs/>
        </w:rPr>
        <w:noBreakHyphen/>
        <w:t>Driver Contracts Code of Conduct 2010</w:t>
      </w:r>
      <w:r>
        <w:t>.</w:t>
      </w:r>
    </w:p>
    <w:p>
      <w:pPr>
        <w:pStyle w:val="yHeading5"/>
      </w:pPr>
      <w:bookmarkStart w:id="14" w:name="_Toc131666050"/>
      <w:r>
        <w:rPr>
          <w:rStyle w:val="CharSClsNo"/>
        </w:rPr>
        <w:t>2</w:t>
      </w:r>
      <w:r>
        <w:t>.</w:t>
      </w:r>
      <w:r>
        <w:tab/>
        <w:t>Purpose of this Code</w:t>
      </w:r>
      <w:bookmarkEnd w:id="14"/>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15" w:name="_Toc131599101"/>
      <w:bookmarkStart w:id="16" w:name="_Toc131599332"/>
      <w:bookmarkStart w:id="17" w:name="_Toc131666051"/>
      <w:r>
        <w:rPr>
          <w:rStyle w:val="CharSDivNo"/>
        </w:rPr>
        <w:t>Division 2</w:t>
      </w:r>
      <w:r>
        <w:t> — </w:t>
      </w:r>
      <w:r>
        <w:rPr>
          <w:rStyle w:val="CharSDivText"/>
        </w:rPr>
        <w:t>Contract negotiations</w:t>
      </w:r>
      <w:bookmarkEnd w:id="15"/>
      <w:bookmarkEnd w:id="16"/>
      <w:bookmarkEnd w:id="17"/>
    </w:p>
    <w:p>
      <w:pPr>
        <w:pStyle w:val="yHeading5"/>
      </w:pPr>
      <w:bookmarkStart w:id="18" w:name="_Toc131666052"/>
      <w:r>
        <w:rPr>
          <w:rStyle w:val="CharSClsNo"/>
        </w:rPr>
        <w:t>3</w:t>
      </w:r>
      <w:r>
        <w:t>.</w:t>
      </w:r>
      <w:r>
        <w:tab/>
        <w:t>Term used: negotiating agent</w:t>
      </w:r>
      <w:bookmarkEnd w:id="18"/>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19" w:name="_Toc131666053"/>
      <w:r>
        <w:rPr>
          <w:rStyle w:val="CharSClsNo"/>
        </w:rPr>
        <w:t>4</w:t>
      </w:r>
      <w:r>
        <w:t>.</w:t>
      </w:r>
      <w:r>
        <w:tab/>
        <w:t>Persons who may conduct negotiations for a single contract</w:t>
      </w:r>
      <w:bookmarkEnd w:id="19"/>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lastRenderedPageBreak/>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20" w:name="_Toc131666054"/>
      <w:r>
        <w:rPr>
          <w:rStyle w:val="CharSClsNo"/>
        </w:rPr>
        <w:t>5</w:t>
      </w:r>
      <w:r>
        <w:t>.</w:t>
      </w:r>
      <w:r>
        <w:tab/>
        <w:t>Persons who may conduct joint negotiations for several contracts</w:t>
      </w:r>
      <w:bookmarkEnd w:id="20"/>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21" w:name="_Toc131666055"/>
      <w:r>
        <w:rPr>
          <w:rStyle w:val="CharSClsNo"/>
        </w:rPr>
        <w:t>6</w:t>
      </w:r>
      <w:r>
        <w:t>.</w:t>
      </w:r>
      <w:r>
        <w:tab/>
        <w:t>Parties to negotiate in good faith</w:t>
      </w:r>
      <w:bookmarkEnd w:id="21"/>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lastRenderedPageBreak/>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22" w:name="_Toc131666056"/>
      <w:r>
        <w:rPr>
          <w:rStyle w:val="CharSClsNo"/>
        </w:rPr>
        <w:t>7</w:t>
      </w:r>
      <w:r>
        <w:t>.</w:t>
      </w:r>
      <w:r>
        <w:tab/>
        <w:t>Information to be given to owner</w:t>
      </w:r>
      <w:r>
        <w:noBreakHyphen/>
        <w:t>driver</w:t>
      </w:r>
      <w:bookmarkEnd w:id="22"/>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an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Footnotesection"/>
      </w:pPr>
      <w:r>
        <w:tab/>
        <w:t>[Clause 7 amended: Gazette 2 Oct 2018 p. 3803.]</w:t>
      </w:r>
    </w:p>
    <w:p>
      <w:pPr>
        <w:pStyle w:val="yHeading3"/>
        <w:keepLines/>
        <w:pageBreakBefore/>
        <w:spacing w:before="0"/>
      </w:pPr>
      <w:bookmarkStart w:id="23" w:name="_Toc131599107"/>
      <w:bookmarkStart w:id="24" w:name="_Toc131599338"/>
      <w:bookmarkStart w:id="25" w:name="_Toc131666057"/>
      <w:r>
        <w:rPr>
          <w:rStyle w:val="CharSDivNo"/>
        </w:rPr>
        <w:lastRenderedPageBreak/>
        <w:t>Division 3</w:t>
      </w:r>
      <w:r>
        <w:t> — </w:t>
      </w:r>
      <w:r>
        <w:rPr>
          <w:rStyle w:val="CharSDivText"/>
        </w:rPr>
        <w:t>Guideline rates of payment</w:t>
      </w:r>
      <w:bookmarkEnd w:id="23"/>
      <w:bookmarkEnd w:id="24"/>
      <w:bookmarkEnd w:id="25"/>
    </w:p>
    <w:p>
      <w:pPr>
        <w:pStyle w:val="yHeading5"/>
      </w:pPr>
      <w:bookmarkStart w:id="26" w:name="_Toc131666058"/>
      <w:r>
        <w:rPr>
          <w:rStyle w:val="CharSClsNo"/>
        </w:rPr>
        <w:t>8</w:t>
      </w:r>
      <w:r>
        <w:t>.</w:t>
      </w:r>
      <w:r>
        <w:tab/>
        <w:t>Council may determine guideline rates</w:t>
      </w:r>
      <w:bookmarkEnd w:id="26"/>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27" w:name="_Toc131599109"/>
      <w:bookmarkStart w:id="28" w:name="_Toc131599340"/>
      <w:bookmarkStart w:id="29" w:name="_Toc131666059"/>
      <w:r>
        <w:rPr>
          <w:rStyle w:val="CharSDivNo"/>
        </w:rPr>
        <w:t>Division 4</w:t>
      </w:r>
      <w:r>
        <w:t> — </w:t>
      </w:r>
      <w:r>
        <w:rPr>
          <w:rStyle w:val="CharSDivText"/>
        </w:rPr>
        <w:t>Penalty clauses in contracts</w:t>
      </w:r>
      <w:bookmarkEnd w:id="27"/>
      <w:bookmarkEnd w:id="28"/>
      <w:bookmarkEnd w:id="29"/>
    </w:p>
    <w:p>
      <w:pPr>
        <w:pStyle w:val="yHeading5"/>
      </w:pPr>
      <w:bookmarkStart w:id="30" w:name="_Toc131666060"/>
      <w:r>
        <w:rPr>
          <w:rStyle w:val="CharSClsNo"/>
        </w:rPr>
        <w:t>9</w:t>
      </w:r>
      <w:r>
        <w:t>.</w:t>
      </w:r>
      <w:r>
        <w:tab/>
        <w:t>Penalty cannot be imposed on owner</w:t>
      </w:r>
      <w:r>
        <w:noBreakHyphen/>
        <w:t>driver</w:t>
      </w:r>
      <w:bookmarkEnd w:id="30"/>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lastRenderedPageBreak/>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31" w:name="_Toc131599111"/>
      <w:bookmarkStart w:id="32" w:name="_Toc131599342"/>
      <w:bookmarkStart w:id="33" w:name="_Toc131666061"/>
      <w:r>
        <w:rPr>
          <w:rStyle w:val="CharSDivNo"/>
        </w:rPr>
        <w:t>Division 5</w:t>
      </w:r>
      <w:r>
        <w:t> — </w:t>
      </w:r>
      <w:r>
        <w:rPr>
          <w:rStyle w:val="CharSDivText"/>
        </w:rPr>
        <w:t>Deductions from money payable to owner</w:t>
      </w:r>
      <w:r>
        <w:rPr>
          <w:rStyle w:val="CharSDivText"/>
        </w:rPr>
        <w:noBreakHyphen/>
        <w:t>driver</w:t>
      </w:r>
      <w:bookmarkEnd w:id="31"/>
      <w:bookmarkEnd w:id="32"/>
      <w:bookmarkEnd w:id="33"/>
    </w:p>
    <w:p>
      <w:pPr>
        <w:pStyle w:val="yHeading5"/>
      </w:pPr>
      <w:bookmarkStart w:id="34" w:name="_Toc131666062"/>
      <w:r>
        <w:rPr>
          <w:rStyle w:val="CharSClsNo"/>
        </w:rPr>
        <w:t>10</w:t>
      </w:r>
      <w:r>
        <w:t>.</w:t>
      </w:r>
      <w:r>
        <w:tab/>
        <w:t>Deductions must be authorised by the contract or this section</w:t>
      </w:r>
      <w:bookmarkEnd w:id="34"/>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lastRenderedPageBreak/>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35" w:name="_Toc131599113"/>
      <w:bookmarkStart w:id="36" w:name="_Toc131599344"/>
      <w:bookmarkStart w:id="37" w:name="_Toc131666063"/>
      <w:r>
        <w:rPr>
          <w:rStyle w:val="CharSDivNo"/>
        </w:rPr>
        <w:t>Division 6</w:t>
      </w:r>
      <w:r>
        <w:t> — </w:t>
      </w:r>
      <w:r>
        <w:rPr>
          <w:rStyle w:val="CharSDivText"/>
        </w:rPr>
        <w:t>Rate of interest on overdue amounts</w:t>
      </w:r>
      <w:bookmarkEnd w:id="35"/>
      <w:bookmarkEnd w:id="36"/>
      <w:bookmarkEnd w:id="37"/>
    </w:p>
    <w:p>
      <w:pPr>
        <w:pStyle w:val="yHeading5"/>
      </w:pPr>
      <w:bookmarkStart w:id="38" w:name="_Toc131666064"/>
      <w:r>
        <w:rPr>
          <w:rStyle w:val="CharSClsNo"/>
        </w:rPr>
        <w:t>11</w:t>
      </w:r>
      <w:r>
        <w:t>.</w:t>
      </w:r>
      <w:r>
        <w:tab/>
        <w:t>Rate of interest to be paid</w:t>
      </w:r>
      <w:bookmarkEnd w:id="38"/>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(1)(b), the rate of interest to be paid at the time referred to is the rate prescribed for that time under the </w:t>
      </w:r>
      <w:r>
        <w:rPr>
          <w:i/>
        </w:rPr>
        <w:t>Civil Judgments Enforcement Act 2004</w:t>
      </w:r>
      <w:r>
        <w:t xml:space="preserve"> section 8(1)(a).</w:t>
      </w:r>
    </w:p>
    <w:p>
      <w:pPr>
        <w:pStyle w:val="yHeading3"/>
      </w:pPr>
      <w:bookmarkStart w:id="39" w:name="_Toc131599115"/>
      <w:bookmarkStart w:id="40" w:name="_Toc131599346"/>
      <w:bookmarkStart w:id="41" w:name="_Toc131666065"/>
      <w:r>
        <w:rPr>
          <w:rStyle w:val="CharSDivNo"/>
        </w:rPr>
        <w:t>Division 7</w:t>
      </w:r>
      <w:r>
        <w:t> — </w:t>
      </w:r>
      <w:r>
        <w:rPr>
          <w:rStyle w:val="CharSDivText"/>
        </w:rPr>
        <w:t>Records to be kept by hirer</w:t>
      </w:r>
      <w:bookmarkEnd w:id="39"/>
      <w:bookmarkEnd w:id="40"/>
      <w:bookmarkEnd w:id="41"/>
    </w:p>
    <w:p>
      <w:pPr>
        <w:pStyle w:val="yHeading5"/>
      </w:pPr>
      <w:bookmarkStart w:id="42" w:name="_Toc131666066"/>
      <w:r>
        <w:rPr>
          <w:rStyle w:val="CharSClsNo"/>
        </w:rPr>
        <w:t>12</w:t>
      </w:r>
      <w:r>
        <w:t>.</w:t>
      </w:r>
      <w:r>
        <w:tab/>
        <w:t>Information to be recorded by hirer</w:t>
      </w:r>
      <w:bookmarkEnd w:id="42"/>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lastRenderedPageBreak/>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43" w:name="_Toc131666067"/>
      <w:r>
        <w:rPr>
          <w:rStyle w:val="CharSClsNo"/>
        </w:rPr>
        <w:t>13</w:t>
      </w:r>
      <w:r>
        <w:t>.</w:t>
      </w:r>
      <w:r>
        <w:tab/>
        <w:t>How information to be recorded</w:t>
      </w:r>
      <w:bookmarkEnd w:id="43"/>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lastRenderedPageBreak/>
        <w:tab/>
        <w:t>(b)</w:t>
      </w:r>
      <w:r>
        <w:tab/>
        <w:t>there is no risk of the person having such access.</w:t>
      </w:r>
    </w:p>
    <w:p>
      <w:pPr>
        <w:pStyle w:val="yHeading3"/>
      </w:pPr>
      <w:bookmarkStart w:id="44" w:name="_Toc131599118"/>
      <w:bookmarkStart w:id="45" w:name="_Toc131599349"/>
      <w:bookmarkStart w:id="46" w:name="_Toc131666068"/>
      <w:r>
        <w:rPr>
          <w:rStyle w:val="CharSDivNo"/>
        </w:rPr>
        <w:t>Division 8</w:t>
      </w:r>
      <w:r>
        <w:t> — </w:t>
      </w:r>
      <w:r>
        <w:rPr>
          <w:rStyle w:val="CharSDivText"/>
        </w:rPr>
        <w:t>Provision for particular payment to owner</w:t>
      </w:r>
      <w:r>
        <w:rPr>
          <w:rStyle w:val="CharSDivText"/>
        </w:rPr>
        <w:noBreakHyphen/>
        <w:t>driver</w:t>
      </w:r>
      <w:bookmarkEnd w:id="44"/>
      <w:bookmarkEnd w:id="45"/>
      <w:bookmarkEnd w:id="46"/>
    </w:p>
    <w:p>
      <w:pPr>
        <w:pStyle w:val="yHeading5"/>
      </w:pPr>
      <w:bookmarkStart w:id="47" w:name="_Toc131666069"/>
      <w:r>
        <w:rPr>
          <w:rStyle w:val="CharSClsNo"/>
        </w:rPr>
        <w:t>14</w:t>
      </w:r>
      <w:r>
        <w:t>.</w:t>
      </w:r>
      <w:r>
        <w:tab/>
        <w:t>Particular payment that must be made to owner</w:t>
      </w:r>
      <w:r>
        <w:noBreakHyphen/>
        <w:t>driver</w:t>
      </w:r>
      <w:bookmarkEnd w:id="47"/>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docGrid w:linePitch="326"/>
        </w:sectPr>
      </w:pPr>
    </w:p>
    <w:p>
      <w:pPr>
        <w:pStyle w:val="yScheduleHeading"/>
        <w:rPr>
          <w:b w:val="0"/>
          <w:bCs/>
        </w:rPr>
      </w:pPr>
      <w:bookmarkStart w:id="49" w:name="_Toc131599120"/>
      <w:bookmarkStart w:id="50" w:name="_Toc131599351"/>
      <w:bookmarkStart w:id="51" w:name="_Toc131666070"/>
      <w:r>
        <w:rPr>
          <w:rStyle w:val="CharSchNo"/>
        </w:rPr>
        <w:lastRenderedPageBreak/>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49"/>
      <w:bookmarkEnd w:id="50"/>
      <w:bookmarkEnd w:id="51"/>
    </w:p>
    <w:p>
      <w:pPr>
        <w:pStyle w:val="yShoulderClause"/>
      </w:pPr>
      <w:r>
        <w:t>[s. 7(2)(b)]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Form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lastRenderedPageBreak/>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 xml:space="preserve">Note: It is good business practice to put agreed contract terms and conditions in writing; doing so can prevent disputes and can help the Tribunal when dealing with disputes. </w:t>
      </w:r>
      <w:r>
        <w:rPr>
          <w:szCs w:val="22"/>
        </w:rPr>
        <w:t>The contact details for the Tribunal are available on the WA IRC’s website.</w:t>
      </w:r>
    </w:p>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lastRenderedPageBreak/>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lastRenderedPageBreak/>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Mines, Industry Regulation and Safety can investigate alleged breaches of the Act, of the Code of Conduct, or of an owner</w:t>
      </w:r>
      <w:r>
        <w:noBreakHyphen/>
        <w:t>driver contract. The contact details for the Department are available on the Department’s website.</w:t>
      </w:r>
    </w:p>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w:t>
      </w:r>
      <w:r>
        <w:lastRenderedPageBreak/>
        <w:t xml:space="preserve">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lastRenderedPageBreak/>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r>
        <w:rPr>
          <w:szCs w:val="22"/>
        </w:rPr>
        <w:t>of Conduct</w:t>
      </w:r>
      <w:r>
        <w:t xml:space="preserv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lastRenderedPageBreak/>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pPr>
      <w:r>
        <w:rPr>
          <w:b/>
        </w:rPr>
        <w:t>Disclaimer:</w:t>
      </w:r>
      <w:r>
        <w:t xml:space="preserve"> This information has been prepared as a guide only. None of the information in this form is intended to constitute advice, whether legal, financial or professional. Before you act on the information in this form, you should first get specific independent advice about your particular circumstances. You should not act solely on the basis of the information in this form. </w:t>
      </w:r>
    </w:p>
    <w:p>
      <w:pPr>
        <w:pStyle w:val="yMiscellaneousBody"/>
      </w:pPr>
      <w:r>
        <w:t>This form provides a brief overview of some of the changes affecting rights and obligations. For further details and a range of other information for owner</w:t>
      </w:r>
      <w:r>
        <w:noBreakHyphen/>
        <w:t>drivers go to the Department of Transport’s website.</w:t>
      </w:r>
    </w:p>
    <w:p>
      <w:pPr>
        <w:pStyle w:val="yFootnotesection"/>
      </w:pPr>
      <w:r>
        <w:tab/>
        <w:t>[Appendix 1 amended: Gazette 2 Oct 2018 p. 3803</w:t>
      </w:r>
      <w:r>
        <w:noBreakHyphen/>
        <w:t>4.]</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52" w:name="_Toc131599352"/>
      <w:bookmarkStart w:id="53" w:name="_Toc131666071"/>
      <w:bookmarkStart w:id="54" w:name="_Toc131599123"/>
      <w:r>
        <w:lastRenderedPageBreak/>
        <w:t>Notes</w:t>
      </w:r>
      <w:bookmarkEnd w:id="52"/>
      <w:bookmarkEnd w:id="53"/>
    </w:p>
    <w:p>
      <w:pPr>
        <w:pStyle w:val="nStatement"/>
      </w:pPr>
      <w:r>
        <w:t xml:space="preserve">This is a compilation of the </w:t>
      </w:r>
      <w:r>
        <w:rPr>
          <w:i/>
          <w:noProof/>
        </w:rPr>
        <w:t>Owner-Drivers (Contracts and Disputes) (Code of Conduct)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131666072"/>
      <w:r>
        <w:t>Compilation table</w:t>
      </w:r>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c>
          <w:tcPr>
            <w:tcW w:w="3118" w:type="dxa"/>
            <w:tcBorders>
              <w:top w:val="nil"/>
              <w:bottom w:val="single" w:sz="4" w:space="0" w:color="auto"/>
            </w:tcBorders>
          </w:tcPr>
          <w:p>
            <w:pPr>
              <w:pStyle w:val="nTable"/>
              <w:spacing w:after="40"/>
            </w:pPr>
            <w:r>
              <w:rPr>
                <w:i/>
              </w:rPr>
              <w:t>Owner</w:t>
            </w:r>
            <w:r>
              <w:rPr>
                <w:i/>
              </w:rPr>
              <w:noBreakHyphen/>
              <w:t>Drivers (Contracts and Disputes) (Code of Conduct) Amendment Regulations 2018</w:t>
            </w:r>
          </w:p>
        </w:tc>
        <w:tc>
          <w:tcPr>
            <w:tcW w:w="1276" w:type="dxa"/>
            <w:tcBorders>
              <w:top w:val="nil"/>
              <w:bottom w:val="single" w:sz="4" w:space="0" w:color="auto"/>
            </w:tcBorders>
          </w:tcPr>
          <w:p>
            <w:pPr>
              <w:pStyle w:val="nTable"/>
              <w:spacing w:after="40"/>
            </w:pPr>
            <w:r>
              <w:t>2 Oct 2018 p. 3802</w:t>
            </w:r>
            <w:r>
              <w:noBreakHyphen/>
              <w:t>4</w:t>
            </w:r>
          </w:p>
        </w:tc>
        <w:tc>
          <w:tcPr>
            <w:tcW w:w="2693" w:type="dxa"/>
            <w:tcBorders>
              <w:top w:val="nil"/>
              <w:bottom w:val="single" w:sz="4" w:space="0" w:color="auto"/>
            </w:tcBorders>
          </w:tcPr>
          <w:p>
            <w:pPr>
              <w:pStyle w:val="nTable"/>
              <w:spacing w:after="40"/>
            </w:pPr>
            <w:r>
              <w:t>r. 1 and 2: 2 Oct 2018 (see r. 2(a));</w:t>
            </w:r>
            <w:r>
              <w:br/>
              <w:t>Regulations other than r. 1 and 2: 3 Oct 2018 (see r. 2(b))</w:t>
            </w:r>
          </w:p>
        </w:tc>
      </w:tr>
    </w:tbl>
    <w:p>
      <w:pPr>
        <w:pStyle w:val="nHeading3"/>
      </w:pPr>
      <w:bookmarkStart w:id="56" w:name="_Toc131666073"/>
      <w:r>
        <w:t>Uncommenced provisions table</w:t>
      </w:r>
      <w:bookmarkEnd w:id="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Owner-Drivers (Contracts and Disputes) (Code of Conduct) Amendment Regulations 2023</w:t>
            </w:r>
            <w:r>
              <w:t xml:space="preserve"> r. 3</w:t>
            </w:r>
            <w:r>
              <w:noBreakHyphen/>
              <w:t>16</w:t>
            </w:r>
          </w:p>
        </w:tc>
        <w:tc>
          <w:tcPr>
            <w:tcW w:w="1276" w:type="dxa"/>
          </w:tcPr>
          <w:p>
            <w:pPr>
              <w:pStyle w:val="nTable"/>
              <w:spacing w:after="40"/>
            </w:pPr>
            <w:r>
              <w:t>SL 2023/29 6 Apr 2023</w:t>
            </w:r>
          </w:p>
        </w:tc>
        <w:tc>
          <w:tcPr>
            <w:tcW w:w="2693" w:type="dxa"/>
          </w:tcPr>
          <w:p>
            <w:pPr>
              <w:pStyle w:val="nTable"/>
              <w:spacing w:after="40"/>
            </w:pPr>
            <w:r>
              <w:t>1 Jun 2023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58" w:name="_Toc131599355"/>
      <w:bookmarkStart w:id="59" w:name="_Toc131666074"/>
      <w:r>
        <w:rPr>
          <w:sz w:val="28"/>
        </w:rPr>
        <w:lastRenderedPageBreak/>
        <w:t>Defined terms</w:t>
      </w:r>
      <w:bookmarkEnd w:id="54"/>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default</w:t>
      </w:r>
      <w:r>
        <w:tab/>
        <w:t>Sch. 1 cl. 9(1)</w:t>
      </w:r>
    </w:p>
    <w:p>
      <w:pPr>
        <w:pStyle w:val="DefinedTerms"/>
      </w:pPr>
      <w:r>
        <w:t>negotiating agent</w:t>
      </w:r>
      <w:r>
        <w:tab/>
        <w:t>Sch. 1 cl. 3</w:t>
      </w:r>
    </w:p>
    <w:p>
      <w:pPr>
        <w:pStyle w:val="DefinedTerms"/>
      </w:pPr>
      <w:r>
        <w:t>owner</w:t>
      </w:r>
      <w:r>
        <w:noBreakHyphen/>
        <w:t>driver</w:t>
      </w:r>
      <w:r>
        <w:tab/>
        <w:t>Sch. 1 cl. 4(2)</w:t>
      </w:r>
    </w:p>
    <w:p>
      <w:pPr>
        <w:pStyle w:val="DefinedTerms"/>
      </w:pPr>
      <w:r>
        <w:t>party</w:t>
      </w:r>
      <w:r>
        <w:tab/>
        <w:t>Sch. 1 cl. 6(2)</w:t>
      </w:r>
    </w:p>
    <w:p>
      <w:pPr>
        <w:pStyle w:val="DefinedTerms"/>
      </w:pPr>
      <w:r>
        <w:t>payment of an amount</w:t>
      </w:r>
      <w:r>
        <w:tab/>
        <w:t>Sch. 1 cl. 9(6)</w:t>
      </w:r>
    </w:p>
    <w:p>
      <w:pPr>
        <w:pStyle w:val="DefinedTerms"/>
      </w:pPr>
      <w:r>
        <w:t>prospective hirer</w:t>
      </w:r>
      <w:r>
        <w:tab/>
        <w:t>Sch. 1 cl. 7(2)</w:t>
      </w:r>
    </w:p>
    <w:p>
      <w:pPr>
        <w:pStyle w:val="DefinedTerms"/>
      </w:pPr>
      <w:r>
        <w:t>the Act</w:t>
      </w:r>
      <w:r>
        <w:tab/>
        <w:t>Sch. 1 cl. 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5550"/>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 w:name="WAFER_2023040514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05145550_GUID" w:val="2368472f-708c-4043-a91a-eb452ba77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113B4331-6BA7-4A35-9FC3-850D3FCA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4559</Words>
  <Characters>22572</Characters>
  <Application>Microsoft Office Word</Application>
  <DocSecurity>0</DocSecurity>
  <Lines>594</Lines>
  <Paragraphs>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26755</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2010 - 01-c0-00</dc:title>
  <dc:subject/>
  <dc:creator/>
  <cp:keywords/>
  <dc:description/>
  <cp:lastModifiedBy>Master Repository Process</cp:lastModifiedBy>
  <cp:revision>4</cp:revision>
  <cp:lastPrinted>2010-10-13T00:23:00Z</cp:lastPrinted>
  <dcterms:created xsi:type="dcterms:W3CDTF">2023-04-06T02:53:00Z</dcterms:created>
  <dcterms:modified xsi:type="dcterms:W3CDTF">2023-04-06T02:53:00Z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AsAtDate">
    <vt:lpwstr>06 Apr 2023</vt:lpwstr>
  </property>
  <property fmtid="{D5CDD505-2E9C-101B-9397-08002B2CF9AE}" pid="8" name="Suffix">
    <vt:lpwstr>01-c0-00</vt:lpwstr>
  </property>
  <property fmtid="{D5CDD505-2E9C-101B-9397-08002B2CF9AE}" pid="9" name="CommencementDate">
    <vt:lpwstr>20230406</vt:lpwstr>
  </property>
</Properties>
</file>