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Gaming and Wagering Commission Act 1987</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Gaming and Wagering Commission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_Toc131666692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_Toc131666693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_Toc131666694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The Commission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Administration</w:t>
      </w:r>
    </w:p>
    <w:p>
      <w:pPr>
        <w:pStyle w:val="TOC8"/>
        <w:rPr>
          <w:rFonts w:asciiTheme="minorHAnsi" w:eastAsiaTheme="minorEastAsia" w:hAnsiTheme="minorHAnsi" w:cstheme="minorBidi"/>
          <w:szCs w:val="22"/>
        </w:rPr>
      </w:pPr>
      <w:r>
        <w:t>4</w:t>
      </w:r>
      <w:r>
        <w:rPr>
          <w:snapToGrid w:val="0"/>
        </w:rPr>
        <w:t>.</w:t>
      </w:r>
      <w:r>
        <w:rPr>
          <w:snapToGrid w:val="0"/>
        </w:rPr>
        <w:tab/>
        <w:t>Gaming and Wagering Commission established</w:t>
      </w:r>
      <w:r>
        <w:tab/>
      </w:r>
      <w:r>
        <w:fldChar w:fldCharType="begin"/>
      </w:r>
      <w:r>
        <w:instrText xml:space="preserve"> PAGEREF _Toc131666697 \h </w:instrText>
      </w:r>
      <w:r>
        <w:fldChar w:fldCharType="separate"/>
      </w:r>
      <w:r>
        <w:t>10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Trading name or symbol, use of by Commission</w:t>
      </w:r>
      <w:r>
        <w:tab/>
      </w:r>
      <w:r>
        <w:fldChar w:fldCharType="begin"/>
      </w:r>
      <w:r>
        <w:instrText xml:space="preserve"> PAGEREF _Toc131666698 \h </w:instrText>
      </w:r>
      <w:r>
        <w:fldChar w:fldCharType="separate"/>
      </w:r>
      <w:r>
        <w:t>10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Minister and Commission, relationship between</w:t>
      </w:r>
      <w:r>
        <w:tab/>
      </w:r>
      <w:r>
        <w:fldChar w:fldCharType="begin"/>
      </w:r>
      <w:r>
        <w:instrText xml:space="preserve"> PAGEREF _Toc131666699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Duties and powers</w:t>
      </w:r>
    </w:p>
    <w:p>
      <w:pPr>
        <w:pStyle w:val="TOC8"/>
        <w:rPr>
          <w:rFonts w:asciiTheme="minorHAnsi" w:eastAsiaTheme="minorEastAsia" w:hAnsiTheme="minorHAnsi" w:cstheme="minorBidi"/>
          <w:szCs w:val="22"/>
        </w:rPr>
      </w:pPr>
      <w:r>
        <w:t>7</w:t>
      </w:r>
      <w:r>
        <w:rPr>
          <w:snapToGrid w:val="0"/>
        </w:rPr>
        <w:t>.</w:t>
      </w:r>
      <w:r>
        <w:rPr>
          <w:snapToGrid w:val="0"/>
        </w:rPr>
        <w:tab/>
        <w:t>Duties of Commission</w:t>
      </w:r>
      <w:r>
        <w:tab/>
      </w:r>
      <w:r>
        <w:fldChar w:fldCharType="begin"/>
      </w:r>
      <w:r>
        <w:instrText xml:space="preserve"> PAGEREF _Toc131666701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Powers of Commission</w:t>
      </w:r>
      <w:r>
        <w:tab/>
      </w:r>
      <w:r>
        <w:fldChar w:fldCharType="begin"/>
      </w:r>
      <w:r>
        <w:instrText xml:space="preserve"> PAGEREF _Toc131666702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Finance</w:t>
      </w:r>
    </w:p>
    <w:p>
      <w:pPr>
        <w:pStyle w:val="TOC8"/>
        <w:rPr>
          <w:rFonts w:asciiTheme="minorHAnsi" w:eastAsiaTheme="minorEastAsia" w:hAnsiTheme="minorHAnsi" w:cstheme="minorBidi"/>
          <w:szCs w:val="22"/>
        </w:rPr>
      </w:pPr>
      <w:r>
        <w:t>9</w:t>
      </w:r>
      <w:r>
        <w:rPr>
          <w:snapToGrid w:val="0"/>
        </w:rPr>
        <w:t>.</w:t>
      </w:r>
      <w:r>
        <w:rPr>
          <w:snapToGrid w:val="0"/>
        </w:rPr>
        <w:tab/>
        <w:t>Funds of Commission; financial provisions</w:t>
      </w:r>
      <w:r>
        <w:tab/>
      </w:r>
      <w:r>
        <w:fldChar w:fldCharType="begin"/>
      </w:r>
      <w:r>
        <w:instrText xml:space="preserve"> PAGEREF _Toc131666704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r>
      <w:r>
        <w:rPr>
          <w:i/>
          <w:iCs/>
        </w:rPr>
        <w:t>Financial Management Act 2006</w:t>
      </w:r>
      <w:r>
        <w:t xml:space="preserve"> and </w:t>
      </w:r>
      <w:r>
        <w:rPr>
          <w:i/>
          <w:iCs/>
        </w:rPr>
        <w:t>Auditor General Act 2006</w:t>
      </w:r>
      <w:r>
        <w:rPr>
          <w:iCs/>
        </w:rPr>
        <w:t xml:space="preserve"> apply to Commission</w:t>
      </w:r>
      <w:r>
        <w:tab/>
      </w:r>
      <w:r>
        <w:fldChar w:fldCharType="begin"/>
      </w:r>
      <w:r>
        <w:instrText xml:space="preserve"> PAGEREF _Toc131666705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Some dealings by Commission need Treasurer’s approval</w:t>
      </w:r>
      <w:r>
        <w:tab/>
      </w:r>
      <w:r>
        <w:fldChar w:fldCharType="begin"/>
      </w:r>
      <w:r>
        <w:instrText xml:space="preserve"> PAGEREF _Toc131666706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Membership, co</w:t>
      </w:r>
      <w:r>
        <w:noBreakHyphen/>
        <w:t>option, consultation and committees</w:t>
      </w:r>
    </w:p>
    <w:p>
      <w:pPr>
        <w:pStyle w:val="TOC8"/>
        <w:rPr>
          <w:rFonts w:asciiTheme="minorHAnsi" w:eastAsiaTheme="minorEastAsia" w:hAnsiTheme="minorHAnsi" w:cstheme="minorBidi"/>
          <w:szCs w:val="22"/>
        </w:rPr>
      </w:pPr>
      <w:r>
        <w:t>12</w:t>
      </w:r>
      <w:r>
        <w:rPr>
          <w:snapToGrid w:val="0"/>
        </w:rPr>
        <w:t>.</w:t>
      </w:r>
      <w:r>
        <w:rPr>
          <w:snapToGrid w:val="0"/>
        </w:rPr>
        <w:tab/>
        <w:t>Members of Commission, attendance at meetings etc.</w:t>
      </w:r>
      <w:r>
        <w:tab/>
      </w:r>
      <w:r>
        <w:fldChar w:fldCharType="begin"/>
      </w:r>
      <w:r>
        <w:instrText xml:space="preserve"> PAGEREF _Toc131666708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Remuneration of members; effect of service with Commission on public servants</w:t>
      </w:r>
      <w:r>
        <w:tab/>
      </w:r>
      <w:r>
        <w:fldChar w:fldCharType="begin"/>
      </w:r>
      <w:r>
        <w:instrText xml:space="preserve"> PAGEREF _Toc131666709 \h </w:instrText>
      </w:r>
      <w:r>
        <w:fldChar w:fldCharType="separate"/>
      </w:r>
      <w:r>
        <w:t>21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w:t>
      </w:r>
      <w:r>
        <w:rPr>
          <w:snapToGrid w:val="0"/>
        </w:rPr>
        <w:noBreakHyphen/>
        <w:t>option, consultation etc., Commission’s powers as to</w:t>
      </w:r>
      <w:r>
        <w:tab/>
      </w:r>
      <w:r>
        <w:fldChar w:fldCharType="begin"/>
      </w:r>
      <w:r>
        <w:instrText xml:space="preserve"> PAGEREF _Toc131666710 \h </w:instrText>
      </w:r>
      <w:r>
        <w:fldChar w:fldCharType="separate"/>
      </w:r>
      <w:r>
        <w:t>22</w:t>
      </w:r>
      <w:r>
        <w:fldChar w:fldCharType="end"/>
      </w:r>
    </w:p>
    <w:p>
      <w:pPr>
        <w:pStyle w:val="TOC8"/>
        <w:rPr>
          <w:rFonts w:asciiTheme="minorHAnsi" w:eastAsiaTheme="minorEastAsia" w:hAnsiTheme="minorHAnsi" w:cstheme="minorBidi"/>
          <w:szCs w:val="22"/>
        </w:rPr>
      </w:pPr>
      <w:r>
        <w:lastRenderedPageBreak/>
        <w:t>15</w:t>
      </w:r>
      <w:r>
        <w:rPr>
          <w:snapToGrid w:val="0"/>
        </w:rPr>
        <w:t>.</w:t>
      </w:r>
      <w:r>
        <w:rPr>
          <w:snapToGrid w:val="0"/>
        </w:rPr>
        <w:tab/>
        <w:t>Committees, appointment of etc.</w:t>
      </w:r>
      <w:r>
        <w:tab/>
      </w:r>
      <w:r>
        <w:fldChar w:fldCharType="begin"/>
      </w:r>
      <w:r>
        <w:instrText xml:space="preserve"> PAGEREF _Toc131666711 \h </w:instrText>
      </w:r>
      <w:r>
        <w:fldChar w:fldCharType="separate"/>
      </w:r>
      <w:r>
        <w:t>22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Delegation powers</w:t>
      </w:r>
      <w:r>
        <w:tab/>
      </w:r>
      <w:r>
        <w:fldChar w:fldCharType="begin"/>
      </w:r>
      <w:r>
        <w:instrText xml:space="preserve"> PAGEREF _Toc131666712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Proceedings</w:t>
      </w:r>
    </w:p>
    <w:p>
      <w:pPr>
        <w:pStyle w:val="TOC8"/>
        <w:rPr>
          <w:rFonts w:asciiTheme="minorHAnsi" w:eastAsiaTheme="minorEastAsia" w:hAnsiTheme="minorHAnsi" w:cstheme="minorBidi"/>
          <w:szCs w:val="22"/>
        </w:rPr>
      </w:pPr>
      <w:r>
        <w:t>17</w:t>
      </w:r>
      <w:r>
        <w:rPr>
          <w:snapToGrid w:val="0"/>
        </w:rPr>
        <w:t>.</w:t>
      </w:r>
      <w:r>
        <w:rPr>
          <w:snapToGrid w:val="0"/>
        </w:rPr>
        <w:tab/>
        <w:t>Proceedings, meetings, declaring interests etc.</w:t>
      </w:r>
      <w:r>
        <w:tab/>
      </w:r>
      <w:r>
        <w:fldChar w:fldCharType="begin"/>
      </w:r>
      <w:r>
        <w:instrText xml:space="preserve"> PAGEREF _Toc131666714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Staff, etc.</w:t>
      </w:r>
    </w:p>
    <w:p>
      <w:pPr>
        <w:pStyle w:val="TOC8"/>
        <w:rPr>
          <w:rFonts w:asciiTheme="minorHAnsi" w:eastAsiaTheme="minorEastAsia" w:hAnsiTheme="minorHAnsi" w:cstheme="minorBidi"/>
          <w:szCs w:val="22"/>
        </w:rPr>
      </w:pPr>
      <w:r>
        <w:t>18</w:t>
      </w:r>
      <w:r>
        <w:rPr>
          <w:snapToGrid w:val="0"/>
        </w:rPr>
        <w:t>.</w:t>
      </w:r>
      <w:r>
        <w:rPr>
          <w:snapToGrid w:val="0"/>
        </w:rPr>
        <w:tab/>
        <w:t>Staff, contractors etc.; Commission may ask Commissioner of Police to inquire etc. into various matters</w:t>
      </w:r>
      <w:r>
        <w:tab/>
      </w:r>
      <w:r>
        <w:fldChar w:fldCharType="begin"/>
      </w:r>
      <w:r>
        <w:instrText xml:space="preserve"> PAGEREF _Toc131666716 \h </w:instrText>
      </w:r>
      <w:r>
        <w:fldChar w:fldCharType="separate"/>
      </w:r>
      <w:r>
        <w:t>25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Government departments, statutory bodies etc. to assist Commission</w:t>
      </w:r>
      <w:r>
        <w:tab/>
      </w:r>
      <w:r>
        <w:fldChar w:fldCharType="begin"/>
      </w:r>
      <w:r>
        <w:instrText xml:space="preserve"> PAGEREF _Toc131666717 \h </w:instrText>
      </w:r>
      <w:r>
        <w:fldChar w:fldCharType="separate"/>
      </w:r>
      <w:r>
        <w:t>28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Reports, effect of and privilege attached to; official information, disclosure of etc.</w:t>
      </w:r>
      <w:r>
        <w:tab/>
      </w:r>
      <w:r>
        <w:fldChar w:fldCharType="begin"/>
      </w:r>
      <w:r>
        <w:instrText xml:space="preserve"> PAGEREF _Toc131666718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7 — Confidential police information</w:t>
      </w:r>
    </w:p>
    <w:p>
      <w:pPr>
        <w:pStyle w:val="TOC8"/>
        <w:rPr>
          <w:rFonts w:asciiTheme="minorHAnsi" w:eastAsiaTheme="minorEastAsia" w:hAnsiTheme="minorHAnsi" w:cstheme="minorBidi"/>
          <w:szCs w:val="22"/>
        </w:rPr>
      </w:pPr>
      <w:r>
        <w:t>20A.</w:t>
      </w:r>
      <w:r>
        <w:tab/>
        <w:t>Certain information provided by police to be kept confidential</w:t>
      </w:r>
      <w:r>
        <w:tab/>
      </w:r>
      <w:r>
        <w:fldChar w:fldCharType="begin"/>
      </w:r>
      <w:r>
        <w:instrText xml:space="preserve"> PAGEREF _Toc131666720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III — Enforcement</w:t>
      </w:r>
    </w:p>
    <w:p>
      <w:pPr>
        <w:pStyle w:val="TOC8"/>
        <w:rPr>
          <w:rFonts w:asciiTheme="minorHAnsi" w:eastAsiaTheme="minorEastAsia" w:hAnsiTheme="minorHAnsi" w:cstheme="minorBidi"/>
          <w:szCs w:val="22"/>
        </w:rPr>
      </w:pPr>
      <w:r>
        <w:t>21</w:t>
      </w:r>
      <w:r>
        <w:rPr>
          <w:snapToGrid w:val="0"/>
        </w:rPr>
        <w:t>.</w:t>
      </w:r>
      <w:r>
        <w:rPr>
          <w:snapToGrid w:val="0"/>
        </w:rPr>
        <w:tab/>
        <w:t>Authorised officers, appointment and duties of and reports by</w:t>
      </w:r>
      <w:r>
        <w:tab/>
      </w:r>
      <w:r>
        <w:fldChar w:fldCharType="begin"/>
      </w:r>
      <w:r>
        <w:instrText xml:space="preserve"> PAGEREF _Toc131666722 \h </w:instrText>
      </w:r>
      <w:r>
        <w:fldChar w:fldCharType="separate"/>
      </w:r>
      <w:r>
        <w:t>33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Permitted gaming and social gambling, powers to scrutinize etc.</w:t>
      </w:r>
      <w:r>
        <w:tab/>
      </w:r>
      <w:r>
        <w:fldChar w:fldCharType="begin"/>
      </w:r>
      <w:r>
        <w:instrText xml:space="preserve"> PAGEREF _Toc131666723 \h </w:instrText>
      </w:r>
      <w:r>
        <w:fldChar w:fldCharType="separate"/>
      </w:r>
      <w:r>
        <w:t>34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Other police powers not limited by this Act</w:t>
      </w:r>
      <w:r>
        <w:tab/>
      </w:r>
      <w:r>
        <w:fldChar w:fldCharType="begin"/>
      </w:r>
      <w:r>
        <w:instrText xml:space="preserve"> PAGEREF _Toc131666724 \h </w:instrText>
      </w:r>
      <w:r>
        <w:fldChar w:fldCharType="separate"/>
      </w:r>
      <w:r>
        <w:t>35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Commissioner of Police, directions by to police officers</w:t>
      </w:r>
      <w:r>
        <w:tab/>
      </w:r>
      <w:r>
        <w:fldChar w:fldCharType="begin"/>
      </w:r>
      <w:r>
        <w:instrText xml:space="preserve"> PAGEREF _Toc131666725 \h </w:instrText>
      </w:r>
      <w:r>
        <w:fldChar w:fldCharType="separate"/>
      </w:r>
      <w:r>
        <w:t>36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Entry to premises, arrest etc., warrant authorising</w:t>
      </w:r>
      <w:r>
        <w:tab/>
      </w:r>
      <w:r>
        <w:fldChar w:fldCharType="begin"/>
      </w:r>
      <w:r>
        <w:instrText xml:space="preserve"> PAGEREF _Toc131666726 \h </w:instrText>
      </w:r>
      <w:r>
        <w:fldChar w:fldCharType="separate"/>
      </w:r>
      <w:r>
        <w:t>36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Evidence, information etc., powers to seize, obtain etc.</w:t>
      </w:r>
      <w:r>
        <w:tab/>
      </w:r>
      <w:r>
        <w:fldChar w:fldCharType="begin"/>
      </w:r>
      <w:r>
        <w:instrText xml:space="preserve"> PAGEREF _Toc131666727 \h </w:instrText>
      </w:r>
      <w:r>
        <w:fldChar w:fldCharType="separate"/>
      </w:r>
      <w:r>
        <w:t>38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Information, production of books, accounts etc., powers to require</w:t>
      </w:r>
      <w:r>
        <w:tab/>
      </w:r>
      <w:r>
        <w:fldChar w:fldCharType="begin"/>
      </w:r>
      <w:r>
        <w:instrText xml:space="preserve"> PAGEREF _Toc131666728 \h </w:instrText>
      </w:r>
      <w:r>
        <w:fldChar w:fldCharType="separate"/>
      </w:r>
      <w:r>
        <w:t>39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Recovering moneys payable to Commission</w:t>
      </w:r>
      <w:r>
        <w:tab/>
      </w:r>
      <w:r>
        <w:fldChar w:fldCharType="begin"/>
      </w:r>
      <w:r>
        <w:instrText xml:space="preserve"> PAGEREF _Toc131666729 \h </w:instrText>
      </w:r>
      <w:r>
        <w:fldChar w:fldCharType="separate"/>
      </w:r>
      <w:r>
        <w:t>40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Hindering etc. Commission etc. and false etc. answers, offences as to</w:t>
      </w:r>
      <w:r>
        <w:tab/>
      </w:r>
      <w:r>
        <w:fldChar w:fldCharType="begin"/>
      </w:r>
      <w:r>
        <w:instrText xml:space="preserve"> PAGEREF _Toc131666730 \h </w:instrText>
      </w:r>
      <w:r>
        <w:fldChar w:fldCharType="separate"/>
      </w:r>
      <w:r>
        <w:t>41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Incriminating information to be provided but is not admissible</w:t>
      </w:r>
      <w:r>
        <w:tab/>
      </w:r>
      <w:r>
        <w:fldChar w:fldCharType="begin"/>
      </w:r>
      <w:r>
        <w:instrText xml:space="preserve"> PAGEREF _Toc131666731 \h </w:instrText>
      </w:r>
      <w:r>
        <w:fldChar w:fldCharType="separate"/>
      </w:r>
      <w:r>
        <w:t>43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Seizure without warrant</w:t>
      </w:r>
      <w:r>
        <w:tab/>
      </w:r>
      <w:r>
        <w:fldChar w:fldCharType="begin"/>
      </w:r>
      <w:r>
        <w:instrText xml:space="preserve"> PAGEREF _Toc131666732 \h </w:instrText>
      </w:r>
      <w:r>
        <w:fldChar w:fldCharType="separate"/>
      </w:r>
      <w:r>
        <w:t>43</w:t>
      </w:r>
      <w:r>
        <w:fldChar w:fldCharType="end"/>
      </w:r>
    </w:p>
    <w:p>
      <w:pPr>
        <w:pStyle w:val="TOC8"/>
        <w:rPr>
          <w:rFonts w:asciiTheme="minorHAnsi" w:eastAsiaTheme="minorEastAsia" w:hAnsiTheme="minorHAnsi" w:cstheme="minorBidi"/>
          <w:szCs w:val="22"/>
        </w:rPr>
      </w:pPr>
      <w:r>
        <w:t>31A.</w:t>
      </w:r>
      <w:r>
        <w:tab/>
        <w:t>Powers to assist seizing things</w:t>
      </w:r>
      <w:r>
        <w:tab/>
      </w:r>
      <w:r>
        <w:fldChar w:fldCharType="begin"/>
      </w:r>
      <w:r>
        <w:instrText xml:space="preserve"> PAGEREF _Toc131666733 \h </w:instrText>
      </w:r>
      <w:r>
        <w:fldChar w:fldCharType="separate"/>
      </w:r>
      <w:r>
        <w:t>44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Certain seized things to be forfeited to Crown</w:t>
      </w:r>
      <w:r>
        <w:tab/>
      </w:r>
      <w:r>
        <w:fldChar w:fldCharType="begin"/>
      </w:r>
      <w:r>
        <w:instrText xml:space="preserve"> PAGEREF _Toc131666734 \h </w:instrText>
      </w:r>
      <w:r>
        <w:fldChar w:fldCharType="separate"/>
      </w:r>
      <w:r>
        <w:t>44</w:t>
      </w:r>
      <w:r>
        <w:fldChar w:fldCharType="end"/>
      </w:r>
    </w:p>
    <w:p>
      <w:pPr>
        <w:pStyle w:val="TOC8"/>
        <w:rPr>
          <w:rFonts w:asciiTheme="minorHAnsi" w:eastAsiaTheme="minorEastAsia" w:hAnsiTheme="minorHAnsi" w:cstheme="minorBidi"/>
          <w:szCs w:val="22"/>
        </w:rPr>
      </w:pPr>
      <w:r>
        <w:t>32A.</w:t>
      </w:r>
      <w:r>
        <w:tab/>
        <w:t>Disposing of seized or forfeited things</w:t>
      </w:r>
      <w:r>
        <w:tab/>
      </w:r>
      <w:r>
        <w:fldChar w:fldCharType="begin"/>
      </w:r>
      <w:r>
        <w:instrText xml:space="preserve"> PAGEREF _Toc131666735 \h </w:instrText>
      </w:r>
      <w:r>
        <w:fldChar w:fldCharType="separate"/>
      </w:r>
      <w:r>
        <w:t>44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Prosecuting offences</w:t>
      </w:r>
      <w:r>
        <w:tab/>
      </w:r>
      <w:r>
        <w:fldChar w:fldCharType="begin"/>
      </w:r>
      <w:r>
        <w:instrText xml:space="preserve"> PAGEREF _Toc131666736 \h </w:instrText>
      </w:r>
      <w:r>
        <w:fldChar w:fldCharType="separate"/>
      </w:r>
      <w:r>
        <w:t>45</w:t>
      </w:r>
      <w:r>
        <w:fldChar w:fldCharType="end"/>
      </w:r>
    </w:p>
    <w:p>
      <w:pPr>
        <w:pStyle w:val="TOC8"/>
        <w:rPr>
          <w:rFonts w:asciiTheme="minorHAnsi" w:eastAsiaTheme="minorEastAsia" w:hAnsiTheme="minorHAnsi" w:cstheme="minorBidi"/>
          <w:szCs w:val="22"/>
        </w:rPr>
      </w:pPr>
      <w:r>
        <w:lastRenderedPageBreak/>
        <w:t>34</w:t>
      </w:r>
      <w:r>
        <w:rPr>
          <w:bCs/>
        </w:rPr>
        <w:t>.</w:t>
      </w:r>
      <w:r>
        <w:rPr>
          <w:bCs/>
        </w:rPr>
        <w:tab/>
        <w:t>Offences to be dealt with by magistrate</w:t>
      </w:r>
      <w:r>
        <w:tab/>
      </w:r>
      <w:r>
        <w:fldChar w:fldCharType="begin"/>
      </w:r>
      <w:r>
        <w:instrText xml:space="preserve"> PAGEREF _Toc131666737 \h </w:instrText>
      </w:r>
      <w:r>
        <w:fldChar w:fldCharType="separate"/>
      </w:r>
      <w:r>
        <w:t>45</w:t>
      </w:r>
      <w:r>
        <w:fldChar w:fldCharType="end"/>
      </w:r>
    </w:p>
    <w:p>
      <w:pPr>
        <w:pStyle w:val="TOC8"/>
        <w:rPr>
          <w:rFonts w:asciiTheme="minorHAnsi" w:eastAsiaTheme="minorEastAsia" w:hAnsiTheme="minorHAnsi" w:cstheme="minorBidi"/>
          <w:szCs w:val="22"/>
        </w:rPr>
      </w:pPr>
      <w:r>
        <w:t>35.</w:t>
      </w:r>
      <w:r>
        <w:tab/>
        <w:t>General penalty</w:t>
      </w:r>
      <w:r>
        <w:tab/>
      </w:r>
      <w:r>
        <w:fldChar w:fldCharType="begin"/>
      </w:r>
      <w:r>
        <w:instrText xml:space="preserve"> PAGEREF _Toc131666738 \h </w:instrText>
      </w:r>
      <w:r>
        <w:fldChar w:fldCharType="separate"/>
      </w:r>
      <w:r>
        <w:t>46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Infringement notices</w:t>
      </w:r>
      <w:r>
        <w:tab/>
      </w:r>
      <w:r>
        <w:fldChar w:fldCharType="begin"/>
      </w:r>
      <w:r>
        <w:instrText xml:space="preserve"> PAGEREF _Toc131666739 \h </w:instrText>
      </w:r>
      <w:r>
        <w:fldChar w:fldCharType="separate"/>
      </w:r>
      <w:r>
        <w:t>46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Criminal liability of directors etc.</w:t>
      </w:r>
      <w:r>
        <w:tab/>
      </w:r>
      <w:r>
        <w:fldChar w:fldCharType="begin"/>
      </w:r>
      <w:r>
        <w:instrText xml:space="preserve"> PAGEREF _Toc131666740 \h </w:instrText>
      </w:r>
      <w:r>
        <w:fldChar w:fldCharType="separate"/>
      </w:r>
      <w:r>
        <w:t>48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Service of notices</w:t>
      </w:r>
      <w:r>
        <w:tab/>
      </w:r>
      <w:r>
        <w:fldChar w:fldCharType="begin"/>
      </w:r>
      <w:r>
        <w:instrText xml:space="preserve"> PAGEREF _Toc131666741 \h </w:instrText>
      </w:r>
      <w:r>
        <w:fldChar w:fldCharType="separate"/>
      </w:r>
      <w:r>
        <w:t>48</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Evidentiary provisions for charges of offences</w:t>
      </w:r>
      <w:r>
        <w:tab/>
      </w:r>
      <w:r>
        <w:fldChar w:fldCharType="begin"/>
      </w:r>
      <w:r>
        <w:instrText xml:space="preserve"> PAGEREF _Toc131666742 \h </w:instrText>
      </w:r>
      <w:r>
        <w:fldChar w:fldCharType="separate"/>
      </w:r>
      <w:r>
        <w:t>49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Evidentiary provisions for charges involving common gaming houses</w:t>
      </w:r>
      <w:r>
        <w:tab/>
      </w:r>
      <w:r>
        <w:fldChar w:fldCharType="begin"/>
      </w:r>
      <w:r>
        <w:instrText xml:space="preserve"> PAGEREF _Toc131666743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IV — Common gaming houses, unlawful gaming, cheating etc.</w:t>
      </w:r>
    </w:p>
    <w:p>
      <w:pPr>
        <w:pStyle w:val="TOC8"/>
        <w:rPr>
          <w:rFonts w:asciiTheme="minorHAnsi" w:eastAsiaTheme="minorEastAsia" w:hAnsiTheme="minorHAnsi" w:cstheme="minorBidi"/>
          <w:szCs w:val="22"/>
        </w:rPr>
      </w:pPr>
      <w:r>
        <w:t>40A.</w:t>
      </w:r>
      <w:r>
        <w:tab/>
        <w:t>Part does not apply to gambling under other written laws</w:t>
      </w:r>
      <w:r>
        <w:tab/>
      </w:r>
      <w:r>
        <w:fldChar w:fldCharType="begin"/>
      </w:r>
      <w:r>
        <w:instrText xml:space="preserve"> PAGEREF _Toc131666745 \h </w:instrText>
      </w:r>
      <w:r>
        <w:fldChar w:fldCharType="separate"/>
      </w:r>
      <w:r>
        <w:t>57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Common gaming house, meaning of and offences as to</w:t>
      </w:r>
      <w:r>
        <w:tab/>
      </w:r>
      <w:r>
        <w:fldChar w:fldCharType="begin"/>
      </w:r>
      <w:r>
        <w:instrText xml:space="preserve"> PAGEREF _Toc131666746 \h </w:instrText>
      </w:r>
      <w:r>
        <w:fldChar w:fldCharType="separate"/>
      </w:r>
      <w:r>
        <w:t>57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Prohibited gaming and unlawful games defined and offences as to</w:t>
      </w:r>
      <w:r>
        <w:tab/>
      </w:r>
      <w:r>
        <w:fldChar w:fldCharType="begin"/>
      </w:r>
      <w:r>
        <w:instrText xml:space="preserve"> PAGEREF _Toc131666747 \h </w:instrText>
      </w:r>
      <w:r>
        <w:fldChar w:fldCharType="separate"/>
      </w:r>
      <w:r>
        <w:t>59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Defence of restricted access not available to charge of s. 41 or 42 offence</w:t>
      </w:r>
      <w:r>
        <w:tab/>
      </w:r>
      <w:r>
        <w:fldChar w:fldCharType="begin"/>
      </w:r>
      <w:r>
        <w:instrText xml:space="preserve"> PAGEREF _Toc131666748 \h </w:instrText>
      </w:r>
      <w:r>
        <w:fldChar w:fldCharType="separate"/>
      </w:r>
      <w:r>
        <w:t>61</w:t>
      </w:r>
      <w:r>
        <w:fldChar w:fldCharType="end"/>
      </w:r>
    </w:p>
    <w:p>
      <w:pPr>
        <w:pStyle w:val="TOC8"/>
        <w:rPr>
          <w:rFonts w:asciiTheme="minorHAnsi" w:eastAsiaTheme="minorEastAsia" w:hAnsiTheme="minorHAnsi" w:cstheme="minorBidi"/>
          <w:szCs w:val="22"/>
        </w:rPr>
      </w:pPr>
      <w:r>
        <w:t>43A.</w:t>
      </w:r>
      <w:r>
        <w:tab/>
        <w:t xml:space="preserve">Advertising </w:t>
      </w:r>
      <w:r>
        <w:rPr>
          <w:snapToGrid w:val="0"/>
        </w:rPr>
        <w:t>unlawful</w:t>
      </w:r>
      <w:r>
        <w:t xml:space="preserve"> gambling</w:t>
      </w:r>
      <w:r>
        <w:tab/>
      </w:r>
      <w:r>
        <w:fldChar w:fldCharType="begin"/>
      </w:r>
      <w:r>
        <w:instrText xml:space="preserve"> PAGEREF _Toc131666749 \h </w:instrText>
      </w:r>
      <w:r>
        <w:fldChar w:fldCharType="separate"/>
      </w:r>
      <w:r>
        <w:t>61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Cheating in games etc. to obtain prize etc., offence</w:t>
      </w:r>
      <w:r>
        <w:tab/>
      </w:r>
      <w:r>
        <w:fldChar w:fldCharType="begin"/>
      </w:r>
      <w:r>
        <w:instrText xml:space="preserve"> PAGEREF _Toc131666750 \h </w:instrText>
      </w:r>
      <w:r>
        <w:fldChar w:fldCharType="separate"/>
      </w:r>
      <w:r>
        <w:t>63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Permitted gaming, offences as to</w:t>
      </w:r>
      <w:r>
        <w:tab/>
      </w:r>
      <w:r>
        <w:fldChar w:fldCharType="begin"/>
      </w:r>
      <w:r>
        <w:instrText xml:space="preserve"> PAGEREF _Toc131666751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V — Permitted gambling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Gaming generally</w:t>
      </w:r>
    </w:p>
    <w:p>
      <w:pPr>
        <w:pStyle w:val="TOC8"/>
        <w:rPr>
          <w:rFonts w:asciiTheme="minorHAnsi" w:eastAsiaTheme="minorEastAsia" w:hAnsiTheme="minorHAnsi" w:cstheme="minorBidi"/>
          <w:szCs w:val="22"/>
        </w:rPr>
      </w:pPr>
      <w:r>
        <w:t>46</w:t>
      </w:r>
      <w:r>
        <w:rPr>
          <w:snapToGrid w:val="0"/>
        </w:rPr>
        <w:t>.</w:t>
      </w:r>
      <w:r>
        <w:rPr>
          <w:snapToGrid w:val="0"/>
        </w:rPr>
        <w:tab/>
        <w:t>Permitted gaming defined</w:t>
      </w:r>
      <w:r>
        <w:tab/>
      </w:r>
      <w:r>
        <w:fldChar w:fldCharType="begin"/>
      </w:r>
      <w:r>
        <w:instrText xml:space="preserve"> PAGEREF _Toc131666754 \h </w:instrText>
      </w:r>
      <w:r>
        <w:fldChar w:fldCharType="separate"/>
      </w:r>
      <w:r>
        <w:t>66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Gaming permits, types, issue and effect of</w:t>
      </w:r>
      <w:r>
        <w:tab/>
      </w:r>
      <w:r>
        <w:fldChar w:fldCharType="begin"/>
      </w:r>
      <w:r>
        <w:instrText xml:space="preserve"> PAGEREF _Toc131666755 \h </w:instrText>
      </w:r>
      <w:r>
        <w:fldChar w:fldCharType="separate"/>
      </w:r>
      <w:r>
        <w:t>67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Issue of permit on direction by Minister</w:t>
      </w:r>
      <w:r>
        <w:tab/>
      </w:r>
      <w:r>
        <w:fldChar w:fldCharType="begin"/>
      </w:r>
      <w:r>
        <w:instrText xml:space="preserve"> PAGEREF _Toc131666756 \h </w:instrText>
      </w:r>
      <w:r>
        <w:fldChar w:fldCharType="separate"/>
      </w:r>
      <w:r>
        <w:t>68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Applications for issue or renewal of permit, matters that may be considered when deciding</w:t>
      </w:r>
      <w:r>
        <w:tab/>
      </w:r>
      <w:r>
        <w:fldChar w:fldCharType="begin"/>
      </w:r>
      <w:r>
        <w:instrText xml:space="preserve"> PAGEREF _Toc131666757 \h </w:instrText>
      </w:r>
      <w:r>
        <w:fldChar w:fldCharType="separate"/>
      </w:r>
      <w:r>
        <w:t>69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Register of approvals, permit holders etc., Commission to keep and allow inspection of etc.</w:t>
      </w:r>
      <w:r>
        <w:tab/>
      </w:r>
      <w:r>
        <w:fldChar w:fldCharType="begin"/>
      </w:r>
      <w:r>
        <w:instrText xml:space="preserve"> PAGEREF _Toc131666758 \h </w:instrText>
      </w:r>
      <w:r>
        <w:fldChar w:fldCharType="separate"/>
      </w:r>
      <w:r>
        <w:t>71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Persons eligible to hold gaming permits, approval of</w:t>
      </w:r>
      <w:r>
        <w:tab/>
      </w:r>
      <w:r>
        <w:fldChar w:fldCharType="begin"/>
      </w:r>
      <w:r>
        <w:instrText xml:space="preserve"> PAGEREF _Toc131666759 \h </w:instrText>
      </w:r>
      <w:r>
        <w:fldChar w:fldCharType="separate"/>
      </w:r>
      <w:r>
        <w:t>72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Applications for gaming permits</w:t>
      </w:r>
      <w:r>
        <w:tab/>
      </w:r>
      <w:r>
        <w:fldChar w:fldCharType="begin"/>
      </w:r>
      <w:r>
        <w:instrText xml:space="preserve"> PAGEREF _Toc131666760 \h </w:instrText>
      </w:r>
      <w:r>
        <w:fldChar w:fldCharType="separate"/>
      </w:r>
      <w:r>
        <w:t>74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Fees and charges for gaming permits</w:t>
      </w:r>
      <w:r>
        <w:tab/>
      </w:r>
      <w:r>
        <w:fldChar w:fldCharType="begin"/>
      </w:r>
      <w:r>
        <w:instrText xml:space="preserve"> PAGEREF _Toc131666761 \h </w:instrText>
      </w:r>
      <w:r>
        <w:fldChar w:fldCharType="separate"/>
      </w:r>
      <w:r>
        <w:t>75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Charging people to take part in permitted gaming</w:t>
      </w:r>
      <w:r>
        <w:tab/>
      </w:r>
      <w:r>
        <w:fldChar w:fldCharType="begin"/>
      </w:r>
      <w:r>
        <w:instrText xml:space="preserve"> PAGEREF _Toc131666762 \h </w:instrText>
      </w:r>
      <w:r>
        <w:fldChar w:fldCharType="separate"/>
      </w:r>
      <w:r>
        <w:t>76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Approving premises for gaming</w:t>
      </w:r>
      <w:r>
        <w:tab/>
      </w:r>
      <w:r>
        <w:fldChar w:fldCharType="begin"/>
      </w:r>
      <w:r>
        <w:instrText xml:space="preserve"> PAGEREF _Toc131666763 \h </w:instrText>
      </w:r>
      <w:r>
        <w:fldChar w:fldCharType="separate"/>
      </w:r>
      <w:r>
        <w:t>78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Renewing approvals, permits and certificates</w:t>
      </w:r>
      <w:r>
        <w:tab/>
      </w:r>
      <w:r>
        <w:fldChar w:fldCharType="begin"/>
      </w:r>
      <w:r>
        <w:instrText xml:space="preserve"> PAGEREF _Toc131666764 \h </w:instrText>
      </w:r>
      <w:r>
        <w:fldChar w:fldCharType="separate"/>
      </w:r>
      <w:r>
        <w:t>81</w:t>
      </w:r>
      <w:r>
        <w:fldChar w:fldCharType="end"/>
      </w:r>
    </w:p>
    <w:p>
      <w:pPr>
        <w:pStyle w:val="TOC8"/>
        <w:rPr>
          <w:rFonts w:asciiTheme="minorHAnsi" w:eastAsiaTheme="minorEastAsia" w:hAnsiTheme="minorHAnsi" w:cstheme="minorBidi"/>
          <w:szCs w:val="22"/>
        </w:rPr>
      </w:pPr>
      <w:r>
        <w:lastRenderedPageBreak/>
        <w:t>57</w:t>
      </w:r>
      <w:r>
        <w:rPr>
          <w:snapToGrid w:val="0"/>
        </w:rPr>
        <w:t>.</w:t>
      </w:r>
      <w:r>
        <w:rPr>
          <w:snapToGrid w:val="0"/>
        </w:rPr>
        <w:tab/>
        <w:t>Reports by permit holders, when required, content of etc.</w:t>
      </w:r>
      <w:r>
        <w:tab/>
      </w:r>
      <w:r>
        <w:fldChar w:fldCharType="begin"/>
      </w:r>
      <w:r>
        <w:instrText xml:space="preserve"> PAGEREF _Toc131666765 \h </w:instrText>
      </w:r>
      <w:r>
        <w:fldChar w:fldCharType="separate"/>
      </w:r>
      <w:r>
        <w:t>82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Gaming permit may regulate use of proceeds from permitted gaming etc.</w:t>
      </w:r>
      <w:r>
        <w:tab/>
      </w:r>
      <w:r>
        <w:fldChar w:fldCharType="begin"/>
      </w:r>
      <w:r>
        <w:instrText xml:space="preserve"> PAGEREF _Toc131666766 \h </w:instrText>
      </w:r>
      <w:r>
        <w:fldChar w:fldCharType="separate"/>
      </w:r>
      <w:r>
        <w:t>83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Approvals etc. may require security to be given</w:t>
      </w:r>
      <w:r>
        <w:tab/>
      </w:r>
      <w:r>
        <w:fldChar w:fldCharType="begin"/>
      </w:r>
      <w:r>
        <w:instrText xml:space="preserve"> PAGEREF _Toc131666767 \h </w:instrText>
      </w:r>
      <w:r>
        <w:fldChar w:fldCharType="separate"/>
      </w:r>
      <w:r>
        <w:t>85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Revoking and amending permits and certain approvals</w:t>
      </w:r>
      <w:r>
        <w:tab/>
      </w:r>
      <w:r>
        <w:fldChar w:fldCharType="begin"/>
      </w:r>
      <w:r>
        <w:instrText xml:space="preserve"> PAGEREF _Toc131666768 \h </w:instrText>
      </w:r>
      <w:r>
        <w:fldChar w:fldCharType="separate"/>
      </w:r>
      <w:r>
        <w:t>87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Revocation or amendment of current approval etc., Commission to report to Minister; appeals to Minister</w:t>
      </w:r>
      <w:r>
        <w:tab/>
      </w:r>
      <w:r>
        <w:fldChar w:fldCharType="begin"/>
      </w:r>
      <w:r>
        <w:instrText xml:space="preserve"> PAGEREF _Toc131666769 \h </w:instrText>
      </w:r>
      <w:r>
        <w:fldChar w:fldCharType="separate"/>
      </w:r>
      <w:r>
        <w:t>88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No credit to be given to person for permitted gaming; cheques for permitted gaming</w:t>
      </w:r>
      <w:r>
        <w:tab/>
      </w:r>
      <w:r>
        <w:fldChar w:fldCharType="begin"/>
      </w:r>
      <w:r>
        <w:instrText xml:space="preserve"> PAGEREF _Toc131666770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Social gambling</w:t>
      </w:r>
    </w:p>
    <w:p>
      <w:pPr>
        <w:pStyle w:val="TOC8"/>
        <w:rPr>
          <w:rFonts w:asciiTheme="minorHAnsi" w:eastAsiaTheme="minorEastAsia" w:hAnsiTheme="minorHAnsi" w:cstheme="minorBidi"/>
          <w:szCs w:val="22"/>
        </w:rPr>
      </w:pPr>
      <w:r>
        <w:t>64</w:t>
      </w:r>
      <w:r>
        <w:rPr>
          <w:snapToGrid w:val="0"/>
        </w:rPr>
        <w:t>.</w:t>
      </w:r>
      <w:r>
        <w:rPr>
          <w:snapToGrid w:val="0"/>
        </w:rPr>
        <w:tab/>
        <w:t>Social gambling defined</w:t>
      </w:r>
      <w:r>
        <w:tab/>
      </w:r>
      <w:r>
        <w:fldChar w:fldCharType="begin"/>
      </w:r>
      <w:r>
        <w:instrText xml:space="preserve"> PAGEREF _Toc131666772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Permitted two</w:t>
      </w:r>
      <w:r>
        <w:noBreakHyphen/>
        <w:t>up</w:t>
      </w:r>
    </w:p>
    <w:p>
      <w:pPr>
        <w:pStyle w:val="TOC8"/>
        <w:rPr>
          <w:rFonts w:asciiTheme="minorHAnsi" w:eastAsiaTheme="minorEastAsia" w:hAnsiTheme="minorHAnsi" w:cstheme="minorBidi"/>
          <w:szCs w:val="22"/>
        </w:rPr>
      </w:pPr>
      <w:r>
        <w:t>80</w:t>
      </w:r>
      <w:r>
        <w:rPr>
          <w:snapToGrid w:val="0"/>
        </w:rPr>
        <w:t>.</w:t>
      </w:r>
      <w:r>
        <w:rPr>
          <w:snapToGrid w:val="0"/>
        </w:rPr>
        <w:tab/>
        <w:t>Two</w:t>
      </w:r>
      <w:r>
        <w:rPr>
          <w:snapToGrid w:val="0"/>
        </w:rPr>
        <w:noBreakHyphen/>
        <w:t>up at country race meetings</w:t>
      </w:r>
      <w:r>
        <w:tab/>
      </w:r>
      <w:r>
        <w:fldChar w:fldCharType="begin"/>
      </w:r>
      <w:r>
        <w:instrText xml:space="preserve"> PAGEREF _Toc131666774 \h </w:instrText>
      </w:r>
      <w:r>
        <w:fldChar w:fldCharType="separate"/>
      </w:r>
      <w:r>
        <w:t>93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Two</w:t>
      </w:r>
      <w:r>
        <w:rPr>
          <w:snapToGrid w:val="0"/>
        </w:rPr>
        <w:noBreakHyphen/>
        <w:t>up at other places</w:t>
      </w:r>
      <w:r>
        <w:tab/>
      </w:r>
      <w:r>
        <w:fldChar w:fldCharType="begin"/>
      </w:r>
      <w:r>
        <w:instrText xml:space="preserve"> PAGEREF _Toc131666775 \h </w:instrText>
      </w:r>
      <w:r>
        <w:fldChar w:fldCharType="separate"/>
      </w:r>
      <w:r>
        <w:t>95</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Conditions deemed in certain permits</w:t>
      </w:r>
      <w:r>
        <w:tab/>
      </w:r>
      <w:r>
        <w:fldChar w:fldCharType="begin"/>
      </w:r>
      <w:r>
        <w:instrText xml:space="preserve"> PAGEREF _Toc131666776 \h </w:instrText>
      </w:r>
      <w:r>
        <w:fldChar w:fldCharType="separate"/>
      </w:r>
      <w:r>
        <w:t>97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Regulations for this Division</w:t>
      </w:r>
      <w:r>
        <w:tab/>
      </w:r>
      <w:r>
        <w:fldChar w:fldCharType="begin"/>
      </w:r>
      <w:r>
        <w:instrText xml:space="preserve"> PAGEREF _Toc131666777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Gaming machines and other gaming equipment and its operation</w:t>
      </w:r>
    </w:p>
    <w:p>
      <w:pPr>
        <w:pStyle w:val="TOC8"/>
        <w:rPr>
          <w:rFonts w:asciiTheme="minorHAnsi" w:eastAsiaTheme="minorEastAsia" w:hAnsiTheme="minorHAnsi" w:cstheme="minorBidi"/>
          <w:szCs w:val="22"/>
        </w:rPr>
      </w:pPr>
      <w:r>
        <w:t>84</w:t>
      </w:r>
      <w:r>
        <w:rPr>
          <w:snapToGrid w:val="0"/>
        </w:rPr>
        <w:t>.</w:t>
      </w:r>
      <w:r>
        <w:rPr>
          <w:snapToGrid w:val="0"/>
        </w:rPr>
        <w:tab/>
        <w:t>Terms used</w:t>
      </w:r>
      <w:r>
        <w:tab/>
      </w:r>
      <w:r>
        <w:fldChar w:fldCharType="begin"/>
      </w:r>
      <w:r>
        <w:instrText xml:space="preserve"> PAGEREF _Toc131666779 \h </w:instrText>
      </w:r>
      <w:r>
        <w:fldChar w:fldCharType="separate"/>
      </w:r>
      <w:r>
        <w:t>98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Unlawful gaming machines etc., use and possession of prohibited</w:t>
      </w:r>
      <w:r>
        <w:tab/>
      </w:r>
      <w:r>
        <w:fldChar w:fldCharType="begin"/>
      </w:r>
      <w:r>
        <w:instrText xml:space="preserve"> PAGEREF _Toc131666780 \h </w:instrText>
      </w:r>
      <w:r>
        <w:fldChar w:fldCharType="separate"/>
      </w:r>
      <w:r>
        <w:t>99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Use of unlawful cash or tokens in gaming machines</w:t>
      </w:r>
      <w:r>
        <w:tab/>
      </w:r>
      <w:r>
        <w:fldChar w:fldCharType="begin"/>
      </w:r>
      <w:r>
        <w:instrText xml:space="preserve"> PAGEREF _Toc131666781 \h </w:instrText>
      </w:r>
      <w:r>
        <w:fldChar w:fldCharType="separate"/>
      </w:r>
      <w:r>
        <w:t>102</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Records about gaming equipment, powers to require keeping of</w:t>
      </w:r>
      <w:r>
        <w:tab/>
      </w:r>
      <w:r>
        <w:fldChar w:fldCharType="begin"/>
      </w:r>
      <w:r>
        <w:instrText xml:space="preserve"> PAGEREF _Toc131666782 \h </w:instrText>
      </w:r>
      <w:r>
        <w:fldChar w:fldCharType="separate"/>
      </w:r>
      <w:r>
        <w:t>103</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Prescribed gaming equipment, regulations about, certificates for sellers etc. of</w:t>
      </w:r>
      <w:r>
        <w:tab/>
      </w:r>
      <w:r>
        <w:fldChar w:fldCharType="begin"/>
      </w:r>
      <w:r>
        <w:instrText xml:space="preserve"> PAGEREF _Toc131666783 \h </w:instrText>
      </w:r>
      <w:r>
        <w:fldChar w:fldCharType="separate"/>
      </w:r>
      <w:r>
        <w:t>103</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Prescribed gaming equipment, sale etc. of</w:t>
      </w:r>
      <w:r>
        <w:tab/>
      </w:r>
      <w:r>
        <w:fldChar w:fldCharType="begin"/>
      </w:r>
      <w:r>
        <w:instrText xml:space="preserve"> PAGEREF _Toc131666784 \h </w:instrText>
      </w:r>
      <w:r>
        <w:fldChar w:fldCharType="separate"/>
      </w:r>
      <w:r>
        <w:t>106</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Application of s. 88 and 89 to concessionaires</w:t>
      </w:r>
      <w:r>
        <w:tab/>
      </w:r>
      <w:r>
        <w:fldChar w:fldCharType="begin"/>
      </w:r>
      <w:r>
        <w:instrText xml:space="preserve"> PAGEREF _Toc131666785 \h </w:instrText>
      </w:r>
      <w:r>
        <w:fldChar w:fldCharType="separate"/>
      </w:r>
      <w:r>
        <w:t>107</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Permitted gaming, restrictions on certain people in relation to</w:t>
      </w:r>
      <w:r>
        <w:tab/>
      </w:r>
      <w:r>
        <w:fldChar w:fldCharType="begin"/>
      </w:r>
      <w:r>
        <w:instrText xml:space="preserve"> PAGEREF _Toc131666786 \h </w:instrText>
      </w:r>
      <w:r>
        <w:fldChar w:fldCharType="separate"/>
      </w:r>
      <w:r>
        <w:t>107</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Certificates for s. 91</w:t>
      </w:r>
      <w:r>
        <w:tab/>
      </w:r>
      <w:r>
        <w:fldChar w:fldCharType="begin"/>
      </w:r>
      <w:r>
        <w:instrText xml:space="preserve"> PAGEREF _Toc131666787 \h </w:instrText>
      </w:r>
      <w:r>
        <w:fldChar w:fldCharType="separate"/>
      </w:r>
      <w:r>
        <w:t>109</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Offences in relation to s. 91</w:t>
      </w:r>
      <w:r>
        <w:tab/>
      </w:r>
      <w:r>
        <w:fldChar w:fldCharType="begin"/>
      </w:r>
      <w:r>
        <w:instrText xml:space="preserve"> PAGEREF _Toc131666788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5A — Remote gambling devices</w:t>
      </w:r>
    </w:p>
    <w:p>
      <w:pPr>
        <w:pStyle w:val="TOC8"/>
        <w:rPr>
          <w:rFonts w:asciiTheme="minorHAnsi" w:eastAsiaTheme="minorEastAsia" w:hAnsiTheme="minorHAnsi" w:cstheme="minorBidi"/>
          <w:szCs w:val="22"/>
        </w:rPr>
      </w:pPr>
      <w:r>
        <w:t>93A.</w:t>
      </w:r>
      <w:r>
        <w:tab/>
        <w:t>Terms used</w:t>
      </w:r>
      <w:r>
        <w:tab/>
      </w:r>
      <w:r>
        <w:fldChar w:fldCharType="begin"/>
      </w:r>
      <w:r>
        <w:instrText xml:space="preserve"> PAGEREF _Toc131666790 \h </w:instrText>
      </w:r>
      <w:r>
        <w:fldChar w:fldCharType="separate"/>
      </w:r>
      <w:r>
        <w:t>111</w:t>
      </w:r>
      <w:r>
        <w:fldChar w:fldCharType="end"/>
      </w:r>
    </w:p>
    <w:p>
      <w:pPr>
        <w:pStyle w:val="TOC8"/>
        <w:rPr>
          <w:rFonts w:asciiTheme="minorHAnsi" w:eastAsiaTheme="minorEastAsia" w:hAnsiTheme="minorHAnsi" w:cstheme="minorBidi"/>
          <w:szCs w:val="22"/>
        </w:rPr>
      </w:pPr>
      <w:r>
        <w:t>93B.</w:t>
      </w:r>
      <w:r>
        <w:tab/>
        <w:t>Offences relating to remote gambling devices</w:t>
      </w:r>
      <w:r>
        <w:tab/>
      </w:r>
      <w:r>
        <w:fldChar w:fldCharType="begin"/>
      </w:r>
      <w:r>
        <w:instrText xml:space="preserve"> PAGEREF _Toc131666791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w:t>
      </w:r>
      <w:r>
        <w:rPr>
          <w:snapToGrid w:val="0"/>
        </w:rPr>
        <w:t> — </w:t>
      </w:r>
      <w:r>
        <w:t>Permitted bingo</w:t>
      </w:r>
    </w:p>
    <w:p>
      <w:pPr>
        <w:pStyle w:val="TOC8"/>
        <w:rPr>
          <w:rFonts w:asciiTheme="minorHAnsi" w:eastAsiaTheme="minorEastAsia" w:hAnsiTheme="minorHAnsi" w:cstheme="minorBidi"/>
          <w:szCs w:val="22"/>
        </w:rPr>
      </w:pPr>
      <w:r>
        <w:t>94</w:t>
      </w:r>
      <w:r>
        <w:rPr>
          <w:snapToGrid w:val="0"/>
        </w:rPr>
        <w:t>.</w:t>
      </w:r>
      <w:r>
        <w:rPr>
          <w:snapToGrid w:val="0"/>
        </w:rPr>
        <w:tab/>
        <w:t>Terms used</w:t>
      </w:r>
      <w:r>
        <w:tab/>
      </w:r>
      <w:r>
        <w:fldChar w:fldCharType="begin"/>
      </w:r>
      <w:r>
        <w:instrText xml:space="preserve"> PAGEREF _Toc131666793 \h </w:instrText>
      </w:r>
      <w:r>
        <w:fldChar w:fldCharType="separate"/>
      </w:r>
      <w:r>
        <w:t>112</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Permits to conduct bingo; who may play permitted bingo</w:t>
      </w:r>
      <w:r>
        <w:tab/>
      </w:r>
      <w:r>
        <w:fldChar w:fldCharType="begin"/>
      </w:r>
      <w:r>
        <w:instrText xml:space="preserve"> PAGEREF _Toc131666794 \h </w:instrText>
      </w:r>
      <w:r>
        <w:fldChar w:fldCharType="separate"/>
      </w:r>
      <w:r>
        <w:t>113</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Multiple bingo</w:t>
      </w:r>
      <w:r>
        <w:tab/>
      </w:r>
      <w:r>
        <w:fldChar w:fldCharType="begin"/>
      </w:r>
      <w:r>
        <w:instrText xml:space="preserve"> PAGEREF _Toc131666795 \h </w:instrText>
      </w:r>
      <w:r>
        <w:fldChar w:fldCharType="separate"/>
      </w:r>
      <w:r>
        <w:t>114</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Simultaneous bingo</w:t>
      </w:r>
      <w:r>
        <w:tab/>
      </w:r>
      <w:r>
        <w:fldChar w:fldCharType="begin"/>
      </w:r>
      <w:r>
        <w:instrText xml:space="preserve"> PAGEREF _Toc131666796 \h </w:instrText>
      </w:r>
      <w:r>
        <w:fldChar w:fldCharType="separate"/>
      </w:r>
      <w:r>
        <w:t>116</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Conduct of bingo</w:t>
      </w:r>
      <w:r>
        <w:tab/>
      </w:r>
      <w:r>
        <w:fldChar w:fldCharType="begin"/>
      </w:r>
      <w:r>
        <w:instrText xml:space="preserve"> PAGEREF _Toc131666797 \h </w:instrText>
      </w:r>
      <w:r>
        <w:fldChar w:fldCharType="separate"/>
      </w:r>
      <w:r>
        <w:t>117</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Recovering moneys payable to Commission for bingo</w:t>
      </w:r>
      <w:r>
        <w:tab/>
      </w:r>
      <w:r>
        <w:fldChar w:fldCharType="begin"/>
      </w:r>
      <w:r>
        <w:instrText xml:space="preserve"> PAGEREF _Toc131666798 \h </w:instrText>
      </w:r>
      <w:r>
        <w:fldChar w:fldCharType="separate"/>
      </w:r>
      <w:r>
        <w:t>117</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Regulations as to bingo</w:t>
      </w:r>
      <w:r>
        <w:tab/>
      </w:r>
      <w:r>
        <w:fldChar w:fldCharType="begin"/>
      </w:r>
      <w:r>
        <w:instrText xml:space="preserve"> PAGEREF _Toc131666799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Lotteries, and amusements with prizes etc.</w:t>
      </w:r>
    </w:p>
    <w:p>
      <w:pPr>
        <w:pStyle w:val="TOC8"/>
        <w:rPr>
          <w:rFonts w:asciiTheme="minorHAnsi" w:eastAsiaTheme="minorEastAsia" w:hAnsiTheme="minorHAnsi" w:cstheme="minorBidi"/>
          <w:szCs w:val="22"/>
        </w:rPr>
      </w:pPr>
      <w:r>
        <w:t>101</w:t>
      </w:r>
      <w:r>
        <w:rPr>
          <w:snapToGrid w:val="0"/>
        </w:rPr>
        <w:t>.</w:t>
      </w:r>
      <w:r>
        <w:rPr>
          <w:snapToGrid w:val="0"/>
        </w:rPr>
        <w:tab/>
        <w:t>Terms used</w:t>
      </w:r>
      <w:r>
        <w:tab/>
      </w:r>
      <w:r>
        <w:fldChar w:fldCharType="begin"/>
      </w:r>
      <w:r>
        <w:instrText xml:space="preserve"> PAGEREF _Toc131666801 \h </w:instrText>
      </w:r>
      <w:r>
        <w:fldChar w:fldCharType="separate"/>
      </w:r>
      <w:r>
        <w:t>120</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Certain lotteries unlawful</w:t>
      </w:r>
      <w:r>
        <w:tab/>
      </w:r>
      <w:r>
        <w:fldChar w:fldCharType="begin"/>
      </w:r>
      <w:r>
        <w:instrText xml:space="preserve"> PAGEREF _Toc131666802 \h </w:instrText>
      </w:r>
      <w:r>
        <w:fldChar w:fldCharType="separate"/>
      </w:r>
      <w:r>
        <w:t>122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Permitted lotteries (deemed)</w:t>
      </w:r>
      <w:r>
        <w:tab/>
      </w:r>
      <w:r>
        <w:fldChar w:fldCharType="begin"/>
      </w:r>
      <w:r>
        <w:instrText xml:space="preserve"> PAGEREF _Toc131666803 \h </w:instrText>
      </w:r>
      <w:r>
        <w:fldChar w:fldCharType="separate"/>
      </w:r>
      <w:r>
        <w:t>122</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Permits for lotteries; duties of holders of permit for standard lottery</w:t>
      </w:r>
      <w:r>
        <w:tab/>
      </w:r>
      <w:r>
        <w:fldChar w:fldCharType="begin"/>
      </w:r>
      <w:r>
        <w:instrText xml:space="preserve"> PAGEREF _Toc131666804 \h </w:instrText>
      </w:r>
      <w:r>
        <w:fldChar w:fldCharType="separate"/>
      </w:r>
      <w:r>
        <w:t>124</w:t>
      </w:r>
      <w:r>
        <w:fldChar w:fldCharType="end"/>
      </w:r>
    </w:p>
    <w:p>
      <w:pPr>
        <w:pStyle w:val="TOC8"/>
        <w:rPr>
          <w:rFonts w:asciiTheme="minorHAnsi" w:eastAsiaTheme="minorEastAsia" w:hAnsiTheme="minorHAnsi" w:cstheme="minorBidi"/>
          <w:szCs w:val="22"/>
        </w:rPr>
      </w:pPr>
      <w:r>
        <w:t>104A.</w:t>
      </w:r>
      <w:r>
        <w:tab/>
        <w:t>Commission not liable for unpaid lottery prizes</w:t>
      </w:r>
      <w:r>
        <w:tab/>
      </w:r>
      <w:r>
        <w:fldChar w:fldCharType="begin"/>
      </w:r>
      <w:r>
        <w:instrText xml:space="preserve"> PAGEREF _Toc131666805 \h </w:instrText>
      </w:r>
      <w:r>
        <w:fldChar w:fldCharType="separate"/>
      </w:r>
      <w:r>
        <w:t>127</w:t>
      </w:r>
      <w:r>
        <w:fldChar w:fldCharType="end"/>
      </w:r>
    </w:p>
    <w:p>
      <w:pPr>
        <w:pStyle w:val="TOC8"/>
        <w:rPr>
          <w:rFonts w:asciiTheme="minorHAnsi" w:eastAsiaTheme="minorEastAsia" w:hAnsiTheme="minorHAnsi" w:cstheme="minorBidi"/>
          <w:szCs w:val="22"/>
        </w:rPr>
      </w:pPr>
      <w:r>
        <w:t>104B.</w:t>
      </w:r>
      <w:r>
        <w:tab/>
        <w:t>Licensing of suppliers of lottery tickets</w:t>
      </w:r>
      <w:r>
        <w:tab/>
      </w:r>
      <w:r>
        <w:fldChar w:fldCharType="begin"/>
      </w:r>
      <w:r>
        <w:instrText xml:space="preserve"> PAGEREF _Toc131666806 \h </w:instrText>
      </w:r>
      <w:r>
        <w:fldChar w:fldCharType="separate"/>
      </w:r>
      <w:r>
        <w:t>127</w:t>
      </w:r>
      <w:r>
        <w:fldChar w:fldCharType="end"/>
      </w:r>
    </w:p>
    <w:p>
      <w:pPr>
        <w:pStyle w:val="TOC8"/>
        <w:rPr>
          <w:rFonts w:asciiTheme="minorHAnsi" w:eastAsiaTheme="minorEastAsia" w:hAnsiTheme="minorHAnsi" w:cstheme="minorBidi"/>
          <w:szCs w:val="22"/>
        </w:rPr>
      </w:pPr>
      <w:r>
        <w:t>104C.</w:t>
      </w:r>
      <w:r>
        <w:tab/>
        <w:t>Licences of licensed suppliers, cancelling etc.</w:t>
      </w:r>
      <w:r>
        <w:tab/>
      </w:r>
      <w:r>
        <w:fldChar w:fldCharType="begin"/>
      </w:r>
      <w:r>
        <w:instrText xml:space="preserve"> PAGEREF _Toc131666807 \h </w:instrText>
      </w:r>
      <w:r>
        <w:fldChar w:fldCharType="separate"/>
      </w:r>
      <w:r>
        <w:t>128</w:t>
      </w:r>
      <w:r>
        <w:fldChar w:fldCharType="end"/>
      </w:r>
    </w:p>
    <w:p>
      <w:pPr>
        <w:pStyle w:val="TOC8"/>
        <w:rPr>
          <w:rFonts w:asciiTheme="minorHAnsi" w:eastAsiaTheme="minorEastAsia" w:hAnsiTheme="minorHAnsi" w:cstheme="minorBidi"/>
          <w:szCs w:val="22"/>
        </w:rPr>
      </w:pPr>
      <w:r>
        <w:t>104D.</w:t>
      </w:r>
      <w:r>
        <w:tab/>
        <w:t>Refusal or cancellation of supplier’s licence, Commission to report to Minister; appeals to Minister</w:t>
      </w:r>
      <w:r>
        <w:tab/>
      </w:r>
      <w:r>
        <w:fldChar w:fldCharType="begin"/>
      </w:r>
      <w:r>
        <w:instrText xml:space="preserve"> PAGEREF _Toc131666808 \h </w:instrText>
      </w:r>
      <w:r>
        <w:fldChar w:fldCharType="separate"/>
      </w:r>
      <w:r>
        <w:t>130</w:t>
      </w:r>
      <w:r>
        <w:fldChar w:fldCharType="end"/>
      </w:r>
    </w:p>
    <w:p>
      <w:pPr>
        <w:pStyle w:val="TOC8"/>
        <w:rPr>
          <w:rFonts w:asciiTheme="minorHAnsi" w:eastAsiaTheme="minorEastAsia" w:hAnsiTheme="minorHAnsi" w:cstheme="minorBidi"/>
          <w:szCs w:val="22"/>
        </w:rPr>
      </w:pPr>
      <w:r>
        <w:t>104E.</w:t>
      </w:r>
      <w:r>
        <w:tab/>
        <w:t>Suppliers to give Commission tickets if licence cancelled etc.</w:t>
      </w:r>
      <w:r>
        <w:tab/>
      </w:r>
      <w:r>
        <w:fldChar w:fldCharType="begin"/>
      </w:r>
      <w:r>
        <w:instrText xml:space="preserve"> PAGEREF _Toc131666809 \h </w:instrText>
      </w:r>
      <w:r>
        <w:fldChar w:fldCharType="separate"/>
      </w:r>
      <w:r>
        <w:t>130</w:t>
      </w:r>
      <w:r>
        <w:fldChar w:fldCharType="end"/>
      </w:r>
    </w:p>
    <w:p>
      <w:pPr>
        <w:pStyle w:val="TOC8"/>
        <w:rPr>
          <w:rFonts w:asciiTheme="minorHAnsi" w:eastAsiaTheme="minorEastAsia" w:hAnsiTheme="minorHAnsi" w:cstheme="minorBidi"/>
          <w:szCs w:val="22"/>
        </w:rPr>
      </w:pPr>
      <w:r>
        <w:t>104F.</w:t>
      </w:r>
      <w:r>
        <w:tab/>
        <w:t>Licensed suppliers to lodge returns and pay continuing lotteries levy</w:t>
      </w:r>
      <w:r>
        <w:tab/>
      </w:r>
      <w:r>
        <w:fldChar w:fldCharType="begin"/>
      </w:r>
      <w:r>
        <w:instrText xml:space="preserve"> PAGEREF _Toc131666810 \h </w:instrText>
      </w:r>
      <w:r>
        <w:fldChar w:fldCharType="separate"/>
      </w:r>
      <w:r>
        <w:t>132</w:t>
      </w:r>
      <w:r>
        <w:fldChar w:fldCharType="end"/>
      </w:r>
    </w:p>
    <w:p>
      <w:pPr>
        <w:pStyle w:val="TOC8"/>
        <w:rPr>
          <w:rFonts w:asciiTheme="minorHAnsi" w:eastAsiaTheme="minorEastAsia" w:hAnsiTheme="minorHAnsi" w:cstheme="minorBidi"/>
          <w:szCs w:val="22"/>
        </w:rPr>
      </w:pPr>
      <w:r>
        <w:t>104G.</w:t>
      </w:r>
      <w:r>
        <w:tab/>
        <w:t>Continuing lotteries levy, application of</w:t>
      </w:r>
      <w:r>
        <w:tab/>
      </w:r>
      <w:r>
        <w:fldChar w:fldCharType="begin"/>
      </w:r>
      <w:r>
        <w:instrText xml:space="preserve"> PAGEREF _Toc131666811 \h </w:instrText>
      </w:r>
      <w:r>
        <w:fldChar w:fldCharType="separate"/>
      </w:r>
      <w:r>
        <w:t>133</w:t>
      </w:r>
      <w:r>
        <w:fldChar w:fldCharType="end"/>
      </w:r>
    </w:p>
    <w:p>
      <w:pPr>
        <w:pStyle w:val="TOC8"/>
        <w:rPr>
          <w:rFonts w:asciiTheme="minorHAnsi" w:eastAsiaTheme="minorEastAsia" w:hAnsiTheme="minorHAnsi" w:cstheme="minorBidi"/>
          <w:szCs w:val="22"/>
        </w:rPr>
      </w:pPr>
      <w:r>
        <w:t>104H.</w:t>
      </w:r>
      <w:r>
        <w:tab/>
        <w:t>Exemption from levy</w:t>
      </w:r>
      <w:r>
        <w:tab/>
      </w:r>
      <w:r>
        <w:fldChar w:fldCharType="begin"/>
      </w:r>
      <w:r>
        <w:instrText xml:space="preserve"> PAGEREF _Toc131666812 \h </w:instrText>
      </w:r>
      <w:r>
        <w:fldChar w:fldCharType="separate"/>
      </w:r>
      <w:r>
        <w:t>134</w:t>
      </w:r>
      <w:r>
        <w:fldChar w:fldCharType="end"/>
      </w:r>
    </w:p>
    <w:p>
      <w:pPr>
        <w:pStyle w:val="TOC8"/>
        <w:rPr>
          <w:rFonts w:asciiTheme="minorHAnsi" w:eastAsiaTheme="minorEastAsia" w:hAnsiTheme="minorHAnsi" w:cstheme="minorBidi"/>
          <w:szCs w:val="22"/>
        </w:rPr>
      </w:pPr>
      <w:r>
        <w:t>104I.</w:t>
      </w:r>
      <w:r>
        <w:tab/>
        <w:t>Refund of levy</w:t>
      </w:r>
      <w:r>
        <w:tab/>
      </w:r>
      <w:r>
        <w:fldChar w:fldCharType="begin"/>
      </w:r>
      <w:r>
        <w:instrText xml:space="preserve"> PAGEREF _Toc131666813 \h </w:instrText>
      </w:r>
      <w:r>
        <w:fldChar w:fldCharType="separate"/>
      </w:r>
      <w:r>
        <w:t>134</w:t>
      </w:r>
      <w:r>
        <w:fldChar w:fldCharType="end"/>
      </w:r>
    </w:p>
    <w:p>
      <w:pPr>
        <w:pStyle w:val="TOC8"/>
        <w:rPr>
          <w:rFonts w:asciiTheme="minorHAnsi" w:eastAsiaTheme="minorEastAsia" w:hAnsiTheme="minorHAnsi" w:cstheme="minorBidi"/>
          <w:szCs w:val="22"/>
        </w:rPr>
      </w:pPr>
      <w:r>
        <w:t>104J.</w:t>
      </w:r>
      <w:r>
        <w:tab/>
        <w:t>Tickets, protecting and accounting for; estimating levy for lost etc. tickets</w:t>
      </w:r>
      <w:r>
        <w:tab/>
      </w:r>
      <w:r>
        <w:fldChar w:fldCharType="begin"/>
      </w:r>
      <w:r>
        <w:instrText xml:space="preserve"> PAGEREF _Toc131666814 \h </w:instrText>
      </w:r>
      <w:r>
        <w:fldChar w:fldCharType="separate"/>
      </w:r>
      <w:r>
        <w:t>135</w:t>
      </w:r>
      <w:r>
        <w:fldChar w:fldCharType="end"/>
      </w:r>
    </w:p>
    <w:p>
      <w:pPr>
        <w:pStyle w:val="TOC8"/>
        <w:rPr>
          <w:rFonts w:asciiTheme="minorHAnsi" w:eastAsiaTheme="minorEastAsia" w:hAnsiTheme="minorHAnsi" w:cstheme="minorBidi"/>
          <w:szCs w:val="22"/>
        </w:rPr>
      </w:pPr>
      <w:r>
        <w:t>104K.</w:t>
      </w:r>
      <w:r>
        <w:tab/>
        <w:t>Tickets may be given to Commission for destruction</w:t>
      </w:r>
      <w:r>
        <w:tab/>
      </w:r>
      <w:r>
        <w:fldChar w:fldCharType="begin"/>
      </w:r>
      <w:r>
        <w:instrText xml:space="preserve"> PAGEREF _Toc131666815 \h </w:instrText>
      </w:r>
      <w:r>
        <w:fldChar w:fldCharType="separate"/>
      </w:r>
      <w:r>
        <w:t>136</w:t>
      </w:r>
      <w:r>
        <w:fldChar w:fldCharType="end"/>
      </w:r>
    </w:p>
    <w:p>
      <w:pPr>
        <w:pStyle w:val="TOC8"/>
        <w:rPr>
          <w:rFonts w:asciiTheme="minorHAnsi" w:eastAsiaTheme="minorEastAsia" w:hAnsiTheme="minorHAnsi" w:cstheme="minorBidi"/>
          <w:szCs w:val="22"/>
        </w:rPr>
      </w:pPr>
      <w:r>
        <w:t>104L.</w:t>
      </w:r>
      <w:r>
        <w:tab/>
        <w:t>Offences by licensed suppliers</w:t>
      </w:r>
      <w:r>
        <w:tab/>
      </w:r>
      <w:r>
        <w:fldChar w:fldCharType="begin"/>
      </w:r>
      <w:r>
        <w:instrText xml:space="preserve"> PAGEREF _Toc131666816 \h </w:instrText>
      </w:r>
      <w:r>
        <w:fldChar w:fldCharType="separate"/>
      </w:r>
      <w:r>
        <w:t>136</w:t>
      </w:r>
      <w:r>
        <w:fldChar w:fldCharType="end"/>
      </w:r>
    </w:p>
    <w:p>
      <w:pPr>
        <w:pStyle w:val="TOC8"/>
        <w:rPr>
          <w:rFonts w:asciiTheme="minorHAnsi" w:eastAsiaTheme="minorEastAsia" w:hAnsiTheme="minorHAnsi" w:cstheme="minorBidi"/>
          <w:szCs w:val="22"/>
        </w:rPr>
      </w:pPr>
      <w:r>
        <w:t>104M.</w:t>
      </w:r>
      <w:r>
        <w:tab/>
        <w:t>Offences involving continuing lottery tickets</w:t>
      </w:r>
      <w:r>
        <w:tab/>
      </w:r>
      <w:r>
        <w:fldChar w:fldCharType="begin"/>
      </w:r>
      <w:r>
        <w:instrText xml:space="preserve"> PAGEREF _Toc131666817 \h </w:instrText>
      </w:r>
      <w:r>
        <w:fldChar w:fldCharType="separate"/>
      </w:r>
      <w:r>
        <w:t>138</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Continuing lotteries, use of vending machines to sell tickets for</w:t>
      </w:r>
      <w:r>
        <w:tab/>
      </w:r>
      <w:r>
        <w:fldChar w:fldCharType="begin"/>
      </w:r>
      <w:r>
        <w:instrText xml:space="preserve"> PAGEREF _Toc131666818 \h </w:instrText>
      </w:r>
      <w:r>
        <w:fldChar w:fldCharType="separate"/>
      </w:r>
      <w:r>
        <w:t>138</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Offences involving lotteries</w:t>
      </w:r>
      <w:r>
        <w:tab/>
      </w:r>
      <w:r>
        <w:fldChar w:fldCharType="begin"/>
      </w:r>
      <w:r>
        <w:instrText xml:space="preserve"> PAGEREF _Toc131666819 \h </w:instrText>
      </w:r>
      <w:r>
        <w:fldChar w:fldCharType="separate"/>
      </w:r>
      <w:r>
        <w:t>139</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Amusements with prizes, which are permitted</w:t>
      </w:r>
      <w:r>
        <w:tab/>
      </w:r>
      <w:r>
        <w:fldChar w:fldCharType="begin"/>
      </w:r>
      <w:r>
        <w:instrText xml:space="preserve"> PAGEREF _Toc131666820 \h </w:instrText>
      </w:r>
      <w:r>
        <w:fldChar w:fldCharType="separate"/>
      </w:r>
      <w:r>
        <w:t>141</w:t>
      </w:r>
      <w:r>
        <w:fldChar w:fldCharType="end"/>
      </w:r>
    </w:p>
    <w:p>
      <w:pPr>
        <w:pStyle w:val="TOC8"/>
        <w:rPr>
          <w:rFonts w:asciiTheme="minorHAnsi" w:eastAsiaTheme="minorEastAsia" w:hAnsiTheme="minorHAnsi" w:cstheme="minorBidi"/>
          <w:szCs w:val="22"/>
        </w:rPr>
      </w:pPr>
      <w:r>
        <w:lastRenderedPageBreak/>
        <w:t>108</w:t>
      </w:r>
      <w:r>
        <w:rPr>
          <w:snapToGrid w:val="0"/>
        </w:rPr>
        <w:t>.</w:t>
      </w:r>
      <w:r>
        <w:rPr>
          <w:snapToGrid w:val="0"/>
        </w:rPr>
        <w:tab/>
        <w:t>Some fund raising activities deemed permitted amusement with prizes</w:t>
      </w:r>
      <w:r>
        <w:tab/>
      </w:r>
      <w:r>
        <w:fldChar w:fldCharType="begin"/>
      </w:r>
      <w:r>
        <w:instrText xml:space="preserve"> PAGEREF _Toc131666821 \h </w:instrText>
      </w:r>
      <w:r>
        <w:fldChar w:fldCharType="separate"/>
      </w:r>
      <w:r>
        <w:t>142</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Regulations for this Division</w:t>
      </w:r>
      <w:r>
        <w:tab/>
      </w:r>
      <w:r>
        <w:fldChar w:fldCharType="begin"/>
      </w:r>
      <w:r>
        <w:instrText xml:space="preserve"> PAGEREF _Toc131666822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Unclaimed winnings</w:t>
      </w:r>
    </w:p>
    <w:p>
      <w:pPr>
        <w:pStyle w:val="TOC8"/>
        <w:rPr>
          <w:rFonts w:asciiTheme="minorHAnsi" w:eastAsiaTheme="minorEastAsia" w:hAnsiTheme="minorHAnsi" w:cstheme="minorBidi"/>
          <w:szCs w:val="22"/>
        </w:rPr>
      </w:pPr>
      <w:r>
        <w:t>109A.</w:t>
      </w:r>
      <w:r>
        <w:tab/>
        <w:t>Terms used</w:t>
      </w:r>
      <w:r>
        <w:tab/>
      </w:r>
      <w:r>
        <w:fldChar w:fldCharType="begin"/>
      </w:r>
      <w:r>
        <w:instrText xml:space="preserve"> PAGEREF _Toc131666824 \h </w:instrText>
      </w:r>
      <w:r>
        <w:fldChar w:fldCharType="separate"/>
      </w:r>
      <w:r>
        <w:t>144</w:t>
      </w:r>
      <w:r>
        <w:fldChar w:fldCharType="end"/>
      </w:r>
    </w:p>
    <w:p>
      <w:pPr>
        <w:pStyle w:val="TOC8"/>
        <w:rPr>
          <w:rFonts w:asciiTheme="minorHAnsi" w:eastAsiaTheme="minorEastAsia" w:hAnsiTheme="minorHAnsi" w:cstheme="minorBidi"/>
          <w:szCs w:val="22"/>
        </w:rPr>
      </w:pPr>
      <w:r>
        <w:t>109B.</w:t>
      </w:r>
      <w:r>
        <w:tab/>
        <w:t>Unclaimed winnings, Commission to be notified of etc.</w:t>
      </w:r>
      <w:r>
        <w:tab/>
      </w:r>
      <w:r>
        <w:fldChar w:fldCharType="begin"/>
      </w:r>
      <w:r>
        <w:instrText xml:space="preserve"> PAGEREF _Toc131666825 \h </w:instrText>
      </w:r>
      <w:r>
        <w:fldChar w:fldCharType="separate"/>
      </w:r>
      <w:r>
        <w:t>145</w:t>
      </w:r>
      <w:r>
        <w:fldChar w:fldCharType="end"/>
      </w:r>
    </w:p>
    <w:p>
      <w:pPr>
        <w:pStyle w:val="TOC8"/>
        <w:rPr>
          <w:rFonts w:asciiTheme="minorHAnsi" w:eastAsiaTheme="minorEastAsia" w:hAnsiTheme="minorHAnsi" w:cstheme="minorBidi"/>
          <w:szCs w:val="22"/>
        </w:rPr>
      </w:pPr>
      <w:r>
        <w:t>109C.</w:t>
      </w:r>
      <w:r>
        <w:tab/>
        <w:t>Gaming Community Trust Account</w:t>
      </w:r>
      <w:r>
        <w:tab/>
      </w:r>
      <w:r>
        <w:fldChar w:fldCharType="begin"/>
      </w:r>
      <w:r>
        <w:instrText xml:space="preserve"> PAGEREF _Toc131666826 \h </w:instrText>
      </w:r>
      <w:r>
        <w:fldChar w:fldCharType="separate"/>
      </w:r>
      <w:r>
        <w:t>146</w:t>
      </w:r>
      <w:r>
        <w:fldChar w:fldCharType="end"/>
      </w:r>
    </w:p>
    <w:p>
      <w:pPr>
        <w:pStyle w:val="TOC8"/>
        <w:rPr>
          <w:rFonts w:asciiTheme="minorHAnsi" w:eastAsiaTheme="minorEastAsia" w:hAnsiTheme="minorHAnsi" w:cstheme="minorBidi"/>
          <w:szCs w:val="22"/>
        </w:rPr>
      </w:pPr>
      <w:r>
        <w:t>109D.</w:t>
      </w:r>
      <w:r>
        <w:tab/>
        <w:t>Gaming Community Trust</w:t>
      </w:r>
      <w:r>
        <w:tab/>
      </w:r>
      <w:r>
        <w:fldChar w:fldCharType="begin"/>
      </w:r>
      <w:r>
        <w:instrText xml:space="preserve"> PAGEREF _Toc131666827 \h </w:instrText>
      </w:r>
      <w:r>
        <w:fldChar w:fldCharType="separate"/>
      </w:r>
      <w:r>
        <w:t>147</w:t>
      </w:r>
      <w:r>
        <w:fldChar w:fldCharType="end"/>
      </w:r>
    </w:p>
    <w:p>
      <w:pPr>
        <w:pStyle w:val="TOC2"/>
        <w:tabs>
          <w:tab w:val="right" w:leader="dot" w:pos="7077"/>
        </w:tabs>
        <w:rPr>
          <w:rFonts w:asciiTheme="minorHAnsi" w:eastAsiaTheme="minorEastAsia" w:hAnsiTheme="minorHAnsi" w:cstheme="minorBidi"/>
          <w:b w:val="0"/>
          <w:sz w:val="22"/>
          <w:szCs w:val="22"/>
        </w:rPr>
      </w:pPr>
      <w:r>
        <w:t>Part VA — Supervision of RWWA</w:t>
      </w:r>
    </w:p>
    <w:p>
      <w:pPr>
        <w:pStyle w:val="TOC8"/>
        <w:rPr>
          <w:rFonts w:asciiTheme="minorHAnsi" w:eastAsiaTheme="minorEastAsia" w:hAnsiTheme="minorHAnsi" w:cstheme="minorBidi"/>
          <w:szCs w:val="22"/>
        </w:rPr>
      </w:pPr>
      <w:r>
        <w:t>109E.</w:t>
      </w:r>
      <w:r>
        <w:tab/>
        <w:t>Gambling operations of RWWA, meaning of</w:t>
      </w:r>
      <w:r>
        <w:tab/>
      </w:r>
      <w:r>
        <w:fldChar w:fldCharType="begin"/>
      </w:r>
      <w:r>
        <w:instrText xml:space="preserve"> PAGEREF _Toc131666829 \h </w:instrText>
      </w:r>
      <w:r>
        <w:fldChar w:fldCharType="separate"/>
      </w:r>
      <w:r>
        <w:t>149</w:t>
      </w:r>
      <w:r>
        <w:fldChar w:fldCharType="end"/>
      </w:r>
    </w:p>
    <w:p>
      <w:pPr>
        <w:pStyle w:val="TOC8"/>
        <w:rPr>
          <w:rFonts w:asciiTheme="minorHAnsi" w:eastAsiaTheme="minorEastAsia" w:hAnsiTheme="minorHAnsi" w:cstheme="minorBidi"/>
          <w:szCs w:val="22"/>
        </w:rPr>
      </w:pPr>
      <w:r>
        <w:t>109F.</w:t>
      </w:r>
      <w:r>
        <w:tab/>
        <w:t>Supervision of RWWA by Commission etc.</w:t>
      </w:r>
      <w:r>
        <w:tab/>
      </w:r>
      <w:r>
        <w:fldChar w:fldCharType="begin"/>
      </w:r>
      <w:r>
        <w:instrText xml:space="preserve"> PAGEREF _Toc131666830 \h </w:instrText>
      </w:r>
      <w:r>
        <w:fldChar w:fldCharType="separate"/>
      </w:r>
      <w:r>
        <w:t>149</w:t>
      </w:r>
      <w:r>
        <w:fldChar w:fldCharType="end"/>
      </w:r>
    </w:p>
    <w:p>
      <w:pPr>
        <w:pStyle w:val="TOC8"/>
        <w:rPr>
          <w:rFonts w:asciiTheme="minorHAnsi" w:eastAsiaTheme="minorEastAsia" w:hAnsiTheme="minorHAnsi" w:cstheme="minorBidi"/>
          <w:szCs w:val="22"/>
        </w:rPr>
      </w:pPr>
      <w:r>
        <w:t>109G.</w:t>
      </w:r>
      <w:r>
        <w:tab/>
        <w:t>Directions to RWWA, Commission may give</w:t>
      </w:r>
      <w:r>
        <w:tab/>
      </w:r>
      <w:r>
        <w:fldChar w:fldCharType="begin"/>
      </w:r>
      <w:r>
        <w:instrText xml:space="preserve"> PAGEREF _Toc131666831 \h </w:instrText>
      </w:r>
      <w:r>
        <w:fldChar w:fldCharType="separate"/>
      </w:r>
      <w:r>
        <w:t>150</w:t>
      </w:r>
      <w:r>
        <w:fldChar w:fldCharType="end"/>
      </w:r>
    </w:p>
    <w:p>
      <w:pPr>
        <w:pStyle w:val="TOC8"/>
        <w:rPr>
          <w:rFonts w:asciiTheme="minorHAnsi" w:eastAsiaTheme="minorEastAsia" w:hAnsiTheme="minorHAnsi" w:cstheme="minorBidi"/>
          <w:szCs w:val="22"/>
        </w:rPr>
      </w:pPr>
      <w:r>
        <w:t>109H.</w:t>
      </w:r>
      <w:r>
        <w:tab/>
        <w:t>RWWA must comply with directions</w:t>
      </w:r>
      <w:r>
        <w:tab/>
      </w:r>
      <w:r>
        <w:fldChar w:fldCharType="begin"/>
      </w:r>
      <w:r>
        <w:instrText xml:space="preserve"> PAGEREF _Toc131666832 \h </w:instrText>
      </w:r>
      <w:r>
        <w:fldChar w:fldCharType="separate"/>
      </w:r>
      <w:r>
        <w:t>150</w:t>
      </w:r>
      <w:r>
        <w:fldChar w:fldCharType="end"/>
      </w:r>
    </w:p>
    <w:p>
      <w:pPr>
        <w:pStyle w:val="TOC8"/>
        <w:rPr>
          <w:rFonts w:asciiTheme="minorHAnsi" w:eastAsiaTheme="minorEastAsia" w:hAnsiTheme="minorHAnsi" w:cstheme="minorBidi"/>
          <w:szCs w:val="22"/>
        </w:rPr>
      </w:pPr>
      <w:r>
        <w:t>109I.</w:t>
      </w:r>
      <w:r>
        <w:tab/>
        <w:t>Complaints about RWWA, Commission’s functions as to</w:t>
      </w:r>
      <w:r>
        <w:tab/>
      </w:r>
      <w:r>
        <w:fldChar w:fldCharType="begin"/>
      </w:r>
      <w:r>
        <w:instrText xml:space="preserve"> PAGEREF _Toc131666833 \h </w:instrText>
      </w:r>
      <w:r>
        <w:fldChar w:fldCharType="separate"/>
      </w:r>
      <w:r>
        <w:t>151</w:t>
      </w:r>
      <w:r>
        <w:fldChar w:fldCharType="end"/>
      </w:r>
    </w:p>
    <w:p>
      <w:pPr>
        <w:pStyle w:val="TOC8"/>
        <w:rPr>
          <w:rFonts w:asciiTheme="minorHAnsi" w:eastAsiaTheme="minorEastAsia" w:hAnsiTheme="minorHAnsi" w:cstheme="minorBidi"/>
          <w:szCs w:val="22"/>
        </w:rPr>
      </w:pPr>
      <w:r>
        <w:t>109J.</w:t>
      </w:r>
      <w:r>
        <w:tab/>
        <w:t>Reports on and inquiries into RWWA</w:t>
      </w:r>
      <w:r>
        <w:tab/>
      </w:r>
      <w:r>
        <w:fldChar w:fldCharType="begin"/>
      </w:r>
      <w:r>
        <w:instrText xml:space="preserve"> PAGEREF _Toc131666834 \h </w:instrText>
      </w:r>
      <w:r>
        <w:fldChar w:fldCharType="separate"/>
      </w:r>
      <w:r>
        <w:t>151</w:t>
      </w:r>
      <w:r>
        <w:fldChar w:fldCharType="end"/>
      </w:r>
    </w:p>
    <w:p>
      <w:pPr>
        <w:pStyle w:val="TOC8"/>
        <w:rPr>
          <w:rFonts w:asciiTheme="minorHAnsi" w:eastAsiaTheme="minorEastAsia" w:hAnsiTheme="minorHAnsi" w:cstheme="minorBidi"/>
          <w:szCs w:val="22"/>
        </w:rPr>
      </w:pPr>
      <w:r>
        <w:t>109K.</w:t>
      </w:r>
      <w:r>
        <w:tab/>
        <w:t>Report or inquiry under s. 109J, Minister’s powers following</w:t>
      </w:r>
      <w:r>
        <w:tab/>
      </w:r>
      <w:r>
        <w:fldChar w:fldCharType="begin"/>
      </w:r>
      <w:r>
        <w:instrText xml:space="preserve"> PAGEREF _Toc131666835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Part VI — Ancillary</w:t>
      </w:r>
    </w:p>
    <w:p>
      <w:pPr>
        <w:pStyle w:val="TOC8"/>
        <w:rPr>
          <w:rFonts w:asciiTheme="minorHAnsi" w:eastAsiaTheme="minorEastAsia" w:hAnsiTheme="minorHAnsi" w:cstheme="minorBidi"/>
          <w:szCs w:val="22"/>
        </w:rPr>
      </w:pPr>
      <w:r>
        <w:t>110</w:t>
      </w:r>
      <w:r>
        <w:rPr>
          <w:snapToGrid w:val="0"/>
        </w:rPr>
        <w:t>.</w:t>
      </w:r>
      <w:r>
        <w:rPr>
          <w:snapToGrid w:val="0"/>
        </w:rPr>
        <w:tab/>
        <w:t>Gambling on premises licensed for retail sale of liquor</w:t>
      </w:r>
      <w:r>
        <w:tab/>
      </w:r>
      <w:r>
        <w:fldChar w:fldCharType="begin"/>
      </w:r>
      <w:r>
        <w:instrText xml:space="preserve"> PAGEREF _Toc131666837 \h </w:instrText>
      </w:r>
      <w:r>
        <w:fldChar w:fldCharType="separate"/>
      </w:r>
      <w:r>
        <w:t>155</w:t>
      </w:r>
      <w:r>
        <w:fldChar w:fldCharType="end"/>
      </w:r>
    </w:p>
    <w:p>
      <w:pPr>
        <w:pStyle w:val="TOC8"/>
        <w:rPr>
          <w:rFonts w:asciiTheme="minorHAnsi" w:eastAsiaTheme="minorEastAsia" w:hAnsiTheme="minorHAnsi" w:cstheme="minorBidi"/>
          <w:szCs w:val="22"/>
        </w:rPr>
      </w:pPr>
      <w:r>
        <w:t>110A.</w:t>
      </w:r>
      <w:r>
        <w:tab/>
        <w:t>Sports Wagering Account</w:t>
      </w:r>
      <w:r>
        <w:tab/>
      </w:r>
      <w:r>
        <w:fldChar w:fldCharType="begin"/>
      </w:r>
      <w:r>
        <w:instrText xml:space="preserve"> PAGEREF _Toc131666838 \h </w:instrText>
      </w:r>
      <w:r>
        <w:fldChar w:fldCharType="separate"/>
      </w:r>
      <w:r>
        <w:t>156</w:t>
      </w:r>
      <w:r>
        <w:fldChar w:fldCharType="end"/>
      </w:r>
    </w:p>
    <w:p>
      <w:pPr>
        <w:pStyle w:val="TOC8"/>
        <w:rPr>
          <w:rFonts w:asciiTheme="minorHAnsi" w:eastAsiaTheme="minorEastAsia" w:hAnsiTheme="minorHAnsi" w:cstheme="minorBidi"/>
          <w:szCs w:val="22"/>
        </w:rPr>
      </w:pPr>
      <w:r>
        <w:t>110B.</w:t>
      </w:r>
      <w:r>
        <w:tab/>
        <w:t>Racing Bets Levy Account</w:t>
      </w:r>
      <w:r>
        <w:tab/>
      </w:r>
      <w:r>
        <w:fldChar w:fldCharType="begin"/>
      </w:r>
      <w:r>
        <w:instrText xml:space="preserve"> PAGEREF _Toc131666839 \h </w:instrText>
      </w:r>
      <w:r>
        <w:fldChar w:fldCharType="separate"/>
      </w:r>
      <w:r>
        <w:t>157</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Burswood Casino Agreement cl. 22, when Commission may decide questions as to</w:t>
      </w:r>
      <w:r>
        <w:tab/>
      </w:r>
      <w:r>
        <w:fldChar w:fldCharType="begin"/>
      </w:r>
      <w:r>
        <w:instrText xml:space="preserve"> PAGEREF _Toc131666840 \h </w:instrText>
      </w:r>
      <w:r>
        <w:fldChar w:fldCharType="separate"/>
      </w:r>
      <w:r>
        <w:t>158</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 xml:space="preserve">Transitional provisions as to </w:t>
      </w:r>
      <w:r>
        <w:rPr>
          <w:i/>
          <w:snapToGrid w:val="0"/>
        </w:rPr>
        <w:t>Casino Control Act 1984</w:t>
      </w:r>
      <w:r>
        <w:tab/>
      </w:r>
      <w:r>
        <w:fldChar w:fldCharType="begin"/>
      </w:r>
      <w:r>
        <w:instrText xml:space="preserve"> PAGEREF _Toc131666841 \h </w:instrText>
      </w:r>
      <w:r>
        <w:fldChar w:fldCharType="separate"/>
      </w:r>
      <w:r>
        <w:t>158</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Regulations</w:t>
      </w:r>
      <w:r>
        <w:tab/>
      </w:r>
      <w:r>
        <w:fldChar w:fldCharType="begin"/>
      </w:r>
      <w:r>
        <w:instrText xml:space="preserve"> PAGEREF _Toc131666842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_Toc131666844 \h </w:instrText>
      </w:r>
      <w:r>
        <w:fldChar w:fldCharType="separate"/>
      </w:r>
      <w:r>
        <w:t>161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_Toc131666845 \h </w:instrText>
      </w:r>
      <w:r>
        <w:fldChar w:fldCharType="separate"/>
      </w:r>
      <w:r>
        <w:t>165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_Toc131666846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NameofActReg"/>
      </w:pPr>
      <w:r>
        <w:t>Gaming and Wagering Commission Act 1987</w:t>
      </w:r>
    </w:p>
    <w:p>
      <w:pPr>
        <w:pStyle w:val="LongTitle"/>
        <w:spacing w:before="360"/>
        <w:rPr>
          <w:snapToGrid w:val="0"/>
        </w:rPr>
      </w:pPr>
      <w:r>
        <w:rPr>
          <w:snapToGrid w:val="0"/>
        </w:rPr>
        <w:t>An Act to constitute the Gaming and Wagering Commission of Western Australia, to consolidate and amend the law relating to gaming and wagering, and for related purposes.</w:t>
      </w:r>
    </w:p>
    <w:p>
      <w:pPr>
        <w:pStyle w:val="Footnotelongtitle"/>
      </w:pPr>
      <w:r>
        <w:tab/>
        <w:t>[Long title amended: No. 35 of 2003 s. 121.]</w:t>
      </w:r>
    </w:p>
    <w:p>
      <w:pPr>
        <w:pStyle w:val="Heading2"/>
      </w:pPr>
      <w:bookmarkStart w:id="3" w:name="_Toc115166542"/>
      <w:bookmarkStart w:id="4" w:name="_Toc115166699"/>
      <w:bookmarkStart w:id="5" w:name="_Toc115267773"/>
      <w:bookmarkStart w:id="6" w:name="_Toc131666691"/>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131666692"/>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w:t>
      </w:r>
    </w:p>
    <w:p>
      <w:pPr>
        <w:pStyle w:val="Footnotesection"/>
      </w:pPr>
      <w:r>
        <w:tab/>
        <w:t>[Section 1 amended: No. 35 of 2003 s. 122.]</w:t>
      </w:r>
    </w:p>
    <w:p>
      <w:pPr>
        <w:pStyle w:val="Heading5"/>
        <w:rPr>
          <w:snapToGrid w:val="0"/>
        </w:rPr>
      </w:pPr>
      <w:bookmarkStart w:id="8" w:name="_Toc131666693"/>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9" w:name="_Toc131666694"/>
      <w:r>
        <w:rPr>
          <w:rStyle w:val="CharSectno"/>
        </w:rPr>
        <w:t>3</w:t>
      </w:r>
      <w:r>
        <w:rPr>
          <w:snapToGrid w:val="0"/>
        </w:rPr>
        <w:t>.</w:t>
      </w:r>
      <w:r>
        <w:rPr>
          <w:snapToGrid w:val="0"/>
        </w:rPr>
        <w:tab/>
        <w:t>Terms used</w:t>
      </w:r>
      <w:bookmarkEnd w:id="9"/>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approved</w:t>
      </w:r>
      <w:r>
        <w:t xml:space="preserve"> means approved by the Commission;</w:t>
      </w:r>
    </w:p>
    <w:p>
      <w:pPr>
        <w:pStyle w:val="Defstart"/>
      </w:pPr>
      <w:r>
        <w:rPr>
          <w:b/>
        </w:rPr>
        <w:tab/>
      </w:r>
      <w:r>
        <w:rPr>
          <w:rStyle w:val="CharDefText"/>
        </w:rPr>
        <w:t>approved premises</w:t>
      </w:r>
      <w:r>
        <w:t xml:space="preserve"> means premises approved under section 55;</w:t>
      </w:r>
    </w:p>
    <w:p>
      <w:pPr>
        <w:pStyle w:val="Defstart"/>
      </w:pPr>
      <w:r>
        <w:tab/>
      </w:r>
      <w:r>
        <w:rPr>
          <w:rStyle w:val="CharDefText"/>
        </w:rPr>
        <w:t>authorised officer</w:t>
      </w:r>
      <w:r>
        <w:t xml:space="preserve"> means —</w:t>
      </w:r>
    </w:p>
    <w:p>
      <w:pPr>
        <w:pStyle w:val="Defpara"/>
      </w:pPr>
      <w:r>
        <w:tab/>
        <w:t>(a)</w:t>
      </w:r>
      <w:r>
        <w:tab/>
        <w:t>a member of the Commission; or</w:t>
      </w:r>
    </w:p>
    <w:p>
      <w:pPr>
        <w:pStyle w:val="Defpara"/>
      </w:pPr>
      <w:r>
        <w:tab/>
        <w:t>(b)</w:t>
      </w:r>
      <w:r>
        <w:tab/>
        <w:t xml:space="preserve">the Chief Casino Officer, a government inspector or any other person appointed for the purposes of section 9(1) of the </w:t>
      </w:r>
      <w:r>
        <w:rPr>
          <w:i/>
        </w:rPr>
        <w:t>Casino Control Act 1984</w:t>
      </w:r>
      <w:r>
        <w:t>; or</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r>
      <w:r>
        <w:rPr>
          <w:rStyle w:val="CharDefText"/>
        </w:rPr>
        <w:t>books</w:t>
      </w:r>
      <w:r>
        <w:t xml:space="preserve"> includes any register or other record of information and accounts or accounting records, however compiled, recorded or stored, and also any document;</w:t>
      </w:r>
    </w:p>
    <w:p>
      <w:pPr>
        <w:pStyle w:val="Defstart"/>
      </w:pPr>
      <w:r>
        <w:rPr>
          <w:b/>
        </w:rPr>
        <w:tab/>
      </w:r>
      <w:r>
        <w:rPr>
          <w:rStyle w:val="CharDefText"/>
        </w:rPr>
        <w:t>casino</w:t>
      </w:r>
      <w:r>
        <w:t xml:space="preserve"> means a building or room in which games are conducted and played, or in which money counting, surveillance, storage and other activities related to the conduct and playing of games are carried on, pursuant to a casino gaming licence granted under section 21 of the </w:t>
      </w:r>
      <w:r>
        <w:rPr>
          <w:i/>
        </w:rPr>
        <w:t>Casino Control Act 1984</w:t>
      </w:r>
      <w:r>
        <w:t>;</w:t>
      </w:r>
    </w:p>
    <w:p>
      <w:pPr>
        <w:pStyle w:val="Defstart"/>
      </w:pPr>
      <w:r>
        <w:rPr>
          <w:b/>
        </w:rPr>
        <w:lastRenderedPageBreak/>
        <w:tab/>
      </w:r>
      <w:r>
        <w:rPr>
          <w:rStyle w:val="CharDefText"/>
        </w:rPr>
        <w:t>casino complex agreement</w:t>
      </w:r>
      <w:r>
        <w:t xml:space="preserve"> means agreement entered into by the Minister with a public company under section 19(1) of the </w:t>
      </w:r>
      <w:r>
        <w:rPr>
          <w:i/>
        </w:rPr>
        <w:t>Casino Control Act 1984</w:t>
      </w:r>
      <w:r>
        <w:t>;</w:t>
      </w:r>
    </w:p>
    <w:p>
      <w:pPr>
        <w:pStyle w:val="Defstart"/>
      </w:pPr>
      <w:r>
        <w:rPr>
          <w:b/>
        </w:rPr>
        <w:tab/>
      </w:r>
      <w:r>
        <w:rPr>
          <w:rStyle w:val="CharDefText"/>
        </w:rPr>
        <w:t>certificate</w:t>
      </w:r>
      <w:r>
        <w:t xml:space="preserve"> means a certificate issued under Part V Division 5;</w:t>
      </w:r>
    </w:p>
    <w:p>
      <w:pPr>
        <w:pStyle w:val="Defstart"/>
      </w:pPr>
      <w:r>
        <w:rPr>
          <w:b/>
        </w:rPr>
        <w:tab/>
      </w:r>
      <w:r>
        <w:rPr>
          <w:rStyle w:val="CharDefText"/>
        </w:rPr>
        <w:t>Commission</w:t>
      </w:r>
      <w:r>
        <w:t xml:space="preserve"> means the Gaming and Wagering Commission of Western Australia established under section 4;</w:t>
      </w:r>
    </w:p>
    <w:p>
      <w:pPr>
        <w:pStyle w:val="Defstart"/>
      </w:pPr>
      <w:r>
        <w:rPr>
          <w:b/>
        </w:rPr>
        <w:tab/>
      </w:r>
      <w:r>
        <w:rPr>
          <w:rStyle w:val="CharDefText"/>
        </w:rPr>
        <w:t>condition</w:t>
      </w:r>
      <w:r>
        <w:t xml:space="preserve"> includes a term, requirement, limitation or restriction;</w:t>
      </w:r>
    </w:p>
    <w:p>
      <w:pPr>
        <w:pStyle w:val="Defstart"/>
      </w:pPr>
      <w:r>
        <w:rPr>
          <w:b/>
        </w:rPr>
        <w:tab/>
      </w:r>
      <w:r>
        <w:rPr>
          <w:rStyle w:val="CharDefText"/>
        </w:rPr>
        <w:t>conduct</w:t>
      </w:r>
      <w:r>
        <w:t xml:space="preserve"> includes promote, organise, manage or operate;</w:t>
      </w:r>
    </w:p>
    <w:p>
      <w:pPr>
        <w:pStyle w:val="Defstart"/>
      </w:pPr>
      <w:r>
        <w:rPr>
          <w:b/>
        </w:rPr>
        <w:tab/>
      </w:r>
      <w:r>
        <w:rPr>
          <w:rStyle w:val="CharDefText"/>
        </w:rPr>
        <w:t>continuing lotteries levy</w:t>
      </w:r>
      <w:r>
        <w:t xml:space="preserve"> means the levy imposed by the </w:t>
      </w:r>
      <w:r>
        <w:rPr>
          <w:i/>
        </w:rPr>
        <w:t>Gaming and Wagering Commission (Continuing Lotteries Levy) Act 2000</w:t>
      </w:r>
      <w:r>
        <w:t>;</w:t>
      </w:r>
    </w:p>
    <w:p>
      <w:pPr>
        <w:pStyle w:val="Defstart"/>
      </w:pPr>
      <w:r>
        <w:rPr>
          <w:b/>
        </w:rPr>
        <w:tab/>
      </w:r>
      <w:r>
        <w:rPr>
          <w:rStyle w:val="CharDefText"/>
        </w:rPr>
        <w:t>credit card</w:t>
      </w:r>
      <w:r>
        <w:t xml:space="preserve"> includes any card or other article intended for use by a person in obtaining cash, goods or services on credit;</w:t>
      </w:r>
    </w:p>
    <w:p>
      <w:pPr>
        <w:pStyle w:val="Defstart"/>
      </w:pPr>
      <w:r>
        <w:rPr>
          <w:b/>
        </w:rPr>
        <w:tab/>
      </w:r>
      <w:r>
        <w:rPr>
          <w:rStyle w:val="CharDefText"/>
        </w:rPr>
        <w:t>debit card</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event</w:t>
      </w:r>
      <w:r>
        <w:t xml:space="preserve"> has the meaning given in the </w:t>
      </w:r>
      <w:r>
        <w:rPr>
          <w:i/>
        </w:rPr>
        <w:t>Betting Control Act 1954</w:t>
      </w:r>
      <w:r>
        <w:t xml:space="preserve"> section 4(1);</w:t>
      </w:r>
    </w:p>
    <w:p>
      <w:pPr>
        <w:pStyle w:val="Defstart"/>
      </w:pPr>
      <w:r>
        <w:rPr>
          <w:b/>
        </w:rPr>
        <w:tab/>
      </w:r>
      <w:r>
        <w:rPr>
          <w:rStyle w:val="CharDefText"/>
        </w:rPr>
        <w:t>gambling</w:t>
      </w:r>
      <w:r>
        <w:t xml:space="preserve"> means gaming or wagering;</w:t>
      </w:r>
    </w:p>
    <w:p>
      <w:pPr>
        <w:pStyle w:val="Defstart"/>
      </w:pPr>
      <w:r>
        <w:rPr>
          <w:b/>
        </w:rPr>
        <w:tab/>
      </w:r>
      <w:r>
        <w:rPr>
          <w:rStyle w:val="CharDefText"/>
        </w:rPr>
        <w:t>game of chance</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r>
      <w:r>
        <w:rPr>
          <w:rStyle w:val="CharDefText"/>
        </w:rPr>
        <w:t>gaming</w:t>
      </w:r>
      <w:r>
        <w:t>, subject to section 39(2)(d) and (e), means the playing of a game of chance for winnings in money or money’s worth, whether any person playing the game is at risk of losing any money or money’s worth or not;</w:t>
      </w:r>
    </w:p>
    <w:p>
      <w:pPr>
        <w:pStyle w:val="Defstart"/>
      </w:pPr>
      <w:r>
        <w:rPr>
          <w:b/>
        </w:rPr>
        <w:tab/>
      </w:r>
      <w:r>
        <w:rPr>
          <w:rStyle w:val="CharDefText"/>
        </w:rPr>
        <w:t>gaming equipment</w:t>
      </w:r>
      <w:r>
        <w:t xml:space="preserve"> includes any machine used in the course of, or in relation to, gaming;</w:t>
      </w:r>
    </w:p>
    <w:p>
      <w:pPr>
        <w:pStyle w:val="Defstart"/>
      </w:pPr>
      <w:r>
        <w:rPr>
          <w:b/>
        </w:rPr>
        <w:lastRenderedPageBreak/>
        <w:tab/>
      </w:r>
      <w:r>
        <w:rPr>
          <w:rStyle w:val="CharDefText"/>
        </w:rPr>
        <w:t>house</w:t>
      </w:r>
      <w:r>
        <w:t xml:space="preserve">, in relation to the interpretation of the term </w:t>
      </w:r>
      <w:r>
        <w:rPr>
          <w:b/>
          <w:i/>
        </w:rPr>
        <w:t>common gaming house</w:t>
      </w:r>
      <w:r>
        <w:t>, includes any premises;</w:t>
      </w:r>
    </w:p>
    <w:p>
      <w:pPr>
        <w:pStyle w:val="Defstart"/>
      </w:pPr>
      <w:r>
        <w:rPr>
          <w:b/>
        </w:rPr>
        <w:tab/>
      </w:r>
      <w:r>
        <w:rPr>
          <w:rStyle w:val="CharDefText"/>
        </w:rPr>
        <w:t>imposed</w:t>
      </w:r>
      <w:r>
        <w:t>, in relation to a condition, includes implied by or prescribed under this Act;</w:t>
      </w:r>
    </w:p>
    <w:p>
      <w:pPr>
        <w:pStyle w:val="Defstart"/>
      </w:pPr>
      <w:r>
        <w:rPr>
          <w:b/>
        </w:rPr>
        <w:tab/>
      </w:r>
      <w:r>
        <w:rPr>
          <w:rStyle w:val="CharDefText"/>
        </w:rPr>
        <w:t>instruments of gaming</w:t>
      </w:r>
      <w:r>
        <w:t xml:space="preserve"> includes any cards, dice, board, kip, tables, tokens or other thing used in the course and for the purposes of gaming;</w:t>
      </w:r>
    </w:p>
    <w:p>
      <w:pPr>
        <w:pStyle w:val="Defstart"/>
      </w:pPr>
      <w:r>
        <w:rPr>
          <w:b/>
        </w:rPr>
        <w:tab/>
      </w:r>
      <w:r>
        <w:rPr>
          <w:rStyle w:val="CharDefText"/>
        </w:rPr>
        <w:t>licence</w:t>
      </w:r>
      <w:r>
        <w:t xml:space="preserve"> means a licence issued under Part V Division 7;</w:t>
      </w:r>
    </w:p>
    <w:p>
      <w:pPr>
        <w:pStyle w:val="Defstart"/>
      </w:pPr>
      <w:r>
        <w:tab/>
      </w:r>
      <w:r>
        <w:rPr>
          <w:rStyle w:val="CharDefText"/>
        </w:rPr>
        <w:t>licensed supplier</w:t>
      </w:r>
      <w:r>
        <w:t xml:space="preserve"> means a person licensed under Part V Division 7 as a licensed supplier;</w:t>
      </w:r>
    </w:p>
    <w:p>
      <w:pPr>
        <w:pStyle w:val="Defstart"/>
      </w:pPr>
      <w:r>
        <w:rPr>
          <w:b/>
        </w:rPr>
        <w:tab/>
      </w:r>
      <w:r>
        <w:rPr>
          <w:rStyle w:val="CharDefText"/>
        </w:rPr>
        <w:t>lottery</w:t>
      </w:r>
      <w:r>
        <w:t xml:space="preserve"> includes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 and</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 and</w:t>
      </w:r>
    </w:p>
    <w:p>
      <w:pPr>
        <w:pStyle w:val="Defpara"/>
      </w:pPr>
      <w:r>
        <w:tab/>
        <w:t>(b)</w:t>
      </w:r>
      <w:r>
        <w:tab/>
        <w:t>a scheme or device for the disposition of property of the kind commonly known as an art union, raffles, guessing competitions, and the like; and</w:t>
      </w:r>
    </w:p>
    <w:p>
      <w:pPr>
        <w:pStyle w:val="Defpara"/>
      </w:pPr>
      <w:r>
        <w:tab/>
        <w:t>(c)</w:t>
      </w:r>
      <w:r>
        <w:tab/>
        <w:t xml:space="preserve">any disposition of property under any other scheme or competition which the public or any specified section of </w:t>
      </w:r>
      <w:r>
        <w:lastRenderedPageBreak/>
        <w:t>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r>
      <w:r>
        <w:rPr>
          <w:rStyle w:val="CharDefText"/>
        </w:rPr>
        <w:t>machine</w:t>
      </w:r>
      <w:r>
        <w:t xml:space="preserve"> includes a telecommunications device and any other apparatus or device;</w:t>
      </w:r>
    </w:p>
    <w:p>
      <w:pPr>
        <w:pStyle w:val="Defstart"/>
      </w:pPr>
      <w:r>
        <w:rPr>
          <w:b/>
        </w:rPr>
        <w:tab/>
      </w:r>
      <w:r>
        <w:rPr>
          <w:rStyle w:val="CharDefText"/>
        </w:rPr>
        <w:t>minor fund raising activity</w:t>
      </w:r>
      <w:r>
        <w:t xml:space="preserve"> means an activity to which section 108 applies;</w:t>
      </w:r>
    </w:p>
    <w:p>
      <w:pPr>
        <w:pStyle w:val="Defstart"/>
      </w:pPr>
      <w:r>
        <w:rPr>
          <w:b/>
        </w:rPr>
        <w:tab/>
      </w:r>
      <w:r>
        <w:rPr>
          <w:rStyle w:val="CharDefText"/>
        </w:rPr>
        <w:t>money</w:t>
      </w:r>
      <w:r>
        <w:t xml:space="preserve"> includes any bank note, postal note, cheque, credit card, debit card, security or authority for money or the payment of money;</w:t>
      </w:r>
    </w:p>
    <w:p>
      <w:pPr>
        <w:pStyle w:val="Defstart"/>
      </w:pPr>
      <w:r>
        <w:rPr>
          <w:b/>
        </w:rPr>
        <w:tab/>
      </w:r>
      <w:r>
        <w:rPr>
          <w:rStyle w:val="CharDefText"/>
        </w:rPr>
        <w:t>multiple bingo</w:t>
      </w:r>
      <w:r>
        <w:t xml:space="preserve"> means bingo of the kind referred to in section 96(4);</w:t>
      </w:r>
    </w:p>
    <w:p>
      <w:pPr>
        <w:pStyle w:val="Defstart"/>
      </w:pPr>
      <w:r>
        <w:rPr>
          <w:b/>
        </w:rPr>
        <w:tab/>
      </w:r>
      <w:r>
        <w:rPr>
          <w:rStyle w:val="CharDefText"/>
        </w:rPr>
        <w:t>occupier</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r>
      <w:r>
        <w:rPr>
          <w:rStyle w:val="CharDefText"/>
        </w:rPr>
        <w:t>owner</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r>
      <w:r>
        <w:rPr>
          <w:rStyle w:val="CharDefText"/>
        </w:rPr>
        <w:t>permit</w:t>
      </w:r>
      <w:r>
        <w:t xml:space="preserve"> or </w:t>
      </w:r>
      <w:r>
        <w:rPr>
          <w:rStyle w:val="CharDefText"/>
        </w:rPr>
        <w:t>gaming permit</w:t>
      </w:r>
      <w:r>
        <w:t xml:space="preserve"> means a permit issued under this Act;</w:t>
      </w:r>
    </w:p>
    <w:p>
      <w:pPr>
        <w:pStyle w:val="Defstart"/>
      </w:pPr>
      <w:r>
        <w:rPr>
          <w:b/>
        </w:rPr>
        <w:tab/>
      </w:r>
      <w:r>
        <w:rPr>
          <w:rStyle w:val="CharDefText"/>
        </w:rPr>
        <w:t>permit holder</w:t>
      </w:r>
      <w:r>
        <w:t xml:space="preserve"> means a person to whom or which a permit is issued;</w:t>
      </w:r>
    </w:p>
    <w:p>
      <w:pPr>
        <w:pStyle w:val="Defstart"/>
        <w:keepNext/>
      </w:pPr>
      <w:r>
        <w:rPr>
          <w:b/>
        </w:rPr>
        <w:lastRenderedPageBreak/>
        <w:tab/>
      </w:r>
      <w:r>
        <w:rPr>
          <w:rStyle w:val="CharDefText"/>
        </w:rPr>
        <w:t>permitted amusement with prizes</w:t>
      </w:r>
      <w:r>
        <w:t xml:space="preserve"> means an amusement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r>
      <w:r>
        <w:rPr>
          <w:rStyle w:val="CharDefText"/>
        </w:rPr>
        <w:t>permitted bingo</w:t>
      </w:r>
      <w:r>
        <w:t xml:space="preserve"> means bingo conducted under, and which does not contravene, Part V Division 6;</w:t>
      </w:r>
    </w:p>
    <w:p>
      <w:pPr>
        <w:pStyle w:val="Defstart"/>
      </w:pPr>
      <w:r>
        <w:rPr>
          <w:b/>
        </w:rPr>
        <w:tab/>
      </w:r>
      <w:r>
        <w:rPr>
          <w:rStyle w:val="CharDefText"/>
        </w:rPr>
        <w:t>permitted gaming</w:t>
      </w:r>
      <w:r>
        <w:t xml:space="preserve"> means gaming which is conducted under, and in all respects in accordance with, a permit;</w:t>
      </w:r>
    </w:p>
    <w:p>
      <w:pPr>
        <w:pStyle w:val="Defstart"/>
      </w:pPr>
      <w:r>
        <w:rPr>
          <w:b/>
        </w:rPr>
        <w:tab/>
      </w:r>
      <w:r>
        <w:rPr>
          <w:rStyle w:val="CharDefText"/>
        </w:rPr>
        <w:t>permitted lottery</w:t>
      </w:r>
      <w:r>
        <w:t xml:space="preserve"> means a lottery conducted under and which does not contravene Part V Division 7;</w:t>
      </w:r>
    </w:p>
    <w:p>
      <w:pPr>
        <w:pStyle w:val="Defstart"/>
      </w:pPr>
      <w:r>
        <w:rPr>
          <w:b/>
        </w:rPr>
        <w:tab/>
      </w:r>
      <w:r>
        <w:rPr>
          <w:rStyle w:val="CharDefText"/>
        </w:rPr>
        <w:t>permitted two</w:t>
      </w:r>
      <w:r>
        <w:rPr>
          <w:rStyle w:val="CharDefText"/>
        </w:rPr>
        <w:noBreakHyphen/>
        <w:t>up</w:t>
      </w:r>
      <w:r>
        <w:t xml:space="preserve"> means two</w:t>
      </w:r>
      <w:r>
        <w:noBreakHyphen/>
        <w:t>up gaming conducted under, and which does not contravene, Part V Division 4;</w:t>
      </w:r>
    </w:p>
    <w:p>
      <w:pPr>
        <w:pStyle w:val="Defstart"/>
        <w:keepNext/>
      </w:pPr>
      <w:r>
        <w:rPr>
          <w:b/>
        </w:rPr>
        <w:tab/>
      </w:r>
      <w:r>
        <w:rPr>
          <w:rStyle w:val="CharDefText"/>
        </w:rPr>
        <w:t>player</w:t>
      </w:r>
      <w:r>
        <w:t>, in relation to a game of chance, includes any person taking part in the game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r>
      <w:r>
        <w:rPr>
          <w:rStyle w:val="CharDefText"/>
        </w:rPr>
        <w:t>playing</w:t>
      </w:r>
      <w:r>
        <w:t xml:space="preserve"> includes operating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r>
      <w:r>
        <w:rPr>
          <w:rStyle w:val="CharDefText"/>
        </w:rPr>
        <w:t>premises</w:t>
      </w:r>
      <w:r>
        <w:t xml:space="preserve"> means any place, whether or not enclosed or otherwise defined by boundaries, and includes any land, building, structure, vehicle, railway vehicle, vessel, or aircraft, or any part thereof;</w:t>
      </w:r>
    </w:p>
    <w:p>
      <w:pPr>
        <w:pStyle w:val="Defstart"/>
      </w:pPr>
      <w:r>
        <w:rPr>
          <w:b/>
        </w:rPr>
        <w:tab/>
      </w:r>
      <w:r>
        <w:rPr>
          <w:rStyle w:val="CharDefText"/>
        </w:rPr>
        <w:t>public place</w:t>
      </w:r>
      <w:r>
        <w:t xml:space="preserve"> includes the doorways or entrances abutting upon, or any ground adjoining and open to, such a place;</w:t>
      </w:r>
    </w:p>
    <w:p>
      <w:pPr>
        <w:pStyle w:val="Defstart"/>
      </w:pPr>
      <w:r>
        <w:rPr>
          <w:b/>
        </w:rPr>
        <w:lastRenderedPageBreak/>
        <w:tab/>
      </w:r>
      <w:r>
        <w:rPr>
          <w:rStyle w:val="CharDefText"/>
        </w:rPr>
        <w:t>race</w:t>
      </w:r>
      <w:r>
        <w:t xml:space="preserve"> means a race of any kind by horses, whether ridden or driven, or by greyhounds;</w:t>
      </w:r>
    </w:p>
    <w:p>
      <w:pPr>
        <w:pStyle w:val="Defstart"/>
      </w:pPr>
      <w:r>
        <w:rPr>
          <w:b/>
        </w:rPr>
        <w:tab/>
      </w:r>
      <w:r>
        <w:rPr>
          <w:rStyle w:val="CharDefText"/>
        </w:rPr>
        <w:t>race club</w:t>
      </w:r>
      <w:r>
        <w:t xml:space="preserve"> means a body which conducts race meetings;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related furnishings</w:t>
      </w:r>
      <w:r>
        <w:t xml:space="preserve"> means any furniture or furnishings or equipment used in, or ancillary to, the conduct of a common gaming house;</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simultaneous bingo</w:t>
      </w:r>
      <w:r>
        <w:t xml:space="preserve"> means bingo played in the circumstances referred to in section 97(1);</w:t>
      </w:r>
    </w:p>
    <w:p>
      <w:pPr>
        <w:pStyle w:val="Defstart"/>
      </w:pPr>
      <w:r>
        <w:rPr>
          <w:b/>
        </w:rPr>
        <w:tab/>
      </w:r>
      <w:r>
        <w:rPr>
          <w:rStyle w:val="CharDefText"/>
        </w:rPr>
        <w:t>social gambling</w:t>
      </w:r>
      <w:r>
        <w:t xml:space="preserve"> means gambling of a kind which by the operation of Part V Division 2 is to be taken to constitute social gambling;</w:t>
      </w:r>
    </w:p>
    <w:p>
      <w:pPr>
        <w:pStyle w:val="Defstart"/>
      </w:pPr>
      <w:r>
        <w:tab/>
      </w:r>
      <w:r>
        <w:rPr>
          <w:rStyle w:val="CharDefText"/>
        </w:rPr>
        <w:t>telecommunication device</w:t>
      </w:r>
      <w:r>
        <w:t xml:space="preserve"> means — </w:t>
      </w:r>
    </w:p>
    <w:p>
      <w:pPr>
        <w:pStyle w:val="Defpara"/>
      </w:pPr>
      <w:r>
        <w:tab/>
        <w:t>(a)</w:t>
      </w:r>
      <w:r>
        <w:tab/>
        <w:t>a computer adapted for communicating by way of the Internet or another communications network; or</w:t>
      </w:r>
    </w:p>
    <w:p>
      <w:pPr>
        <w:pStyle w:val="Defpara"/>
      </w:pPr>
      <w:r>
        <w:tab/>
        <w:t>(b)</w:t>
      </w:r>
      <w:r>
        <w:tab/>
        <w:t>a television receiver adapted to allow the viewer to transmit information by way of a cable television network or another communications network; or</w:t>
      </w:r>
    </w:p>
    <w:p>
      <w:pPr>
        <w:pStyle w:val="Defpara"/>
      </w:pPr>
      <w:r>
        <w:tab/>
        <w:t>(c)</w:t>
      </w:r>
      <w:r>
        <w:tab/>
        <w:t>a telephone; or</w:t>
      </w:r>
    </w:p>
    <w:p>
      <w:pPr>
        <w:pStyle w:val="Defpara"/>
      </w:pPr>
      <w:r>
        <w:tab/>
        <w:t>(d)</w:t>
      </w:r>
      <w:r>
        <w:tab/>
        <w:t>any other electronic device or thing for communicating at a distance;</w:t>
      </w:r>
    </w:p>
    <w:p>
      <w:pPr>
        <w:pStyle w:val="Defstart"/>
        <w:keepNext/>
      </w:pPr>
      <w:r>
        <w:rPr>
          <w:b/>
        </w:rPr>
        <w:tab/>
      </w:r>
      <w:r>
        <w:rPr>
          <w:rStyle w:val="CharDefText"/>
        </w:rPr>
        <w:t>token</w:t>
      </w:r>
      <w:r>
        <w:t xml:space="preserve"> means a gaming chip or other substitute for money which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lastRenderedPageBreak/>
        <w:tab/>
      </w:r>
      <w:r>
        <w:rPr>
          <w:rStyle w:val="CharDefText"/>
        </w:rPr>
        <w:t>trade promotion lottery</w:t>
      </w:r>
      <w:r>
        <w:t xml:space="preserve"> means a lottery conducted to promote the sale of goods or the use of services, in which every participant takes part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rStyle w:val="CharDefText"/>
        </w:rPr>
        <w:t>two</w:t>
      </w:r>
      <w:r>
        <w:rPr>
          <w:rStyle w:val="CharDefText"/>
        </w:rPr>
        <w:noBreakHyphen/>
        <w:t>up</w:t>
      </w:r>
      <w:r>
        <w:t xml:space="preserve"> means two</w:t>
      </w:r>
      <w:r>
        <w:noBreakHyphen/>
        <w:t>up gaming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r>
      <w:r>
        <w:rPr>
          <w:rStyle w:val="CharDefText"/>
        </w:rPr>
        <w:t>unlawful game</w:t>
      </w:r>
      <w:r>
        <w:t xml:space="preserve"> means a game to which section 42(2) applies;</w:t>
      </w:r>
    </w:p>
    <w:p>
      <w:pPr>
        <w:pStyle w:val="Defstart"/>
      </w:pPr>
      <w:r>
        <w:rPr>
          <w:b/>
        </w:rPr>
        <w:tab/>
      </w:r>
      <w:r>
        <w:rPr>
          <w:rStyle w:val="CharDefText"/>
        </w:rPr>
        <w:t>vehicle</w:t>
      </w:r>
      <w:r>
        <w:t xml:space="preserve"> includes every description of vehicle, whether stationary or in motion;</w:t>
      </w:r>
    </w:p>
    <w:p>
      <w:pPr>
        <w:pStyle w:val="Defstart"/>
      </w:pPr>
      <w:r>
        <w:rPr>
          <w:b/>
        </w:rPr>
        <w:tab/>
      </w:r>
      <w:r>
        <w:rPr>
          <w:rStyle w:val="CharDefText"/>
        </w:rPr>
        <w:t>vessel</w:t>
      </w:r>
      <w:r>
        <w:t xml:space="preserve"> includes every description of craft used in navigation;</w:t>
      </w:r>
    </w:p>
    <w:p>
      <w:pPr>
        <w:pStyle w:val="Defstart"/>
      </w:pPr>
      <w:r>
        <w:rPr>
          <w:b/>
        </w:rPr>
        <w:tab/>
      </w:r>
      <w:r>
        <w:rPr>
          <w:rStyle w:val="CharDefText"/>
        </w:rPr>
        <w:t>wagering</w:t>
      </w:r>
      <w:r>
        <w:t xml:space="preserve"> includes the staking or hazarding of money or other value —</w:t>
      </w:r>
    </w:p>
    <w:p>
      <w:pPr>
        <w:pStyle w:val="Defpara"/>
      </w:pPr>
      <w:r>
        <w:tab/>
        <w:t>(a)</w:t>
      </w:r>
      <w:r>
        <w:tab/>
        <w:t>on some question to be decided; or</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t>and the collection or payment of winnings on a wager;</w:t>
      </w:r>
    </w:p>
    <w:p>
      <w:pPr>
        <w:pStyle w:val="Defstart"/>
      </w:pPr>
      <w:r>
        <w:rPr>
          <w:b/>
        </w:rPr>
        <w:tab/>
      </w:r>
      <w:r>
        <w:rPr>
          <w:rStyle w:val="CharDefText"/>
        </w:rPr>
        <w:t>winnings</w:t>
      </w:r>
      <w:r>
        <w:t xml:space="preserve"> includes any prizes or other winnings of any kind.</w:t>
      </w:r>
    </w:p>
    <w:p>
      <w:pPr>
        <w:pStyle w:val="Subsection"/>
        <w:keepNext/>
        <w:rPr>
          <w:snapToGrid w:val="0"/>
        </w:rPr>
      </w:pPr>
      <w:r>
        <w:rPr>
          <w:snapToGrid w:val="0"/>
        </w:rPr>
        <w:lastRenderedPageBreak/>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For the purposes of this Act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For removal of doubt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[Section 3 amended: No. 16 of 1990 s. 33; No. 14 of 1996 s. 4; No. 24 of 1998 s. 33; No. 6 of 2000 s. 9; No. 35 of 2003 s. 123, 166 and 167; No. 41 of 2018 s. 17.]</w:t>
      </w:r>
    </w:p>
    <w:p>
      <w:pPr>
        <w:pStyle w:val="Heading2"/>
      </w:pPr>
      <w:bookmarkStart w:id="10" w:name="_Toc115166546"/>
      <w:bookmarkStart w:id="11" w:name="_Toc115166703"/>
      <w:bookmarkStart w:id="12" w:name="_Toc115267777"/>
      <w:bookmarkStart w:id="13" w:name="_Toc131666695"/>
      <w:r>
        <w:rPr>
          <w:rStyle w:val="CharPartNo"/>
        </w:rPr>
        <w:lastRenderedPageBreak/>
        <w:t>Part II</w:t>
      </w:r>
      <w:r>
        <w:t> — </w:t>
      </w:r>
      <w:r>
        <w:rPr>
          <w:rStyle w:val="CharPartText"/>
        </w:rPr>
        <w:t>The Commission</w:t>
      </w:r>
      <w:bookmarkEnd w:id="10"/>
      <w:bookmarkEnd w:id="11"/>
      <w:bookmarkEnd w:id="12"/>
      <w:bookmarkEnd w:id="13"/>
    </w:p>
    <w:p>
      <w:pPr>
        <w:pStyle w:val="Heading3"/>
      </w:pPr>
      <w:bookmarkStart w:id="14" w:name="_Toc115166547"/>
      <w:bookmarkStart w:id="15" w:name="_Toc115166704"/>
      <w:bookmarkStart w:id="16" w:name="_Toc115267778"/>
      <w:bookmarkStart w:id="17" w:name="_Toc131666696"/>
      <w:r>
        <w:rPr>
          <w:rStyle w:val="CharDivNo"/>
        </w:rPr>
        <w:t>Division 1</w:t>
      </w:r>
      <w:r>
        <w:rPr>
          <w:snapToGrid w:val="0"/>
        </w:rPr>
        <w:t> — </w:t>
      </w:r>
      <w:r>
        <w:rPr>
          <w:rStyle w:val="CharDivText"/>
        </w:rPr>
        <w:t>Administration</w:t>
      </w:r>
      <w:bookmarkEnd w:id="14"/>
      <w:bookmarkEnd w:id="15"/>
      <w:bookmarkEnd w:id="16"/>
      <w:bookmarkEnd w:id="17"/>
    </w:p>
    <w:p>
      <w:pPr>
        <w:pStyle w:val="Heading5"/>
        <w:rPr>
          <w:snapToGrid w:val="0"/>
        </w:rPr>
      </w:pPr>
      <w:bookmarkStart w:id="18" w:name="_Toc131666697"/>
      <w:r>
        <w:rPr>
          <w:rStyle w:val="CharSectno"/>
        </w:rPr>
        <w:t>4</w:t>
      </w:r>
      <w:r>
        <w:rPr>
          <w:snapToGrid w:val="0"/>
        </w:rPr>
        <w:t>.</w:t>
      </w:r>
      <w:r>
        <w:rPr>
          <w:snapToGrid w:val="0"/>
        </w:rPr>
        <w:tab/>
        <w:t>Gaming and Wagering Commission established</w:t>
      </w:r>
      <w:bookmarkEnd w:id="18"/>
    </w:p>
    <w:p>
      <w:pPr>
        <w:pStyle w:val="Subsection"/>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w:t>
      </w:r>
    </w:p>
    <w:p>
      <w:pPr>
        <w:pStyle w:val="Indenta"/>
        <w:spacing w:before="70"/>
        <w:rPr>
          <w:snapToGrid w:val="0"/>
        </w:rPr>
      </w:pPr>
      <w:r>
        <w:rPr>
          <w:snapToGrid w:val="0"/>
        </w:rPr>
        <w:tab/>
        <w:t>(a)</w:t>
      </w:r>
      <w:r>
        <w:rPr>
          <w:snapToGrid w:val="0"/>
        </w:rPr>
        <w:tab/>
        <w:t>is a corporate body which under its corporate name —</w:t>
      </w:r>
    </w:p>
    <w:p>
      <w:pPr>
        <w:pStyle w:val="Indenti"/>
        <w:spacing w:before="70"/>
        <w:rPr>
          <w:snapToGrid w:val="0"/>
        </w:rPr>
      </w:pPr>
      <w:r>
        <w:rPr>
          <w:snapToGrid w:val="0"/>
        </w:rPr>
        <w:tab/>
        <w:t>(i)</w:t>
      </w:r>
      <w:r>
        <w:rPr>
          <w:snapToGrid w:val="0"/>
        </w:rPr>
        <w:tab/>
        <w:t>has perpetual succession; and</w:t>
      </w:r>
    </w:p>
    <w:p>
      <w:pPr>
        <w:pStyle w:val="Indenti"/>
        <w:spacing w:before="70"/>
        <w:rPr>
          <w:snapToGrid w:val="0"/>
        </w:rPr>
      </w:pPr>
      <w:r>
        <w:rPr>
          <w:snapToGrid w:val="0"/>
        </w:rPr>
        <w:tab/>
        <w:t>(ii)</w:t>
      </w:r>
      <w:r>
        <w:rPr>
          <w:snapToGrid w:val="0"/>
        </w:rPr>
        <w:tab/>
        <w:t>is capable, subject to this Act, of doing and suffering all that bodies corporate may lawfully do or suffer;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may have a common seal, which shall —</w:t>
      </w:r>
    </w:p>
    <w:p>
      <w:pPr>
        <w:pStyle w:val="Indenti"/>
        <w:spacing w:before="70"/>
        <w:rPr>
          <w:snapToGrid w:val="0"/>
        </w:rPr>
      </w:pPr>
      <w:r>
        <w:rPr>
          <w:snapToGrid w:val="0"/>
        </w:rPr>
        <w:tab/>
        <w:t>(i)</w:t>
      </w:r>
      <w:r>
        <w:rPr>
          <w:snapToGrid w:val="0"/>
        </w:rPr>
        <w:tab/>
        <w:t>be kept in such custody as the Commission directs; and</w:t>
      </w:r>
    </w:p>
    <w:p>
      <w:pPr>
        <w:pStyle w:val="Indenti"/>
        <w:spacing w:before="70"/>
        <w:rPr>
          <w:snapToGrid w:val="0"/>
        </w:rPr>
      </w:pPr>
      <w:r>
        <w:rPr>
          <w:snapToGrid w:val="0"/>
        </w:rPr>
        <w:tab/>
        <w:t>(ii)</w:t>
      </w:r>
      <w:r>
        <w:rPr>
          <w:snapToGrid w:val="0"/>
        </w:rPr>
        <w:tab/>
        <w:t>be used only as authorised by the Commission;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shall be constituted in accordance with section 12.</w:t>
      </w:r>
    </w:p>
    <w:p>
      <w:pPr>
        <w:pStyle w:val="Footnotesection"/>
      </w:pPr>
      <w:r>
        <w:tab/>
        <w:t>[Section 4 amended: No. 35 of 2003 s. 124.]</w:t>
      </w:r>
    </w:p>
    <w:p>
      <w:pPr>
        <w:pStyle w:val="Heading5"/>
        <w:spacing w:before="160"/>
        <w:rPr>
          <w:snapToGrid w:val="0"/>
        </w:rPr>
      </w:pPr>
      <w:bookmarkStart w:id="19" w:name="_Toc131666698"/>
      <w:r>
        <w:rPr>
          <w:rStyle w:val="CharSectno"/>
        </w:rPr>
        <w:t>5</w:t>
      </w:r>
      <w:r>
        <w:rPr>
          <w:snapToGrid w:val="0"/>
        </w:rPr>
        <w:t>.</w:t>
      </w:r>
      <w:r>
        <w:rPr>
          <w:snapToGrid w:val="0"/>
        </w:rPr>
        <w:tab/>
        <w:t>Trading name or symbol, use of by Commission</w:t>
      </w:r>
      <w:bookmarkEnd w:id="19"/>
    </w:p>
    <w:p>
      <w:pPr>
        <w:pStyle w:val="Subsection"/>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rPr>
          <w:snapToGrid w:val="0"/>
        </w:rPr>
      </w:pPr>
      <w:bookmarkStart w:id="20" w:name="_Toc131666699"/>
      <w:r>
        <w:rPr>
          <w:rStyle w:val="CharSectno"/>
        </w:rPr>
        <w:t>6</w:t>
      </w:r>
      <w:r>
        <w:rPr>
          <w:snapToGrid w:val="0"/>
        </w:rPr>
        <w:t>.</w:t>
      </w:r>
      <w:r>
        <w:rPr>
          <w:snapToGrid w:val="0"/>
        </w:rPr>
        <w:tab/>
        <w:t>Minister and Commission, relationship between</w:t>
      </w:r>
      <w:bookmarkEnd w:id="20"/>
      <w:r>
        <w:rPr>
          <w:snapToGrid w:val="0"/>
        </w:rPr>
        <w:t xml:space="preserve"> </w:t>
      </w:r>
    </w:p>
    <w:p>
      <w:pPr>
        <w:pStyle w:val="Subsection"/>
        <w:rPr>
          <w:snapToGrid w:val="0"/>
        </w:rPr>
      </w:pPr>
      <w:r>
        <w:rPr>
          <w:snapToGrid w:val="0"/>
        </w:rPr>
        <w:tab/>
        <w:t>(1)</w:t>
      </w:r>
      <w:r>
        <w:rPr>
          <w:snapToGrid w:val="0"/>
        </w:rPr>
        <w:tab/>
        <w:t>Subject to the Minister, it shall be the function of the Commission to carry out the administration of this Act.</w:t>
      </w:r>
    </w:p>
    <w:p>
      <w:pPr>
        <w:pStyle w:val="Subsection"/>
        <w:rPr>
          <w:snapToGrid w:val="0"/>
        </w:rPr>
      </w:pPr>
      <w:r>
        <w:rPr>
          <w:snapToGrid w:val="0"/>
        </w:rPr>
        <w:lastRenderedPageBreak/>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 xml:space="preserve">Where the Minister has referred a question or matter to the Commission for advice, the Minister may act notwithstanding that the advice has not been </w:t>
      </w:r>
      <w:r>
        <w:t>received.</w:t>
      </w:r>
    </w:p>
    <w:p>
      <w:pPr>
        <w:pStyle w:val="Subsection"/>
      </w:pPr>
      <w:r>
        <w:tab/>
        <w:t>(3A)</w:t>
      </w:r>
      <w:r>
        <w:tab/>
        <w:t>Where advice (including recommendations) is received from the Commission, whether or not at the request or direction of the Minister,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[Section 6 amended: No. 16 of 1990 s. 33; No. 35 of 2003 s. 125 and 166; No. 32 of 2022 s. 10.]</w:t>
      </w:r>
    </w:p>
    <w:p>
      <w:pPr>
        <w:pStyle w:val="Heading3"/>
      </w:pPr>
      <w:bookmarkStart w:id="21" w:name="_Toc115166551"/>
      <w:bookmarkStart w:id="22" w:name="_Toc115166708"/>
      <w:bookmarkStart w:id="23" w:name="_Toc115267782"/>
      <w:bookmarkStart w:id="24" w:name="_Toc131666700"/>
      <w:r>
        <w:rPr>
          <w:rStyle w:val="CharDivNo"/>
        </w:rPr>
        <w:t>Division 2</w:t>
      </w:r>
      <w:r>
        <w:rPr>
          <w:snapToGrid w:val="0"/>
        </w:rPr>
        <w:t> — </w:t>
      </w:r>
      <w:r>
        <w:rPr>
          <w:rStyle w:val="CharDivText"/>
        </w:rPr>
        <w:t>Duties and powers</w:t>
      </w:r>
      <w:bookmarkEnd w:id="21"/>
      <w:bookmarkEnd w:id="22"/>
      <w:bookmarkEnd w:id="23"/>
      <w:bookmarkEnd w:id="24"/>
    </w:p>
    <w:p>
      <w:pPr>
        <w:pStyle w:val="Heading5"/>
        <w:rPr>
          <w:snapToGrid w:val="0"/>
        </w:rPr>
      </w:pPr>
      <w:bookmarkStart w:id="25" w:name="_Toc131666701"/>
      <w:r>
        <w:rPr>
          <w:rStyle w:val="CharSectno"/>
        </w:rPr>
        <w:t>7</w:t>
      </w:r>
      <w:r>
        <w:rPr>
          <w:snapToGrid w:val="0"/>
        </w:rPr>
        <w:t>.</w:t>
      </w:r>
      <w:r>
        <w:rPr>
          <w:snapToGrid w:val="0"/>
        </w:rPr>
        <w:tab/>
        <w:t>Duties of Commission</w:t>
      </w:r>
      <w:bookmarkEnd w:id="25"/>
    </w:p>
    <w:p>
      <w:pPr>
        <w:pStyle w:val="Subsection"/>
        <w:rPr>
          <w:snapToGrid w:val="0"/>
        </w:rPr>
      </w:pPr>
      <w:r>
        <w:rPr>
          <w:snapToGrid w:val="0"/>
        </w:rPr>
        <w:tab/>
        <w:t>(1)</w:t>
      </w:r>
      <w:r>
        <w:rPr>
          <w:snapToGrid w:val="0"/>
        </w:rPr>
        <w:tab/>
        <w:t>It shall be the duty of the Commission —</w:t>
      </w:r>
    </w:p>
    <w:p>
      <w:pPr>
        <w:pStyle w:val="Indenta"/>
        <w:rPr>
          <w:snapToGrid w:val="0"/>
        </w:rPr>
      </w:pPr>
      <w:r>
        <w:rPr>
          <w:snapToGrid w:val="0"/>
        </w:rPr>
        <w:tab/>
        <w:t>(a)</w:t>
      </w:r>
      <w:r>
        <w:rPr>
          <w:snapToGrid w:val="0"/>
        </w:rPr>
        <w:tab/>
        <w:t>to administer the law relating to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r>
      <w:r>
        <w:tab/>
        <w:t>and</w:t>
      </w:r>
    </w:p>
    <w:p>
      <w:pPr>
        <w:pStyle w:val="Indenta"/>
        <w:keepNext/>
      </w:pPr>
      <w:r>
        <w:lastRenderedPageBreak/>
        <w:tab/>
        <w:t>(b)</w:t>
      </w:r>
      <w:r>
        <w:tab/>
        <w:t>to keep under review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r>
      <w:r>
        <w:tab/>
        <w:t>and</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 and</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 and</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 and</w:t>
      </w:r>
    </w:p>
    <w:p>
      <w:pPr>
        <w:pStyle w:val="Indenta"/>
      </w:pPr>
      <w:r>
        <w:tab/>
        <w:t>(da)</w:t>
      </w:r>
      <w:r>
        <w:tab/>
        <w:t>to perform the functions of the Commission prescribed by or under the RWWA Act and to administer all matters relating to those functions; and</w:t>
      </w:r>
    </w:p>
    <w:p>
      <w:pPr>
        <w:pStyle w:val="Indenta"/>
      </w:pPr>
      <w:r>
        <w:tab/>
        <w:t>(e)</w:t>
      </w:r>
      <w:r>
        <w:tab/>
        <w:t>to cause licences, permits, approvals, authorisations and certificates, as appropriate, to be issued in relation to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r>
      <w:r>
        <w:tab/>
        <w:t>and</w:t>
      </w:r>
    </w:p>
    <w:p>
      <w:pPr>
        <w:pStyle w:val="Ednotepara"/>
      </w:pPr>
      <w:r>
        <w:lastRenderedPageBreak/>
        <w:tab/>
        <w:t>[(ea)</w:t>
      </w:r>
      <w:r>
        <w:tab/>
        <w:t>deleted]</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 and</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 and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No. 35 of 2003 s. 126 and 166; No. 77 of 2006 s. 4; No. 37 of 2018 s. 64.]</w:t>
      </w:r>
    </w:p>
    <w:p>
      <w:pPr>
        <w:pStyle w:val="Heading5"/>
        <w:rPr>
          <w:snapToGrid w:val="0"/>
        </w:rPr>
      </w:pPr>
      <w:bookmarkStart w:id="26" w:name="_Toc131666702"/>
      <w:r>
        <w:rPr>
          <w:rStyle w:val="CharSectno"/>
        </w:rPr>
        <w:t>8</w:t>
      </w:r>
      <w:r>
        <w:rPr>
          <w:snapToGrid w:val="0"/>
        </w:rPr>
        <w:t>.</w:t>
      </w:r>
      <w:r>
        <w:rPr>
          <w:snapToGrid w:val="0"/>
        </w:rPr>
        <w:tab/>
        <w:t>Powers of Commission</w:t>
      </w:r>
      <w:bookmarkEnd w:id="26"/>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keepNext/>
        <w:keepLines/>
        <w:rPr>
          <w:snapToGrid w:val="0"/>
        </w:rPr>
      </w:pPr>
      <w:r>
        <w:rPr>
          <w:snapToGrid w:val="0"/>
        </w:rPr>
        <w:tab/>
        <w:t>(2)</w:t>
      </w:r>
      <w:r>
        <w:rPr>
          <w:snapToGrid w:val="0"/>
        </w:rPr>
        <w:tab/>
        <w:t>Without derogating from the generality of subsection (1), the Commission may —</w:t>
      </w:r>
    </w:p>
    <w:p>
      <w:pPr>
        <w:pStyle w:val="Indenta"/>
        <w:keepLines/>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 and</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r>
        <w:rPr>
          <w:snapToGrid w:val="0"/>
        </w:rPr>
        <w:t xml:space="preserve"> and</w:t>
      </w:r>
    </w:p>
    <w:p>
      <w:pPr>
        <w:pStyle w:val="Indenta"/>
      </w:pPr>
      <w:r>
        <w:lastRenderedPageBreak/>
        <w:tab/>
        <w:t>(c)</w:t>
      </w:r>
      <w:r>
        <w:tab/>
        <w:t>formulate and impose prohibitions or conditions to be applicable to, or in relation to —</w:t>
      </w:r>
    </w:p>
    <w:p>
      <w:pPr>
        <w:pStyle w:val="Indenti"/>
      </w:pPr>
      <w:r>
        <w:tab/>
        <w:t>(i)</w:t>
      </w:r>
      <w:r>
        <w:tab/>
        <w:t>the conduct of gambling;</w:t>
      </w:r>
      <w:r>
        <w:rPr>
          <w:snapToGrid w:val="0"/>
        </w:rPr>
        <w:t xml:space="preserve"> and</w:t>
      </w:r>
    </w:p>
    <w:p>
      <w:pPr>
        <w:pStyle w:val="Indenti"/>
      </w:pPr>
      <w:r>
        <w:tab/>
        <w:t>(ii)</w:t>
      </w:r>
      <w:r>
        <w:tab/>
        <w:t>the types of wagering which may or may not be conducted;</w:t>
      </w:r>
      <w:r>
        <w:rPr>
          <w:snapToGrid w:val="0"/>
        </w:rPr>
        <w:t xml:space="preserve"> and</w:t>
      </w:r>
    </w:p>
    <w:p>
      <w:pPr>
        <w:pStyle w:val="Indenti"/>
      </w:pPr>
      <w:r>
        <w:tab/>
        <w:t>(iii)</w:t>
      </w:r>
      <w:r>
        <w:tab/>
        <w:t>the games which may or may not be played; and</w:t>
      </w:r>
    </w:p>
    <w:p>
      <w:pPr>
        <w:pStyle w:val="Indenti"/>
      </w:pPr>
      <w:r>
        <w:tab/>
        <w:t>(iiia)</w:t>
      </w:r>
      <w:r>
        <w:tab/>
        <w:t>the advertising of live odds during events, whether generally or by specific classes of persons or in a specified manner or place; and</w:t>
      </w:r>
    </w:p>
    <w:p>
      <w:pPr>
        <w:pStyle w:val="Indenti"/>
      </w:pPr>
      <w:r>
        <w:tab/>
        <w:t>(iv)</w:t>
      </w:r>
      <w:r>
        <w:tab/>
        <w:t>the rules under which wagering is to be conducted and games are to be played;</w:t>
      </w:r>
    </w:p>
    <w:p>
      <w:pPr>
        <w:pStyle w:val="Indenta"/>
      </w:pPr>
      <w:r>
        <w:tab/>
      </w:r>
      <w:r>
        <w:tab/>
        <w:t>and</w:t>
      </w:r>
    </w:p>
    <w:p>
      <w:pPr>
        <w:pStyle w:val="Indenta"/>
      </w:pPr>
      <w:r>
        <w:tab/>
        <w:t>(d)</w:t>
      </w:r>
      <w:r>
        <w:tab/>
        <w:t>grant or issue and amend or revoke —</w:t>
      </w:r>
    </w:p>
    <w:p>
      <w:pPr>
        <w:pStyle w:val="Indenti"/>
      </w:pPr>
      <w:r>
        <w:tab/>
        <w:t>(i)</w:t>
      </w:r>
      <w:r>
        <w:tab/>
        <w:t>approvals, permits, certificates and authorisations relating to gambling and the use of premises for gambling;</w:t>
      </w:r>
      <w:r>
        <w:rPr>
          <w:snapToGrid w:val="0"/>
        </w:rPr>
        <w:t xml:space="preserve"> and</w:t>
      </w:r>
    </w:p>
    <w:p>
      <w:pPr>
        <w:pStyle w:val="Indenti"/>
      </w:pPr>
      <w:r>
        <w:tab/>
        <w:t>(ia)</w:t>
      </w:r>
      <w:r>
        <w:tab/>
        <w:t xml:space="preserve">approvals of associates of wagering licensees under the </w:t>
      </w:r>
      <w:r>
        <w:rPr>
          <w:i/>
        </w:rPr>
        <w:t>Betting Control Act 1954</w:t>
      </w:r>
      <w:r>
        <w:t xml:space="preserve"> section 10X; and</w:t>
      </w:r>
    </w:p>
    <w:p>
      <w:pPr>
        <w:pStyle w:val="Indenti"/>
      </w:pPr>
      <w:r>
        <w:tab/>
        <w:t>(ib)</w:t>
      </w:r>
      <w:r>
        <w:tab/>
        <w:t xml:space="preserve">licences of key employees of wagering licensees under regulations made under the </w:t>
      </w:r>
      <w:r>
        <w:rPr>
          <w:i/>
        </w:rPr>
        <w:t>Betting Control Act 1954</w:t>
      </w:r>
      <w:r>
        <w:t xml:space="preserve"> section 8; and</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r>
        <w:rPr>
          <w:snapToGrid w:val="0"/>
        </w:rPr>
        <w:t xml:space="preserve"> and</w:t>
      </w:r>
    </w:p>
    <w:p>
      <w:pPr>
        <w:pStyle w:val="Indenti"/>
      </w:pPr>
      <w:r>
        <w:tab/>
        <w:t>(iv)</w:t>
      </w:r>
      <w:r>
        <w:tab/>
        <w:t>subject to the RWWA Act, licences under that Act relating to directors and key employees;</w:t>
      </w:r>
    </w:p>
    <w:p>
      <w:pPr>
        <w:pStyle w:val="Indenta"/>
      </w:pPr>
      <w:r>
        <w:tab/>
      </w:r>
      <w:r>
        <w:tab/>
        <w:t>and</w:t>
      </w:r>
    </w:p>
    <w:p>
      <w:pPr>
        <w:pStyle w:val="Indenta"/>
      </w:pPr>
      <w:r>
        <w:tab/>
        <w:t>(da)</w:t>
      </w:r>
      <w:r>
        <w:tab/>
        <w:t>take steps to minimise harm to the community, or any part of the community, caused by gambling;</w:t>
      </w:r>
      <w:r>
        <w:rPr>
          <w:snapToGrid w:val="0"/>
        </w:rPr>
        <w:t xml:space="preserve"> and</w:t>
      </w:r>
    </w:p>
    <w:p>
      <w:pPr>
        <w:pStyle w:val="Indenta"/>
        <w:rPr>
          <w:snapToGrid w:val="0"/>
        </w:rPr>
      </w:pPr>
      <w:r>
        <w:rPr>
          <w:snapToGrid w:val="0"/>
        </w:rPr>
        <w:lastRenderedPageBreak/>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No. 35 of 2003 s. 127 and 166; No. 8 of 2009 s. 63; No. 41 of 2018 s. 18; No. 21 of 2019 s. 89.]</w:t>
      </w:r>
    </w:p>
    <w:p>
      <w:pPr>
        <w:pStyle w:val="Heading3"/>
        <w:spacing w:before="220"/>
      </w:pPr>
      <w:bookmarkStart w:id="27" w:name="_Toc115166554"/>
      <w:bookmarkStart w:id="28" w:name="_Toc115166711"/>
      <w:bookmarkStart w:id="29" w:name="_Toc115267785"/>
      <w:bookmarkStart w:id="30" w:name="_Toc131666703"/>
      <w:r>
        <w:rPr>
          <w:rStyle w:val="CharDivNo"/>
        </w:rPr>
        <w:t>Division 3</w:t>
      </w:r>
      <w:r>
        <w:rPr>
          <w:snapToGrid w:val="0"/>
        </w:rPr>
        <w:t> — </w:t>
      </w:r>
      <w:r>
        <w:rPr>
          <w:rStyle w:val="CharDivText"/>
        </w:rPr>
        <w:t>Finance</w:t>
      </w:r>
      <w:bookmarkEnd w:id="27"/>
      <w:bookmarkEnd w:id="28"/>
      <w:bookmarkEnd w:id="29"/>
      <w:bookmarkEnd w:id="30"/>
    </w:p>
    <w:p>
      <w:pPr>
        <w:pStyle w:val="Heading5"/>
        <w:rPr>
          <w:snapToGrid w:val="0"/>
        </w:rPr>
      </w:pPr>
      <w:bookmarkStart w:id="31" w:name="_Toc131666704"/>
      <w:r>
        <w:rPr>
          <w:rStyle w:val="CharSectno"/>
        </w:rPr>
        <w:t>9</w:t>
      </w:r>
      <w:r>
        <w:rPr>
          <w:snapToGrid w:val="0"/>
        </w:rPr>
        <w:t>.</w:t>
      </w:r>
      <w:r>
        <w:rPr>
          <w:snapToGrid w:val="0"/>
        </w:rPr>
        <w:tab/>
        <w:t>Funds of Commission; financial provisions</w:t>
      </w:r>
      <w:bookmarkEnd w:id="31"/>
    </w:p>
    <w:p>
      <w:pPr>
        <w:pStyle w:val="Subsection"/>
        <w:rPr>
          <w:snapToGrid w:val="0"/>
        </w:rPr>
      </w:pPr>
      <w:r>
        <w:rPr>
          <w:snapToGrid w:val="0"/>
        </w:rPr>
        <w:tab/>
        <w:t>(1)</w:t>
      </w:r>
      <w:r>
        <w:rPr>
          <w:snapToGrid w:val="0"/>
        </w:rPr>
        <w:tab/>
        <w:t>The funds available to the Commission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keepNext/>
        <w:spacing w:before="120"/>
      </w:pPr>
      <w:r>
        <w:tab/>
        <w:t>(2)</w:t>
      </w:r>
      <w:r>
        <w:tab/>
        <w:t>An account called the Gaming and Wagering Commission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r>
      <w:r>
        <w:tab/>
        <w:t>to which the moneys received by the Commission are to be credited.</w:t>
      </w:r>
    </w:p>
    <w:p>
      <w:pPr>
        <w:pStyle w:val="Ednotesubsection"/>
      </w:pPr>
      <w:r>
        <w:lastRenderedPageBreak/>
        <w:tab/>
        <w:t>[(2a)</w:t>
      </w:r>
      <w:r>
        <w:tab/>
        <w:t>deleted]</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w:t>
      </w:r>
    </w:p>
    <w:p>
      <w:pPr>
        <w:pStyle w:val="Indenta"/>
        <w:spacing w:before="60"/>
        <w:rPr>
          <w:snapToGrid w:val="0"/>
        </w:rPr>
      </w:pPr>
      <w:r>
        <w:rPr>
          <w:snapToGrid w:val="0"/>
        </w:rPr>
        <w:tab/>
        <w:t>(a)</w:t>
      </w:r>
      <w:r>
        <w:rPr>
          <w:snapToGrid w:val="0"/>
        </w:rPr>
        <w:tab/>
        <w:t>be controlled by the Commission; and</w:t>
      </w:r>
    </w:p>
    <w:p>
      <w:pPr>
        <w:pStyle w:val="Indenta"/>
        <w:spacing w:before="60"/>
        <w:rPr>
          <w:snapToGrid w:val="0"/>
        </w:rPr>
      </w:pPr>
      <w:r>
        <w:rPr>
          <w:snapToGrid w:val="0"/>
        </w:rPr>
        <w:tab/>
        <w:t>(b)</w:t>
      </w:r>
      <w:r>
        <w:rPr>
          <w:snapToGrid w:val="0"/>
        </w:rPr>
        <w:tab/>
        <w:t>be operated in such manner as the Treasurer approves from time to time; and</w:t>
      </w:r>
    </w:p>
    <w:p>
      <w:pPr>
        <w:pStyle w:val="Indenta"/>
        <w:spacing w:before="60"/>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rPr>
          <w:snapToGrid w:val="0"/>
        </w:rPr>
      </w:pPr>
      <w:r>
        <w:rPr>
          <w:snapToGrid w:val="0"/>
        </w:rPr>
        <w:tab/>
      </w:r>
      <w:r>
        <w:rPr>
          <w:snapToGrid w:val="0"/>
        </w:rPr>
        <w:tab/>
        <w:t>and all expenditure incurred by the Commission shall be drawn from that Account.</w:t>
      </w:r>
    </w:p>
    <w:p>
      <w:pPr>
        <w:pStyle w:val="Subsection"/>
        <w:rPr>
          <w:snapToGrid w:val="0"/>
        </w:rPr>
      </w:pPr>
      <w:r>
        <w:rPr>
          <w:snapToGrid w:val="0"/>
        </w:rPr>
        <w:tab/>
        <w:t>(4)</w:t>
      </w:r>
      <w:r>
        <w:rPr>
          <w:snapToGrid w:val="0"/>
        </w:rPr>
        <w:tab/>
        <w:t>There shall be paid from the moneys from time to time credited to or placed to the credit of the Account —</w:t>
      </w:r>
    </w:p>
    <w:p>
      <w:pPr>
        <w:pStyle w:val="Indenta"/>
        <w:spacing w:before="60"/>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 and</w:t>
      </w:r>
    </w:p>
    <w:p>
      <w:pPr>
        <w:pStyle w:val="Indenta"/>
        <w:spacing w:before="60"/>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Account.</w:t>
      </w:r>
    </w:p>
    <w:p>
      <w:pPr>
        <w:pStyle w:val="Subsection"/>
        <w:rPr>
          <w:snapToGrid w:val="0"/>
        </w:rPr>
      </w:pPr>
      <w:r>
        <w:rPr>
          <w:snapToGrid w:val="0"/>
        </w:rPr>
        <w:tab/>
        <w:t>(5)</w:t>
      </w:r>
      <w:r>
        <w:rPr>
          <w:snapToGrid w:val="0"/>
        </w:rPr>
        <w:tab/>
        <w:t>The Commission shall pay to the Treasurer such amounts, if any, as are fixed by the Treasurer —</w:t>
      </w:r>
    </w:p>
    <w:p>
      <w:pPr>
        <w:pStyle w:val="Indenta"/>
        <w:rPr>
          <w:snapToGrid w:val="0"/>
        </w:rPr>
      </w:pPr>
      <w:r>
        <w:rPr>
          <w:snapToGrid w:val="0"/>
        </w:rPr>
        <w:tab/>
        <w:t>(a)</w:t>
      </w:r>
      <w:r>
        <w:rPr>
          <w:snapToGrid w:val="0"/>
        </w:rPr>
        <w:tab/>
        <w:t>as the interest and sinking fund contributions for each financial year in respect of such proportion of the Consolidated Account as is, or has been, applied for any purpose to which the function of the Commission relates; and</w:t>
      </w:r>
    </w:p>
    <w:p>
      <w:pPr>
        <w:pStyle w:val="Indenta"/>
        <w:keepNext/>
        <w:keepLines/>
        <w:rPr>
          <w:snapToGrid w:val="0"/>
        </w:rPr>
      </w:pPr>
      <w:r>
        <w:rPr>
          <w:snapToGrid w:val="0"/>
        </w:rPr>
        <w:lastRenderedPageBreak/>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ind w:left="890" w:hanging="890"/>
      </w:pPr>
      <w:r>
        <w:tab/>
        <w:t>[Section 9 amended: No. 6 of 1993 s. 11 and 15; No. 49 of 1996 s. 55 and 64; No. 24 of 1998 s. 34(1) and (2); No. 35 of 2003 s. 128 and 166; No. 28 of 2006 s. 402; No. 77 of 2006 s. 4 and Sch. 1 cl. 71(1); No. 37 of 2018 s. 65.]</w:t>
      </w:r>
    </w:p>
    <w:p>
      <w:pPr>
        <w:pStyle w:val="Heading5"/>
        <w:rPr>
          <w:snapToGrid w:val="0"/>
        </w:rPr>
      </w:pPr>
      <w:bookmarkStart w:id="32" w:name="_Toc131666705"/>
      <w:r>
        <w:rPr>
          <w:rStyle w:val="CharSectno"/>
        </w:rPr>
        <w:t>10</w:t>
      </w:r>
      <w:r>
        <w:rPr>
          <w:snapToGrid w:val="0"/>
        </w:rPr>
        <w:t>.</w:t>
      </w:r>
      <w:r>
        <w:rPr>
          <w:snapToGrid w:val="0"/>
        </w:rPr>
        <w:tab/>
      </w:r>
      <w:r>
        <w:rPr>
          <w:i/>
          <w:iCs/>
        </w:rPr>
        <w:t>Financial Management Act 2006</w:t>
      </w:r>
      <w:r>
        <w:t xml:space="preserve"> and </w:t>
      </w:r>
      <w:r>
        <w:rPr>
          <w:i/>
          <w:iCs/>
        </w:rPr>
        <w:t>Auditor General Act 2006</w:t>
      </w:r>
      <w:r>
        <w:rPr>
          <w:iCs/>
        </w:rPr>
        <w:t xml:space="preserve"> apply to Commission</w:t>
      </w:r>
      <w:bookmarkEnd w:id="3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10 amended: No. 77 of 2006 Sch. 1 cl. 71(2).]</w:t>
      </w:r>
    </w:p>
    <w:p>
      <w:pPr>
        <w:pStyle w:val="Heading5"/>
        <w:rPr>
          <w:snapToGrid w:val="0"/>
        </w:rPr>
      </w:pPr>
      <w:bookmarkStart w:id="33" w:name="_Toc131666706"/>
      <w:r>
        <w:rPr>
          <w:rStyle w:val="CharSectno"/>
        </w:rPr>
        <w:t>11</w:t>
      </w:r>
      <w:r>
        <w:rPr>
          <w:snapToGrid w:val="0"/>
        </w:rPr>
        <w:t>.</w:t>
      </w:r>
      <w:r>
        <w:rPr>
          <w:snapToGrid w:val="0"/>
        </w:rPr>
        <w:tab/>
        <w:t>Some dealings by Commission need Treasurer’s approval</w:t>
      </w:r>
      <w:bookmarkEnd w:id="33"/>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pPr>
      <w:bookmarkStart w:id="34" w:name="_Toc115166558"/>
      <w:bookmarkStart w:id="35" w:name="_Toc115166715"/>
      <w:bookmarkStart w:id="36" w:name="_Toc115267789"/>
      <w:bookmarkStart w:id="37" w:name="_Toc131666707"/>
      <w:r>
        <w:rPr>
          <w:rStyle w:val="CharDivNo"/>
        </w:rPr>
        <w:lastRenderedPageBreak/>
        <w:t>Division 4</w:t>
      </w:r>
      <w:r>
        <w:rPr>
          <w:snapToGrid w:val="0"/>
        </w:rPr>
        <w:t> — </w:t>
      </w:r>
      <w:r>
        <w:rPr>
          <w:rStyle w:val="CharDivText"/>
        </w:rPr>
        <w:t>Membership, co</w:t>
      </w:r>
      <w:r>
        <w:rPr>
          <w:rStyle w:val="CharDivText"/>
        </w:rPr>
        <w:noBreakHyphen/>
        <w:t>option, consultation and committees</w:t>
      </w:r>
      <w:bookmarkEnd w:id="34"/>
      <w:bookmarkEnd w:id="35"/>
      <w:bookmarkEnd w:id="36"/>
      <w:bookmarkEnd w:id="37"/>
    </w:p>
    <w:p>
      <w:pPr>
        <w:pStyle w:val="Heading5"/>
        <w:rPr>
          <w:snapToGrid w:val="0"/>
        </w:rPr>
      </w:pPr>
      <w:bookmarkStart w:id="38" w:name="_Toc131666708"/>
      <w:r>
        <w:rPr>
          <w:rStyle w:val="CharSectno"/>
        </w:rPr>
        <w:t>12</w:t>
      </w:r>
      <w:r>
        <w:rPr>
          <w:snapToGrid w:val="0"/>
        </w:rPr>
        <w:t>.</w:t>
      </w:r>
      <w:r>
        <w:rPr>
          <w:snapToGrid w:val="0"/>
        </w:rPr>
        <w:tab/>
        <w:t>Members of Commission, attendance at meetings etc.</w:t>
      </w:r>
      <w:bookmarkEnd w:id="38"/>
    </w:p>
    <w:p>
      <w:pPr>
        <w:pStyle w:val="Subsection"/>
      </w:pPr>
      <w:r>
        <w:tab/>
        <w:t>(1)</w:t>
      </w:r>
      <w:r>
        <w:tab/>
        <w:t>The membership of the Commission shall comprise —</w:t>
      </w:r>
    </w:p>
    <w:p>
      <w:pPr>
        <w:pStyle w:val="Indenta"/>
      </w:pPr>
      <w:r>
        <w:tab/>
        <w:t>(a)</w:t>
      </w:r>
      <w:r>
        <w:tab/>
        <w:t>the chairperson, appointed by the Minister; and</w:t>
      </w:r>
    </w:p>
    <w:p>
      <w:pPr>
        <w:pStyle w:val="Indenta"/>
      </w:pPr>
      <w:r>
        <w:tab/>
        <w:t>(b)</w:t>
      </w:r>
      <w:r>
        <w:tab/>
        <w:t>not less than 5, nor more than 7, other members, appointed by the Minister,</w:t>
      </w:r>
    </w:p>
    <w:p>
      <w:pPr>
        <w:pStyle w:val="Subsection"/>
      </w:pPr>
      <w:r>
        <w:tab/>
      </w:r>
      <w:r>
        <w:tab/>
        <w:t xml:space="preserve">and the Minister shall cause notice of the appointments to be published in the </w:t>
      </w:r>
      <w:r>
        <w:rPr>
          <w:i/>
        </w:rPr>
        <w:t>Gazette</w:t>
      </w:r>
      <w:r>
        <w:t>.</w:t>
      </w:r>
    </w:p>
    <w:p>
      <w:pPr>
        <w:pStyle w:val="Subsection"/>
      </w:pPr>
      <w:r>
        <w:tab/>
        <w:t>(2)</w:t>
      </w:r>
      <w:r>
        <w:tab/>
        <w:t>Members appointed under subsection (1) shall be persons who, in the opinion of the Minister, are persons of integrity, good repute and relevant experience.</w:t>
      </w:r>
    </w:p>
    <w:p>
      <w:pPr>
        <w:pStyle w:val="Subsection"/>
      </w:pPr>
      <w:r>
        <w:tab/>
        <w:t>(2A)</w:t>
      </w:r>
      <w:r>
        <w:tab/>
        <w:t>The members of the Commission must select one of their number to be the deputy chairperson.</w:t>
      </w:r>
    </w:p>
    <w:p>
      <w:pPr>
        <w:pStyle w:val="Subsection"/>
      </w:pPr>
      <w:r>
        <w:tab/>
        <w:t>(2B)</w:t>
      </w:r>
      <w:r>
        <w:tab/>
        <w:t>If the chairperson is unable to act because of absence or incapacity, or the office of chairperson is vacant, the deputy chairperson must act in the chairperson’s place.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w:t>
      </w:r>
    </w:p>
    <w:p>
      <w:pPr>
        <w:pStyle w:val="Ednotepara"/>
        <w:spacing w:before="8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xml:space="preserve">, the person appointed under this subsection is entitled to attend any meeting of the Commission at which the member to whom that person is </w:t>
      </w:r>
      <w:r>
        <w:rPr>
          <w:snapToGrid w:val="0"/>
        </w:rPr>
        <w:lastRenderedPageBreak/>
        <w:t>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xml:space="preserve">, and of </w:t>
      </w:r>
      <w:r>
        <w:t>the deputy</w:t>
      </w:r>
      <w:r>
        <w:rPr>
          <w:snapToGrid w:val="0"/>
        </w:rPr>
        <w:t xml:space="preserve"> </w:t>
      </w:r>
      <w:r>
        <w:t>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pPr>
      <w:r>
        <w:tab/>
        <w:t>(5A)</w:t>
      </w:r>
      <w:r>
        <w:tab/>
        <w:t>Subject to this Act, the chairperson holds office for the period, not exceeding 5 years, specified in their instrument of appointment, and is eligible for reappointment.</w:t>
      </w:r>
    </w:p>
    <w:p>
      <w:pPr>
        <w:pStyle w:val="Subsection"/>
        <w:rPr>
          <w:snapToGrid w:val="0"/>
        </w:rPr>
      </w:pPr>
      <w:r>
        <w:rPr>
          <w:snapToGrid w:val="0"/>
        </w:rPr>
        <w:tab/>
        <w:t>(6)</w:t>
      </w:r>
      <w:r>
        <w:rPr>
          <w:snapToGrid w:val="0"/>
        </w:rPr>
        <w:tab/>
        <w:t xml:space="preserve">Subject to this Act, a member </w:t>
      </w:r>
      <w:r>
        <w:t xml:space="preserve">appointed under subsection (1)(b) holds </w:t>
      </w:r>
      <w:r>
        <w:rPr>
          <w:snapToGrid w:val="0"/>
        </w:rPr>
        <w:t>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 xml:space="preserve">If at any time </w:t>
      </w:r>
      <w:r>
        <w:t xml:space="preserve">a member appointed under subsection (1)(b) </w:t>
      </w:r>
      <w:r>
        <w:rPr>
          <w:snapToGrid w:val="0"/>
        </w:rPr>
        <w:t>ceases to hold office, a person who is at that time the deputy of that member shall until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 xml:space="preserve">both a member </w:t>
      </w:r>
      <w:r>
        <w:t xml:space="preserve">appointed under subsection (1)(b) </w:t>
      </w:r>
      <w:r>
        <w:rPr>
          <w:snapToGrid w:val="0"/>
        </w:rPr>
        <w:t>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lastRenderedPageBreak/>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pPr>
      <w:r>
        <w:tab/>
        <w:t>(10)</w:t>
      </w:r>
      <w:r>
        <w:tab/>
        <w:t>An act or omission of a person acting in place of another under this section cannot be questioned on the ground that the occasion for acting had not arisen or had ceased.</w:t>
      </w:r>
    </w:p>
    <w:p>
      <w:pPr>
        <w:pStyle w:val="Subsection"/>
        <w:keepNext/>
        <w:rPr>
          <w:snapToGrid w:val="0"/>
        </w:rPr>
      </w:pPr>
      <w:r>
        <w:rPr>
          <w:snapToGrid w:val="0"/>
        </w:rPr>
        <w:tab/>
        <w:t>(11)</w:t>
      </w:r>
      <w:r>
        <w:rPr>
          <w:snapToGrid w:val="0"/>
        </w:rPr>
        <w:tab/>
        <w:t>If a member of the Commission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lastRenderedPageBreak/>
        <w:tab/>
        <w:t>(13)</w:t>
      </w:r>
      <w:r>
        <w:rPr>
          <w:snapToGrid w:val="0"/>
        </w:rPr>
        <w:tab/>
        <w:t>A person who is or has been a member is not personally liable for any act done or omitted to be done in good faith by the Commission or by that person in acting as a member.</w:t>
      </w:r>
    </w:p>
    <w:p>
      <w:pPr>
        <w:pStyle w:val="Subsection"/>
      </w:pPr>
      <w:r>
        <w:tab/>
        <w:t>(14)</w:t>
      </w:r>
      <w:r>
        <w:tab/>
        <w:t xml:space="preserve">Until a person is appointed to the office of chairperson under subsection (1), as amended by the </w:t>
      </w:r>
      <w:r>
        <w:rPr>
          <w:i/>
        </w:rPr>
        <w:t>Casino Legislation Amendment (Burswood Casino) Act 2022</w:t>
      </w:r>
      <w:r>
        <w:t xml:space="preserve"> section 11, the chief executive officer of the Department is, ex officio, the chairperson of the Commission.</w:t>
      </w:r>
    </w:p>
    <w:p>
      <w:pPr>
        <w:pStyle w:val="Footnotesection"/>
      </w:pPr>
      <w:r>
        <w:tab/>
        <w:t>[Section 12 amended: No. 16 of 1990 s. 33; No. 24 of 1998 s. 35; No. 10 of 2001 s. 85; No. 35 of 2003 s. 129 and 168; No. 25 of 2014 s. 62; No. 32 of 2022 s. 11.]</w:t>
      </w:r>
    </w:p>
    <w:p>
      <w:pPr>
        <w:pStyle w:val="Heading5"/>
        <w:rPr>
          <w:snapToGrid w:val="0"/>
        </w:rPr>
      </w:pPr>
      <w:bookmarkStart w:id="39" w:name="_Toc131666709"/>
      <w:r>
        <w:rPr>
          <w:rStyle w:val="CharSectno"/>
        </w:rPr>
        <w:t>13</w:t>
      </w:r>
      <w:r>
        <w:rPr>
          <w:snapToGrid w:val="0"/>
        </w:rPr>
        <w:t>.</w:t>
      </w:r>
      <w:r>
        <w:rPr>
          <w:snapToGrid w:val="0"/>
        </w:rPr>
        <w:tab/>
        <w:t>Remuneration of members; effect of service with Commission on public servants</w:t>
      </w:r>
      <w:bookmarkEnd w:id="39"/>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w:t>
      </w:r>
      <w:r>
        <w:t xml:space="preserve"> Public Sector Commissioner</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xml:space="preserve">, or any other Act applying to persons as officers of the Public Service of the State, applicable to that person, or affect or prejudice the application to that person of those provisions if </w:t>
      </w:r>
      <w:r>
        <w:rPr>
          <w:snapToGrid w:val="0"/>
        </w:rPr>
        <w:lastRenderedPageBreak/>
        <w:t>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[Section 13 amended: No. 32 of 1994 s. 19; No. 24 of 1998 s. 36; No. 39 of 2010 s. 89.]</w:t>
      </w:r>
    </w:p>
    <w:p>
      <w:pPr>
        <w:pStyle w:val="Heading5"/>
        <w:rPr>
          <w:snapToGrid w:val="0"/>
        </w:rPr>
      </w:pPr>
      <w:bookmarkStart w:id="40" w:name="_Toc131666710"/>
      <w:r>
        <w:rPr>
          <w:rStyle w:val="CharSectno"/>
        </w:rPr>
        <w:t>14</w:t>
      </w:r>
      <w:r>
        <w:rPr>
          <w:snapToGrid w:val="0"/>
        </w:rPr>
        <w:t>.</w:t>
      </w:r>
      <w:r>
        <w:rPr>
          <w:snapToGrid w:val="0"/>
        </w:rPr>
        <w:tab/>
        <w:t>Co</w:t>
      </w:r>
      <w:r>
        <w:rPr>
          <w:snapToGrid w:val="0"/>
        </w:rPr>
        <w:noBreakHyphen/>
        <w:t>option, consultation etc., Commission’s powers as to</w:t>
      </w:r>
      <w:bookmarkEnd w:id="40"/>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41" w:name="_Toc131666711"/>
      <w:r>
        <w:rPr>
          <w:rStyle w:val="CharSectno"/>
        </w:rPr>
        <w:t>15</w:t>
      </w:r>
      <w:r>
        <w:rPr>
          <w:snapToGrid w:val="0"/>
        </w:rPr>
        <w:t>.</w:t>
      </w:r>
      <w:r>
        <w:rPr>
          <w:snapToGrid w:val="0"/>
        </w:rPr>
        <w:tab/>
        <w:t>Committees, appointment of etc.</w:t>
      </w:r>
      <w:bookmarkEnd w:id="41"/>
    </w:p>
    <w:p>
      <w:pPr>
        <w:pStyle w:val="Subsection"/>
        <w:spacing w:before="130"/>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spacing w:before="130"/>
        <w:rPr>
          <w:snapToGrid w:val="0"/>
        </w:rPr>
      </w:pPr>
      <w:r>
        <w:rPr>
          <w:snapToGrid w:val="0"/>
        </w:rPr>
        <w:lastRenderedPageBreak/>
        <w:tab/>
        <w:t>(2)</w:t>
      </w:r>
      <w:r>
        <w:rPr>
          <w:snapToGrid w:val="0"/>
        </w:rPr>
        <w:tab/>
        <w:t>The carrying out of any duty or the exercise of any power by a committee of the Commission does not relieve the Commission of the responsibility for the decisions of that committee.</w:t>
      </w:r>
    </w:p>
    <w:p>
      <w:pPr>
        <w:pStyle w:val="Subsection"/>
        <w:spacing w:before="130"/>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spacing w:before="130"/>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spacing w:before="80"/>
        <w:ind w:left="890" w:hanging="890"/>
      </w:pPr>
      <w:r>
        <w:tab/>
        <w:t>[Section 15 amended: No. 35 of 2003 s. 130.]</w:t>
      </w:r>
    </w:p>
    <w:p>
      <w:pPr>
        <w:pStyle w:val="Heading5"/>
        <w:spacing w:before="200"/>
        <w:rPr>
          <w:snapToGrid w:val="0"/>
        </w:rPr>
      </w:pPr>
      <w:bookmarkStart w:id="42" w:name="_Toc131666712"/>
      <w:r>
        <w:rPr>
          <w:rStyle w:val="CharSectno"/>
        </w:rPr>
        <w:t>16</w:t>
      </w:r>
      <w:r>
        <w:rPr>
          <w:snapToGrid w:val="0"/>
        </w:rPr>
        <w:t>.</w:t>
      </w:r>
      <w:r>
        <w:rPr>
          <w:snapToGrid w:val="0"/>
        </w:rPr>
        <w:tab/>
        <w:t>Delegation powers</w:t>
      </w:r>
      <w:bookmarkEnd w:id="42"/>
    </w:p>
    <w:p>
      <w:pPr>
        <w:pStyle w:val="Subsection"/>
        <w:spacing w:before="140"/>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w:t>
      </w:r>
    </w:p>
    <w:p>
      <w:pPr>
        <w:pStyle w:val="Indenta"/>
        <w:spacing w:before="60"/>
        <w:rPr>
          <w:snapToGrid w:val="0"/>
        </w:rPr>
      </w:pPr>
      <w:r>
        <w:rPr>
          <w:snapToGrid w:val="0"/>
        </w:rPr>
        <w:tab/>
        <w:t>(a)</w:t>
      </w:r>
      <w:r>
        <w:rPr>
          <w:snapToGrid w:val="0"/>
        </w:rPr>
        <w:tab/>
        <w:t>a member or a committee of the Commission; or</w:t>
      </w:r>
    </w:p>
    <w:p>
      <w:pPr>
        <w:pStyle w:val="Indenta"/>
        <w:spacing w:before="60"/>
        <w:rPr>
          <w:snapToGrid w:val="0"/>
        </w:rPr>
      </w:pPr>
      <w:r>
        <w:rPr>
          <w:snapToGrid w:val="0"/>
        </w:rPr>
        <w:tab/>
        <w:t>(b)</w:t>
      </w:r>
      <w:r>
        <w:rPr>
          <w:snapToGrid w:val="0"/>
        </w:rPr>
        <w:tab/>
        <w:t>the Chief Casino Officer, or a government inspector; or</w:t>
      </w:r>
    </w:p>
    <w:p>
      <w:pPr>
        <w:pStyle w:val="Indenta"/>
        <w:spacing w:before="60"/>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spacing w:before="120"/>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lastRenderedPageBreak/>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government inspector</w:t>
      </w:r>
      <w:r>
        <w:t xml:space="preserve"> and </w:t>
      </w:r>
      <w:r>
        <w:rPr>
          <w:rStyle w:val="CharDefText"/>
        </w:rPr>
        <w:t>Chief Casino Officer</w:t>
      </w:r>
      <w:r>
        <w:t xml:space="preserve"> have the meanings given in the </w:t>
      </w:r>
      <w:r>
        <w:rPr>
          <w:i/>
        </w:rPr>
        <w:t>Casino Control Act 1984</w:t>
      </w:r>
      <w:r>
        <w:t>.</w:t>
      </w:r>
    </w:p>
    <w:p>
      <w:pPr>
        <w:pStyle w:val="Footnotesection"/>
      </w:pPr>
      <w:r>
        <w:tab/>
        <w:t>[Section 16 amended: No. 24 of 1998 s. 37; No. 35 of 2003 s. 131.]</w:t>
      </w:r>
    </w:p>
    <w:p>
      <w:pPr>
        <w:pStyle w:val="Heading3"/>
      </w:pPr>
      <w:bookmarkStart w:id="43" w:name="_Toc115166564"/>
      <w:bookmarkStart w:id="44" w:name="_Toc115166721"/>
      <w:bookmarkStart w:id="45" w:name="_Toc115267795"/>
      <w:bookmarkStart w:id="46" w:name="_Toc131666713"/>
      <w:r>
        <w:rPr>
          <w:rStyle w:val="CharDivNo"/>
        </w:rPr>
        <w:t>Division 5</w:t>
      </w:r>
      <w:r>
        <w:rPr>
          <w:snapToGrid w:val="0"/>
        </w:rPr>
        <w:t> — </w:t>
      </w:r>
      <w:r>
        <w:rPr>
          <w:rStyle w:val="CharDivText"/>
        </w:rPr>
        <w:t>Proceedings</w:t>
      </w:r>
      <w:bookmarkEnd w:id="43"/>
      <w:bookmarkEnd w:id="44"/>
      <w:bookmarkEnd w:id="45"/>
      <w:bookmarkEnd w:id="46"/>
    </w:p>
    <w:p>
      <w:pPr>
        <w:pStyle w:val="Heading5"/>
        <w:rPr>
          <w:snapToGrid w:val="0"/>
        </w:rPr>
      </w:pPr>
      <w:bookmarkStart w:id="47" w:name="_Toc131666714"/>
      <w:r>
        <w:rPr>
          <w:rStyle w:val="CharSectno"/>
        </w:rPr>
        <w:t>17</w:t>
      </w:r>
      <w:r>
        <w:rPr>
          <w:snapToGrid w:val="0"/>
        </w:rPr>
        <w:t>.</w:t>
      </w:r>
      <w:r>
        <w:rPr>
          <w:snapToGrid w:val="0"/>
        </w:rPr>
        <w:tab/>
        <w:t>Proceedings, meetings, declaring interests etc.</w:t>
      </w:r>
      <w:bookmarkEnd w:id="47"/>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lastRenderedPageBreak/>
        <w:tab/>
        <w:t>(5)</w:t>
      </w:r>
      <w:r>
        <w:rPr>
          <w:snapToGrid w:val="0"/>
        </w:rPr>
        <w:tab/>
        <w:t>A member who has a direct or indirect pecuniary interest in a matter referred to the Commission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No. 35 of 2003 s. 168.]</w:t>
      </w:r>
    </w:p>
    <w:p>
      <w:pPr>
        <w:pStyle w:val="Heading3"/>
      </w:pPr>
      <w:bookmarkStart w:id="48" w:name="_Toc115166566"/>
      <w:bookmarkStart w:id="49" w:name="_Toc115166723"/>
      <w:bookmarkStart w:id="50" w:name="_Toc115267797"/>
      <w:bookmarkStart w:id="51" w:name="_Toc131666715"/>
      <w:r>
        <w:rPr>
          <w:rStyle w:val="CharDivNo"/>
        </w:rPr>
        <w:t>Division 6</w:t>
      </w:r>
      <w:r>
        <w:rPr>
          <w:snapToGrid w:val="0"/>
        </w:rPr>
        <w:t> — </w:t>
      </w:r>
      <w:r>
        <w:rPr>
          <w:rStyle w:val="CharDivText"/>
        </w:rPr>
        <w:t>Staff, etc.</w:t>
      </w:r>
      <w:bookmarkEnd w:id="48"/>
      <w:bookmarkEnd w:id="49"/>
      <w:bookmarkEnd w:id="50"/>
      <w:bookmarkEnd w:id="51"/>
    </w:p>
    <w:p>
      <w:pPr>
        <w:pStyle w:val="Heading5"/>
        <w:rPr>
          <w:snapToGrid w:val="0"/>
        </w:rPr>
      </w:pPr>
      <w:bookmarkStart w:id="52" w:name="_Toc131666716"/>
      <w:r>
        <w:rPr>
          <w:rStyle w:val="CharSectno"/>
        </w:rPr>
        <w:t>18</w:t>
      </w:r>
      <w:r>
        <w:rPr>
          <w:snapToGrid w:val="0"/>
        </w:rPr>
        <w:t>.</w:t>
      </w:r>
      <w:r>
        <w:rPr>
          <w:snapToGrid w:val="0"/>
        </w:rPr>
        <w:tab/>
        <w:t>Staff, contractors etc.; Commission may ask Commissioner of Police to inquire etc. into various matters</w:t>
      </w:r>
      <w:bookmarkEnd w:id="52"/>
    </w:p>
    <w:p>
      <w:pPr>
        <w:pStyle w:val="Subsection"/>
      </w:pPr>
      <w:r>
        <w:tab/>
        <w:t>(1)</w:t>
      </w:r>
      <w:r>
        <w:tab/>
        <w:t>The Commission may by arrangement with the relevant employing authority make use, either full</w:t>
      </w:r>
      <w:r>
        <w:noBreakHyphen/>
        <w:t>time or part</w:t>
      </w:r>
      <w:r>
        <w:noBreakHyphen/>
        <w:t>time, of the services of any officer or employee —</w:t>
      </w:r>
    </w:p>
    <w:p>
      <w:pPr>
        <w:pStyle w:val="Indenta"/>
      </w:pPr>
      <w:r>
        <w:tab/>
        <w:t>(a)</w:t>
      </w:r>
      <w:r>
        <w:tab/>
        <w:t>in the Public Service; or</w:t>
      </w:r>
    </w:p>
    <w:p>
      <w:pPr>
        <w:pStyle w:val="Indenta"/>
      </w:pPr>
      <w:r>
        <w:lastRenderedPageBreak/>
        <w:tab/>
        <w:t>(b)</w:t>
      </w:r>
      <w:r>
        <w:tab/>
        <w:t>in a State agency or instrumentality; or</w:t>
      </w:r>
    </w:p>
    <w:p>
      <w:pPr>
        <w:pStyle w:val="Indenta"/>
      </w:pPr>
      <w:r>
        <w:tab/>
        <w:t>(c)</w:t>
      </w:r>
      <w:r>
        <w:tab/>
        <w:t>otherwise in the service of the Crown in right of the State.</w:t>
      </w:r>
    </w:p>
    <w:p>
      <w:pPr>
        <w:pStyle w:val="Subsection"/>
      </w:pPr>
      <w:r>
        <w:tab/>
        <w:t>(1a)</w:t>
      </w:r>
      <w:r>
        <w:tab/>
        <w:t>The Commission may by arrangement with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In subsections (1) and (1a) —</w:t>
      </w:r>
    </w:p>
    <w:p>
      <w:pPr>
        <w:pStyle w:val="Defstart"/>
      </w:pPr>
      <w:r>
        <w:rPr>
          <w:b/>
        </w:rPr>
        <w:tab/>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meanings as they have in that Act.</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w:t>
      </w:r>
    </w:p>
    <w:p>
      <w:pPr>
        <w:pStyle w:val="Indenta"/>
        <w:spacing w:before="76"/>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xml:space="preserve">, the </w:t>
      </w:r>
      <w:r>
        <w:lastRenderedPageBreak/>
        <w:t>RWWA Act or any other</w:t>
      </w:r>
      <w:r>
        <w:rPr>
          <w:snapToGrid w:val="0"/>
        </w:rPr>
        <w:t xml:space="preserve"> written law that relates to</w:t>
      </w:r>
      <w:r>
        <w:t xml:space="preserve"> gambling</w:t>
      </w:r>
      <w:r>
        <w:rPr>
          <w:snapToGrid w:val="0"/>
        </w:rPr>
        <w:t>; and</w:t>
      </w:r>
    </w:p>
    <w:p>
      <w:pPr>
        <w:pStyle w:val="Indenta"/>
        <w:spacing w:before="76"/>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 and</w:t>
      </w:r>
    </w:p>
    <w:p>
      <w:pPr>
        <w:pStyle w:val="Indenta"/>
        <w:keepNext/>
        <w:keepLines/>
        <w:spacing w:before="76"/>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 and</w:t>
      </w:r>
    </w:p>
    <w:p>
      <w:pPr>
        <w:pStyle w:val="Indenta"/>
        <w:spacing w:before="76"/>
      </w:pPr>
      <w:r>
        <w:tab/>
        <w:t>(ca)</w:t>
      </w:r>
      <w:r>
        <w:tab/>
        <w:t>the suitability of —</w:t>
      </w:r>
    </w:p>
    <w:p>
      <w:pPr>
        <w:pStyle w:val="Indenti"/>
        <w:spacing w:before="76"/>
      </w:pPr>
      <w:r>
        <w:tab/>
        <w:t>(i)</w:t>
      </w:r>
      <w:r>
        <w:tab/>
        <w:t xml:space="preserve">such a person to conduct, or to be concerned in the conduct of, wagering under the </w:t>
      </w:r>
      <w:r>
        <w:rPr>
          <w:i/>
        </w:rPr>
        <w:t>Betting Control Act 1954</w:t>
      </w:r>
      <w:r>
        <w:t xml:space="preserve"> or the RWWA Act; or</w:t>
      </w:r>
    </w:p>
    <w:p>
      <w:pPr>
        <w:pStyle w:val="Indenti"/>
        <w:spacing w:before="76"/>
      </w:pPr>
      <w:r>
        <w:tab/>
        <w:t>(ii)</w:t>
      </w:r>
      <w:r>
        <w:tab/>
        <w:t>any individual appointed on behalf of such a person, whether as a nominee or otherwise; or</w:t>
      </w:r>
    </w:p>
    <w:p>
      <w:pPr>
        <w:pStyle w:val="Indenti"/>
        <w:spacing w:before="76"/>
      </w:pPr>
      <w:r>
        <w:tab/>
        <w:t>(iii)</w:t>
      </w:r>
      <w:r>
        <w:tab/>
        <w:t>a person for whom another acts, whether as a nominee or otherwise;</w:t>
      </w:r>
    </w:p>
    <w:p>
      <w:pPr>
        <w:pStyle w:val="Indenta"/>
        <w:spacing w:before="76"/>
      </w:pPr>
      <w:r>
        <w:tab/>
      </w:r>
      <w:r>
        <w:tab/>
        <w:t>and</w:t>
      </w:r>
    </w:p>
    <w:p>
      <w:pPr>
        <w:pStyle w:val="Indenta"/>
        <w:spacing w:before="76"/>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 and</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w:t>
      </w:r>
      <w:r>
        <w:rPr>
          <w:snapToGrid w:val="0"/>
        </w:rPr>
        <w:lastRenderedPageBreak/>
        <w:t xml:space="preserve">used in connection with </w:t>
      </w:r>
      <w:r>
        <w:t>gambling</w:t>
      </w:r>
      <w:r>
        <w:rPr>
          <w:snapToGrid w:val="0"/>
        </w:rPr>
        <w:t xml:space="preserve"> or suspected</w:t>
      </w:r>
      <w:r>
        <w:t xml:space="preserve"> gambling</w:t>
      </w:r>
      <w:r>
        <w:rPr>
          <w:snapToGrid w:val="0"/>
        </w:rPr>
        <w:t>, or intended to be so used; and</w:t>
      </w:r>
    </w:p>
    <w:p>
      <w:pPr>
        <w:pStyle w:val="Indenta"/>
        <w:rPr>
          <w:snapToGrid w:val="0"/>
        </w:rPr>
      </w:pPr>
      <w:r>
        <w:rPr>
          <w:snapToGrid w:val="0"/>
        </w:rPr>
        <w:tab/>
        <w:t>(e)</w:t>
      </w:r>
      <w:r>
        <w:rPr>
          <w:snapToGrid w:val="0"/>
        </w:rPr>
        <w:tab/>
        <w:t>any matter concerning a licensed casino; and</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[Section 18 amended: No. 32 of 1994 s. 19; No. 24 of 1998 s. 38; No. 35 of 2003 s. 132 and 166.]</w:t>
      </w:r>
    </w:p>
    <w:p>
      <w:pPr>
        <w:pStyle w:val="Heading5"/>
        <w:spacing w:before="160"/>
        <w:rPr>
          <w:snapToGrid w:val="0"/>
        </w:rPr>
      </w:pPr>
      <w:bookmarkStart w:id="53" w:name="_Toc131666717"/>
      <w:r>
        <w:rPr>
          <w:rStyle w:val="CharSectno"/>
        </w:rPr>
        <w:t>19</w:t>
      </w:r>
      <w:r>
        <w:rPr>
          <w:snapToGrid w:val="0"/>
        </w:rPr>
        <w:t>.</w:t>
      </w:r>
      <w:r>
        <w:rPr>
          <w:snapToGrid w:val="0"/>
        </w:rPr>
        <w:tab/>
        <w:t>Government departments, statutory bodies etc. to assist Commission</w:t>
      </w:r>
      <w:bookmarkEnd w:id="53"/>
    </w:p>
    <w:p>
      <w:pPr>
        <w:pStyle w:val="Subsection"/>
        <w:spacing w:before="100"/>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spacing w:before="100"/>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spacing w:before="100"/>
        <w:ind w:left="890" w:hanging="890"/>
      </w:pPr>
      <w:r>
        <w:tab/>
        <w:t>[Section 19 amended: No. 32 of 1994 s. 19; No. 14 of 1996 s. 4; No. 35 of 2003 s. 133.]</w:t>
      </w:r>
    </w:p>
    <w:p>
      <w:pPr>
        <w:pStyle w:val="Heading5"/>
        <w:spacing w:before="180"/>
        <w:rPr>
          <w:snapToGrid w:val="0"/>
        </w:rPr>
      </w:pPr>
      <w:bookmarkStart w:id="54" w:name="_Toc131666718"/>
      <w:r>
        <w:rPr>
          <w:rStyle w:val="CharSectno"/>
        </w:rPr>
        <w:lastRenderedPageBreak/>
        <w:t>20</w:t>
      </w:r>
      <w:r>
        <w:rPr>
          <w:snapToGrid w:val="0"/>
        </w:rPr>
        <w:t>.</w:t>
      </w:r>
      <w:r>
        <w:rPr>
          <w:snapToGrid w:val="0"/>
        </w:rPr>
        <w:tab/>
        <w:t>Reports, effect of and privilege attached to; official information, disclosure of etc.</w:t>
      </w:r>
      <w:bookmarkEnd w:id="54"/>
    </w:p>
    <w:p>
      <w:pPr>
        <w:pStyle w:val="Subsection"/>
        <w:spacing w:before="120"/>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spacing w:before="120"/>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spacing w:before="100"/>
        <w:rPr>
          <w:snapToGrid w:val="0"/>
        </w:rPr>
      </w:pPr>
      <w:r>
        <w:rPr>
          <w:snapToGrid w:val="0"/>
        </w:rPr>
        <w:tab/>
      </w:r>
      <w:r>
        <w:rPr>
          <w:snapToGrid w:val="0"/>
        </w:rPr>
        <w:tab/>
        <w:t>unless the Commission or a judge otherwise directs.</w:t>
      </w:r>
    </w:p>
    <w:p>
      <w:pPr>
        <w:pStyle w:val="Subsection"/>
        <w:spacing w:before="120"/>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for this subsection: a fine of $2 500.</w:t>
      </w:r>
    </w:p>
    <w:p>
      <w:pPr>
        <w:pStyle w:val="Footnotesection"/>
        <w:spacing w:before="100"/>
        <w:ind w:left="890" w:hanging="890"/>
      </w:pPr>
      <w:r>
        <w:tab/>
        <w:t>[Section 20 amended: No. 35 of 2003 s. 134 and 166; No. 50 of 2003 s. 66(2); No. 41 of 2018 s. 25(1).]</w:t>
      </w:r>
    </w:p>
    <w:p>
      <w:pPr>
        <w:pStyle w:val="Heading3"/>
      </w:pPr>
      <w:bookmarkStart w:id="55" w:name="_Toc115166570"/>
      <w:bookmarkStart w:id="56" w:name="_Toc115166727"/>
      <w:bookmarkStart w:id="57" w:name="_Toc115267801"/>
      <w:bookmarkStart w:id="58" w:name="_Toc131666719"/>
      <w:r>
        <w:rPr>
          <w:rStyle w:val="CharDivNo"/>
        </w:rPr>
        <w:lastRenderedPageBreak/>
        <w:t>Division 7</w:t>
      </w:r>
      <w:r>
        <w:t> — </w:t>
      </w:r>
      <w:r>
        <w:rPr>
          <w:rStyle w:val="CharDivText"/>
        </w:rPr>
        <w:t>Confidential police information</w:t>
      </w:r>
      <w:bookmarkEnd w:id="55"/>
      <w:bookmarkEnd w:id="56"/>
      <w:bookmarkEnd w:id="57"/>
      <w:bookmarkEnd w:id="58"/>
    </w:p>
    <w:p>
      <w:pPr>
        <w:pStyle w:val="Footnoteheading"/>
        <w:keepNext/>
      </w:pPr>
      <w:r>
        <w:tab/>
        <w:t>[Heading inserted: No. 73 of 2006 s. 113.]</w:t>
      </w:r>
    </w:p>
    <w:p>
      <w:pPr>
        <w:pStyle w:val="Heading5"/>
      </w:pPr>
      <w:bookmarkStart w:id="59" w:name="_Toc131666720"/>
      <w:r>
        <w:rPr>
          <w:rStyle w:val="CharSectno"/>
        </w:rPr>
        <w:t>20A</w:t>
      </w:r>
      <w:r>
        <w:t>.</w:t>
      </w:r>
      <w:r>
        <w:tab/>
        <w:t>Certain information provided by police to be kept confidential</w:t>
      </w:r>
      <w:bookmarkEnd w:id="59"/>
    </w:p>
    <w:p>
      <w:pPr>
        <w:pStyle w:val="Subsection"/>
      </w:pPr>
      <w:r>
        <w:tab/>
        <w:t>(1)</w:t>
      </w:r>
      <w:r>
        <w:tab/>
        <w:t xml:space="preserve">In this </w:t>
      </w:r>
      <w:r>
        <w:rPr>
          <w:snapToGrid w:val="0"/>
        </w:rPr>
        <w:t>section</w:t>
      </w:r>
      <w:r>
        <w:t> —</w:t>
      </w:r>
    </w:p>
    <w:p>
      <w:pPr>
        <w:pStyle w:val="Defstart"/>
        <w:spacing w:before="70"/>
      </w:pPr>
      <w:r>
        <w:rPr>
          <w:b/>
        </w:rPr>
        <w:tab/>
      </w:r>
      <w:r>
        <w:rPr>
          <w:rStyle w:val="CharDefText"/>
        </w:rPr>
        <w:t>confidential police information</w:t>
      </w:r>
      <w:r>
        <w:t xml:space="preserve"> means any information or document classified as confidential under subsection (2);</w:t>
      </w:r>
    </w:p>
    <w:p>
      <w:pPr>
        <w:pStyle w:val="Defstart"/>
        <w:spacing w:before="70"/>
      </w:pPr>
      <w:r>
        <w:rPr>
          <w:b/>
        </w:rPr>
        <w:tab/>
      </w:r>
      <w:r>
        <w:rPr>
          <w:rStyle w:val="CharDefText"/>
        </w:rPr>
        <w:t>relevant Act</w:t>
      </w:r>
      <w:r>
        <w:t xml:space="preserve"> means this Act, the </w:t>
      </w:r>
      <w:r>
        <w:rPr>
          <w:i/>
          <w:iCs/>
        </w:rPr>
        <w:t>Betting Control Act 1954</w:t>
      </w:r>
      <w:r>
        <w:t xml:space="preserve">, the RWWA Act or the </w:t>
      </w:r>
      <w:r>
        <w:rPr>
          <w:i/>
          <w:iCs/>
        </w:rPr>
        <w:t>Casino Control Act 1984</w:t>
      </w:r>
      <w:r>
        <w:t>.</w:t>
      </w:r>
    </w:p>
    <w:p>
      <w:pPr>
        <w:pStyle w:val="Subsection"/>
      </w:pPr>
      <w:r>
        <w:tab/>
        <w:t>(2)</w:t>
      </w:r>
      <w:r>
        <w:tab/>
        <w:t xml:space="preserve">For the </w:t>
      </w:r>
      <w:r>
        <w:rPr>
          <w:snapToGrid w:val="0"/>
        </w:rPr>
        <w:t>purposes</w:t>
      </w:r>
      <w:r>
        <w:t xml:space="preserve"> of this section, the Commissioner of Police may classify as confidential any information or document that is —</w:t>
      </w:r>
    </w:p>
    <w:p>
      <w:pPr>
        <w:pStyle w:val="Indenta"/>
        <w:spacing w:before="60"/>
      </w:pPr>
      <w:r>
        <w:tab/>
        <w:t>(a)</w:t>
      </w:r>
      <w:r>
        <w:tab/>
        <w:t>provided by the Commissioner of Police to the Commission as a report, or part of a report, under section 18(4); or</w:t>
      </w:r>
    </w:p>
    <w:p>
      <w:pPr>
        <w:pStyle w:val="Indenta"/>
        <w:spacing w:before="60"/>
      </w:pPr>
      <w:r>
        <w:tab/>
        <w:t>(b)</w:t>
      </w:r>
      <w:r>
        <w:tab/>
        <w:t>otherwise provided by the Commissioner of Police to the Commission for the purposes of a relevant Act.</w:t>
      </w:r>
    </w:p>
    <w:p>
      <w:pPr>
        <w:pStyle w:val="Subsection"/>
      </w:pPr>
      <w:r>
        <w:tab/>
        <w:t>(3)</w:t>
      </w:r>
      <w:r>
        <w:tab/>
        <w:t xml:space="preserve">Despite any provision of a relevant Act, any information or document provided by the Commissioner of Police to the Commission for the purposes of a relevant Act must not be published or disclosed by the Commission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keepNext/>
        <w:spacing w:before="100"/>
      </w:pPr>
      <w:r>
        <w:lastRenderedPageBreak/>
        <w:tab/>
        <w:t>(4)</w:t>
      </w:r>
      <w:r>
        <w:tab/>
      </w:r>
      <w:r>
        <w:rPr>
          <w:snapToGrid w:val="0"/>
        </w:rPr>
        <w:t>If</w:t>
      </w:r>
      <w:r>
        <w:t> —</w:t>
      </w:r>
    </w:p>
    <w:p>
      <w:pPr>
        <w:pStyle w:val="Indenta"/>
        <w:keepNext/>
        <w:spacing w:before="100"/>
      </w:pPr>
      <w:r>
        <w:tab/>
        <w:t>(a)</w:t>
      </w:r>
      <w:r>
        <w:tab/>
        <w:t>the Commission —</w:t>
      </w:r>
    </w:p>
    <w:p>
      <w:pPr>
        <w:pStyle w:val="Indenti"/>
        <w:spacing w:before="100"/>
      </w:pPr>
      <w:r>
        <w:tab/>
        <w:t>(i)</w:t>
      </w:r>
      <w:r>
        <w:tab/>
        <w:t>refuses to grant or issue or renew; or</w:t>
      </w:r>
    </w:p>
    <w:p>
      <w:pPr>
        <w:pStyle w:val="Indenti"/>
        <w:spacing w:before="100"/>
      </w:pPr>
      <w:r>
        <w:tab/>
        <w:t>(ii)</w:t>
      </w:r>
      <w:r>
        <w:tab/>
        <w:t>amends, suspends, cancels or revokes,</w:t>
      </w:r>
    </w:p>
    <w:p>
      <w:pPr>
        <w:pStyle w:val="Indenta"/>
        <w:spacing w:before="100"/>
      </w:pPr>
      <w:r>
        <w:tab/>
      </w:r>
      <w:r>
        <w:tab/>
        <w:t>any permit, approval, certificate, licence or authorisation under a relevant Act; and</w:t>
      </w:r>
    </w:p>
    <w:p>
      <w:pPr>
        <w:pStyle w:val="Indenta"/>
        <w:spacing w:before="100"/>
      </w:pPr>
      <w:r>
        <w:tab/>
        <w:t>(b)</w:t>
      </w:r>
      <w:r>
        <w:tab/>
        <w:t>the decision to do so is made solely or partly on the basis of confidential police information provided to the Commission,</w:t>
      </w:r>
    </w:p>
    <w:p>
      <w:pPr>
        <w:pStyle w:val="Subsection"/>
        <w:spacing w:before="140"/>
      </w:pPr>
      <w:r>
        <w:tab/>
      </w:r>
      <w:r>
        <w:tab/>
        <w:t>the Commission is not required to give any reasons for the decision other than that the decision is made in the public interest.</w:t>
      </w:r>
    </w:p>
    <w:p>
      <w:pPr>
        <w:pStyle w:val="Subsection"/>
        <w:spacing w:before="140"/>
      </w:pPr>
      <w:r>
        <w:tab/>
        <w:t>(5)</w:t>
      </w:r>
      <w:r>
        <w:tab/>
        <w:t>In any proceedings (other than proceedings for an offence) before a court under a relevant Act, the court —</w:t>
      </w:r>
    </w:p>
    <w:p>
      <w:pPr>
        <w:pStyle w:val="Indenta"/>
        <w:spacing w:before="100"/>
      </w:pPr>
      <w:r>
        <w:tab/>
        <w:t>(a)</w:t>
      </w:r>
      <w:r>
        <w:tab/>
        <w:t>must, on the application of the Commissioner of Police, take all reasonable steps to maintain the confidentiality of confidential police information, including steps —</w:t>
      </w:r>
    </w:p>
    <w:p>
      <w:pPr>
        <w:pStyle w:val="Indenti"/>
        <w:spacing w:before="60"/>
      </w:pPr>
      <w:r>
        <w:tab/>
        <w:t>(i)</w:t>
      </w:r>
      <w:r>
        <w:tab/>
        <w:t>to receive evidence and hear argument about confidential police information in private and in the absence of any party to the proceedings other than the Commission or the Commissioner of Police or their representatives; and</w:t>
      </w:r>
    </w:p>
    <w:p>
      <w:pPr>
        <w:pStyle w:val="Indenti"/>
        <w:spacing w:before="60"/>
      </w:pPr>
      <w:r>
        <w:tab/>
        <w:t>(ii)</w:t>
      </w:r>
      <w:r>
        <w:tab/>
        <w:t>to prohibit the publication of evidence about confidential police information;</w:t>
      </w:r>
    </w:p>
    <w:p>
      <w:pPr>
        <w:pStyle w:val="Indenta"/>
        <w:spacing w:before="100"/>
      </w:pPr>
      <w:r>
        <w:tab/>
      </w:r>
      <w:r>
        <w:tab/>
        <w:t>and</w:t>
      </w:r>
    </w:p>
    <w:p>
      <w:pPr>
        <w:pStyle w:val="Indenta"/>
        <w:spacing w:before="100"/>
      </w:pPr>
      <w:r>
        <w:tab/>
        <w:t>(b)</w:t>
      </w:r>
      <w:r>
        <w:tab/>
        <w:t>may take evidence consisting of or relating to confidential police information by way of an affidavit of a member of the Police Force of or above the rank of Superintendent.</w:t>
      </w:r>
    </w:p>
    <w:p>
      <w:pPr>
        <w:pStyle w:val="Subsection"/>
        <w:spacing w:before="140"/>
      </w:pPr>
      <w:r>
        <w:tab/>
        <w:t>(6)</w:t>
      </w:r>
      <w:r>
        <w:tab/>
        <w:t xml:space="preserve">The Commissioner of Police must not delegate the function of classifying information or documents as confidential police </w:t>
      </w:r>
      <w:r>
        <w:lastRenderedPageBreak/>
        <w:t>information except to a Deputy Commissioner of Police or an Assistant Commissioner of Police.</w:t>
      </w:r>
    </w:p>
    <w:p>
      <w:pPr>
        <w:pStyle w:val="Footnotesection"/>
      </w:pPr>
      <w:r>
        <w:tab/>
        <w:t>[Section 20A inserted: No. 73 of 2006 s. 113; amended: No. 35 of 2014 s. 39.]</w:t>
      </w:r>
    </w:p>
    <w:p>
      <w:pPr>
        <w:pStyle w:val="Heading2"/>
      </w:pPr>
      <w:bookmarkStart w:id="60" w:name="_Toc115166572"/>
      <w:bookmarkStart w:id="61" w:name="_Toc115166729"/>
      <w:bookmarkStart w:id="62" w:name="_Toc115267803"/>
      <w:bookmarkStart w:id="63" w:name="_Toc131666721"/>
      <w:r>
        <w:rPr>
          <w:rStyle w:val="CharPartNo"/>
        </w:rPr>
        <w:lastRenderedPageBreak/>
        <w:t>Part III</w:t>
      </w:r>
      <w:r>
        <w:rPr>
          <w:rStyle w:val="CharDivNo"/>
        </w:rPr>
        <w:t> </w:t>
      </w:r>
      <w:r>
        <w:t>—</w:t>
      </w:r>
      <w:r>
        <w:rPr>
          <w:rStyle w:val="CharDivText"/>
        </w:rPr>
        <w:t> </w:t>
      </w:r>
      <w:r>
        <w:rPr>
          <w:rStyle w:val="CharPartText"/>
        </w:rPr>
        <w:t>Enforcement</w:t>
      </w:r>
      <w:bookmarkEnd w:id="60"/>
      <w:bookmarkEnd w:id="61"/>
      <w:bookmarkEnd w:id="62"/>
      <w:bookmarkEnd w:id="63"/>
    </w:p>
    <w:p>
      <w:pPr>
        <w:pStyle w:val="Heading5"/>
        <w:rPr>
          <w:snapToGrid w:val="0"/>
        </w:rPr>
      </w:pPr>
      <w:bookmarkStart w:id="64" w:name="_Toc131666722"/>
      <w:r>
        <w:rPr>
          <w:rStyle w:val="CharSectno"/>
        </w:rPr>
        <w:t>21</w:t>
      </w:r>
      <w:r>
        <w:rPr>
          <w:snapToGrid w:val="0"/>
        </w:rPr>
        <w:t>.</w:t>
      </w:r>
      <w:r>
        <w:rPr>
          <w:snapToGrid w:val="0"/>
        </w:rPr>
        <w:tab/>
        <w:t>Authorised officers, appointment and duties of and reports by</w:t>
      </w:r>
      <w:bookmarkEnd w:id="64"/>
    </w:p>
    <w:p>
      <w:pPr>
        <w:pStyle w:val="Subsection"/>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w:t>
      </w:r>
    </w:p>
    <w:p>
      <w:pPr>
        <w:pStyle w:val="Indenta"/>
        <w:spacing w:before="100"/>
        <w:rPr>
          <w:snapToGrid w:val="0"/>
        </w:rPr>
      </w:pPr>
      <w:r>
        <w:rPr>
          <w:snapToGrid w:val="0"/>
        </w:rPr>
        <w:tab/>
        <w:t>(a)</w:t>
      </w:r>
      <w:r>
        <w:rPr>
          <w:snapToGrid w:val="0"/>
        </w:rPr>
        <w:tab/>
        <w:t>to report to the Commission on the conduct, nature, extent and standard of any gaming, and as to the facilities provided, at approved premises and elsewhere; and</w:t>
      </w:r>
    </w:p>
    <w:p>
      <w:pPr>
        <w:pStyle w:val="Indenta"/>
        <w:spacing w:before="10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 and</w:t>
      </w:r>
    </w:p>
    <w:p>
      <w:pPr>
        <w:pStyle w:val="Indenta"/>
        <w:spacing w:before="10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100"/>
        <w:rPr>
          <w:snapToGrid w:val="0"/>
        </w:rPr>
      </w:pPr>
      <w:r>
        <w:rPr>
          <w:snapToGrid w:val="0"/>
        </w:rPr>
        <w:tab/>
        <w:t>(d)</w:t>
      </w:r>
      <w:r>
        <w:rPr>
          <w:snapToGrid w:val="0"/>
        </w:rPr>
        <w:tab/>
        <w:t>otherwise, to assist and advise the Commission whenever so required by the Commission.</w:t>
      </w:r>
    </w:p>
    <w:p>
      <w:pPr>
        <w:pStyle w:val="Subsection"/>
        <w:keepNext/>
        <w:keepLines/>
        <w:rPr>
          <w:snapToGrid w:val="0"/>
        </w:rPr>
      </w:pPr>
      <w:r>
        <w:rPr>
          <w:snapToGrid w:val="0"/>
        </w:rPr>
        <w:lastRenderedPageBreak/>
        <w:tab/>
        <w:t>(4)</w:t>
      </w:r>
      <w:r>
        <w:rPr>
          <w:snapToGrid w:val="0"/>
        </w:rPr>
        <w:tab/>
        <w:t>Where an authorised officer makes a report with respect to any particular premises, but not in so far as the report relates to the nature, extent or standard of gaming conducted, the Commission —</w:t>
      </w:r>
    </w:p>
    <w:p>
      <w:pPr>
        <w:pStyle w:val="Indenta"/>
        <w:widowControl w:val="0"/>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[Section 21 amended: No. 14 of 1996 s. 4; No. 35 of 2003 s. 135.]</w:t>
      </w:r>
    </w:p>
    <w:p>
      <w:pPr>
        <w:pStyle w:val="Heading5"/>
        <w:spacing w:before="260"/>
        <w:rPr>
          <w:snapToGrid w:val="0"/>
        </w:rPr>
      </w:pPr>
      <w:bookmarkStart w:id="65" w:name="_Toc131666723"/>
      <w:r>
        <w:rPr>
          <w:rStyle w:val="CharSectno"/>
        </w:rPr>
        <w:t>22</w:t>
      </w:r>
      <w:r>
        <w:rPr>
          <w:snapToGrid w:val="0"/>
        </w:rPr>
        <w:t>.</w:t>
      </w:r>
      <w:r>
        <w:rPr>
          <w:snapToGrid w:val="0"/>
        </w:rPr>
        <w:tab/>
        <w:t>Permitted gaming and social gambling, powers to scrutinize etc.</w:t>
      </w:r>
      <w:bookmarkEnd w:id="65"/>
    </w:p>
    <w:p>
      <w:pPr>
        <w:pStyle w:val="Subsection"/>
        <w:rPr>
          <w:snapToGrid w:val="0"/>
        </w:rPr>
      </w:pPr>
      <w:r>
        <w:rPr>
          <w:snapToGrid w:val="0"/>
        </w:rPr>
        <w:tab/>
        <w:t>(1)</w:t>
      </w:r>
      <w:r>
        <w:rPr>
          <w:snapToGrid w:val="0"/>
        </w:rPr>
        <w:tab/>
        <w:t>An authorised officer or a member of the Police Force is entitled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keepNext/>
        <w:keepLines/>
        <w:rPr>
          <w:snapToGrid w:val="0"/>
        </w:rPr>
      </w:pPr>
      <w:r>
        <w:rPr>
          <w:snapToGrid w:val="0"/>
        </w:rPr>
        <w:lastRenderedPageBreak/>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w:t>
      </w:r>
    </w:p>
    <w:p>
      <w:pPr>
        <w:pStyle w:val="Indenta"/>
        <w:spacing w:before="60"/>
        <w:rPr>
          <w:snapToGrid w:val="0"/>
        </w:rPr>
      </w:pPr>
      <w:r>
        <w:rPr>
          <w:snapToGrid w:val="0"/>
        </w:rPr>
        <w:tab/>
        <w:t>(a)</w:t>
      </w:r>
      <w:r>
        <w:rPr>
          <w:snapToGrid w:val="0"/>
        </w:rPr>
        <w:tab/>
        <w:t>approved premises; or</w:t>
      </w:r>
    </w:p>
    <w:p>
      <w:pPr>
        <w:pStyle w:val="Indenta"/>
        <w:spacing w:before="60"/>
        <w:rPr>
          <w:snapToGrid w:val="0"/>
        </w:rPr>
      </w:pPr>
      <w:r>
        <w:rPr>
          <w:snapToGrid w:val="0"/>
        </w:rPr>
        <w:tab/>
        <w:t>(b)</w:t>
      </w:r>
      <w:r>
        <w:rPr>
          <w:snapToGrid w:val="0"/>
        </w:rPr>
        <w:tab/>
        <w:t>subject to the consent of the occupier, any premises in relation to which the approval of the Commission is sought.</w:t>
      </w:r>
    </w:p>
    <w:p>
      <w:pPr>
        <w:pStyle w:val="Subsection"/>
        <w:spacing w:before="120"/>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spacing w:before="120"/>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spacing w:before="120"/>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spacing w:before="60"/>
        <w:rPr>
          <w:snapToGrid w:val="0"/>
        </w:rPr>
      </w:pPr>
      <w:r>
        <w:rPr>
          <w:snapToGrid w:val="0"/>
        </w:rPr>
        <w:tab/>
      </w:r>
      <w:r>
        <w:t>Penalty for this subsection: a fine of</w:t>
      </w:r>
      <w:r>
        <w:rPr>
          <w:snapToGrid w:val="0"/>
        </w:rPr>
        <w:t xml:space="preserve"> $5 000, or imprisonment for 1 year, or both.</w:t>
      </w:r>
    </w:p>
    <w:p>
      <w:pPr>
        <w:pStyle w:val="Footnotesection"/>
        <w:spacing w:before="80"/>
        <w:ind w:left="890" w:hanging="890"/>
      </w:pPr>
      <w:r>
        <w:tab/>
        <w:t>[Section 22 amended: No. 24 of 1998 s. 39; No. 35 of 2003 s. 136 and 166; No. 41 of 2018 s. 25(1).]</w:t>
      </w:r>
    </w:p>
    <w:p>
      <w:pPr>
        <w:pStyle w:val="Heading5"/>
        <w:spacing w:before="180"/>
        <w:rPr>
          <w:snapToGrid w:val="0"/>
        </w:rPr>
      </w:pPr>
      <w:bookmarkStart w:id="66" w:name="_Toc131666724"/>
      <w:r>
        <w:rPr>
          <w:rStyle w:val="CharSectno"/>
        </w:rPr>
        <w:t>23</w:t>
      </w:r>
      <w:r>
        <w:rPr>
          <w:snapToGrid w:val="0"/>
        </w:rPr>
        <w:t>.</w:t>
      </w:r>
      <w:r>
        <w:rPr>
          <w:snapToGrid w:val="0"/>
        </w:rPr>
        <w:tab/>
        <w:t>Other police powers not limited by this Act</w:t>
      </w:r>
      <w:bookmarkEnd w:id="66"/>
    </w:p>
    <w:p>
      <w:pPr>
        <w:pStyle w:val="Subsection"/>
        <w:spacing w:before="120"/>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keepLines w:val="0"/>
        <w:spacing w:before="180"/>
        <w:rPr>
          <w:snapToGrid w:val="0"/>
        </w:rPr>
      </w:pPr>
      <w:bookmarkStart w:id="67" w:name="_Toc131666725"/>
      <w:r>
        <w:rPr>
          <w:rStyle w:val="CharSectno"/>
        </w:rPr>
        <w:lastRenderedPageBreak/>
        <w:t>24</w:t>
      </w:r>
      <w:r>
        <w:rPr>
          <w:snapToGrid w:val="0"/>
        </w:rPr>
        <w:t>.</w:t>
      </w:r>
      <w:r>
        <w:rPr>
          <w:snapToGrid w:val="0"/>
        </w:rPr>
        <w:tab/>
        <w:t>Commissioner of Police, directions by to police officers</w:t>
      </w:r>
      <w:bookmarkEnd w:id="67"/>
    </w:p>
    <w:p>
      <w:pPr>
        <w:pStyle w:val="Subsection"/>
        <w:spacing w:before="120"/>
        <w:rPr>
          <w:snapToGrid w:val="0"/>
        </w:rPr>
      </w:pPr>
      <w:r>
        <w:rPr>
          <w:snapToGrid w:val="0"/>
        </w:rPr>
        <w:tab/>
      </w:r>
      <w:r>
        <w:rPr>
          <w:snapToGrid w:val="0"/>
        </w:rPr>
        <w:tab/>
        <w:t>The Commissioner of Police shall issue all such orders, and give all such directions, to members of the Police Force as may, in his opinion, be necessary or expedient to —</w:t>
      </w:r>
    </w:p>
    <w:p>
      <w:pPr>
        <w:pStyle w:val="Indenta"/>
        <w:spacing w:before="50"/>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 and</w:t>
      </w:r>
    </w:p>
    <w:p>
      <w:pPr>
        <w:pStyle w:val="Indenta"/>
      </w:pPr>
      <w:r>
        <w:tab/>
        <w:t>(b)</w:t>
      </w:r>
      <w:r>
        <w:tab/>
        <w:t xml:space="preserve">ensure the proper and lawful exercise of the following — </w:t>
      </w:r>
    </w:p>
    <w:p>
      <w:pPr>
        <w:pStyle w:val="Indenti"/>
      </w:pPr>
      <w:r>
        <w:tab/>
        <w:t>(i)</w:t>
      </w:r>
      <w:r>
        <w:tab/>
        <w:t xml:space="preserve">a permit granted under this Act; </w:t>
      </w:r>
    </w:p>
    <w:p>
      <w:pPr>
        <w:pStyle w:val="Indenti"/>
      </w:pPr>
      <w:r>
        <w:tab/>
        <w:t>(ii)</w:t>
      </w:r>
      <w:r>
        <w:tab/>
        <w:t>a permit or licence granted by the Commission under any other Act;</w:t>
      </w:r>
    </w:p>
    <w:p>
      <w:pPr>
        <w:pStyle w:val="Indenti"/>
      </w:pPr>
      <w:r>
        <w:tab/>
        <w:t>(iii)</w:t>
      </w:r>
      <w:r>
        <w:tab/>
        <w:t xml:space="preserve">a wagering licence as defined in the </w:t>
      </w:r>
      <w:r>
        <w:rPr>
          <w:i/>
        </w:rPr>
        <w:t>Betting Control Act 1954</w:t>
      </w:r>
      <w:r>
        <w:t xml:space="preserve"> section 4(1);</w:t>
      </w:r>
    </w:p>
    <w:p>
      <w:pPr>
        <w:pStyle w:val="Indenta"/>
      </w:pPr>
      <w:r>
        <w:tab/>
      </w:r>
      <w:r>
        <w:tab/>
        <w:t>and</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No. 35 of 2003 s. 166; No. 21 of 2019 s. 93.]</w:t>
      </w:r>
    </w:p>
    <w:p>
      <w:pPr>
        <w:pStyle w:val="Heading5"/>
        <w:rPr>
          <w:snapToGrid w:val="0"/>
        </w:rPr>
      </w:pPr>
      <w:bookmarkStart w:id="68" w:name="_Toc131666726"/>
      <w:r>
        <w:rPr>
          <w:rStyle w:val="CharSectno"/>
        </w:rPr>
        <w:t>25</w:t>
      </w:r>
      <w:r>
        <w:rPr>
          <w:snapToGrid w:val="0"/>
        </w:rPr>
        <w:t>.</w:t>
      </w:r>
      <w:r>
        <w:rPr>
          <w:snapToGrid w:val="0"/>
        </w:rPr>
        <w:tab/>
        <w:t>Entry to premises, arrest etc., warrant authorising</w:t>
      </w:r>
      <w:bookmarkEnd w:id="68"/>
    </w:p>
    <w:p>
      <w:pPr>
        <w:pStyle w:val="Subsection"/>
        <w:rPr>
          <w:snapToGrid w:val="0"/>
        </w:rPr>
      </w:pPr>
      <w:r>
        <w:rPr>
          <w:snapToGrid w:val="0"/>
        </w:rPr>
        <w:tab/>
        <w:t>(1)</w:t>
      </w:r>
      <w:r>
        <w:rPr>
          <w:snapToGrid w:val="0"/>
        </w:rPr>
        <w:tab/>
        <w:t>Where a justice is satisfied, upon an application supported by evidence on oath, that there is reason to suspect that —</w:t>
      </w:r>
    </w:p>
    <w:p>
      <w:pPr>
        <w:pStyle w:val="Indenta"/>
        <w:rPr>
          <w:snapToGrid w:val="0"/>
        </w:rPr>
      </w:pPr>
      <w:r>
        <w:rPr>
          <w:snapToGrid w:val="0"/>
        </w:rPr>
        <w:tab/>
        <w:t>(a)</w:t>
      </w:r>
      <w:r>
        <w:rPr>
          <w:snapToGrid w:val="0"/>
        </w:rPr>
        <w:tab/>
        <w:t>any premises are, have been or are about to be opened, kept or used as a common gaming house; or</w:t>
      </w:r>
    </w:p>
    <w:p>
      <w:pPr>
        <w:pStyle w:val="Indenta"/>
        <w:rPr>
          <w:snapToGrid w:val="0"/>
        </w:rPr>
      </w:pPr>
      <w:r>
        <w:rPr>
          <w:snapToGrid w:val="0"/>
        </w:rPr>
        <w:lastRenderedPageBreak/>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widowControl w:val="0"/>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w:t>
      </w:r>
    </w:p>
    <w:p>
      <w:pPr>
        <w:pStyle w:val="Indenta"/>
        <w:rPr>
          <w:snapToGrid w:val="0"/>
        </w:rPr>
      </w:pPr>
      <w:r>
        <w:rPr>
          <w:snapToGrid w:val="0"/>
        </w:rPr>
        <w:tab/>
        <w:t>(a)</w:t>
      </w:r>
      <w:r>
        <w:rPr>
          <w:snapToGrid w:val="0"/>
        </w:rPr>
        <w:tab/>
        <w:t>to arrest any person found on the premises to which the warrant relates; and</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25 amended: No. 35 of 2003 s. 166; No. 84 of 2004 s. 80.]</w:t>
      </w:r>
    </w:p>
    <w:p>
      <w:pPr>
        <w:pStyle w:val="Heading5"/>
        <w:rPr>
          <w:snapToGrid w:val="0"/>
        </w:rPr>
      </w:pPr>
      <w:bookmarkStart w:id="69" w:name="_Toc131666727"/>
      <w:r>
        <w:rPr>
          <w:rStyle w:val="CharSectno"/>
        </w:rPr>
        <w:lastRenderedPageBreak/>
        <w:t>26</w:t>
      </w:r>
      <w:r>
        <w:rPr>
          <w:snapToGrid w:val="0"/>
        </w:rPr>
        <w:t>.</w:t>
      </w:r>
      <w:r>
        <w:rPr>
          <w:snapToGrid w:val="0"/>
        </w:rPr>
        <w:tab/>
        <w:t>Evidence, information etc., powers to seize, obtain etc.</w:t>
      </w:r>
      <w:bookmarkEnd w:id="69"/>
    </w:p>
    <w:p>
      <w:pPr>
        <w:pStyle w:val="Subsection"/>
        <w:keepNext/>
        <w:keepLines/>
        <w:rPr>
          <w:snapToGrid w:val="0"/>
        </w:rPr>
      </w:pPr>
      <w:r>
        <w:rPr>
          <w:snapToGrid w:val="0"/>
        </w:rPr>
        <w:tab/>
        <w:t>(1)</w:t>
      </w:r>
      <w:r>
        <w:rPr>
          <w:snapToGrid w:val="0"/>
        </w:rPr>
        <w:tab/>
        <w:t>The Commission, an authorised officer or a member of the Police Force may for the purposes of this Act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rPr>
          <w:snapToGrid w:val="0"/>
        </w:rPr>
      </w:pPr>
      <w:r>
        <w:rPr>
          <w:snapToGrid w:val="0"/>
        </w:rPr>
        <w:tab/>
        <w:t>(2)</w:t>
      </w:r>
      <w:r>
        <w:rPr>
          <w:snapToGrid w:val="0"/>
        </w:rPr>
        <w:tab/>
        <w:t xml:space="preserve">In subsection (1), </w:t>
      </w:r>
      <w:r>
        <w:rPr>
          <w:rStyle w:val="CharDefText"/>
        </w:rPr>
        <w:t>material evidence</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No. 24 of 1998 s. 40.]</w:t>
      </w:r>
    </w:p>
    <w:p>
      <w:pPr>
        <w:pStyle w:val="Heading5"/>
        <w:rPr>
          <w:snapToGrid w:val="0"/>
        </w:rPr>
      </w:pPr>
      <w:bookmarkStart w:id="70" w:name="_Toc131666728"/>
      <w:r>
        <w:rPr>
          <w:rStyle w:val="CharSectno"/>
        </w:rPr>
        <w:lastRenderedPageBreak/>
        <w:t>27</w:t>
      </w:r>
      <w:r>
        <w:rPr>
          <w:snapToGrid w:val="0"/>
        </w:rPr>
        <w:t>.</w:t>
      </w:r>
      <w:r>
        <w:rPr>
          <w:snapToGrid w:val="0"/>
        </w:rPr>
        <w:tab/>
        <w:t>Information, production of books, accounts etc., powers to require</w:t>
      </w:r>
      <w:bookmarkEnd w:id="70"/>
    </w:p>
    <w:p>
      <w:pPr>
        <w:pStyle w:val="Subsection"/>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 and</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 and</w:t>
      </w:r>
    </w:p>
    <w:p>
      <w:pPr>
        <w:pStyle w:val="Indenta"/>
        <w:rPr>
          <w:snapToGrid w:val="0"/>
        </w:rPr>
      </w:pPr>
      <w:r>
        <w:rPr>
          <w:snapToGrid w:val="0"/>
        </w:rPr>
        <w:lastRenderedPageBreak/>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In connection with any pending application for a permit the Commission may at any time require accounts to be furnished by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spacing w:before="140"/>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No. 24 of 1998 s. 41; No. 10 of 2001 s. 86; No. 35 of 2003 s. 166 and 167.]</w:t>
      </w:r>
    </w:p>
    <w:p>
      <w:pPr>
        <w:pStyle w:val="Heading5"/>
        <w:rPr>
          <w:snapToGrid w:val="0"/>
        </w:rPr>
      </w:pPr>
      <w:bookmarkStart w:id="71" w:name="_Toc131666729"/>
      <w:r>
        <w:rPr>
          <w:rStyle w:val="CharSectno"/>
        </w:rPr>
        <w:t>28</w:t>
      </w:r>
      <w:r>
        <w:rPr>
          <w:snapToGrid w:val="0"/>
        </w:rPr>
        <w:t>.</w:t>
      </w:r>
      <w:r>
        <w:rPr>
          <w:snapToGrid w:val="0"/>
        </w:rPr>
        <w:tab/>
        <w:t>Recovering moneys payable to Commission</w:t>
      </w:r>
      <w:bookmarkEnd w:id="71"/>
    </w:p>
    <w:p>
      <w:pPr>
        <w:pStyle w:val="Subsection"/>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rPr>
          <w:snapToGrid w:val="0"/>
        </w:rPr>
      </w:pPr>
      <w:r>
        <w:rPr>
          <w:snapToGrid w:val="0"/>
        </w:rPr>
        <w:tab/>
        <w:t>(2)</w:t>
      </w:r>
      <w:r>
        <w:rPr>
          <w:snapToGrid w:val="0"/>
        </w:rPr>
        <w:tab/>
        <w:t xml:space="preserve">Where an amount is payable to the Commission by any person, but by reason of his failure to keep or to produce or furnish to the Commission or other proper person the report, return, </w:t>
      </w:r>
      <w:r>
        <w:rPr>
          <w:snapToGrid w:val="0"/>
        </w:rPr>
        <w:lastRenderedPageBreak/>
        <w:t>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72" w:name="_Toc131666730"/>
      <w:r>
        <w:rPr>
          <w:rStyle w:val="CharSectno"/>
        </w:rPr>
        <w:t>29</w:t>
      </w:r>
      <w:r>
        <w:rPr>
          <w:snapToGrid w:val="0"/>
        </w:rPr>
        <w:t>.</w:t>
      </w:r>
      <w:r>
        <w:rPr>
          <w:snapToGrid w:val="0"/>
        </w:rPr>
        <w:tab/>
        <w:t>Hindering etc. Commission etc. and false etc. answers, offences as to</w:t>
      </w:r>
      <w:bookmarkEnd w:id="72"/>
    </w:p>
    <w:p>
      <w:pPr>
        <w:pStyle w:val="Subsection"/>
        <w:keepNext/>
        <w:keepLines/>
        <w:rPr>
          <w:snapToGrid w:val="0"/>
        </w:rPr>
      </w:pPr>
      <w:r>
        <w:rPr>
          <w:snapToGrid w:val="0"/>
        </w:rPr>
        <w:tab/>
        <w:t>(1)</w:t>
      </w:r>
      <w:r>
        <w:rPr>
          <w:snapToGrid w:val="0"/>
        </w:rPr>
        <w:tab/>
        <w:t>A person —</w:t>
      </w:r>
    </w:p>
    <w:p>
      <w:pPr>
        <w:pStyle w:val="Indenta"/>
        <w:rPr>
          <w:snapToGrid w:val="0"/>
        </w:rPr>
      </w:pPr>
      <w:r>
        <w:rPr>
          <w:snapToGrid w:val="0"/>
        </w:rPr>
        <w:tab/>
        <w:t>(a)</w:t>
      </w:r>
      <w:r>
        <w:rPr>
          <w:snapToGrid w:val="0"/>
        </w:rPr>
        <w:tab/>
        <w:t>who without lawful excuse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lastRenderedPageBreak/>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 or</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xml:space="preserve">, fails to answer truthfully to the best of his knowledge, information and belief, any question asked of him by the auditor, or fails to disclose to the </w:t>
      </w:r>
      <w:r>
        <w:rPr>
          <w:snapToGrid w:val="0"/>
        </w:rPr>
        <w:lastRenderedPageBreak/>
        <w:t>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$5 000, or imprisonment for 1 year, or both.</w:t>
      </w:r>
    </w:p>
    <w:p>
      <w:pPr>
        <w:pStyle w:val="Footnotesection"/>
        <w:ind w:left="890" w:hanging="890"/>
      </w:pPr>
      <w:r>
        <w:tab/>
        <w:t>[Section 29 amended: No. 35 of 2003 s. 166; No. 41 of 2018 s. 25(1).]</w:t>
      </w:r>
    </w:p>
    <w:p>
      <w:pPr>
        <w:pStyle w:val="Heading5"/>
        <w:rPr>
          <w:snapToGrid w:val="0"/>
        </w:rPr>
      </w:pPr>
      <w:bookmarkStart w:id="73" w:name="_Toc131666731"/>
      <w:r>
        <w:rPr>
          <w:rStyle w:val="CharSectno"/>
        </w:rPr>
        <w:t>30</w:t>
      </w:r>
      <w:r>
        <w:rPr>
          <w:snapToGrid w:val="0"/>
        </w:rPr>
        <w:t>.</w:t>
      </w:r>
      <w:r>
        <w:rPr>
          <w:snapToGrid w:val="0"/>
        </w:rPr>
        <w:tab/>
        <w:t>Incriminating information to be provided but is not admissible</w:t>
      </w:r>
      <w:bookmarkEnd w:id="73"/>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r>
        <w:tab/>
        <w:t>[Section 30 amended: No. 35 of 2003 s. 166.]</w:t>
      </w:r>
    </w:p>
    <w:p>
      <w:pPr>
        <w:pStyle w:val="Heading5"/>
        <w:rPr>
          <w:snapToGrid w:val="0"/>
        </w:rPr>
      </w:pPr>
      <w:bookmarkStart w:id="74" w:name="_Toc131666732"/>
      <w:r>
        <w:rPr>
          <w:rStyle w:val="CharSectno"/>
        </w:rPr>
        <w:t>31</w:t>
      </w:r>
      <w:r>
        <w:rPr>
          <w:snapToGrid w:val="0"/>
        </w:rPr>
        <w:t>.</w:t>
      </w:r>
      <w:r>
        <w:rPr>
          <w:snapToGrid w:val="0"/>
        </w:rPr>
        <w:tab/>
        <w:t>Seizure without warrant</w:t>
      </w:r>
      <w:bookmarkEnd w:id="74"/>
    </w:p>
    <w:p>
      <w:pPr>
        <w:pStyle w:val="Subsection"/>
        <w:rPr>
          <w:snapToGrid w:val="0"/>
        </w:rPr>
      </w:pPr>
      <w:r>
        <w:rPr>
          <w:snapToGrid w:val="0"/>
        </w:rPr>
        <w:tab/>
      </w:r>
      <w:r>
        <w:rPr>
          <w:snapToGrid w:val="0"/>
        </w:rPr>
        <w:tab/>
        <w:t xml:space="preserve">Any authorised officer or member of the Police Force may seize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r>
        <w:tab/>
        <w:t>[Section 31 amended: No. 35 of 2003 s. 166; No. 59 of 2006 s. 48.]</w:t>
      </w:r>
    </w:p>
    <w:p>
      <w:pPr>
        <w:pStyle w:val="Heading5"/>
      </w:pPr>
      <w:bookmarkStart w:id="75" w:name="_Toc131666733"/>
      <w:r>
        <w:rPr>
          <w:rStyle w:val="CharSectno"/>
        </w:rPr>
        <w:lastRenderedPageBreak/>
        <w:t>31A</w:t>
      </w:r>
      <w:r>
        <w:t>.</w:t>
      </w:r>
      <w:r>
        <w:tab/>
        <w:t>Powers to assist seizing things</w:t>
      </w:r>
      <w:bookmarkEnd w:id="75"/>
    </w:p>
    <w:p>
      <w:pPr>
        <w:pStyle w:val="Subsection"/>
      </w:pPr>
      <w:r>
        <w:tab/>
      </w:r>
      <w:r>
        <w:tab/>
        <w:t xml:space="preserve">Sections 146 to 150 of the </w:t>
      </w:r>
      <w:r>
        <w:rPr>
          <w:i/>
          <w:iCs/>
        </w:rPr>
        <w:t xml:space="preserve">Criminal Investigation Act 2006 </w:t>
      </w:r>
      <w:r>
        <w:t xml:space="preserve">apply to and in respect of seizing a thing that is or may be seized under this Act or the </w:t>
      </w:r>
      <w:r>
        <w:rPr>
          <w:i/>
        </w:rPr>
        <w:t>Betting Control Act </w:t>
      </w:r>
      <w:r>
        <w:rPr>
          <w:i/>
          <w:iCs/>
        </w:rPr>
        <w:t>1954</w:t>
      </w:r>
      <w:r>
        <w:t>.</w:t>
      </w:r>
    </w:p>
    <w:p>
      <w:pPr>
        <w:pStyle w:val="Footnotesection"/>
      </w:pPr>
      <w:r>
        <w:tab/>
        <w:t>[Section 31A inserted: No. 59 of 2006 s. 49.]</w:t>
      </w:r>
    </w:p>
    <w:p>
      <w:pPr>
        <w:pStyle w:val="Heading5"/>
        <w:rPr>
          <w:snapToGrid w:val="0"/>
        </w:rPr>
      </w:pPr>
      <w:bookmarkStart w:id="76" w:name="_Toc131666734"/>
      <w:r>
        <w:rPr>
          <w:rStyle w:val="CharSectno"/>
        </w:rPr>
        <w:t>32</w:t>
      </w:r>
      <w:r>
        <w:rPr>
          <w:snapToGrid w:val="0"/>
        </w:rPr>
        <w:t>.</w:t>
      </w:r>
      <w:r>
        <w:rPr>
          <w:snapToGrid w:val="0"/>
        </w:rPr>
        <w:tab/>
        <w:t>Certain seized things to be forfeited to Crown</w:t>
      </w:r>
      <w:bookmarkEnd w:id="76"/>
    </w:p>
    <w:p>
      <w:pPr>
        <w:pStyle w:val="Ednotesubsection"/>
      </w:pPr>
      <w:r>
        <w:tab/>
        <w:t>[(1)</w:t>
      </w:r>
      <w:r>
        <w:tab/>
        <w:t>deleted]</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w:t>
      </w:r>
    </w:p>
    <w:p>
      <w:pPr>
        <w:pStyle w:val="Footnotesection"/>
      </w:pPr>
      <w:r>
        <w:tab/>
        <w:t>[Section 32 amended: No. 24 of 1998 s. 42; No. 70 of 2004 s. 82; No. 59 of 2006 s. 50.]</w:t>
      </w:r>
    </w:p>
    <w:p>
      <w:pPr>
        <w:pStyle w:val="Heading5"/>
      </w:pPr>
      <w:bookmarkStart w:id="77" w:name="_Toc131666735"/>
      <w:r>
        <w:rPr>
          <w:rStyle w:val="CharSectno"/>
        </w:rPr>
        <w:t>32A</w:t>
      </w:r>
      <w:r>
        <w:t>.</w:t>
      </w:r>
      <w:r>
        <w:tab/>
        <w:t>Disposing of seized or forfeited things</w:t>
      </w:r>
      <w:bookmarkEnd w:id="77"/>
    </w:p>
    <w:p>
      <w:pPr>
        <w:pStyle w:val="Subsection"/>
        <w:spacing w:before="140"/>
      </w:pPr>
      <w:r>
        <w:tab/>
        <w:t>(1)</w:t>
      </w:r>
      <w:r>
        <w:tab/>
        <w:t>In this section —</w:t>
      </w:r>
    </w:p>
    <w:p>
      <w:pPr>
        <w:pStyle w:val="Defstart"/>
      </w:pPr>
      <w:r>
        <w:rPr>
          <w:b/>
        </w:rPr>
        <w:tab/>
      </w:r>
      <w:r>
        <w:rPr>
          <w:rStyle w:val="CharDefText"/>
        </w:rPr>
        <w:t>seized thing</w:t>
      </w:r>
      <w:r>
        <w:t xml:space="preserve"> means any thing that is seized under this Act or the </w:t>
      </w:r>
      <w:r>
        <w:rPr>
          <w:i/>
        </w:rPr>
        <w:t>Betting Control Act </w:t>
      </w:r>
      <w:r>
        <w:rPr>
          <w:i/>
          <w:iCs/>
        </w:rPr>
        <w:t>1954</w:t>
      </w:r>
      <w:r>
        <w:t>.</w:t>
      </w:r>
    </w:p>
    <w:p>
      <w:pPr>
        <w:pStyle w:val="Subsection"/>
        <w:spacing w:before="140"/>
      </w:pPr>
      <w:r>
        <w:tab/>
        <w:t>(2)</w:t>
      </w:r>
      <w:r>
        <w:tab/>
        <w:t xml:space="preserve">The </w:t>
      </w:r>
      <w:r>
        <w:rPr>
          <w:i/>
          <w:iCs/>
        </w:rPr>
        <w:t xml:space="preserve">Criminal and Found Property Disposal Act 2006 </w:t>
      </w:r>
      <w:r>
        <w:t xml:space="preserve">applies to and in respect of any seized thing and any thing that is forfeited to the Crown under this Act or the </w:t>
      </w:r>
      <w:r>
        <w:rPr>
          <w:i/>
        </w:rPr>
        <w:t>Betting Control Act </w:t>
      </w:r>
      <w:r>
        <w:rPr>
          <w:i/>
          <w:iCs/>
        </w:rPr>
        <w:t>1954</w:t>
      </w:r>
      <w:r>
        <w:t>.</w:t>
      </w:r>
    </w:p>
    <w:p>
      <w:pPr>
        <w:pStyle w:val="Subsection"/>
        <w:spacing w:before="140"/>
      </w:pPr>
      <w:r>
        <w:tab/>
        <w:t>(3)</w:t>
      </w:r>
      <w:r>
        <w:tab/>
        <w:t xml:space="preserve">For the purposes of the </w:t>
      </w:r>
      <w:r>
        <w:rPr>
          <w:i/>
          <w:iCs/>
        </w:rPr>
        <w:t>Criminal and Found Property Disposal Act 2006</w:t>
      </w:r>
      <w:r>
        <w:t> —</w:t>
      </w:r>
    </w:p>
    <w:p>
      <w:pPr>
        <w:pStyle w:val="Indenta"/>
        <w:spacing w:before="60"/>
      </w:pPr>
      <w:r>
        <w:tab/>
        <w:t>(a)</w:t>
      </w:r>
      <w:r>
        <w:tab/>
        <w:t>the Commission is a prescribed agency;</w:t>
      </w:r>
    </w:p>
    <w:p>
      <w:pPr>
        <w:pStyle w:val="Indenta"/>
        <w:spacing w:before="60"/>
      </w:pPr>
      <w:r>
        <w:tab/>
        <w:t>(b)</w:t>
      </w:r>
      <w:r>
        <w:tab/>
        <w:t>the chief executive officer of the Department is the chief officer of the Commission.</w:t>
      </w:r>
    </w:p>
    <w:p>
      <w:pPr>
        <w:pStyle w:val="Footnotesection"/>
        <w:spacing w:before="100"/>
        <w:ind w:left="890" w:hanging="890"/>
      </w:pPr>
      <w:r>
        <w:tab/>
        <w:t>[Section 32A inserted: No. 59 of 2006 s. 51.]</w:t>
      </w:r>
    </w:p>
    <w:p>
      <w:pPr>
        <w:pStyle w:val="Heading5"/>
        <w:spacing w:before="200"/>
        <w:rPr>
          <w:snapToGrid w:val="0"/>
        </w:rPr>
      </w:pPr>
      <w:bookmarkStart w:id="78" w:name="_Toc131666736"/>
      <w:r>
        <w:rPr>
          <w:rStyle w:val="CharSectno"/>
        </w:rPr>
        <w:lastRenderedPageBreak/>
        <w:t>33</w:t>
      </w:r>
      <w:r>
        <w:rPr>
          <w:snapToGrid w:val="0"/>
        </w:rPr>
        <w:t>.</w:t>
      </w:r>
      <w:r>
        <w:rPr>
          <w:snapToGrid w:val="0"/>
        </w:rPr>
        <w:tab/>
        <w:t>Prosecuting offences</w:t>
      </w:r>
      <w:bookmarkEnd w:id="78"/>
    </w:p>
    <w:p>
      <w:pPr>
        <w:pStyle w:val="Subsection"/>
        <w:spacing w:before="14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4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4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4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w:t>
      </w:r>
    </w:p>
    <w:p>
      <w:pPr>
        <w:pStyle w:val="Indenta"/>
        <w:spacing w:before="60"/>
        <w:rPr>
          <w:snapToGrid w:val="0"/>
        </w:rPr>
      </w:pPr>
      <w:r>
        <w:rPr>
          <w:snapToGrid w:val="0"/>
        </w:rPr>
        <w:tab/>
        <w:t>(a)</w:t>
      </w:r>
      <w:r>
        <w:rPr>
          <w:snapToGrid w:val="0"/>
        </w:rPr>
        <w:tab/>
        <w:t>the name of the person or persons against whom the proceedings have been instituted; and</w:t>
      </w:r>
    </w:p>
    <w:p>
      <w:pPr>
        <w:pStyle w:val="Indenta"/>
        <w:rPr>
          <w:snapToGrid w:val="0"/>
        </w:rPr>
      </w:pPr>
      <w:r>
        <w:rPr>
          <w:snapToGrid w:val="0"/>
        </w:rPr>
        <w:tab/>
        <w:t>(b)</w:t>
      </w:r>
      <w:r>
        <w:rPr>
          <w:snapToGrid w:val="0"/>
        </w:rPr>
        <w:tab/>
        <w:t>the offence or offences alleged in the proceedings; and</w:t>
      </w:r>
    </w:p>
    <w:p>
      <w:pPr>
        <w:pStyle w:val="Indenta"/>
        <w:keepNext/>
        <w:rPr>
          <w:snapToGrid w:val="0"/>
        </w:rPr>
      </w:pPr>
      <w:r>
        <w:rPr>
          <w:snapToGrid w:val="0"/>
        </w:rPr>
        <w:tab/>
        <w:t>(c)</w:t>
      </w:r>
      <w:r>
        <w:rPr>
          <w:snapToGrid w:val="0"/>
        </w:rPr>
        <w:tab/>
        <w:t>the result of the proceedings.</w:t>
      </w:r>
    </w:p>
    <w:p>
      <w:pPr>
        <w:pStyle w:val="Footnotesection"/>
        <w:keepLines w:val="0"/>
        <w:ind w:left="890" w:hanging="890"/>
      </w:pPr>
      <w:r>
        <w:tab/>
        <w:t>[Section 33 amended: No. 24 of 1998 s. 43; No. 35 of 2003 s. 137 and 166; No. 84 of 2004 s. 80.]</w:t>
      </w:r>
    </w:p>
    <w:p>
      <w:pPr>
        <w:pStyle w:val="Heading5"/>
        <w:rPr>
          <w:bCs/>
        </w:rPr>
      </w:pPr>
      <w:bookmarkStart w:id="79" w:name="_Toc131666737"/>
      <w:r>
        <w:rPr>
          <w:rStyle w:val="CharSectno"/>
        </w:rPr>
        <w:t>34</w:t>
      </w:r>
      <w:r>
        <w:rPr>
          <w:bCs/>
        </w:rPr>
        <w:t>.</w:t>
      </w:r>
      <w:r>
        <w:rPr>
          <w:bCs/>
        </w:rPr>
        <w:tab/>
        <w:t>Offences to be dealt with by magistrate</w:t>
      </w:r>
      <w:bookmarkEnd w:id="79"/>
    </w:p>
    <w:p>
      <w:pPr>
        <w:pStyle w:val="Subsection"/>
      </w:pPr>
      <w:r>
        <w:tab/>
      </w:r>
      <w:r>
        <w:tab/>
        <w:t>A court of summary jurisdiction dealing with an offence under this Act is to be constituted by a magistrate.</w:t>
      </w:r>
    </w:p>
    <w:p>
      <w:pPr>
        <w:pStyle w:val="Footnotesection"/>
      </w:pPr>
      <w:r>
        <w:tab/>
        <w:t>[Section 34 inserted: No. 59 of 2004 s. 141.]</w:t>
      </w:r>
    </w:p>
    <w:p>
      <w:pPr>
        <w:pStyle w:val="Heading5"/>
      </w:pPr>
      <w:bookmarkStart w:id="80" w:name="_Toc131666738"/>
      <w:r>
        <w:rPr>
          <w:rStyle w:val="CharSectno"/>
        </w:rPr>
        <w:lastRenderedPageBreak/>
        <w:t>35</w:t>
      </w:r>
      <w:r>
        <w:t>.</w:t>
      </w:r>
      <w:r>
        <w:tab/>
        <w:t>General penalty</w:t>
      </w:r>
      <w:bookmarkEnd w:id="80"/>
    </w:p>
    <w:p>
      <w:pPr>
        <w:pStyle w:val="Subsection"/>
        <w:keepNext/>
        <w:rPr>
          <w:snapToGrid w:val="0"/>
        </w:rPr>
      </w:pPr>
      <w:r>
        <w:tab/>
      </w:r>
      <w:r>
        <w:tab/>
        <w:t>The penalty for an offence under this Act for which no penalty is specifically provided is a fine of $1 000.</w:t>
      </w:r>
    </w:p>
    <w:p>
      <w:pPr>
        <w:pStyle w:val="Footnotesection"/>
      </w:pPr>
      <w:r>
        <w:tab/>
        <w:t>[Section 35 inserted: No. 50 of 2003 s. 66(3).]</w:t>
      </w:r>
    </w:p>
    <w:p>
      <w:pPr>
        <w:pStyle w:val="Heading5"/>
        <w:rPr>
          <w:snapToGrid w:val="0"/>
        </w:rPr>
      </w:pPr>
      <w:bookmarkStart w:id="81" w:name="_Toc131666739"/>
      <w:r>
        <w:rPr>
          <w:rStyle w:val="CharSectno"/>
        </w:rPr>
        <w:t>36</w:t>
      </w:r>
      <w:r>
        <w:rPr>
          <w:snapToGrid w:val="0"/>
        </w:rPr>
        <w:t>.</w:t>
      </w:r>
      <w:r>
        <w:rPr>
          <w:snapToGrid w:val="0"/>
        </w:rPr>
        <w:tab/>
        <w:t>Infringement notices</w:t>
      </w:r>
      <w:bookmarkEnd w:id="81"/>
    </w:p>
    <w:p>
      <w:pPr>
        <w:pStyle w:val="Subsection"/>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w:t>
      </w:r>
    </w:p>
    <w:p>
      <w:pPr>
        <w:pStyle w:val="Indenta"/>
        <w:rPr>
          <w:snapToGrid w:val="0"/>
        </w:rPr>
      </w:pPr>
      <w:r>
        <w:rPr>
          <w:snapToGrid w:val="0"/>
        </w:rPr>
        <w:tab/>
        <w:t>(a)</w:t>
      </w:r>
      <w:r>
        <w:rPr>
          <w:snapToGrid w:val="0"/>
        </w:rPr>
        <w:tab/>
        <w:t>the place where the offence occurs; and</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spacing w:before="180"/>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keepNext/>
        <w:keepLines/>
        <w:rPr>
          <w:snapToGrid w:val="0"/>
        </w:rPr>
      </w:pPr>
      <w:r>
        <w:rPr>
          <w:snapToGrid w:val="0"/>
        </w:rPr>
        <w:lastRenderedPageBreak/>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keepNext/>
        <w:rPr>
          <w:snapToGrid w:val="0"/>
        </w:rPr>
      </w:pPr>
      <w:r>
        <w:rPr>
          <w:snapToGrid w:val="0"/>
        </w:rPr>
        <w:lastRenderedPageBreak/>
        <w:tab/>
        <w:t>(8)</w:t>
      </w:r>
      <w:r>
        <w:rPr>
          <w:snapToGrid w:val="0"/>
        </w:rPr>
        <w:tab/>
        <w:t>The amount of any modified penalty paid pursuant to an infringement notice which has been withdrawn under subsection (7) shall be refunded.</w:t>
      </w:r>
    </w:p>
    <w:p>
      <w:pPr>
        <w:pStyle w:val="Footnotesection"/>
      </w:pPr>
      <w:r>
        <w:tab/>
        <w:t>[Section 36 amended: No. 84 of 2004 s. 80.]</w:t>
      </w:r>
    </w:p>
    <w:p>
      <w:pPr>
        <w:pStyle w:val="Heading5"/>
        <w:rPr>
          <w:snapToGrid w:val="0"/>
        </w:rPr>
      </w:pPr>
      <w:bookmarkStart w:id="82" w:name="_Toc131666740"/>
      <w:r>
        <w:rPr>
          <w:rStyle w:val="CharSectno"/>
        </w:rPr>
        <w:t>37</w:t>
      </w:r>
      <w:r>
        <w:rPr>
          <w:snapToGrid w:val="0"/>
        </w:rPr>
        <w:t>.</w:t>
      </w:r>
      <w:r>
        <w:rPr>
          <w:snapToGrid w:val="0"/>
        </w:rPr>
        <w:tab/>
        <w:t>Criminal liability of directors etc.</w:t>
      </w:r>
      <w:bookmarkEnd w:id="82"/>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ind w:left="890" w:hanging="890"/>
      </w:pPr>
      <w:r>
        <w:tab/>
        <w:t>[Section 37 amended: No. 24 of 1998 s. 44; No. 10 of 2001 s. 87; No. 35 of 2003 s. 166.]</w:t>
      </w:r>
    </w:p>
    <w:p>
      <w:pPr>
        <w:pStyle w:val="Heading5"/>
        <w:rPr>
          <w:snapToGrid w:val="0"/>
        </w:rPr>
      </w:pPr>
      <w:bookmarkStart w:id="83" w:name="_Toc131666741"/>
      <w:r>
        <w:rPr>
          <w:rStyle w:val="CharSectno"/>
        </w:rPr>
        <w:t>38</w:t>
      </w:r>
      <w:r>
        <w:rPr>
          <w:snapToGrid w:val="0"/>
        </w:rPr>
        <w:t>.</w:t>
      </w:r>
      <w:r>
        <w:rPr>
          <w:snapToGrid w:val="0"/>
        </w:rPr>
        <w:tab/>
        <w:t>Service of notices</w:t>
      </w:r>
      <w:bookmarkEnd w:id="83"/>
    </w:p>
    <w:p>
      <w:pPr>
        <w:pStyle w:val="Subsection"/>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keepLines/>
        <w:spacing w:before="60"/>
        <w:rPr>
          <w:snapToGrid w:val="0"/>
        </w:rPr>
      </w:pPr>
      <w:r>
        <w:rPr>
          <w:snapToGrid w:val="0"/>
        </w:rPr>
        <w:lastRenderedPageBreak/>
        <w:tab/>
        <w:t>(b)</w:t>
      </w:r>
      <w:r>
        <w:rPr>
          <w:snapToGrid w:val="0"/>
        </w:rPr>
        <w:tab/>
        <w:t xml:space="preserve">a body of persons </w:t>
      </w:r>
      <w:r>
        <w:t xml:space="preserve">incorporated, or taken to be incorporated, under the </w:t>
      </w:r>
      <w:r>
        <w:rPr>
          <w:i/>
        </w:rPr>
        <w:t>Associations Incorporation Act 2015</w:t>
      </w:r>
      <w:r>
        <w:t xml:space="preserve">, </w:t>
      </w:r>
      <w:r>
        <w:rPr>
          <w:snapToGrid w:val="0"/>
        </w:rPr>
        <w:t>by service in a manner authorised for the service of a notice under that Act,</w:t>
      </w:r>
    </w:p>
    <w:p>
      <w:pPr>
        <w:pStyle w:val="Subsection"/>
        <w:keepLines/>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ind w:left="890" w:hanging="890"/>
      </w:pPr>
      <w:r>
        <w:tab/>
        <w:t>[Section 38 amended: No. 24 of 1998 s. 45; No. 10 of 2001 s. 88; No. 35 of 2003 s. 139; No. 30 of 2015 s. 217.]</w:t>
      </w:r>
    </w:p>
    <w:p>
      <w:pPr>
        <w:pStyle w:val="Heading5"/>
        <w:rPr>
          <w:snapToGrid w:val="0"/>
        </w:rPr>
      </w:pPr>
      <w:bookmarkStart w:id="84" w:name="_Toc131666742"/>
      <w:r>
        <w:rPr>
          <w:rStyle w:val="CharSectno"/>
        </w:rPr>
        <w:t>39</w:t>
      </w:r>
      <w:r>
        <w:rPr>
          <w:snapToGrid w:val="0"/>
        </w:rPr>
        <w:t>.</w:t>
      </w:r>
      <w:r>
        <w:rPr>
          <w:snapToGrid w:val="0"/>
        </w:rPr>
        <w:tab/>
        <w:t>Evidentiary provisions for charges of offences</w:t>
      </w:r>
      <w:bookmarkEnd w:id="84"/>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 and</w:t>
      </w:r>
    </w:p>
    <w:p>
      <w:pPr>
        <w:pStyle w:val="Indenta"/>
        <w:rPr>
          <w:snapToGrid w:val="0"/>
        </w:rPr>
      </w:pPr>
      <w:r>
        <w:rPr>
          <w:snapToGrid w:val="0"/>
        </w:rPr>
        <w:tab/>
        <w:t>(b)</w:t>
      </w:r>
      <w:r>
        <w:rPr>
          <w:snapToGrid w:val="0"/>
        </w:rPr>
        <w:tab/>
        <w:t>a document signed by a member of the Commission stating that at the time or during the period stated in the document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keepLines/>
        <w:rPr>
          <w:snapToGrid w:val="0"/>
        </w:rPr>
      </w:pPr>
      <w:r>
        <w:rPr>
          <w:snapToGrid w:val="0"/>
        </w:rPr>
        <w:lastRenderedPageBreak/>
        <w:tab/>
      </w:r>
      <w:r>
        <w:rPr>
          <w:snapToGrid w:val="0"/>
        </w:rPr>
        <w:tab/>
        <w:t>shall be evidence of the facts stated and, in the absence of evidence to the contrary, conclusive evidence; and</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 and</w:t>
      </w:r>
    </w:p>
    <w:p>
      <w:pPr>
        <w:pStyle w:val="Indenta"/>
        <w:rPr>
          <w:snapToGrid w:val="0"/>
        </w:rPr>
      </w:pPr>
      <w:r>
        <w:rPr>
          <w:snapToGrid w:val="0"/>
        </w:rPr>
        <w:tab/>
        <w:t>(d)</w:t>
      </w:r>
      <w:r>
        <w:rPr>
          <w:snapToGrid w:val="0"/>
        </w:rPr>
        <w:tab/>
        <w:t>an averment that —</w:t>
      </w:r>
    </w:p>
    <w:p>
      <w:pPr>
        <w:pStyle w:val="Indenti"/>
        <w:rPr>
          <w:snapToGrid w:val="0"/>
        </w:rPr>
      </w:pPr>
      <w:r>
        <w:rPr>
          <w:snapToGrid w:val="0"/>
        </w:rPr>
        <w:tab/>
        <w:t>(i)</w:t>
      </w:r>
      <w:r>
        <w:rPr>
          <w:snapToGrid w:val="0"/>
        </w:rPr>
        <w:tab/>
        <w:t>a person is of a specified age or is under or over a specified age; or</w:t>
      </w:r>
    </w:p>
    <w:p>
      <w:pPr>
        <w:pStyle w:val="Indenti"/>
        <w:rPr>
          <w:snapToGrid w:val="0"/>
        </w:rPr>
      </w:pPr>
      <w:r>
        <w:rPr>
          <w:snapToGrid w:val="0"/>
        </w:rPr>
        <w:tab/>
        <w:t>(ii)</w:t>
      </w:r>
      <w:r>
        <w:rPr>
          <w:snapToGrid w:val="0"/>
        </w:rPr>
        <w:tab/>
        <w:t>that any premises at which an offence was committed was a place to which an approval, permit or certificate applies or did not apply; or</w:t>
      </w:r>
    </w:p>
    <w:p>
      <w:pPr>
        <w:pStyle w:val="Indenti"/>
        <w:rPr>
          <w:snapToGrid w:val="0"/>
        </w:rPr>
      </w:pPr>
      <w:r>
        <w:rPr>
          <w:snapToGrid w:val="0"/>
        </w:rPr>
        <w:tab/>
        <w:t>(iii)</w:t>
      </w:r>
      <w:r>
        <w:rPr>
          <w:snapToGrid w:val="0"/>
        </w:rPr>
        <w:tab/>
        <w:t>a specified game is of a kind essentially similar to a game of another specified kind; or</w:t>
      </w:r>
    </w:p>
    <w:p>
      <w:pPr>
        <w:pStyle w:val="Indenti"/>
        <w:rPr>
          <w:snapToGrid w:val="0"/>
        </w:rPr>
      </w:pPr>
      <w:r>
        <w:rPr>
          <w:snapToGrid w:val="0"/>
        </w:rPr>
        <w:tab/>
        <w:t>(iiia)</w:t>
      </w:r>
      <w:r>
        <w:rPr>
          <w:snapToGrid w:val="0"/>
        </w:rPr>
        <w:tab/>
        <w:t>a specified game is a game that is commonly played in casinos (whether in Australia or elsewhere) or is a variation or derivative of such a game; or</w:t>
      </w:r>
    </w:p>
    <w:p>
      <w:pPr>
        <w:pStyle w:val="Indenti"/>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w:t>
      </w:r>
      <w:r>
        <w:rPr>
          <w:snapToGrid w:val="0"/>
        </w:rPr>
        <w:lastRenderedPageBreak/>
        <w:t>hearing of the charge the authorised officer, member of the Police Force or person acting on request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 and</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 and</w:t>
      </w:r>
    </w:p>
    <w:p>
      <w:pPr>
        <w:pStyle w:val="Indenta"/>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 and</w:t>
      </w:r>
    </w:p>
    <w:p>
      <w:pPr>
        <w:pStyle w:val="Indenta"/>
        <w:keepLines/>
        <w:spacing w:before="9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 and</w:t>
      </w:r>
    </w:p>
    <w:p>
      <w:pPr>
        <w:pStyle w:val="Indenta"/>
        <w:spacing w:before="90"/>
        <w:rPr>
          <w:snapToGrid w:val="0"/>
        </w:rPr>
      </w:pPr>
      <w:r>
        <w:rPr>
          <w:snapToGrid w:val="0"/>
        </w:rPr>
        <w:lastRenderedPageBreak/>
        <w:tab/>
        <w:t>(c)</w:t>
      </w:r>
      <w:r>
        <w:rPr>
          <w:snapToGrid w:val="0"/>
        </w:rPr>
        <w:tab/>
        <w:t>the public shall be deemed to have or be permitted to have access to a place where that place is for the time being open to the public whether or not a charge or levy is made or payment for admittance is required; and</w:t>
      </w:r>
    </w:p>
    <w:p>
      <w:pPr>
        <w:pStyle w:val="Indenta"/>
        <w:spacing w:before="90"/>
        <w:rPr>
          <w:snapToGrid w:val="0"/>
        </w:rPr>
      </w:pPr>
      <w:r>
        <w:rPr>
          <w:snapToGrid w:val="0"/>
        </w:rPr>
        <w:tab/>
        <w:t>(d)</w:t>
      </w:r>
      <w:r>
        <w:rPr>
          <w:snapToGrid w:val="0"/>
        </w:rPr>
        <w:tab/>
        <w:t>the playing of a game of chance or participation in any activity which —</w:t>
      </w:r>
    </w:p>
    <w:p>
      <w:pPr>
        <w:pStyle w:val="Indenti"/>
        <w:spacing w:before="90"/>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 or</w:t>
      </w:r>
    </w:p>
    <w:p>
      <w:pPr>
        <w:pStyle w:val="Indenti"/>
        <w:spacing w:before="90"/>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spacing w:before="90"/>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spacing w:before="90"/>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spacing w:before="90"/>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w:t>
      </w:r>
    </w:p>
    <w:p>
      <w:pPr>
        <w:pStyle w:val="Indenti"/>
        <w:spacing w:before="90"/>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spacing w:before="90"/>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rPr>
          <w:snapToGrid w:val="0"/>
        </w:rPr>
      </w:pPr>
      <w:r>
        <w:rPr>
          <w:snapToGrid w:val="0"/>
        </w:rPr>
        <w:lastRenderedPageBreak/>
        <w:tab/>
        <w:t>(3)</w:t>
      </w:r>
      <w:r>
        <w:rPr>
          <w:snapToGrid w:val="0"/>
        </w:rPr>
        <w:tab/>
        <w:t>Where on the hearing of a prosecution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w:t>
      </w:r>
    </w:p>
    <w:p>
      <w:pPr>
        <w:pStyle w:val="Indenti"/>
        <w:rPr>
          <w:snapToGrid w:val="0"/>
        </w:rPr>
      </w:pPr>
      <w:r>
        <w:rPr>
          <w:snapToGrid w:val="0"/>
        </w:rPr>
        <w:tab/>
        <w:t>(i)</w:t>
      </w:r>
      <w:r>
        <w:rPr>
          <w:snapToGrid w:val="0"/>
        </w:rPr>
        <w:tab/>
      </w:r>
      <w:r>
        <w:t>gambling</w:t>
      </w:r>
      <w:r>
        <w:rPr>
          <w:snapToGrid w:val="0"/>
        </w:rPr>
        <w:t xml:space="preserve"> in; or</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rPr>
          <w:snapToGrid w:val="0"/>
        </w:rPr>
      </w:pPr>
      <w:r>
        <w:rPr>
          <w:snapToGrid w:val="0"/>
        </w:rPr>
        <w:tab/>
      </w:r>
      <w:r>
        <w:rPr>
          <w:snapToGrid w:val="0"/>
        </w:rPr>
        <w:tab/>
        <w:t>it shall be presumed, unless the contrary is proved, that games played at those premises were games played for money.</w:t>
      </w:r>
    </w:p>
    <w:p>
      <w:pPr>
        <w:pStyle w:val="Subsection"/>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w:t>
      </w:r>
    </w:p>
    <w:p>
      <w:pPr>
        <w:pStyle w:val="Indenta"/>
        <w:rPr>
          <w:snapToGrid w:val="0"/>
        </w:rPr>
      </w:pPr>
      <w:r>
        <w:rPr>
          <w:snapToGrid w:val="0"/>
        </w:rPr>
        <w:tab/>
        <w:t>(a)</w:t>
      </w:r>
      <w:r>
        <w:rPr>
          <w:snapToGrid w:val="0"/>
        </w:rPr>
        <w:tab/>
        <w:t>taking part in the conduct of the game; or</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spacing w:before="200"/>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keepLines w:val="0"/>
        <w:ind w:left="890" w:hanging="890"/>
      </w:pPr>
      <w:r>
        <w:tab/>
        <w:t>[Section 39 amended: No. 16 of 1990 s. 33; No. 24 of 1998 s. 46; No. 35 of 2003 s. 140, 166 and 167; No. 84 of 2004 s. 80.]</w:t>
      </w:r>
    </w:p>
    <w:p>
      <w:pPr>
        <w:pStyle w:val="Heading5"/>
        <w:rPr>
          <w:snapToGrid w:val="0"/>
        </w:rPr>
      </w:pPr>
      <w:bookmarkStart w:id="85" w:name="_Toc131666743"/>
      <w:r>
        <w:rPr>
          <w:rStyle w:val="CharSectno"/>
        </w:rPr>
        <w:lastRenderedPageBreak/>
        <w:t>40</w:t>
      </w:r>
      <w:r>
        <w:rPr>
          <w:snapToGrid w:val="0"/>
        </w:rPr>
        <w:t>.</w:t>
      </w:r>
      <w:r>
        <w:rPr>
          <w:snapToGrid w:val="0"/>
        </w:rPr>
        <w:tab/>
        <w:t>Evidentiary provisions for charges involving common gaming houses</w:t>
      </w:r>
      <w:bookmarkEnd w:id="85"/>
    </w:p>
    <w:p>
      <w:pPr>
        <w:pStyle w:val="Subsection"/>
        <w:rPr>
          <w:snapToGrid w:val="0"/>
        </w:rPr>
      </w:pPr>
      <w:r>
        <w:rPr>
          <w:snapToGrid w:val="0"/>
        </w:rPr>
        <w:tab/>
        <w:t>(1)</w:t>
      </w:r>
      <w:r>
        <w:rPr>
          <w:snapToGrid w:val="0"/>
        </w:rPr>
        <w:tab/>
        <w:t>Where a person is charged with an offence in relation to any premises alleged to be a common gaming house —</w:t>
      </w:r>
    </w:p>
    <w:p>
      <w:pPr>
        <w:pStyle w:val="Indenta"/>
        <w:spacing w:before="70"/>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spacing w:before="70"/>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spacing w:before="70"/>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w:t>
      </w:r>
    </w:p>
    <w:p>
      <w:pPr>
        <w:pStyle w:val="Indenti"/>
        <w:spacing w:before="70"/>
        <w:rPr>
          <w:snapToGrid w:val="0"/>
        </w:rPr>
      </w:pPr>
      <w:r>
        <w:rPr>
          <w:snapToGrid w:val="0"/>
        </w:rPr>
        <w:tab/>
        <w:t>(i)</w:t>
      </w:r>
      <w:r>
        <w:rPr>
          <w:snapToGrid w:val="0"/>
        </w:rPr>
        <w:tab/>
        <w:t>the game is an unlawful game; or</w:t>
      </w:r>
    </w:p>
    <w:p>
      <w:pPr>
        <w:pStyle w:val="Indenti"/>
        <w:spacing w:before="70"/>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 or</w:t>
      </w:r>
    </w:p>
    <w:p>
      <w:pPr>
        <w:pStyle w:val="Indenti"/>
        <w:spacing w:before="70"/>
        <w:rPr>
          <w:snapToGrid w:val="0"/>
        </w:rPr>
      </w:pPr>
      <w:r>
        <w:rPr>
          <w:snapToGrid w:val="0"/>
        </w:rPr>
        <w:tab/>
        <w:t>(iii)</w:t>
      </w:r>
      <w:r>
        <w:rPr>
          <w:snapToGrid w:val="0"/>
        </w:rPr>
        <w:tab/>
        <w:t>the nature of the game is such that the chances in the game are not equally favourable to all players; or</w:t>
      </w:r>
    </w:p>
    <w:p>
      <w:pPr>
        <w:pStyle w:val="Indenti"/>
        <w:spacing w:before="70"/>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 or</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lastRenderedPageBreak/>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pPr>
      <w:r>
        <w:tab/>
        <w:t>(3)</w:t>
      </w:r>
      <w:r>
        <w:tab/>
        <w:t>Despite any rule of law, premises shall not be taken to be a common gaming house or a common betting house by reason only of the carrying on there of gaming or wagering.</w:t>
      </w:r>
    </w:p>
    <w:p>
      <w:pPr>
        <w:pStyle w:val="Subsection"/>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rPr>
          <w:snapToGrid w:val="0"/>
        </w:rPr>
      </w:pPr>
      <w:r>
        <w:rPr>
          <w:snapToGrid w:val="0"/>
        </w:rPr>
        <w:tab/>
        <w:t>(4)</w:t>
      </w:r>
      <w:r>
        <w:rPr>
          <w:snapToGrid w:val="0"/>
        </w:rPr>
        <w:tab/>
        <w:t>Where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 or</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 or</w:t>
      </w:r>
    </w:p>
    <w:p>
      <w:pPr>
        <w:pStyle w:val="Indenta"/>
        <w:rPr>
          <w:snapToGrid w:val="0"/>
        </w:rPr>
      </w:pPr>
      <w:r>
        <w:rPr>
          <w:snapToGrid w:val="0"/>
        </w:rPr>
        <w:tab/>
        <w:t>(c)</w:t>
      </w:r>
      <w:r>
        <w:rPr>
          <w:snapToGrid w:val="0"/>
        </w:rPr>
        <w:tab/>
        <w:t xml:space="preserve">any premises are found to be fitted or provided with any means or contrivance related to the conduct of unlawful </w:t>
      </w:r>
      <w:r>
        <w:rPr>
          <w:snapToGrid w:val="0"/>
        </w:rPr>
        <w:lastRenderedPageBreak/>
        <w:t>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ind w:left="890" w:hanging="890"/>
      </w:pPr>
      <w:r>
        <w:tab/>
        <w:t>[Section 40 amended: No. 35 of 2003 s. 141.]</w:t>
      </w:r>
    </w:p>
    <w:p>
      <w:pPr>
        <w:pStyle w:val="Heading2"/>
      </w:pPr>
      <w:bookmarkStart w:id="86" w:name="_Toc115166595"/>
      <w:bookmarkStart w:id="87" w:name="_Toc115166752"/>
      <w:bookmarkStart w:id="88" w:name="_Toc115267826"/>
      <w:bookmarkStart w:id="89" w:name="_Toc131666744"/>
      <w:r>
        <w:rPr>
          <w:rStyle w:val="CharPartNo"/>
        </w:rPr>
        <w:lastRenderedPageBreak/>
        <w:t>Part IV</w:t>
      </w:r>
      <w:r>
        <w:rPr>
          <w:rStyle w:val="CharDivNo"/>
        </w:rPr>
        <w:t> </w:t>
      </w:r>
      <w:r>
        <w:t>—</w:t>
      </w:r>
      <w:r>
        <w:rPr>
          <w:rStyle w:val="CharDivText"/>
        </w:rPr>
        <w:t> </w:t>
      </w:r>
      <w:r>
        <w:rPr>
          <w:rStyle w:val="CharPartText"/>
        </w:rPr>
        <w:t>Common gaming houses, unlawful gaming, cheating etc.</w:t>
      </w:r>
      <w:bookmarkEnd w:id="86"/>
      <w:bookmarkEnd w:id="87"/>
      <w:bookmarkEnd w:id="88"/>
      <w:bookmarkEnd w:id="89"/>
    </w:p>
    <w:p>
      <w:pPr>
        <w:pStyle w:val="Heading5"/>
      </w:pPr>
      <w:bookmarkStart w:id="90" w:name="_Toc131666745"/>
      <w:r>
        <w:rPr>
          <w:rStyle w:val="CharSectno"/>
        </w:rPr>
        <w:t>40A</w:t>
      </w:r>
      <w:r>
        <w:t>.</w:t>
      </w:r>
      <w:r>
        <w:tab/>
        <w:t>Part does not apply to gambling under other written laws</w:t>
      </w:r>
      <w:bookmarkEnd w:id="90"/>
    </w:p>
    <w:p>
      <w:pPr>
        <w:pStyle w:val="Subsection"/>
      </w:pPr>
      <w:r>
        <w:tab/>
      </w:r>
      <w:r>
        <w:tab/>
        <w:t>In this Part —</w:t>
      </w:r>
    </w:p>
    <w:p>
      <w:pPr>
        <w:pStyle w:val="Defstart"/>
      </w:pPr>
      <w:r>
        <w:rPr>
          <w:b/>
        </w:rPr>
        <w:tab/>
      </w:r>
      <w:r>
        <w:rPr>
          <w:rStyle w:val="CharDefText"/>
        </w:rPr>
        <w:t>gambling</w:t>
      </w:r>
      <w:r>
        <w:t xml:space="preserve"> and </w:t>
      </w:r>
      <w:r>
        <w:rPr>
          <w:rStyle w:val="CharDefText"/>
        </w:rPr>
        <w:t>wagering</w:t>
      </w:r>
      <w:r>
        <w:t>, except in relation to section 44, do not include gambling under and in accordance with —</w:t>
      </w:r>
    </w:p>
    <w:p>
      <w:pPr>
        <w:pStyle w:val="Defpara"/>
      </w:pPr>
      <w:r>
        <w:tab/>
        <w:t>(a)</w:t>
      </w:r>
      <w:r>
        <w:tab/>
        <w:t xml:space="preserve">the </w:t>
      </w:r>
      <w:r>
        <w:rPr>
          <w:i/>
        </w:rPr>
        <w:t>Betting Control Act 1954</w:t>
      </w:r>
      <w:r>
        <w:t>; or</w:t>
      </w:r>
    </w:p>
    <w:p>
      <w:pPr>
        <w:pStyle w:val="Defpara"/>
      </w:pPr>
      <w:r>
        <w:tab/>
        <w:t>(b)</w:t>
      </w:r>
      <w:r>
        <w:tab/>
        <w:t xml:space="preserve">the </w:t>
      </w:r>
      <w:r>
        <w:rPr>
          <w:i/>
        </w:rPr>
        <w:t>Lotteries Commission Act 1990</w:t>
      </w:r>
      <w:r>
        <w:t>; or</w:t>
      </w:r>
    </w:p>
    <w:p>
      <w:pPr>
        <w:pStyle w:val="Defpara"/>
      </w:pPr>
      <w:r>
        <w:tab/>
        <w:t>(c)</w:t>
      </w:r>
      <w:r>
        <w:tab/>
        <w:t>the RWWA Act; or</w:t>
      </w:r>
    </w:p>
    <w:p>
      <w:pPr>
        <w:pStyle w:val="Defpara"/>
      </w:pPr>
      <w:r>
        <w:tab/>
        <w:t>(d)</w:t>
      </w:r>
      <w:r>
        <w:tab/>
        <w:t xml:space="preserve">the </w:t>
      </w:r>
      <w:r>
        <w:rPr>
          <w:i/>
        </w:rPr>
        <w:t>Casino Control Act 1984</w:t>
      </w:r>
      <w:r>
        <w:t>.</w:t>
      </w:r>
    </w:p>
    <w:p>
      <w:pPr>
        <w:pStyle w:val="Footnotesection"/>
        <w:ind w:left="890" w:hanging="890"/>
      </w:pPr>
      <w:r>
        <w:tab/>
        <w:t>[Section 40A inserted: No. 35 of 2003 s. 142.]</w:t>
      </w:r>
    </w:p>
    <w:p>
      <w:pPr>
        <w:pStyle w:val="Heading5"/>
        <w:rPr>
          <w:snapToGrid w:val="0"/>
        </w:rPr>
      </w:pPr>
      <w:bookmarkStart w:id="91" w:name="_Toc131666746"/>
      <w:r>
        <w:rPr>
          <w:rStyle w:val="CharSectno"/>
        </w:rPr>
        <w:t>41</w:t>
      </w:r>
      <w:r>
        <w:rPr>
          <w:snapToGrid w:val="0"/>
        </w:rPr>
        <w:t>.</w:t>
      </w:r>
      <w:r>
        <w:rPr>
          <w:snapToGrid w:val="0"/>
        </w:rPr>
        <w:tab/>
        <w:t>Common gaming house, meaning of and offences as to</w:t>
      </w:r>
      <w:bookmarkEnd w:id="91"/>
    </w:p>
    <w:p>
      <w:pPr>
        <w:pStyle w:val="Subsection"/>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rPr>
          <w:snapToGrid w:val="0"/>
        </w:rPr>
      </w:pPr>
      <w:r>
        <w:rPr>
          <w:snapToGrid w:val="0"/>
        </w:rPr>
        <w:tab/>
        <w:t>(3)</w:t>
      </w:r>
      <w:r>
        <w:rPr>
          <w:snapToGrid w:val="0"/>
        </w:rPr>
        <w:tab/>
        <w:t>Where any premises are opened, kept or used as a common gaming house —</w:t>
      </w:r>
    </w:p>
    <w:p>
      <w:pPr>
        <w:pStyle w:val="Indenta"/>
        <w:rPr>
          <w:snapToGrid w:val="0"/>
        </w:rPr>
      </w:pPr>
      <w:r>
        <w:rPr>
          <w:snapToGrid w:val="0"/>
        </w:rPr>
        <w:tab/>
        <w:t>(a)</w:t>
      </w:r>
      <w:r>
        <w:rPr>
          <w:snapToGrid w:val="0"/>
        </w:rPr>
        <w:tab/>
        <w:t>a person concerned in the conduct of the</w:t>
      </w:r>
      <w:r>
        <w:t xml:space="preserve"> gambling</w:t>
      </w:r>
      <w:r>
        <w:rPr>
          <w:snapToGrid w:val="0"/>
        </w:rPr>
        <w:t>; and</w:t>
      </w:r>
    </w:p>
    <w:p>
      <w:pPr>
        <w:pStyle w:val="Indenta"/>
        <w:rPr>
          <w:snapToGrid w:val="0"/>
        </w:rPr>
      </w:pPr>
      <w:r>
        <w:rPr>
          <w:snapToGrid w:val="0"/>
        </w:rPr>
        <w:tab/>
        <w:t>(b)</w:t>
      </w:r>
      <w:r>
        <w:rPr>
          <w:snapToGrid w:val="0"/>
        </w:rPr>
        <w:tab/>
        <w:t xml:space="preserve">the owner of the premises, unless he proves that he did not know and could not reasonably be expected to have </w:t>
      </w:r>
      <w:r>
        <w:rPr>
          <w:snapToGrid w:val="0"/>
        </w:rPr>
        <w:lastRenderedPageBreak/>
        <w:t xml:space="preserve">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$10 000, or imprisonment for 2 years, or both.</w:t>
      </w:r>
    </w:p>
    <w:p>
      <w:pPr>
        <w:pStyle w:val="Subsection"/>
        <w:rPr>
          <w:snapToGrid w:val="0"/>
        </w:rPr>
      </w:pPr>
      <w:r>
        <w:rPr>
          <w:snapToGrid w:val="0"/>
        </w:rPr>
        <w:tab/>
        <w:t>(4)</w:t>
      </w:r>
      <w:r>
        <w:rPr>
          <w:snapToGrid w:val="0"/>
        </w:rPr>
        <w:tab/>
        <w:t>For the purposes of subsection (3), any person who —</w:t>
      </w:r>
    </w:p>
    <w:p>
      <w:pPr>
        <w:pStyle w:val="Indenta"/>
        <w:rPr>
          <w:snapToGrid w:val="0"/>
        </w:rPr>
      </w:pPr>
      <w:r>
        <w:rPr>
          <w:snapToGrid w:val="0"/>
        </w:rPr>
        <w:tab/>
        <w:t>(a)</w:t>
      </w:r>
      <w:r>
        <w:rPr>
          <w:snapToGrid w:val="0"/>
        </w:rPr>
        <w:tab/>
        <w:t>causes, procures or attempts to procure any other person to commit an offence of a kind referred to in that subsection; or</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w:t>
      </w:r>
    </w:p>
    <w:p>
      <w:pPr>
        <w:pStyle w:val="Indenti"/>
        <w:rPr>
          <w:snapToGrid w:val="0"/>
        </w:rPr>
      </w:pPr>
      <w:r>
        <w:rPr>
          <w:snapToGrid w:val="0"/>
        </w:rPr>
        <w:tab/>
        <w:t>(i)</w:t>
      </w:r>
      <w:r>
        <w:rPr>
          <w:snapToGrid w:val="0"/>
        </w:rPr>
        <w:tab/>
        <w:t>providing, servicing, operating or using any gaming equipment or instrument of gaming; or</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keepLines/>
        <w:rPr>
          <w:snapToGrid w:val="0"/>
        </w:rPr>
      </w:pPr>
      <w:r>
        <w:rPr>
          <w:snapToGrid w:val="0"/>
        </w:rPr>
        <w:lastRenderedPageBreak/>
        <w:tab/>
        <w:t>(5)</w:t>
      </w:r>
      <w:r>
        <w:rPr>
          <w:snapToGrid w:val="0"/>
        </w:rPr>
        <w:tab/>
        <w:t>The court by or before which a person is convicted of an offence under subsection (3) shall order any gaming equipment, instruments of gaming or related furnishings, and any money or other thing which has been seized and which the court is satisfied was found to be on the premises at the time of the offence, not being money or a thing shown to the satisfaction of the court not to relate to the offence, to be forfeited to the Crown.</w:t>
      </w:r>
    </w:p>
    <w:p>
      <w:pPr>
        <w:pStyle w:val="Subsection"/>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r>
      <w:r>
        <w:t>Penalty for this subsection: a fine of</w:t>
      </w:r>
      <w:r>
        <w:rPr>
          <w:snapToGrid w:val="0"/>
        </w:rPr>
        <w:t xml:space="preserve">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No. 24 of 1998 s. 47; No. 35 of 2003 s. 143 and 166; No. 59 of 2006 s. 52; No. 41 of 2018 s. 25(1).]</w:t>
      </w:r>
    </w:p>
    <w:p>
      <w:pPr>
        <w:pStyle w:val="Heading5"/>
        <w:rPr>
          <w:snapToGrid w:val="0"/>
        </w:rPr>
      </w:pPr>
      <w:bookmarkStart w:id="92" w:name="_Toc131666747"/>
      <w:r>
        <w:rPr>
          <w:rStyle w:val="CharSectno"/>
        </w:rPr>
        <w:t>42</w:t>
      </w:r>
      <w:r>
        <w:rPr>
          <w:snapToGrid w:val="0"/>
        </w:rPr>
        <w:t>.</w:t>
      </w:r>
      <w:r>
        <w:rPr>
          <w:snapToGrid w:val="0"/>
        </w:rPr>
        <w:tab/>
        <w:t>Prohibited gaming and unlawful games defined and offences as to</w:t>
      </w:r>
      <w:bookmarkEnd w:id="92"/>
    </w:p>
    <w:p>
      <w:pPr>
        <w:pStyle w:val="Subsection"/>
        <w:rPr>
          <w:snapToGrid w:val="0"/>
        </w:rPr>
      </w:pPr>
      <w:r>
        <w:rPr>
          <w:snapToGrid w:val="0"/>
        </w:rPr>
        <w:tab/>
        <w:t>(1)</w:t>
      </w:r>
      <w:r>
        <w:rPr>
          <w:snapToGrid w:val="0"/>
        </w:rPr>
        <w:tab/>
        <w:t>Subject to subsection (3), the conduct of gaming by means of or the playing of —</w:t>
      </w:r>
    </w:p>
    <w:p>
      <w:pPr>
        <w:pStyle w:val="Indenta"/>
        <w:spacing w:before="60"/>
        <w:rPr>
          <w:snapToGrid w:val="0"/>
        </w:rPr>
      </w:pPr>
      <w:r>
        <w:rPr>
          <w:snapToGrid w:val="0"/>
        </w:rPr>
        <w:tab/>
        <w:t>(a)</w:t>
      </w:r>
      <w:r>
        <w:rPr>
          <w:snapToGrid w:val="0"/>
        </w:rPr>
        <w:tab/>
        <w:t>thimblerig; or</w:t>
      </w:r>
    </w:p>
    <w:p>
      <w:pPr>
        <w:pStyle w:val="Indenta"/>
        <w:spacing w:before="60"/>
        <w:rPr>
          <w:snapToGrid w:val="0"/>
        </w:rPr>
      </w:pPr>
      <w:r>
        <w:rPr>
          <w:snapToGrid w:val="0"/>
        </w:rPr>
        <w:tab/>
        <w:t>(b)</w:t>
      </w:r>
      <w:r>
        <w:rPr>
          <w:snapToGrid w:val="0"/>
        </w:rPr>
        <w:tab/>
        <w:t>two</w:t>
      </w:r>
      <w:r>
        <w:rPr>
          <w:snapToGrid w:val="0"/>
        </w:rPr>
        <w:noBreakHyphen/>
        <w:t>up, other than permitted two</w:t>
      </w:r>
      <w:r>
        <w:rPr>
          <w:snapToGrid w:val="0"/>
        </w:rPr>
        <w:noBreakHyphen/>
        <w:t>up; or</w:t>
      </w:r>
    </w:p>
    <w:p>
      <w:pPr>
        <w:pStyle w:val="Indenta"/>
        <w:spacing w:before="60"/>
        <w:rPr>
          <w:snapToGrid w:val="0"/>
        </w:rPr>
      </w:pPr>
      <w:r>
        <w:rPr>
          <w:snapToGrid w:val="0"/>
        </w:rPr>
        <w:tab/>
        <w:t>(c)</w:t>
      </w:r>
      <w:r>
        <w:rPr>
          <w:snapToGrid w:val="0"/>
        </w:rPr>
        <w:tab/>
        <w:t xml:space="preserve">a game of a kind to which section 46(2)(a) refers or the playing of which would contravene the prohibitions </w:t>
      </w:r>
      <w:r>
        <w:rPr>
          <w:snapToGrid w:val="0"/>
        </w:rPr>
        <w:lastRenderedPageBreak/>
        <w:t>referred to in section 46(2)(b), other than at Burswood Casino; or</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 or</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spacing w:before="100"/>
        <w:rPr>
          <w:snapToGrid w:val="0"/>
        </w:rPr>
      </w:pPr>
      <w:r>
        <w:rPr>
          <w:snapToGrid w:val="0"/>
        </w:rPr>
        <w:tab/>
      </w:r>
      <w:r>
        <w:rPr>
          <w:snapToGrid w:val="0"/>
        </w:rPr>
        <w:tab/>
        <w:t>is prohibited.</w:t>
      </w:r>
    </w:p>
    <w:p>
      <w:pPr>
        <w:pStyle w:val="Subsection"/>
        <w:spacing w:before="100"/>
        <w:rPr>
          <w:snapToGrid w:val="0"/>
        </w:rPr>
      </w:pPr>
      <w:r>
        <w:rPr>
          <w:snapToGrid w:val="0"/>
        </w:rPr>
        <w:tab/>
        <w:t>(2)</w:t>
      </w:r>
      <w:r>
        <w:rPr>
          <w:snapToGrid w:val="0"/>
        </w:rPr>
        <w:tab/>
        <w:t>Any game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spacing w:before="100"/>
        <w:rPr>
          <w:snapToGrid w:val="0"/>
        </w:rPr>
      </w:pPr>
      <w:r>
        <w:rPr>
          <w:snapToGrid w:val="0"/>
        </w:rPr>
        <w:tab/>
      </w:r>
      <w:r>
        <w:rPr>
          <w:snapToGrid w:val="0"/>
        </w:rPr>
        <w:tab/>
        <w:t>is for the purposes of this Act or any other law deemed to be an unlawful game.</w:t>
      </w:r>
    </w:p>
    <w:p>
      <w:pPr>
        <w:pStyle w:val="Subsection"/>
        <w:spacing w:before="100"/>
        <w:rPr>
          <w:snapToGrid w:val="0"/>
        </w:rPr>
      </w:pPr>
      <w:r>
        <w:rPr>
          <w:snapToGrid w:val="0"/>
        </w:rPr>
        <w:tab/>
        <w:t>(3)</w:t>
      </w:r>
      <w:r>
        <w:rPr>
          <w:snapToGrid w:val="0"/>
        </w:rPr>
        <w:tab/>
        <w:t>The prohibition declared in subsection (1) shall not have effect in relation to the playing of —</w:t>
      </w:r>
    </w:p>
    <w:p>
      <w:pPr>
        <w:pStyle w:val="Indenta"/>
        <w:rPr>
          <w:snapToGrid w:val="0"/>
        </w:rPr>
      </w:pPr>
      <w:r>
        <w:rPr>
          <w:snapToGrid w:val="0"/>
        </w:rPr>
        <w:tab/>
        <w:t>(a)</w:t>
      </w:r>
      <w:r>
        <w:rPr>
          <w:snapToGrid w:val="0"/>
        </w:rPr>
        <w:tab/>
        <w:t>games with prizes being games of chance and skill combined in which skill is the predominant factor where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lastRenderedPageBreak/>
        <w:tab/>
        <w:t>(b)</w:t>
      </w:r>
      <w:r>
        <w:rPr>
          <w:snapToGrid w:val="0"/>
        </w:rPr>
        <w:tab/>
        <w:t>games of chance not played for winnings in money or money’s worth, played at a public place to which the public have or are permitted to have access;</w:t>
      </w:r>
    </w:p>
    <w:p>
      <w:pPr>
        <w:pStyle w:val="Indenta"/>
        <w:spacing w:before="60"/>
        <w:rPr>
          <w:snapToGrid w:val="0"/>
        </w:rPr>
      </w:pPr>
      <w:r>
        <w:rPr>
          <w:snapToGrid w:val="0"/>
        </w:rPr>
        <w:tab/>
        <w:t>(c)</w:t>
      </w:r>
      <w:r>
        <w:rPr>
          <w:snapToGrid w:val="0"/>
        </w:rPr>
        <w:tab/>
        <w:t>any other game, otherwise than in a common gaming house, if the game —</w:t>
      </w:r>
    </w:p>
    <w:p>
      <w:pPr>
        <w:pStyle w:val="Indenti"/>
        <w:spacing w:before="60"/>
        <w:rPr>
          <w:snapToGrid w:val="0"/>
        </w:rPr>
      </w:pPr>
      <w:r>
        <w:rPr>
          <w:snapToGrid w:val="0"/>
        </w:rPr>
        <w:tab/>
        <w:t>(i)</w:t>
      </w:r>
      <w:r>
        <w:rPr>
          <w:snapToGrid w:val="0"/>
        </w:rPr>
        <w:tab/>
        <w:t>is of a kind specified; and</w:t>
      </w:r>
    </w:p>
    <w:p>
      <w:pPr>
        <w:pStyle w:val="Indenti"/>
        <w:spacing w:before="60"/>
        <w:rPr>
          <w:snapToGrid w:val="0"/>
        </w:rPr>
      </w:pPr>
      <w:r>
        <w:rPr>
          <w:snapToGrid w:val="0"/>
        </w:rPr>
        <w:tab/>
        <w:t>(ii)</w:t>
      </w:r>
      <w:r>
        <w:rPr>
          <w:snapToGrid w:val="0"/>
        </w:rPr>
        <w:tab/>
        <w:t>is played in the circumstances specified; and</w:t>
      </w:r>
    </w:p>
    <w:p>
      <w:pPr>
        <w:pStyle w:val="Indenti"/>
        <w:spacing w:before="60"/>
        <w:rPr>
          <w:snapToGrid w:val="0"/>
        </w:rPr>
      </w:pPr>
      <w:r>
        <w:rPr>
          <w:snapToGrid w:val="0"/>
        </w:rPr>
        <w:tab/>
        <w:t>(iii)</w:t>
      </w:r>
      <w:r>
        <w:rPr>
          <w:snapToGrid w:val="0"/>
        </w:rPr>
        <w:tab/>
        <w:t>is so played as to comply with such conditions (if any) as may be prescribed,</w:t>
      </w:r>
    </w:p>
    <w:p>
      <w:pPr>
        <w:pStyle w:val="Indenta"/>
        <w:spacing w:before="60"/>
        <w:rPr>
          <w:snapToGrid w:val="0"/>
        </w:rPr>
      </w:pPr>
      <w:r>
        <w:rPr>
          <w:snapToGrid w:val="0"/>
        </w:rPr>
        <w:tab/>
      </w:r>
      <w:r>
        <w:rPr>
          <w:snapToGrid w:val="0"/>
        </w:rPr>
        <w:tab/>
        <w:t>by regulations made for the purposes of this subsection.</w:t>
      </w:r>
    </w:p>
    <w:p>
      <w:pPr>
        <w:pStyle w:val="Subsection"/>
        <w:spacing w:before="100"/>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for this subsection: a fine of $2 500.</w:t>
      </w:r>
    </w:p>
    <w:p>
      <w:pPr>
        <w:pStyle w:val="Subsection"/>
        <w:spacing w:before="100"/>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r>
      <w:r>
        <w:t>Penalty for this subsection: a fine of</w:t>
      </w:r>
      <w:r>
        <w:rPr>
          <w:snapToGrid w:val="0"/>
        </w:rPr>
        <w:t xml:space="preserve"> $500.</w:t>
      </w:r>
    </w:p>
    <w:p>
      <w:pPr>
        <w:pStyle w:val="Footnotesection"/>
      </w:pPr>
      <w:r>
        <w:tab/>
        <w:t>[Section 42 amended: No. 35 of 2003 s. 144; No. 50 of 2003 s. 66(4); No. 41 of 2018 s. 25(1).]</w:t>
      </w:r>
    </w:p>
    <w:p>
      <w:pPr>
        <w:pStyle w:val="Heading5"/>
        <w:spacing w:before="200"/>
        <w:rPr>
          <w:snapToGrid w:val="0"/>
        </w:rPr>
      </w:pPr>
      <w:bookmarkStart w:id="93" w:name="_Toc131666748"/>
      <w:r>
        <w:rPr>
          <w:rStyle w:val="CharSectno"/>
        </w:rPr>
        <w:t>43</w:t>
      </w:r>
      <w:r>
        <w:rPr>
          <w:snapToGrid w:val="0"/>
        </w:rPr>
        <w:t>.</w:t>
      </w:r>
      <w:r>
        <w:rPr>
          <w:snapToGrid w:val="0"/>
        </w:rPr>
        <w:tab/>
        <w:t>Defence of restricted access not available to charge of s. 41 or 42 offence</w:t>
      </w:r>
      <w:bookmarkEnd w:id="93"/>
    </w:p>
    <w:p>
      <w:pPr>
        <w:pStyle w:val="Subsection"/>
        <w:spacing w:before="100"/>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r>
        <w:tab/>
        <w:t>[Section 43 amended: No. 84 of 2004 s. 80.]</w:t>
      </w:r>
    </w:p>
    <w:p>
      <w:pPr>
        <w:pStyle w:val="Heading5"/>
        <w:spacing w:before="200"/>
      </w:pPr>
      <w:bookmarkStart w:id="94" w:name="_Toc131666749"/>
      <w:r>
        <w:rPr>
          <w:rStyle w:val="CharSectno"/>
        </w:rPr>
        <w:t>43A</w:t>
      </w:r>
      <w:r>
        <w:t>.</w:t>
      </w:r>
      <w:r>
        <w:tab/>
        <w:t xml:space="preserve">Advertising </w:t>
      </w:r>
      <w:r>
        <w:rPr>
          <w:snapToGrid w:val="0"/>
        </w:rPr>
        <w:t>unlawful</w:t>
      </w:r>
      <w:r>
        <w:t xml:space="preserve"> gambling</w:t>
      </w:r>
      <w:bookmarkEnd w:id="94"/>
    </w:p>
    <w:p>
      <w:pPr>
        <w:pStyle w:val="Subsection"/>
        <w:spacing w:before="100"/>
      </w:pPr>
      <w:r>
        <w:tab/>
        <w:t>(1)</w:t>
      </w:r>
      <w:r>
        <w:tab/>
        <w:t>In this section —</w:t>
      </w:r>
    </w:p>
    <w:p>
      <w:pPr>
        <w:pStyle w:val="Defstart"/>
      </w:pPr>
      <w:r>
        <w:rPr>
          <w:b/>
        </w:rPr>
        <w:tab/>
      </w:r>
      <w:r>
        <w:rPr>
          <w:rStyle w:val="CharDefText"/>
        </w:rPr>
        <w:t>prohibited advertisement</w:t>
      </w:r>
      <w:r>
        <w:t xml:space="preserve"> means any form of advertisement that conveys, or is likely to be understood as conveying —</w:t>
      </w:r>
    </w:p>
    <w:p>
      <w:pPr>
        <w:pStyle w:val="Defpara"/>
      </w:pPr>
      <w:r>
        <w:tab/>
        <w:t>(a)</w:t>
      </w:r>
      <w:r>
        <w:tab/>
        <w:t>the existence of a common gaming house (as defined in section 41(1)); or</w:t>
      </w:r>
    </w:p>
    <w:p>
      <w:pPr>
        <w:pStyle w:val="Defpara"/>
      </w:pPr>
      <w:r>
        <w:lastRenderedPageBreak/>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r>
      <w:r>
        <w:rPr>
          <w:rStyle w:val="CharDefText"/>
        </w:rPr>
        <w:t>unlawful gaming</w:t>
      </w:r>
      <w:r>
        <w:t xml:space="preserve"> means gaming other than —</w:t>
      </w:r>
    </w:p>
    <w:p>
      <w:pPr>
        <w:pStyle w:val="Defpara"/>
      </w:pPr>
      <w:r>
        <w:tab/>
        <w:t>(a)</w:t>
      </w:r>
      <w:r>
        <w:tab/>
        <w:t>permitted gaming; and</w:t>
      </w:r>
    </w:p>
    <w:p>
      <w:pPr>
        <w:pStyle w:val="Defpara"/>
      </w:pPr>
      <w:r>
        <w:tab/>
        <w:t>(b)</w:t>
      </w:r>
      <w:r>
        <w:tab/>
        <w:t>social gambling;</w:t>
      </w:r>
    </w:p>
    <w:p>
      <w:pPr>
        <w:pStyle w:val="Defstart"/>
      </w:pPr>
      <w:r>
        <w:rPr>
          <w:b/>
        </w:rPr>
        <w:tab/>
      </w:r>
      <w:r>
        <w:rPr>
          <w:rStyle w:val="CharDefText"/>
        </w:rPr>
        <w:t>unlawful wagering</w:t>
      </w:r>
      <w:r>
        <w:t xml:space="preserve"> means wagering other than social gambling.</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spacing w:before="160"/>
      </w:pPr>
      <w:r>
        <w:tab/>
        <w:t>Penalty for this subsection: a fine of $5 000.</w:t>
      </w:r>
    </w:p>
    <w:p>
      <w:pPr>
        <w:pStyle w:val="Subsection"/>
      </w:pPr>
      <w:r>
        <w:tab/>
        <w:t>(3)</w:t>
      </w:r>
      <w:r>
        <w:tab/>
        <w:t>A person who broadcasts, prints, publishes or distributes, or has in his or her possession for the purpose of publication or distribution, an advertisement that conveys, or is likely to be understood as conveying, the existence of a person (in this State or elsewhere) other than —</w:t>
      </w:r>
    </w:p>
    <w:p>
      <w:pPr>
        <w:pStyle w:val="Indenta"/>
      </w:pPr>
      <w:r>
        <w:tab/>
        <w:t>(a)</w:t>
      </w:r>
      <w:r>
        <w:tab/>
        <w:t>RWWA; or</w:t>
      </w:r>
    </w:p>
    <w:p>
      <w:pPr>
        <w:pStyle w:val="Indenta"/>
      </w:pPr>
      <w:r>
        <w:tab/>
        <w:t>(b)</w:t>
      </w:r>
      <w:r>
        <w:tab/>
        <w:t xml:space="preserve">the Lotteries Commission established under the </w:t>
      </w:r>
      <w:r>
        <w:rPr>
          <w:i/>
        </w:rPr>
        <w:t>Lotteries Commission Act 1990</w:t>
      </w:r>
      <w:r>
        <w:t>; or</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pPr>
      <w:r>
        <w:tab/>
        <w:t>(da)</w:t>
      </w:r>
      <w:r>
        <w:tab/>
        <w:t>a person who in another State or a Territory is authorised under a law of the State or Territory to engage in or conduct the business of betting on events; or</w:t>
      </w:r>
    </w:p>
    <w:p>
      <w:pPr>
        <w:pStyle w:val="Indenta"/>
        <w:keepNext/>
      </w:pPr>
      <w:r>
        <w:lastRenderedPageBreak/>
        <w:tab/>
        <w:t>(d)</w:t>
      </w:r>
      <w:r>
        <w:tab/>
        <w:t>any other person or class of person prescribed by the regulations,</w:t>
      </w:r>
    </w:p>
    <w:p>
      <w:pPr>
        <w:pStyle w:val="Subsection"/>
        <w:keepNext/>
        <w:keepLines/>
      </w:pPr>
      <w:r>
        <w:tab/>
      </w:r>
      <w:r>
        <w:tab/>
        <w:t>who will, on application, engage in or conduct gaming, wagering or a lottery, commits an offence.</w:t>
      </w:r>
    </w:p>
    <w:p>
      <w:pPr>
        <w:pStyle w:val="Penstart"/>
        <w:keepLines/>
      </w:pPr>
      <w:r>
        <w:tab/>
        <w:t>Penalty for this subsection: a fine of $2 000.</w:t>
      </w:r>
    </w:p>
    <w:p>
      <w:pPr>
        <w:pStyle w:val="Subsection"/>
      </w:pPr>
      <w:r>
        <w:tab/>
        <w:t>(4)</w:t>
      </w:r>
      <w:r>
        <w:tab/>
        <w:t>In subsection (3)(c) —</w:t>
      </w:r>
    </w:p>
    <w:p>
      <w:pPr>
        <w:pStyle w:val="Defstart"/>
      </w:pPr>
      <w:r>
        <w:rPr>
          <w:b/>
        </w:rPr>
        <w:tab/>
      </w:r>
      <w:r>
        <w:rPr>
          <w:rStyle w:val="CharDefText"/>
        </w:rPr>
        <w:t>approval</w:t>
      </w:r>
      <w:r>
        <w:rPr>
          <w:bCs/>
        </w:rPr>
        <w:t xml:space="preserve"> does</w:t>
      </w:r>
      <w:r>
        <w:t xml:space="preserve"> not include an approval under the </w:t>
      </w:r>
      <w:r>
        <w:rPr>
          <w:i/>
        </w:rPr>
        <w:t xml:space="preserve">Betting Control Act 1954 </w:t>
      </w:r>
      <w:r>
        <w:t>section 27D(2).</w:t>
      </w:r>
    </w:p>
    <w:p>
      <w:pPr>
        <w:pStyle w:val="Footnotesection"/>
      </w:pPr>
      <w:r>
        <w:tab/>
        <w:t>[Section 43A inserted: No. 35 of 2003 s. 145; amended: No. 70 of 2006 s. 9(2); No. 8 of 2007 s. 13; No. 29 of 2009 s. 19; No. 41 of 2018 s. 19 and 25(1).]</w:t>
      </w:r>
    </w:p>
    <w:p>
      <w:pPr>
        <w:pStyle w:val="Heading5"/>
        <w:rPr>
          <w:snapToGrid w:val="0"/>
        </w:rPr>
      </w:pPr>
      <w:bookmarkStart w:id="95" w:name="_Toc131666750"/>
      <w:r>
        <w:rPr>
          <w:rStyle w:val="CharSectno"/>
        </w:rPr>
        <w:t>44</w:t>
      </w:r>
      <w:r>
        <w:rPr>
          <w:snapToGrid w:val="0"/>
        </w:rPr>
        <w:t>.</w:t>
      </w:r>
      <w:r>
        <w:rPr>
          <w:snapToGrid w:val="0"/>
        </w:rPr>
        <w:tab/>
        <w:t>Cheating in games etc. to obtain prize etc., offence</w:t>
      </w:r>
      <w:bookmarkEnd w:id="95"/>
    </w:p>
    <w:p>
      <w:pPr>
        <w:pStyle w:val="Subsection"/>
        <w:rPr>
          <w:snapToGrid w:val="0"/>
        </w:rPr>
      </w:pPr>
      <w:r>
        <w:rPr>
          <w:snapToGrid w:val="0"/>
        </w:rPr>
        <w:tab/>
        <w:t>(1)</w:t>
      </w:r>
      <w:r>
        <w:rPr>
          <w:snapToGrid w:val="0"/>
        </w:rPr>
        <w:tab/>
        <w:t>Any person who by deceit or any fraudulent means in or in relation to a game, lottery, sport, race, exercise or other contest or pastime —</w:t>
      </w:r>
    </w:p>
    <w:p>
      <w:pPr>
        <w:pStyle w:val="Indenta"/>
        <w:rPr>
          <w:snapToGrid w:val="0"/>
        </w:rPr>
      </w:pPr>
      <w:r>
        <w:rPr>
          <w:snapToGrid w:val="0"/>
        </w:rPr>
        <w:tab/>
        <w:t>(a)</w:t>
      </w:r>
      <w:r>
        <w:rPr>
          <w:snapToGrid w:val="0"/>
        </w:rPr>
        <w:tab/>
        <w:t>obtains or attempts to obtain any prize, or any money, property or benefit; or</w:t>
      </w:r>
    </w:p>
    <w:p>
      <w:pPr>
        <w:pStyle w:val="Indenta"/>
        <w:rPr>
          <w:snapToGrid w:val="0"/>
        </w:rPr>
      </w:pPr>
      <w:r>
        <w:rPr>
          <w:snapToGrid w:val="0"/>
        </w:rPr>
        <w:tab/>
        <w:t>(b)</w:t>
      </w:r>
      <w:r>
        <w:rPr>
          <w:snapToGrid w:val="0"/>
        </w:rPr>
        <w:tab/>
        <w:t>gains or attempts to gain a benefit, pecuniary or otherwise, for any person; or</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w:t>
      </w:r>
    </w:p>
    <w:p>
      <w:pPr>
        <w:pStyle w:val="Indenti"/>
        <w:rPr>
          <w:snapToGrid w:val="0"/>
        </w:rPr>
      </w:pPr>
      <w:r>
        <w:rPr>
          <w:snapToGrid w:val="0"/>
        </w:rPr>
        <w:tab/>
        <w:t>(i)</w:t>
      </w:r>
      <w:r>
        <w:rPr>
          <w:snapToGrid w:val="0"/>
        </w:rPr>
        <w:tab/>
        <w:t>to deliver property to any person; or</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to omit to do any act which he is lawfully entitled to do,</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$10 000, or imprisonment for 2 years, or both.</w:t>
      </w:r>
    </w:p>
    <w:p>
      <w:pPr>
        <w:pStyle w:val="Subsection"/>
        <w:rPr>
          <w:snapToGrid w:val="0"/>
        </w:rPr>
      </w:pPr>
      <w:r>
        <w:rPr>
          <w:snapToGrid w:val="0"/>
        </w:rPr>
        <w:lastRenderedPageBreak/>
        <w:tab/>
        <w:t>(2)</w:t>
      </w:r>
      <w:r>
        <w:rPr>
          <w:snapToGrid w:val="0"/>
        </w:rPr>
        <w:tab/>
        <w:t>A person shall be taken to have employed fraudulent means if he cheats or otherwise employs any wrongful practice, trick, scheme or device —</w:t>
      </w:r>
    </w:p>
    <w:p>
      <w:pPr>
        <w:pStyle w:val="Indenta"/>
        <w:rPr>
          <w:snapToGrid w:val="0"/>
        </w:rPr>
      </w:pPr>
      <w:r>
        <w:rPr>
          <w:snapToGrid w:val="0"/>
        </w:rPr>
        <w:tab/>
        <w:t>(a)</w:t>
      </w:r>
      <w:r>
        <w:rPr>
          <w:snapToGrid w:val="0"/>
        </w:rPr>
        <w:tab/>
        <w:t>as to the manner of play or the rules applicable; or</w:t>
      </w:r>
    </w:p>
    <w:p>
      <w:pPr>
        <w:pStyle w:val="Indenta"/>
        <w:rPr>
          <w:snapToGrid w:val="0"/>
        </w:rPr>
      </w:pPr>
      <w:r>
        <w:rPr>
          <w:snapToGrid w:val="0"/>
        </w:rPr>
        <w:tab/>
        <w:t>(b)</w:t>
      </w:r>
      <w:r>
        <w:rPr>
          <w:snapToGrid w:val="0"/>
        </w:rPr>
        <w:tab/>
        <w:t>in regard to any player, or any gaming equipment, instrument of gaming, entrant or participant; or</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rPr>
          <w:snapToGrid w:val="0"/>
        </w:rPr>
      </w:pPr>
      <w:r>
        <w:rPr>
          <w:snapToGrid w:val="0"/>
        </w:rPr>
        <w:tab/>
      </w:r>
      <w:r>
        <w:rPr>
          <w:snapToGrid w:val="0"/>
        </w:rPr>
        <w:tab/>
        <w:t>in, in relation to, or of the contest or pastime.</w:t>
      </w:r>
    </w:p>
    <w:p>
      <w:pPr>
        <w:pStyle w:val="Footnotesection"/>
      </w:pPr>
      <w:r>
        <w:tab/>
        <w:t>[Section 44 amended: No. 24 of 1998 s. 48; No. 35 of 2003 s. 146; No. 41 of 2018 s. 25(1).]</w:t>
      </w:r>
    </w:p>
    <w:p>
      <w:pPr>
        <w:pStyle w:val="Heading5"/>
        <w:rPr>
          <w:snapToGrid w:val="0"/>
        </w:rPr>
      </w:pPr>
      <w:bookmarkStart w:id="96" w:name="_Toc131666751"/>
      <w:r>
        <w:rPr>
          <w:rStyle w:val="CharSectno"/>
        </w:rPr>
        <w:t>45</w:t>
      </w:r>
      <w:r>
        <w:rPr>
          <w:snapToGrid w:val="0"/>
        </w:rPr>
        <w:t>.</w:t>
      </w:r>
      <w:r>
        <w:rPr>
          <w:snapToGrid w:val="0"/>
        </w:rPr>
        <w:tab/>
        <w:t>Permitted gaming, offences as to</w:t>
      </w:r>
      <w:bookmarkEnd w:id="96"/>
    </w:p>
    <w:p>
      <w:pPr>
        <w:pStyle w:val="Subsection"/>
        <w:keepNext/>
        <w:rPr>
          <w:snapToGrid w:val="0"/>
        </w:rPr>
      </w:pPr>
      <w:r>
        <w:rPr>
          <w:snapToGrid w:val="0"/>
        </w:rPr>
        <w:tab/>
        <w:t>(1)</w:t>
      </w:r>
      <w:r>
        <w:rPr>
          <w:snapToGrid w:val="0"/>
        </w:rPr>
        <w:tab/>
        <w:t>A person who, with intent to defraud —</w:t>
      </w:r>
    </w:p>
    <w:p>
      <w:pPr>
        <w:pStyle w:val="Indenta"/>
        <w:rPr>
          <w:snapToGrid w:val="0"/>
        </w:rPr>
      </w:pPr>
      <w:r>
        <w:rPr>
          <w:snapToGrid w:val="0"/>
        </w:rPr>
        <w:tab/>
        <w:t>(a)</w:t>
      </w:r>
      <w:r>
        <w:rPr>
          <w:snapToGrid w:val="0"/>
        </w:rPr>
        <w:tab/>
        <w:t>alters or falsifies any ticket, coupon, token or books; or</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r>
      <w:r>
        <w:t>Penalty for this subsection: a fine of</w:t>
      </w:r>
      <w:r>
        <w:rPr>
          <w:snapToGrid w:val="0"/>
        </w:rPr>
        <w:t xml:space="preserve">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r>
      <w:r>
        <w:t>Penalty for this subsection: a fine of</w:t>
      </w:r>
      <w:r>
        <w:rPr>
          <w:snapToGrid w:val="0"/>
        </w:rPr>
        <w:t xml:space="preserve"> $5 000, or imprisonment for 1 year, or both.</w:t>
      </w:r>
    </w:p>
    <w:p>
      <w:pPr>
        <w:pStyle w:val="Subsection"/>
        <w:rPr>
          <w:snapToGrid w:val="0"/>
        </w:rPr>
      </w:pPr>
      <w:r>
        <w:rPr>
          <w:snapToGrid w:val="0"/>
        </w:rPr>
        <w:lastRenderedPageBreak/>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for this subsection: a fine of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 $2 500.</w:t>
      </w:r>
    </w:p>
    <w:p>
      <w:pPr>
        <w:pStyle w:val="Footnotesection"/>
      </w:pPr>
      <w:r>
        <w:tab/>
        <w:t>[Section 45 amended: No. 16 of 1990 s. 33; No. 24 of 1998 s. 49; No. 35 of 2003 s. 147; No. 50 of 2003 s. 66(4) ; No. 41 of 2018 s. 25(1).]</w:t>
      </w:r>
    </w:p>
    <w:p>
      <w:pPr>
        <w:pStyle w:val="Heading2"/>
      </w:pPr>
      <w:bookmarkStart w:id="97" w:name="_Toc115166603"/>
      <w:bookmarkStart w:id="98" w:name="_Toc115166760"/>
      <w:bookmarkStart w:id="99" w:name="_Toc115267834"/>
      <w:bookmarkStart w:id="100" w:name="_Toc131666752"/>
      <w:r>
        <w:rPr>
          <w:rStyle w:val="CharPartNo"/>
        </w:rPr>
        <w:lastRenderedPageBreak/>
        <w:t>Part V</w:t>
      </w:r>
      <w:r>
        <w:t> — </w:t>
      </w:r>
      <w:r>
        <w:rPr>
          <w:rStyle w:val="CharPartText"/>
        </w:rPr>
        <w:t>Permitted gambling</w:t>
      </w:r>
      <w:bookmarkEnd w:id="97"/>
      <w:bookmarkEnd w:id="98"/>
      <w:bookmarkEnd w:id="99"/>
      <w:bookmarkEnd w:id="100"/>
    </w:p>
    <w:p>
      <w:pPr>
        <w:pStyle w:val="Footnoteheading"/>
        <w:tabs>
          <w:tab w:val="left" w:pos="910"/>
        </w:tabs>
        <w:spacing w:before="80"/>
      </w:pPr>
      <w:r>
        <w:tab/>
        <w:t>[Heading amended: No. 35 of 2003 s. 148(1).]</w:t>
      </w:r>
    </w:p>
    <w:p>
      <w:pPr>
        <w:pStyle w:val="Heading3"/>
        <w:spacing w:before="220"/>
        <w:rPr>
          <w:snapToGrid w:val="0"/>
        </w:rPr>
      </w:pPr>
      <w:bookmarkStart w:id="101" w:name="_Toc115166604"/>
      <w:bookmarkStart w:id="102" w:name="_Toc115166761"/>
      <w:bookmarkStart w:id="103" w:name="_Toc115267835"/>
      <w:bookmarkStart w:id="104" w:name="_Toc131666753"/>
      <w:r>
        <w:rPr>
          <w:rStyle w:val="CharDivNo"/>
        </w:rPr>
        <w:t>Division 1</w:t>
      </w:r>
      <w:r>
        <w:rPr>
          <w:snapToGrid w:val="0"/>
        </w:rPr>
        <w:t> — </w:t>
      </w:r>
      <w:r>
        <w:rPr>
          <w:rStyle w:val="CharDivText"/>
        </w:rPr>
        <w:t>Gaming generally</w:t>
      </w:r>
      <w:bookmarkEnd w:id="101"/>
      <w:bookmarkEnd w:id="102"/>
      <w:bookmarkEnd w:id="103"/>
      <w:bookmarkEnd w:id="104"/>
    </w:p>
    <w:p>
      <w:pPr>
        <w:pStyle w:val="Footnoteheading"/>
        <w:tabs>
          <w:tab w:val="left" w:pos="910"/>
        </w:tabs>
        <w:spacing w:before="80"/>
      </w:pPr>
      <w:r>
        <w:tab/>
        <w:t>[Heading amended: No. 35 of 2003 s. 148(2).]</w:t>
      </w:r>
    </w:p>
    <w:p>
      <w:pPr>
        <w:pStyle w:val="Heading5"/>
        <w:rPr>
          <w:snapToGrid w:val="0"/>
        </w:rPr>
      </w:pPr>
      <w:bookmarkStart w:id="105" w:name="_Toc131666754"/>
      <w:r>
        <w:rPr>
          <w:rStyle w:val="CharSectno"/>
        </w:rPr>
        <w:t>46</w:t>
      </w:r>
      <w:r>
        <w:rPr>
          <w:snapToGrid w:val="0"/>
        </w:rPr>
        <w:t>.</w:t>
      </w:r>
      <w:r>
        <w:rPr>
          <w:snapToGrid w:val="0"/>
        </w:rPr>
        <w:tab/>
        <w:t>Permitted gaming defined</w:t>
      </w:r>
      <w:bookmarkEnd w:id="105"/>
    </w:p>
    <w:p>
      <w:pPr>
        <w:pStyle w:val="Subsection"/>
        <w:rPr>
          <w:snapToGrid w:val="0"/>
        </w:rPr>
      </w:pPr>
      <w:r>
        <w:rPr>
          <w:snapToGrid w:val="0"/>
        </w:rPr>
        <w:tab/>
        <w:t>(1)</w:t>
      </w:r>
      <w:r>
        <w:rPr>
          <w:snapToGrid w:val="0"/>
        </w:rPr>
        <w:tab/>
        <w:t>Gaming may be lawfully conducted, and lawfully participated in, where —</w:t>
      </w:r>
    </w:p>
    <w:p>
      <w:pPr>
        <w:pStyle w:val="Indenta"/>
        <w:rPr>
          <w:snapToGrid w:val="0"/>
        </w:rPr>
      </w:pPr>
      <w:r>
        <w:rPr>
          <w:snapToGrid w:val="0"/>
        </w:rPr>
        <w:tab/>
        <w:t>(a)</w:t>
      </w:r>
      <w:r>
        <w:rPr>
          <w:snapToGrid w:val="0"/>
        </w:rPr>
        <w:tab/>
        <w:t>it occurs on a day and at a time authorised by a relevant gaming permit; and</w:t>
      </w:r>
    </w:p>
    <w:p>
      <w:pPr>
        <w:pStyle w:val="Indenta"/>
        <w:rPr>
          <w:snapToGrid w:val="0"/>
        </w:rPr>
      </w:pPr>
      <w:r>
        <w:rPr>
          <w:snapToGrid w:val="0"/>
        </w:rPr>
        <w:tab/>
        <w:t>(b)</w:t>
      </w:r>
      <w:r>
        <w:rPr>
          <w:snapToGrid w:val="0"/>
        </w:rPr>
        <w:tab/>
        <w:t>it takes place at premises authorised by the permit to be used for permitted gaming of that kind; and</w:t>
      </w:r>
    </w:p>
    <w:p>
      <w:pPr>
        <w:pStyle w:val="Indenta"/>
        <w:rPr>
          <w:snapToGrid w:val="0"/>
        </w:rPr>
      </w:pPr>
      <w:r>
        <w:rPr>
          <w:snapToGrid w:val="0"/>
        </w:rPr>
        <w:tab/>
        <w:t>(c)</w:t>
      </w:r>
      <w:r>
        <w:rPr>
          <w:snapToGrid w:val="0"/>
        </w:rPr>
        <w:tab/>
        <w:t>it is of a kind authorised by the permit; and</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pPr>
      <w:r>
        <w:tab/>
        <w:t>(2A)</w:t>
      </w:r>
      <w:r>
        <w:tab/>
        <w:t>Gaming that is prescribed for the purposes of this subsection may be lawfully conducted and lawfully participated in.</w:t>
      </w:r>
    </w:p>
    <w:p>
      <w:pPr>
        <w:pStyle w:val="Subsection"/>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w:t>
      </w:r>
      <w:r>
        <w:rPr>
          <w:snapToGrid w:val="0"/>
        </w:rPr>
        <w:lastRenderedPageBreak/>
        <w:t xml:space="preserve">section 3 of the </w:t>
      </w:r>
      <w:r>
        <w:rPr>
          <w:i/>
          <w:snapToGrid w:val="0"/>
        </w:rPr>
        <w:t>Casino (Burswood Island) Agreement Act 1985</w:t>
      </w:r>
      <w:r>
        <w:rPr>
          <w:snapToGrid w:val="0"/>
        </w:rPr>
        <w:t>,</w:t>
      </w:r>
    </w:p>
    <w:p>
      <w:pPr>
        <w:pStyle w:val="Subsection"/>
        <w:widowControl w:val="0"/>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No. 24 of 1998 s. 50; No. 35 of 2003 s. 166 and 167; No. 25 of 2011 s. 8.]</w:t>
      </w:r>
    </w:p>
    <w:p>
      <w:pPr>
        <w:pStyle w:val="Heading5"/>
        <w:rPr>
          <w:snapToGrid w:val="0"/>
        </w:rPr>
      </w:pPr>
      <w:bookmarkStart w:id="106" w:name="_Toc131666755"/>
      <w:r>
        <w:rPr>
          <w:rStyle w:val="CharSectno"/>
        </w:rPr>
        <w:t>47</w:t>
      </w:r>
      <w:r>
        <w:rPr>
          <w:snapToGrid w:val="0"/>
        </w:rPr>
        <w:t>.</w:t>
      </w:r>
      <w:r>
        <w:rPr>
          <w:snapToGrid w:val="0"/>
        </w:rPr>
        <w:tab/>
        <w:t>Gaming permits, types, issue and effect of</w:t>
      </w:r>
      <w:bookmarkEnd w:id="106"/>
    </w:p>
    <w:p>
      <w:pPr>
        <w:pStyle w:val="Subsection"/>
        <w:rPr>
          <w:snapToGrid w:val="0"/>
        </w:rPr>
      </w:pPr>
      <w:r>
        <w:rPr>
          <w:snapToGrid w:val="0"/>
        </w:rPr>
        <w:tab/>
        <w:t>(1)</w:t>
      </w:r>
      <w:r>
        <w:rPr>
          <w:snapToGrid w:val="0"/>
        </w:rPr>
        <w:tab/>
        <w:t>A gaming permit may be —</w:t>
      </w:r>
    </w:p>
    <w:p>
      <w:pPr>
        <w:pStyle w:val="Indenta"/>
        <w:spacing w:before="70"/>
        <w:rPr>
          <w:snapToGrid w:val="0"/>
        </w:rPr>
      </w:pPr>
      <w:r>
        <w:rPr>
          <w:snapToGrid w:val="0"/>
        </w:rPr>
        <w:tab/>
        <w:t>(a)</w:t>
      </w:r>
      <w:r>
        <w:rPr>
          <w:snapToGrid w:val="0"/>
        </w:rPr>
        <w:tab/>
        <w:t>a function permit, having effect —</w:t>
      </w:r>
    </w:p>
    <w:p>
      <w:pPr>
        <w:pStyle w:val="Indenti"/>
        <w:spacing w:before="70"/>
        <w:rPr>
          <w:snapToGrid w:val="0"/>
        </w:rPr>
      </w:pPr>
      <w:r>
        <w:rPr>
          <w:snapToGrid w:val="0"/>
        </w:rPr>
        <w:tab/>
        <w:t>(i)</w:t>
      </w:r>
      <w:r>
        <w:rPr>
          <w:snapToGrid w:val="0"/>
        </w:rPr>
        <w:tab/>
        <w:t>for the period, not being a period in excess of 7 days; or</w:t>
      </w:r>
    </w:p>
    <w:p>
      <w:pPr>
        <w:pStyle w:val="Indenti"/>
        <w:spacing w:before="70"/>
        <w:rPr>
          <w:snapToGrid w:val="0"/>
        </w:rPr>
      </w:pPr>
      <w:r>
        <w:rPr>
          <w:snapToGrid w:val="0"/>
        </w:rPr>
        <w:tab/>
        <w:t>(ii)</w:t>
      </w:r>
      <w:r>
        <w:rPr>
          <w:snapToGrid w:val="0"/>
        </w:rPr>
        <w:tab/>
        <w:t>during the function; and</w:t>
      </w:r>
    </w:p>
    <w:p>
      <w:pPr>
        <w:pStyle w:val="Indenti"/>
        <w:spacing w:before="70"/>
        <w:rPr>
          <w:snapToGrid w:val="0"/>
        </w:rPr>
      </w:pPr>
      <w:r>
        <w:rPr>
          <w:snapToGrid w:val="0"/>
        </w:rPr>
        <w:tab/>
        <w:t>(iii)</w:t>
      </w:r>
      <w:r>
        <w:rPr>
          <w:snapToGrid w:val="0"/>
        </w:rPr>
        <w:tab/>
        <w:t>in respect of the premises,</w:t>
      </w:r>
    </w:p>
    <w:p>
      <w:pPr>
        <w:pStyle w:val="Indenta"/>
        <w:spacing w:before="70"/>
        <w:rPr>
          <w:snapToGrid w:val="0"/>
        </w:rPr>
      </w:pPr>
      <w:r>
        <w:rPr>
          <w:snapToGrid w:val="0"/>
        </w:rPr>
        <w:tab/>
      </w:r>
      <w:r>
        <w:rPr>
          <w:snapToGrid w:val="0"/>
        </w:rPr>
        <w:tab/>
        <w:t>therein specified, subject to any conditions imposed; or</w:t>
      </w:r>
    </w:p>
    <w:p>
      <w:pPr>
        <w:pStyle w:val="Indenta"/>
        <w:spacing w:before="70"/>
        <w:rPr>
          <w:snapToGrid w:val="0"/>
        </w:rPr>
      </w:pPr>
      <w:r>
        <w:rPr>
          <w:snapToGrid w:val="0"/>
        </w:rPr>
        <w:tab/>
        <w:t>(b)</w:t>
      </w:r>
      <w:r>
        <w:rPr>
          <w:snapToGrid w:val="0"/>
        </w:rPr>
        <w:tab/>
        <w:t>a permit of a continuing nature, having effect —</w:t>
      </w:r>
    </w:p>
    <w:p>
      <w:pPr>
        <w:pStyle w:val="Indenti"/>
        <w:spacing w:before="70"/>
        <w:rPr>
          <w:snapToGrid w:val="0"/>
        </w:rPr>
      </w:pPr>
      <w:r>
        <w:rPr>
          <w:snapToGrid w:val="0"/>
        </w:rPr>
        <w:tab/>
        <w:t>(i)</w:t>
      </w:r>
      <w:r>
        <w:rPr>
          <w:snapToGrid w:val="0"/>
        </w:rPr>
        <w:tab/>
        <w:t>for the period, being a period not exceeding 12 months, therein specified; and</w:t>
      </w:r>
    </w:p>
    <w:p>
      <w:pPr>
        <w:pStyle w:val="Indenti"/>
        <w:spacing w:before="70"/>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lastRenderedPageBreak/>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ind w:left="890" w:hanging="890"/>
      </w:pPr>
      <w:r>
        <w:tab/>
        <w:t>[Section 47 amended: No. 35 of 2003 s. 167.]</w:t>
      </w:r>
    </w:p>
    <w:p>
      <w:pPr>
        <w:pStyle w:val="Heading5"/>
        <w:spacing w:before="240"/>
        <w:rPr>
          <w:snapToGrid w:val="0"/>
        </w:rPr>
      </w:pPr>
      <w:bookmarkStart w:id="107" w:name="_Toc131666756"/>
      <w:r>
        <w:rPr>
          <w:rStyle w:val="CharSectno"/>
        </w:rPr>
        <w:t>48</w:t>
      </w:r>
      <w:r>
        <w:rPr>
          <w:snapToGrid w:val="0"/>
        </w:rPr>
        <w:t>.</w:t>
      </w:r>
      <w:r>
        <w:rPr>
          <w:snapToGrid w:val="0"/>
        </w:rPr>
        <w:tab/>
        <w:t>Issue of permit on direction by Minister</w:t>
      </w:r>
      <w:bookmarkEnd w:id="107"/>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 and</w:t>
      </w:r>
    </w:p>
    <w:p>
      <w:pPr>
        <w:pStyle w:val="Indenta"/>
        <w:rPr>
          <w:snapToGrid w:val="0"/>
        </w:rPr>
      </w:pPr>
      <w:r>
        <w:rPr>
          <w:snapToGrid w:val="0"/>
        </w:rPr>
        <w:lastRenderedPageBreak/>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widowControl w:val="0"/>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direction given by the Minister to the Commission.</w:t>
      </w:r>
    </w:p>
    <w:p>
      <w:pPr>
        <w:pStyle w:val="Footnotesection"/>
        <w:ind w:left="890" w:hanging="890"/>
      </w:pPr>
      <w:r>
        <w:tab/>
        <w:t>[Section 48 amended: No. 16 of 1990 s. 33; No. 35 of 2003 s. 167.]</w:t>
      </w:r>
    </w:p>
    <w:p>
      <w:pPr>
        <w:pStyle w:val="Heading5"/>
        <w:rPr>
          <w:snapToGrid w:val="0"/>
        </w:rPr>
      </w:pPr>
      <w:bookmarkStart w:id="108" w:name="_Toc131666757"/>
      <w:r>
        <w:rPr>
          <w:rStyle w:val="CharSectno"/>
        </w:rPr>
        <w:t>49</w:t>
      </w:r>
      <w:r>
        <w:rPr>
          <w:snapToGrid w:val="0"/>
        </w:rPr>
        <w:t>.</w:t>
      </w:r>
      <w:r>
        <w:rPr>
          <w:snapToGrid w:val="0"/>
        </w:rPr>
        <w:tab/>
        <w:t>Applications for issue or renewal of permit, matters that may be considered when deciding</w:t>
      </w:r>
      <w:bookmarkEnd w:id="108"/>
    </w:p>
    <w:p>
      <w:pPr>
        <w:pStyle w:val="Subsection"/>
        <w:rPr>
          <w:snapToGrid w:val="0"/>
        </w:rPr>
      </w:pPr>
      <w:r>
        <w:rPr>
          <w:snapToGrid w:val="0"/>
        </w:rPr>
        <w:tab/>
        <w:t>(1)</w:t>
      </w:r>
      <w:r>
        <w:rPr>
          <w:snapToGrid w:val="0"/>
        </w:rPr>
        <w:tab/>
        <w:t>In determining any application for the issue or renewal of a gaming permit regard may be had to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 and</w:t>
      </w:r>
    </w:p>
    <w:p>
      <w:pPr>
        <w:pStyle w:val="Indenta"/>
        <w:rPr>
          <w:snapToGrid w:val="0"/>
        </w:rPr>
      </w:pPr>
      <w:r>
        <w:rPr>
          <w:snapToGrid w:val="0"/>
        </w:rPr>
        <w:tab/>
        <w:t>(b)</w:t>
      </w:r>
      <w:r>
        <w:rPr>
          <w:snapToGrid w:val="0"/>
        </w:rPr>
        <w:tab/>
        <w:t>any arrangement or circumstances whereby the benefit arising from the holding of the permit may accrue to any other person; and</w:t>
      </w:r>
    </w:p>
    <w:p>
      <w:pPr>
        <w:pStyle w:val="Indenta"/>
        <w:rPr>
          <w:snapToGrid w:val="0"/>
        </w:rPr>
      </w:pPr>
      <w:r>
        <w:rPr>
          <w:snapToGrid w:val="0"/>
        </w:rPr>
        <w:tab/>
        <w:t>(c)</w:t>
      </w:r>
      <w:r>
        <w:rPr>
          <w:snapToGrid w:val="0"/>
        </w:rPr>
        <w:tab/>
        <w:t>the need for persons having relevant experience to be in attendance at, and where appropriate to conduct, the gaming; and</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 and</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keepLines/>
        <w:rPr>
          <w:snapToGrid w:val="0"/>
        </w:rPr>
      </w:pPr>
      <w:r>
        <w:rPr>
          <w:snapToGrid w:val="0"/>
        </w:rPr>
        <w:lastRenderedPageBreak/>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w:t>
      </w:r>
    </w:p>
    <w:p>
      <w:pPr>
        <w:pStyle w:val="Indenta"/>
        <w:rPr>
          <w:snapToGrid w:val="0"/>
        </w:rPr>
      </w:pPr>
      <w:r>
        <w:rPr>
          <w:snapToGrid w:val="0"/>
        </w:rPr>
        <w:tab/>
        <w:t>(a)</w:t>
      </w:r>
      <w:r>
        <w:rPr>
          <w:snapToGrid w:val="0"/>
        </w:rPr>
        <w:tab/>
        <w:t>any matters to which subsection (1) refers; and</w:t>
      </w:r>
    </w:p>
    <w:p>
      <w:pPr>
        <w:pStyle w:val="Indenta"/>
        <w:rPr>
          <w:snapToGrid w:val="0"/>
        </w:rPr>
      </w:pPr>
      <w:r>
        <w:rPr>
          <w:snapToGrid w:val="0"/>
        </w:rPr>
        <w:tab/>
        <w:t>(b)</w:t>
      </w:r>
      <w:r>
        <w:rPr>
          <w:snapToGrid w:val="0"/>
        </w:rPr>
        <w:tab/>
        <w:t>the manner in which —</w:t>
      </w:r>
    </w:p>
    <w:p>
      <w:pPr>
        <w:pStyle w:val="Indenti"/>
        <w:rPr>
          <w:snapToGrid w:val="0"/>
        </w:rPr>
      </w:pPr>
      <w:r>
        <w:rPr>
          <w:snapToGrid w:val="0"/>
        </w:rPr>
        <w:tab/>
        <w:t>(i)</w:t>
      </w:r>
      <w:r>
        <w:rPr>
          <w:snapToGrid w:val="0"/>
        </w:rPr>
        <w:tab/>
        <w:t>gaming has been conducted; and</w:t>
      </w:r>
    </w:p>
    <w:p>
      <w:pPr>
        <w:pStyle w:val="Indenti"/>
        <w:rPr>
          <w:snapToGrid w:val="0"/>
        </w:rPr>
      </w:pPr>
      <w:r>
        <w:rPr>
          <w:snapToGrid w:val="0"/>
        </w:rPr>
        <w:tab/>
        <w:t>(ii)</w:t>
      </w:r>
      <w:r>
        <w:rPr>
          <w:snapToGrid w:val="0"/>
        </w:rPr>
        <w:tab/>
        <w:t>the premises have been maintained; and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 and</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keepLines/>
        <w:rPr>
          <w:snapToGrid w:val="0"/>
        </w:rPr>
      </w:pPr>
      <w:r>
        <w:rPr>
          <w:snapToGrid w:val="0"/>
        </w:rPr>
        <w:lastRenderedPageBreak/>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ind w:left="890" w:hanging="890"/>
      </w:pPr>
      <w:r>
        <w:tab/>
        <w:t>[Section 49 amended: No. 35 of 2003 s. 167.]</w:t>
      </w:r>
    </w:p>
    <w:p>
      <w:pPr>
        <w:pStyle w:val="Heading5"/>
        <w:rPr>
          <w:snapToGrid w:val="0"/>
        </w:rPr>
      </w:pPr>
      <w:bookmarkStart w:id="109" w:name="_Toc131666758"/>
      <w:r>
        <w:rPr>
          <w:rStyle w:val="CharSectno"/>
        </w:rPr>
        <w:t>50</w:t>
      </w:r>
      <w:r>
        <w:rPr>
          <w:snapToGrid w:val="0"/>
        </w:rPr>
        <w:t>.</w:t>
      </w:r>
      <w:r>
        <w:rPr>
          <w:snapToGrid w:val="0"/>
        </w:rPr>
        <w:tab/>
        <w:t>Register of approvals, permit holders etc., Commission to keep and allow inspection of etc.</w:t>
      </w:r>
      <w:bookmarkEnd w:id="109"/>
    </w:p>
    <w:p>
      <w:pPr>
        <w:pStyle w:val="Subsection"/>
        <w:rPr>
          <w:snapToGrid w:val="0"/>
        </w:rPr>
      </w:pPr>
      <w:r>
        <w:rPr>
          <w:snapToGrid w:val="0"/>
        </w:rPr>
        <w:tab/>
        <w:t>(1)</w:t>
      </w:r>
      <w:r>
        <w:rPr>
          <w:snapToGrid w:val="0"/>
        </w:rPr>
        <w:tab/>
        <w:t>The Commission shall maintain a register showing, in accordance with such manner as may be prescribed, particulars of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w:t>
      </w:r>
    </w:p>
    <w:p>
      <w:pPr>
        <w:pStyle w:val="Indenti"/>
        <w:rPr>
          <w:snapToGrid w:val="0"/>
        </w:rPr>
      </w:pPr>
      <w:r>
        <w:rPr>
          <w:snapToGrid w:val="0"/>
        </w:rPr>
        <w:tab/>
        <w:t>(i)</w:t>
      </w:r>
      <w:r>
        <w:rPr>
          <w:snapToGrid w:val="0"/>
        </w:rPr>
        <w:tab/>
        <w:t>generally, in relation to function permits; or</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lastRenderedPageBreak/>
        <w:tab/>
        <w:t>(3)</w:t>
      </w:r>
      <w:r>
        <w:rPr>
          <w:snapToGrid w:val="0"/>
        </w:rPr>
        <w:tab/>
        <w:t>A person may inspect and make copies of, or take extracts from, the current register on payment of the prescribed fee.</w:t>
      </w:r>
    </w:p>
    <w:p>
      <w:pPr>
        <w:pStyle w:val="Footnotesection"/>
        <w:ind w:left="890" w:hanging="890"/>
      </w:pPr>
      <w:r>
        <w:tab/>
        <w:t>[Section 50 amended: No. 16 of 1990 s. 33.]</w:t>
      </w:r>
    </w:p>
    <w:p>
      <w:pPr>
        <w:pStyle w:val="Heading5"/>
        <w:rPr>
          <w:snapToGrid w:val="0"/>
        </w:rPr>
      </w:pPr>
      <w:bookmarkStart w:id="110" w:name="_Toc131666759"/>
      <w:r>
        <w:rPr>
          <w:rStyle w:val="CharSectno"/>
        </w:rPr>
        <w:t>51</w:t>
      </w:r>
      <w:r>
        <w:rPr>
          <w:snapToGrid w:val="0"/>
        </w:rPr>
        <w:t>.</w:t>
      </w:r>
      <w:r>
        <w:rPr>
          <w:snapToGrid w:val="0"/>
        </w:rPr>
        <w:tab/>
        <w:t>Persons eligible to hold gaming permits, approval of</w:t>
      </w:r>
      <w:bookmarkEnd w:id="110"/>
    </w:p>
    <w:p>
      <w:pPr>
        <w:pStyle w:val="Subsection"/>
        <w:spacing w:before="180"/>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spacing w:before="180"/>
        <w:rPr>
          <w:snapToGrid w:val="0"/>
        </w:rPr>
      </w:pPr>
      <w:r>
        <w:rPr>
          <w:snapToGrid w:val="0"/>
        </w:rPr>
        <w:tab/>
        <w:t>(2)</w:t>
      </w:r>
      <w:r>
        <w:rPr>
          <w:snapToGrid w:val="0"/>
        </w:rPr>
        <w:tab/>
        <w:t>The Commission shall not approve a person as eligible to hold a permit unless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 and</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keepLines/>
        <w:rPr>
          <w:snapToGrid w:val="0"/>
        </w:rPr>
      </w:pPr>
      <w:r>
        <w:rPr>
          <w:snapToGrid w:val="0"/>
        </w:rPr>
        <w:lastRenderedPageBreak/>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w:t>
      </w:r>
    </w:p>
    <w:p>
      <w:pPr>
        <w:pStyle w:val="Indenti"/>
        <w:rPr>
          <w:snapToGrid w:val="0"/>
        </w:rPr>
      </w:pPr>
      <w:r>
        <w:rPr>
          <w:snapToGrid w:val="0"/>
        </w:rPr>
        <w:tab/>
        <w:t>(i)</w:t>
      </w:r>
      <w:r>
        <w:rPr>
          <w:snapToGrid w:val="0"/>
        </w:rPr>
        <w:tab/>
        <w:t>the name of that person and of any body for which he is the nominee permit holder; and</w:t>
      </w:r>
    </w:p>
    <w:p>
      <w:pPr>
        <w:pStyle w:val="Indenti"/>
        <w:rPr>
          <w:snapToGrid w:val="0"/>
        </w:rPr>
      </w:pPr>
      <w:r>
        <w:rPr>
          <w:snapToGrid w:val="0"/>
        </w:rPr>
        <w:tab/>
        <w:t>(ii)</w:t>
      </w:r>
      <w:r>
        <w:rPr>
          <w:snapToGrid w:val="0"/>
        </w:rPr>
        <w:tab/>
        <w:t>the date of the issue, and the duration, of the permit and where it is a function permit, the nature of the function; and</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keepNext/>
        <w:keepLines/>
        <w:rPr>
          <w:snapToGrid w:val="0"/>
        </w:rPr>
      </w:pPr>
      <w:r>
        <w:rPr>
          <w:snapToGrid w:val="0"/>
        </w:rPr>
        <w:lastRenderedPageBreak/>
        <w:tab/>
        <w:t>(c)</w:t>
      </w:r>
      <w:r>
        <w:rPr>
          <w:snapToGrid w:val="0"/>
        </w:rPr>
        <w:tab/>
        <w:t>where the application relates to a permit of a continuing nature, such other particulars as may be prescribed or as the Commission thinks fit, shall be endorsed on the permit,</w:t>
      </w:r>
    </w:p>
    <w:p>
      <w:pPr>
        <w:pStyle w:val="Subsection"/>
        <w:spacing w:before="120"/>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spacing w:before="100"/>
        <w:ind w:left="890" w:hanging="890"/>
      </w:pPr>
      <w:r>
        <w:tab/>
        <w:t>[Section 51 amended: No. 24 of 1998 s. 51; No. 35 of 2003 s. 167; No. 84 of 2004 s. 80.]</w:t>
      </w:r>
    </w:p>
    <w:p>
      <w:pPr>
        <w:pStyle w:val="Heading5"/>
        <w:spacing w:before="200"/>
        <w:rPr>
          <w:snapToGrid w:val="0"/>
        </w:rPr>
      </w:pPr>
      <w:bookmarkStart w:id="111" w:name="_Toc131666760"/>
      <w:r>
        <w:rPr>
          <w:rStyle w:val="CharSectno"/>
        </w:rPr>
        <w:t>52</w:t>
      </w:r>
      <w:r>
        <w:rPr>
          <w:snapToGrid w:val="0"/>
        </w:rPr>
        <w:t>.</w:t>
      </w:r>
      <w:r>
        <w:rPr>
          <w:snapToGrid w:val="0"/>
        </w:rPr>
        <w:tab/>
        <w:t>Applications for gaming permits</w:t>
      </w:r>
      <w:bookmarkEnd w:id="111"/>
    </w:p>
    <w:p>
      <w:pPr>
        <w:pStyle w:val="Subsection"/>
        <w:spacing w:before="140"/>
        <w:rPr>
          <w:snapToGrid w:val="0"/>
        </w:rPr>
      </w:pPr>
      <w:r>
        <w:rPr>
          <w:snapToGrid w:val="0"/>
        </w:rPr>
        <w:tab/>
      </w:r>
      <w:r>
        <w:rPr>
          <w:snapToGrid w:val="0"/>
        </w:rPr>
        <w:tab/>
        <w:t>An application for the issue of a permit —</w:t>
      </w:r>
    </w:p>
    <w:p>
      <w:pPr>
        <w:pStyle w:val="Indenta"/>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w:t>
      </w:r>
    </w:p>
    <w:p>
      <w:pPr>
        <w:pStyle w:val="Indenti"/>
        <w:rPr>
          <w:snapToGrid w:val="0"/>
        </w:rPr>
      </w:pPr>
      <w:r>
        <w:rPr>
          <w:snapToGrid w:val="0"/>
        </w:rPr>
        <w:tab/>
        <w:t>(i)</w:t>
      </w:r>
      <w:r>
        <w:rPr>
          <w:snapToGrid w:val="0"/>
        </w:rPr>
        <w:tab/>
        <w:t>the applicant is a person entered in the register as eligible to hold a permit of that kind; and</w:t>
      </w:r>
    </w:p>
    <w:p>
      <w:pPr>
        <w:pStyle w:val="Indenti"/>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rPr>
          <w:snapToGrid w:val="0"/>
        </w:rPr>
      </w:pPr>
      <w:r>
        <w:rPr>
          <w:snapToGrid w:val="0"/>
        </w:rPr>
        <w:tab/>
        <w:t>(iii)</w:t>
      </w:r>
      <w:r>
        <w:rPr>
          <w:snapToGrid w:val="0"/>
        </w:rPr>
        <w:tab/>
        <w:t>any conditions applicable are not contravened or likely to be contravened,</w:t>
      </w:r>
    </w:p>
    <w:p>
      <w:pPr>
        <w:pStyle w:val="Indenta"/>
        <w:rPr>
          <w:snapToGrid w:val="0"/>
        </w:rPr>
      </w:pPr>
      <w:r>
        <w:rPr>
          <w:snapToGrid w:val="0"/>
        </w:rPr>
        <w:tab/>
      </w:r>
      <w:r>
        <w:rPr>
          <w:snapToGrid w:val="0"/>
        </w:rPr>
        <w:tab/>
        <w:t>and the magistrate shall cause the Commission to be notified accordingly; but</w:t>
      </w:r>
    </w:p>
    <w:p>
      <w:pPr>
        <w:pStyle w:val="Indenta"/>
        <w:keepNext/>
        <w:rPr>
          <w:snapToGrid w:val="0"/>
        </w:rPr>
      </w:pPr>
      <w:r>
        <w:rPr>
          <w:snapToGrid w:val="0"/>
        </w:rPr>
        <w:lastRenderedPageBreak/>
        <w:tab/>
        <w:t>(b)</w:t>
      </w:r>
      <w:r>
        <w:rPr>
          <w:snapToGrid w:val="0"/>
        </w:rPr>
        <w:tab/>
        <w:t>in the case of a permit of a continuing nature, shall be made to the Commission in writing in the prescribed manner,</w:t>
      </w:r>
    </w:p>
    <w:p>
      <w:pPr>
        <w:pStyle w:val="Subsection"/>
        <w:spacing w:before="12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spacing w:before="160"/>
        <w:ind w:left="890" w:hanging="890"/>
      </w:pPr>
      <w:r>
        <w:tab/>
        <w:t>[Section 52 amended: No. 35 of 2003 s. 167; No. 59 of 2004 s. 141.]</w:t>
      </w:r>
    </w:p>
    <w:p>
      <w:pPr>
        <w:pStyle w:val="Heading5"/>
        <w:rPr>
          <w:snapToGrid w:val="0"/>
        </w:rPr>
      </w:pPr>
      <w:bookmarkStart w:id="112" w:name="_Toc131666761"/>
      <w:r>
        <w:rPr>
          <w:rStyle w:val="CharSectno"/>
        </w:rPr>
        <w:t>53</w:t>
      </w:r>
      <w:r>
        <w:rPr>
          <w:snapToGrid w:val="0"/>
        </w:rPr>
        <w:t>.</w:t>
      </w:r>
      <w:r>
        <w:rPr>
          <w:snapToGrid w:val="0"/>
        </w:rPr>
        <w:tab/>
        <w:t>Fees and charges for gaming permits</w:t>
      </w:r>
      <w:bookmarkEnd w:id="112"/>
    </w:p>
    <w:p>
      <w:pPr>
        <w:pStyle w:val="Subsection"/>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w:t>
      </w:r>
    </w:p>
    <w:p>
      <w:pPr>
        <w:pStyle w:val="Indenta"/>
        <w:spacing w:before="140"/>
        <w:rPr>
          <w:snapToGrid w:val="0"/>
        </w:rPr>
      </w:pPr>
      <w:r>
        <w:rPr>
          <w:snapToGrid w:val="0"/>
        </w:rPr>
        <w:tab/>
        <w:t>(a)</w:t>
      </w:r>
      <w:r>
        <w:rPr>
          <w:snapToGrid w:val="0"/>
        </w:rPr>
        <w:tab/>
        <w:t>for an application fee to be payable on the issue of the permit or grant of the approval; and</w:t>
      </w:r>
    </w:p>
    <w:p>
      <w:pPr>
        <w:pStyle w:val="Indenta"/>
        <w:spacing w:before="140"/>
        <w:rPr>
          <w:snapToGrid w:val="0"/>
        </w:rPr>
      </w:pPr>
      <w:r>
        <w:rPr>
          <w:snapToGrid w:val="0"/>
        </w:rPr>
        <w:tab/>
        <w:t>(b)</w:t>
      </w:r>
      <w:r>
        <w:rPr>
          <w:snapToGrid w:val="0"/>
        </w:rPr>
        <w:tab/>
        <w:t>for periodic, percentage or other payments to be made related to the volume or value of the gaming conducted or to be conducted or to its frequency; and</w:t>
      </w:r>
    </w:p>
    <w:p>
      <w:pPr>
        <w:pStyle w:val="Indenta"/>
        <w:spacing w:before="140"/>
        <w:rPr>
          <w:snapToGrid w:val="0"/>
        </w:rPr>
      </w:pPr>
      <w:r>
        <w:rPr>
          <w:snapToGrid w:val="0"/>
        </w:rPr>
        <w:tab/>
        <w:t>(c)</w:t>
      </w:r>
      <w:r>
        <w:rPr>
          <w:snapToGrid w:val="0"/>
        </w:rPr>
        <w:tab/>
        <w:t>for the giving of security, by means of a deposit or otherwise, for payments due or to become due; and</w:t>
      </w:r>
    </w:p>
    <w:p>
      <w:pPr>
        <w:pStyle w:val="Indenta"/>
        <w:spacing w:before="140"/>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spacing w:before="140"/>
        <w:rPr>
          <w:snapToGrid w:val="0"/>
        </w:rPr>
      </w:pPr>
      <w:r>
        <w:rPr>
          <w:snapToGrid w:val="0"/>
        </w:rPr>
        <w:lastRenderedPageBreak/>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spacing w:before="160"/>
        <w:ind w:left="890" w:hanging="890"/>
      </w:pPr>
      <w:r>
        <w:tab/>
        <w:t>[Section 53 amended: No. 35 of 2003 s. 167.]</w:t>
      </w:r>
    </w:p>
    <w:p>
      <w:pPr>
        <w:pStyle w:val="Heading5"/>
        <w:rPr>
          <w:snapToGrid w:val="0"/>
        </w:rPr>
      </w:pPr>
      <w:bookmarkStart w:id="113" w:name="_Toc131666762"/>
      <w:r>
        <w:rPr>
          <w:rStyle w:val="CharSectno"/>
        </w:rPr>
        <w:t>54</w:t>
      </w:r>
      <w:r>
        <w:rPr>
          <w:snapToGrid w:val="0"/>
        </w:rPr>
        <w:t>.</w:t>
      </w:r>
      <w:r>
        <w:rPr>
          <w:snapToGrid w:val="0"/>
        </w:rPr>
        <w:tab/>
        <w:t>Charging people to take part in permitted gaming</w:t>
      </w:r>
      <w:bookmarkEnd w:id="113"/>
    </w:p>
    <w:p>
      <w:pPr>
        <w:pStyle w:val="Subsection"/>
        <w:rPr>
          <w:snapToGrid w:val="0"/>
        </w:rPr>
      </w:pPr>
      <w:r>
        <w:rPr>
          <w:snapToGrid w:val="0"/>
        </w:rPr>
        <w:tab/>
        <w:t>(1)</w:t>
      </w:r>
      <w:r>
        <w:rPr>
          <w:snapToGrid w:val="0"/>
        </w:rPr>
        <w:tab/>
        <w:t>Except where —</w:t>
      </w:r>
    </w:p>
    <w:p>
      <w:pPr>
        <w:pStyle w:val="Indenta"/>
        <w:spacing w:before="120"/>
        <w:rPr>
          <w:snapToGrid w:val="0"/>
        </w:rPr>
      </w:pPr>
      <w:r>
        <w:rPr>
          <w:snapToGrid w:val="0"/>
        </w:rPr>
        <w:tab/>
        <w:t>(a)</w:t>
      </w:r>
      <w:r>
        <w:rPr>
          <w:snapToGrid w:val="0"/>
        </w:rPr>
        <w:tab/>
        <w:t>a regulation made under this Act, pursuant to subsection (4) or otherwise; or</w:t>
      </w:r>
    </w:p>
    <w:p>
      <w:pPr>
        <w:pStyle w:val="Indenta"/>
        <w:spacing w:before="120"/>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 xml:space="preserve">Where it is shown that a club, society, institution, organisation, association or other body of persons is so constituted and conducted, in respect of membership and otherwise, as not to be of a temporary character, a payment which constitutes payment </w:t>
      </w:r>
      <w:r>
        <w:rPr>
          <w:snapToGrid w:val="0"/>
        </w:rPr>
        <w:lastRenderedPageBreak/>
        <w:t>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w:t>
      </w:r>
    </w:p>
    <w:p>
      <w:pPr>
        <w:pStyle w:val="Indenta"/>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rPr>
          <w:snapToGrid w:val="0"/>
        </w:rPr>
      </w:pPr>
      <w:r>
        <w:rPr>
          <w:snapToGrid w:val="0"/>
        </w:rPr>
        <w:tab/>
        <w:t>(6)</w:t>
      </w:r>
      <w:r>
        <w:rPr>
          <w:snapToGrid w:val="0"/>
        </w:rPr>
        <w:tab/>
        <w:t>A charge shall not be made in relation to permitted gaming unless particulars of the charges and of the circumstances in which they are chargeable —</w:t>
      </w:r>
    </w:p>
    <w:p>
      <w:pPr>
        <w:pStyle w:val="Indenta"/>
        <w:rPr>
          <w:snapToGrid w:val="0"/>
        </w:rPr>
      </w:pPr>
      <w:r>
        <w:rPr>
          <w:snapToGrid w:val="0"/>
        </w:rPr>
        <w:tab/>
        <w:t>(a)</w:t>
      </w:r>
      <w:r>
        <w:rPr>
          <w:snapToGrid w:val="0"/>
        </w:rPr>
        <w:tab/>
        <w:t>are displayed at the premises; and</w:t>
      </w:r>
    </w:p>
    <w:p>
      <w:pPr>
        <w:pStyle w:val="Indenta"/>
        <w:keepNext/>
        <w:rPr>
          <w:snapToGrid w:val="0"/>
        </w:rPr>
      </w:pPr>
      <w:r>
        <w:rPr>
          <w:snapToGrid w:val="0"/>
        </w:rPr>
        <w:lastRenderedPageBreak/>
        <w:tab/>
        <w:t>(b)</w:t>
      </w:r>
      <w:r>
        <w:rPr>
          <w:snapToGrid w:val="0"/>
        </w:rPr>
        <w:tab/>
        <w:t>where the regulations or a condition so provide —</w:t>
      </w:r>
    </w:p>
    <w:p>
      <w:pPr>
        <w:pStyle w:val="Indenti"/>
        <w:rPr>
          <w:snapToGrid w:val="0"/>
        </w:rPr>
      </w:pPr>
      <w:r>
        <w:rPr>
          <w:snapToGrid w:val="0"/>
        </w:rPr>
        <w:tab/>
        <w:t>(i)</w:t>
      </w:r>
      <w:r>
        <w:rPr>
          <w:snapToGrid w:val="0"/>
        </w:rPr>
        <w:tab/>
        <w:t>the charges are approved by the Commission; and</w:t>
      </w:r>
    </w:p>
    <w:p>
      <w:pPr>
        <w:pStyle w:val="Indenti"/>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keepLines w:val="0"/>
        <w:ind w:left="890" w:hanging="890"/>
      </w:pPr>
      <w:r>
        <w:tab/>
        <w:t>[Section 54 amended: No. 35 of 2003 s. 149, 166 and 167.]</w:t>
      </w:r>
    </w:p>
    <w:p>
      <w:pPr>
        <w:pStyle w:val="Heading5"/>
        <w:rPr>
          <w:snapToGrid w:val="0"/>
        </w:rPr>
      </w:pPr>
      <w:bookmarkStart w:id="114" w:name="_Toc131666763"/>
      <w:r>
        <w:rPr>
          <w:rStyle w:val="CharSectno"/>
        </w:rPr>
        <w:t>55</w:t>
      </w:r>
      <w:r>
        <w:rPr>
          <w:snapToGrid w:val="0"/>
        </w:rPr>
        <w:t>.</w:t>
      </w:r>
      <w:r>
        <w:rPr>
          <w:snapToGrid w:val="0"/>
        </w:rPr>
        <w:tab/>
        <w:t>Approving premises for gaming</w:t>
      </w:r>
      <w:bookmarkEnd w:id="114"/>
    </w:p>
    <w:p>
      <w:pPr>
        <w:pStyle w:val="Subsection"/>
        <w:keepNext/>
        <w:keepLines/>
        <w:rPr>
          <w:snapToGrid w:val="0"/>
        </w:rPr>
      </w:pPr>
      <w:r>
        <w:rPr>
          <w:snapToGrid w:val="0"/>
        </w:rPr>
        <w:tab/>
        <w:t>(1)</w:t>
      </w:r>
      <w:r>
        <w:rPr>
          <w:snapToGrid w:val="0"/>
        </w:rPr>
        <w:tab/>
        <w:t>An application for the grant by the Commission of approval to the use of premises for gaming —</w:t>
      </w:r>
    </w:p>
    <w:p>
      <w:pPr>
        <w:pStyle w:val="Indenta"/>
        <w:rPr>
          <w:snapToGrid w:val="0"/>
        </w:rPr>
      </w:pPr>
      <w:r>
        <w:rPr>
          <w:snapToGrid w:val="0"/>
        </w:rPr>
        <w:tab/>
        <w:t>(a)</w:t>
      </w:r>
      <w:r>
        <w:rPr>
          <w:snapToGrid w:val="0"/>
        </w:rPr>
        <w:tab/>
        <w:t>in the case of premises to be used for the purposes of a specific function permit, may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w:t>
      </w:r>
    </w:p>
    <w:p>
      <w:pPr>
        <w:pStyle w:val="Indenta"/>
        <w:rPr>
          <w:snapToGrid w:val="0"/>
        </w:rPr>
      </w:pPr>
      <w:r>
        <w:rPr>
          <w:snapToGrid w:val="0"/>
        </w:rPr>
        <w:tab/>
        <w:t>(a)</w:t>
      </w:r>
      <w:r>
        <w:rPr>
          <w:snapToGrid w:val="0"/>
        </w:rPr>
        <w:tab/>
        <w:t>specifically, to be used for the purposes of a specific function permit; or</w:t>
      </w:r>
    </w:p>
    <w:p>
      <w:pPr>
        <w:pStyle w:val="Indenta"/>
        <w:spacing w:before="100"/>
        <w:rPr>
          <w:snapToGrid w:val="0"/>
        </w:rPr>
      </w:pPr>
      <w:r>
        <w:rPr>
          <w:snapToGrid w:val="0"/>
        </w:rPr>
        <w:lastRenderedPageBreak/>
        <w:tab/>
        <w:t>(b)</w:t>
      </w:r>
      <w:r>
        <w:rPr>
          <w:snapToGrid w:val="0"/>
        </w:rPr>
        <w:tab/>
        <w:t>generally, to be used for the purposes of function permits from time to time; or</w:t>
      </w:r>
    </w:p>
    <w:p>
      <w:pPr>
        <w:pStyle w:val="Indenta"/>
        <w:spacing w:before="100"/>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w:t>
      </w:r>
    </w:p>
    <w:p>
      <w:pPr>
        <w:pStyle w:val="Indenta"/>
        <w:spacing w:before="100"/>
        <w:rPr>
          <w:snapToGrid w:val="0"/>
        </w:rPr>
      </w:pPr>
      <w:r>
        <w:rPr>
          <w:snapToGrid w:val="0"/>
        </w:rPr>
        <w:tab/>
        <w:t>(a)</w:t>
      </w:r>
      <w:r>
        <w:rPr>
          <w:snapToGrid w:val="0"/>
        </w:rPr>
        <w:tab/>
        <w:t>a report from the local government of the district in which the premises are situated, certifying that those premises conform, or if not conforming in what respect they do not conform, to the</w:t>
      </w:r>
      <w:r>
        <w:rPr>
          <w:i/>
        </w:rPr>
        <w:t xml:space="preserve"> Health (Miscellaneous Provisions)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 and</w:t>
      </w:r>
    </w:p>
    <w:p>
      <w:pPr>
        <w:pStyle w:val="Indenta"/>
        <w:spacing w:before="100"/>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w:t>
      </w:r>
    </w:p>
    <w:p>
      <w:pPr>
        <w:pStyle w:val="Indenti"/>
        <w:spacing w:before="100"/>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spacing w:before="100"/>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 report from the Commissioner of Police, or of an officer appointed by him with the approval of the Commission for that purpose, certifying that the </w:t>
      </w:r>
      <w:r>
        <w:rPr>
          <w:snapToGrid w:val="0"/>
        </w:rPr>
        <w:lastRenderedPageBreak/>
        <w:t>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An approval of premises granted by the Commission subsists in favour of the holder to whom or which the approval was first granted, or an assignee acceptable to the Commission entered in the register as the registered holder of that approval, and until —</w:t>
      </w:r>
    </w:p>
    <w:p>
      <w:pPr>
        <w:pStyle w:val="Indenta"/>
        <w:rPr>
          <w:snapToGrid w:val="0"/>
        </w:rPr>
      </w:pPr>
      <w:r>
        <w:rPr>
          <w:snapToGrid w:val="0"/>
        </w:rPr>
        <w:tab/>
        <w:t>(a)</w:t>
      </w:r>
      <w:r>
        <w:rPr>
          <w:snapToGrid w:val="0"/>
        </w:rPr>
        <w:tab/>
        <w:t>the term for which it was granted expires; or</w:t>
      </w:r>
    </w:p>
    <w:p>
      <w:pPr>
        <w:pStyle w:val="Indenta"/>
        <w:keepNext/>
        <w:rPr>
          <w:snapToGrid w:val="0"/>
        </w:rPr>
      </w:pPr>
      <w:r>
        <w:rPr>
          <w:snapToGrid w:val="0"/>
        </w:rPr>
        <w:lastRenderedPageBreak/>
        <w:tab/>
        <w:t>(b)</w:t>
      </w:r>
      <w:r>
        <w:rPr>
          <w:snapToGrid w:val="0"/>
        </w:rPr>
        <w:tab/>
        <w:t>its operation is suspended pursuant to an amendment; or</w:t>
      </w:r>
    </w:p>
    <w:p>
      <w:pPr>
        <w:pStyle w:val="Indenta"/>
        <w:keepNext/>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ind w:left="890" w:hanging="890"/>
      </w:pPr>
      <w:r>
        <w:tab/>
        <w:t>[Section 55 amended: No. 14 of 1996 s. 4; No. 35 of 2003 s. 167; No. 38 of 2005 s. 15; No. 19 of 2016 s. 101.]</w:t>
      </w:r>
    </w:p>
    <w:p>
      <w:pPr>
        <w:pStyle w:val="Heading5"/>
        <w:rPr>
          <w:snapToGrid w:val="0"/>
        </w:rPr>
      </w:pPr>
      <w:bookmarkStart w:id="115" w:name="_Toc131666764"/>
      <w:r>
        <w:rPr>
          <w:rStyle w:val="CharSectno"/>
        </w:rPr>
        <w:t>56</w:t>
      </w:r>
      <w:r>
        <w:rPr>
          <w:snapToGrid w:val="0"/>
        </w:rPr>
        <w:t>.</w:t>
      </w:r>
      <w:r>
        <w:rPr>
          <w:snapToGrid w:val="0"/>
        </w:rPr>
        <w:tab/>
        <w:t>Renewing approvals, permits and certificates</w:t>
      </w:r>
      <w:bookmarkEnd w:id="115"/>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 xml:space="preserve">Subject to section 49(2), the application for the renewal or reinstatement of an approval, permit or certificate shall be dealt with at the discretion of the Commission as though it were an application for the grant of a new approval or for the issue of a </w:t>
      </w:r>
      <w:r>
        <w:rPr>
          <w:snapToGrid w:val="0"/>
        </w:rPr>
        <w:lastRenderedPageBreak/>
        <w:t>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116" w:name="_Toc131666765"/>
      <w:r>
        <w:rPr>
          <w:rStyle w:val="CharSectno"/>
        </w:rPr>
        <w:t>57</w:t>
      </w:r>
      <w:r>
        <w:rPr>
          <w:snapToGrid w:val="0"/>
        </w:rPr>
        <w:t>.</w:t>
      </w:r>
      <w:r>
        <w:rPr>
          <w:snapToGrid w:val="0"/>
        </w:rPr>
        <w:tab/>
        <w:t>Reports by permit holders, when required, content of etc.</w:t>
      </w:r>
      <w:bookmarkEnd w:id="116"/>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 and</w:t>
      </w:r>
    </w:p>
    <w:p>
      <w:pPr>
        <w:pStyle w:val="Indenta"/>
        <w:rPr>
          <w:snapToGrid w:val="0"/>
        </w:rPr>
      </w:pPr>
      <w:r>
        <w:rPr>
          <w:snapToGrid w:val="0"/>
        </w:rPr>
        <w:tab/>
        <w:t>(b)</w:t>
      </w:r>
      <w:r>
        <w:rPr>
          <w:snapToGrid w:val="0"/>
        </w:rPr>
        <w:tab/>
        <w:t>each date and place at which gaming to which the permit purported to apply occurred; and</w:t>
      </w:r>
    </w:p>
    <w:p>
      <w:pPr>
        <w:pStyle w:val="Indenta"/>
        <w:rPr>
          <w:snapToGrid w:val="0"/>
        </w:rPr>
      </w:pPr>
      <w:r>
        <w:rPr>
          <w:snapToGrid w:val="0"/>
        </w:rPr>
        <w:tab/>
        <w:t>(c)</w:t>
      </w:r>
      <w:r>
        <w:rPr>
          <w:snapToGrid w:val="0"/>
        </w:rPr>
        <w:tab/>
        <w:t>the total amount of the proceeds of the permitted gaming; and</w:t>
      </w:r>
    </w:p>
    <w:p>
      <w:pPr>
        <w:pStyle w:val="Indenta"/>
        <w:keepNext/>
        <w:rPr>
          <w:snapToGrid w:val="0"/>
        </w:rPr>
      </w:pPr>
      <w:r>
        <w:rPr>
          <w:snapToGrid w:val="0"/>
        </w:rPr>
        <w:lastRenderedPageBreak/>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r>
      <w:r>
        <w:t>Penalty for this subsection: a fine of</w:t>
      </w:r>
      <w:r>
        <w:rPr>
          <w:snapToGrid w:val="0"/>
        </w:rPr>
        <w:t xml:space="preserve"> $5 000, or imprisonment for 1 year, or both.</w:t>
      </w:r>
    </w:p>
    <w:p>
      <w:pPr>
        <w:pStyle w:val="Footnotesection"/>
        <w:ind w:left="890" w:hanging="890"/>
      </w:pPr>
      <w:r>
        <w:tab/>
        <w:t>[Section 57 amended: No. 35 of 2003 s. 167; No. 41 of 2018 s. 25(1).]</w:t>
      </w:r>
    </w:p>
    <w:p>
      <w:pPr>
        <w:pStyle w:val="Heading5"/>
        <w:rPr>
          <w:snapToGrid w:val="0"/>
        </w:rPr>
      </w:pPr>
      <w:bookmarkStart w:id="117" w:name="_Toc131666766"/>
      <w:r>
        <w:rPr>
          <w:rStyle w:val="CharSectno"/>
        </w:rPr>
        <w:t>58</w:t>
      </w:r>
      <w:r>
        <w:rPr>
          <w:snapToGrid w:val="0"/>
        </w:rPr>
        <w:t>.</w:t>
      </w:r>
      <w:r>
        <w:rPr>
          <w:snapToGrid w:val="0"/>
        </w:rPr>
        <w:tab/>
        <w:t>Gaming permit may regulate use of proceeds from permitted gaming etc.</w:t>
      </w:r>
      <w:bookmarkEnd w:id="117"/>
    </w:p>
    <w:p>
      <w:pPr>
        <w:pStyle w:val="Subsection"/>
        <w:keepNext/>
        <w:rPr>
          <w:snapToGrid w:val="0"/>
        </w:rPr>
      </w:pPr>
      <w:r>
        <w:rPr>
          <w:snapToGrid w:val="0"/>
        </w:rPr>
        <w:tab/>
        <w:t>(1)</w:t>
      </w:r>
      <w:r>
        <w:rPr>
          <w:snapToGrid w:val="0"/>
        </w:rPr>
        <w:tab/>
        <w:t>A condition imposed in relation to a permit may require the permit holder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lastRenderedPageBreak/>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rStyle w:val="CharDefText"/>
        </w:rPr>
        <w:t>object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w:t>
      </w:r>
    </w:p>
    <w:p>
      <w:pPr>
        <w:pStyle w:val="Indenta"/>
        <w:rPr>
          <w:snapToGrid w:val="0"/>
        </w:rPr>
      </w:pPr>
      <w:r>
        <w:rPr>
          <w:snapToGrid w:val="0"/>
        </w:rPr>
        <w:tab/>
        <w:t>(a)</w:t>
      </w:r>
      <w:r>
        <w:rPr>
          <w:snapToGrid w:val="0"/>
        </w:rPr>
        <w:tab/>
        <w:t>that the object, in whole or in part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object provides a use for part only of the money accruing from the permitted gaming; or</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 or</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lastRenderedPageBreak/>
        <w:tab/>
        <w:t>(ii)</w:t>
      </w:r>
      <w:r>
        <w:rPr>
          <w:snapToGrid w:val="0"/>
        </w:rPr>
        <w:tab/>
        <w:t>ceased in any other way to provide a suitable and effective method of using money accruing from the permitted gaming.</w:t>
      </w:r>
    </w:p>
    <w:p>
      <w:pPr>
        <w:pStyle w:val="Subsection"/>
        <w:spacing w:before="180"/>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for this subsection: a fine of $2 500.</w:t>
      </w:r>
    </w:p>
    <w:p>
      <w:pPr>
        <w:pStyle w:val="Footnotesection"/>
      </w:pPr>
      <w:r>
        <w:tab/>
        <w:t>[Section 58 amended: No. 50 of 2003 s. 66(4) ; No. 41 of 2018 s. 25(1).]</w:t>
      </w:r>
    </w:p>
    <w:p>
      <w:pPr>
        <w:pStyle w:val="Heading5"/>
        <w:spacing w:before="240"/>
        <w:rPr>
          <w:snapToGrid w:val="0"/>
        </w:rPr>
      </w:pPr>
      <w:bookmarkStart w:id="118" w:name="_Toc131666767"/>
      <w:r>
        <w:rPr>
          <w:rStyle w:val="CharSectno"/>
        </w:rPr>
        <w:t>59</w:t>
      </w:r>
      <w:r>
        <w:rPr>
          <w:snapToGrid w:val="0"/>
        </w:rPr>
        <w:t>.</w:t>
      </w:r>
      <w:r>
        <w:rPr>
          <w:snapToGrid w:val="0"/>
        </w:rPr>
        <w:tab/>
        <w:t>Approvals etc. may require security to be given</w:t>
      </w:r>
      <w:bookmarkEnd w:id="118"/>
    </w:p>
    <w:p>
      <w:pPr>
        <w:pStyle w:val="Subsection"/>
        <w:spacing w:before="180"/>
        <w:rPr>
          <w:snapToGrid w:val="0"/>
        </w:rPr>
      </w:pPr>
      <w:r>
        <w:rPr>
          <w:snapToGrid w:val="0"/>
        </w:rPr>
        <w:tab/>
        <w:t>(1)</w:t>
      </w:r>
      <w:r>
        <w:rPr>
          <w:snapToGrid w:val="0"/>
        </w:rPr>
        <w:tab/>
        <w:t>A condition imposed in relation to —</w:t>
      </w:r>
    </w:p>
    <w:p>
      <w:pPr>
        <w:pStyle w:val="Indenta"/>
        <w:spacing w:before="100"/>
        <w:rPr>
          <w:snapToGrid w:val="0"/>
        </w:rPr>
      </w:pPr>
      <w:r>
        <w:rPr>
          <w:snapToGrid w:val="0"/>
        </w:rPr>
        <w:tab/>
        <w:t>(a)</w:t>
      </w:r>
      <w:r>
        <w:rPr>
          <w:snapToGrid w:val="0"/>
        </w:rPr>
        <w:tab/>
        <w:t>the eligibility of any person to hold a permit; or</w:t>
      </w:r>
    </w:p>
    <w:p>
      <w:pPr>
        <w:pStyle w:val="Indenta"/>
        <w:spacing w:before="100"/>
        <w:rPr>
          <w:snapToGrid w:val="0"/>
        </w:rPr>
      </w:pPr>
      <w:r>
        <w:rPr>
          <w:snapToGrid w:val="0"/>
        </w:rPr>
        <w:tab/>
        <w:t>(b)</w:t>
      </w:r>
      <w:r>
        <w:rPr>
          <w:snapToGrid w:val="0"/>
        </w:rPr>
        <w:tab/>
        <w:t>the approval of a person as a nominee permit holder; or</w:t>
      </w:r>
    </w:p>
    <w:p>
      <w:pPr>
        <w:pStyle w:val="Indenta"/>
        <w:spacing w:before="100"/>
        <w:rPr>
          <w:snapToGrid w:val="0"/>
        </w:rPr>
      </w:pPr>
      <w:r>
        <w:rPr>
          <w:snapToGrid w:val="0"/>
        </w:rPr>
        <w:tab/>
        <w:t>(c)</w:t>
      </w:r>
      <w:r>
        <w:rPr>
          <w:snapToGrid w:val="0"/>
        </w:rPr>
        <w:tab/>
        <w:t>the approval of premises; or</w:t>
      </w:r>
    </w:p>
    <w:p>
      <w:pPr>
        <w:pStyle w:val="Indenta"/>
        <w:keepNext/>
        <w:keepLines/>
        <w:rPr>
          <w:snapToGrid w:val="0"/>
        </w:rPr>
      </w:pPr>
      <w:r>
        <w:rPr>
          <w:snapToGrid w:val="0"/>
        </w:rPr>
        <w:tab/>
        <w:t>(d)</w:t>
      </w:r>
      <w:r>
        <w:rPr>
          <w:snapToGrid w:val="0"/>
        </w:rPr>
        <w:tab/>
        <w:t>the issue of a permit or certificate,</w:t>
      </w:r>
    </w:p>
    <w:p>
      <w:pPr>
        <w:pStyle w:val="Subsection"/>
        <w:keepLines/>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lastRenderedPageBreak/>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ind w:left="890" w:hanging="890"/>
      </w:pPr>
      <w:r>
        <w:tab/>
        <w:t>[Section 59 amended: No. 16 of 1990 s. 33.]</w:t>
      </w:r>
    </w:p>
    <w:p>
      <w:pPr>
        <w:pStyle w:val="Heading5"/>
        <w:rPr>
          <w:snapToGrid w:val="0"/>
        </w:rPr>
      </w:pPr>
      <w:bookmarkStart w:id="119" w:name="_Toc131666768"/>
      <w:r>
        <w:rPr>
          <w:rStyle w:val="CharSectno"/>
        </w:rPr>
        <w:lastRenderedPageBreak/>
        <w:t>60</w:t>
      </w:r>
      <w:r>
        <w:rPr>
          <w:snapToGrid w:val="0"/>
        </w:rPr>
        <w:t>.</w:t>
      </w:r>
      <w:r>
        <w:rPr>
          <w:snapToGrid w:val="0"/>
        </w:rPr>
        <w:tab/>
        <w:t>Revoking and amending permits and certain approvals</w:t>
      </w:r>
      <w:bookmarkEnd w:id="119"/>
    </w:p>
    <w:p>
      <w:pPr>
        <w:pStyle w:val="Subsection"/>
        <w:rPr>
          <w:snapToGrid w:val="0"/>
        </w:rPr>
      </w:pPr>
      <w:r>
        <w:rPr>
          <w:snapToGrid w:val="0"/>
        </w:rPr>
        <w:tab/>
        <w:t>(1)</w:t>
      </w:r>
      <w:r>
        <w:rPr>
          <w:snapToGrid w:val="0"/>
        </w:rPr>
        <w:tab/>
        <w:t>Where the Commission is satisfied that the circumstances so require, the Commission, subject to section 62, may in its discretion —</w:t>
      </w:r>
    </w:p>
    <w:p>
      <w:pPr>
        <w:pStyle w:val="Indenta"/>
        <w:rPr>
          <w:snapToGrid w:val="0"/>
        </w:rPr>
      </w:pPr>
      <w:r>
        <w:rPr>
          <w:snapToGrid w:val="0"/>
        </w:rPr>
        <w:tab/>
        <w:t>(a)</w:t>
      </w:r>
      <w:r>
        <w:rPr>
          <w:snapToGrid w:val="0"/>
        </w:rPr>
        <w:tab/>
        <w:t>revoke its approval as to the eligibility of any person to hold a permit; or</w:t>
      </w:r>
    </w:p>
    <w:p>
      <w:pPr>
        <w:pStyle w:val="Indenta"/>
        <w:rPr>
          <w:snapToGrid w:val="0"/>
        </w:rPr>
      </w:pPr>
      <w:r>
        <w:rPr>
          <w:snapToGrid w:val="0"/>
        </w:rPr>
        <w:tab/>
        <w:t>(b)</w:t>
      </w:r>
      <w:r>
        <w:rPr>
          <w:snapToGrid w:val="0"/>
        </w:rPr>
        <w:tab/>
        <w:t>revoke its approval of a person as a nominee permit holder; or</w:t>
      </w:r>
    </w:p>
    <w:p>
      <w:pPr>
        <w:pStyle w:val="Indenta"/>
        <w:rPr>
          <w:snapToGrid w:val="0"/>
        </w:rPr>
      </w:pPr>
      <w:r>
        <w:rPr>
          <w:snapToGrid w:val="0"/>
        </w:rPr>
        <w:tab/>
        <w:t>(c)</w:t>
      </w:r>
      <w:r>
        <w:rPr>
          <w:snapToGrid w:val="0"/>
        </w:rPr>
        <w:tab/>
        <w:t>where a permit holder is a corporation and —</w:t>
      </w:r>
    </w:p>
    <w:p>
      <w:pPr>
        <w:pStyle w:val="Indenti"/>
        <w:rPr>
          <w:snapToGrid w:val="0"/>
        </w:rPr>
      </w:pPr>
      <w:r>
        <w:rPr>
          <w:snapToGrid w:val="0"/>
        </w:rPr>
        <w:tab/>
        <w:t>(i)</w:t>
      </w:r>
      <w:r>
        <w:rPr>
          <w:snapToGrid w:val="0"/>
        </w:rPr>
        <w:tab/>
        <w:t>a dealing with shares or any other interest in the corporation takes place; or</w:t>
      </w:r>
    </w:p>
    <w:p>
      <w:pPr>
        <w:pStyle w:val="Indenti"/>
        <w:keepNext/>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 or</w:t>
      </w:r>
    </w:p>
    <w:p>
      <w:pPr>
        <w:pStyle w:val="Indenta"/>
        <w:keepNext/>
        <w:rPr>
          <w:snapToGrid w:val="0"/>
        </w:rPr>
      </w:pPr>
      <w:r>
        <w:rPr>
          <w:snapToGrid w:val="0"/>
        </w:rPr>
        <w:tab/>
        <w:t>(d)</w:t>
      </w:r>
      <w:r>
        <w:rPr>
          <w:snapToGrid w:val="0"/>
        </w:rPr>
        <w:tab/>
        <w:t>revoke a permit or a certificate; or</w:t>
      </w:r>
    </w:p>
    <w:p>
      <w:pPr>
        <w:pStyle w:val="Indenta"/>
        <w:keepNext/>
        <w:rPr>
          <w:snapToGrid w:val="0"/>
        </w:rPr>
      </w:pPr>
      <w:r>
        <w:rPr>
          <w:snapToGrid w:val="0"/>
        </w:rPr>
        <w:tab/>
        <w:t>(e)</w:t>
      </w:r>
      <w:r>
        <w:rPr>
          <w:snapToGrid w:val="0"/>
        </w:rPr>
        <w:tab/>
        <w:t>amend any such approval or permit or certificate.</w:t>
      </w:r>
    </w:p>
    <w:p>
      <w:pPr>
        <w:pStyle w:val="Subsection"/>
        <w:rPr>
          <w:snapToGrid w:val="0"/>
        </w:rPr>
      </w:pPr>
      <w:r>
        <w:rPr>
          <w:snapToGrid w:val="0"/>
        </w:rPr>
        <w:tab/>
        <w:t>(2)</w:t>
      </w:r>
      <w:r>
        <w:rPr>
          <w:snapToGrid w:val="0"/>
        </w:rPr>
        <w:tab/>
        <w:t>The revocation or amendment of an approval or a permit or a certificate pursuant to subsection (1) takes effect —</w:t>
      </w:r>
    </w:p>
    <w:p>
      <w:pPr>
        <w:pStyle w:val="Indenta"/>
        <w:spacing w:before="60"/>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rPr>
          <w:snapToGrid w:val="0"/>
        </w:rPr>
      </w:pPr>
      <w:r>
        <w:rPr>
          <w:snapToGrid w:val="0"/>
        </w:rPr>
        <w:tab/>
      </w:r>
      <w:r>
        <w:rPr>
          <w:snapToGrid w:val="0"/>
        </w:rPr>
        <w:tab/>
        <w:t>and the register shall be noted accordingly.</w:t>
      </w:r>
    </w:p>
    <w:p>
      <w:pPr>
        <w:pStyle w:val="Subsection"/>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w:t>
      </w:r>
      <w:r>
        <w:rPr>
          <w:snapToGrid w:val="0"/>
        </w:rPr>
        <w:lastRenderedPageBreak/>
        <w:t>of an approval or a permit or a certificate to which this section applies.</w:t>
      </w:r>
    </w:p>
    <w:p>
      <w:pPr>
        <w:pStyle w:val="Subsection"/>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ind w:left="890" w:hanging="890"/>
      </w:pPr>
      <w:r>
        <w:tab/>
        <w:t>[Section 60 amended: No. 16 of 1990 s. 33; No. 24 of 1998 s. 52.]</w:t>
      </w:r>
    </w:p>
    <w:p>
      <w:pPr>
        <w:pStyle w:val="Ednotesection"/>
      </w:pPr>
      <w:r>
        <w:t>[</w:t>
      </w:r>
      <w:r>
        <w:rPr>
          <w:b/>
        </w:rPr>
        <w:t>61.</w:t>
      </w:r>
      <w:r>
        <w:tab/>
        <w:t>Deleted: No. 16 of 1990 s. 33.]</w:t>
      </w:r>
    </w:p>
    <w:p>
      <w:pPr>
        <w:pStyle w:val="Heading5"/>
        <w:rPr>
          <w:snapToGrid w:val="0"/>
        </w:rPr>
      </w:pPr>
      <w:bookmarkStart w:id="120" w:name="_Toc131666769"/>
      <w:r>
        <w:rPr>
          <w:rStyle w:val="CharSectno"/>
        </w:rPr>
        <w:t>62</w:t>
      </w:r>
      <w:r>
        <w:rPr>
          <w:snapToGrid w:val="0"/>
        </w:rPr>
        <w:t>.</w:t>
      </w:r>
      <w:r>
        <w:rPr>
          <w:snapToGrid w:val="0"/>
        </w:rPr>
        <w:tab/>
        <w:t>Revocation or amendment of current approval etc., Commission to report to Minister; appeals to Minister</w:t>
      </w:r>
      <w:bookmarkEnd w:id="120"/>
    </w:p>
    <w:p>
      <w:pPr>
        <w:pStyle w:val="Subsection"/>
        <w:rPr>
          <w:snapToGrid w:val="0"/>
        </w:rPr>
      </w:pPr>
      <w:r>
        <w:rPr>
          <w:snapToGrid w:val="0"/>
        </w:rPr>
        <w:tab/>
        <w:t>(1)</w:t>
      </w:r>
      <w:r>
        <w:rPr>
          <w:snapToGrid w:val="0"/>
        </w:rPr>
        <w:tab/>
        <w:t xml:space="preserve">Where the Commission revokes or amends an approval, permit or certificate before the conclusion of the period for which it would otherwise have effect, the Commission, after having given an opportunity to the holder of the approval, permit or </w:t>
      </w:r>
      <w:r>
        <w:rPr>
          <w:snapToGrid w:val="0"/>
        </w:rPr>
        <w:lastRenderedPageBreak/>
        <w:t>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w:t>
      </w:r>
    </w:p>
    <w:p>
      <w:pPr>
        <w:pStyle w:val="Indenta"/>
        <w:rPr>
          <w:snapToGrid w:val="0"/>
        </w:rPr>
      </w:pPr>
      <w:r>
        <w:rPr>
          <w:snapToGrid w:val="0"/>
        </w:rPr>
        <w:tab/>
        <w:t>(a)</w:t>
      </w:r>
      <w:r>
        <w:rPr>
          <w:snapToGrid w:val="0"/>
        </w:rPr>
        <w:tab/>
        <w:t>revoking; or</w:t>
      </w:r>
    </w:p>
    <w:p>
      <w:pPr>
        <w:pStyle w:val="Indenta"/>
        <w:rPr>
          <w:snapToGrid w:val="0"/>
        </w:rPr>
      </w:pPr>
      <w:r>
        <w:rPr>
          <w:snapToGrid w:val="0"/>
        </w:rPr>
        <w:tab/>
        <w:t>(b)</w:t>
      </w:r>
      <w:r>
        <w:rPr>
          <w:snapToGrid w:val="0"/>
        </w:rPr>
        <w:tab/>
        <w:t>refusing to renew; or</w:t>
      </w:r>
    </w:p>
    <w:p>
      <w:pPr>
        <w:pStyle w:val="Indenta"/>
        <w:keepNext/>
        <w:rPr>
          <w:snapToGrid w:val="0"/>
        </w:rPr>
      </w:pPr>
      <w:r>
        <w:rPr>
          <w:snapToGrid w:val="0"/>
        </w:rPr>
        <w:tab/>
        <w:t>(c)</w:t>
      </w:r>
      <w:r>
        <w:rPr>
          <w:snapToGrid w:val="0"/>
        </w:rPr>
        <w:tab/>
        <w:t>amending,</w:t>
      </w:r>
    </w:p>
    <w:p>
      <w:pPr>
        <w:pStyle w:val="Subsection"/>
        <w:spacing w:before="120"/>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spacing w:before="180"/>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8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No. 35 of 2003 s. 166.]</w:t>
      </w:r>
    </w:p>
    <w:p>
      <w:pPr>
        <w:pStyle w:val="Heading5"/>
        <w:spacing w:before="240"/>
        <w:rPr>
          <w:snapToGrid w:val="0"/>
        </w:rPr>
      </w:pPr>
      <w:bookmarkStart w:id="121" w:name="_Toc131666770"/>
      <w:r>
        <w:rPr>
          <w:rStyle w:val="CharSectno"/>
        </w:rPr>
        <w:t>63</w:t>
      </w:r>
      <w:r>
        <w:rPr>
          <w:snapToGrid w:val="0"/>
        </w:rPr>
        <w:t>.</w:t>
      </w:r>
      <w:r>
        <w:rPr>
          <w:snapToGrid w:val="0"/>
        </w:rPr>
        <w:tab/>
        <w:t>No credit to be given to person for permitted gaming; cheques for permitted gaming</w:t>
      </w:r>
      <w:bookmarkEnd w:id="121"/>
    </w:p>
    <w:p>
      <w:pPr>
        <w:pStyle w:val="Subsection"/>
        <w:spacing w:before="180"/>
        <w:rPr>
          <w:snapToGrid w:val="0"/>
        </w:rPr>
      </w:pPr>
      <w:r>
        <w:rPr>
          <w:snapToGrid w:val="0"/>
        </w:rPr>
        <w:tab/>
        <w:t>(1)</w:t>
      </w:r>
      <w:r>
        <w:rPr>
          <w:snapToGrid w:val="0"/>
        </w:rPr>
        <w:tab/>
        <w:t xml:space="preserve">Subject to subsection (2), where permitted gaming takes place, neither the permit holder nor any person acting on his behalf or </w:t>
      </w:r>
      <w:r>
        <w:rPr>
          <w:snapToGrid w:val="0"/>
        </w:rPr>
        <w:lastRenderedPageBreak/>
        <w:t>under any arrangement with him shall make any loan or otherwise provide or allow to any person any credit, or release, or discharge on another person’s behalf, the whole or part of any debt —</w:t>
      </w:r>
    </w:p>
    <w:p>
      <w:pPr>
        <w:pStyle w:val="Indenta"/>
        <w:rPr>
          <w:snapToGrid w:val="0"/>
        </w:rPr>
      </w:pPr>
      <w:r>
        <w:rPr>
          <w:snapToGrid w:val="0"/>
        </w:rPr>
        <w:tab/>
        <w:t>(a)</w:t>
      </w:r>
      <w:r>
        <w:rPr>
          <w:snapToGrid w:val="0"/>
        </w:rPr>
        <w:tab/>
        <w:t>for enabling any person to take part in permitted gaming; or</w:t>
      </w:r>
    </w:p>
    <w:p>
      <w:pPr>
        <w:pStyle w:val="Indenta"/>
        <w:rPr>
          <w:snapToGrid w:val="0"/>
        </w:rPr>
      </w:pPr>
      <w:r>
        <w:rPr>
          <w:snapToGrid w:val="0"/>
        </w:rPr>
        <w:tab/>
        <w:t>(b)</w:t>
      </w:r>
      <w:r>
        <w:rPr>
          <w:snapToGrid w:val="0"/>
        </w:rPr>
        <w:tab/>
        <w:t>in respect of any losses incurred by any person in permitted gaming.</w:t>
      </w:r>
    </w:p>
    <w:p>
      <w:pPr>
        <w:pStyle w:val="Subsection"/>
        <w:spacing w:before="18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w:t>
      </w:r>
    </w:p>
    <w:p>
      <w:pPr>
        <w:pStyle w:val="Indenta"/>
        <w:rPr>
          <w:snapToGrid w:val="0"/>
        </w:rPr>
      </w:pPr>
      <w:r>
        <w:rPr>
          <w:snapToGrid w:val="0"/>
        </w:rPr>
        <w:tab/>
        <w:t>(a)</w:t>
      </w:r>
      <w:r>
        <w:rPr>
          <w:snapToGrid w:val="0"/>
        </w:rPr>
        <w:tab/>
        <w:t>the cheque is not a post</w:t>
      </w:r>
      <w:r>
        <w:rPr>
          <w:snapToGrid w:val="0"/>
        </w:rPr>
        <w:noBreakHyphen/>
        <w:t>dated cheque; and</w:t>
      </w:r>
    </w:p>
    <w:p>
      <w:pPr>
        <w:pStyle w:val="Indenta"/>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rStyle w:val="CharDefText"/>
        </w:rPr>
        <w:t>banking day</w:t>
      </w:r>
      <w:r>
        <w:rPr>
          <w:snapToGrid w:val="0"/>
        </w:rPr>
        <w:t xml:space="preserve"> means a day other than a bank holiday.</w:t>
      </w:r>
    </w:p>
    <w:p>
      <w:pPr>
        <w:pStyle w:val="Footnotesection"/>
        <w:ind w:left="890" w:hanging="890"/>
      </w:pPr>
      <w:r>
        <w:tab/>
        <w:t>[Section 63 amended: No. 24 of 2000 s. 52.]</w:t>
      </w:r>
    </w:p>
    <w:p>
      <w:pPr>
        <w:pStyle w:val="Heading3"/>
      </w:pPr>
      <w:bookmarkStart w:id="122" w:name="_Toc115166622"/>
      <w:bookmarkStart w:id="123" w:name="_Toc115166779"/>
      <w:bookmarkStart w:id="124" w:name="_Toc115267853"/>
      <w:bookmarkStart w:id="125" w:name="_Toc131666771"/>
      <w:r>
        <w:rPr>
          <w:rStyle w:val="CharDivNo"/>
        </w:rPr>
        <w:lastRenderedPageBreak/>
        <w:t>Division 2</w:t>
      </w:r>
      <w:r>
        <w:rPr>
          <w:snapToGrid w:val="0"/>
        </w:rPr>
        <w:t> — </w:t>
      </w:r>
      <w:r>
        <w:rPr>
          <w:rStyle w:val="CharDivText"/>
        </w:rPr>
        <w:t>Social gambling</w:t>
      </w:r>
      <w:bookmarkEnd w:id="122"/>
      <w:bookmarkEnd w:id="123"/>
      <w:bookmarkEnd w:id="124"/>
      <w:bookmarkEnd w:id="125"/>
    </w:p>
    <w:p>
      <w:pPr>
        <w:pStyle w:val="Heading5"/>
        <w:rPr>
          <w:snapToGrid w:val="0"/>
        </w:rPr>
      </w:pPr>
      <w:bookmarkStart w:id="126" w:name="_Toc131666772"/>
      <w:r>
        <w:rPr>
          <w:rStyle w:val="CharSectno"/>
        </w:rPr>
        <w:t>64</w:t>
      </w:r>
      <w:r>
        <w:rPr>
          <w:snapToGrid w:val="0"/>
        </w:rPr>
        <w:t>.</w:t>
      </w:r>
      <w:r>
        <w:rPr>
          <w:snapToGrid w:val="0"/>
        </w:rPr>
        <w:tab/>
        <w:t>Social gambling defined</w:t>
      </w:r>
      <w:bookmarkEnd w:id="126"/>
    </w:p>
    <w:p>
      <w:pPr>
        <w:pStyle w:val="Subsection"/>
        <w:keepNext/>
        <w:rPr>
          <w:snapToGrid w:val="0"/>
        </w:rPr>
      </w:pPr>
      <w:r>
        <w:rPr>
          <w:snapToGrid w:val="0"/>
        </w:rPr>
        <w:tab/>
        <w:t>(1)</w:t>
      </w:r>
      <w:r>
        <w:rPr>
          <w:snapToGrid w:val="0"/>
        </w:rPr>
        <w:tab/>
        <w:t>This section does not, subject to subsection (3), apply to or in relation to —</w:t>
      </w:r>
    </w:p>
    <w:p>
      <w:pPr>
        <w:pStyle w:val="Indenta"/>
        <w:keepNext/>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keepNext/>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keepNext/>
        <w:rPr>
          <w:snapToGrid w:val="0"/>
        </w:rPr>
      </w:pPr>
      <w:r>
        <w:rPr>
          <w:snapToGrid w:val="0"/>
        </w:rPr>
        <w:tab/>
        <w:t>(2)</w:t>
      </w:r>
      <w:r>
        <w:rPr>
          <w:snapToGrid w:val="0"/>
        </w:rPr>
        <w:tab/>
        <w:t xml:space="preserve">Subject to subsection (1), </w:t>
      </w:r>
      <w:r>
        <w:t>gambling</w:t>
      </w:r>
      <w:r>
        <w:rPr>
          <w:snapToGrid w:val="0"/>
        </w:rPr>
        <w:t xml:space="preserve"> which —</w:t>
      </w:r>
    </w:p>
    <w:p>
      <w:pPr>
        <w:pStyle w:val="Indenta"/>
        <w:rPr>
          <w:snapToGrid w:val="0"/>
        </w:rPr>
      </w:pPr>
      <w:r>
        <w:rPr>
          <w:snapToGrid w:val="0"/>
        </w:rPr>
        <w:tab/>
        <w:t>(a)</w:t>
      </w:r>
      <w:r>
        <w:rPr>
          <w:snapToGrid w:val="0"/>
        </w:rPr>
        <w:tab/>
        <w:t>is spontaneous, notwithstanding that it may occur regularly, habitually or by arrangement between the persons involved; and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 and</w:t>
      </w:r>
    </w:p>
    <w:p>
      <w:pPr>
        <w:pStyle w:val="Indenta"/>
        <w:keepNext/>
        <w:rPr>
          <w:snapToGrid w:val="0"/>
        </w:rPr>
      </w:pPr>
      <w:r>
        <w:rPr>
          <w:snapToGrid w:val="0"/>
        </w:rPr>
        <w:tab/>
        <w:t>(c)</w:t>
      </w:r>
      <w:r>
        <w:rPr>
          <w:snapToGrid w:val="0"/>
        </w:rPr>
        <w:tab/>
        <w:t>is so conducted that —</w:t>
      </w:r>
    </w:p>
    <w:p>
      <w:pPr>
        <w:pStyle w:val="Indenti"/>
        <w:rPr>
          <w:snapToGrid w:val="0"/>
        </w:rPr>
      </w:pPr>
      <w:r>
        <w:rPr>
          <w:snapToGrid w:val="0"/>
        </w:rPr>
        <w:tab/>
        <w:t>(i)</w:t>
      </w:r>
      <w:r>
        <w:rPr>
          <w:snapToGrid w:val="0"/>
        </w:rPr>
        <w:tab/>
        <w:t>no person is defrauded or cheated; and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 and</w:t>
      </w:r>
    </w:p>
    <w:p>
      <w:pPr>
        <w:pStyle w:val="Indenta"/>
        <w:rPr>
          <w:snapToGrid w:val="0"/>
        </w:rPr>
      </w:pPr>
      <w:r>
        <w:rPr>
          <w:snapToGrid w:val="0"/>
        </w:rPr>
        <w:lastRenderedPageBreak/>
        <w:tab/>
        <w:t>(e)</w:t>
      </w:r>
      <w:r>
        <w:rPr>
          <w:snapToGrid w:val="0"/>
        </w:rPr>
        <w:tab/>
        <w:t>does not contravene the requirements of the person responsible for the premises where it occurs; and</w:t>
      </w:r>
    </w:p>
    <w:p>
      <w:pPr>
        <w:pStyle w:val="Indenta"/>
        <w:rPr>
          <w:snapToGrid w:val="0"/>
        </w:rPr>
      </w:pPr>
      <w:r>
        <w:rPr>
          <w:snapToGrid w:val="0"/>
        </w:rPr>
        <w:tab/>
        <w:t>(f)</w:t>
      </w:r>
      <w:r>
        <w:rPr>
          <w:snapToGrid w:val="0"/>
        </w:rPr>
        <w:tab/>
        <w:t>is not —</w:t>
      </w:r>
    </w:p>
    <w:p>
      <w:pPr>
        <w:pStyle w:val="Indenti"/>
        <w:rPr>
          <w:snapToGrid w:val="0"/>
        </w:rPr>
      </w:pPr>
      <w:r>
        <w:rPr>
          <w:snapToGrid w:val="0"/>
        </w:rPr>
        <w:tab/>
        <w:t>(i)</w:t>
      </w:r>
      <w:r>
        <w:rPr>
          <w:snapToGrid w:val="0"/>
        </w:rPr>
        <w:tab/>
        <w:t>two</w:t>
      </w:r>
      <w:r>
        <w:rPr>
          <w:snapToGrid w:val="0"/>
        </w:rPr>
        <w:noBreakHyphen/>
        <w:t>up; or</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spacing w:before="60"/>
        <w:rPr>
          <w:snapToGrid w:val="0"/>
        </w:rPr>
      </w:pPr>
      <w:r>
        <w:rPr>
          <w:snapToGrid w:val="0"/>
        </w:rPr>
        <w:tab/>
      </w:r>
      <w:r>
        <w:rPr>
          <w:snapToGrid w:val="0"/>
        </w:rPr>
        <w:tab/>
        <w:t>and</w:t>
      </w:r>
    </w:p>
    <w:p>
      <w:pPr>
        <w:pStyle w:val="Indenta"/>
        <w:keepNext/>
        <w:spacing w:before="60"/>
        <w:rPr>
          <w:snapToGrid w:val="0"/>
        </w:rPr>
      </w:pPr>
      <w:r>
        <w:rPr>
          <w:snapToGrid w:val="0"/>
        </w:rPr>
        <w:tab/>
        <w:t>(g)</w:t>
      </w:r>
      <w:r>
        <w:rPr>
          <w:snapToGrid w:val="0"/>
        </w:rPr>
        <w:tab/>
        <w:t>being gaming, by the nature of the game is such that the chances in the game —</w:t>
      </w:r>
    </w:p>
    <w:p>
      <w:pPr>
        <w:pStyle w:val="Indenti"/>
        <w:spacing w:before="60"/>
        <w:rPr>
          <w:snapToGrid w:val="0"/>
        </w:rPr>
      </w:pPr>
      <w:r>
        <w:rPr>
          <w:snapToGrid w:val="0"/>
        </w:rPr>
        <w:tab/>
        <w:t>(i)</w:t>
      </w:r>
      <w:r>
        <w:rPr>
          <w:snapToGrid w:val="0"/>
        </w:rPr>
        <w:tab/>
        <w:t>are equally favourable to all the players; or</w:t>
      </w:r>
    </w:p>
    <w:p>
      <w:pPr>
        <w:pStyle w:val="Indenti"/>
        <w:keepLines/>
        <w:spacing w:before="60"/>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Subsection"/>
        <w:keepNext/>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w:t>
      </w:r>
    </w:p>
    <w:p>
      <w:pPr>
        <w:pStyle w:val="Indenta"/>
        <w:spacing w:before="60"/>
        <w:rPr>
          <w:snapToGrid w:val="0"/>
        </w:rPr>
      </w:pPr>
      <w:r>
        <w:rPr>
          <w:snapToGrid w:val="0"/>
        </w:rPr>
        <w:tab/>
        <w:t>(a)</w:t>
      </w:r>
      <w:r>
        <w:rPr>
          <w:snapToGrid w:val="0"/>
        </w:rPr>
        <w:tab/>
        <w:t>holds a current licence as a bookmaker under that Act; or</w:t>
      </w:r>
    </w:p>
    <w:p>
      <w:pPr>
        <w:pStyle w:val="Indenta"/>
        <w:spacing w:before="60"/>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spacing w:before="60"/>
        <w:rPr>
          <w:snapToGrid w:val="0"/>
        </w:rPr>
      </w:pPr>
      <w:r>
        <w:rPr>
          <w:snapToGrid w:val="0"/>
        </w:rPr>
        <w:tab/>
        <w:t>(c)</w:t>
      </w:r>
      <w:r>
        <w:rPr>
          <w:snapToGrid w:val="0"/>
        </w:rPr>
        <w:tab/>
        <w:t>is employed by or acts on behalf of a person of the kind referred to in paragraph (a) or paragraph (b),</w:t>
      </w:r>
    </w:p>
    <w:p>
      <w:pPr>
        <w:pStyle w:val="Subsection"/>
        <w:spacing w:before="120"/>
        <w:rPr>
          <w:snapToGrid w:val="0"/>
        </w:rPr>
      </w:pPr>
      <w:r>
        <w:rPr>
          <w:snapToGrid w:val="0"/>
        </w:rPr>
        <w:tab/>
      </w:r>
      <w:r>
        <w:rPr>
          <w:snapToGrid w:val="0"/>
        </w:rPr>
        <w:tab/>
        <w:t>shall be taken to constitute social gambling and is not unlawful.</w:t>
      </w:r>
    </w:p>
    <w:p>
      <w:pPr>
        <w:pStyle w:val="Subsection"/>
        <w:rPr>
          <w:snapToGrid w:val="0"/>
        </w:rPr>
      </w:pPr>
      <w:r>
        <w:rPr>
          <w:snapToGrid w:val="0"/>
        </w:rPr>
        <w:lastRenderedPageBreak/>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No. 24 of 1998 s. 53; No. 35 of 2003 s. 150 and 166.]</w:t>
      </w:r>
    </w:p>
    <w:p>
      <w:pPr>
        <w:pStyle w:val="Ednotedivision"/>
      </w:pPr>
      <w:r>
        <w:t>[Division 3</w:t>
      </w:r>
      <w:r>
        <w:rPr>
          <w:b/>
        </w:rPr>
        <w:t xml:space="preserve"> </w:t>
      </w:r>
      <w:r>
        <w:rPr>
          <w:bCs/>
        </w:rPr>
        <w:t>(s. 65</w:t>
      </w:r>
      <w:r>
        <w:rPr>
          <w:bCs/>
        </w:rPr>
        <w:noBreakHyphen/>
        <w:t>79)</w:t>
      </w:r>
      <w:r>
        <w:t xml:space="preserve"> deleted: No. 16 of 1990 s. 31.]</w:t>
      </w:r>
    </w:p>
    <w:p>
      <w:pPr>
        <w:pStyle w:val="Heading3"/>
        <w:keepNext w:val="0"/>
      </w:pPr>
      <w:bookmarkStart w:id="127" w:name="_Toc115166624"/>
      <w:bookmarkStart w:id="128" w:name="_Toc115166781"/>
      <w:bookmarkStart w:id="129" w:name="_Toc115267855"/>
      <w:bookmarkStart w:id="130" w:name="_Toc131666773"/>
      <w:r>
        <w:rPr>
          <w:rStyle w:val="CharDivNo"/>
        </w:rPr>
        <w:t>Division 4</w:t>
      </w:r>
      <w:r>
        <w:rPr>
          <w:snapToGrid w:val="0"/>
        </w:rPr>
        <w:t> — </w:t>
      </w:r>
      <w:r>
        <w:rPr>
          <w:rStyle w:val="CharDivText"/>
        </w:rPr>
        <w:t>Permitted two</w:t>
      </w:r>
      <w:r>
        <w:rPr>
          <w:rStyle w:val="CharDivText"/>
        </w:rPr>
        <w:noBreakHyphen/>
        <w:t>up</w:t>
      </w:r>
      <w:bookmarkEnd w:id="127"/>
      <w:bookmarkEnd w:id="128"/>
      <w:bookmarkEnd w:id="129"/>
      <w:bookmarkEnd w:id="130"/>
    </w:p>
    <w:p>
      <w:pPr>
        <w:pStyle w:val="Heading5"/>
        <w:keepNext w:val="0"/>
        <w:keepLines w:val="0"/>
        <w:rPr>
          <w:snapToGrid w:val="0"/>
        </w:rPr>
      </w:pPr>
      <w:bookmarkStart w:id="131" w:name="_Toc131666774"/>
      <w:r>
        <w:rPr>
          <w:rStyle w:val="CharSectno"/>
        </w:rPr>
        <w:t>80</w:t>
      </w:r>
      <w:r>
        <w:rPr>
          <w:snapToGrid w:val="0"/>
        </w:rPr>
        <w:t>.</w:t>
      </w:r>
      <w:r>
        <w:rPr>
          <w:snapToGrid w:val="0"/>
        </w:rPr>
        <w:tab/>
        <w:t>Two</w:t>
      </w:r>
      <w:r>
        <w:rPr>
          <w:snapToGrid w:val="0"/>
        </w:rPr>
        <w:noBreakHyphen/>
        <w:t>up at country race meetings</w:t>
      </w:r>
      <w:bookmarkEnd w:id="131"/>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w:t>
      </w:r>
    </w:p>
    <w:p>
      <w:pPr>
        <w:pStyle w:val="Indenta"/>
        <w:rPr>
          <w:snapToGrid w:val="0"/>
        </w:rPr>
      </w:pPr>
      <w:r>
        <w:rPr>
          <w:snapToGrid w:val="0"/>
        </w:rPr>
        <w:tab/>
        <w:t>(a)</w:t>
      </w:r>
      <w:r>
        <w:rPr>
          <w:snapToGrid w:val="0"/>
        </w:rPr>
        <w:tab/>
        <w:t>takes place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t>
      </w:r>
      <w:r>
        <w:rPr>
          <w:snapToGrid w:val="0"/>
        </w:rPr>
        <w:lastRenderedPageBreak/>
        <w:t xml:space="preserve">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is conducted —</w:t>
      </w:r>
    </w:p>
    <w:p>
      <w:pPr>
        <w:pStyle w:val="Indenti"/>
        <w:spacing w:before="100"/>
        <w:rPr>
          <w:snapToGrid w:val="0"/>
        </w:rPr>
      </w:pPr>
      <w:r>
        <w:rPr>
          <w:snapToGrid w:val="0"/>
        </w:rPr>
        <w:tab/>
        <w:t>(i)</w:t>
      </w:r>
      <w:r>
        <w:rPr>
          <w:snapToGrid w:val="0"/>
        </w:rPr>
        <w:tab/>
        <w:t>by or on behalf of the country race club, by a person authorised in writing by the committee of that club for the purpose; and</w:t>
      </w:r>
    </w:p>
    <w:p>
      <w:pPr>
        <w:pStyle w:val="Indenti"/>
        <w:spacing w:before="100"/>
        <w:rPr>
          <w:snapToGrid w:val="0"/>
        </w:rPr>
      </w:pPr>
      <w:r>
        <w:rPr>
          <w:snapToGrid w:val="0"/>
        </w:rPr>
        <w:tab/>
        <w:t>(ii)</w:t>
      </w:r>
      <w:r>
        <w:rPr>
          <w:snapToGrid w:val="0"/>
        </w:rPr>
        <w:tab/>
        <w:t>otherwise than during the racing for that day; and</w:t>
      </w:r>
    </w:p>
    <w:p>
      <w:pPr>
        <w:pStyle w:val="Indenti"/>
        <w:spacing w:before="100"/>
        <w:rPr>
          <w:snapToGrid w:val="0"/>
        </w:rPr>
      </w:pPr>
      <w:r>
        <w:rPr>
          <w:snapToGrid w:val="0"/>
        </w:rPr>
        <w:tab/>
        <w:t>(iii)</w:t>
      </w:r>
      <w:r>
        <w:rPr>
          <w:snapToGrid w:val="0"/>
        </w:rPr>
        <w:tab/>
        <w:t>in the manner in which the game two</w:t>
      </w:r>
      <w:r>
        <w:rPr>
          <w:snapToGrid w:val="0"/>
        </w:rPr>
        <w:noBreakHyphen/>
        <w:t>up is customarily conducted in that locality of the State, whether with coins or dice; and</w:t>
      </w:r>
    </w:p>
    <w:p>
      <w:pPr>
        <w:pStyle w:val="Indenti"/>
        <w:spacing w:before="100"/>
        <w:rPr>
          <w:snapToGrid w:val="0"/>
        </w:rPr>
      </w:pPr>
      <w:r>
        <w:rPr>
          <w:snapToGrid w:val="0"/>
        </w:rPr>
        <w:tab/>
        <w:t>(iiia)</w:t>
      </w:r>
      <w:r>
        <w:rPr>
          <w:snapToGrid w:val="0"/>
        </w:rPr>
        <w:tab/>
        <w:t>not for the purposes of private gain or any commercial undertaking; and</w:t>
      </w:r>
    </w:p>
    <w:p>
      <w:pPr>
        <w:pStyle w:val="Indenti"/>
        <w:spacing w:before="100"/>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spacing w:before="100"/>
        <w:rPr>
          <w:snapToGrid w:val="0"/>
        </w:rPr>
      </w:pPr>
      <w:r>
        <w:rPr>
          <w:snapToGrid w:val="0"/>
        </w:rPr>
        <w:tab/>
      </w:r>
      <w:r>
        <w:rPr>
          <w:snapToGrid w:val="0"/>
        </w:rPr>
        <w:tab/>
        <w:t>and</w:t>
      </w:r>
    </w:p>
    <w:p>
      <w:pPr>
        <w:pStyle w:val="Indenta"/>
        <w:keepNext/>
        <w:spacing w:before="100"/>
        <w:rPr>
          <w:snapToGrid w:val="0"/>
        </w:rPr>
      </w:pPr>
      <w:r>
        <w:rPr>
          <w:snapToGrid w:val="0"/>
        </w:rPr>
        <w:tab/>
        <w:t>(c)</w:t>
      </w:r>
      <w:r>
        <w:rPr>
          <w:snapToGrid w:val="0"/>
        </w:rPr>
        <w:tab/>
        <w:t>does not contravene any condition —</w:t>
      </w:r>
    </w:p>
    <w:p>
      <w:pPr>
        <w:pStyle w:val="Indenti"/>
        <w:spacing w:before="100"/>
        <w:rPr>
          <w:snapToGrid w:val="0"/>
        </w:rPr>
      </w:pPr>
      <w:r>
        <w:rPr>
          <w:snapToGrid w:val="0"/>
        </w:rPr>
        <w:tab/>
        <w:t>(i)</w:t>
      </w:r>
      <w:r>
        <w:rPr>
          <w:snapToGrid w:val="0"/>
        </w:rPr>
        <w:tab/>
        <w:t>specifically imposed in respect of that permit; or</w:t>
      </w:r>
    </w:p>
    <w:p>
      <w:pPr>
        <w:pStyle w:val="Indenti"/>
        <w:spacing w:before="100"/>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rStyle w:val="CharDefText"/>
        </w:rPr>
        <w:t>race day</w:t>
      </w:r>
      <w:r>
        <w:rPr>
          <w:snapToGrid w:val="0"/>
        </w:rPr>
        <w:t xml:space="preserve">) may </w:t>
      </w:r>
      <w:r>
        <w:t xml:space="preserve">also authorise playing or </w:t>
      </w:r>
      <w:r>
        <w:lastRenderedPageBreak/>
        <w:t>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100 km of the Burswood Casino as referred to in the </w:t>
      </w:r>
      <w:r>
        <w:rPr>
          <w:i/>
        </w:rPr>
        <w:t>Casino (Burswood Island) Agreement Act 1985</w:t>
      </w:r>
      <w:r>
        <w:t>.</w:t>
      </w:r>
    </w:p>
    <w:p>
      <w:pPr>
        <w:pStyle w:val="Footnotesection"/>
      </w:pPr>
      <w:r>
        <w:tab/>
        <w:t>[Section 80 amended: No. 24 of 1998 s. 54; No. 35 of 2003 s. 151; No. 25 of 2011 s. 9.]</w:t>
      </w:r>
    </w:p>
    <w:p>
      <w:pPr>
        <w:pStyle w:val="Heading5"/>
        <w:rPr>
          <w:snapToGrid w:val="0"/>
        </w:rPr>
      </w:pPr>
      <w:bookmarkStart w:id="132" w:name="_Toc131666775"/>
      <w:r>
        <w:rPr>
          <w:rStyle w:val="CharSectno"/>
        </w:rPr>
        <w:t>81</w:t>
      </w:r>
      <w:r>
        <w:rPr>
          <w:snapToGrid w:val="0"/>
        </w:rPr>
        <w:t>.</w:t>
      </w:r>
      <w:r>
        <w:rPr>
          <w:snapToGrid w:val="0"/>
        </w:rPr>
        <w:tab/>
        <w:t>Two</w:t>
      </w:r>
      <w:r>
        <w:rPr>
          <w:snapToGrid w:val="0"/>
        </w:rPr>
        <w:noBreakHyphen/>
        <w:t>up at other places</w:t>
      </w:r>
      <w:bookmarkEnd w:id="132"/>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w:t>
      </w:r>
    </w:p>
    <w:p>
      <w:pPr>
        <w:pStyle w:val="Indenta"/>
        <w:rPr>
          <w:snapToGrid w:val="0"/>
        </w:rPr>
      </w:pPr>
      <w:r>
        <w:rPr>
          <w:snapToGrid w:val="0"/>
        </w:rPr>
        <w:tab/>
        <w:t>(a)</w:t>
      </w:r>
      <w:r>
        <w:rPr>
          <w:snapToGrid w:val="0"/>
        </w:rPr>
        <w:tab/>
        <w:t xml:space="preserve">takes place at approved premises, not being a place situate inside a radius in any direction of 100 km of the Burswood Casino as referred to in the </w:t>
      </w:r>
      <w:r>
        <w:rPr>
          <w:i/>
          <w:snapToGrid w:val="0"/>
        </w:rPr>
        <w:t>Casino (Burswood Island) Agreement Act 1985</w:t>
      </w:r>
      <w:r>
        <w:rPr>
          <w:snapToGrid w:val="0"/>
        </w:rPr>
        <w:t>; and</w:t>
      </w:r>
    </w:p>
    <w:p>
      <w:pPr>
        <w:pStyle w:val="Indenta"/>
        <w:keepNext/>
        <w:rPr>
          <w:snapToGrid w:val="0"/>
        </w:rPr>
      </w:pPr>
      <w:r>
        <w:rPr>
          <w:snapToGrid w:val="0"/>
        </w:rPr>
        <w:tab/>
        <w:t>(b)</w:t>
      </w:r>
      <w:r>
        <w:rPr>
          <w:snapToGrid w:val="0"/>
        </w:rPr>
        <w:tab/>
        <w:t>is conducted —</w:t>
      </w:r>
    </w:p>
    <w:p>
      <w:pPr>
        <w:pStyle w:val="Indenti"/>
        <w:rPr>
          <w:snapToGrid w:val="0"/>
        </w:rPr>
      </w:pPr>
      <w:r>
        <w:rPr>
          <w:snapToGrid w:val="0"/>
        </w:rPr>
        <w:tab/>
        <w:t>(i)</w:t>
      </w:r>
      <w:r>
        <w:rPr>
          <w:snapToGrid w:val="0"/>
        </w:rPr>
        <w:tab/>
        <w:t>in the manner in which the game two</w:t>
      </w:r>
      <w:r>
        <w:rPr>
          <w:snapToGrid w:val="0"/>
        </w:rPr>
        <w:noBreakHyphen/>
        <w:t>up is customarily conducted in that locality of the State, whether with coins or dice; and</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(c)</w:t>
      </w:r>
      <w:r>
        <w:rPr>
          <w:snapToGrid w:val="0"/>
        </w:rPr>
        <w:tab/>
        <w:t>does not contravene any condition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spacing w:before="120"/>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(2)</w:t>
      </w:r>
      <w:r>
        <w:rPr>
          <w:snapToGrid w:val="0"/>
        </w:rPr>
        <w:tab/>
        <w:t>For the purposes of section 51(2)(b) the Commission may have regard to the recreational and social aspects of any proposed gaming to which this section applies and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Ednotesubsection"/>
      </w:pPr>
      <w:r>
        <w:tab/>
        <w:t>[(3)</w:t>
      </w:r>
      <w:r>
        <w:tab/>
        <w:t>deleted]</w:t>
      </w:r>
    </w:p>
    <w:p>
      <w:pPr>
        <w:pStyle w:val="Footnotesection"/>
      </w:pPr>
      <w:r>
        <w:tab/>
        <w:t>[Section 81 amended: No. 24 of 1998 s. 55; No. 35 of 2003 s. 152 and 167; No. 25 of 2011 s. 10; No. 41 of 2018 s. 20.]</w:t>
      </w:r>
    </w:p>
    <w:p>
      <w:pPr>
        <w:pStyle w:val="Heading5"/>
        <w:rPr>
          <w:snapToGrid w:val="0"/>
        </w:rPr>
      </w:pPr>
      <w:bookmarkStart w:id="133" w:name="_Toc131666776"/>
      <w:r>
        <w:rPr>
          <w:rStyle w:val="CharSectno"/>
        </w:rPr>
        <w:lastRenderedPageBreak/>
        <w:t>82</w:t>
      </w:r>
      <w:r>
        <w:rPr>
          <w:snapToGrid w:val="0"/>
        </w:rPr>
        <w:t>.</w:t>
      </w:r>
      <w:r>
        <w:rPr>
          <w:snapToGrid w:val="0"/>
        </w:rPr>
        <w:tab/>
        <w:t>Conditions deemed in certain permits</w:t>
      </w:r>
      <w:bookmarkEnd w:id="133"/>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No. 24 of 1998 s. 56; No. 35 of 2003 s. 153.]</w:t>
      </w:r>
    </w:p>
    <w:p>
      <w:pPr>
        <w:pStyle w:val="Heading5"/>
        <w:rPr>
          <w:snapToGrid w:val="0"/>
        </w:rPr>
      </w:pPr>
      <w:bookmarkStart w:id="134" w:name="_Toc131666777"/>
      <w:r>
        <w:rPr>
          <w:rStyle w:val="CharSectno"/>
        </w:rPr>
        <w:t>83</w:t>
      </w:r>
      <w:r>
        <w:rPr>
          <w:snapToGrid w:val="0"/>
        </w:rPr>
        <w:t>.</w:t>
      </w:r>
      <w:r>
        <w:rPr>
          <w:snapToGrid w:val="0"/>
        </w:rPr>
        <w:tab/>
        <w:t>Regulations for this Division</w:t>
      </w:r>
      <w:bookmarkEnd w:id="134"/>
    </w:p>
    <w:p>
      <w:pPr>
        <w:pStyle w:val="Subsection"/>
        <w:rPr>
          <w:snapToGrid w:val="0"/>
        </w:rPr>
      </w:pPr>
      <w:r>
        <w:rPr>
          <w:snapToGrid w:val="0"/>
        </w:rPr>
        <w:tab/>
      </w:r>
      <w:r>
        <w:rPr>
          <w:snapToGrid w:val="0"/>
        </w:rPr>
        <w:tab/>
        <w:t>Regulations made for the purposes of this Division may make provision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 and</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 and</w:t>
      </w:r>
    </w:p>
    <w:p>
      <w:pPr>
        <w:pStyle w:val="Indenta"/>
        <w:rPr>
          <w:snapToGrid w:val="0"/>
        </w:rPr>
      </w:pPr>
      <w:r>
        <w:rPr>
          <w:snapToGrid w:val="0"/>
        </w:rPr>
        <w:tab/>
        <w:t>(c)</w:t>
      </w:r>
      <w:r>
        <w:rPr>
          <w:snapToGrid w:val="0"/>
        </w:rPr>
        <w:tab/>
        <w:t>for the immediate suspension of the operation of a permit in prescribed circumstances; and</w:t>
      </w:r>
    </w:p>
    <w:p>
      <w:pPr>
        <w:pStyle w:val="Indenta"/>
        <w:rPr>
          <w:snapToGrid w:val="0"/>
        </w:rPr>
      </w:pPr>
      <w:r>
        <w:rPr>
          <w:snapToGrid w:val="0"/>
        </w:rPr>
        <w:lastRenderedPageBreak/>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No. 35 of 2003 s. 154 and 167.]</w:t>
      </w:r>
    </w:p>
    <w:p>
      <w:pPr>
        <w:pStyle w:val="Heading3"/>
      </w:pPr>
      <w:bookmarkStart w:id="135" w:name="_Toc115166629"/>
      <w:bookmarkStart w:id="136" w:name="_Toc115166786"/>
      <w:bookmarkStart w:id="137" w:name="_Toc115267860"/>
      <w:bookmarkStart w:id="138" w:name="_Toc131666778"/>
      <w:r>
        <w:rPr>
          <w:rStyle w:val="CharDivNo"/>
        </w:rPr>
        <w:t>Division 5</w:t>
      </w:r>
      <w:r>
        <w:rPr>
          <w:snapToGrid w:val="0"/>
        </w:rPr>
        <w:t> — </w:t>
      </w:r>
      <w:r>
        <w:rPr>
          <w:rStyle w:val="CharDivText"/>
        </w:rPr>
        <w:t>Gaming machines and other gaming equipment and its operation</w:t>
      </w:r>
      <w:bookmarkEnd w:id="135"/>
      <w:bookmarkEnd w:id="136"/>
      <w:bookmarkEnd w:id="137"/>
      <w:bookmarkEnd w:id="138"/>
    </w:p>
    <w:p>
      <w:pPr>
        <w:pStyle w:val="Heading5"/>
        <w:rPr>
          <w:snapToGrid w:val="0"/>
        </w:rPr>
      </w:pPr>
      <w:bookmarkStart w:id="139" w:name="_Toc131666779"/>
      <w:r>
        <w:rPr>
          <w:rStyle w:val="CharSectno"/>
        </w:rPr>
        <w:t>84</w:t>
      </w:r>
      <w:r>
        <w:rPr>
          <w:snapToGrid w:val="0"/>
        </w:rPr>
        <w:t>.</w:t>
      </w:r>
      <w:r>
        <w:rPr>
          <w:snapToGrid w:val="0"/>
        </w:rPr>
        <w:tab/>
        <w:t>Terms used</w:t>
      </w:r>
      <w:bookmarkEnd w:id="139"/>
    </w:p>
    <w:p>
      <w:pPr>
        <w:pStyle w:val="Subsection"/>
        <w:rPr>
          <w:snapToGrid w:val="0"/>
        </w:rPr>
      </w:pPr>
      <w:r>
        <w:rPr>
          <w:snapToGrid w:val="0"/>
        </w:rPr>
        <w:tab/>
        <w:t>(1)</w:t>
      </w:r>
      <w:r>
        <w:rPr>
          <w:snapToGrid w:val="0"/>
        </w:rPr>
        <w:tab/>
        <w:t>In this Division —</w:t>
      </w:r>
    </w:p>
    <w:p>
      <w:pPr>
        <w:pStyle w:val="Defstart"/>
      </w:pPr>
      <w:r>
        <w:rPr>
          <w:b/>
        </w:rPr>
        <w:tab/>
      </w:r>
      <w:r>
        <w:rPr>
          <w:rStyle w:val="CharDefText"/>
        </w:rPr>
        <w:t>gaming machine</w:t>
      </w:r>
      <w:r>
        <w:t xml:space="preserve"> means a machine which —</w:t>
      </w:r>
    </w:p>
    <w:p>
      <w:pPr>
        <w:pStyle w:val="Defpara"/>
      </w:pPr>
      <w:r>
        <w:tab/>
        <w:t>(a)</w:t>
      </w:r>
      <w:r>
        <w:tab/>
        <w:t>is constructed, adapted or used for playing a game of chance by means of that gaming machine; and</w:t>
      </w:r>
    </w:p>
    <w:p>
      <w:pPr>
        <w:pStyle w:val="Defpara"/>
      </w:pPr>
      <w:r>
        <w:tab/>
        <w:t>(b)</w:t>
      </w:r>
      <w:r>
        <w:tab/>
        <w:t>a player pays (except where he has an opportunity to play without payment as the result of having previously played successfully) to play —</w:t>
      </w:r>
    </w:p>
    <w:p>
      <w:pPr>
        <w:pStyle w:val="Defsubpara"/>
      </w:pPr>
      <w:r>
        <w:tab/>
        <w:t>(i)</w:t>
      </w:r>
      <w:r>
        <w:tab/>
        <w:t>by inserting money, or money’s worth in the form of a token; or</w:t>
      </w:r>
    </w:p>
    <w:p>
      <w:pPr>
        <w:pStyle w:val="Defsubpara"/>
      </w:pPr>
      <w:r>
        <w:tab/>
        <w:t>(ii)</w:t>
      </w:r>
      <w: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t>whether or not provision is made for the manipulation of the machine by a player;</w:t>
      </w:r>
    </w:p>
    <w:p>
      <w:pPr>
        <w:pStyle w:val="Defstart"/>
        <w:keepNext/>
      </w:pPr>
      <w:r>
        <w:rPr>
          <w:b/>
        </w:rPr>
        <w:tab/>
      </w:r>
      <w:r>
        <w:rPr>
          <w:rStyle w:val="CharDefText"/>
        </w:rPr>
        <w:t>prescribed gaming equipment</w:t>
      </w:r>
      <w:r>
        <w:t xml:space="preserve"> means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lastRenderedPageBreak/>
        <w:tab/>
        <w:t>of a kind named or described in regulations made for the purposes of section 88;</w:t>
      </w:r>
    </w:p>
    <w:p>
      <w:pPr>
        <w:pStyle w:val="Defstart"/>
      </w:pPr>
      <w:r>
        <w:rPr>
          <w:b/>
        </w:rPr>
        <w:tab/>
      </w:r>
      <w:r>
        <w:rPr>
          <w:rStyle w:val="CharDefText"/>
        </w:rPr>
        <w:t>slot machine</w:t>
      </w:r>
      <w:r>
        <w:t xml:space="preserve"> means a machine that is constructed or adapted and used —</w:t>
      </w:r>
    </w:p>
    <w:p>
      <w:pPr>
        <w:pStyle w:val="Defpara"/>
        <w:spacing w:before="60"/>
      </w:pPr>
      <w:r>
        <w:tab/>
        <w:t>(a)</w:t>
      </w:r>
      <w:r>
        <w:tab/>
        <w:t>for the playing of music or of games designed primarily for amusement, relaxation or education; or</w:t>
      </w:r>
    </w:p>
    <w:p>
      <w:pPr>
        <w:pStyle w:val="Defpara"/>
        <w:spacing w:before="60"/>
      </w:pPr>
      <w:r>
        <w:tab/>
        <w:t>(b)</w:t>
      </w:r>
      <w:r>
        <w:tab/>
        <w:t>for the playing of games of skill; or</w:t>
      </w:r>
    </w:p>
    <w:p>
      <w:pPr>
        <w:pStyle w:val="Defpara"/>
        <w:spacing w:before="60"/>
      </w:pPr>
      <w:r>
        <w:tab/>
        <w:t>(c)</w:t>
      </w:r>
      <w:r>
        <w:tab/>
        <w:t>so that although a game of chance may be played, section 39(2)(e) applies; or</w:t>
      </w:r>
    </w:p>
    <w:p>
      <w:pPr>
        <w:pStyle w:val="Defpara"/>
        <w:spacing w:before="60"/>
      </w:pPr>
      <w:r>
        <w:tab/>
        <w:t>(d)</w:t>
      </w:r>
      <w:r>
        <w:tab/>
        <w:t>to yield with certainty previously ascertained goods of which the sale, or exposure for sale, is not prohibited by any written law; or</w:t>
      </w:r>
    </w:p>
    <w:p>
      <w:pPr>
        <w:pStyle w:val="Defpara"/>
        <w:spacing w:before="60"/>
      </w:pPr>
      <w:r>
        <w:tab/>
        <w:t>(e)</w:t>
      </w:r>
      <w:r>
        <w:tab/>
        <w:t>to dispense tickets, having a previously ascertained face value, in a lottery conducted under and in accordance with the requirements of a written law,</w:t>
      </w:r>
    </w:p>
    <w:p>
      <w:pPr>
        <w:pStyle w:val="Defstart"/>
      </w:pPr>
      <w:r>
        <w:tab/>
        <w:t>without affording any other consideration, advantage or reward and not for the purposes of wagering;</w:t>
      </w:r>
    </w:p>
    <w:p>
      <w:pPr>
        <w:pStyle w:val="Defstart"/>
        <w:rPr>
          <w:b/>
        </w:rPr>
      </w:pPr>
      <w:r>
        <w:rPr>
          <w:b/>
        </w:rPr>
        <w:tab/>
      </w:r>
      <w:r>
        <w:rPr>
          <w:rStyle w:val="CharDefText"/>
        </w:rPr>
        <w:t>unlawful gaming equipment</w:t>
      </w:r>
      <w:r>
        <w:t xml:space="preserve"> means gaming equipment of a kind the use or possession of which contravenes, or in the circumstances in which it is found contravenes, a prohibition proclaimed under section 85(2), or an unlawful gaming machine; and</w:t>
      </w:r>
    </w:p>
    <w:p>
      <w:pPr>
        <w:pStyle w:val="Defstart"/>
      </w:pPr>
      <w:r>
        <w:rPr>
          <w:b/>
        </w:rPr>
        <w:tab/>
      </w:r>
      <w:r>
        <w:rPr>
          <w:rStyle w:val="CharDefText"/>
        </w:rPr>
        <w:t>unlawful gaming machine</w:t>
      </w:r>
      <w:r>
        <w:t xml:space="preserve"> means a machine of a kind referred to in section 85(1)(a) or (b).</w:t>
      </w:r>
    </w:p>
    <w:p>
      <w:pPr>
        <w:pStyle w:val="Footnotesection"/>
      </w:pPr>
      <w:r>
        <w:rPr>
          <w:b/>
        </w:rPr>
        <w:tab/>
      </w:r>
      <w:r>
        <w:t>[Section 84 amended: No. 24 of 1998 s. 57; No. 35 of 2003 s. 155 and 167.]</w:t>
      </w:r>
    </w:p>
    <w:p>
      <w:pPr>
        <w:pStyle w:val="Heading5"/>
        <w:rPr>
          <w:snapToGrid w:val="0"/>
        </w:rPr>
      </w:pPr>
      <w:bookmarkStart w:id="140" w:name="_Toc131666780"/>
      <w:r>
        <w:rPr>
          <w:rStyle w:val="CharSectno"/>
        </w:rPr>
        <w:t>85</w:t>
      </w:r>
      <w:r>
        <w:rPr>
          <w:snapToGrid w:val="0"/>
        </w:rPr>
        <w:t>.</w:t>
      </w:r>
      <w:r>
        <w:rPr>
          <w:snapToGrid w:val="0"/>
        </w:rPr>
        <w:tab/>
        <w:t>Unlawful gaming machines etc., use and possession of prohibited</w:t>
      </w:r>
      <w:bookmarkEnd w:id="140"/>
    </w:p>
    <w:p>
      <w:pPr>
        <w:pStyle w:val="Subsection"/>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w:t>
      </w:r>
    </w:p>
    <w:p>
      <w:pPr>
        <w:pStyle w:val="Indenta"/>
        <w:spacing w:before="60"/>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 xml:space="preserve">or a machine used in </w:t>
      </w:r>
      <w:r>
        <w:rPr>
          <w:snapToGrid w:val="0"/>
        </w:rPr>
        <w:lastRenderedPageBreak/>
        <w:t>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w:t>
      </w:r>
    </w:p>
    <w:p>
      <w:pPr>
        <w:pStyle w:val="Indenti"/>
        <w:spacing w:before="110"/>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 or</w:t>
      </w:r>
    </w:p>
    <w:p>
      <w:pPr>
        <w:pStyle w:val="Indenti"/>
        <w:spacing w:before="110"/>
        <w:rPr>
          <w:snapToGrid w:val="0"/>
        </w:rPr>
      </w:pPr>
      <w:r>
        <w:rPr>
          <w:snapToGrid w:val="0"/>
        </w:rPr>
        <w:tab/>
        <w:t>(ii)</w:t>
      </w:r>
      <w:r>
        <w:rPr>
          <w:snapToGrid w:val="0"/>
        </w:rPr>
        <w:tab/>
        <w:t>that, although not so declared, is commonly played in casinos (whether in Australia or elsewhere); or</w:t>
      </w:r>
    </w:p>
    <w:p>
      <w:pPr>
        <w:pStyle w:val="Indenti"/>
        <w:spacing w:before="110"/>
        <w:rPr>
          <w:snapToGrid w:val="0"/>
        </w:rPr>
      </w:pPr>
      <w:r>
        <w:rPr>
          <w:snapToGrid w:val="0"/>
        </w:rPr>
        <w:tab/>
        <w:t>(iii)</w:t>
      </w:r>
      <w:r>
        <w:rPr>
          <w:snapToGrid w:val="0"/>
        </w:rPr>
        <w:tab/>
        <w:t>that is a variation or derivative of a game referred to in subparagraph (i) or (ii);</w:t>
      </w:r>
    </w:p>
    <w:p>
      <w:pPr>
        <w:pStyle w:val="Indenta"/>
        <w:spacing w:before="110"/>
        <w:rPr>
          <w:snapToGrid w:val="0"/>
        </w:rPr>
      </w:pPr>
      <w:r>
        <w:rPr>
          <w:snapToGrid w:val="0"/>
        </w:rPr>
        <w:tab/>
      </w:r>
      <w:r>
        <w:rPr>
          <w:snapToGrid w:val="0"/>
        </w:rPr>
        <w:tab/>
        <w:t>or</w:t>
      </w:r>
    </w:p>
    <w:p>
      <w:pPr>
        <w:pStyle w:val="Indenta"/>
        <w:spacing w:before="110"/>
        <w:rPr>
          <w:snapToGrid w:val="0"/>
        </w:rPr>
      </w:pPr>
      <w:r>
        <w:rPr>
          <w:snapToGrid w:val="0"/>
        </w:rPr>
        <w:tab/>
        <w:t>(b)</w:t>
      </w:r>
      <w:r>
        <w:rPr>
          <w:snapToGrid w:val="0"/>
        </w:rPr>
        <w:tab/>
        <w:t>any other gaming machine, not being a machine used —</w:t>
      </w:r>
    </w:p>
    <w:p>
      <w:pPr>
        <w:pStyle w:val="Indenti"/>
        <w:spacing w:before="110"/>
        <w:rPr>
          <w:snapToGrid w:val="0"/>
        </w:rPr>
      </w:pPr>
      <w:r>
        <w:rPr>
          <w:snapToGrid w:val="0"/>
        </w:rPr>
        <w:tab/>
        <w:t>(i)</w:t>
      </w:r>
      <w:r>
        <w:rPr>
          <w:snapToGrid w:val="0"/>
        </w:rPr>
        <w:tab/>
        <w:t>as a slot machine; or</w:t>
      </w:r>
    </w:p>
    <w:p>
      <w:pPr>
        <w:pStyle w:val="Indenti"/>
        <w:keepNext/>
        <w:spacing w:before="110"/>
        <w:rPr>
          <w:snapToGrid w:val="0"/>
        </w:rPr>
      </w:pPr>
      <w:r>
        <w:rPr>
          <w:snapToGrid w:val="0"/>
        </w:rPr>
        <w:tab/>
        <w:t>(ii)</w:t>
      </w:r>
      <w:r>
        <w:rPr>
          <w:snapToGrid w:val="0"/>
        </w:rPr>
        <w:tab/>
        <w:t>in accordance with a permit or written law;</w:t>
      </w:r>
    </w:p>
    <w:p>
      <w:pPr>
        <w:pStyle w:val="Indenta"/>
        <w:spacing w:before="110"/>
        <w:rPr>
          <w:snapToGrid w:val="0"/>
        </w:rPr>
      </w:pPr>
      <w:r>
        <w:rPr>
          <w:snapToGrid w:val="0"/>
        </w:rPr>
        <w:tab/>
      </w:r>
      <w:r>
        <w:rPr>
          <w:snapToGrid w:val="0"/>
        </w:rPr>
        <w:tab/>
        <w:t>or</w:t>
      </w:r>
    </w:p>
    <w:p>
      <w:pPr>
        <w:pStyle w:val="Indenta"/>
        <w:spacing w:before="110"/>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spacing w:before="180"/>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w:t>
      </w:r>
      <w:r>
        <w:rPr>
          <w:snapToGrid w:val="0"/>
        </w:rPr>
        <w:lastRenderedPageBreak/>
        <w:t>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w:t>
      </w:r>
    </w:p>
    <w:p>
      <w:pPr>
        <w:pStyle w:val="Indenta"/>
        <w:spacing w:before="100"/>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spacing w:before="100"/>
        <w:rPr>
          <w:snapToGrid w:val="0"/>
        </w:rPr>
      </w:pPr>
      <w:r>
        <w:rPr>
          <w:snapToGrid w:val="0"/>
        </w:rPr>
        <w:tab/>
        <w:t>(b)</w:t>
      </w:r>
      <w:r>
        <w:rPr>
          <w:snapToGrid w:val="0"/>
        </w:rPr>
        <w:tab/>
        <w:t xml:space="preserve">where he is satisfied that the thing is unlawful gaming </w:t>
      </w:r>
      <w:r>
        <w:t>equipment that the person is not entitled to possess under this Act, or</w:t>
      </w:r>
      <w:r>
        <w:rPr>
          <w:snapToGrid w:val="0"/>
        </w:rPr>
        <w:t xml:space="preserve">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spacing w:before="180"/>
        <w:rPr>
          <w:snapToGrid w:val="0"/>
        </w:rPr>
      </w:pPr>
      <w:r>
        <w:rPr>
          <w:snapToGrid w:val="0"/>
        </w:rPr>
        <w:tab/>
        <w:t>(4)</w:t>
      </w:r>
      <w:r>
        <w:rPr>
          <w:snapToGrid w:val="0"/>
        </w:rPr>
        <w:tab/>
        <w:t xml:space="preserve">Subject to </w:t>
      </w:r>
      <w:r>
        <w:t xml:space="preserve">subsections (5) and (6A), </w:t>
      </w:r>
      <w:r>
        <w:rPr>
          <w:snapToGrid w:val="0"/>
        </w:rPr>
        <w:t>a person having in his possession —</w:t>
      </w:r>
    </w:p>
    <w:p>
      <w:pPr>
        <w:pStyle w:val="Indenta"/>
        <w:spacing w:before="100"/>
        <w:rPr>
          <w:snapToGrid w:val="0"/>
        </w:rPr>
      </w:pPr>
      <w:r>
        <w:rPr>
          <w:snapToGrid w:val="0"/>
        </w:rPr>
        <w:tab/>
        <w:t>(a)</w:t>
      </w:r>
      <w:r>
        <w:rPr>
          <w:snapToGrid w:val="0"/>
        </w:rPr>
        <w:tab/>
        <w:t>an unlawful gaming machine; or</w:t>
      </w:r>
    </w:p>
    <w:p>
      <w:pPr>
        <w:pStyle w:val="Indenta"/>
        <w:spacing w:before="100"/>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$5 000, or imprisonment for 1 year, or both.</w:t>
      </w:r>
    </w:p>
    <w:p>
      <w:pPr>
        <w:pStyle w:val="Subsection"/>
        <w:rPr>
          <w:snapToGrid w:val="0"/>
        </w:rPr>
      </w:pPr>
      <w:r>
        <w:rPr>
          <w:snapToGrid w:val="0"/>
        </w:rPr>
        <w:lastRenderedPageBreak/>
        <w:tab/>
        <w:t>(5)</w:t>
      </w:r>
      <w:r>
        <w:rPr>
          <w:snapToGrid w:val="0"/>
        </w:rPr>
        <w:tab/>
        <w:t>Subsection (4) does not apply to an authorised person having possession of a gaming machine or gaming equipment of a kind referred to in that subsection —</w:t>
      </w:r>
    </w:p>
    <w:p>
      <w:pPr>
        <w:pStyle w:val="Indenta"/>
        <w:spacing w:before="60"/>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spacing w:before="60"/>
        <w:rPr>
          <w:snapToGrid w:val="0"/>
        </w:rPr>
      </w:pPr>
      <w:r>
        <w:rPr>
          <w:snapToGrid w:val="0"/>
        </w:rPr>
        <w:tab/>
        <w:t>(b)</w:t>
      </w:r>
      <w:r>
        <w:rPr>
          <w:snapToGrid w:val="0"/>
        </w:rPr>
        <w:tab/>
        <w:t>in connection with the manufacture of gaming machines or gaming equipment.</w:t>
      </w:r>
    </w:p>
    <w:p>
      <w:pPr>
        <w:pStyle w:val="Subsection"/>
      </w:pPr>
      <w:r>
        <w:tab/>
        <w:t>(6A)</w:t>
      </w:r>
      <w:r>
        <w:tab/>
        <w:t>Subsection (4) does not apply to the possession of a gaming machine or gaming equipment of a kind referred to in that subsection, in prescribed circumstances.</w:t>
      </w:r>
    </w:p>
    <w:p>
      <w:pPr>
        <w:pStyle w:val="Subsection"/>
        <w:rPr>
          <w:snapToGrid w:val="0"/>
        </w:rPr>
      </w:pPr>
      <w:r>
        <w:rPr>
          <w:snapToGrid w:val="0"/>
        </w:rPr>
        <w:tab/>
        <w:t>(6)</w:t>
      </w:r>
      <w:r>
        <w:rPr>
          <w:snapToGrid w:val="0"/>
        </w:rPr>
        <w:tab/>
        <w:t>In subsection (5) —</w:t>
      </w:r>
    </w:p>
    <w:p>
      <w:pPr>
        <w:pStyle w:val="Defstart"/>
      </w:pPr>
      <w:r>
        <w:tab/>
      </w:r>
      <w:r>
        <w:rPr>
          <w:rStyle w:val="CharDefText"/>
        </w:rPr>
        <w:t>authorised person</w:t>
      </w:r>
      <w:r>
        <w:t xml:space="preserve"> means the Commission or a person authorised in writing by the Commission.</w:t>
      </w:r>
    </w:p>
    <w:p>
      <w:pPr>
        <w:pStyle w:val="Footnotesection"/>
      </w:pPr>
      <w:r>
        <w:tab/>
        <w:t>[Section 85 amended: No. 24 of 1998 s. 58; No. 6 of 2000 s. 11; No. 35 of 2003 s. 156 and 166; No. 25 of 2011 s. 11; No. 41 of 2018 s. 25(1).]</w:t>
      </w:r>
    </w:p>
    <w:p>
      <w:pPr>
        <w:pStyle w:val="Heading5"/>
        <w:keepLines w:val="0"/>
        <w:rPr>
          <w:snapToGrid w:val="0"/>
        </w:rPr>
      </w:pPr>
      <w:bookmarkStart w:id="141" w:name="_Toc131666781"/>
      <w:r>
        <w:rPr>
          <w:rStyle w:val="CharSectno"/>
        </w:rPr>
        <w:t>86</w:t>
      </w:r>
      <w:r>
        <w:rPr>
          <w:snapToGrid w:val="0"/>
        </w:rPr>
        <w:t>.</w:t>
      </w:r>
      <w:r>
        <w:rPr>
          <w:snapToGrid w:val="0"/>
        </w:rPr>
        <w:tab/>
        <w:t>Use of unlawful cash or tokens in gaming machines</w:t>
      </w:r>
      <w:bookmarkEnd w:id="141"/>
    </w:p>
    <w:p>
      <w:pPr>
        <w:pStyle w:val="Subsection"/>
        <w:rPr>
          <w:snapToGrid w:val="0"/>
        </w:rPr>
      </w:pPr>
      <w:r>
        <w:rPr>
          <w:snapToGrid w:val="0"/>
        </w:rPr>
        <w:tab/>
      </w:r>
      <w:r>
        <w:rPr>
          <w:snapToGrid w:val="0"/>
        </w:rPr>
        <w:tab/>
        <w:t>A person who inserts, or attempts to insert, in any gaming machine or slot machine of which the use or possession is lawful anything other than —</w:t>
      </w:r>
    </w:p>
    <w:p>
      <w:pPr>
        <w:pStyle w:val="Indenta"/>
        <w:spacing w:before="60"/>
        <w:rPr>
          <w:snapToGrid w:val="0"/>
        </w:rPr>
      </w:pPr>
      <w:r>
        <w:rPr>
          <w:snapToGrid w:val="0"/>
        </w:rPr>
        <w:tab/>
        <w:t>(a)</w:t>
      </w:r>
      <w:r>
        <w:rPr>
          <w:snapToGrid w:val="0"/>
        </w:rPr>
        <w:tab/>
        <w:t>money issued under the authority of a law of the Commonwealth; or</w:t>
      </w:r>
    </w:p>
    <w:p>
      <w:pPr>
        <w:pStyle w:val="Indenta"/>
        <w:spacing w:before="60"/>
        <w:rPr>
          <w:snapToGrid w:val="0"/>
        </w:rPr>
      </w:pPr>
      <w:r>
        <w:rPr>
          <w:snapToGrid w:val="0"/>
        </w:rPr>
        <w:tab/>
        <w:t>(b)</w:t>
      </w:r>
      <w:r>
        <w:rPr>
          <w:snapToGrid w:val="0"/>
        </w:rPr>
        <w:tab/>
        <w:t>a token provided by the operator of the machine for use in a machine of that kind,</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a fine of</w:t>
      </w:r>
      <w:r>
        <w:rPr>
          <w:snapToGrid w:val="0"/>
        </w:rPr>
        <w:t xml:space="preserve"> $100.</w:t>
      </w:r>
    </w:p>
    <w:p>
      <w:pPr>
        <w:pStyle w:val="Footnotesection"/>
      </w:pPr>
      <w:r>
        <w:tab/>
        <w:t>[Section 86 amended: No. 41 of 2018 s. 25(2).]</w:t>
      </w:r>
    </w:p>
    <w:p>
      <w:pPr>
        <w:pStyle w:val="Heading5"/>
        <w:rPr>
          <w:snapToGrid w:val="0"/>
        </w:rPr>
      </w:pPr>
      <w:bookmarkStart w:id="142" w:name="_Toc131666782"/>
      <w:r>
        <w:rPr>
          <w:rStyle w:val="CharSectno"/>
        </w:rPr>
        <w:lastRenderedPageBreak/>
        <w:t>87</w:t>
      </w:r>
      <w:r>
        <w:rPr>
          <w:snapToGrid w:val="0"/>
        </w:rPr>
        <w:t>.</w:t>
      </w:r>
      <w:r>
        <w:rPr>
          <w:snapToGrid w:val="0"/>
        </w:rPr>
        <w:tab/>
        <w:t>Records about gaming equipment, powers to require keeping of</w:t>
      </w:r>
      <w:bookmarkEnd w:id="142"/>
    </w:p>
    <w:p>
      <w:pPr>
        <w:pStyle w:val="Subsection"/>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w:t>
      </w:r>
    </w:p>
    <w:p>
      <w:pPr>
        <w:pStyle w:val="Indenta"/>
        <w:rPr>
          <w:snapToGrid w:val="0"/>
        </w:rPr>
      </w:pPr>
      <w:r>
        <w:rPr>
          <w:snapToGrid w:val="0"/>
        </w:rPr>
        <w:tab/>
        <w:t>(a)</w:t>
      </w:r>
      <w:r>
        <w:rPr>
          <w:snapToGrid w:val="0"/>
        </w:rPr>
        <w:tab/>
        <w:t>any payments made in respect of the equipment, whether by way of rent, maintenance charges or otherwise; and</w:t>
      </w:r>
    </w:p>
    <w:p>
      <w:pPr>
        <w:pStyle w:val="Indenta"/>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rPr>
          <w:snapToGrid w:val="0"/>
        </w:rPr>
      </w:pPr>
      <w:r>
        <w:rPr>
          <w:snapToGrid w:val="0"/>
        </w:rPr>
        <w:tab/>
        <w:t>(2)</w:t>
      </w:r>
      <w:r>
        <w:rPr>
          <w:snapToGrid w:val="0"/>
        </w:rPr>
        <w:tab/>
        <w:t xml:space="preserve">In this section, </w:t>
      </w:r>
      <w:r>
        <w:rPr>
          <w:rStyle w:val="CharDefText"/>
        </w:rPr>
        <w:t>specified</w:t>
      </w:r>
      <w:r>
        <w:rPr>
          <w:snapToGrid w:val="0"/>
        </w:rPr>
        <w:t xml:space="preserve"> means specified in the regulations or the relevant permit.</w:t>
      </w:r>
    </w:p>
    <w:p>
      <w:pPr>
        <w:pStyle w:val="Heading5"/>
        <w:rPr>
          <w:snapToGrid w:val="0"/>
        </w:rPr>
      </w:pPr>
      <w:bookmarkStart w:id="143" w:name="_Toc131666783"/>
      <w:r>
        <w:rPr>
          <w:rStyle w:val="CharSectno"/>
        </w:rPr>
        <w:t>88</w:t>
      </w:r>
      <w:r>
        <w:rPr>
          <w:snapToGrid w:val="0"/>
        </w:rPr>
        <w:t>.</w:t>
      </w:r>
      <w:r>
        <w:rPr>
          <w:snapToGrid w:val="0"/>
        </w:rPr>
        <w:tab/>
        <w:t>Prescribed gaming equipment, regulations about, certificates for sellers etc. of</w:t>
      </w:r>
      <w:bookmarkEnd w:id="143"/>
    </w:p>
    <w:p>
      <w:pPr>
        <w:pStyle w:val="Subsection"/>
        <w:rPr>
          <w:snapToGrid w:val="0"/>
        </w:rPr>
      </w:pPr>
      <w:r>
        <w:rPr>
          <w:snapToGrid w:val="0"/>
        </w:rPr>
        <w:tab/>
        <w:t>(1)</w:t>
      </w:r>
      <w:r>
        <w:rPr>
          <w:snapToGrid w:val="0"/>
        </w:rPr>
        <w:tab/>
        <w:t>Regulations made under this Act may prohibit, or impose conditions in relation to —</w:t>
      </w:r>
    </w:p>
    <w:p>
      <w:pPr>
        <w:pStyle w:val="Indenta"/>
        <w:rPr>
          <w:snapToGrid w:val="0"/>
        </w:rPr>
      </w:pPr>
      <w:r>
        <w:rPr>
          <w:snapToGrid w:val="0"/>
        </w:rPr>
        <w:tab/>
        <w:t>(a)</w:t>
      </w:r>
      <w:r>
        <w:rPr>
          <w:snapToGrid w:val="0"/>
        </w:rPr>
        <w:tab/>
        <w:t>the sale, supply, maintenance or repair of prescribed gaming equipment; and</w:t>
      </w:r>
    </w:p>
    <w:p>
      <w:pPr>
        <w:pStyle w:val="Indenta"/>
        <w:rPr>
          <w:snapToGrid w:val="0"/>
        </w:rPr>
      </w:pPr>
      <w:r>
        <w:rPr>
          <w:snapToGrid w:val="0"/>
        </w:rPr>
        <w:tab/>
        <w:t>(b)</w:t>
      </w:r>
      <w:r>
        <w:rPr>
          <w:snapToGrid w:val="0"/>
        </w:rPr>
        <w:tab/>
        <w:t>the use or possession of prescribed gaming equipment; and</w:t>
      </w:r>
    </w:p>
    <w:p>
      <w:pPr>
        <w:pStyle w:val="Indenta"/>
        <w:rPr>
          <w:snapToGrid w:val="0"/>
        </w:rPr>
      </w:pPr>
      <w:r>
        <w:rPr>
          <w:snapToGrid w:val="0"/>
        </w:rPr>
        <w:tab/>
        <w:t>(c)</w:t>
      </w:r>
      <w:r>
        <w:rPr>
          <w:snapToGrid w:val="0"/>
        </w:rPr>
        <w:tab/>
        <w:t>the sale or supply of tokens for use in prescribed gaming equipment.</w:t>
      </w:r>
    </w:p>
    <w:p>
      <w:pPr>
        <w:pStyle w:val="Subsection"/>
        <w:keepNext/>
        <w:rPr>
          <w:snapToGrid w:val="0"/>
        </w:rPr>
      </w:pPr>
      <w:r>
        <w:rPr>
          <w:snapToGrid w:val="0"/>
        </w:rPr>
        <w:tab/>
        <w:t>(2)</w:t>
      </w:r>
      <w:r>
        <w:rPr>
          <w:snapToGrid w:val="0"/>
        </w:rPr>
        <w:tab/>
        <w:t xml:space="preserve">The regulations, or a permit authorising the conduct of gaming by means of gaming equipment, may impose conditions in </w:t>
      </w:r>
      <w:r>
        <w:rPr>
          <w:snapToGrid w:val="0"/>
        </w:rPr>
        <w:lastRenderedPageBreak/>
        <w:t>relation to the operation of the prescribed gaming equipment, including conditions —</w:t>
      </w:r>
    </w:p>
    <w:p>
      <w:pPr>
        <w:pStyle w:val="Indenta"/>
        <w:widowControl w:val="0"/>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 and</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 and</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rPr>
          <w:snapToGrid w:val="0"/>
        </w:rPr>
      </w:pPr>
      <w:r>
        <w:rPr>
          <w:snapToGrid w:val="0"/>
        </w:rPr>
        <w:tab/>
        <w:t>(3)</w:t>
      </w:r>
      <w:r>
        <w:rPr>
          <w:snapToGrid w:val="0"/>
        </w:rPr>
        <w:tab/>
        <w:t>A person shall not —</w:t>
      </w:r>
    </w:p>
    <w:p>
      <w:pPr>
        <w:pStyle w:val="Indenta"/>
        <w:spacing w:before="60"/>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spacing w:before="180"/>
        <w:rPr>
          <w:snapToGrid w:val="0"/>
        </w:rPr>
      </w:pPr>
      <w:r>
        <w:rPr>
          <w:snapToGrid w:val="0"/>
        </w:rPr>
        <w:tab/>
      </w:r>
      <w:r>
        <w:rPr>
          <w:snapToGrid w:val="0"/>
        </w:rPr>
        <w:tab/>
        <w:t>being prescribed gaming equipment to which this subsection is by the regulations applied, unless the person so acting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lastRenderedPageBreak/>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r>
      <w:r>
        <w:t>Penalty for this subsection: a fine of</w:t>
      </w:r>
      <w:r>
        <w:rPr>
          <w:snapToGrid w:val="0"/>
        </w:rPr>
        <w:t xml:space="preserve"> $2 000.</w:t>
      </w:r>
    </w:p>
    <w:p>
      <w:pPr>
        <w:pStyle w:val="Subsection"/>
        <w:rPr>
          <w:snapToGrid w:val="0"/>
        </w:rPr>
      </w:pPr>
      <w:r>
        <w:rPr>
          <w:snapToGrid w:val="0"/>
        </w:rPr>
        <w:tab/>
        <w:t>(4)</w:t>
      </w:r>
      <w:r>
        <w:rPr>
          <w:snapToGrid w:val="0"/>
        </w:rPr>
        <w:tab/>
        <w:t>Subsection (3)(a) does not apply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 or</w:t>
      </w:r>
    </w:p>
    <w:p>
      <w:pPr>
        <w:pStyle w:val="Indenta"/>
        <w:spacing w:before="54"/>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 or</w:t>
      </w:r>
    </w:p>
    <w:p>
      <w:pPr>
        <w:pStyle w:val="Indenta"/>
        <w:spacing w:before="54"/>
        <w:rPr>
          <w:snapToGrid w:val="0"/>
        </w:rPr>
      </w:pPr>
      <w:r>
        <w:rPr>
          <w:snapToGrid w:val="0"/>
        </w:rPr>
        <w:tab/>
        <w:t>(c)</w:t>
      </w:r>
      <w:r>
        <w:rPr>
          <w:snapToGrid w:val="0"/>
        </w:rPr>
        <w:tab/>
        <w:t>to the sale or supply of inoperable gaming equipment as scrap; or</w:t>
      </w:r>
    </w:p>
    <w:p>
      <w:pPr>
        <w:pStyle w:val="Indenta"/>
        <w:spacing w:before="54"/>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spacing w:before="120"/>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w:t>
      </w:r>
    </w:p>
    <w:p>
      <w:pPr>
        <w:pStyle w:val="Indenta"/>
        <w:spacing w:before="54"/>
        <w:rPr>
          <w:snapToGrid w:val="0"/>
        </w:rPr>
      </w:pPr>
      <w:r>
        <w:rPr>
          <w:snapToGrid w:val="0"/>
        </w:rPr>
        <w:tab/>
        <w:t>(a)</w:t>
      </w:r>
      <w:r>
        <w:rPr>
          <w:snapToGrid w:val="0"/>
        </w:rPr>
        <w:tab/>
        <w:t>in relation to the gaming equipment or gaming equipment of the kind therein specified in the circumstances so specified; or</w:t>
      </w:r>
    </w:p>
    <w:p>
      <w:pPr>
        <w:pStyle w:val="Indenta"/>
        <w:spacing w:before="54"/>
        <w:rPr>
          <w:snapToGrid w:val="0"/>
        </w:rPr>
      </w:pPr>
      <w:r>
        <w:rPr>
          <w:snapToGrid w:val="0"/>
        </w:rPr>
        <w:tab/>
        <w:t>(b)</w:t>
      </w:r>
      <w:r>
        <w:rPr>
          <w:snapToGrid w:val="0"/>
        </w:rPr>
        <w:tab/>
        <w:t>in relation to —</w:t>
      </w:r>
    </w:p>
    <w:p>
      <w:pPr>
        <w:pStyle w:val="Indenti"/>
        <w:spacing w:before="54"/>
        <w:rPr>
          <w:snapToGrid w:val="0"/>
        </w:rPr>
      </w:pPr>
      <w:r>
        <w:rPr>
          <w:snapToGrid w:val="0"/>
        </w:rPr>
        <w:tab/>
        <w:t>(i)</w:t>
      </w:r>
      <w:r>
        <w:rPr>
          <w:snapToGrid w:val="0"/>
        </w:rPr>
        <w:tab/>
        <w:t>the gaming equipment, or gaming equipment of the kind; and</w:t>
      </w:r>
    </w:p>
    <w:p>
      <w:pPr>
        <w:pStyle w:val="Indenti"/>
        <w:spacing w:before="54"/>
        <w:rPr>
          <w:snapToGrid w:val="0"/>
        </w:rPr>
      </w:pPr>
      <w:r>
        <w:rPr>
          <w:snapToGrid w:val="0"/>
        </w:rPr>
        <w:lastRenderedPageBreak/>
        <w:tab/>
        <w:t>(ii)</w:t>
      </w:r>
      <w:r>
        <w:rPr>
          <w:snapToGrid w:val="0"/>
        </w:rPr>
        <w:tab/>
        <w:t>the period, not being a period in excess of 5 years; and</w:t>
      </w:r>
    </w:p>
    <w:p>
      <w:pPr>
        <w:pStyle w:val="Indenti"/>
        <w:spacing w:before="54"/>
        <w:rPr>
          <w:snapToGrid w:val="0"/>
        </w:rPr>
      </w:pPr>
      <w:r>
        <w:rPr>
          <w:snapToGrid w:val="0"/>
        </w:rPr>
        <w:tab/>
        <w:t>(iii)</w:t>
      </w:r>
      <w:r>
        <w:rPr>
          <w:snapToGrid w:val="0"/>
        </w:rPr>
        <w:tab/>
        <w:t>the operations as to sale or supply, or as to maintenance of the mechanism of the respective kinds of gaming equipment,</w:t>
      </w:r>
    </w:p>
    <w:p>
      <w:pPr>
        <w:pStyle w:val="Indenta"/>
        <w:spacing w:before="54"/>
        <w:rPr>
          <w:snapToGrid w:val="0"/>
        </w:rPr>
      </w:pPr>
      <w:r>
        <w:rPr>
          <w:snapToGrid w:val="0"/>
        </w:rPr>
        <w:tab/>
      </w:r>
      <w:r>
        <w:rPr>
          <w:snapToGrid w:val="0"/>
        </w:rPr>
        <w:tab/>
        <w:t>therein specified,</w:t>
      </w:r>
    </w:p>
    <w:p>
      <w:pPr>
        <w:pStyle w:val="Subsection"/>
        <w:spacing w:before="100"/>
        <w:rPr>
          <w:snapToGrid w:val="0"/>
        </w:rPr>
      </w:pPr>
      <w:r>
        <w:rPr>
          <w:snapToGrid w:val="0"/>
        </w:rPr>
        <w:tab/>
      </w:r>
      <w:r>
        <w:rPr>
          <w:snapToGrid w:val="0"/>
        </w:rPr>
        <w:tab/>
        <w:t>and is renewable, but may be revoked at the discretion of the Commission pursuant to subsection (6).</w:t>
      </w:r>
    </w:p>
    <w:p>
      <w:pPr>
        <w:pStyle w:val="Subsection"/>
        <w:spacing w:before="180"/>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spacing w:before="180"/>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keepLines/>
        <w:spacing w:before="180"/>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Footnotesection"/>
      </w:pPr>
      <w:r>
        <w:tab/>
        <w:t>[Section 88 amended: No. 41 of 2018 s. 25(1).]</w:t>
      </w:r>
    </w:p>
    <w:p>
      <w:pPr>
        <w:pStyle w:val="Heading5"/>
        <w:rPr>
          <w:snapToGrid w:val="0"/>
        </w:rPr>
      </w:pPr>
      <w:bookmarkStart w:id="144" w:name="_Toc131666784"/>
      <w:r>
        <w:rPr>
          <w:rStyle w:val="CharSectno"/>
        </w:rPr>
        <w:t>89</w:t>
      </w:r>
      <w:r>
        <w:rPr>
          <w:snapToGrid w:val="0"/>
        </w:rPr>
        <w:t>.</w:t>
      </w:r>
      <w:r>
        <w:rPr>
          <w:snapToGrid w:val="0"/>
        </w:rPr>
        <w:tab/>
        <w:t>Prescribed gaming equipment, sale etc. of</w:t>
      </w:r>
      <w:bookmarkEnd w:id="144"/>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lastRenderedPageBreak/>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r>
      <w:r>
        <w:t>Penalty for this subsection: a fine of</w:t>
      </w:r>
      <w:r>
        <w:rPr>
          <w:snapToGrid w:val="0"/>
        </w:rPr>
        <w:t xml:space="preserve"> $5 000.</w:t>
      </w:r>
    </w:p>
    <w:p>
      <w:pPr>
        <w:pStyle w:val="Subsection"/>
        <w:rPr>
          <w:snapToGrid w:val="0"/>
        </w:rPr>
      </w:pPr>
      <w:r>
        <w:rPr>
          <w:snapToGrid w:val="0"/>
        </w:rPr>
        <w:tab/>
        <w:t>(3)</w:t>
      </w:r>
      <w:r>
        <w:rPr>
          <w:snapToGrid w:val="0"/>
        </w:rPr>
        <w:tab/>
        <w:t xml:space="preserve">In this section </w:t>
      </w:r>
      <w:r>
        <w:rPr>
          <w:rStyle w:val="CharDefText"/>
        </w:rPr>
        <w:t>terms</w:t>
      </w:r>
      <w:r>
        <w:rPr>
          <w:snapToGrid w:val="0"/>
        </w:rPr>
        <w:t xml:space="preserve"> includes any condition as to price, rent or any other payment.</w:t>
      </w:r>
    </w:p>
    <w:p>
      <w:pPr>
        <w:pStyle w:val="Footnotesection"/>
      </w:pPr>
      <w:r>
        <w:tab/>
        <w:t>[Section 89 amended: No. 41 of 2018 s. 25(1).]</w:t>
      </w:r>
    </w:p>
    <w:p>
      <w:pPr>
        <w:pStyle w:val="Heading5"/>
        <w:rPr>
          <w:snapToGrid w:val="0"/>
        </w:rPr>
      </w:pPr>
      <w:bookmarkStart w:id="145" w:name="_Toc131666785"/>
      <w:r>
        <w:rPr>
          <w:rStyle w:val="CharSectno"/>
        </w:rPr>
        <w:t>90</w:t>
      </w:r>
      <w:r>
        <w:rPr>
          <w:snapToGrid w:val="0"/>
        </w:rPr>
        <w:t>.</w:t>
      </w:r>
      <w:r>
        <w:rPr>
          <w:snapToGrid w:val="0"/>
        </w:rPr>
        <w:tab/>
        <w:t>Application of s. 88 and 89 to concessionaires</w:t>
      </w:r>
      <w:bookmarkEnd w:id="145"/>
    </w:p>
    <w:p>
      <w:pPr>
        <w:pStyle w:val="Subsection"/>
        <w:spacing w:before="120"/>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keepNext w:val="0"/>
        <w:keepLines w:val="0"/>
        <w:rPr>
          <w:snapToGrid w:val="0"/>
        </w:rPr>
      </w:pPr>
      <w:bookmarkStart w:id="146" w:name="_Toc131666786"/>
      <w:r>
        <w:rPr>
          <w:rStyle w:val="CharSectno"/>
        </w:rPr>
        <w:t>91</w:t>
      </w:r>
      <w:r>
        <w:rPr>
          <w:snapToGrid w:val="0"/>
        </w:rPr>
        <w:t>.</w:t>
      </w:r>
      <w:r>
        <w:rPr>
          <w:snapToGrid w:val="0"/>
        </w:rPr>
        <w:tab/>
        <w:t>Permitted gaming, restrictions on certain people in relation to</w:t>
      </w:r>
      <w:bookmarkEnd w:id="146"/>
    </w:p>
    <w:p>
      <w:pPr>
        <w:pStyle w:val="Subsection"/>
        <w:spacing w:before="120"/>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r>
      <w:r>
        <w:t>Penalty for this subsection: a fine of</w:t>
      </w:r>
      <w:r>
        <w:rPr>
          <w:snapToGrid w:val="0"/>
        </w:rPr>
        <w:t xml:space="preserve"> $2 000.</w:t>
      </w:r>
    </w:p>
    <w:p>
      <w:pPr>
        <w:pStyle w:val="Subsection"/>
        <w:spacing w:before="120"/>
        <w:rPr>
          <w:snapToGrid w:val="0"/>
        </w:rPr>
      </w:pPr>
      <w:r>
        <w:rPr>
          <w:snapToGrid w:val="0"/>
        </w:rPr>
        <w:tab/>
        <w:t>(2)</w:t>
      </w:r>
      <w:r>
        <w:rPr>
          <w:snapToGrid w:val="0"/>
        </w:rPr>
        <w:tab/>
        <w:t>Subsection (1) applies to any operation which is performed in relation to the permitted gaming and consists of —</w:t>
      </w:r>
    </w:p>
    <w:p>
      <w:pPr>
        <w:pStyle w:val="Indenta"/>
        <w:spacing w:before="60"/>
        <w:rPr>
          <w:snapToGrid w:val="0"/>
        </w:rPr>
      </w:pPr>
      <w:r>
        <w:rPr>
          <w:snapToGrid w:val="0"/>
        </w:rPr>
        <w:tab/>
        <w:t>(a)</w:t>
      </w:r>
      <w:r>
        <w:rPr>
          <w:snapToGrid w:val="0"/>
        </w:rPr>
        <w:tab/>
        <w:t>taking part in the gaming as a participant; or</w:t>
      </w:r>
    </w:p>
    <w:p>
      <w:pPr>
        <w:pStyle w:val="Indenta"/>
        <w:spacing w:before="60"/>
        <w:rPr>
          <w:snapToGrid w:val="0"/>
        </w:rPr>
      </w:pPr>
      <w:r>
        <w:rPr>
          <w:snapToGrid w:val="0"/>
        </w:rPr>
        <w:lastRenderedPageBreak/>
        <w:tab/>
        <w:t>(b)</w:t>
      </w:r>
      <w:r>
        <w:rPr>
          <w:snapToGrid w:val="0"/>
        </w:rPr>
        <w:tab/>
        <w:t>assisting the conduct of permitted gaming by operating or handling any gaming equipment or instruments of gaming or, in the case of bingo, by calling the card or otherwise; or</w:t>
      </w:r>
    </w:p>
    <w:p>
      <w:pPr>
        <w:pStyle w:val="Indenta"/>
        <w:spacing w:before="60"/>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spacing w:before="60"/>
        <w:rPr>
          <w:snapToGrid w:val="0"/>
        </w:rPr>
      </w:pPr>
      <w:r>
        <w:rPr>
          <w:snapToGrid w:val="0"/>
        </w:rPr>
        <w:tab/>
        <w:t>(d)</w:t>
      </w:r>
      <w:r>
        <w:rPr>
          <w:snapToGrid w:val="0"/>
        </w:rPr>
        <w:tab/>
        <w:t>watching, otherwise than as manager, organiser or supervisor —</w:t>
      </w:r>
    </w:p>
    <w:p>
      <w:pPr>
        <w:pStyle w:val="Indenti"/>
        <w:spacing w:before="60"/>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spacing w:before="140"/>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spacing w:before="140"/>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r>
      <w:r>
        <w:t>Penalty for this subsection: a fine of</w:t>
      </w:r>
      <w:r>
        <w:rPr>
          <w:snapToGrid w:val="0"/>
        </w:rPr>
        <w:t xml:space="preserve"> $2 000.</w:t>
      </w:r>
    </w:p>
    <w:p>
      <w:pPr>
        <w:pStyle w:val="Subsection"/>
        <w:spacing w:before="140"/>
        <w:rPr>
          <w:snapToGrid w:val="0"/>
        </w:rPr>
      </w:pPr>
      <w:r>
        <w:rPr>
          <w:snapToGrid w:val="0"/>
        </w:rPr>
        <w:lastRenderedPageBreak/>
        <w:tab/>
        <w:t>(5)</w:t>
      </w:r>
      <w:r>
        <w:rPr>
          <w:snapToGrid w:val="0"/>
        </w:rPr>
        <w:tab/>
        <w:t xml:space="preserve">In this section </w:t>
      </w:r>
      <w:r>
        <w:rPr>
          <w:rStyle w:val="CharDefText"/>
        </w:rPr>
        <w:t>service agreement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spacing w:before="140"/>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rStyle w:val="CharDefText"/>
        </w:rPr>
        <w:t>specified</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ind w:left="890" w:hanging="890"/>
      </w:pPr>
      <w:r>
        <w:tab/>
        <w:t>[Section 91 amended: No. 35 of 2003 s. 167; No. 41 of 2018 s. 25(1).]</w:t>
      </w:r>
    </w:p>
    <w:p>
      <w:pPr>
        <w:pStyle w:val="Heading5"/>
        <w:keepNext w:val="0"/>
        <w:keepLines w:val="0"/>
        <w:rPr>
          <w:snapToGrid w:val="0"/>
        </w:rPr>
      </w:pPr>
      <w:bookmarkStart w:id="147" w:name="_Toc131666787"/>
      <w:r>
        <w:rPr>
          <w:rStyle w:val="CharSectno"/>
        </w:rPr>
        <w:t>92</w:t>
      </w:r>
      <w:r>
        <w:rPr>
          <w:snapToGrid w:val="0"/>
        </w:rPr>
        <w:t>.</w:t>
      </w:r>
      <w:r>
        <w:rPr>
          <w:snapToGrid w:val="0"/>
        </w:rPr>
        <w:tab/>
        <w:t>Certificates for s. 91</w:t>
      </w:r>
      <w:bookmarkEnd w:id="147"/>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w:t>
      </w:r>
    </w:p>
    <w:p>
      <w:pPr>
        <w:pStyle w:val="Indenta"/>
        <w:spacing w:before="100"/>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spacing w:before="100"/>
        <w:rPr>
          <w:snapToGrid w:val="0"/>
        </w:rPr>
      </w:pPr>
      <w:r>
        <w:rPr>
          <w:snapToGrid w:val="0"/>
        </w:rPr>
        <w:lastRenderedPageBreak/>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w:t>
      </w:r>
    </w:p>
    <w:p>
      <w:pPr>
        <w:pStyle w:val="Indenta"/>
        <w:spacing w:before="100"/>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No. 35 of 2003 s. 166 and 167.]</w:t>
      </w:r>
    </w:p>
    <w:p>
      <w:pPr>
        <w:pStyle w:val="Heading5"/>
        <w:rPr>
          <w:snapToGrid w:val="0"/>
        </w:rPr>
      </w:pPr>
      <w:bookmarkStart w:id="148" w:name="_Toc131666788"/>
      <w:r>
        <w:rPr>
          <w:rStyle w:val="CharSectno"/>
        </w:rPr>
        <w:t>93</w:t>
      </w:r>
      <w:r>
        <w:rPr>
          <w:snapToGrid w:val="0"/>
        </w:rPr>
        <w:t>.</w:t>
      </w:r>
      <w:r>
        <w:rPr>
          <w:snapToGrid w:val="0"/>
        </w:rPr>
        <w:tab/>
        <w:t>Offences in relation to s. 91</w:t>
      </w:r>
      <w:bookmarkEnd w:id="148"/>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w:t>
      </w:r>
    </w:p>
    <w:p>
      <w:pPr>
        <w:pStyle w:val="Indenta"/>
        <w:rPr>
          <w:snapToGrid w:val="0"/>
        </w:rPr>
      </w:pPr>
      <w:r>
        <w:rPr>
          <w:snapToGrid w:val="0"/>
        </w:rPr>
        <w:tab/>
        <w:t>(a)</w:t>
      </w:r>
      <w:r>
        <w:rPr>
          <w:snapToGrid w:val="0"/>
        </w:rPr>
        <w:tab/>
        <w:t>the holder of the permit relating to that gaming; and</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a fine of</w:t>
      </w:r>
      <w:r>
        <w:rPr>
          <w:snapToGrid w:val="0"/>
        </w:rPr>
        <w:t xml:space="preserve"> $1 000.</w:t>
      </w:r>
    </w:p>
    <w:p>
      <w:pPr>
        <w:pStyle w:val="Footnotesection"/>
      </w:pPr>
      <w:r>
        <w:tab/>
        <w:t>[Section 93 amended: No. 35 of 2003 s. 167; No. 41 of 2018 s. 25(2).]</w:t>
      </w:r>
    </w:p>
    <w:p>
      <w:pPr>
        <w:pStyle w:val="Heading3"/>
      </w:pPr>
      <w:bookmarkStart w:id="149" w:name="_Toc115166640"/>
      <w:bookmarkStart w:id="150" w:name="_Toc115166797"/>
      <w:bookmarkStart w:id="151" w:name="_Toc115267871"/>
      <w:bookmarkStart w:id="152" w:name="_Toc131666789"/>
      <w:r>
        <w:rPr>
          <w:rStyle w:val="CharDivNo"/>
        </w:rPr>
        <w:lastRenderedPageBreak/>
        <w:t>Division 5A</w:t>
      </w:r>
      <w:r>
        <w:t> — </w:t>
      </w:r>
      <w:r>
        <w:rPr>
          <w:rStyle w:val="CharDivText"/>
        </w:rPr>
        <w:t>Remote gambling devices</w:t>
      </w:r>
      <w:bookmarkEnd w:id="149"/>
      <w:bookmarkEnd w:id="150"/>
      <w:bookmarkEnd w:id="151"/>
      <w:bookmarkEnd w:id="152"/>
    </w:p>
    <w:p>
      <w:pPr>
        <w:pStyle w:val="Footnoteheading"/>
      </w:pPr>
      <w:r>
        <w:tab/>
        <w:t>[Heading inserted: No. 41 of 2018 s. 21.]</w:t>
      </w:r>
    </w:p>
    <w:p>
      <w:pPr>
        <w:pStyle w:val="Heading5"/>
      </w:pPr>
      <w:bookmarkStart w:id="153" w:name="_Toc131666790"/>
      <w:r>
        <w:rPr>
          <w:rStyle w:val="CharSectno"/>
        </w:rPr>
        <w:t>93A</w:t>
      </w:r>
      <w:r>
        <w:t>.</w:t>
      </w:r>
      <w:r>
        <w:tab/>
        <w:t>Terms used</w:t>
      </w:r>
      <w:bookmarkEnd w:id="153"/>
    </w:p>
    <w:p>
      <w:pPr>
        <w:pStyle w:val="Subsection"/>
      </w:pPr>
      <w:r>
        <w:tab/>
      </w:r>
      <w:r>
        <w:tab/>
        <w:t xml:space="preserve">In this Division — </w:t>
      </w:r>
    </w:p>
    <w:p>
      <w:pPr>
        <w:pStyle w:val="Defstart"/>
      </w:pPr>
      <w:r>
        <w:tab/>
      </w:r>
      <w:r>
        <w:rPr>
          <w:rStyle w:val="CharDefText"/>
        </w:rPr>
        <w:t>public premises</w:t>
      </w:r>
      <w:r>
        <w:t xml:space="preserve"> means premises in a public place, except — </w:t>
      </w:r>
    </w:p>
    <w:p>
      <w:pPr>
        <w:pStyle w:val="Defpara"/>
      </w:pPr>
      <w:r>
        <w:tab/>
        <w:t>(a)</w:t>
      </w:r>
      <w:r>
        <w:tab/>
        <w:t xml:space="preserve">premises comprising a totalisator agency as defined in the </w:t>
      </w:r>
      <w:r>
        <w:rPr>
          <w:i/>
        </w:rPr>
        <w:t>Racing and Wagering Western Australia Act 2003</w:t>
      </w:r>
      <w:r>
        <w:t xml:space="preserve"> section 3(1); or</w:t>
      </w:r>
    </w:p>
    <w:p>
      <w:pPr>
        <w:pStyle w:val="Defpara"/>
      </w:pPr>
      <w:r>
        <w:tab/>
        <w:t>(b)</w:t>
      </w:r>
      <w:r>
        <w:tab/>
        <w:t xml:space="preserve">premises established by the Commission as defined in the </w:t>
      </w:r>
      <w:r>
        <w:rPr>
          <w:i/>
        </w:rPr>
        <w:t>Lotteries Commission Act 1990</w:t>
      </w:r>
      <w:r>
        <w:t xml:space="preserve"> section 3(1) for or in connection with the performance of the Commission’s functions under that Act; or</w:t>
      </w:r>
    </w:p>
    <w:p>
      <w:pPr>
        <w:pStyle w:val="Defpara"/>
      </w:pPr>
      <w:r>
        <w:tab/>
        <w:t>(c)</w:t>
      </w:r>
      <w:r>
        <w:tab/>
        <w:t>prescribed premises or a prescribed class of premises;</w:t>
      </w:r>
    </w:p>
    <w:p>
      <w:pPr>
        <w:pStyle w:val="Defstart"/>
      </w:pPr>
      <w:r>
        <w:tab/>
      </w:r>
      <w:r>
        <w:rPr>
          <w:rStyle w:val="CharDefText"/>
        </w:rPr>
        <w:t>remote gambling device</w:t>
      </w:r>
      <w:r>
        <w:t xml:space="preserve"> means a telecommunications device that is primarily or exclusively built to transmit a bet on an event or contingency.</w:t>
      </w:r>
    </w:p>
    <w:p>
      <w:pPr>
        <w:pStyle w:val="Footnotesection"/>
      </w:pPr>
      <w:r>
        <w:tab/>
        <w:t>[Section 93A inserted: No. 41 of 2018 s. 21.]</w:t>
      </w:r>
    </w:p>
    <w:p>
      <w:pPr>
        <w:pStyle w:val="Heading5"/>
      </w:pPr>
      <w:bookmarkStart w:id="154" w:name="_Toc131666791"/>
      <w:r>
        <w:rPr>
          <w:rStyle w:val="CharSectno"/>
        </w:rPr>
        <w:t>93B</w:t>
      </w:r>
      <w:r>
        <w:t>.</w:t>
      </w:r>
      <w:r>
        <w:tab/>
        <w:t>Offences relating to remote gambling devices</w:t>
      </w:r>
      <w:bookmarkEnd w:id="154"/>
    </w:p>
    <w:p>
      <w:pPr>
        <w:pStyle w:val="Subsection"/>
      </w:pPr>
      <w:r>
        <w:tab/>
        <w:t>(1)</w:t>
      </w:r>
      <w:r>
        <w:tab/>
        <w:t>A person who places a remote gambling device on public premises commits an offence.</w:t>
      </w:r>
    </w:p>
    <w:p>
      <w:pPr>
        <w:pStyle w:val="Penstart"/>
      </w:pPr>
      <w:r>
        <w:tab/>
        <w:t>Penalty for this subsection: a fine of $20 000.</w:t>
      </w:r>
    </w:p>
    <w:p>
      <w:pPr>
        <w:pStyle w:val="Subsection"/>
      </w:pPr>
      <w:r>
        <w:tab/>
        <w:t>(2)</w:t>
      </w:r>
      <w:r>
        <w:tab/>
        <w:t>A person who uses a remote gambling device on public premises commits an offence.</w:t>
      </w:r>
    </w:p>
    <w:p>
      <w:pPr>
        <w:pStyle w:val="Penstart"/>
      </w:pPr>
      <w:r>
        <w:tab/>
        <w:t>Penalty for this subsection: a fine of $20 000.</w:t>
      </w:r>
    </w:p>
    <w:p>
      <w:pPr>
        <w:pStyle w:val="Subsection"/>
      </w:pPr>
      <w:r>
        <w:tab/>
        <w:t>(3)</w:t>
      </w:r>
      <w:r>
        <w:tab/>
        <w:t>An owner or occupier of public premises commits an offence if the owner or occupier permits a remote gambling device to be placed or used on the premises.</w:t>
      </w:r>
    </w:p>
    <w:p>
      <w:pPr>
        <w:pStyle w:val="Penstart"/>
      </w:pPr>
      <w:r>
        <w:tab/>
        <w:t>Penalty for this subsection: a fine of $20 000.</w:t>
      </w:r>
    </w:p>
    <w:p>
      <w:pPr>
        <w:pStyle w:val="Footnotesection"/>
      </w:pPr>
      <w:r>
        <w:tab/>
        <w:t>[Section 93B inserted: No. 41 of 2018 s. 21.]</w:t>
      </w:r>
    </w:p>
    <w:p>
      <w:pPr>
        <w:pStyle w:val="Heading3"/>
      </w:pPr>
      <w:bookmarkStart w:id="155" w:name="_Toc115166643"/>
      <w:bookmarkStart w:id="156" w:name="_Toc115166800"/>
      <w:bookmarkStart w:id="157" w:name="_Toc115267874"/>
      <w:bookmarkStart w:id="158" w:name="_Toc131666792"/>
      <w:r>
        <w:rPr>
          <w:rStyle w:val="CharDivNo"/>
        </w:rPr>
        <w:lastRenderedPageBreak/>
        <w:t>Division 6</w:t>
      </w:r>
      <w:r>
        <w:rPr>
          <w:snapToGrid w:val="0"/>
        </w:rPr>
        <w:t> — </w:t>
      </w:r>
      <w:r>
        <w:rPr>
          <w:rStyle w:val="CharDivText"/>
        </w:rPr>
        <w:t>Permitted bingo</w:t>
      </w:r>
      <w:bookmarkEnd w:id="155"/>
      <w:bookmarkEnd w:id="156"/>
      <w:bookmarkEnd w:id="157"/>
      <w:bookmarkEnd w:id="158"/>
    </w:p>
    <w:p>
      <w:pPr>
        <w:pStyle w:val="Heading5"/>
        <w:rPr>
          <w:snapToGrid w:val="0"/>
        </w:rPr>
      </w:pPr>
      <w:bookmarkStart w:id="159" w:name="_Toc131666793"/>
      <w:r>
        <w:rPr>
          <w:rStyle w:val="CharSectno"/>
        </w:rPr>
        <w:t>94</w:t>
      </w:r>
      <w:r>
        <w:rPr>
          <w:snapToGrid w:val="0"/>
        </w:rPr>
        <w:t>.</w:t>
      </w:r>
      <w:r>
        <w:rPr>
          <w:snapToGrid w:val="0"/>
        </w:rPr>
        <w:tab/>
        <w:t>Terms used</w:t>
      </w:r>
      <w:bookmarkEnd w:id="159"/>
    </w:p>
    <w:p>
      <w:pPr>
        <w:pStyle w:val="Subsection"/>
        <w:keepNext/>
        <w:rPr>
          <w:snapToGrid w:val="0"/>
        </w:rPr>
      </w:pPr>
      <w:r>
        <w:rPr>
          <w:snapToGrid w:val="0"/>
        </w:rPr>
        <w:tab/>
        <w:t>(1)</w:t>
      </w:r>
      <w:r>
        <w:rPr>
          <w:snapToGrid w:val="0"/>
        </w:rPr>
        <w:tab/>
        <w:t>In this Division, unless the contrary intention appears —</w:t>
      </w:r>
    </w:p>
    <w:p>
      <w:pPr>
        <w:pStyle w:val="Defstart"/>
      </w:pPr>
      <w:r>
        <w:rPr>
          <w:b/>
        </w:rPr>
        <w:tab/>
      </w:r>
      <w:r>
        <w:rPr>
          <w:rStyle w:val="CharDefText"/>
        </w:rPr>
        <w:t>bingo</w:t>
      </w:r>
      <w:r>
        <w:t xml:space="preserve"> means the game commonly known as bingo, housie</w:t>
      </w:r>
      <w:r>
        <w:noBreakHyphen/>
        <w:t>housie or tombola and includes any version of that game by whatever name called;</w:t>
      </w:r>
    </w:p>
    <w:p>
      <w:pPr>
        <w:pStyle w:val="Defstart"/>
      </w:pPr>
      <w:r>
        <w:rPr>
          <w:b/>
        </w:rPr>
        <w:tab/>
      </w:r>
      <w:r>
        <w:rPr>
          <w:rStyle w:val="CharDefText"/>
        </w:rPr>
        <w:t>charitable organisation</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r>
      <w:r>
        <w:rPr>
          <w:rStyle w:val="CharDefText"/>
        </w:rPr>
        <w:t>club</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r>
      <w:r>
        <w:rPr>
          <w:rStyle w:val="CharDefText"/>
        </w:rPr>
        <w:t>money</w:t>
      </w:r>
      <w:r>
        <w:t xml:space="preserve"> includes any token, voucher or other thing given by a player in exchange for cards and recognised for the purposes of the exchange to represent a particular sum of money, or money’s worth;</w:t>
      </w:r>
    </w:p>
    <w:p>
      <w:pPr>
        <w:pStyle w:val="Defstart"/>
      </w:pPr>
      <w:r>
        <w:rPr>
          <w:b/>
        </w:rPr>
        <w:tab/>
      </w:r>
      <w:r>
        <w:rPr>
          <w:rStyle w:val="CharDefText"/>
        </w:rPr>
        <w:t>multiple bingo</w:t>
      </w:r>
      <w:r>
        <w:t xml:space="preserve"> means bingo to which section 96 refers;</w:t>
      </w:r>
    </w:p>
    <w:p>
      <w:pPr>
        <w:pStyle w:val="Defstart"/>
      </w:pPr>
      <w:r>
        <w:rPr>
          <w:b/>
        </w:rPr>
        <w:tab/>
      </w:r>
      <w:r>
        <w:rPr>
          <w:rStyle w:val="CharDefText"/>
        </w:rPr>
        <w:t>organiser</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w:t>
      </w:r>
    </w:p>
    <w:p>
      <w:pPr>
        <w:pStyle w:val="Defstart"/>
      </w:pPr>
      <w:r>
        <w:rPr>
          <w:b/>
        </w:rPr>
        <w:tab/>
      </w:r>
      <w:r>
        <w:rPr>
          <w:rStyle w:val="CharDefText"/>
        </w:rPr>
        <w:t>prize</w:t>
      </w:r>
      <w:r>
        <w:t xml:space="preserve"> means anything won or to be won at bingo, whether money or something else having a value, and </w:t>
      </w:r>
      <w:r>
        <w:rPr>
          <w:rStyle w:val="CharDefText"/>
        </w:rPr>
        <w:t>value</w:t>
      </w:r>
      <w:r>
        <w:t xml:space="preserve"> and </w:t>
      </w:r>
      <w:r>
        <w:rPr>
          <w:rStyle w:val="CharDefText"/>
        </w:rPr>
        <w:t>paid</w:t>
      </w:r>
      <w:r>
        <w:t xml:space="preserve"> in relation to prizes shall be construed accordingly;</w:t>
      </w:r>
    </w:p>
    <w:p>
      <w:pPr>
        <w:pStyle w:val="Defstart"/>
      </w:pPr>
      <w:r>
        <w:rPr>
          <w:b/>
        </w:rPr>
        <w:tab/>
      </w:r>
      <w:r>
        <w:rPr>
          <w:rStyle w:val="CharDefText"/>
        </w:rPr>
        <w:t>promoter</w:t>
      </w:r>
      <w:r>
        <w:t>, in relation to bingo, means the person to whom the players look for the payment of prizes;</w:t>
      </w:r>
    </w:p>
    <w:p>
      <w:pPr>
        <w:pStyle w:val="Defstart"/>
      </w:pPr>
      <w:r>
        <w:rPr>
          <w:b/>
        </w:rPr>
        <w:tab/>
      </w:r>
      <w:r>
        <w:rPr>
          <w:rStyle w:val="CharDefText"/>
        </w:rPr>
        <w:t>simultaneous bingo</w:t>
      </w:r>
      <w:r>
        <w:t xml:space="preserve"> means bingo to which section 97 refers.</w:t>
      </w:r>
    </w:p>
    <w:p>
      <w:pPr>
        <w:pStyle w:val="Subsection"/>
        <w:spacing w:before="180"/>
        <w:rPr>
          <w:snapToGrid w:val="0"/>
        </w:rPr>
      </w:pPr>
      <w:r>
        <w:rPr>
          <w:snapToGrid w:val="0"/>
        </w:rPr>
        <w:lastRenderedPageBreak/>
        <w:tab/>
        <w:t>(2)</w:t>
      </w:r>
      <w:r>
        <w:rPr>
          <w:snapToGrid w:val="0"/>
        </w:rPr>
        <w:tab/>
        <w:t xml:space="preserve">For the purposes of this Division, a player’s </w:t>
      </w:r>
      <w:r>
        <w:rPr>
          <w:rStyle w:val="CharDefText"/>
        </w:rPr>
        <w:t>cards</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80"/>
        <w:rPr>
          <w:snapToGrid w:val="0"/>
        </w:rPr>
      </w:pPr>
      <w:bookmarkStart w:id="160" w:name="_Toc131666794"/>
      <w:r>
        <w:rPr>
          <w:rStyle w:val="CharSectno"/>
        </w:rPr>
        <w:t>95</w:t>
      </w:r>
      <w:r>
        <w:rPr>
          <w:snapToGrid w:val="0"/>
        </w:rPr>
        <w:t>.</w:t>
      </w:r>
      <w:r>
        <w:rPr>
          <w:snapToGrid w:val="0"/>
        </w:rPr>
        <w:tab/>
        <w:t>Permits to conduct bingo; who may play permitted bingo</w:t>
      </w:r>
      <w:bookmarkEnd w:id="160"/>
    </w:p>
    <w:p>
      <w:pPr>
        <w:pStyle w:val="Subsection"/>
        <w:spacing w:before="12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 or</w:t>
      </w:r>
    </w:p>
    <w:p>
      <w:pPr>
        <w:pStyle w:val="Indenta"/>
        <w:spacing w:before="60"/>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rPr>
          <w:snapToGrid w:val="0"/>
        </w:rPr>
      </w:pPr>
      <w:r>
        <w:rPr>
          <w:snapToGrid w:val="0"/>
        </w:rPr>
        <w:tab/>
        <w:t>(2)</w:t>
      </w:r>
      <w:r>
        <w:rPr>
          <w:snapToGrid w:val="0"/>
        </w:rPr>
        <w:tab/>
        <w:t>A permit to which subsection (1)(a) applies shall not be issued unless the Commission is satisfied that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w:t>
      </w:r>
    </w:p>
    <w:p>
      <w:pPr>
        <w:pStyle w:val="Indenta"/>
        <w:widowControl w:val="0"/>
        <w:rPr>
          <w:snapToGrid w:val="0"/>
        </w:rPr>
      </w:pPr>
      <w:r>
        <w:rPr>
          <w:snapToGrid w:val="0"/>
        </w:rPr>
        <w:tab/>
        <w:t>(a)</w:t>
      </w:r>
      <w:r>
        <w:rPr>
          <w:snapToGrid w:val="0"/>
        </w:rPr>
        <w:tab/>
        <w:t xml:space="preserve">he is a member of the club and there has been an interval </w:t>
      </w:r>
      <w:r>
        <w:rPr>
          <w:snapToGrid w:val="0"/>
        </w:rPr>
        <w:lastRenderedPageBreak/>
        <w:t>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spacing w:before="120"/>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rPr>
          <w:snapToGrid w:val="0"/>
        </w:rPr>
      </w:pPr>
      <w:r>
        <w:rPr>
          <w:snapToGrid w:val="0"/>
        </w:rPr>
        <w:tab/>
        <w:t>(4)</w:t>
      </w:r>
      <w:r>
        <w:rPr>
          <w:snapToGrid w:val="0"/>
        </w:rPr>
        <w:tab/>
        <w:t>A person shall not participate in the gaming under this Division —</w:t>
      </w:r>
    </w:p>
    <w:p>
      <w:pPr>
        <w:pStyle w:val="Indenta"/>
        <w:spacing w:before="100"/>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spacing w:before="100"/>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r>
      <w:r>
        <w:t>Penalty for this subsection: a fine of</w:t>
      </w:r>
      <w:r>
        <w:rPr>
          <w:snapToGrid w:val="0"/>
        </w:rPr>
        <w:t xml:space="preserve"> $100.</w:t>
      </w:r>
    </w:p>
    <w:p>
      <w:pPr>
        <w:pStyle w:val="Footnotesection"/>
      </w:pPr>
      <w:r>
        <w:tab/>
        <w:t>[Section 95 amended: No. 24 of 1998 s. 59; No. 41 of 2018 s. 25(1).]</w:t>
      </w:r>
    </w:p>
    <w:p>
      <w:pPr>
        <w:pStyle w:val="Heading5"/>
        <w:rPr>
          <w:snapToGrid w:val="0"/>
        </w:rPr>
      </w:pPr>
      <w:bookmarkStart w:id="161" w:name="_Toc131666795"/>
      <w:r>
        <w:rPr>
          <w:rStyle w:val="CharSectno"/>
        </w:rPr>
        <w:t>96</w:t>
      </w:r>
      <w:r>
        <w:rPr>
          <w:snapToGrid w:val="0"/>
        </w:rPr>
        <w:t>.</w:t>
      </w:r>
      <w:r>
        <w:rPr>
          <w:snapToGrid w:val="0"/>
        </w:rPr>
        <w:tab/>
        <w:t>Multiple bingo</w:t>
      </w:r>
      <w:bookmarkEnd w:id="161"/>
    </w:p>
    <w:p>
      <w:pPr>
        <w:pStyle w:val="Subsection"/>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rPr>
          <w:snapToGrid w:val="0"/>
        </w:rPr>
      </w:pPr>
      <w:r>
        <w:rPr>
          <w:snapToGrid w:val="0"/>
        </w:rPr>
        <w:tab/>
        <w:t>(2)</w:t>
      </w:r>
      <w:r>
        <w:rPr>
          <w:snapToGrid w:val="0"/>
        </w:rPr>
        <w:tab/>
        <w:t>Where multiple bingo is played —</w:t>
      </w:r>
    </w:p>
    <w:p>
      <w:pPr>
        <w:pStyle w:val="Indenta"/>
        <w:spacing w:before="100"/>
        <w:rPr>
          <w:snapToGrid w:val="0"/>
        </w:rPr>
      </w:pPr>
      <w:r>
        <w:rPr>
          <w:snapToGrid w:val="0"/>
        </w:rPr>
        <w:tab/>
        <w:t>(a)</w:t>
      </w:r>
      <w:r>
        <w:rPr>
          <w:snapToGrid w:val="0"/>
        </w:rPr>
        <w:tab/>
        <w:t xml:space="preserve">the aggregate amount paid to players as prizes in respect of the game shall not exceed 60%, or such other proportion as may be prescribed, of the aggregate </w:t>
      </w:r>
      <w:r>
        <w:rPr>
          <w:snapToGrid w:val="0"/>
        </w:rPr>
        <w:lastRenderedPageBreak/>
        <w:t>amount of the stakes hazarded by the players in playing that game; and</w:t>
      </w:r>
    </w:p>
    <w:p>
      <w:pPr>
        <w:pStyle w:val="Indenta"/>
        <w:spacing w:before="100"/>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keepNext/>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spacing w:before="100"/>
        <w:rPr>
          <w:snapToGrid w:val="0"/>
        </w:rPr>
      </w:pPr>
      <w:r>
        <w:rPr>
          <w:snapToGrid w:val="0"/>
        </w:rPr>
        <w:tab/>
      </w:r>
      <w:r>
        <w:rPr>
          <w:snapToGrid w:val="0"/>
        </w:rPr>
        <w:tab/>
        <w:t>commits an offence.</w:t>
      </w:r>
    </w:p>
    <w:p>
      <w:pPr>
        <w:pStyle w:val="Penstart"/>
        <w:spacing w:before="60"/>
        <w:rPr>
          <w:snapToGrid w:val="0"/>
        </w:rPr>
      </w:pPr>
      <w:r>
        <w:rPr>
          <w:snapToGrid w:val="0"/>
        </w:rPr>
        <w:tab/>
      </w:r>
      <w:r>
        <w:t>Penalty for this subsection: a fine of</w:t>
      </w:r>
      <w:r>
        <w:rPr>
          <w:snapToGrid w:val="0"/>
        </w:rPr>
        <w:t xml:space="preserve"> $1 000.</w:t>
      </w:r>
    </w:p>
    <w:p>
      <w:pPr>
        <w:pStyle w:val="Subsection"/>
        <w:rPr>
          <w:snapToGrid w:val="0"/>
        </w:rPr>
      </w:pPr>
      <w:r>
        <w:rPr>
          <w:snapToGrid w:val="0"/>
        </w:rPr>
        <w:tab/>
        <w:t>(4)</w:t>
      </w:r>
      <w:r>
        <w:rPr>
          <w:snapToGrid w:val="0"/>
        </w:rPr>
        <w:tab/>
        <w:t>In this section —</w:t>
      </w:r>
    </w:p>
    <w:p>
      <w:pPr>
        <w:pStyle w:val="Defstart"/>
      </w:pPr>
      <w:r>
        <w:rPr>
          <w:b/>
        </w:rPr>
        <w:tab/>
      </w:r>
      <w:r>
        <w:rPr>
          <w:rStyle w:val="CharDefText"/>
        </w:rPr>
        <w:t>multiple bingo</w:t>
      </w:r>
      <w:r>
        <w:t xml:space="preserve"> means a game of bingo played jointly on different bingo club premises in circumstances where —</w:t>
      </w:r>
    </w:p>
    <w:p>
      <w:pPr>
        <w:pStyle w:val="Defpara"/>
      </w:pPr>
      <w:r>
        <w:tab/>
        <w:t>(a)</w:t>
      </w:r>
      <w:r>
        <w:tab/>
        <w:t>the draw is determined before the beginning of the game by the organiser of the game and announced on each of those premises while the game is being played there; and</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w:t>
      </w:r>
    </w:p>
    <w:p>
      <w:pPr>
        <w:pStyle w:val="Defsubpara"/>
        <w:keepLines w:val="0"/>
      </w:pPr>
      <w:r>
        <w:tab/>
        <w:t>(i)</w:t>
      </w:r>
      <w:r>
        <w:tab/>
        <w:t xml:space="preserve">a prize calculated by reference to the stakes hazarded at a group of those premises which </w:t>
      </w:r>
      <w:r>
        <w:lastRenderedPageBreak/>
        <w:t>includes the premises on which he is taking part in the game; and</w:t>
      </w:r>
    </w:p>
    <w:p>
      <w:pPr>
        <w:pStyle w:val="Defsubpara"/>
      </w:pPr>
      <w:r>
        <w:tab/>
        <w:t>(ii)</w:t>
      </w:r>
      <w:r>
        <w:tab/>
        <w:t>a prize calculated by reference to the stakes hazarded at the last</w:t>
      </w:r>
      <w:r>
        <w:noBreakHyphen/>
        <w:t>mentioned premises.</w:t>
      </w:r>
    </w:p>
    <w:p>
      <w:pPr>
        <w:pStyle w:val="Footnotesection"/>
      </w:pPr>
      <w:r>
        <w:tab/>
        <w:t>[Section 96 amended: No. 41 of 2018 s. 25(1).]</w:t>
      </w:r>
    </w:p>
    <w:p>
      <w:pPr>
        <w:pStyle w:val="Heading5"/>
        <w:rPr>
          <w:snapToGrid w:val="0"/>
        </w:rPr>
      </w:pPr>
      <w:bookmarkStart w:id="162" w:name="_Toc131666796"/>
      <w:r>
        <w:rPr>
          <w:rStyle w:val="CharSectno"/>
        </w:rPr>
        <w:t>97</w:t>
      </w:r>
      <w:r>
        <w:rPr>
          <w:snapToGrid w:val="0"/>
        </w:rPr>
        <w:t>.</w:t>
      </w:r>
      <w:r>
        <w:rPr>
          <w:snapToGrid w:val="0"/>
        </w:rPr>
        <w:tab/>
        <w:t>Simultaneous bingo</w:t>
      </w:r>
      <w:bookmarkEnd w:id="162"/>
    </w:p>
    <w:p>
      <w:pPr>
        <w:pStyle w:val="Subsection"/>
        <w:rPr>
          <w:snapToGrid w:val="0"/>
        </w:rPr>
      </w:pPr>
      <w:r>
        <w:rPr>
          <w:snapToGrid w:val="0"/>
        </w:rPr>
        <w:tab/>
        <w:t>(1)</w:t>
      </w:r>
      <w:r>
        <w:rPr>
          <w:snapToGrid w:val="0"/>
        </w:rPr>
        <w:tab/>
        <w:t>Where a game of bingo is played simultaneously on different premises in circumstances where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 and</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 and</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keepNext/>
        <w:rPr>
          <w:snapToGrid w:val="0"/>
        </w:rPr>
      </w:pPr>
      <w:r>
        <w:rPr>
          <w:snapToGrid w:val="0"/>
        </w:rPr>
        <w:lastRenderedPageBreak/>
        <w:tab/>
        <w:t>(3)</w:t>
      </w:r>
      <w:r>
        <w:rPr>
          <w:snapToGrid w:val="0"/>
        </w:rPr>
        <w:tab/>
        <w:t>A person who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$1 000.</w:t>
      </w:r>
    </w:p>
    <w:p>
      <w:pPr>
        <w:pStyle w:val="Footnotesection"/>
      </w:pPr>
      <w:r>
        <w:tab/>
        <w:t>[Section 97 amended: No. 41 of 2018 s. 25(1).]</w:t>
      </w:r>
    </w:p>
    <w:p>
      <w:pPr>
        <w:pStyle w:val="Heading5"/>
        <w:rPr>
          <w:snapToGrid w:val="0"/>
        </w:rPr>
      </w:pPr>
      <w:bookmarkStart w:id="163" w:name="_Toc131666797"/>
      <w:r>
        <w:rPr>
          <w:rStyle w:val="CharSectno"/>
        </w:rPr>
        <w:t>98</w:t>
      </w:r>
      <w:r>
        <w:rPr>
          <w:snapToGrid w:val="0"/>
        </w:rPr>
        <w:t>.</w:t>
      </w:r>
      <w:r>
        <w:rPr>
          <w:snapToGrid w:val="0"/>
        </w:rPr>
        <w:tab/>
        <w:t>Conduct of bingo</w:t>
      </w:r>
      <w:bookmarkEnd w:id="163"/>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 or</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r>
      <w:r>
        <w:t>Penalty: a fine of</w:t>
      </w:r>
      <w:r>
        <w:rPr>
          <w:snapToGrid w:val="0"/>
        </w:rPr>
        <w:t xml:space="preserve"> $2 000.</w:t>
      </w:r>
    </w:p>
    <w:p>
      <w:pPr>
        <w:pStyle w:val="Footnotesection"/>
      </w:pPr>
      <w:r>
        <w:tab/>
        <w:t>[Section 98 amended: No. 41 of 2018 s. 25(2).]</w:t>
      </w:r>
    </w:p>
    <w:p>
      <w:pPr>
        <w:pStyle w:val="Heading5"/>
        <w:rPr>
          <w:snapToGrid w:val="0"/>
        </w:rPr>
      </w:pPr>
      <w:bookmarkStart w:id="164" w:name="_Toc131666798"/>
      <w:r>
        <w:rPr>
          <w:rStyle w:val="CharSectno"/>
        </w:rPr>
        <w:t>99</w:t>
      </w:r>
      <w:r>
        <w:rPr>
          <w:snapToGrid w:val="0"/>
        </w:rPr>
        <w:t>.</w:t>
      </w:r>
      <w:r>
        <w:rPr>
          <w:snapToGrid w:val="0"/>
        </w:rPr>
        <w:tab/>
        <w:t>Recovering moneys payable to Commission for bingo</w:t>
      </w:r>
      <w:bookmarkEnd w:id="164"/>
    </w:p>
    <w:p>
      <w:pPr>
        <w:pStyle w:val="Subsection"/>
        <w:rPr>
          <w:snapToGrid w:val="0"/>
        </w:rPr>
      </w:pPr>
      <w:r>
        <w:rPr>
          <w:snapToGrid w:val="0"/>
        </w:rPr>
        <w:tab/>
      </w:r>
      <w:r>
        <w:rPr>
          <w:snapToGrid w:val="0"/>
        </w:rPr>
        <w:tab/>
        <w:t xml:space="preserve">Where any moneys are payable to the Commission in relation to a permit authorising the playing of a game of bingo, those </w:t>
      </w:r>
      <w:r>
        <w:rPr>
          <w:snapToGrid w:val="0"/>
        </w:rPr>
        <w:lastRenderedPageBreak/>
        <w:t>moneys shall be recoverable jointly and severally from all or any of the following persons —</w:t>
      </w:r>
    </w:p>
    <w:p>
      <w:pPr>
        <w:pStyle w:val="Indenta"/>
        <w:rPr>
          <w:snapToGrid w:val="0"/>
        </w:rPr>
      </w:pPr>
      <w:r>
        <w:rPr>
          <w:snapToGrid w:val="0"/>
        </w:rPr>
        <w:tab/>
        <w:t>(a)</w:t>
      </w:r>
      <w:r>
        <w:rPr>
          <w:snapToGrid w:val="0"/>
        </w:rPr>
        <w:tab/>
        <w:t>the permit holder; and</w:t>
      </w:r>
    </w:p>
    <w:p>
      <w:pPr>
        <w:pStyle w:val="Indenta"/>
        <w:rPr>
          <w:snapToGrid w:val="0"/>
        </w:rPr>
      </w:pPr>
      <w:r>
        <w:rPr>
          <w:snapToGrid w:val="0"/>
        </w:rPr>
        <w:tab/>
        <w:t>(b)</w:t>
      </w:r>
      <w:r>
        <w:rPr>
          <w:snapToGrid w:val="0"/>
        </w:rPr>
        <w:tab/>
        <w:t>the promoter, and any person who took money as payment by players for cards or paid prizes to players; and</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165" w:name="_Toc131666799"/>
      <w:r>
        <w:rPr>
          <w:rStyle w:val="CharSectno"/>
        </w:rPr>
        <w:t>100</w:t>
      </w:r>
      <w:r>
        <w:rPr>
          <w:snapToGrid w:val="0"/>
        </w:rPr>
        <w:t>.</w:t>
      </w:r>
      <w:r>
        <w:rPr>
          <w:snapToGrid w:val="0"/>
        </w:rPr>
        <w:tab/>
        <w:t>Regulations as to bingo</w:t>
      </w:r>
      <w:bookmarkEnd w:id="165"/>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w:t>
      </w:r>
    </w:p>
    <w:p>
      <w:pPr>
        <w:pStyle w:val="Indenta"/>
        <w:rPr>
          <w:snapToGrid w:val="0"/>
        </w:rPr>
      </w:pPr>
      <w:r>
        <w:rPr>
          <w:snapToGrid w:val="0"/>
        </w:rPr>
        <w:tab/>
        <w:t>(a)</w:t>
      </w:r>
      <w:r>
        <w:rPr>
          <w:snapToGrid w:val="0"/>
        </w:rPr>
        <w:tab/>
        <w:t>the number of games that may be played on any premises in any period of 24 hours; and</w:t>
      </w:r>
    </w:p>
    <w:p>
      <w:pPr>
        <w:pStyle w:val="Indenta"/>
        <w:rPr>
          <w:snapToGrid w:val="0"/>
        </w:rPr>
      </w:pPr>
      <w:r>
        <w:rPr>
          <w:snapToGrid w:val="0"/>
        </w:rPr>
        <w:tab/>
        <w:t>(b)</w:t>
      </w:r>
      <w:r>
        <w:rPr>
          <w:snapToGrid w:val="0"/>
        </w:rPr>
        <w:tab/>
        <w:t>the period for the playing of a game; and</w:t>
      </w:r>
    </w:p>
    <w:p>
      <w:pPr>
        <w:pStyle w:val="Indenta"/>
        <w:rPr>
          <w:snapToGrid w:val="0"/>
        </w:rPr>
      </w:pPr>
      <w:r>
        <w:rPr>
          <w:snapToGrid w:val="0"/>
        </w:rPr>
        <w:tab/>
        <w:t>(c)</w:t>
      </w:r>
      <w:r>
        <w:rPr>
          <w:snapToGrid w:val="0"/>
        </w:rPr>
        <w:tab/>
        <w:t>the hours during which gaming is permitted to take place; and</w:t>
      </w:r>
    </w:p>
    <w:p>
      <w:pPr>
        <w:pStyle w:val="Indenta"/>
        <w:rPr>
          <w:snapToGrid w:val="0"/>
        </w:rPr>
      </w:pPr>
      <w:r>
        <w:rPr>
          <w:snapToGrid w:val="0"/>
        </w:rPr>
        <w:tab/>
        <w:t>(d)</w:t>
      </w:r>
      <w:r>
        <w:rPr>
          <w:snapToGrid w:val="0"/>
        </w:rPr>
        <w:tab/>
        <w:t>the amount of the stakes; and</w:t>
      </w:r>
    </w:p>
    <w:p>
      <w:pPr>
        <w:pStyle w:val="Indenta"/>
        <w:rPr>
          <w:snapToGrid w:val="0"/>
        </w:rPr>
      </w:pPr>
      <w:r>
        <w:rPr>
          <w:snapToGrid w:val="0"/>
        </w:rPr>
        <w:tab/>
        <w:t>(e)</w:t>
      </w:r>
      <w:r>
        <w:rPr>
          <w:snapToGrid w:val="0"/>
        </w:rPr>
        <w:tab/>
        <w:t>the method of calculating the value or amount of the prizes; and</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 and</w:t>
      </w:r>
    </w:p>
    <w:p>
      <w:pPr>
        <w:pStyle w:val="Indenta"/>
        <w:rPr>
          <w:snapToGrid w:val="0"/>
        </w:rPr>
      </w:pPr>
      <w:r>
        <w:rPr>
          <w:snapToGrid w:val="0"/>
        </w:rPr>
        <w:tab/>
        <w:t>(g)</w:t>
      </w:r>
      <w:r>
        <w:rPr>
          <w:snapToGrid w:val="0"/>
        </w:rPr>
        <w:tab/>
        <w:t xml:space="preserve">requiring the display, in such manner and in such positions on the premises as may be prescribed, of the rules in accordance with which any game is to be played </w:t>
      </w:r>
      <w:r>
        <w:rPr>
          <w:snapToGrid w:val="0"/>
        </w:rPr>
        <w:lastRenderedPageBreak/>
        <w:t>on the premises, either generally or in any particular circumstances; and</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 and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 and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 and</w:t>
      </w:r>
    </w:p>
    <w:p>
      <w:pPr>
        <w:pStyle w:val="Indenta"/>
        <w:rPr>
          <w:snapToGrid w:val="0"/>
        </w:rPr>
      </w:pPr>
      <w:r>
        <w:rPr>
          <w:snapToGrid w:val="0"/>
        </w:rPr>
        <w:tab/>
        <w:t>(l)</w:t>
      </w:r>
      <w:r>
        <w:rPr>
          <w:snapToGrid w:val="0"/>
        </w:rPr>
        <w:tab/>
        <w:t>authorising the Commission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 and</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 and</w:t>
      </w:r>
    </w:p>
    <w:p>
      <w:pPr>
        <w:pStyle w:val="Indenta"/>
        <w:rPr>
          <w:snapToGrid w:val="0"/>
        </w:rPr>
      </w:pPr>
      <w:r>
        <w:rPr>
          <w:snapToGrid w:val="0"/>
        </w:rPr>
        <w:tab/>
        <w:t>(n)</w:t>
      </w:r>
      <w:r>
        <w:rPr>
          <w:snapToGrid w:val="0"/>
        </w:rPr>
        <w:tab/>
        <w:t>the printing, sale, use and call back of cards; and</w:t>
      </w:r>
    </w:p>
    <w:p>
      <w:pPr>
        <w:pStyle w:val="Indenta"/>
        <w:keepNext/>
        <w:rPr>
          <w:snapToGrid w:val="0"/>
        </w:rPr>
      </w:pPr>
      <w:r>
        <w:rPr>
          <w:snapToGrid w:val="0"/>
        </w:rPr>
        <w:tab/>
        <w:t>(na)</w:t>
      </w:r>
      <w:r>
        <w:rPr>
          <w:snapToGrid w:val="0"/>
        </w:rPr>
        <w:tab/>
        <w:t>the persons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No. 24 of 1998 s. 60.]</w:t>
      </w:r>
    </w:p>
    <w:p>
      <w:pPr>
        <w:pStyle w:val="Heading3"/>
      </w:pPr>
      <w:bookmarkStart w:id="166" w:name="_Toc115166651"/>
      <w:bookmarkStart w:id="167" w:name="_Toc115166808"/>
      <w:bookmarkStart w:id="168" w:name="_Toc115267882"/>
      <w:bookmarkStart w:id="169" w:name="_Toc131666800"/>
      <w:r>
        <w:rPr>
          <w:rStyle w:val="CharDivNo"/>
        </w:rPr>
        <w:t>Division 7</w:t>
      </w:r>
      <w:r>
        <w:rPr>
          <w:snapToGrid w:val="0"/>
        </w:rPr>
        <w:t> — </w:t>
      </w:r>
      <w:r>
        <w:rPr>
          <w:rStyle w:val="CharDivText"/>
        </w:rPr>
        <w:t>Lotteries, and amusements with prizes etc.</w:t>
      </w:r>
      <w:bookmarkEnd w:id="166"/>
      <w:bookmarkEnd w:id="167"/>
      <w:bookmarkEnd w:id="168"/>
      <w:bookmarkEnd w:id="169"/>
    </w:p>
    <w:p>
      <w:pPr>
        <w:pStyle w:val="Heading5"/>
        <w:rPr>
          <w:snapToGrid w:val="0"/>
        </w:rPr>
      </w:pPr>
      <w:bookmarkStart w:id="170" w:name="_Toc131666801"/>
      <w:r>
        <w:rPr>
          <w:rStyle w:val="CharSectno"/>
        </w:rPr>
        <w:t>101</w:t>
      </w:r>
      <w:r>
        <w:rPr>
          <w:snapToGrid w:val="0"/>
        </w:rPr>
        <w:t>.</w:t>
      </w:r>
      <w:r>
        <w:rPr>
          <w:snapToGrid w:val="0"/>
        </w:rPr>
        <w:tab/>
        <w:t>Terms used</w:t>
      </w:r>
      <w:bookmarkEnd w:id="170"/>
    </w:p>
    <w:p>
      <w:pPr>
        <w:pStyle w:val="Subsection"/>
        <w:rPr>
          <w:snapToGrid w:val="0"/>
        </w:rPr>
      </w:pPr>
      <w:r>
        <w:rPr>
          <w:snapToGrid w:val="0"/>
        </w:rPr>
        <w:tab/>
        <w:t>(1)</w:t>
      </w:r>
      <w:r>
        <w:rPr>
          <w:snapToGrid w:val="0"/>
        </w:rPr>
        <w:tab/>
        <w:t>In this Division —</w:t>
      </w:r>
    </w:p>
    <w:p>
      <w:pPr>
        <w:pStyle w:val="Defstart"/>
        <w:spacing w:before="100"/>
      </w:pPr>
      <w:r>
        <w:rPr>
          <w:b/>
        </w:rPr>
        <w:tab/>
      </w:r>
      <w:r>
        <w:rPr>
          <w:rStyle w:val="CharDefText"/>
        </w:rPr>
        <w:t>batch</w:t>
      </w:r>
      <w:r>
        <w:t>, in relation to tickets in a continuing lottery, means a number of tickets that have the same series number and are distinguishable from the tickets in any other batch;</w:t>
      </w:r>
    </w:p>
    <w:p>
      <w:pPr>
        <w:pStyle w:val="Defstart"/>
        <w:spacing w:before="100"/>
      </w:pPr>
      <w:r>
        <w:rPr>
          <w:b/>
        </w:rPr>
        <w:tab/>
      </w:r>
      <w:r>
        <w:rPr>
          <w:rStyle w:val="CharDefText"/>
        </w:rPr>
        <w:t>closing date</w:t>
      </w:r>
      <w:r>
        <w:t>, in relation to a standard lottery, means the last date on which tickets may be sold or subscriptions received from entrants to the standard lottery;</w:t>
      </w:r>
    </w:p>
    <w:p>
      <w:pPr>
        <w:pStyle w:val="Defstart"/>
        <w:spacing w:before="100"/>
      </w:pPr>
      <w:r>
        <w:rPr>
          <w:b/>
        </w:rPr>
        <w:tab/>
      </w:r>
      <w:r>
        <w:rPr>
          <w:rStyle w:val="CharDefText"/>
        </w:rPr>
        <w:t>conducting</w:t>
      </w:r>
      <w:r>
        <w:t>, in relation to an unlawful lottery, includes any matter referred to in section 106(2);</w:t>
      </w:r>
    </w:p>
    <w:p>
      <w:pPr>
        <w:pStyle w:val="Defstart"/>
        <w:spacing w:before="100"/>
      </w:pPr>
      <w:r>
        <w:rPr>
          <w:b/>
        </w:rPr>
        <w:tab/>
      </w:r>
      <w:r>
        <w:rPr>
          <w:rStyle w:val="CharDefText"/>
        </w:rPr>
        <w:t>continuing lottery</w:t>
      </w:r>
      <w:r>
        <w:t xml:space="preserve"> means a continuing lottery within the meaning of subsection (2);</w:t>
      </w:r>
    </w:p>
    <w:p>
      <w:pPr>
        <w:pStyle w:val="Defstart"/>
        <w:spacing w:before="100"/>
      </w:pPr>
      <w:r>
        <w:rPr>
          <w:b/>
        </w:rPr>
        <w:tab/>
      </w:r>
      <w:r>
        <w:rPr>
          <w:rStyle w:val="CharDefText"/>
        </w:rPr>
        <w:t>date of drawing</w:t>
      </w:r>
      <w:r>
        <w:t>, in relation to a standard lottery, means the date fixed for the drawing of, or deciding the result of the standard lottery;</w:t>
      </w:r>
    </w:p>
    <w:p>
      <w:pPr>
        <w:pStyle w:val="Defstart"/>
        <w:spacing w:before="100"/>
      </w:pPr>
      <w:r>
        <w:rPr>
          <w:b/>
        </w:rPr>
        <w:tab/>
      </w:r>
      <w:r>
        <w:rPr>
          <w:rStyle w:val="CharDefText"/>
        </w:rPr>
        <w:t>drawing</w:t>
      </w:r>
      <w:r>
        <w:t>, in relation to a standard lottery, means the determination of the event or events which, according to the conditions of the standard lottery, decide the result;</w:t>
      </w:r>
    </w:p>
    <w:p>
      <w:pPr>
        <w:pStyle w:val="Defstart"/>
        <w:spacing w:before="100"/>
      </w:pPr>
      <w:r>
        <w:rPr>
          <w:b/>
        </w:rPr>
        <w:tab/>
      </w:r>
      <w:r>
        <w:rPr>
          <w:rStyle w:val="CharDefText"/>
        </w:rPr>
        <w:t>face value</w:t>
      </w:r>
      <w:r>
        <w:t>, in relation to a ticket intended to be sold in a continuing lottery, means the amount for which the ticket is intended to be sold to a person taking part in the lottery;</w:t>
      </w:r>
    </w:p>
    <w:p>
      <w:pPr>
        <w:pStyle w:val="Defstart"/>
        <w:spacing w:before="100"/>
      </w:pPr>
      <w:r>
        <w:rPr>
          <w:b/>
        </w:rPr>
        <w:tab/>
      </w:r>
      <w:r>
        <w:rPr>
          <w:rStyle w:val="CharDefText"/>
        </w:rPr>
        <w:t>foreign lottery</w:t>
      </w:r>
      <w:r>
        <w:t xml:space="preserve"> means a lottery which is conducted, drawn or decided wholly or partly outside Australia, notwithstanding that </w:t>
      </w:r>
      <w:r>
        <w:lastRenderedPageBreak/>
        <w:t>the same may be legal according to the law of the place where it is conducted, drawn, or decided;</w:t>
      </w:r>
    </w:p>
    <w:p>
      <w:pPr>
        <w:pStyle w:val="Defstart"/>
        <w:spacing w:before="100"/>
      </w:pPr>
      <w:r>
        <w:rPr>
          <w:b/>
        </w:rPr>
        <w:tab/>
      </w:r>
      <w:r>
        <w:rPr>
          <w:rStyle w:val="CharDefText"/>
        </w:rPr>
        <w:t>opening date</w:t>
      </w:r>
      <w:r>
        <w:t>, in relation to a standard lottery, means the first day on which tickets in the standard lottery may be sold or on which subscriptions in the standard lottery may be received;</w:t>
      </w:r>
    </w:p>
    <w:p>
      <w:pPr>
        <w:pStyle w:val="Defstart"/>
        <w:spacing w:before="100"/>
      </w:pPr>
      <w:r>
        <w:rPr>
          <w:b/>
        </w:rPr>
        <w:tab/>
      </w:r>
      <w:r>
        <w:rPr>
          <w:rStyle w:val="CharDefText"/>
        </w:rPr>
        <w:t>quarter</w:t>
      </w:r>
      <w:r>
        <w:t xml:space="preserve"> means a period of 3 months commencing on 1 July, 1 October, 1 January or 1 April;</w:t>
      </w:r>
    </w:p>
    <w:p>
      <w:pPr>
        <w:pStyle w:val="Defstart"/>
        <w:keepNext/>
      </w:pPr>
      <w:r>
        <w:rPr>
          <w:b/>
        </w:rPr>
        <w:tab/>
      </w:r>
      <w:r>
        <w:rPr>
          <w:rStyle w:val="CharDefText"/>
        </w:rPr>
        <w:t>standard lottery</w:t>
      </w:r>
      <w:r>
        <w:t xml:space="preserve"> means a lottery other than a continuing lottery;</w:t>
      </w:r>
    </w:p>
    <w:p>
      <w:pPr>
        <w:pStyle w:val="Defstart"/>
      </w:pPr>
      <w:r>
        <w:rPr>
          <w:b/>
        </w:rPr>
        <w:tab/>
      </w:r>
      <w:r>
        <w:rPr>
          <w:rStyle w:val="CharDefText"/>
        </w:rPr>
        <w:t>ticket</w:t>
      </w:r>
      <w:r>
        <w:t>, in relation to a continuing lottery, means a ticket that is intended for sale in a continuing lottery;</w:t>
      </w:r>
    </w:p>
    <w:p>
      <w:pPr>
        <w:pStyle w:val="Defstart"/>
      </w:pPr>
      <w:r>
        <w:rPr>
          <w:b/>
        </w:rPr>
        <w:tab/>
      </w:r>
      <w:r>
        <w:rPr>
          <w:rStyle w:val="CharDefText"/>
        </w:rPr>
        <w:t>ticket</w:t>
      </w:r>
      <w:r>
        <w:t>, in relation to a standard lottery, includes any document evidencing the claim of a person to participate in the chances of the lottery;</w:t>
      </w:r>
    </w:p>
    <w:p>
      <w:pPr>
        <w:pStyle w:val="Defstart"/>
      </w:pPr>
      <w:r>
        <w:rPr>
          <w:b/>
        </w:rPr>
        <w:tab/>
      </w:r>
      <w:r>
        <w:rPr>
          <w:rStyle w:val="CharDefText"/>
        </w:rPr>
        <w:t>unlawful lottery</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[Section 101 amended: No. 16 of 1990 s. 33; No. 6 of 2000 s. 12; No. 45 of 2002 s. 13; No. 41 of 2018 s. 22.]</w:t>
      </w:r>
    </w:p>
    <w:p>
      <w:pPr>
        <w:pStyle w:val="Heading5"/>
        <w:rPr>
          <w:snapToGrid w:val="0"/>
        </w:rPr>
      </w:pPr>
      <w:bookmarkStart w:id="171" w:name="_Toc131666802"/>
      <w:r>
        <w:rPr>
          <w:rStyle w:val="CharSectno"/>
        </w:rPr>
        <w:lastRenderedPageBreak/>
        <w:t>102</w:t>
      </w:r>
      <w:r>
        <w:rPr>
          <w:snapToGrid w:val="0"/>
        </w:rPr>
        <w:t>.</w:t>
      </w:r>
      <w:r>
        <w:rPr>
          <w:snapToGrid w:val="0"/>
        </w:rPr>
        <w:tab/>
        <w:t>Certain lotteries unlawful</w:t>
      </w:r>
      <w:bookmarkEnd w:id="171"/>
    </w:p>
    <w:p>
      <w:pPr>
        <w:pStyle w:val="Subsection"/>
        <w:keepNext/>
        <w:keepLines/>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[Section 102 amended: No. 16 of 1990 s. 33; No. 24 of 1998 s. 61(1); No. 26 of 1998 s. 23; No. 6 of 2000 s. 13; No. 35 of 2003 s. 157.]</w:t>
      </w:r>
    </w:p>
    <w:p>
      <w:pPr>
        <w:pStyle w:val="Heading5"/>
        <w:rPr>
          <w:snapToGrid w:val="0"/>
        </w:rPr>
      </w:pPr>
      <w:bookmarkStart w:id="172" w:name="_Toc131666803"/>
      <w:r>
        <w:rPr>
          <w:rStyle w:val="CharSectno"/>
        </w:rPr>
        <w:t>103</w:t>
      </w:r>
      <w:r>
        <w:rPr>
          <w:snapToGrid w:val="0"/>
        </w:rPr>
        <w:t>.</w:t>
      </w:r>
      <w:r>
        <w:rPr>
          <w:snapToGrid w:val="0"/>
        </w:rPr>
        <w:tab/>
        <w:t>Permitted lotteries (deemed)</w:t>
      </w:r>
      <w:bookmarkEnd w:id="172"/>
    </w:p>
    <w:p>
      <w:pPr>
        <w:pStyle w:val="Subsection"/>
        <w:rPr>
          <w:snapToGrid w:val="0"/>
        </w:rPr>
      </w:pPr>
      <w:r>
        <w:rPr>
          <w:snapToGrid w:val="0"/>
        </w:rPr>
        <w:tab/>
        <w:t>(1)</w:t>
      </w:r>
      <w:r>
        <w:rPr>
          <w:snapToGrid w:val="0"/>
        </w:rPr>
        <w:tab/>
        <w:t>A lottery in which —</w:t>
      </w:r>
    </w:p>
    <w:p>
      <w:pPr>
        <w:pStyle w:val="Indenta"/>
        <w:rPr>
          <w:snapToGrid w:val="0"/>
        </w:rPr>
      </w:pPr>
      <w:r>
        <w:rPr>
          <w:snapToGrid w:val="0"/>
        </w:rPr>
        <w:tab/>
        <w:t>(a)</w:t>
      </w:r>
      <w:r>
        <w:rPr>
          <w:snapToGrid w:val="0"/>
        </w:rPr>
        <w:tab/>
        <w:t>tickets or chances are sold to or subscriptions received from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 and</w:t>
      </w:r>
    </w:p>
    <w:p>
      <w:pPr>
        <w:pStyle w:val="Indenta"/>
        <w:rPr>
          <w:snapToGrid w:val="0"/>
        </w:rPr>
      </w:pPr>
      <w:r>
        <w:rPr>
          <w:snapToGrid w:val="0"/>
        </w:rPr>
        <w:tab/>
        <w:t>(b)</w:t>
      </w:r>
      <w:r>
        <w:rPr>
          <w:snapToGrid w:val="0"/>
        </w:rPr>
        <w:tab/>
        <w:t>the price of every ticket, chance or subscription is the same; and</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 and</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keepNext/>
        <w:rPr>
          <w:snapToGrid w:val="0"/>
        </w:rPr>
      </w:pPr>
      <w:r>
        <w:rPr>
          <w:snapToGrid w:val="0"/>
        </w:rPr>
        <w:lastRenderedPageBreak/>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w:t>
      </w:r>
    </w:p>
    <w:p>
      <w:pPr>
        <w:pStyle w:val="Indenta"/>
        <w:rPr>
          <w:snapToGrid w:val="0"/>
        </w:rPr>
      </w:pPr>
      <w:r>
        <w:rPr>
          <w:snapToGrid w:val="0"/>
        </w:rPr>
        <w:tab/>
        <w:t>(a)</w:t>
      </w:r>
      <w:r>
        <w:rPr>
          <w:snapToGrid w:val="0"/>
        </w:rPr>
        <w:tab/>
        <w:t>the tickets are alphabetically and numerically distinct but the same price; and</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keepNext/>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 and</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No. 35 of 2003 s. 158.]</w:t>
      </w:r>
    </w:p>
    <w:p>
      <w:pPr>
        <w:pStyle w:val="Heading5"/>
        <w:rPr>
          <w:snapToGrid w:val="0"/>
        </w:rPr>
      </w:pPr>
      <w:bookmarkStart w:id="173" w:name="_Toc131666804"/>
      <w:r>
        <w:rPr>
          <w:rStyle w:val="CharSectno"/>
        </w:rPr>
        <w:lastRenderedPageBreak/>
        <w:t>104</w:t>
      </w:r>
      <w:r>
        <w:rPr>
          <w:snapToGrid w:val="0"/>
        </w:rPr>
        <w:t>.</w:t>
      </w:r>
      <w:r>
        <w:rPr>
          <w:snapToGrid w:val="0"/>
        </w:rPr>
        <w:tab/>
        <w:t>Permits for lotteries; duties of holders of permit for standard lottery</w:t>
      </w:r>
      <w:bookmarkEnd w:id="173"/>
    </w:p>
    <w:p>
      <w:pPr>
        <w:pStyle w:val="Subsection"/>
        <w:keepNext/>
        <w:keepLines/>
        <w:rPr>
          <w:snapToGrid w:val="0"/>
        </w:rPr>
      </w:pPr>
      <w:r>
        <w:rPr>
          <w:snapToGrid w:val="0"/>
        </w:rPr>
        <w:tab/>
        <w:t>(1)</w:t>
      </w:r>
      <w:r>
        <w:rPr>
          <w:snapToGrid w:val="0"/>
        </w:rPr>
        <w:tab/>
        <w:t>A permit authorising the conduct of a lottery may be issued —</w:t>
      </w:r>
    </w:p>
    <w:p>
      <w:pPr>
        <w:pStyle w:val="Indenta"/>
        <w:keepNext/>
        <w:keepLines/>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rPr>
          <w:snapToGrid w:val="0"/>
        </w:rPr>
      </w:pPr>
      <w:r>
        <w:rPr>
          <w:snapToGrid w:val="0"/>
        </w:rPr>
        <w:tab/>
        <w:t>(1c)</w:t>
      </w:r>
      <w:r>
        <w:rPr>
          <w:snapToGrid w:val="0"/>
        </w:rPr>
        <w:tab/>
        <w:t>A permit for a standard lottery of the kind generally known or described as a calcutta shall be issued only to a race club or an approved club.</w:t>
      </w:r>
    </w:p>
    <w:p>
      <w:pPr>
        <w:pStyle w:val="Subsection"/>
        <w:rPr>
          <w:snapToGrid w:val="0"/>
        </w:rPr>
      </w:pPr>
      <w:r>
        <w:rPr>
          <w:snapToGrid w:val="0"/>
        </w:rPr>
        <w:tab/>
        <w:t>(2)</w:t>
      </w:r>
      <w:r>
        <w:rPr>
          <w:snapToGrid w:val="0"/>
        </w:rPr>
        <w:tab/>
        <w:t>A person applying for a permit authorising a standard lottery shall furnish to the Commission evidence satisfactory to the Commission as to —</w:t>
      </w:r>
    </w:p>
    <w:p>
      <w:pPr>
        <w:pStyle w:val="Indenta"/>
        <w:rPr>
          <w:snapToGrid w:val="0"/>
        </w:rPr>
      </w:pPr>
      <w:r>
        <w:rPr>
          <w:snapToGrid w:val="0"/>
        </w:rPr>
        <w:tab/>
        <w:t>(a)</w:t>
      </w:r>
      <w:r>
        <w:rPr>
          <w:snapToGrid w:val="0"/>
        </w:rPr>
        <w:tab/>
        <w:t>the proposed opening date and closing date and date of drawing; and</w:t>
      </w:r>
    </w:p>
    <w:p>
      <w:pPr>
        <w:pStyle w:val="Indenta"/>
        <w:rPr>
          <w:snapToGrid w:val="0"/>
        </w:rPr>
      </w:pPr>
      <w:r>
        <w:rPr>
          <w:snapToGrid w:val="0"/>
        </w:rPr>
        <w:tab/>
        <w:t>(b)</w:t>
      </w:r>
      <w:r>
        <w:rPr>
          <w:snapToGrid w:val="0"/>
        </w:rPr>
        <w:tab/>
        <w:t>the locality in which tickets or chances are to be offered for sale or in which subscriptions may be received; and</w:t>
      </w:r>
    </w:p>
    <w:p>
      <w:pPr>
        <w:pStyle w:val="Indenta"/>
        <w:rPr>
          <w:snapToGrid w:val="0"/>
        </w:rPr>
      </w:pPr>
      <w:r>
        <w:rPr>
          <w:snapToGrid w:val="0"/>
        </w:rPr>
        <w:tab/>
        <w:t>(c)</w:t>
      </w:r>
      <w:r>
        <w:rPr>
          <w:snapToGrid w:val="0"/>
        </w:rPr>
        <w:tab/>
        <w:t>the purpose for which the standard lottery is to be conducted; and</w:t>
      </w:r>
    </w:p>
    <w:p>
      <w:pPr>
        <w:pStyle w:val="Indenta"/>
        <w:rPr>
          <w:snapToGrid w:val="0"/>
        </w:rPr>
      </w:pPr>
      <w:r>
        <w:rPr>
          <w:snapToGrid w:val="0"/>
        </w:rPr>
        <w:tab/>
        <w:t>(d)</w:t>
      </w:r>
      <w:r>
        <w:rPr>
          <w:snapToGrid w:val="0"/>
        </w:rPr>
        <w:tab/>
        <w:t>the total number of tickets or chances to be offered for sale, or the total number of subscriptions proposed to be called for; and</w:t>
      </w:r>
    </w:p>
    <w:p>
      <w:pPr>
        <w:pStyle w:val="Indenta"/>
        <w:rPr>
          <w:snapToGrid w:val="0"/>
        </w:rPr>
      </w:pPr>
      <w:r>
        <w:rPr>
          <w:snapToGrid w:val="0"/>
        </w:rPr>
        <w:tab/>
        <w:t>(e)</w:t>
      </w:r>
      <w:r>
        <w:rPr>
          <w:snapToGrid w:val="0"/>
        </w:rPr>
        <w:tab/>
        <w:t>the price of each ticket, chance or subscription; and</w:t>
      </w:r>
    </w:p>
    <w:p>
      <w:pPr>
        <w:pStyle w:val="Indenta"/>
        <w:rPr>
          <w:snapToGrid w:val="0"/>
        </w:rPr>
      </w:pPr>
      <w:r>
        <w:rPr>
          <w:snapToGrid w:val="0"/>
        </w:rPr>
        <w:lastRenderedPageBreak/>
        <w:tab/>
        <w:t>(f)</w:t>
      </w:r>
      <w:r>
        <w:rPr>
          <w:snapToGrid w:val="0"/>
        </w:rPr>
        <w:tab/>
        <w:t>the total amount of the prize money or other prizes proposed to be distributed or offered in the standard lottery; and</w:t>
      </w:r>
    </w:p>
    <w:p>
      <w:pPr>
        <w:pStyle w:val="Indenta"/>
        <w:rPr>
          <w:snapToGrid w:val="0"/>
        </w:rPr>
      </w:pPr>
      <w:r>
        <w:rPr>
          <w:snapToGrid w:val="0"/>
        </w:rPr>
        <w:tab/>
        <w:t>(g)</w:t>
      </w:r>
      <w:r>
        <w:rPr>
          <w:snapToGrid w:val="0"/>
        </w:rPr>
        <w:tab/>
        <w:t>such other matters as may be prescribed or as are required by the Commission.</w:t>
      </w:r>
    </w:p>
    <w:p>
      <w:pPr>
        <w:pStyle w:val="Subsection"/>
        <w:keepNext/>
        <w:rPr>
          <w:snapToGrid w:val="0"/>
        </w:rPr>
      </w:pPr>
      <w:r>
        <w:rPr>
          <w:snapToGrid w:val="0"/>
        </w:rPr>
        <w:tab/>
        <w:t>(3)</w:t>
      </w:r>
      <w:r>
        <w:rPr>
          <w:snapToGrid w:val="0"/>
        </w:rPr>
        <w:tab/>
        <w:t>With respect to a standard lottery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 and</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 and</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 and</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 and</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 and</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 and</w:t>
      </w:r>
    </w:p>
    <w:p>
      <w:pPr>
        <w:pStyle w:val="Indenta"/>
        <w:rPr>
          <w:snapToGrid w:val="0"/>
        </w:rPr>
      </w:pPr>
      <w:r>
        <w:rPr>
          <w:snapToGrid w:val="0"/>
        </w:rPr>
        <w:lastRenderedPageBreak/>
        <w:tab/>
        <w:t>(eb)</w:t>
      </w:r>
      <w:r>
        <w:rPr>
          <w:snapToGrid w:val="0"/>
        </w:rPr>
        <w:tab/>
        <w:t>subject to any postponement of the closing date under paragraph (e), the permit holder shall ensure that the drawing of a standard lottery takes place within the prescribed period after the closing date of the lottery; and</w:t>
      </w:r>
    </w:p>
    <w:p>
      <w:pPr>
        <w:pStyle w:val="Indenta"/>
        <w:rPr>
          <w:snapToGrid w:val="0"/>
        </w:rPr>
      </w:pPr>
      <w:r>
        <w:rPr>
          <w:snapToGrid w:val="0"/>
        </w:rPr>
        <w:tab/>
        <w:t>(f)</w:t>
      </w:r>
      <w:r>
        <w:rPr>
          <w:snapToGrid w:val="0"/>
        </w:rPr>
        <w:tab/>
        <w:t>unless paragraph (e) applies, the closing date shall be not more than 3 months from the opening date; and</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 and</w:t>
      </w:r>
    </w:p>
    <w:p>
      <w:pPr>
        <w:pStyle w:val="Indenta"/>
        <w:rPr>
          <w:snapToGrid w:val="0"/>
        </w:rPr>
      </w:pPr>
      <w:r>
        <w:rPr>
          <w:snapToGrid w:val="0"/>
        </w:rPr>
        <w:tab/>
        <w:t>(h)</w:t>
      </w:r>
      <w:r>
        <w:rPr>
          <w:snapToGrid w:val="0"/>
        </w:rPr>
        <w:tab/>
        <w:t>the price of every ticket, chance or subscription shall be the same, and shall be stated on the ticket; and</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r>
      <w:r>
        <w:t>Penalty for this subsection: a fine of</w:t>
      </w:r>
      <w:r>
        <w:rPr>
          <w:snapToGrid w:val="0"/>
        </w:rPr>
        <w:t xml:space="preserve">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r>
      <w:r>
        <w:t>Penalty for this subsection: a fine of</w:t>
      </w:r>
      <w:r>
        <w:rPr>
          <w:snapToGrid w:val="0"/>
        </w:rPr>
        <w:t xml:space="preserve"> $1 000.</w:t>
      </w:r>
    </w:p>
    <w:p>
      <w:pPr>
        <w:pStyle w:val="Footnotesection"/>
      </w:pPr>
      <w:r>
        <w:tab/>
        <w:t>[Section 104 amended: No. 24 of 1998 s. 62; No. 6 of 2000 s. 14; No. 41 of 2018 s. 25(1).]</w:t>
      </w:r>
    </w:p>
    <w:p>
      <w:pPr>
        <w:pStyle w:val="Heading5"/>
      </w:pPr>
      <w:bookmarkStart w:id="174" w:name="_Toc131666805"/>
      <w:r>
        <w:rPr>
          <w:rStyle w:val="CharSectno"/>
        </w:rPr>
        <w:lastRenderedPageBreak/>
        <w:t>104A</w:t>
      </w:r>
      <w:r>
        <w:t>.</w:t>
      </w:r>
      <w:r>
        <w:tab/>
        <w:t>Commission not liable for unpaid lottery prizes</w:t>
      </w:r>
      <w:bookmarkEnd w:id="174"/>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No. 24 of 1998 s. 63.]</w:t>
      </w:r>
    </w:p>
    <w:p>
      <w:pPr>
        <w:pStyle w:val="Heading5"/>
      </w:pPr>
      <w:bookmarkStart w:id="175" w:name="_Toc131666806"/>
      <w:r>
        <w:rPr>
          <w:rStyle w:val="CharSectno"/>
        </w:rPr>
        <w:t>104B</w:t>
      </w:r>
      <w:r>
        <w:t>.</w:t>
      </w:r>
      <w:r>
        <w:tab/>
        <w:t>Licensing of suppliers of lottery tickets</w:t>
      </w:r>
      <w:bookmarkEnd w:id="175"/>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spacing w:before="60"/>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 or</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lastRenderedPageBreak/>
        <w:tab/>
        <w:t>(4)</w:t>
      </w:r>
      <w:r>
        <w:tab/>
        <w:t>For the purposes of subsection (3), a person has an interest in a body corporate if the person —</w:t>
      </w:r>
    </w:p>
    <w:p>
      <w:pPr>
        <w:pStyle w:val="Indenta"/>
      </w:pPr>
      <w:r>
        <w:tab/>
        <w:t>(a)</w:t>
      </w:r>
      <w:r>
        <w:tab/>
        <w:t>holds office as a director of the body corporate; or</w:t>
      </w:r>
    </w:p>
    <w:p>
      <w:pPr>
        <w:pStyle w:val="Indenta"/>
      </w:pPr>
      <w:r>
        <w:tab/>
        <w:t>(b)</w:t>
      </w:r>
      <w:r>
        <w:tab/>
        <w:t>holds any share, or has a beneficial interest in any share, in that body corporate; or</w:t>
      </w:r>
    </w:p>
    <w:p>
      <w:pPr>
        <w:pStyle w:val="Indenta"/>
      </w:pPr>
      <w:r>
        <w:tab/>
        <w:t>(c)</w:t>
      </w:r>
      <w:r>
        <w:tab/>
        <w:t>holds any unit in a unit trust scheme of which the body corporate is the trustee; or</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No. 6 of 2000 s. 15; amended: No. 12 of 2008 Sch. 1 cl. 9.]</w:t>
      </w:r>
    </w:p>
    <w:p>
      <w:pPr>
        <w:pStyle w:val="Heading5"/>
      </w:pPr>
      <w:bookmarkStart w:id="176" w:name="_Toc131666807"/>
      <w:r>
        <w:rPr>
          <w:rStyle w:val="CharSectno"/>
        </w:rPr>
        <w:t>104C</w:t>
      </w:r>
      <w:r>
        <w:t>.</w:t>
      </w:r>
      <w:r>
        <w:tab/>
        <w:t>Licences of licensed suppliers, cancelling etc.</w:t>
      </w:r>
      <w:bookmarkEnd w:id="176"/>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 or</w:t>
      </w:r>
    </w:p>
    <w:p>
      <w:pPr>
        <w:pStyle w:val="Indenta"/>
      </w:pPr>
      <w:r>
        <w:tab/>
        <w:t>(b)</w:t>
      </w:r>
      <w:r>
        <w:tab/>
        <w:t>a licensed supplier ceases to carry on the business by reason of which the licensed supplier was required to be licensed; or</w:t>
      </w:r>
    </w:p>
    <w:p>
      <w:pPr>
        <w:pStyle w:val="Indenta"/>
      </w:pPr>
      <w:r>
        <w:lastRenderedPageBreak/>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spacing w:before="100"/>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spacing w:before="100"/>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keepNext/>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for this subsection: a fine of $5 000.</w:t>
      </w:r>
    </w:p>
    <w:p>
      <w:pPr>
        <w:pStyle w:val="Footnotesection"/>
      </w:pPr>
      <w:r>
        <w:lastRenderedPageBreak/>
        <w:tab/>
        <w:t>[Section 104C inserted: No. 6 of 2000 s. 15; amended: No. 41 of 2018 s. 25(1).]</w:t>
      </w:r>
    </w:p>
    <w:p>
      <w:pPr>
        <w:pStyle w:val="Heading5"/>
      </w:pPr>
      <w:bookmarkStart w:id="177" w:name="_Toc131666808"/>
      <w:r>
        <w:rPr>
          <w:rStyle w:val="CharSectno"/>
        </w:rPr>
        <w:t>104D</w:t>
      </w:r>
      <w:r>
        <w:t>.</w:t>
      </w:r>
      <w:r>
        <w:tab/>
        <w:t>Refusal or cancellation of supplier’s licence, Commission to report to Minister; appeals to Minister</w:t>
      </w:r>
      <w:bookmarkEnd w:id="177"/>
    </w:p>
    <w:p>
      <w:pPr>
        <w:pStyle w:val="Subsection"/>
        <w:keepNext/>
        <w:outlineLvl w:val="0"/>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keepNext/>
        <w:keepLines/>
        <w:outlineLvl w:val="0"/>
      </w:pPr>
      <w:r>
        <w:tab/>
        <w:t>(2)</w:t>
      </w:r>
      <w:r>
        <w:tab/>
        <w:t>A person aggrieved by a determination of the Commission may submit an appeal to the Minister in accordance with section 62.</w:t>
      </w:r>
    </w:p>
    <w:p>
      <w:pPr>
        <w:pStyle w:val="Footnotesection"/>
        <w:ind w:left="890" w:hanging="890"/>
      </w:pPr>
      <w:r>
        <w:tab/>
        <w:t>[Section 104D inserted: No. 6 of 2000 s. 15.]</w:t>
      </w:r>
    </w:p>
    <w:p>
      <w:pPr>
        <w:pStyle w:val="Heading5"/>
      </w:pPr>
      <w:bookmarkStart w:id="178" w:name="_Toc131666809"/>
      <w:r>
        <w:rPr>
          <w:rStyle w:val="CharSectno"/>
        </w:rPr>
        <w:t>104E</w:t>
      </w:r>
      <w:r>
        <w:t>.</w:t>
      </w:r>
      <w:r>
        <w:tab/>
        <w:t>Suppliers to give Commission tickets if licence cancelled etc.</w:t>
      </w:r>
      <w:bookmarkEnd w:id="178"/>
    </w:p>
    <w:p>
      <w:pPr>
        <w:pStyle w:val="Subsection"/>
      </w:pPr>
      <w:r>
        <w:tab/>
        <w:t>(1)</w:t>
      </w:r>
      <w:r>
        <w:tab/>
        <w:t>Where —</w:t>
      </w:r>
    </w:p>
    <w:p>
      <w:pPr>
        <w:pStyle w:val="Indenta"/>
        <w:spacing w:before="60"/>
      </w:pPr>
      <w:r>
        <w:tab/>
        <w:t>(a)</w:t>
      </w:r>
      <w:r>
        <w:tab/>
        <w:t>under —</w:t>
      </w:r>
    </w:p>
    <w:p>
      <w:pPr>
        <w:pStyle w:val="Indenti"/>
        <w:spacing w:before="60"/>
      </w:pPr>
      <w:r>
        <w:tab/>
        <w:t>(i)</w:t>
      </w:r>
      <w:r>
        <w:tab/>
        <w:t>section 104C, the licence of a person is cancelled; or</w:t>
      </w:r>
    </w:p>
    <w:p>
      <w:pPr>
        <w:pStyle w:val="Indenti"/>
        <w:spacing w:before="60"/>
      </w:pPr>
      <w:r>
        <w:tab/>
        <w:t>(ii)</w:t>
      </w:r>
      <w:r>
        <w:tab/>
        <w:t>section 104B, a further licence for a person is refused;</w:t>
      </w:r>
    </w:p>
    <w:p>
      <w:pPr>
        <w:pStyle w:val="Indenta"/>
        <w:spacing w:before="60"/>
      </w:pPr>
      <w:r>
        <w:tab/>
      </w:r>
      <w:r>
        <w:tab/>
        <w:t>and</w:t>
      </w:r>
    </w:p>
    <w:p>
      <w:pPr>
        <w:pStyle w:val="Indenta"/>
        <w:spacing w:before="60"/>
      </w:pPr>
      <w:r>
        <w:tab/>
        <w:t>(b)</w:t>
      </w:r>
      <w:r>
        <w:tab/>
        <w:t>the person has not submitted an appeal against the cancellation or refusal; and</w:t>
      </w:r>
    </w:p>
    <w:p>
      <w:pPr>
        <w:pStyle w:val="Indenta"/>
        <w:spacing w:before="60"/>
      </w:pPr>
      <w:r>
        <w:tab/>
        <w:t>(c)</w:t>
      </w:r>
      <w:r>
        <w:tab/>
        <w:t>the time for submitting an appeal has passed,</w:t>
      </w:r>
    </w:p>
    <w:p>
      <w:pPr>
        <w:pStyle w:val="Subsection"/>
      </w:pPr>
      <w:r>
        <w:tab/>
      </w:r>
      <w:r>
        <w:tab/>
        <w:t xml:space="preserve">the person commits an offence against this Act if that person does not, within 30 days after the passing of the appeal time, deliver to the Commission all tickets that are in that person’s </w:t>
      </w:r>
      <w:r>
        <w:lastRenderedPageBreak/>
        <w:t>possession or dispose of those tickets in such other manner as the Commission approves in writing.</w:t>
      </w:r>
    </w:p>
    <w:p>
      <w:pPr>
        <w:pStyle w:val="Penstart"/>
        <w:spacing w:before="100"/>
      </w:pPr>
      <w:r>
        <w:tab/>
        <w:t>Penalty for this subsection: a fine of $5 000.</w:t>
      </w:r>
    </w:p>
    <w:p>
      <w:pPr>
        <w:pStyle w:val="Subsection"/>
        <w:spacing w:before="180"/>
      </w:pPr>
      <w:r>
        <w:tab/>
        <w:t>(2)</w:t>
      </w:r>
      <w:r>
        <w:tab/>
        <w:t>Where —</w:t>
      </w:r>
    </w:p>
    <w:p>
      <w:pPr>
        <w:pStyle w:val="Indenta"/>
        <w:spacing w:before="60"/>
      </w:pPr>
      <w:r>
        <w:tab/>
        <w:t>(a)</w:t>
      </w:r>
      <w:r>
        <w:tab/>
        <w:t>under —</w:t>
      </w:r>
    </w:p>
    <w:p>
      <w:pPr>
        <w:pStyle w:val="Indenti"/>
        <w:spacing w:before="60"/>
      </w:pPr>
      <w:r>
        <w:tab/>
        <w:t>(i)</w:t>
      </w:r>
      <w:r>
        <w:tab/>
        <w:t>section 104C, the licence of a person is cancelled; or</w:t>
      </w:r>
    </w:p>
    <w:p>
      <w:pPr>
        <w:pStyle w:val="Indenti"/>
        <w:spacing w:before="60"/>
      </w:pPr>
      <w:r>
        <w:tab/>
        <w:t>(ii)</w:t>
      </w:r>
      <w:r>
        <w:tab/>
        <w:t>section 104B, a further licence for a person is refused;</w:t>
      </w:r>
    </w:p>
    <w:p>
      <w:pPr>
        <w:pStyle w:val="Indenta"/>
        <w:spacing w:before="60"/>
      </w:pPr>
      <w:r>
        <w:tab/>
      </w:r>
      <w:r>
        <w:tab/>
        <w:t>and</w:t>
      </w:r>
    </w:p>
    <w:p>
      <w:pPr>
        <w:pStyle w:val="Indenta"/>
        <w:spacing w:before="60"/>
      </w:pPr>
      <w:r>
        <w:tab/>
        <w:t>(b)</w:t>
      </w:r>
      <w:r>
        <w:tab/>
        <w:t>the person has appealed against the cancellation or refusal; and</w:t>
      </w:r>
    </w:p>
    <w:p>
      <w:pPr>
        <w:pStyle w:val="Indenta"/>
      </w:pPr>
      <w:r>
        <w:tab/>
        <w:t>(c)</w:t>
      </w:r>
      <w:r>
        <w:tab/>
        <w:t>the appeal has been dealt with by the Minister; and</w:t>
      </w:r>
    </w:p>
    <w:p>
      <w:pPr>
        <w:pStyle w:val="Indenta"/>
        <w:keepLines/>
      </w:pPr>
      <w:r>
        <w:tab/>
        <w:t>(d)</w:t>
      </w:r>
      <w:r>
        <w:tab/>
        <w:t>the Minister has confirmed the cancellation of the licence or confirmed the refusal to issue a further licence,</w:t>
      </w:r>
    </w:p>
    <w:p>
      <w:pPr>
        <w:pStyle w:val="Subsection"/>
        <w:keepLines/>
        <w:spacing w:before="180"/>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keepLines/>
      </w:pPr>
      <w:r>
        <w:tab/>
        <w:t>Penalty for this subsection: a fine of $5 000.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for this subsection: a fine of $5 000.</w:t>
      </w:r>
    </w:p>
    <w:p>
      <w:pPr>
        <w:pStyle w:val="Footnotesection"/>
        <w:ind w:left="890" w:hanging="890"/>
      </w:pPr>
      <w:r>
        <w:tab/>
        <w:t>[Section 104E inserted: No. 6 of 2000 s. 15; amended: No. 41 of 2018 s. 25(1).]</w:t>
      </w:r>
    </w:p>
    <w:p>
      <w:pPr>
        <w:pStyle w:val="Heading5"/>
      </w:pPr>
      <w:bookmarkStart w:id="179" w:name="_Toc131666810"/>
      <w:r>
        <w:rPr>
          <w:rStyle w:val="CharSectno"/>
        </w:rPr>
        <w:lastRenderedPageBreak/>
        <w:t>104F</w:t>
      </w:r>
      <w:r>
        <w:t>.</w:t>
      </w:r>
      <w:r>
        <w:tab/>
        <w:t>Licensed suppliers to lodge returns and pay continuing lotteries levy</w:t>
      </w:r>
      <w:bookmarkEnd w:id="179"/>
    </w:p>
    <w:p>
      <w:pPr>
        <w:pStyle w:val="Subsection"/>
        <w:keepNext/>
        <w:keepLines/>
      </w:pPr>
      <w:r>
        <w:tab/>
        <w:t>(1)</w:t>
      </w:r>
      <w:r>
        <w:tab/>
        <w:t>A licensed supplier shall —</w:t>
      </w:r>
    </w:p>
    <w:p>
      <w:pPr>
        <w:pStyle w:val="Indenta"/>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for this subsection: a fine of $5 000.</w:t>
      </w:r>
    </w:p>
    <w:p>
      <w:pPr>
        <w:pStyle w:val="Subsection"/>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lastRenderedPageBreak/>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for this subsection: a fine of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No. 6 of 2000 s. 15; amended: No. 41 of 2018 s. 25(1).]</w:t>
      </w:r>
    </w:p>
    <w:p>
      <w:pPr>
        <w:pStyle w:val="Heading5"/>
      </w:pPr>
      <w:bookmarkStart w:id="180" w:name="_Toc131666811"/>
      <w:r>
        <w:rPr>
          <w:rStyle w:val="CharSectno"/>
        </w:rPr>
        <w:t>104G</w:t>
      </w:r>
      <w:r>
        <w:t>.</w:t>
      </w:r>
      <w:r>
        <w:tab/>
        <w:t>Continuing lotteries levy, application of</w:t>
      </w:r>
      <w:bookmarkEnd w:id="180"/>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 xml:space="preserve">sixths) is to be credited to the </w:t>
      </w:r>
      <w:r>
        <w:rPr>
          <w:snapToGrid w:val="0"/>
        </w:rPr>
        <w:t>Consolidated Account</w:t>
      </w:r>
      <w:r>
        <w:t>; and</w:t>
      </w:r>
    </w:p>
    <w:p>
      <w:pPr>
        <w:pStyle w:val="Indenta"/>
      </w:pPr>
      <w:r>
        <w:tab/>
        <w:t>(b)</w:t>
      </w:r>
      <w:r>
        <w:tab/>
        <w:t>16.7% (one</w:t>
      </w:r>
      <w:r>
        <w:noBreakHyphen/>
        <w:t>sixth) is to be paid into and placed to the credit of the Gaming Commission Account established under section 9(2).</w:t>
      </w:r>
    </w:p>
    <w:p>
      <w:pPr>
        <w:pStyle w:val="Subsection"/>
        <w:keepNext/>
      </w:pPr>
      <w:r>
        <w:lastRenderedPageBreak/>
        <w:tab/>
        <w:t>(2)</w:t>
      </w:r>
      <w:r>
        <w:tab/>
        <w:t>Of the continuing lotteries levy received by the Commission on or after 1 July 2000 —</w:t>
      </w:r>
    </w:p>
    <w:p>
      <w:pPr>
        <w:pStyle w:val="Indenta"/>
      </w:pPr>
      <w:r>
        <w:tab/>
        <w:t>(a)</w:t>
      </w:r>
      <w:r>
        <w:tab/>
        <w:t>69.23% (nine</w:t>
      </w:r>
      <w:r>
        <w:noBreakHyphen/>
        <w:t xml:space="preserve">thirteenths) is to be credited to the </w:t>
      </w:r>
      <w:r>
        <w:rPr>
          <w:snapToGrid w:val="0"/>
        </w:rPr>
        <w:t>Consolidated Account</w:t>
      </w:r>
      <w:r>
        <w:t>;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No. 6 of 2000 s. 15; amended: No. 77 of 2006 s. 4.]</w:t>
      </w:r>
    </w:p>
    <w:p>
      <w:pPr>
        <w:pStyle w:val="Heading5"/>
        <w:spacing w:before="240"/>
      </w:pPr>
      <w:bookmarkStart w:id="181" w:name="_Toc131666812"/>
      <w:r>
        <w:rPr>
          <w:rStyle w:val="CharSectno"/>
        </w:rPr>
        <w:t>104H</w:t>
      </w:r>
      <w:r>
        <w:t>.</w:t>
      </w:r>
      <w:r>
        <w:tab/>
        <w:t>Exemption from levy</w:t>
      </w:r>
      <w:bookmarkEnd w:id="181"/>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No. 6 of 2000 s. 15.]</w:t>
      </w:r>
    </w:p>
    <w:p>
      <w:pPr>
        <w:pStyle w:val="Heading5"/>
        <w:spacing w:before="240"/>
      </w:pPr>
      <w:bookmarkStart w:id="182" w:name="_Toc131666813"/>
      <w:r>
        <w:rPr>
          <w:rStyle w:val="CharSectno"/>
        </w:rPr>
        <w:t>104I</w:t>
      </w:r>
      <w:r>
        <w:t>.</w:t>
      </w:r>
      <w:r>
        <w:tab/>
        <w:t>Refund of levy</w:t>
      </w:r>
      <w:bookmarkEnd w:id="182"/>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No. 6 of 2000 s. 15.]</w:t>
      </w:r>
    </w:p>
    <w:p>
      <w:pPr>
        <w:pStyle w:val="Heading5"/>
        <w:keepLines w:val="0"/>
        <w:spacing w:before="180"/>
      </w:pPr>
      <w:bookmarkStart w:id="183" w:name="_Toc131666814"/>
      <w:r>
        <w:rPr>
          <w:rStyle w:val="CharSectno"/>
        </w:rPr>
        <w:lastRenderedPageBreak/>
        <w:t>104J</w:t>
      </w:r>
      <w:r>
        <w:t>.</w:t>
      </w:r>
      <w:r>
        <w:tab/>
        <w:t>Tickets, protecting and accounting for; estimating levy for lost etc. tickets</w:t>
      </w:r>
      <w:bookmarkEnd w:id="183"/>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 or</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keepNext/>
        <w:keepLines/>
      </w:pPr>
      <w:r>
        <w:lastRenderedPageBreak/>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keepNext/>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No. 6 of 2000 s. 15.]</w:t>
      </w:r>
    </w:p>
    <w:p>
      <w:pPr>
        <w:pStyle w:val="Heading5"/>
      </w:pPr>
      <w:bookmarkStart w:id="184" w:name="_Toc131666815"/>
      <w:r>
        <w:rPr>
          <w:rStyle w:val="CharSectno"/>
        </w:rPr>
        <w:t>104K</w:t>
      </w:r>
      <w:r>
        <w:t>.</w:t>
      </w:r>
      <w:r>
        <w:tab/>
        <w:t>Tickets may be given to Commission for destruction</w:t>
      </w:r>
      <w:bookmarkEnd w:id="184"/>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No. 6 of 2000 s. 15.]</w:t>
      </w:r>
    </w:p>
    <w:p>
      <w:pPr>
        <w:pStyle w:val="Heading5"/>
      </w:pPr>
      <w:bookmarkStart w:id="185" w:name="_Toc131666816"/>
      <w:r>
        <w:rPr>
          <w:rStyle w:val="CharSectno"/>
        </w:rPr>
        <w:t>104L</w:t>
      </w:r>
      <w:r>
        <w:t>.</w:t>
      </w:r>
      <w:r>
        <w:tab/>
        <w:t>Offences by licensed suppliers</w:t>
      </w:r>
      <w:bookmarkEnd w:id="185"/>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for this subsection: a fine of $5 000.</w:t>
      </w:r>
    </w:p>
    <w:p>
      <w:pPr>
        <w:pStyle w:val="Subsection"/>
        <w:keepNext/>
      </w:pPr>
      <w:r>
        <w:lastRenderedPageBreak/>
        <w:tab/>
        <w:t>(2)</w:t>
      </w:r>
      <w:r>
        <w:tab/>
        <w:t>A licensed supplier shall not supply tickets to any person within the State unless —</w:t>
      </w:r>
    </w:p>
    <w:p>
      <w:pPr>
        <w:pStyle w:val="Indenta"/>
      </w:pPr>
      <w:r>
        <w:tab/>
        <w:t>(a)</w:t>
      </w:r>
      <w:r>
        <w:tab/>
        <w:t>the licensed supplier supplies to that person all of the tickets in the batch; and</w:t>
      </w:r>
    </w:p>
    <w:p>
      <w:pPr>
        <w:pStyle w:val="Indenta"/>
      </w:pPr>
      <w:r>
        <w:tab/>
        <w:t>(b)</w:t>
      </w:r>
      <w:r>
        <w:tab/>
        <w:t>there is printed on each ticket —</w:t>
      </w:r>
    </w:p>
    <w:p>
      <w:pPr>
        <w:pStyle w:val="Indenti"/>
      </w:pPr>
      <w:r>
        <w:tab/>
        <w:t>(i)</w:t>
      </w:r>
      <w:r>
        <w:tab/>
        <w:t>the face value of the ticket; and</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for this subsection: a fine of $5 000.</w:t>
      </w:r>
    </w:p>
    <w:p>
      <w:pPr>
        <w:pStyle w:val="Subsection"/>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for this subsection: a fine of $5 000.</w:t>
      </w:r>
    </w:p>
    <w:p>
      <w:pPr>
        <w:pStyle w:val="Subsection"/>
      </w:pPr>
      <w:r>
        <w:tab/>
        <w:t>(4)</w:t>
      </w:r>
      <w:r>
        <w:tab/>
        <w:t>The Commission may, by notice in writing, revoke any approval given for the purposes of subsection (3).</w:t>
      </w:r>
    </w:p>
    <w:p>
      <w:pPr>
        <w:pStyle w:val="Footnotesection"/>
        <w:spacing w:before="100"/>
        <w:ind w:left="890" w:hanging="890"/>
      </w:pPr>
      <w:r>
        <w:tab/>
        <w:t>[Section 104L inserted: No. 6 of 2000 s. 15; amended: No. 41 of 2018 s. 25(1).]</w:t>
      </w:r>
    </w:p>
    <w:p>
      <w:pPr>
        <w:pStyle w:val="Heading5"/>
        <w:keepLines w:val="0"/>
      </w:pPr>
      <w:bookmarkStart w:id="186" w:name="_Toc131666817"/>
      <w:r>
        <w:rPr>
          <w:rStyle w:val="CharSectno"/>
        </w:rPr>
        <w:lastRenderedPageBreak/>
        <w:t>104M</w:t>
      </w:r>
      <w:r>
        <w:t>.</w:t>
      </w:r>
      <w:r>
        <w:tab/>
        <w:t>Offences involving continuing lottery tickets</w:t>
      </w:r>
      <w:bookmarkEnd w:id="186"/>
    </w:p>
    <w:p>
      <w:pPr>
        <w:pStyle w:val="Subsection"/>
        <w:keepNext/>
      </w:pPr>
      <w:r>
        <w:tab/>
        <w:t>(1)</w:t>
      </w:r>
      <w:r>
        <w:tab/>
        <w:t>A person who is not a licensed supplier shall not —</w:t>
      </w:r>
    </w:p>
    <w:p>
      <w:pPr>
        <w:pStyle w:val="Indenta"/>
        <w:spacing w:before="60"/>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for this subsection: a fine of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for this subsection: a fine of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pPr>
      <w:r>
        <w:tab/>
        <w:t>Penalty for this subsection: a fine of $5 000.</w:t>
      </w:r>
    </w:p>
    <w:p>
      <w:pPr>
        <w:pStyle w:val="Footnotesection"/>
      </w:pPr>
      <w:r>
        <w:tab/>
        <w:t>[Section 104M inserted: No. 6 of 2000 s. 15; amended: No. 41 of 2018 s. 25(1).]</w:t>
      </w:r>
    </w:p>
    <w:p>
      <w:pPr>
        <w:pStyle w:val="Heading5"/>
        <w:rPr>
          <w:snapToGrid w:val="0"/>
        </w:rPr>
      </w:pPr>
      <w:bookmarkStart w:id="187" w:name="_Toc131666818"/>
      <w:r>
        <w:rPr>
          <w:rStyle w:val="CharSectno"/>
        </w:rPr>
        <w:t>105</w:t>
      </w:r>
      <w:r>
        <w:rPr>
          <w:snapToGrid w:val="0"/>
        </w:rPr>
        <w:t>.</w:t>
      </w:r>
      <w:r>
        <w:rPr>
          <w:snapToGrid w:val="0"/>
        </w:rPr>
        <w:tab/>
        <w:t>Continuing lotteries, use of vending machines to sell tickets for</w:t>
      </w:r>
      <w:bookmarkEnd w:id="187"/>
    </w:p>
    <w:p>
      <w:pPr>
        <w:pStyle w:val="Subsection"/>
        <w:spacing w:before="120"/>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keepNext/>
        <w:keepLines/>
        <w:spacing w:before="120"/>
        <w:rPr>
          <w:snapToGrid w:val="0"/>
        </w:rPr>
      </w:pPr>
      <w:r>
        <w:rPr>
          <w:snapToGrid w:val="0"/>
        </w:rPr>
        <w:lastRenderedPageBreak/>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No. 24 of 1998 s. 64.]</w:t>
      </w:r>
    </w:p>
    <w:p>
      <w:pPr>
        <w:pStyle w:val="Heading5"/>
        <w:spacing w:before="180"/>
        <w:rPr>
          <w:snapToGrid w:val="0"/>
        </w:rPr>
      </w:pPr>
      <w:bookmarkStart w:id="188" w:name="_Toc131666819"/>
      <w:r>
        <w:rPr>
          <w:rStyle w:val="CharSectno"/>
        </w:rPr>
        <w:t>106</w:t>
      </w:r>
      <w:r>
        <w:rPr>
          <w:snapToGrid w:val="0"/>
        </w:rPr>
        <w:t>.</w:t>
      </w:r>
      <w:r>
        <w:rPr>
          <w:snapToGrid w:val="0"/>
        </w:rPr>
        <w:tab/>
        <w:t>Offences involving lotteries</w:t>
      </w:r>
      <w:bookmarkEnd w:id="188"/>
    </w:p>
    <w:p>
      <w:pPr>
        <w:pStyle w:val="Subsection"/>
        <w:spacing w:before="120"/>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(other than subsection (1) of that section) applies for the purposes of subsection (1)(a)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w:t>
      </w:r>
    </w:p>
    <w:p>
      <w:pPr>
        <w:pStyle w:val="Indenta"/>
        <w:spacing w:before="60"/>
        <w:rPr>
          <w:snapToGrid w:val="0"/>
        </w:rPr>
      </w:pPr>
      <w:r>
        <w:rPr>
          <w:snapToGrid w:val="0"/>
        </w:rPr>
        <w:tab/>
        <w:t>(a)</w:t>
      </w:r>
      <w:r>
        <w:rPr>
          <w:snapToGrid w:val="0"/>
        </w:rPr>
        <w:tab/>
        <w:t>prints any tickets for use in the lottery; or</w:t>
      </w:r>
    </w:p>
    <w:p>
      <w:pPr>
        <w:pStyle w:val="Indenta"/>
        <w:spacing w:before="60"/>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 or</w:t>
      </w:r>
    </w:p>
    <w:p>
      <w:pPr>
        <w:pStyle w:val="Indenta"/>
        <w:spacing w:before="60"/>
        <w:rPr>
          <w:snapToGrid w:val="0"/>
        </w:rPr>
      </w:pPr>
      <w:r>
        <w:rPr>
          <w:snapToGrid w:val="0"/>
        </w:rPr>
        <w:tab/>
        <w:t>(c)</w:t>
      </w:r>
      <w:r>
        <w:rPr>
          <w:snapToGrid w:val="0"/>
        </w:rPr>
        <w:tab/>
        <w:t>prints, publishes or distributes, or has in his possession for the purpose of publication or distribution —</w:t>
      </w:r>
    </w:p>
    <w:p>
      <w:pPr>
        <w:pStyle w:val="Indenti"/>
        <w:spacing w:before="60"/>
        <w:rPr>
          <w:snapToGrid w:val="0"/>
        </w:rPr>
      </w:pPr>
      <w:r>
        <w:rPr>
          <w:snapToGrid w:val="0"/>
        </w:rPr>
        <w:tab/>
        <w:t>(i)</w:t>
      </w:r>
      <w:r>
        <w:rPr>
          <w:snapToGrid w:val="0"/>
        </w:rPr>
        <w:tab/>
        <w:t>any advertisement of the lottery; or</w:t>
      </w:r>
    </w:p>
    <w:p>
      <w:pPr>
        <w:pStyle w:val="Indenti"/>
        <w:spacing w:before="60"/>
        <w:rPr>
          <w:snapToGrid w:val="0"/>
        </w:rPr>
      </w:pPr>
      <w:r>
        <w:rPr>
          <w:snapToGrid w:val="0"/>
        </w:rPr>
        <w:lastRenderedPageBreak/>
        <w:tab/>
        <w:t>(ii)</w:t>
      </w:r>
      <w:r>
        <w:rPr>
          <w:snapToGrid w:val="0"/>
        </w:rPr>
        <w:tab/>
        <w:t>any list, whether complete or not, of prize winners or winning tickets in the lottery; or</w:t>
      </w:r>
    </w:p>
    <w:p>
      <w:pPr>
        <w:pStyle w:val="Indenti"/>
        <w:spacing w:before="60"/>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brings, or invites any person to send, into the State for the purpose of sale or distribution any ticket in, or advertisement of, the lottery; or</w:t>
      </w:r>
    </w:p>
    <w:p>
      <w:pPr>
        <w:pStyle w:val="Indenta"/>
        <w:spacing w:before="60"/>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 or</w:t>
      </w:r>
    </w:p>
    <w:p>
      <w:pPr>
        <w:pStyle w:val="Indenta"/>
        <w:spacing w:before="60"/>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spacing w:before="60"/>
        <w:rPr>
          <w:snapToGrid w:val="0"/>
        </w:rPr>
      </w:pPr>
      <w:r>
        <w:rPr>
          <w:snapToGrid w:val="0"/>
        </w:rPr>
        <w:tab/>
        <w:t>(g)</w:t>
      </w:r>
      <w:r>
        <w:rPr>
          <w:snapToGrid w:val="0"/>
        </w:rPr>
        <w:tab/>
        <w:t>receives money, any valuable thing, or any goods for the purposes of the lottery,</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$2 000.</w:t>
      </w:r>
    </w:p>
    <w:p>
      <w:pPr>
        <w:pStyle w:val="Subsection"/>
        <w:spacing w:before="140"/>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spacing w:before="100"/>
        <w:ind w:left="890" w:hanging="890"/>
      </w:pPr>
      <w:r>
        <w:tab/>
        <w:t>[Section 106 amended: No. 24 of 1998 s. 65; amended: No. 41 of 2018 s. 25(1).]</w:t>
      </w:r>
    </w:p>
    <w:p>
      <w:pPr>
        <w:pStyle w:val="Heading5"/>
        <w:rPr>
          <w:snapToGrid w:val="0"/>
        </w:rPr>
      </w:pPr>
      <w:bookmarkStart w:id="189" w:name="_Toc131666820"/>
      <w:r>
        <w:rPr>
          <w:rStyle w:val="CharSectno"/>
        </w:rPr>
        <w:lastRenderedPageBreak/>
        <w:t>107</w:t>
      </w:r>
      <w:r>
        <w:rPr>
          <w:snapToGrid w:val="0"/>
        </w:rPr>
        <w:t>.</w:t>
      </w:r>
      <w:r>
        <w:rPr>
          <w:snapToGrid w:val="0"/>
        </w:rPr>
        <w:tab/>
        <w:t>Amusements with prizes, which are permitted</w:t>
      </w:r>
      <w:bookmarkEnd w:id="189"/>
    </w:p>
    <w:p>
      <w:pPr>
        <w:pStyle w:val="Subsection"/>
        <w:keepNext/>
        <w:keepLines/>
        <w:rPr>
          <w:snapToGrid w:val="0"/>
        </w:rPr>
      </w:pPr>
      <w:r>
        <w:rPr>
          <w:snapToGrid w:val="0"/>
        </w:rPr>
        <w:tab/>
        <w:t>(1)</w:t>
      </w:r>
      <w:r>
        <w:rPr>
          <w:snapToGrid w:val="0"/>
        </w:rPr>
        <w:tab/>
        <w:t>Where any amusement with prizes which constitutes gaming or a lottery or both is provided in relation to or in connection with any entertainment or event or for any charitable or social cause, and it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 xml:space="preserve">Where amusements with prizes (which may include games to which section 42(3)(a) refers) are provided at an agricultural show, a pleasure fair, a fete, or another like event and consist wholly or mainly of amusements provided by travelling </w:t>
      </w:r>
      <w:r>
        <w:rPr>
          <w:snapToGrid w:val="0"/>
        </w:rPr>
        <w:lastRenderedPageBreak/>
        <w:t>showmen, the respective amusements shall each be deemed to be a permitted amusement with prizes if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 and</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 and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r>
        <w:tab/>
        <w:t>[Section 107 amended: No. 35 of 2003 s. 159 and 167; No. 41 of 2018 s. 23.]</w:t>
      </w:r>
    </w:p>
    <w:p>
      <w:pPr>
        <w:pStyle w:val="Heading5"/>
        <w:rPr>
          <w:snapToGrid w:val="0"/>
        </w:rPr>
      </w:pPr>
      <w:bookmarkStart w:id="190" w:name="_Toc131666821"/>
      <w:r>
        <w:rPr>
          <w:rStyle w:val="CharSectno"/>
        </w:rPr>
        <w:t>108</w:t>
      </w:r>
      <w:r>
        <w:rPr>
          <w:snapToGrid w:val="0"/>
        </w:rPr>
        <w:t>.</w:t>
      </w:r>
      <w:r>
        <w:rPr>
          <w:snapToGrid w:val="0"/>
        </w:rPr>
        <w:tab/>
        <w:t>Some fund raising activities deemed permitted amusement with prizes</w:t>
      </w:r>
      <w:bookmarkEnd w:id="190"/>
    </w:p>
    <w:p>
      <w:pPr>
        <w:pStyle w:val="Subsection"/>
        <w:keepNext/>
        <w:keepLines/>
        <w:rPr>
          <w:snapToGrid w:val="0"/>
        </w:rPr>
      </w:pPr>
      <w:r>
        <w:rPr>
          <w:snapToGrid w:val="0"/>
        </w:rPr>
        <w:tab/>
        <w:t>(1)</w:t>
      </w:r>
      <w:r>
        <w:rPr>
          <w:snapToGrid w:val="0"/>
        </w:rPr>
        <w:tab/>
        <w:t>The conduct of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 or</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w:t>
      </w:r>
      <w:r>
        <w:rPr>
          <w:snapToGrid w:val="0"/>
        </w:rPr>
        <w:lastRenderedPageBreak/>
        <w:t>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r>
      <w:r>
        <w:t>Penalty for this subsection: a fine of</w:t>
      </w:r>
      <w:r>
        <w:rPr>
          <w:snapToGrid w:val="0"/>
        </w:rPr>
        <w:t xml:space="preserve"> $2 000.</w:t>
      </w:r>
    </w:p>
    <w:p>
      <w:pPr>
        <w:pStyle w:val="Footnotesection"/>
      </w:pPr>
      <w:r>
        <w:tab/>
        <w:t>[Section 108 amended: No. 24 of 1998 s. 66; No. 35 of 2003 s. 160 and 166; No. 41 of 2018 s. 25(1).]</w:t>
      </w:r>
    </w:p>
    <w:p>
      <w:pPr>
        <w:pStyle w:val="Heading5"/>
        <w:rPr>
          <w:snapToGrid w:val="0"/>
        </w:rPr>
      </w:pPr>
      <w:bookmarkStart w:id="191" w:name="_Toc131666822"/>
      <w:r>
        <w:rPr>
          <w:rStyle w:val="CharSectno"/>
        </w:rPr>
        <w:t>109</w:t>
      </w:r>
      <w:r>
        <w:rPr>
          <w:snapToGrid w:val="0"/>
        </w:rPr>
        <w:t>.</w:t>
      </w:r>
      <w:r>
        <w:rPr>
          <w:snapToGrid w:val="0"/>
        </w:rPr>
        <w:tab/>
        <w:t>Regulations for this Division</w:t>
      </w:r>
      <w:bookmarkEnd w:id="191"/>
    </w:p>
    <w:p>
      <w:pPr>
        <w:pStyle w:val="Subsection"/>
        <w:rPr>
          <w:snapToGrid w:val="0"/>
        </w:rPr>
      </w:pPr>
      <w:r>
        <w:rPr>
          <w:snapToGrid w:val="0"/>
        </w:rPr>
        <w:tab/>
      </w:r>
      <w:r>
        <w:rPr>
          <w:snapToGrid w:val="0"/>
        </w:rPr>
        <w:tab/>
        <w:t>Regulations made for the purposes of this Division may make provision —</w:t>
      </w:r>
    </w:p>
    <w:p>
      <w:pPr>
        <w:pStyle w:val="Indenta"/>
        <w:rPr>
          <w:snapToGrid w:val="0"/>
        </w:rPr>
      </w:pPr>
      <w:r>
        <w:rPr>
          <w:snapToGrid w:val="0"/>
        </w:rPr>
        <w:tab/>
        <w:t>(a)</w:t>
      </w:r>
      <w:r>
        <w:rPr>
          <w:snapToGrid w:val="0"/>
        </w:rPr>
        <w:tab/>
        <w:t>as to the requirements for the keeping of accounts and the furnishings of reports by persons conducting lotteries; and</w:t>
      </w:r>
    </w:p>
    <w:p>
      <w:pPr>
        <w:pStyle w:val="Indenta"/>
        <w:rPr>
          <w:snapToGrid w:val="0"/>
        </w:rPr>
      </w:pPr>
      <w:r>
        <w:rPr>
          <w:snapToGrid w:val="0"/>
        </w:rPr>
        <w:tab/>
        <w:t>(aa)</w:t>
      </w:r>
      <w:r>
        <w:rPr>
          <w:snapToGrid w:val="0"/>
        </w:rPr>
        <w:tab/>
        <w:t>in respect of the records to be maintained by licensed suppliers and the manner in which those records are to be kept; and</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 and</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 and</w:t>
      </w:r>
    </w:p>
    <w:p>
      <w:pPr>
        <w:pStyle w:val="Indenta"/>
        <w:rPr>
          <w:snapToGrid w:val="0"/>
        </w:rPr>
      </w:pPr>
      <w:r>
        <w:rPr>
          <w:snapToGrid w:val="0"/>
        </w:rPr>
        <w:lastRenderedPageBreak/>
        <w:tab/>
        <w:t>(d)</w:t>
      </w:r>
      <w:r>
        <w:rPr>
          <w:snapToGrid w:val="0"/>
        </w:rPr>
        <w:tab/>
        <w:t>as to the relation between the time of opening, closing, and drawing of a standard lottery; and</w:t>
      </w:r>
    </w:p>
    <w:p>
      <w:pPr>
        <w:pStyle w:val="Indenta"/>
        <w:spacing w:before="60"/>
        <w:rPr>
          <w:snapToGrid w:val="0"/>
        </w:rPr>
      </w:pPr>
      <w:r>
        <w:rPr>
          <w:snapToGrid w:val="0"/>
        </w:rPr>
        <w:tab/>
        <w:t>(e)</w:t>
      </w:r>
      <w:r>
        <w:rPr>
          <w:snapToGrid w:val="0"/>
        </w:rPr>
        <w:tab/>
        <w:t>as to the conduct of continuing lotteries; and</w:t>
      </w:r>
    </w:p>
    <w:p>
      <w:pPr>
        <w:pStyle w:val="Indenta"/>
        <w:spacing w:before="60"/>
        <w:rPr>
          <w:snapToGrid w:val="0"/>
        </w:rPr>
      </w:pPr>
      <w:r>
        <w:rPr>
          <w:snapToGrid w:val="0"/>
        </w:rPr>
        <w:tab/>
        <w:t>(f)</w:t>
      </w:r>
      <w:r>
        <w:rPr>
          <w:snapToGrid w:val="0"/>
        </w:rPr>
        <w:tab/>
        <w:t>as to the use of vending machines in relation to lotteries; and</w:t>
      </w:r>
    </w:p>
    <w:p>
      <w:pPr>
        <w:pStyle w:val="Indenta"/>
        <w:spacing w:before="60"/>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 and</w:t>
      </w:r>
    </w:p>
    <w:p>
      <w:pPr>
        <w:pStyle w:val="Indenta"/>
        <w:spacing w:before="60"/>
        <w:rPr>
          <w:snapToGrid w:val="0"/>
        </w:rPr>
      </w:pPr>
      <w:r>
        <w:rPr>
          <w:snapToGrid w:val="0"/>
        </w:rPr>
        <w:tab/>
        <w:t>(h)</w:t>
      </w:r>
      <w:r>
        <w:rPr>
          <w:snapToGrid w:val="0"/>
        </w:rPr>
        <w:tab/>
        <w:t>as to the printing of tickets and the security of printing arrangements or of tickets, and as to the information which must, or must not, appear on a ticket; and</w:t>
      </w:r>
    </w:p>
    <w:p>
      <w:pPr>
        <w:pStyle w:val="Indenta"/>
        <w:spacing w:before="60"/>
        <w:rPr>
          <w:snapToGrid w:val="0"/>
        </w:rPr>
      </w:pPr>
      <w:r>
        <w:rPr>
          <w:snapToGrid w:val="0"/>
        </w:rPr>
        <w:tab/>
        <w:t>(j)</w:t>
      </w:r>
      <w:r>
        <w:rPr>
          <w:snapToGrid w:val="0"/>
        </w:rPr>
        <w:tab/>
        <w:t>as to the matters in respect of which expenses may be incurred, or if incurred shall be taken not to be deductible for the purposes of this Division; and</w:t>
      </w:r>
    </w:p>
    <w:p>
      <w:pPr>
        <w:pStyle w:val="Indenta"/>
        <w:spacing w:before="60"/>
        <w:rPr>
          <w:snapToGrid w:val="0"/>
        </w:rPr>
      </w:pPr>
      <w:r>
        <w:rPr>
          <w:snapToGrid w:val="0"/>
        </w:rPr>
        <w:tab/>
        <w:t>(k)</w:t>
      </w:r>
      <w:r>
        <w:rPr>
          <w:snapToGrid w:val="0"/>
        </w:rPr>
        <w:tab/>
        <w:t>prescribing the conditions governing the employment of agents; and</w:t>
      </w:r>
    </w:p>
    <w:p>
      <w:pPr>
        <w:pStyle w:val="Indenta"/>
        <w:spacing w:before="60"/>
        <w:rPr>
          <w:snapToGrid w:val="0"/>
        </w:rPr>
      </w:pPr>
      <w:r>
        <w:rPr>
          <w:snapToGrid w:val="0"/>
        </w:rPr>
        <w:tab/>
        <w:t>(l)</w:t>
      </w:r>
      <w:r>
        <w:rPr>
          <w:snapToGrid w:val="0"/>
        </w:rPr>
        <w:tab/>
        <w:t>the use of postal services in connection with activities to which this Division applies; and</w:t>
      </w:r>
    </w:p>
    <w:p>
      <w:pPr>
        <w:pStyle w:val="Indenta"/>
        <w:spacing w:before="60"/>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ind w:left="890" w:hanging="890"/>
      </w:pPr>
      <w:r>
        <w:tab/>
        <w:t>[Section 109 amended: No. 24 of 1998 s. 67; No. 6 of 2000 s. 16.]</w:t>
      </w:r>
    </w:p>
    <w:p>
      <w:pPr>
        <w:pStyle w:val="Heading3"/>
        <w:rPr>
          <w:snapToGrid w:val="0"/>
        </w:rPr>
      </w:pPr>
      <w:bookmarkStart w:id="192" w:name="_Toc115166674"/>
      <w:bookmarkStart w:id="193" w:name="_Toc115166831"/>
      <w:bookmarkStart w:id="194" w:name="_Toc115267905"/>
      <w:bookmarkStart w:id="195" w:name="_Toc131666823"/>
      <w:r>
        <w:rPr>
          <w:rStyle w:val="CharDivNo"/>
        </w:rPr>
        <w:t>Division 8</w:t>
      </w:r>
      <w:r>
        <w:rPr>
          <w:snapToGrid w:val="0"/>
        </w:rPr>
        <w:t> — </w:t>
      </w:r>
      <w:r>
        <w:rPr>
          <w:rStyle w:val="CharDivText"/>
        </w:rPr>
        <w:t>Unclaimed winnings</w:t>
      </w:r>
      <w:bookmarkEnd w:id="192"/>
      <w:bookmarkEnd w:id="193"/>
      <w:bookmarkEnd w:id="194"/>
      <w:bookmarkEnd w:id="195"/>
    </w:p>
    <w:p>
      <w:pPr>
        <w:pStyle w:val="Footnoteheading"/>
        <w:tabs>
          <w:tab w:val="left" w:pos="910"/>
        </w:tabs>
      </w:pPr>
      <w:r>
        <w:tab/>
        <w:t>[Heading inserted: No. 24 of 1998 s. 68(1).]</w:t>
      </w:r>
    </w:p>
    <w:p>
      <w:pPr>
        <w:pStyle w:val="Heading5"/>
      </w:pPr>
      <w:bookmarkStart w:id="196" w:name="_Toc131666824"/>
      <w:r>
        <w:rPr>
          <w:rStyle w:val="CharSectno"/>
        </w:rPr>
        <w:t>109A</w:t>
      </w:r>
      <w:r>
        <w:t>.</w:t>
      </w:r>
      <w:r>
        <w:tab/>
        <w:t>Terms used</w:t>
      </w:r>
      <w:bookmarkEnd w:id="196"/>
    </w:p>
    <w:p>
      <w:pPr>
        <w:pStyle w:val="Subsection"/>
      </w:pPr>
      <w:r>
        <w:tab/>
      </w:r>
      <w:r>
        <w:tab/>
        <w:t>In this Division —</w:t>
      </w:r>
    </w:p>
    <w:p>
      <w:pPr>
        <w:pStyle w:val="Defstart"/>
      </w:pPr>
      <w:r>
        <w:tab/>
      </w:r>
      <w:r>
        <w:rPr>
          <w:rStyle w:val="CharDefText"/>
        </w:rPr>
        <w:t>Trust</w:t>
      </w:r>
      <w:r>
        <w:t xml:space="preserve"> means the Gaming Community Trust established under section 109D;</w:t>
      </w:r>
    </w:p>
    <w:p>
      <w:pPr>
        <w:pStyle w:val="Defstart"/>
      </w:pPr>
      <w:r>
        <w:rPr>
          <w:b/>
        </w:rPr>
        <w:tab/>
      </w:r>
      <w:r>
        <w:rPr>
          <w:rStyle w:val="CharDefText"/>
        </w:rPr>
        <w:t>Trust Account</w:t>
      </w:r>
      <w:r>
        <w:t xml:space="preserve"> means the Gaming Community Trust Account referred to in section 109C;</w:t>
      </w:r>
    </w:p>
    <w:p>
      <w:pPr>
        <w:pStyle w:val="Defstart"/>
      </w:pPr>
      <w:r>
        <w:lastRenderedPageBreak/>
        <w:tab/>
      </w:r>
      <w:r>
        <w:rPr>
          <w:rStyle w:val="CharDefText"/>
        </w:rPr>
        <w:t>unclaimed winnings</w:t>
      </w:r>
      <w:r>
        <w:t xml:space="preserve"> includes any stake hazarded or bet placed that is repayable with the unclaimed winnings.</w:t>
      </w:r>
    </w:p>
    <w:p>
      <w:pPr>
        <w:pStyle w:val="Footnotesection"/>
      </w:pPr>
      <w:r>
        <w:tab/>
        <w:t>[Section 109A inserted: No. 24 of 1998 s. 68(1); amended: No. 77 of 2006 Sch. 1 cl. 71(3).]</w:t>
      </w:r>
    </w:p>
    <w:p>
      <w:pPr>
        <w:pStyle w:val="Heading5"/>
      </w:pPr>
      <w:bookmarkStart w:id="197" w:name="_Toc131666825"/>
      <w:r>
        <w:rPr>
          <w:rStyle w:val="CharSectno"/>
        </w:rPr>
        <w:t>109B</w:t>
      </w:r>
      <w:r>
        <w:t>.</w:t>
      </w:r>
      <w:r>
        <w:tab/>
        <w:t>Unclaimed winnings, Commission to be notified of etc.</w:t>
      </w:r>
      <w:bookmarkEnd w:id="197"/>
    </w:p>
    <w:p>
      <w:pPr>
        <w:pStyle w:val="Subsection"/>
      </w:pPr>
      <w:r>
        <w:tab/>
        <w:t>(1)</w:t>
      </w:r>
      <w:r>
        <w:tab/>
        <w:t>If any winnings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rStyle w:val="CharDefText"/>
        </w:rPr>
        <w:t>unclaimed winnings</w:t>
      </w:r>
      <w:r>
        <w:t xml:space="preserve">), the permit holder, or the person responsible for the conduct of the gaming authorised by the permit or the game (the </w:t>
      </w:r>
      <w:r>
        <w:rPr>
          <w:rStyle w:val="CharDefText"/>
        </w:rPr>
        <w:t>responsible person</w:t>
      </w:r>
      <w:r>
        <w:t>), shall notify the Commission in writing of —</w:t>
      </w:r>
    </w:p>
    <w:p>
      <w:pPr>
        <w:pStyle w:val="Indenta"/>
      </w:pPr>
      <w:r>
        <w:tab/>
        <w:t>(c)</w:t>
      </w:r>
      <w:r>
        <w:tab/>
        <w:t>details of the unclaimed winnings; and</w:t>
      </w:r>
    </w:p>
    <w:p>
      <w:pPr>
        <w:pStyle w:val="Indenta"/>
      </w:pPr>
      <w:r>
        <w:tab/>
        <w:t>(d)</w:t>
      </w:r>
      <w:r>
        <w:tab/>
        <w:t xml:space="preserve">the name, and any known address, of the person entitled to be paid the unclaimed winnings (the </w:t>
      </w:r>
      <w:r>
        <w:rPr>
          <w:rStyle w:val="CharDefText"/>
        </w:rPr>
        <w:t>winner</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If, on the expiry of 2 months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the unclaimed winnings have not been claimed —</w:t>
      </w:r>
    </w:p>
    <w:p>
      <w:pPr>
        <w:pStyle w:val="Indenta"/>
      </w:pPr>
      <w:r>
        <w:tab/>
        <w:t>(c)</w:t>
      </w:r>
      <w:r>
        <w:tab/>
        <w:t>the right of the winner to be paid those winnings is extinguished; and</w:t>
      </w:r>
    </w:p>
    <w:p>
      <w:pPr>
        <w:pStyle w:val="Indenta"/>
      </w:pPr>
      <w:r>
        <w:lastRenderedPageBreak/>
        <w:tab/>
        <w:t>(d)</w:t>
      </w:r>
      <w:r>
        <w:tab/>
        <w:t>subject to subsection (4), the unclaimed winnings shall be dealt with under section 109C.</w:t>
      </w:r>
    </w:p>
    <w:p>
      <w:pPr>
        <w:pStyle w:val="Subsection"/>
        <w:spacing w:before="140"/>
      </w:pPr>
      <w:r>
        <w:tab/>
        <w:t>(4)</w:t>
      </w:r>
      <w:r>
        <w:tab/>
        <w:t>The Commission may give directions to the permit holder or the responsible person as to the disposal of any unclaimed winnings where —</w:t>
      </w:r>
    </w:p>
    <w:p>
      <w:pPr>
        <w:pStyle w:val="Indenta"/>
        <w:spacing w:before="60"/>
      </w:pPr>
      <w:r>
        <w:tab/>
        <w:t>(a)</w:t>
      </w:r>
      <w:r>
        <w:tab/>
        <w:t>the right of the winner to be paid the winnings has been extinguished under subsection (3); and</w:t>
      </w:r>
    </w:p>
    <w:p>
      <w:pPr>
        <w:pStyle w:val="Indenta"/>
        <w:keepNext/>
        <w:spacing w:before="60"/>
      </w:pPr>
      <w:r>
        <w:tab/>
        <w:t>(b)</w:t>
      </w:r>
      <w:r>
        <w:tab/>
        <w:t>the winnings are in a form other than money,</w:t>
      </w:r>
    </w:p>
    <w:p>
      <w:pPr>
        <w:pStyle w:val="Subsection"/>
        <w:spacing w:before="140"/>
      </w:pPr>
      <w:r>
        <w:tab/>
      </w:r>
      <w:r>
        <w:tab/>
        <w:t>and any proceeds of that disposal shall be taken to be unclaimed winnings to be dealt with under section 109C.</w:t>
      </w:r>
    </w:p>
    <w:p>
      <w:pPr>
        <w:pStyle w:val="Subsection"/>
        <w:spacing w:before="140"/>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spacing w:before="100"/>
        <w:ind w:left="890" w:hanging="890"/>
      </w:pPr>
      <w:r>
        <w:tab/>
        <w:t>[Section 109B inserted: No. 24 of 1998 s. 68(1); amended: No. 35 of 2003 s. 167.]</w:t>
      </w:r>
    </w:p>
    <w:p>
      <w:pPr>
        <w:pStyle w:val="Heading5"/>
        <w:spacing w:before="180"/>
      </w:pPr>
      <w:bookmarkStart w:id="198" w:name="_Toc131666826"/>
      <w:r>
        <w:rPr>
          <w:rStyle w:val="CharSectno"/>
        </w:rPr>
        <w:t>109C</w:t>
      </w:r>
      <w:r>
        <w:t>.</w:t>
      </w:r>
      <w:r>
        <w:tab/>
        <w:t>Gaming Community Trust Account</w:t>
      </w:r>
      <w:bookmarkEnd w:id="198"/>
    </w:p>
    <w:p>
      <w:pPr>
        <w:pStyle w:val="Subsection"/>
        <w:spacing w:before="100"/>
        <w:rPr>
          <w:rFonts w:eastAsia="Arial Unicode MS"/>
        </w:rPr>
      </w:pPr>
      <w:r>
        <w:tab/>
        <w:t>(1)</w:t>
      </w:r>
      <w:r>
        <w:tab/>
        <w:t xml:space="preserve">An agency special purpose account called the Gaming Community Trust Account </w:t>
      </w:r>
      <w:r>
        <w:rPr>
          <w:bCs/>
        </w:rPr>
        <w:t xml:space="preserve">is established under section 16 </w:t>
      </w:r>
      <w:r>
        <w:t xml:space="preserve">of the </w:t>
      </w:r>
      <w:r>
        <w:rPr>
          <w:i/>
          <w:iCs/>
        </w:rPr>
        <w:t>Financial Management Act 2006</w:t>
      </w:r>
      <w:r>
        <w:t xml:space="preserve"> to which moneys </w:t>
      </w:r>
      <w:r>
        <w:rPr>
          <w:rFonts w:eastAsia="Arial Unicode MS"/>
        </w:rPr>
        <w:t>that are unclaimed winnings —</w:t>
      </w:r>
    </w:p>
    <w:p>
      <w:pPr>
        <w:pStyle w:val="Indenta"/>
        <w:spacing w:before="60"/>
        <w:rPr>
          <w:rFonts w:eastAsia="Arial Unicode MS"/>
        </w:rPr>
      </w:pPr>
      <w:r>
        <w:rPr>
          <w:rFonts w:eastAsia="Arial Unicode MS"/>
        </w:rPr>
        <w:tab/>
        <w:t>(a)</w:t>
      </w:r>
      <w:r>
        <w:rPr>
          <w:rFonts w:eastAsia="Arial Unicode MS"/>
        </w:rPr>
        <w:tab/>
        <w:t>to which section 109B(3) or (4) applies; or</w:t>
      </w:r>
    </w:p>
    <w:p>
      <w:pPr>
        <w:pStyle w:val="Indenta"/>
        <w:spacing w:before="60"/>
        <w:rPr>
          <w:rFonts w:eastAsia="Arial Unicode MS"/>
        </w:rPr>
      </w:pPr>
      <w:r>
        <w:rPr>
          <w:rFonts w:eastAsia="Arial Unicode MS"/>
        </w:rPr>
        <w:tab/>
        <w:t>(b)</w:t>
      </w:r>
      <w:r>
        <w:rPr>
          <w:rFonts w:eastAsia="Arial Unicode MS"/>
        </w:rPr>
        <w:tab/>
        <w:t xml:space="preserve">to which section 15(3) or (4) of the </w:t>
      </w:r>
      <w:r>
        <w:rPr>
          <w:rFonts w:eastAsia="Arial Unicode MS"/>
          <w:i/>
        </w:rPr>
        <w:t>Casino Control Act 1984</w:t>
      </w:r>
      <w:r>
        <w:rPr>
          <w:rFonts w:eastAsia="Arial Unicode MS"/>
        </w:rPr>
        <w:t xml:space="preserve"> applies,</w:t>
      </w:r>
    </w:p>
    <w:p>
      <w:pPr>
        <w:pStyle w:val="Subsection"/>
        <w:spacing w:before="120"/>
        <w:rPr>
          <w:rFonts w:eastAsia="Arial Unicode MS"/>
        </w:rPr>
      </w:pPr>
      <w:r>
        <w:rPr>
          <w:rFonts w:eastAsia="Arial Unicode MS"/>
        </w:rPr>
        <w:tab/>
      </w:r>
      <w:r>
        <w:rPr>
          <w:rFonts w:eastAsia="Arial Unicode MS"/>
        </w:rPr>
        <w:tab/>
        <w:t>are to be credited.</w:t>
      </w:r>
    </w:p>
    <w:p>
      <w:pPr>
        <w:pStyle w:val="Subsection"/>
        <w:spacing w:before="100"/>
      </w:pPr>
      <w:r>
        <w:tab/>
        <w:t>(2)</w:t>
      </w:r>
      <w:r>
        <w:tab/>
        <w:t>The Trust Account shall be applied to purposes recommended by the Trust and approved by the Minister for the benefit of the community.</w:t>
      </w:r>
    </w:p>
    <w:p>
      <w:pPr>
        <w:pStyle w:val="Subsection"/>
        <w:spacing w:before="100"/>
      </w:pPr>
      <w:r>
        <w:tab/>
        <w:t>(3)</w:t>
      </w:r>
      <w:r>
        <w:tab/>
        <w:t>The operation of the Trust Account shall be regarded as —</w:t>
      </w:r>
    </w:p>
    <w:p>
      <w:pPr>
        <w:pStyle w:val="Indenta"/>
        <w:spacing w:before="60"/>
      </w:pPr>
      <w:r>
        <w:tab/>
        <w:t>(a)</w:t>
      </w:r>
      <w:r>
        <w:tab/>
        <w:t xml:space="preserve">a service under the control of the Commission for the purposes of section 52 of the </w:t>
      </w:r>
      <w:r>
        <w:rPr>
          <w:i/>
        </w:rPr>
        <w:t>Financial Management Act 2006</w:t>
      </w:r>
      <w:r>
        <w:rPr>
          <w:iCs/>
        </w:rPr>
        <w:t xml:space="preserve">; </w:t>
      </w:r>
      <w:r>
        <w:t>and</w:t>
      </w:r>
    </w:p>
    <w:p>
      <w:pPr>
        <w:pStyle w:val="Indenta"/>
        <w:keepNext/>
      </w:pPr>
      <w:r>
        <w:lastRenderedPageBreak/>
        <w:tab/>
        <w:t>(b)</w:t>
      </w:r>
      <w:r>
        <w:tab/>
        <w:t>part of the operations of the Commission for the purposes of Part 5 of that Act.</w:t>
      </w:r>
    </w:p>
    <w:p>
      <w:pPr>
        <w:pStyle w:val="Footnotesection"/>
      </w:pPr>
      <w:r>
        <w:tab/>
        <w:t>[Section 109C inserted: No. 24 of 1998 s. 68(1); amended: No. 77 of 2006 Sch. 1 cl. 71(4)-(6).]</w:t>
      </w:r>
    </w:p>
    <w:p>
      <w:pPr>
        <w:pStyle w:val="Heading5"/>
      </w:pPr>
      <w:bookmarkStart w:id="199" w:name="_Toc131666827"/>
      <w:r>
        <w:rPr>
          <w:rStyle w:val="CharSectno"/>
        </w:rPr>
        <w:t>109D</w:t>
      </w:r>
      <w:r>
        <w:t>.</w:t>
      </w:r>
      <w:r>
        <w:tab/>
        <w:t>Gaming Community Trust</w:t>
      </w:r>
      <w:bookmarkEnd w:id="199"/>
    </w:p>
    <w:p>
      <w:pPr>
        <w:pStyle w:val="Subsection"/>
        <w:spacing w:before="100"/>
      </w:pPr>
      <w:r>
        <w:tab/>
        <w:t>(1)</w:t>
      </w:r>
      <w:r>
        <w:tab/>
        <w:t>A body called the Gaming Community Trust is established.</w:t>
      </w:r>
    </w:p>
    <w:p>
      <w:pPr>
        <w:pStyle w:val="Subsection"/>
        <w:spacing w:before="100"/>
      </w:pPr>
      <w:r>
        <w:tab/>
        <w:t>(2)</w:t>
      </w:r>
      <w:r>
        <w:tab/>
        <w:t>The function of the Trust is to give advice and make recommendations to the Minister, on its own initiative or at the request of the Minister, on the application of moneys standing to the credit of the Trust Account for the benefit of the community.</w:t>
      </w:r>
    </w:p>
    <w:p>
      <w:pPr>
        <w:pStyle w:val="Subsection"/>
      </w:pPr>
      <w:r>
        <w:tab/>
        <w:t>(3)</w:t>
      </w:r>
      <w:r>
        <w:tab/>
        <w:t>The Trust shall consist of 5 members as follows —</w:t>
      </w:r>
    </w:p>
    <w:p>
      <w:pPr>
        <w:pStyle w:val="Indenta"/>
      </w:pPr>
      <w:r>
        <w:tab/>
        <w:t>(a)</w:t>
      </w:r>
      <w:r>
        <w:tab/>
        <w:t>the person holding or acting in the office of chairperson of the Commission, who shall be</w:t>
      </w:r>
      <w:r>
        <w:rPr>
          <w:iCs/>
        </w:rPr>
        <w:t xml:space="preserve"> ex officio </w:t>
      </w:r>
      <w:r>
        <w:t>chairman of the Trust; and</w:t>
      </w:r>
    </w:p>
    <w:p>
      <w:pPr>
        <w:pStyle w:val="Indenta"/>
      </w:pPr>
      <w:r>
        <w:tab/>
        <w:t>(b)</w:t>
      </w:r>
      <w:r>
        <w:tab/>
        <w:t xml:space="preserve">one person appointed by the Minister on the nomination of the casino licensee as defined in the </w:t>
      </w:r>
      <w:r>
        <w:rPr>
          <w:i/>
        </w:rPr>
        <w:t>Casino Control Act 1984</w:t>
      </w:r>
      <w:r>
        <w:t xml:space="preserve"> section 3(1);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lastRenderedPageBreak/>
        <w:tab/>
        <w:t>(8)</w:t>
      </w:r>
      <w:r>
        <w:tab/>
        <w:t>The Minister may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Public Sector Commissioner.</w:t>
      </w:r>
    </w:p>
    <w:p>
      <w:pPr>
        <w:pStyle w:val="Subsection"/>
        <w:keepNext/>
      </w:pPr>
      <w:r>
        <w:tab/>
        <w:t>(9)</w:t>
      </w:r>
      <w:r>
        <w:tab/>
        <w:t>In this section —</w:t>
      </w:r>
    </w:p>
    <w:p>
      <w:pPr>
        <w:pStyle w:val="Defstart"/>
      </w:pPr>
      <w:r>
        <w:tab/>
      </w:r>
      <w:r>
        <w:rPr>
          <w:rStyle w:val="CharDefText"/>
        </w:rPr>
        <w:t>appointed member</w:t>
      </w:r>
      <w:r>
        <w:t xml:space="preserve"> means a member appointed by the Minister under subsection (3)(b) or (c).</w:t>
      </w:r>
    </w:p>
    <w:p>
      <w:pPr>
        <w:pStyle w:val="Footnotesection"/>
      </w:pPr>
      <w:r>
        <w:tab/>
        <w:t>[Section 109D inserted: No. 24 of 1998 s. 68(1); amended: No. 35 of 2003 s. 168; No. 77 of 2006 Sch. 1 cl. 71(7); No. 39 of 2010 s. 89; No. 41 of 2018 s. 24.]</w:t>
      </w:r>
    </w:p>
    <w:p>
      <w:pPr>
        <w:pStyle w:val="Heading2"/>
      </w:pPr>
      <w:bookmarkStart w:id="200" w:name="_Toc115166679"/>
      <w:bookmarkStart w:id="201" w:name="_Toc115166836"/>
      <w:bookmarkStart w:id="202" w:name="_Toc115267910"/>
      <w:bookmarkStart w:id="203" w:name="_Toc131666828"/>
      <w:r>
        <w:rPr>
          <w:rStyle w:val="CharPartNo"/>
        </w:rPr>
        <w:lastRenderedPageBreak/>
        <w:t>Part VA</w:t>
      </w:r>
      <w:r>
        <w:rPr>
          <w:rStyle w:val="CharDivNo"/>
        </w:rPr>
        <w:t> </w:t>
      </w:r>
      <w:r>
        <w:t>—</w:t>
      </w:r>
      <w:r>
        <w:rPr>
          <w:rStyle w:val="CharDivText"/>
        </w:rPr>
        <w:t> </w:t>
      </w:r>
      <w:r>
        <w:rPr>
          <w:rStyle w:val="CharPartText"/>
        </w:rPr>
        <w:t>Supervision of RWWA</w:t>
      </w:r>
      <w:bookmarkEnd w:id="200"/>
      <w:bookmarkEnd w:id="201"/>
      <w:bookmarkEnd w:id="202"/>
      <w:bookmarkEnd w:id="203"/>
    </w:p>
    <w:p>
      <w:pPr>
        <w:pStyle w:val="Footnoteheading"/>
        <w:tabs>
          <w:tab w:val="left" w:pos="910"/>
        </w:tabs>
      </w:pPr>
      <w:r>
        <w:tab/>
        <w:t>[Heading inserted: No. 35 of 2003 s. 161.]</w:t>
      </w:r>
    </w:p>
    <w:p>
      <w:pPr>
        <w:pStyle w:val="Heading5"/>
      </w:pPr>
      <w:bookmarkStart w:id="204" w:name="_Toc131666829"/>
      <w:r>
        <w:rPr>
          <w:rStyle w:val="CharSectno"/>
        </w:rPr>
        <w:t>109E</w:t>
      </w:r>
      <w:r>
        <w:t>.</w:t>
      </w:r>
      <w:r>
        <w:tab/>
        <w:t>Gambling operations of RWWA, meaning of</w:t>
      </w:r>
      <w:bookmarkEnd w:id="204"/>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No. 35 of 2003 s. 161.]</w:t>
      </w:r>
    </w:p>
    <w:p>
      <w:pPr>
        <w:pStyle w:val="Heading5"/>
      </w:pPr>
      <w:bookmarkStart w:id="205" w:name="_Toc131666830"/>
      <w:r>
        <w:rPr>
          <w:rStyle w:val="CharSectno"/>
        </w:rPr>
        <w:t>109F</w:t>
      </w:r>
      <w:r>
        <w:t>.</w:t>
      </w:r>
      <w:r>
        <w:tab/>
        <w:t>Supervision of RWWA by Commission etc.</w:t>
      </w:r>
      <w:bookmarkEnd w:id="205"/>
    </w:p>
    <w:p>
      <w:pPr>
        <w:pStyle w:val="Subsection"/>
      </w:pPr>
      <w:r>
        <w:tab/>
        <w:t>(1)</w:t>
      </w:r>
      <w:r>
        <w:tab/>
        <w:t xml:space="preserve">Without limiting sections 20 to 20C of the </w:t>
      </w:r>
      <w:r>
        <w:rPr>
          <w:i/>
        </w:rPr>
        <w:t>Betting Control Act 1954</w:t>
      </w:r>
      <w:r>
        <w:t>, the Commission and an authorised officer have and may exercise in relation to —</w:t>
      </w:r>
    </w:p>
    <w:p>
      <w:pPr>
        <w:pStyle w:val="Indenta"/>
      </w:pPr>
      <w:r>
        <w:tab/>
        <w:t>(a)</w:t>
      </w:r>
      <w:r>
        <w:tab/>
        <w:t>RWWA, the directors of the board of RWWA, the employees, officers and agents of RWWA, and the premises and property of RWWA; and</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No. 35 of 2003 s. 161.]</w:t>
      </w:r>
    </w:p>
    <w:p>
      <w:pPr>
        <w:pStyle w:val="Heading5"/>
      </w:pPr>
      <w:bookmarkStart w:id="206" w:name="_Toc131666831"/>
      <w:r>
        <w:rPr>
          <w:rStyle w:val="CharSectno"/>
        </w:rPr>
        <w:lastRenderedPageBreak/>
        <w:t>109G</w:t>
      </w:r>
      <w:r>
        <w:t>.</w:t>
      </w:r>
      <w:r>
        <w:tab/>
        <w:t>Directions to RWWA, Commission may give</w:t>
      </w:r>
      <w:bookmarkEnd w:id="206"/>
    </w:p>
    <w:p>
      <w:pPr>
        <w:pStyle w:val="Subsection"/>
      </w:pPr>
      <w:r>
        <w:tab/>
        <w:t>(1)</w:t>
      </w:r>
      <w:r>
        <w:tab/>
        <w:t>The Commission may give directions to RWWA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No. 35 of 2003 s. 161.]</w:t>
      </w:r>
    </w:p>
    <w:p>
      <w:pPr>
        <w:pStyle w:val="Heading5"/>
      </w:pPr>
      <w:bookmarkStart w:id="207" w:name="_Toc131666832"/>
      <w:r>
        <w:rPr>
          <w:rStyle w:val="CharSectno"/>
        </w:rPr>
        <w:t>109H</w:t>
      </w:r>
      <w:r>
        <w:t>.</w:t>
      </w:r>
      <w:r>
        <w:tab/>
        <w:t>RWWA must comply with directions</w:t>
      </w:r>
      <w:bookmarkEnd w:id="207"/>
    </w:p>
    <w:p>
      <w:pPr>
        <w:pStyle w:val="Subsection"/>
      </w:pPr>
      <w:r>
        <w:tab/>
        <w:t>(1)</w:t>
      </w:r>
      <w:r>
        <w:tab/>
        <w:t xml:space="preserve">RWWA must ensure that any direction given to it under section 109G, or section 52 of the RWWA Act, is brought to the notice of, and not contravened by, any person who is </w:t>
      </w:r>
      <w:r>
        <w:lastRenderedPageBreak/>
        <w:t>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If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for this subsection: a fine of $5 000.</w:t>
      </w:r>
    </w:p>
    <w:p>
      <w:pPr>
        <w:pStyle w:val="Footnotesection"/>
      </w:pPr>
      <w:r>
        <w:tab/>
        <w:t>[Section 109H inserted: No. 35 of 2003 s. 161; amended: No. 41 of 2018 s. 25(1).]</w:t>
      </w:r>
    </w:p>
    <w:p>
      <w:pPr>
        <w:pStyle w:val="Heading5"/>
      </w:pPr>
      <w:bookmarkStart w:id="208" w:name="_Toc131666833"/>
      <w:r>
        <w:rPr>
          <w:rStyle w:val="CharSectno"/>
        </w:rPr>
        <w:t>109I</w:t>
      </w:r>
      <w:r>
        <w:t>.</w:t>
      </w:r>
      <w:r>
        <w:tab/>
        <w:t>Complaints about RWWA, Commission’s functions as to</w:t>
      </w:r>
      <w:bookmarkEnd w:id="208"/>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No. 35 of 2003 s. 161.]</w:t>
      </w:r>
    </w:p>
    <w:p>
      <w:pPr>
        <w:pStyle w:val="Heading5"/>
      </w:pPr>
      <w:bookmarkStart w:id="209" w:name="_Toc131666834"/>
      <w:r>
        <w:rPr>
          <w:rStyle w:val="CharSectno"/>
        </w:rPr>
        <w:t>109J</w:t>
      </w:r>
      <w:r>
        <w:t>.</w:t>
      </w:r>
      <w:r>
        <w:tab/>
        <w:t>Reports on and inquiries into RWWA</w:t>
      </w:r>
      <w:bookmarkEnd w:id="209"/>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keepNext/>
      </w:pPr>
      <w:r>
        <w:lastRenderedPageBreak/>
        <w:tab/>
        <w:t>(3)</w:t>
      </w:r>
      <w:r>
        <w:tab/>
        <w:t>Related matters that may be made the subject of an inquiry include —</w:t>
      </w:r>
    </w:p>
    <w:p>
      <w:pPr>
        <w:pStyle w:val="Indenta"/>
      </w:pPr>
      <w:r>
        <w:tab/>
        <w:t>(a)</w:t>
      </w:r>
      <w:r>
        <w:tab/>
        <w:t>gambling operations of RWWA; and</w:t>
      </w:r>
    </w:p>
    <w:p>
      <w:pPr>
        <w:pStyle w:val="Indenta"/>
      </w:pPr>
      <w:r>
        <w:tab/>
        <w:t>(b)</w:t>
      </w:r>
      <w:r>
        <w:tab/>
        <w:t>RWWA’s compliance with the RWWA Act, this Act and other written laws; and</w:t>
      </w:r>
    </w:p>
    <w:p>
      <w:pPr>
        <w:pStyle w:val="Indenta"/>
      </w:pPr>
      <w:r>
        <w:tab/>
        <w:t>(c)</w:t>
      </w:r>
      <w:r>
        <w:tab/>
        <w:t>suspected corruption; and</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A direction given under subsection (2)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lastRenderedPageBreak/>
        <w:tab/>
        <w:t>[Section 109J inserted: No. 35 of 2003 s. 161.]</w:t>
      </w:r>
    </w:p>
    <w:p>
      <w:pPr>
        <w:pStyle w:val="Heading5"/>
      </w:pPr>
      <w:bookmarkStart w:id="210" w:name="_Toc131666835"/>
      <w:r>
        <w:rPr>
          <w:rStyle w:val="CharSectno"/>
        </w:rPr>
        <w:t>109K</w:t>
      </w:r>
      <w:r>
        <w:t>.</w:t>
      </w:r>
      <w:r>
        <w:tab/>
        <w:t>Report or inquiry under s. 109J, Minister’s powers following</w:t>
      </w:r>
      <w:bookmarkEnd w:id="210"/>
    </w:p>
    <w:p>
      <w:pPr>
        <w:pStyle w:val="Subsection"/>
      </w:pPr>
      <w:r>
        <w:tab/>
        <w:t>(1)</w:t>
      </w:r>
      <w:r>
        <w:tab/>
        <w:t>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After receiving and considering each submission served under subsection (2) the Minister may, subject to subsection (4) and if the Minister considers it in the public interest to do so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lastRenderedPageBreak/>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No. 35 of 2003 s. 161.]</w:t>
      </w:r>
    </w:p>
    <w:p>
      <w:pPr>
        <w:pStyle w:val="Heading2"/>
      </w:pPr>
      <w:bookmarkStart w:id="211" w:name="_Toc115166687"/>
      <w:bookmarkStart w:id="212" w:name="_Toc115166844"/>
      <w:bookmarkStart w:id="213" w:name="_Toc115267918"/>
      <w:bookmarkStart w:id="214" w:name="_Toc131666836"/>
      <w:r>
        <w:rPr>
          <w:rStyle w:val="CharPartNo"/>
        </w:rPr>
        <w:lastRenderedPageBreak/>
        <w:t>Part VI</w:t>
      </w:r>
      <w:r>
        <w:rPr>
          <w:rStyle w:val="CharDivNo"/>
        </w:rPr>
        <w:t> </w:t>
      </w:r>
      <w:r>
        <w:t>—</w:t>
      </w:r>
      <w:r>
        <w:rPr>
          <w:rStyle w:val="CharDivText"/>
        </w:rPr>
        <w:t> </w:t>
      </w:r>
      <w:r>
        <w:rPr>
          <w:rStyle w:val="CharPartText"/>
        </w:rPr>
        <w:t>Ancillary</w:t>
      </w:r>
      <w:bookmarkEnd w:id="211"/>
      <w:bookmarkEnd w:id="212"/>
      <w:bookmarkEnd w:id="213"/>
      <w:bookmarkEnd w:id="214"/>
    </w:p>
    <w:p>
      <w:pPr>
        <w:pStyle w:val="Heading5"/>
        <w:rPr>
          <w:snapToGrid w:val="0"/>
        </w:rPr>
      </w:pPr>
      <w:bookmarkStart w:id="215" w:name="_Toc131666837"/>
      <w:r>
        <w:rPr>
          <w:rStyle w:val="CharSectno"/>
        </w:rPr>
        <w:t>110</w:t>
      </w:r>
      <w:r>
        <w:rPr>
          <w:snapToGrid w:val="0"/>
        </w:rPr>
        <w:t>.</w:t>
      </w:r>
      <w:r>
        <w:rPr>
          <w:snapToGrid w:val="0"/>
        </w:rPr>
        <w:tab/>
        <w:t>Gambling on premises licensed for retail sale of liquor</w:t>
      </w:r>
      <w:bookmarkEnd w:id="215"/>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iCs/>
        </w:rPr>
        <w:t>Liquor Control Act 1988</w:t>
      </w:r>
      <w:r>
        <w:t xml:space="preserve"> </w:t>
      </w:r>
      <w:r>
        <w:rPr>
          <w:snapToGrid w:val="0"/>
        </w:rPr>
        <w:t>unless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 or</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iCs/>
        </w:rPr>
        <w:t>Liquor Control Act 1988</w:t>
      </w:r>
      <w:r>
        <w:t xml:space="preserve"> </w:t>
      </w:r>
      <w:r>
        <w:rPr>
          <w:snapToGrid w:val="0"/>
        </w:rPr>
        <w:t>in a part of the premises to which the public have access, the Commission shall ensure that such conditions are imposed as are necessary to secure that any such gaming in that part of the premises does not take place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[Section 110 amended: No. 125 of 1987 s. 33; No. 16 of 1990 s. 33; No. 24 of 1998 s. 69; No. 35 of 2003 s. 162 and 166; No. 73 of 2006 s. 114.]</w:t>
      </w:r>
    </w:p>
    <w:p>
      <w:pPr>
        <w:pStyle w:val="Heading5"/>
      </w:pPr>
      <w:bookmarkStart w:id="216" w:name="_Toc131666838"/>
      <w:r>
        <w:rPr>
          <w:rStyle w:val="CharSectno"/>
        </w:rPr>
        <w:lastRenderedPageBreak/>
        <w:t>110A</w:t>
      </w:r>
      <w:r>
        <w:t>.</w:t>
      </w:r>
      <w:r>
        <w:tab/>
        <w:t>Sports Wagering Account</w:t>
      </w:r>
      <w:bookmarkEnd w:id="216"/>
    </w:p>
    <w:p>
      <w:pPr>
        <w:pStyle w:val="Subsection"/>
      </w:pPr>
      <w:r>
        <w:tab/>
        <w:t>(1)</w:t>
      </w:r>
      <w:r>
        <w:tab/>
        <w:t>An account called the Sports Wagering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moneys paid by RWWA under section 104 of the RWWA Act are to be credited.</w:t>
      </w:r>
    </w:p>
    <w:p>
      <w:pPr>
        <w:pStyle w:val="Ednotesubsection"/>
      </w:pPr>
      <w:r>
        <w:tab/>
        <w:t>[(2)</w:t>
      </w:r>
      <w:r>
        <w:tab/>
        <w:t>deleted]</w:t>
      </w:r>
    </w:p>
    <w:p>
      <w:pPr>
        <w:pStyle w:val="Subsection"/>
      </w:pPr>
      <w:r>
        <w:tab/>
        <w:t>(3)</w:t>
      </w:r>
      <w:r>
        <w:tab/>
        <w:t>The Sports Wagering Account shall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The Commission shall, at quarterly intervals, notify the Minister of the Crown responsible for sport and recreation of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The Commission on being directed by the Minister of the Crown responsible for sport and recreation, shall distribute the moneys referred to in subsection (1) and the moneys from time to time standing to the credit of the Sports Wagering Account —</w:t>
      </w:r>
    </w:p>
    <w:p>
      <w:pPr>
        <w:pStyle w:val="Indenta"/>
      </w:pPr>
      <w:r>
        <w:tab/>
        <w:t>(a)</w:t>
      </w:r>
      <w:r>
        <w:tab/>
        <w:t>to the persons or bodies of persons; and</w:t>
      </w:r>
    </w:p>
    <w:p>
      <w:pPr>
        <w:pStyle w:val="Indenta"/>
      </w:pPr>
      <w:r>
        <w:tab/>
        <w:t>(b)</w:t>
      </w:r>
      <w:r>
        <w:tab/>
        <w:t>for the purposes; and</w:t>
      </w:r>
    </w:p>
    <w:p>
      <w:pPr>
        <w:pStyle w:val="Indenta"/>
        <w:keepNext/>
      </w:pPr>
      <w:r>
        <w:lastRenderedPageBreak/>
        <w:tab/>
        <w:t>(c)</w:t>
      </w:r>
      <w:r>
        <w:tab/>
        <w:t>in the respective amounts,</w:t>
      </w:r>
    </w:p>
    <w:p>
      <w:pPr>
        <w:pStyle w:val="Subsection"/>
      </w:pPr>
      <w:r>
        <w:tab/>
      </w:r>
      <w:r>
        <w:tab/>
        <w:t>directed by that Minister.</w:t>
      </w:r>
    </w:p>
    <w:p>
      <w:pPr>
        <w:pStyle w:val="Footnotesection"/>
      </w:pPr>
      <w:r>
        <w:tab/>
        <w:t>[Section 110A inserted: No. 35 of 2003 s. 163; amended: No. 28 of 2006 s. 403; No. 77 of 2006 Sch. 1 cl. 71(8); No. 37 of 2018 s. 66.]</w:t>
      </w:r>
    </w:p>
    <w:p>
      <w:pPr>
        <w:pStyle w:val="Heading5"/>
      </w:pPr>
      <w:bookmarkStart w:id="217" w:name="_Toc131666839"/>
      <w:r>
        <w:rPr>
          <w:rStyle w:val="CharSectno"/>
        </w:rPr>
        <w:t>110B</w:t>
      </w:r>
      <w:r>
        <w:t>.</w:t>
      </w:r>
      <w:r>
        <w:tab/>
        <w:t>Racing Bets Levy Account</w:t>
      </w:r>
      <w:bookmarkEnd w:id="217"/>
    </w:p>
    <w:p>
      <w:pPr>
        <w:pStyle w:val="Subsection"/>
      </w:pPr>
      <w:r>
        <w:tab/>
        <w:t>(1)</w:t>
      </w:r>
      <w:r>
        <w:tab/>
        <w:t>An account called the Racing Bets Levy Account is to be established —</w:t>
      </w:r>
    </w:p>
    <w:p>
      <w:pPr>
        <w:pStyle w:val="Indenta"/>
      </w:pPr>
      <w:r>
        <w:tab/>
        <w:t>(a)</w:t>
      </w:r>
      <w:r>
        <w:tab/>
        <w:t xml:space="preserve">as an agency special purpose account under the </w:t>
      </w:r>
      <w:r>
        <w:rPr>
          <w:i/>
          <w:iCs/>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r>
      <w:r>
        <w:tab/>
        <w:t xml:space="preserve">to which the Commission must credit moneys paid to or recovered by the Commission under the </w:t>
      </w:r>
      <w:r>
        <w:rPr>
          <w:i/>
        </w:rPr>
        <w:t>Betting Control Act 1954</w:t>
      </w:r>
      <w:r>
        <w:t xml:space="preserve"> section 14A.</w:t>
      </w:r>
    </w:p>
    <w:p>
      <w:pPr>
        <w:pStyle w:val="Subsection"/>
      </w:pPr>
      <w:r>
        <w:tab/>
        <w:t>(2)</w:t>
      </w:r>
      <w:r>
        <w:tab/>
        <w:t>The Racing Bets Levy Account is to be administered by the Commission.</w:t>
      </w:r>
    </w:p>
    <w:p>
      <w:pPr>
        <w:pStyle w:val="Subsection"/>
      </w:pPr>
      <w:r>
        <w:tab/>
        <w:t>(3)</w:t>
      </w:r>
      <w:r>
        <w:tab/>
        <w:t>The Racing Bets Levy Account is to be applied for the purpose of the payment of the outgoings and expenses referred to in subsection (4)(a).</w:t>
      </w:r>
    </w:p>
    <w:p>
      <w:pPr>
        <w:pStyle w:val="Subsection"/>
      </w:pPr>
      <w:r>
        <w:tab/>
        <w:t>(4)</w:t>
      </w:r>
      <w:r>
        <w:tab/>
        <w:t>The Commission is to —</w:t>
      </w:r>
    </w:p>
    <w:p>
      <w:pPr>
        <w:pStyle w:val="Indenta"/>
      </w:pPr>
      <w:r>
        <w:tab/>
        <w:t>(a)</w:t>
      </w:r>
      <w:r>
        <w:tab/>
        <w:t>withdraw from the Racing Bets Levy Account, at monthly intervals, a sum approved by the Minister for outgoings and expenses incurred by the Commission in administering the Account; and</w:t>
      </w:r>
    </w:p>
    <w:p>
      <w:pPr>
        <w:pStyle w:val="Indenta"/>
      </w:pPr>
      <w:r>
        <w:tab/>
        <w:t>(b)</w:t>
      </w:r>
      <w:r>
        <w:tab/>
        <w:t>pay or credit, at prescribed intervals, the balance of that Account in accordance with this section.</w:t>
      </w:r>
    </w:p>
    <w:p>
      <w:pPr>
        <w:pStyle w:val="Subsection"/>
      </w:pPr>
      <w:r>
        <w:tab/>
        <w:t>(5)</w:t>
      </w:r>
      <w:r>
        <w:tab/>
        <w:t>The balance of the Racing Bets Levy Account is to be paid or credited to RWWA or paid or credited by the Commission, in such amounts as it determines, to the following —</w:t>
      </w:r>
    </w:p>
    <w:p>
      <w:pPr>
        <w:pStyle w:val="Indenta"/>
        <w:spacing w:before="60"/>
      </w:pPr>
      <w:r>
        <w:tab/>
        <w:t>(a)</w:t>
      </w:r>
      <w:r>
        <w:tab/>
        <w:t>thoroughbred racing clubs registered with RWWA;</w:t>
      </w:r>
    </w:p>
    <w:p>
      <w:pPr>
        <w:pStyle w:val="Indenta"/>
        <w:spacing w:before="60"/>
      </w:pPr>
      <w:r>
        <w:lastRenderedPageBreak/>
        <w:tab/>
        <w:t>(b)</w:t>
      </w:r>
      <w:r>
        <w:tab/>
        <w:t>harness racing clubs registered with RWWA;</w:t>
      </w:r>
    </w:p>
    <w:p>
      <w:pPr>
        <w:pStyle w:val="Indenta"/>
        <w:spacing w:before="60"/>
      </w:pPr>
      <w:r>
        <w:tab/>
        <w:t>(c)</w:t>
      </w:r>
      <w:r>
        <w:tab/>
        <w:t>greyhound racing clubs registered with RWWA.</w:t>
      </w:r>
    </w:p>
    <w:p>
      <w:pPr>
        <w:pStyle w:val="Footnotesection"/>
      </w:pPr>
      <w:r>
        <w:tab/>
        <w:t>[Section 110B inserted: No. 29 of 2009 s. 20.]</w:t>
      </w:r>
    </w:p>
    <w:p>
      <w:pPr>
        <w:pStyle w:val="Heading5"/>
        <w:spacing w:before="200"/>
        <w:rPr>
          <w:snapToGrid w:val="0"/>
        </w:rPr>
      </w:pPr>
      <w:bookmarkStart w:id="218" w:name="_Toc131666840"/>
      <w:r>
        <w:rPr>
          <w:rStyle w:val="CharSectno"/>
        </w:rPr>
        <w:t>111</w:t>
      </w:r>
      <w:r>
        <w:rPr>
          <w:snapToGrid w:val="0"/>
        </w:rPr>
        <w:t>.</w:t>
      </w:r>
      <w:r>
        <w:rPr>
          <w:snapToGrid w:val="0"/>
        </w:rPr>
        <w:tab/>
        <w:t>Burswood Casino Agreement cl. 22, when Commission may decide questions as to</w:t>
      </w:r>
      <w:bookmarkEnd w:id="218"/>
    </w:p>
    <w:p>
      <w:pPr>
        <w:pStyle w:val="Subsection"/>
        <w:spacing w:before="100"/>
        <w:rPr>
          <w:snapToGrid w:val="0"/>
        </w:rPr>
      </w:pPr>
      <w:r>
        <w:rPr>
          <w:snapToGrid w:val="0"/>
        </w:rPr>
        <w:tab/>
      </w:r>
      <w:r>
        <w:rPr>
          <w:snapToGrid w:val="0"/>
        </w:rPr>
        <w:tab/>
        <w:t xml:space="preserve">In </w:t>
      </w:r>
      <w:r>
        <w:t>relation</w:t>
      </w:r>
      <w:r>
        <w:rPr>
          <w:snapToGrid w:val="0"/>
        </w:rPr>
        <w:t xml:space="preserve"> to the Agreement to which the </w:t>
      </w:r>
      <w:r>
        <w:rPr>
          <w:i/>
          <w:snapToGrid w:val="0"/>
        </w:rPr>
        <w:t>Casino (Burswood Island)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w:t>
      </w:r>
    </w:p>
    <w:p>
      <w:pPr>
        <w:pStyle w:val="Indenta"/>
        <w:spacing w:before="60"/>
        <w:rPr>
          <w:snapToGrid w:val="0"/>
        </w:rPr>
      </w:pPr>
      <w:r>
        <w:rPr>
          <w:snapToGrid w:val="0"/>
        </w:rPr>
        <w:tab/>
        <w:t>(a)</w:t>
      </w:r>
      <w:r>
        <w:rPr>
          <w:snapToGrid w:val="0"/>
        </w:rPr>
        <w:tab/>
        <w:t>the Trustee referred to in that Agreement; or</w:t>
      </w:r>
    </w:p>
    <w:p>
      <w:pPr>
        <w:pStyle w:val="Indenta"/>
        <w:spacing w:before="60"/>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spacing w:before="200"/>
        <w:rPr>
          <w:snapToGrid w:val="0"/>
        </w:rPr>
      </w:pPr>
      <w:bookmarkStart w:id="219" w:name="_Toc131666841"/>
      <w:r>
        <w:rPr>
          <w:rStyle w:val="CharSectno"/>
        </w:rPr>
        <w:t>112</w:t>
      </w:r>
      <w:r>
        <w:rPr>
          <w:snapToGrid w:val="0"/>
        </w:rPr>
        <w:t>.</w:t>
      </w:r>
      <w:r>
        <w:rPr>
          <w:snapToGrid w:val="0"/>
        </w:rPr>
        <w:tab/>
        <w:t xml:space="preserve">Transitional provisions as to </w:t>
      </w:r>
      <w:r>
        <w:rPr>
          <w:i/>
          <w:snapToGrid w:val="0"/>
        </w:rPr>
        <w:t>Casino Control Act 1984</w:t>
      </w:r>
      <w:bookmarkEnd w:id="219"/>
    </w:p>
    <w:p>
      <w:pPr>
        <w:pStyle w:val="Subsection"/>
        <w:spacing w:before="100"/>
        <w:rPr>
          <w:snapToGrid w:val="0"/>
        </w:rPr>
      </w:pPr>
      <w:r>
        <w:rPr>
          <w:snapToGrid w:val="0"/>
        </w:rPr>
        <w:tab/>
        <w:t>(1)</w:t>
      </w:r>
      <w:r>
        <w:rPr>
          <w:snapToGrid w:val="0"/>
        </w:rPr>
        <w:tab/>
        <w:t xml:space="preserve">On and </w:t>
      </w:r>
      <w:r>
        <w:t>after</w:t>
      </w:r>
      <w:r>
        <w:rPr>
          <w:snapToGrid w:val="0"/>
        </w:rPr>
        <w:t xml:space="preserve">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spacing w:before="100"/>
        <w:rPr>
          <w:snapToGrid w:val="0"/>
        </w:rPr>
      </w:pPr>
      <w:r>
        <w:rPr>
          <w:snapToGrid w:val="0"/>
        </w:rPr>
        <w:tab/>
        <w:t>(2)</w:t>
      </w:r>
      <w:r>
        <w:rPr>
          <w:snapToGrid w:val="0"/>
        </w:rPr>
        <w:tab/>
        <w:t xml:space="preserve">A </w:t>
      </w:r>
      <w:r>
        <w:t>reference</w:t>
      </w:r>
      <w:r>
        <w:rPr>
          <w:snapToGrid w:val="0"/>
        </w:rPr>
        <w:t xml:space="preserve"> to the Casino Control Committee —</w:t>
      </w:r>
    </w:p>
    <w:p>
      <w:pPr>
        <w:pStyle w:val="Indenta"/>
        <w:spacing w:before="60"/>
        <w:rPr>
          <w:snapToGrid w:val="0"/>
        </w:rPr>
      </w:pPr>
      <w:r>
        <w:rPr>
          <w:snapToGrid w:val="0"/>
        </w:rPr>
        <w:tab/>
        <w:t>(a)</w:t>
      </w:r>
      <w:r>
        <w:rPr>
          <w:snapToGrid w:val="0"/>
        </w:rPr>
        <w:tab/>
        <w:t>in any written law passed or made; or</w:t>
      </w:r>
    </w:p>
    <w:p>
      <w:pPr>
        <w:pStyle w:val="Indenta"/>
        <w:spacing w:before="60"/>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keepNext/>
        <w:spacing w:before="100"/>
        <w:rPr>
          <w:snapToGrid w:val="0"/>
        </w:rPr>
      </w:pPr>
      <w:r>
        <w:rPr>
          <w:snapToGrid w:val="0"/>
        </w:rPr>
        <w:lastRenderedPageBreak/>
        <w:tab/>
      </w:r>
      <w:r>
        <w:rPr>
          <w:snapToGrid w:val="0"/>
        </w:rPr>
        <w:tab/>
        <w:t xml:space="preserve">before the </w:t>
      </w:r>
      <w:r>
        <w:t>coming</w:t>
      </w:r>
      <w:r>
        <w:rPr>
          <w:snapToGrid w:val="0"/>
        </w:rPr>
        <w:t xml:space="preserve"> into operation of section 4 shall, unless the context is such that it would be inappropriate so to do, be read and construed as a reference to the Commission.</w:t>
      </w:r>
    </w:p>
    <w:p>
      <w:pPr>
        <w:pStyle w:val="Footnotesection"/>
      </w:pPr>
      <w:r>
        <w:tab/>
        <w:t>[Section 112 amended: No. 24 of 1998 s. 70.]</w:t>
      </w:r>
    </w:p>
    <w:p>
      <w:pPr>
        <w:pStyle w:val="Ednotesection"/>
      </w:pPr>
      <w:r>
        <w:t>[</w:t>
      </w:r>
      <w:r>
        <w:rPr>
          <w:b/>
        </w:rPr>
        <w:t>113.</w:t>
      </w:r>
      <w:r>
        <w:tab/>
        <w:t>Deleted: No. 16 of 1990 s. 33.]</w:t>
      </w:r>
    </w:p>
    <w:p>
      <w:pPr>
        <w:pStyle w:val="Ednotesection"/>
        <w:keepNext/>
      </w:pPr>
      <w:r>
        <w:t>[</w:t>
      </w:r>
      <w:r>
        <w:rPr>
          <w:b/>
        </w:rPr>
        <w:t>114.</w:t>
      </w:r>
      <w:r>
        <w:tab/>
        <w:t>Deleted: No. 24 of 1998 s. 71.]</w:t>
      </w:r>
    </w:p>
    <w:p>
      <w:pPr>
        <w:pStyle w:val="Ednotesection"/>
        <w:keepNext/>
      </w:pPr>
      <w:r>
        <w:t>[</w:t>
      </w:r>
      <w:r>
        <w:rPr>
          <w:b/>
        </w:rPr>
        <w:t>115.</w:t>
      </w:r>
      <w:r>
        <w:tab/>
        <w:t>Deleted: No. 35 of 2003 s. 164.]</w:t>
      </w:r>
    </w:p>
    <w:p>
      <w:pPr>
        <w:pStyle w:val="Ednotesection"/>
      </w:pPr>
      <w:r>
        <w:t>[</w:t>
      </w:r>
      <w:r>
        <w:rPr>
          <w:b/>
          <w:bCs/>
        </w:rPr>
        <w:t>116.</w:t>
      </w:r>
      <w:r>
        <w:tab/>
        <w:t>Omitted under the Reprints Act 1984 s. 7(4)(e).]</w:t>
      </w:r>
    </w:p>
    <w:p>
      <w:pPr>
        <w:pStyle w:val="Heading5"/>
        <w:rPr>
          <w:snapToGrid w:val="0"/>
        </w:rPr>
      </w:pPr>
      <w:bookmarkStart w:id="220" w:name="_Toc131666842"/>
      <w:r>
        <w:rPr>
          <w:rStyle w:val="CharSectno"/>
        </w:rPr>
        <w:t>117</w:t>
      </w:r>
      <w:r>
        <w:rPr>
          <w:snapToGrid w:val="0"/>
        </w:rPr>
        <w:t>.</w:t>
      </w:r>
      <w:r>
        <w:rPr>
          <w:snapToGrid w:val="0"/>
        </w:rPr>
        <w:tab/>
        <w:t>Regulations</w:t>
      </w:r>
      <w:bookmarkEnd w:id="220"/>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w:t>
      </w:r>
    </w:p>
    <w:p>
      <w:pPr>
        <w:pStyle w:val="Indenta"/>
        <w:rPr>
          <w:snapToGrid w:val="0"/>
        </w:rPr>
      </w:pPr>
      <w:r>
        <w:rPr>
          <w:snapToGrid w:val="0"/>
        </w:rPr>
        <w:tab/>
        <w:t>(a)</w:t>
      </w:r>
      <w:r>
        <w:rPr>
          <w:snapToGrid w:val="0"/>
        </w:rPr>
        <w:tab/>
        <w:t>for securing that gaming in respect of which a permit is for the time being in force is fairly and properly conducted; and</w:t>
      </w:r>
    </w:p>
    <w:p>
      <w:pPr>
        <w:pStyle w:val="Indenta"/>
        <w:rPr>
          <w:snapToGrid w:val="0"/>
        </w:rPr>
      </w:pPr>
      <w:r>
        <w:rPr>
          <w:snapToGrid w:val="0"/>
        </w:rPr>
        <w:tab/>
        <w:t>(b)</w:t>
      </w:r>
      <w:r>
        <w:rPr>
          <w:snapToGrid w:val="0"/>
        </w:rPr>
        <w:tab/>
        <w:t>for the prevention of fraud, cheating or corruption; and</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w:t>
      </w:r>
      <w:r>
        <w:t xml:space="preserve"> Commission; and</w:t>
      </w:r>
    </w:p>
    <w:p>
      <w:pPr>
        <w:pStyle w:val="Indenta"/>
      </w:pPr>
      <w:r>
        <w:tab/>
        <w:t>(e)</w:t>
      </w:r>
      <w:r>
        <w:tab/>
        <w:t>for regulating (including prohibiting advertisements of a type that are not in the public interest) the content of advertisements that convey, or are likely to be understood as conveying, the existence (in this State or elsewhere) of —</w:t>
      </w:r>
    </w:p>
    <w:p>
      <w:pPr>
        <w:pStyle w:val="Indenti"/>
      </w:pPr>
      <w:r>
        <w:tab/>
        <w:t>(i)</w:t>
      </w:r>
      <w:r>
        <w:tab/>
        <w:t>a person referred to in section 43A(3)(a) to (da); or</w:t>
      </w:r>
    </w:p>
    <w:p>
      <w:pPr>
        <w:pStyle w:val="Indenti"/>
        <w:keepNext/>
      </w:pPr>
      <w:r>
        <w:lastRenderedPageBreak/>
        <w:tab/>
        <w:t>(ii)</w:t>
      </w:r>
      <w:r>
        <w:tab/>
        <w:t>a person or class of person prescribed under section 43A(3)(d).</w:t>
      </w:r>
    </w:p>
    <w:p>
      <w:pPr>
        <w:pStyle w:val="Footnotesection"/>
      </w:pPr>
      <w:r>
        <w:tab/>
        <w:t>[Section 117 amended: No. 35 of 2003 s. 165; No. 29 of 2009 s. 21.]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21" w:name="_Toc115166694"/>
      <w:bookmarkStart w:id="222" w:name="_Toc115166851"/>
      <w:bookmarkStart w:id="223" w:name="_Toc115267925"/>
      <w:bookmarkStart w:id="224" w:name="_Toc131666843"/>
      <w:r>
        <w:lastRenderedPageBreak/>
        <w:t>Notes</w:t>
      </w:r>
      <w:bookmarkEnd w:id="221"/>
      <w:bookmarkEnd w:id="222"/>
      <w:bookmarkEnd w:id="223"/>
      <w:bookmarkEnd w:id="224"/>
    </w:p>
    <w:p>
      <w:pPr>
        <w:pStyle w:val="nStatement"/>
      </w:pPr>
      <w:r>
        <w:t xml:space="preserve">This is a compilation of the </w:t>
      </w:r>
      <w:r>
        <w:rPr>
          <w:i/>
          <w:noProof/>
        </w:rPr>
        <w:t>Gaming and Wagering Commission Act 1987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25" w:name="_Toc131666844"/>
      <w:r>
        <w:t>Compilation table</w:t>
      </w:r>
      <w:bookmarkEnd w:id="225"/>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1134"/>
        <w:gridCol w:w="2552"/>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pPr>
            <w:r>
              <w:rPr>
                <w:i/>
              </w:rPr>
              <w:t>Gaming Commission Act 1987</w:t>
            </w:r>
            <w:r>
              <w:rPr>
                <w:vertAlign w:val="superscript"/>
              </w:rPr>
              <w:t> 1</w:t>
            </w:r>
          </w:p>
        </w:tc>
        <w:tc>
          <w:tcPr>
            <w:tcW w:w="1134" w:type="dxa"/>
            <w:gridSpan w:val="2"/>
            <w:tcBorders>
              <w:top w:val="single" w:sz="8" w:space="0" w:color="auto"/>
            </w:tcBorders>
          </w:tcPr>
          <w:p>
            <w:pPr>
              <w:pStyle w:val="nTable"/>
              <w:spacing w:after="40"/>
            </w:pPr>
            <w:r>
              <w:t>50 of 1987</w:t>
            </w:r>
          </w:p>
        </w:tc>
        <w:tc>
          <w:tcPr>
            <w:tcW w:w="1134" w:type="dxa"/>
            <w:tcBorders>
              <w:top w:val="single" w:sz="8" w:space="0" w:color="auto"/>
            </w:tcBorders>
          </w:tcPr>
          <w:p>
            <w:pPr>
              <w:pStyle w:val="nTable"/>
              <w:spacing w:after="40"/>
            </w:pPr>
            <w:r>
              <w:t>8 Oct 1987</w:t>
            </w:r>
          </w:p>
        </w:tc>
        <w:tc>
          <w:tcPr>
            <w:tcW w:w="2552" w:type="dxa"/>
            <w:tcBorders>
              <w:top w:val="single" w:sz="8" w:space="0" w:color="auto"/>
            </w:tcBorders>
          </w:tcPr>
          <w:p>
            <w:pPr>
              <w:pStyle w:val="nTable"/>
              <w:spacing w:after="40"/>
            </w:pPr>
            <w:r>
              <w:rPr>
                <w:color w:val="000000"/>
              </w:rPr>
              <w:t>s. 1 and 2: 8 Oct 1987;</w:t>
            </w:r>
            <w:r>
              <w:rPr>
                <w:color w:val="000000"/>
              </w:rPr>
              <w:br/>
              <w:t xml:space="preserve">s. 3, Pt. II, V Div. 2 and s. 111, 112, 115-117: 4 Mar 1988 (see s. 2 and </w:t>
            </w:r>
            <w:r>
              <w:rPr>
                <w:i/>
                <w:iCs/>
                <w:color w:val="000000"/>
              </w:rPr>
              <w:t>Gazette</w:t>
            </w:r>
            <w:r>
              <w:rPr>
                <w:color w:val="000000"/>
              </w:rPr>
              <w:t xml:space="preserve"> 4 Mar 1988 p. 665);</w:t>
            </w:r>
            <w:r>
              <w:rPr>
                <w:color w:val="000000"/>
              </w:rPr>
              <w:br/>
              <w:t>Act other than Pt. I,  II, V Div. 2 and s. 111, 112 and</w:t>
            </w:r>
            <w:r>
              <w:rPr>
                <w:color w:val="000000"/>
              </w:rPr>
              <w:br/>
              <w:t xml:space="preserve">115-117: 2 May 1988 (see s. 2 and </w:t>
            </w:r>
            <w:r>
              <w:rPr>
                <w:i/>
                <w:iCs/>
                <w:color w:val="000000"/>
              </w:rPr>
              <w:t>Gazette</w:t>
            </w:r>
            <w:r>
              <w:rPr>
                <w:color w:val="000000"/>
              </w:rPr>
              <w:t xml:space="preserve"> 29 Apr 1988 p. 1291)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Acts Amendment (Totalisator Agency Board Betting) Act 1987 </w:t>
            </w:r>
            <w:r>
              <w:t>Pt. III</w:t>
            </w:r>
          </w:p>
        </w:tc>
        <w:tc>
          <w:tcPr>
            <w:tcW w:w="1134" w:type="dxa"/>
            <w:gridSpan w:val="2"/>
          </w:tcPr>
          <w:p>
            <w:pPr>
              <w:pStyle w:val="nTable"/>
              <w:spacing w:after="40"/>
            </w:pPr>
            <w:r>
              <w:t>125 of 1987</w:t>
            </w:r>
          </w:p>
        </w:tc>
        <w:tc>
          <w:tcPr>
            <w:tcW w:w="1134" w:type="dxa"/>
          </w:tcPr>
          <w:p>
            <w:pPr>
              <w:pStyle w:val="nTable"/>
              <w:spacing w:after="40"/>
            </w:pPr>
            <w:r>
              <w:t>31 Dec 1987</w:t>
            </w:r>
          </w:p>
        </w:tc>
        <w:tc>
          <w:tcPr>
            <w:tcW w:w="2552" w:type="dxa"/>
          </w:tcPr>
          <w:p>
            <w:pPr>
              <w:pStyle w:val="nTable"/>
              <w:spacing w:after="40"/>
            </w:pPr>
            <w:r>
              <w:t xml:space="preserve">25 Mar 1988 (see s. 2 and </w:t>
            </w:r>
            <w:r>
              <w:rPr>
                <w:i/>
              </w:rPr>
              <w:t>Gazette</w:t>
            </w:r>
            <w:r>
              <w:t xml:space="preserve"> 25 Mar 1988 p. 933)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Lotteries Commission Act 1990 </w:t>
            </w:r>
            <w:r>
              <w:t>s. 31(3) and 33</w:t>
            </w:r>
          </w:p>
        </w:tc>
        <w:tc>
          <w:tcPr>
            <w:tcW w:w="1134" w:type="dxa"/>
            <w:gridSpan w:val="2"/>
          </w:tcPr>
          <w:p>
            <w:pPr>
              <w:pStyle w:val="nTable"/>
              <w:spacing w:after="40"/>
            </w:pPr>
            <w:r>
              <w:t>16 of 1990</w:t>
            </w:r>
          </w:p>
        </w:tc>
        <w:tc>
          <w:tcPr>
            <w:tcW w:w="1134" w:type="dxa"/>
          </w:tcPr>
          <w:p>
            <w:pPr>
              <w:pStyle w:val="nTable"/>
              <w:spacing w:after="40"/>
            </w:pPr>
            <w:r>
              <w:t>31 Jul 1990</w:t>
            </w:r>
          </w:p>
        </w:tc>
        <w:tc>
          <w:tcPr>
            <w:tcW w:w="2552" w:type="dxa"/>
          </w:tcPr>
          <w:p>
            <w:pPr>
              <w:pStyle w:val="nTable"/>
              <w:spacing w:after="40"/>
            </w:pPr>
            <w:r>
              <w:t xml:space="preserve">1 Jan 1991 (see s. 2 and </w:t>
            </w:r>
            <w:r>
              <w:rPr>
                <w:i/>
              </w:rPr>
              <w:t>Gazette</w:t>
            </w:r>
            <w:r>
              <w:t xml:space="preserve"> 28 Dec 1990 p. 6369)</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Financial Administration Legislation Amendment Act 1993 </w:t>
            </w:r>
            <w:r>
              <w:t>s. 11 and 15</w:t>
            </w:r>
          </w:p>
        </w:tc>
        <w:tc>
          <w:tcPr>
            <w:tcW w:w="1134" w:type="dxa"/>
            <w:gridSpan w:val="2"/>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Acts Amendment (Public Sector Management) Act 1994 </w:t>
            </w:r>
            <w:r>
              <w:t>s. 19</w:t>
            </w:r>
          </w:p>
        </w:tc>
        <w:tc>
          <w:tcPr>
            <w:tcW w:w="1134" w:type="dxa"/>
            <w:gridSpan w:val="2"/>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Sentencing (Consequential Provisions) Act 1995 </w:t>
            </w:r>
            <w:r>
              <w:t>s. 147</w:t>
            </w:r>
          </w:p>
        </w:tc>
        <w:tc>
          <w:tcPr>
            <w:tcW w:w="1134" w:type="dxa"/>
            <w:gridSpan w:val="2"/>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Local Government (Consequential Amendments) Act 1996 </w:t>
            </w:r>
            <w:r>
              <w:t>s. 4</w:t>
            </w:r>
          </w:p>
        </w:tc>
        <w:tc>
          <w:tcPr>
            <w:tcW w:w="1134" w:type="dxa"/>
            <w:gridSpan w:val="2"/>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Financial Legislation Amendment Act 1996 </w:t>
            </w:r>
            <w:r>
              <w:t>s. 55 and 64</w:t>
            </w:r>
          </w:p>
        </w:tc>
        <w:tc>
          <w:tcPr>
            <w:tcW w:w="1134" w:type="dxa"/>
            <w:gridSpan w:val="2"/>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pPr>
            <w:r>
              <w:rPr>
                <w:b/>
                <w:bCs/>
              </w:rPr>
              <w:t xml:space="preserve">Reprint of the </w:t>
            </w:r>
            <w:r>
              <w:rPr>
                <w:b/>
                <w:bCs/>
                <w:i/>
                <w:iCs/>
              </w:rPr>
              <w:t>Gaming Commission Act 1987</w:t>
            </w:r>
            <w:r>
              <w:rPr>
                <w:b/>
                <w:bCs/>
              </w:rPr>
              <w:t xml:space="preserve"> as at 5 May 1997</w:t>
            </w:r>
            <w:r>
              <w:t xml:space="preserve"> (includes amendments listed above) (correction in </w:t>
            </w:r>
            <w:r>
              <w:rPr>
                <w:i/>
                <w:iCs/>
              </w:rPr>
              <w:t>Gazette</w:t>
            </w:r>
            <w:r>
              <w:t xml:space="preserve"> 6 Jun 1997 p. 2644)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lastRenderedPageBreak/>
              <w:t xml:space="preserve">Acts Amendment (Gaming) Act 1998 </w:t>
            </w:r>
            <w:r>
              <w:t>Pt. 3</w:t>
            </w:r>
            <w:r>
              <w:rPr>
                <w:vertAlign w:val="superscript"/>
              </w:rPr>
              <w:t> </w:t>
            </w:r>
          </w:p>
        </w:tc>
        <w:tc>
          <w:tcPr>
            <w:tcW w:w="1134" w:type="dxa"/>
            <w:gridSpan w:val="2"/>
          </w:tcPr>
          <w:p>
            <w:pPr>
              <w:pStyle w:val="nTable"/>
              <w:spacing w:after="40"/>
            </w:pPr>
            <w:r>
              <w:t>24 of 1998</w:t>
            </w:r>
          </w:p>
        </w:tc>
        <w:tc>
          <w:tcPr>
            <w:tcW w:w="1134" w:type="dxa"/>
          </w:tcPr>
          <w:p>
            <w:pPr>
              <w:pStyle w:val="nTable"/>
              <w:spacing w:after="40"/>
            </w:pPr>
            <w:r>
              <w:t>30 Jun 1998</w:t>
            </w:r>
          </w:p>
        </w:tc>
        <w:tc>
          <w:tcPr>
            <w:tcW w:w="2552" w:type="dxa"/>
          </w:tcPr>
          <w:p>
            <w:pPr>
              <w:pStyle w:val="nTable"/>
              <w:spacing w:after="40"/>
            </w:pPr>
            <w:r>
              <w:t xml:space="preserve">5 Aug 1998 (see s. 2 and </w:t>
            </w:r>
            <w:r>
              <w:rPr>
                <w:i/>
              </w:rPr>
              <w:t>Gazette</w:t>
            </w:r>
            <w:r>
              <w:t xml:space="preserve"> 4 Aug 1998 p. 3981)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Lotteries Commission Amendment Act 1998 </w:t>
            </w:r>
            <w:r>
              <w:t>s. 23</w:t>
            </w:r>
          </w:p>
        </w:tc>
        <w:tc>
          <w:tcPr>
            <w:tcW w:w="1134" w:type="dxa"/>
            <w:gridSpan w:val="2"/>
          </w:tcPr>
          <w:p>
            <w:pPr>
              <w:pStyle w:val="nTable"/>
              <w:spacing w:after="40"/>
            </w:pPr>
            <w:r>
              <w:t>26 of 1998</w:t>
            </w:r>
          </w:p>
        </w:tc>
        <w:tc>
          <w:tcPr>
            <w:tcW w:w="1134" w:type="dxa"/>
          </w:tcPr>
          <w:p>
            <w:pPr>
              <w:pStyle w:val="nTable"/>
              <w:spacing w:after="40"/>
            </w:pPr>
            <w:r>
              <w:t>30 Jun 1998</w:t>
            </w:r>
          </w:p>
        </w:tc>
        <w:tc>
          <w:tcPr>
            <w:tcW w:w="2552" w:type="dxa"/>
          </w:tcPr>
          <w:p>
            <w:pPr>
              <w:pStyle w:val="nTable"/>
              <w:spacing w:after="40"/>
            </w:pPr>
            <w:r>
              <w:t xml:space="preserve">22 Jul 1998 (see s. 2 and </w:t>
            </w:r>
            <w:r>
              <w:rPr>
                <w:i/>
              </w:rPr>
              <w:t>Gazette</w:t>
            </w:r>
            <w:r>
              <w:t xml:space="preserve"> 21 Jul 1998 p. 3825)</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pPr>
            <w:r>
              <w:rPr>
                <w:b/>
                <w:bCs/>
              </w:rPr>
              <w:t xml:space="preserve">Reprint of the </w:t>
            </w:r>
            <w:r>
              <w:rPr>
                <w:b/>
                <w:bCs/>
                <w:i/>
                <w:iCs/>
              </w:rPr>
              <w:t>Gaming Commission Act 1987</w:t>
            </w:r>
            <w:r>
              <w:rPr>
                <w:b/>
                <w:bCs/>
              </w:rPr>
              <w:t xml:space="preserve"> as at 30 Oct 1998</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tabs>
                <w:tab w:val="left" w:pos="1535"/>
              </w:tabs>
              <w:spacing w:after="40"/>
              <w:rPr>
                <w:vertAlign w:val="superscript"/>
              </w:rPr>
            </w:pPr>
            <w:r>
              <w:rPr>
                <w:i/>
              </w:rPr>
              <w:t xml:space="preserve">Acts Amendment (Continuing Lotteries) Act 2000 </w:t>
            </w:r>
            <w:r>
              <w:t>Pt. 3</w:t>
            </w:r>
            <w:r>
              <w:rPr>
                <w:vertAlign w:val="superscript"/>
              </w:rPr>
              <w:t> 2</w:t>
            </w:r>
          </w:p>
        </w:tc>
        <w:tc>
          <w:tcPr>
            <w:tcW w:w="1134" w:type="dxa"/>
            <w:gridSpan w:val="2"/>
          </w:tcPr>
          <w:p>
            <w:pPr>
              <w:pStyle w:val="nTable"/>
              <w:spacing w:after="40"/>
            </w:pPr>
            <w:r>
              <w:t>6 of 2000</w:t>
            </w:r>
            <w:r>
              <w:br/>
              <w:t>(as amended by No. 45 of 2002 s. 6)</w:t>
            </w:r>
          </w:p>
        </w:tc>
        <w:tc>
          <w:tcPr>
            <w:tcW w:w="1134" w:type="dxa"/>
          </w:tcPr>
          <w:p>
            <w:pPr>
              <w:pStyle w:val="nTable"/>
              <w:spacing w:after="40"/>
            </w:pPr>
            <w:r>
              <w:t>11 Apr 2000</w:t>
            </w:r>
          </w:p>
        </w:tc>
        <w:tc>
          <w:tcPr>
            <w:tcW w:w="2552" w:type="dxa"/>
          </w:tcPr>
          <w:p>
            <w:pPr>
              <w:pStyle w:val="nTable"/>
              <w:spacing w:after="40"/>
            </w:pPr>
            <w:r>
              <w:t xml:space="preserve">1 Jul 2000 (see s. 2 and </w:t>
            </w:r>
            <w:r>
              <w:rPr>
                <w:i/>
              </w:rPr>
              <w:t>Gazette</w:t>
            </w:r>
            <w:r>
              <w:t xml:space="preserve"> 23 Jun 2000 p. 3191)</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 xml:space="preserve">Statutes (Repeals and Minor Amendments) Act 2000 </w:t>
            </w:r>
            <w:r>
              <w:t>s. 52</w:t>
            </w:r>
          </w:p>
        </w:tc>
        <w:tc>
          <w:tcPr>
            <w:tcW w:w="1134" w:type="dxa"/>
            <w:gridSpan w:val="2"/>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Corporations (Consequential Amendments) Act 2001</w:t>
            </w:r>
            <w:r>
              <w:t xml:space="preserve"> Pt. 27</w:t>
            </w:r>
          </w:p>
        </w:tc>
        <w:tc>
          <w:tcPr>
            <w:tcW w:w="1134" w:type="dxa"/>
            <w:gridSpan w:val="2"/>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 xml:space="preserve">Taxation Administration (Consequential Provisions) Act 2002 </w:t>
            </w:r>
            <w:r>
              <w:t>s. 13</w:t>
            </w:r>
          </w:p>
        </w:tc>
        <w:tc>
          <w:tcPr>
            <w:tcW w:w="1134" w:type="dxa"/>
            <w:gridSpan w:val="2"/>
          </w:tcPr>
          <w:p>
            <w:pPr>
              <w:pStyle w:val="nTable"/>
              <w:spacing w:after="40"/>
            </w:pPr>
            <w:r>
              <w:t>45 of 2002</w:t>
            </w:r>
          </w:p>
        </w:tc>
        <w:tc>
          <w:tcPr>
            <w:tcW w:w="1134" w:type="dxa"/>
          </w:tcPr>
          <w:p>
            <w:pPr>
              <w:pStyle w:val="nTable"/>
              <w:spacing w:after="40"/>
            </w:pPr>
            <w:r>
              <w:t>20 Mar 2003</w:t>
            </w:r>
          </w:p>
        </w:tc>
        <w:tc>
          <w:tcPr>
            <w:tcW w:w="2552" w:type="dxa"/>
          </w:tcPr>
          <w:p>
            <w:pPr>
              <w:pStyle w:val="nTable"/>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Racing and Gambling Legislation Amendment and Repeal Act 2003</w:t>
            </w:r>
            <w:r>
              <w:t xml:space="preserve"> Pt. 9 Div. 1</w:t>
            </w:r>
            <w:r>
              <w:rPr>
                <w:vertAlign w:val="superscript"/>
              </w:rPr>
              <w:t> 3</w:t>
            </w:r>
          </w:p>
        </w:tc>
        <w:tc>
          <w:tcPr>
            <w:tcW w:w="1134" w:type="dxa"/>
            <w:gridSpan w:val="2"/>
          </w:tcPr>
          <w:p>
            <w:pPr>
              <w:pStyle w:val="nTable"/>
              <w:spacing w:after="40"/>
            </w:pPr>
            <w:r>
              <w:t>35 of 2003</w:t>
            </w:r>
          </w:p>
        </w:tc>
        <w:tc>
          <w:tcPr>
            <w:tcW w:w="1134" w:type="dxa"/>
          </w:tcPr>
          <w:p>
            <w:pPr>
              <w:pStyle w:val="nTable"/>
              <w:spacing w:after="40"/>
            </w:pPr>
            <w:r>
              <w:t>26 Jun 2003</w:t>
            </w:r>
          </w:p>
        </w:tc>
        <w:tc>
          <w:tcPr>
            <w:tcW w:w="2552" w:type="dxa"/>
          </w:tcPr>
          <w:p>
            <w:pPr>
              <w:pStyle w:val="nTable"/>
              <w:spacing w:after="40"/>
            </w:pPr>
            <w:r>
              <w:t>s. 132(1) and (2), 151</w:t>
            </w:r>
            <w:r>
              <w:noBreakHyphen/>
              <w:t>154, 163</w:t>
            </w:r>
            <w:r>
              <w:noBreakHyphen/>
              <w:t xml:space="preserve">164: 1 Aug 2003 (see s. 2 and </w:t>
            </w:r>
            <w:r>
              <w:rPr>
                <w:i/>
              </w:rPr>
              <w:t>Gazette</w:t>
            </w:r>
            <w:r>
              <w:t xml:space="preserve"> 29 Jul 2003 p. 3259);</w:t>
            </w:r>
            <w:r>
              <w:br/>
              <w:t>s. 120</w:t>
            </w:r>
            <w:r>
              <w:noBreakHyphen/>
              <w:t>131, 132(3), 133</w:t>
            </w:r>
            <w:r>
              <w:noBreakHyphen/>
              <w:t>150, 155</w:t>
            </w:r>
            <w:r>
              <w:noBreakHyphen/>
              <w:t>162 and 165</w:t>
            </w:r>
            <w:r>
              <w:noBreakHyphen/>
              <w:t xml:space="preserve">168: 30 Jan 2004 (see s. 2 and </w:t>
            </w:r>
            <w:r>
              <w:rPr>
                <w:i/>
              </w:rPr>
              <w:t>Gazette</w:t>
            </w:r>
            <w:r>
              <w:t xml:space="preserve"> 30 Jan 2004 p. 397)</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 xml:space="preserve">Sentencing Legislation Amendment and Repeal Act 2003 </w:t>
            </w:r>
            <w:r>
              <w:t>s. 66</w:t>
            </w:r>
          </w:p>
        </w:tc>
        <w:tc>
          <w:tcPr>
            <w:tcW w:w="1134" w:type="dxa"/>
            <w:gridSpan w:val="2"/>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pPr>
            <w:r>
              <w:rPr>
                <w:b/>
                <w:bCs/>
              </w:rPr>
              <w:t xml:space="preserve">Reprint 3: The </w:t>
            </w:r>
            <w:r>
              <w:rPr>
                <w:b/>
                <w:bCs/>
                <w:i/>
                <w:iCs/>
              </w:rPr>
              <w:t>Gaming and Wagering Commission Act 1987</w:t>
            </w:r>
            <w:r>
              <w:rPr>
                <w:b/>
                <w:bCs/>
              </w:rPr>
              <w:t xml:space="preserve"> as at 3 Sep 2004</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iCs/>
                <w:snapToGrid w:val="0"/>
              </w:rPr>
              <w:t>Courts Legislation Amendment and Repeal Act 2004</w:t>
            </w:r>
            <w:r>
              <w:rPr>
                <w:snapToGrid w:val="0"/>
              </w:rPr>
              <w:t xml:space="preserve"> s. 141</w:t>
            </w:r>
          </w:p>
        </w:tc>
        <w:tc>
          <w:tcPr>
            <w:tcW w:w="1134" w:type="dxa"/>
            <w:gridSpan w:val="2"/>
            <w:tcBorders>
              <w:top w:val="nil"/>
              <w:bottom w:val="nil"/>
            </w:tcBorders>
          </w:tcPr>
          <w:p>
            <w:pPr>
              <w:pStyle w:val="nTable"/>
              <w:spacing w:after="40"/>
              <w:rPr>
                <w:snapToGrid w:val="0"/>
              </w:rPr>
            </w:pPr>
            <w:r>
              <w:rPr>
                <w:snapToGrid w:val="0"/>
              </w:rPr>
              <w:t>59 of 2004</w:t>
            </w:r>
          </w:p>
        </w:tc>
        <w:tc>
          <w:tcPr>
            <w:tcW w:w="1134" w:type="dxa"/>
            <w:tcBorders>
              <w:top w:val="nil"/>
              <w:bottom w:val="nil"/>
            </w:tcBorders>
          </w:tcPr>
          <w:p>
            <w:pPr>
              <w:pStyle w:val="nTable"/>
              <w:spacing w:after="40"/>
              <w:rPr>
                <w:snapToGrid w:val="0"/>
              </w:rPr>
            </w:pPr>
            <w:r>
              <w:rPr>
                <w:snapToGrid w:val="0"/>
              </w:rPr>
              <w:t>23 Nov 2004</w:t>
            </w:r>
          </w:p>
        </w:tc>
        <w:tc>
          <w:tcPr>
            <w:tcW w:w="2552" w:type="dxa"/>
            <w:tcBorders>
              <w:top w:val="nil"/>
              <w:bottom w:val="nil"/>
            </w:tcBorders>
          </w:tcPr>
          <w:p>
            <w:pPr>
              <w:pStyle w:val="nTable"/>
              <w:spacing w:after="40"/>
              <w:rPr>
                <w:snapToGrid w:val="0"/>
              </w:rPr>
            </w:pPr>
            <w:r>
              <w:rPr>
                <w:snapToGrid w:val="0"/>
              </w:rPr>
              <w:t xml:space="preserve">1 May 2005 (see s. 2 and </w:t>
            </w:r>
            <w:r>
              <w:rPr>
                <w:i/>
                <w:iCs/>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gridSpan w:val="2"/>
            <w:tcBorders>
              <w:top w:val="nil"/>
              <w:bottom w:val="nil"/>
            </w:tcBorders>
          </w:tcPr>
          <w:p>
            <w:pPr>
              <w:pStyle w:val="nTable"/>
              <w:spacing w:after="40"/>
              <w:rPr>
                <w:snapToGrid w:val="0"/>
              </w:rPr>
            </w:pPr>
            <w:r>
              <w:rPr>
                <w:snapToGrid w:val="0"/>
              </w:rPr>
              <w:t>70 of 2004</w:t>
            </w:r>
          </w:p>
        </w:tc>
        <w:tc>
          <w:tcPr>
            <w:tcW w:w="1134" w:type="dxa"/>
            <w:tcBorders>
              <w:top w:val="nil"/>
              <w:bottom w:val="nil"/>
            </w:tcBorders>
          </w:tcPr>
          <w:p>
            <w:pPr>
              <w:pStyle w:val="nTable"/>
              <w:spacing w:after="40"/>
              <w:rPr>
                <w:snapToGrid w:val="0"/>
              </w:rPr>
            </w:pPr>
            <w:r>
              <w:rPr>
                <w:snapToGrid w:val="0"/>
              </w:rPr>
              <w:t>8 Dec 2004</w:t>
            </w:r>
          </w:p>
        </w:tc>
        <w:tc>
          <w:tcPr>
            <w:tcW w:w="2552" w:type="dxa"/>
            <w:tcBorders>
              <w:top w:val="nil"/>
              <w:bottom w:val="nil"/>
            </w:tcBorders>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lastRenderedPageBreak/>
              <w:t>Criminal Procedure and Appeals (Consequential and Other Provisions) Act 2004</w:t>
            </w:r>
            <w:r>
              <w:rPr>
                <w:snapToGrid w:val="0"/>
              </w:rPr>
              <w:t xml:space="preserve"> s. 80</w:t>
            </w:r>
          </w:p>
        </w:tc>
        <w:tc>
          <w:tcPr>
            <w:tcW w:w="1134" w:type="dxa"/>
            <w:gridSpan w:val="2"/>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Planning and Development (Consequential and Transitional Provisions) Act 2005</w:t>
            </w:r>
            <w:r>
              <w:rPr>
                <w:snapToGrid w:val="0"/>
              </w:rPr>
              <w:t xml:space="preserve"> s. 15</w:t>
            </w:r>
          </w:p>
        </w:tc>
        <w:tc>
          <w:tcPr>
            <w:tcW w:w="1134" w:type="dxa"/>
            <w:gridSpan w:val="2"/>
          </w:tcPr>
          <w:p>
            <w:pPr>
              <w:pStyle w:val="nTable"/>
              <w:spacing w:after="40"/>
              <w:rPr>
                <w:snapToGrid w:val="0"/>
              </w:rPr>
            </w:pPr>
            <w:r>
              <w:rPr>
                <w:snapToGrid w:val="0"/>
              </w:rPr>
              <w:t>38 of 2005</w:t>
            </w:r>
          </w:p>
        </w:tc>
        <w:tc>
          <w:tcPr>
            <w:tcW w:w="1134" w:type="dxa"/>
          </w:tcPr>
          <w:p>
            <w:pPr>
              <w:pStyle w:val="nTable"/>
              <w:spacing w:after="40"/>
            </w:pPr>
            <w:r>
              <w:t>12 Dec 2005</w:t>
            </w:r>
          </w:p>
        </w:tc>
        <w:tc>
          <w:tcPr>
            <w:tcW w:w="2552"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iCs/>
                <w:snapToGrid w:val="0"/>
              </w:rPr>
              <w:t xml:space="preserve">Machinery of Government (Miscellaneous Amendments) Act 2006 </w:t>
            </w:r>
            <w:r>
              <w:rPr>
                <w:snapToGrid w:val="0"/>
              </w:rPr>
              <w:t>Pt. 16 Div. 1</w:t>
            </w:r>
          </w:p>
        </w:tc>
        <w:tc>
          <w:tcPr>
            <w:tcW w:w="1134" w:type="dxa"/>
            <w:gridSpan w:val="2"/>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rPr>
                <w:snapToGrid w:val="0"/>
              </w:rPr>
            </w:pPr>
            <w:r>
              <w:rPr>
                <w:b/>
                <w:bCs/>
              </w:rPr>
              <w:t xml:space="preserve">Reprint 4: The </w:t>
            </w:r>
            <w:r>
              <w:rPr>
                <w:b/>
                <w:bCs/>
                <w:i/>
                <w:iCs/>
              </w:rPr>
              <w:t>Gaming and Wagering Commission Act 1987</w:t>
            </w:r>
            <w:r>
              <w:rPr>
                <w:b/>
                <w:bCs/>
              </w:rPr>
              <w:t xml:space="preserve"> as at 18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Criminal Investigation (Consequential Provisions) Act 2006</w:t>
            </w:r>
            <w:r>
              <w:rPr>
                <w:iCs/>
                <w:snapToGrid w:val="0"/>
              </w:rPr>
              <w:t xml:space="preserve"> Pt. 9</w:t>
            </w:r>
          </w:p>
        </w:tc>
        <w:tc>
          <w:tcPr>
            <w:tcW w:w="1134" w:type="dxa"/>
            <w:gridSpan w:val="2"/>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Betting and Racing Legislation Amendment Act 2006</w:t>
            </w:r>
            <w:r>
              <w:rPr>
                <w:iCs/>
                <w:snapToGrid w:val="0"/>
              </w:rPr>
              <w:t xml:space="preserve"> s. 9(2)</w:t>
            </w:r>
          </w:p>
        </w:tc>
        <w:tc>
          <w:tcPr>
            <w:tcW w:w="1134" w:type="dxa"/>
            <w:gridSpan w:val="2"/>
          </w:tcPr>
          <w:p>
            <w:pPr>
              <w:pStyle w:val="nTable"/>
              <w:spacing w:after="40"/>
              <w:rPr>
                <w:snapToGrid w:val="0"/>
              </w:rPr>
            </w:pPr>
            <w:r>
              <w:rPr>
                <w:snapToGrid w:val="0"/>
              </w:rPr>
              <w:t>70 of 2006</w:t>
            </w:r>
          </w:p>
        </w:tc>
        <w:tc>
          <w:tcPr>
            <w:tcW w:w="1134" w:type="dxa"/>
          </w:tcPr>
          <w:p>
            <w:pPr>
              <w:pStyle w:val="nTable"/>
              <w:spacing w:after="40"/>
            </w:pPr>
            <w:r>
              <w:t>13 Dec 2006</w:t>
            </w:r>
          </w:p>
        </w:tc>
        <w:tc>
          <w:tcPr>
            <w:tcW w:w="2552" w:type="dxa"/>
          </w:tcPr>
          <w:p>
            <w:pPr>
              <w:pStyle w:val="nTable"/>
              <w:spacing w:after="40"/>
              <w:rPr>
                <w:snapToGrid w:val="0"/>
              </w:rPr>
            </w:pPr>
            <w:r>
              <w:rPr>
                <w:snapToGrid w:val="0"/>
              </w:rPr>
              <w:t xml:space="preserve">9 Jul 2007 (see s. 2 and </w:t>
            </w:r>
            <w:r>
              <w:rPr>
                <w:i/>
                <w:iCs/>
                <w:snapToGrid w:val="0"/>
              </w:rPr>
              <w:t>Gazette</w:t>
            </w:r>
            <w:r>
              <w:rPr>
                <w:snapToGrid w:val="0"/>
              </w:rPr>
              <w:t xml:space="preserve"> 22 Jun 2007 p. 2837)</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iCs/>
                <w:snapToGrid w:val="0"/>
              </w:rPr>
              <w:t xml:space="preserve">Liquor and Gaming Legislation Amendment Act 2006 </w:t>
            </w:r>
            <w:r>
              <w:rPr>
                <w:snapToGrid w:val="0"/>
              </w:rPr>
              <w:t>Pt. 3 and s. 114</w:t>
            </w:r>
          </w:p>
        </w:tc>
        <w:tc>
          <w:tcPr>
            <w:tcW w:w="1134" w:type="dxa"/>
            <w:gridSpan w:val="2"/>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s. 114: 7 May 2007 (see s. 2(2) and </w:t>
            </w:r>
            <w:r>
              <w:rPr>
                <w:i/>
                <w:iCs/>
                <w:snapToGrid w:val="0"/>
              </w:rPr>
              <w:t xml:space="preserve">Gazette </w:t>
            </w:r>
            <w:r>
              <w:rPr>
                <w:snapToGrid w:val="0"/>
              </w:rPr>
              <w:t>1 May 2007 p. 1893);</w:t>
            </w:r>
            <w:r>
              <w:rPr>
                <w:snapToGrid w:val="0"/>
              </w:rPr>
              <w:br/>
              <w:t xml:space="preserve">Pt. 3: 14 Jun 2008 (see s. 2(2) and </w:t>
            </w:r>
            <w:r>
              <w:rPr>
                <w:i/>
                <w:iCs/>
                <w:snapToGrid w:val="0"/>
              </w:rPr>
              <w:t>Gazette</w:t>
            </w:r>
            <w:r>
              <w:rPr>
                <w:snapToGrid w:val="0"/>
              </w:rPr>
              <w:t xml:space="preserve"> 13 Jun 2008 p. 2515)</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snapToGrid w:val="0"/>
              </w:rPr>
              <w:t xml:space="preserve">Financial Legislation Amendment and Repeal Act 2006 </w:t>
            </w:r>
            <w:r>
              <w:rPr>
                <w:iCs/>
                <w:snapToGrid w:val="0"/>
              </w:rPr>
              <w:t xml:space="preserve">s. 4 and </w:t>
            </w:r>
            <w:r>
              <w:t>Sch. 1 cl. 71</w:t>
            </w:r>
          </w:p>
        </w:tc>
        <w:tc>
          <w:tcPr>
            <w:tcW w:w="1134" w:type="dxa"/>
            <w:gridSpan w:val="2"/>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Racing, Wagering and Betting Legislation Amendment and Repeal Act 2007 </w:t>
            </w:r>
            <w:r>
              <w:rPr>
                <w:iCs/>
                <w:snapToGrid w:val="0"/>
              </w:rPr>
              <w:t>Pt. 3</w:t>
            </w:r>
          </w:p>
        </w:tc>
        <w:tc>
          <w:tcPr>
            <w:tcW w:w="1134" w:type="dxa"/>
            <w:gridSpan w:val="2"/>
          </w:tcPr>
          <w:p>
            <w:pPr>
              <w:pStyle w:val="nTable"/>
              <w:spacing w:after="40"/>
              <w:rPr>
                <w:snapToGrid w:val="0"/>
              </w:rPr>
            </w:pPr>
            <w:r>
              <w:rPr>
                <w:snapToGrid w:val="0"/>
              </w:rPr>
              <w:t>8 of 2007</w:t>
            </w:r>
          </w:p>
        </w:tc>
        <w:tc>
          <w:tcPr>
            <w:tcW w:w="1134" w:type="dxa"/>
          </w:tcPr>
          <w:p>
            <w:pPr>
              <w:pStyle w:val="nTable"/>
              <w:spacing w:after="40"/>
              <w:rPr>
                <w:snapToGrid w:val="0"/>
              </w:rPr>
            </w:pPr>
            <w:r>
              <w:rPr>
                <w:snapToGrid w:val="0"/>
              </w:rPr>
              <w:t>13 Jun 2007</w:t>
            </w:r>
          </w:p>
        </w:tc>
        <w:tc>
          <w:tcPr>
            <w:tcW w:w="2552" w:type="dxa"/>
          </w:tcPr>
          <w:p>
            <w:pPr>
              <w:pStyle w:val="nTable"/>
              <w:spacing w:after="40"/>
              <w:rPr>
                <w:snapToGrid w:val="0"/>
              </w:rPr>
            </w:pPr>
            <w:r>
              <w:rPr>
                <w:snapToGrid w:val="0"/>
              </w:rPr>
              <w:t>14 Jun 2007 (see s. 2)</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rPr>
                <w:snapToGrid w:val="0"/>
              </w:rPr>
            </w:pPr>
            <w:r>
              <w:rPr>
                <w:b/>
                <w:bCs/>
              </w:rPr>
              <w:t xml:space="preserve">Reprint 5: The </w:t>
            </w:r>
            <w:r>
              <w:rPr>
                <w:b/>
                <w:bCs/>
                <w:i/>
                <w:iCs/>
              </w:rPr>
              <w:t>Gaming and Wagering Commission Act 1987</w:t>
            </w:r>
            <w:r>
              <w:rPr>
                <w:b/>
                <w:bCs/>
              </w:rPr>
              <w:t xml:space="preserve"> as at 2 Nov 2007</w:t>
            </w:r>
            <w:r>
              <w:rPr>
                <w:b/>
                <w:bCs/>
              </w:rPr>
              <w:br/>
            </w:r>
            <w:r>
              <w:t xml:space="preserve">(includes amendments listed above except those in the </w:t>
            </w:r>
            <w:r>
              <w:rPr>
                <w:i/>
                <w:iCs/>
                <w:snapToGrid w:val="0"/>
              </w:rPr>
              <w:t xml:space="preserve">Liquor and Gaming Legislation Amendment Act 2006 </w:t>
            </w:r>
            <w:r>
              <w:rPr>
                <w:snapToGrid w:val="0"/>
              </w:rPr>
              <w:t>Pt. 3</w:t>
            </w:r>
            <w:r>
              <w:t>)</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after="40"/>
              <w:rPr>
                <w:iCs/>
                <w:vertAlign w:val="superscript"/>
              </w:rPr>
            </w:pPr>
            <w:r>
              <w:rPr>
                <w:i/>
              </w:rPr>
              <w:t>Duties Legislation Amendment Act 2008</w:t>
            </w:r>
            <w:r>
              <w:rPr>
                <w:iCs/>
              </w:rPr>
              <w:t xml:space="preserve"> Sch. 1 cl. 9</w:t>
            </w:r>
          </w:p>
        </w:tc>
        <w:tc>
          <w:tcPr>
            <w:tcW w:w="1106"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after="40"/>
              <w:ind w:right="113"/>
              <w:rPr>
                <w:iCs/>
              </w:rPr>
            </w:pPr>
            <w:r>
              <w:rPr>
                <w:i/>
              </w:rPr>
              <w:lastRenderedPageBreak/>
              <w:t>Statutes (Repeals and Miscellaneous Amendments) Act 2009</w:t>
            </w:r>
            <w:r>
              <w:rPr>
                <w:iCs/>
              </w:rPr>
              <w:t xml:space="preserve"> s. 63</w:t>
            </w:r>
          </w:p>
        </w:tc>
        <w:tc>
          <w:tcPr>
            <w:tcW w:w="1106"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after="40"/>
              <w:ind w:right="113"/>
              <w:rPr>
                <w:i/>
              </w:rPr>
            </w:pPr>
            <w:r>
              <w:rPr>
                <w:i/>
                <w:iCs/>
                <w:snapToGrid w:val="0"/>
              </w:rPr>
              <w:t>Racing and Wagering Legislation Amendment Act 2009</w:t>
            </w:r>
            <w:r>
              <w:rPr>
                <w:iCs/>
                <w:snapToGrid w:val="0"/>
              </w:rPr>
              <w:t xml:space="preserve"> Pt. 3</w:t>
            </w:r>
          </w:p>
        </w:tc>
        <w:tc>
          <w:tcPr>
            <w:tcW w:w="1106" w:type="dxa"/>
          </w:tcPr>
          <w:p>
            <w:pPr>
              <w:pStyle w:val="nTable"/>
              <w:spacing w:after="40"/>
            </w:pPr>
            <w:r>
              <w:t>29 of 2009</w:t>
            </w:r>
          </w:p>
        </w:tc>
        <w:tc>
          <w:tcPr>
            <w:tcW w:w="1134" w:type="dxa"/>
          </w:tcPr>
          <w:p>
            <w:pPr>
              <w:pStyle w:val="nTable"/>
              <w:spacing w:after="40"/>
            </w:pPr>
            <w:r>
              <w:rPr>
                <w:snapToGrid w:val="0"/>
              </w:rPr>
              <w:t>23 Nov 2009</w:t>
            </w:r>
          </w:p>
        </w:tc>
        <w:tc>
          <w:tcPr>
            <w:tcW w:w="2552" w:type="dxa"/>
          </w:tcPr>
          <w:p>
            <w:pPr>
              <w:pStyle w:val="nTable"/>
              <w:spacing w:after="40"/>
            </w:pPr>
            <w:r>
              <w:t xml:space="preserve">11 Jan 2010 (see s. 2(b) and </w:t>
            </w:r>
            <w:r>
              <w:rPr>
                <w:i/>
                <w:iCs/>
              </w:rPr>
              <w:t>Gazette</w:t>
            </w:r>
            <w:r>
              <w:t xml:space="preserve"> 8 Jan 2010 p. 9-10)</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after="40"/>
              <w:ind w:right="113"/>
              <w:rPr>
                <w:snapToGrid w:val="0"/>
              </w:rPr>
            </w:pPr>
            <w:r>
              <w:rPr>
                <w:i/>
                <w:snapToGrid w:val="0"/>
              </w:rPr>
              <w:t>Public Sector Reform Act 2010</w:t>
            </w:r>
            <w:r>
              <w:rPr>
                <w:iCs/>
                <w:snapToGrid w:val="0"/>
              </w:rPr>
              <w:t xml:space="preserve"> s. 89</w:t>
            </w:r>
          </w:p>
        </w:tc>
        <w:tc>
          <w:tcPr>
            <w:tcW w:w="1106" w:type="dxa"/>
          </w:tcPr>
          <w:p>
            <w:pPr>
              <w:pStyle w:val="nTable"/>
              <w:spacing w:after="40"/>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snapToGrid w:val="0"/>
              </w:rPr>
            </w:pPr>
            <w:r>
              <w:rPr>
                <w:i/>
                <w:snapToGrid w:val="0"/>
              </w:rPr>
              <w:t>Casino (Burswood Island) Agreement Amendment Act 2011</w:t>
            </w:r>
            <w:r>
              <w:rPr>
                <w:snapToGrid w:val="0"/>
              </w:rPr>
              <w:t xml:space="preserve"> Pt. 3</w:t>
            </w:r>
          </w:p>
        </w:tc>
        <w:tc>
          <w:tcPr>
            <w:tcW w:w="1106" w:type="dxa"/>
            <w:shd w:val="clear" w:color="auto" w:fill="auto"/>
          </w:tcPr>
          <w:p>
            <w:pPr>
              <w:pStyle w:val="nTable"/>
              <w:spacing w:after="40"/>
              <w:rPr>
                <w:snapToGrid w:val="0"/>
              </w:rPr>
            </w:pPr>
            <w:r>
              <w:rPr>
                <w:snapToGrid w:val="0"/>
              </w:rPr>
              <w:t>25 of 2011</w:t>
            </w:r>
          </w:p>
        </w:tc>
        <w:tc>
          <w:tcPr>
            <w:tcW w:w="1134" w:type="dxa"/>
            <w:shd w:val="clear" w:color="auto" w:fill="auto"/>
          </w:tcPr>
          <w:p>
            <w:pPr>
              <w:pStyle w:val="nTable"/>
              <w:spacing w:after="40"/>
              <w:rPr>
                <w:snapToGrid w:val="0"/>
              </w:rPr>
            </w:pPr>
            <w:r>
              <w:rPr>
                <w:snapToGrid w:val="0"/>
              </w:rPr>
              <w:t>11 Jul 2011</w:t>
            </w:r>
          </w:p>
        </w:tc>
        <w:tc>
          <w:tcPr>
            <w:tcW w:w="2552" w:type="dxa"/>
            <w:shd w:val="clear" w:color="auto" w:fill="auto"/>
          </w:tcPr>
          <w:p>
            <w:pPr>
              <w:pStyle w:val="nTable"/>
              <w:spacing w:after="40"/>
              <w:rPr>
                <w:snapToGrid w:val="0"/>
              </w:rPr>
            </w:pPr>
            <w:r>
              <w:rPr>
                <w:snapToGrid w:val="0"/>
              </w:rPr>
              <w:t>12 Jul 2011 (see s. 2(b))</w:t>
            </w:r>
          </w:p>
        </w:tc>
      </w:tr>
      <w:tr>
        <w:tblPrEx>
          <w:tblBorders>
            <w:top w:val="none" w:sz="0" w:space="0" w:color="auto"/>
            <w:bottom w:val="none" w:sz="0" w:space="0" w:color="auto"/>
            <w:insideH w:val="none" w:sz="0" w:space="0" w:color="auto"/>
          </w:tblBorders>
        </w:tblPrEx>
        <w:trPr>
          <w:cantSplit/>
        </w:trPr>
        <w:tc>
          <w:tcPr>
            <w:tcW w:w="7088" w:type="dxa"/>
            <w:gridSpan w:val="5"/>
            <w:shd w:val="clear" w:color="auto" w:fill="auto"/>
          </w:tcPr>
          <w:p>
            <w:pPr>
              <w:pStyle w:val="nTable"/>
              <w:spacing w:after="40"/>
              <w:rPr>
                <w:snapToGrid w:val="0"/>
              </w:rPr>
            </w:pPr>
            <w:r>
              <w:rPr>
                <w:b/>
                <w:bCs/>
              </w:rPr>
              <w:t xml:space="preserve">Reprint 6: The </w:t>
            </w:r>
            <w:r>
              <w:rPr>
                <w:b/>
                <w:bCs/>
                <w:i/>
                <w:iCs/>
              </w:rPr>
              <w:t>Gaming and Wagering Commission Act 1987</w:t>
            </w:r>
            <w:r>
              <w:rPr>
                <w:b/>
                <w:bCs/>
              </w:rPr>
              <w:t xml:space="preserve"> as at 16 Dec 2011</w:t>
            </w:r>
            <w:r>
              <w:rPr>
                <w:b/>
                <w:bCs/>
              </w:rPr>
              <w:br/>
            </w:r>
            <w:r>
              <w:t>(includes amendments listed above)</w:t>
            </w:r>
          </w:p>
        </w:tc>
      </w:tr>
      <w:tr>
        <w:tblPrEx>
          <w:tblBorders>
            <w:top w:val="single" w:sz="4" w:space="0" w:color="auto"/>
            <w:bottom w:val="single" w:sz="4" w:space="0" w:color="auto"/>
            <w:insideH w:val="single" w:sz="4" w:space="0" w:color="auto"/>
          </w:tblBorders>
          <w:tblCellMar>
            <w:left w:w="57" w:type="dxa"/>
            <w:right w:w="57" w:type="dxa"/>
          </w:tblCellMar>
        </w:tblPrEx>
        <w:tc>
          <w:tcPr>
            <w:tcW w:w="2296" w:type="dxa"/>
            <w:gridSpan w:val="2"/>
            <w:tcBorders>
              <w:top w:val="nil"/>
              <w:bottom w:val="nil"/>
            </w:tcBorders>
          </w:tcPr>
          <w:p>
            <w:pPr>
              <w:pStyle w:val="nTable"/>
              <w:spacing w:after="40"/>
              <w:rPr>
                <w:vertAlign w:val="superscript"/>
              </w:rPr>
            </w:pPr>
            <w:r>
              <w:rPr>
                <w:i/>
              </w:rPr>
              <w:t>Mental Health Legislation Amendment Act 2014</w:t>
            </w:r>
            <w:r>
              <w:t xml:space="preserve"> Pt. 4 Div. 4 Subdiv. 12</w:t>
            </w:r>
          </w:p>
        </w:tc>
        <w:tc>
          <w:tcPr>
            <w:tcW w:w="1106" w:type="dxa"/>
            <w:tcBorders>
              <w:top w:val="nil"/>
              <w:bottom w:val="nil"/>
            </w:tcBorders>
          </w:tcPr>
          <w:p>
            <w:pPr>
              <w:pStyle w:val="nTable"/>
              <w:spacing w:after="40"/>
              <w:rPr>
                <w:snapToGrid w:val="0"/>
              </w:rPr>
            </w:pPr>
            <w:r>
              <w:rPr>
                <w:snapToGrid w:val="0"/>
              </w:rPr>
              <w:t>25 of 2014</w:t>
            </w:r>
          </w:p>
        </w:tc>
        <w:tc>
          <w:tcPr>
            <w:tcW w:w="1134" w:type="dxa"/>
            <w:tcBorders>
              <w:top w:val="nil"/>
              <w:bottom w:val="nil"/>
            </w:tcBorders>
          </w:tcPr>
          <w:p>
            <w:pPr>
              <w:pStyle w:val="nTable"/>
              <w:spacing w:after="40"/>
              <w:rPr>
                <w:snapToGrid w:val="0"/>
              </w:rPr>
            </w:pPr>
            <w:r>
              <w:t>3 Nov 2014</w:t>
            </w:r>
          </w:p>
        </w:tc>
        <w:tc>
          <w:tcPr>
            <w:tcW w:w="2552"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snapToGrid w:val="0"/>
              </w:rPr>
            </w:pPr>
            <w:r>
              <w:rPr>
                <w:i/>
                <w:snapToGrid w:val="0"/>
              </w:rPr>
              <w:t>Corruption and Crime Commission Amendment (Misconduct) Act 2014</w:t>
            </w:r>
            <w:r>
              <w:rPr>
                <w:snapToGrid w:val="0"/>
              </w:rPr>
              <w:t xml:space="preserve"> s. 39</w:t>
            </w:r>
          </w:p>
        </w:tc>
        <w:tc>
          <w:tcPr>
            <w:tcW w:w="1106" w:type="dxa"/>
            <w:shd w:val="clear" w:color="auto" w:fill="auto"/>
          </w:tcPr>
          <w:p>
            <w:pPr>
              <w:pStyle w:val="nTable"/>
              <w:spacing w:after="40"/>
              <w:rPr>
                <w:snapToGrid w:val="0"/>
              </w:rPr>
            </w:pPr>
            <w:r>
              <w:rPr>
                <w:snapToGrid w:val="0"/>
              </w:rPr>
              <w:t>35 of 2014</w:t>
            </w:r>
          </w:p>
        </w:tc>
        <w:tc>
          <w:tcPr>
            <w:tcW w:w="1134" w:type="dxa"/>
            <w:shd w:val="clear" w:color="auto" w:fill="auto"/>
          </w:tcPr>
          <w:p>
            <w:pPr>
              <w:pStyle w:val="nTable"/>
              <w:spacing w:after="40"/>
              <w:rPr>
                <w:snapToGrid w:val="0"/>
              </w:rPr>
            </w:pPr>
            <w:r>
              <w:t>9 Dec 2014</w:t>
            </w:r>
          </w:p>
        </w:tc>
        <w:tc>
          <w:tcPr>
            <w:tcW w:w="2552" w:type="dxa"/>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i/>
                <w:snapToGrid w:val="0"/>
              </w:rPr>
            </w:pPr>
            <w:r>
              <w:rPr>
                <w:i/>
                <w:noProof/>
              </w:rPr>
              <w:t xml:space="preserve">Associations Incorporation Act 2015 </w:t>
            </w:r>
            <w:r>
              <w:rPr>
                <w:noProof/>
              </w:rPr>
              <w:t>s. 217</w:t>
            </w:r>
          </w:p>
        </w:tc>
        <w:tc>
          <w:tcPr>
            <w:tcW w:w="1106" w:type="dxa"/>
            <w:shd w:val="clear" w:color="auto" w:fill="auto"/>
          </w:tcPr>
          <w:p>
            <w:pPr>
              <w:pStyle w:val="nTable"/>
              <w:spacing w:after="40"/>
              <w:rPr>
                <w:snapToGrid w:val="0"/>
              </w:rPr>
            </w:pPr>
            <w:r>
              <w:t>30 of 2015</w:t>
            </w:r>
          </w:p>
        </w:tc>
        <w:tc>
          <w:tcPr>
            <w:tcW w:w="1134" w:type="dxa"/>
            <w:shd w:val="clear" w:color="auto" w:fill="auto"/>
          </w:tcPr>
          <w:p>
            <w:pPr>
              <w:pStyle w:val="nTable"/>
              <w:spacing w:after="40"/>
            </w:pPr>
            <w:r>
              <w:t>2 Nov 2015</w:t>
            </w:r>
          </w:p>
        </w:tc>
        <w:tc>
          <w:tcPr>
            <w:tcW w:w="2552" w:type="dxa"/>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r>
              <w:rPr>
                <w:snapToGrid w:val="0"/>
              </w:rPr>
              <w:noBreakHyphen/>
              <w:t>2)</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i/>
                <w:noProof/>
              </w:rPr>
            </w:pPr>
            <w:r>
              <w:rPr>
                <w:i/>
              </w:rPr>
              <w:t>Public Health (Consequential Provisions) Act 2016</w:t>
            </w:r>
            <w:r>
              <w:t xml:space="preserve"> s. 101</w:t>
            </w:r>
          </w:p>
        </w:tc>
        <w:tc>
          <w:tcPr>
            <w:tcW w:w="1106"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i/>
              </w:rPr>
            </w:pPr>
            <w:r>
              <w:rPr>
                <w:i/>
              </w:rPr>
              <w:t>Betting Tax Assessment Act 2018</w:t>
            </w:r>
            <w:r>
              <w:t xml:space="preserve"> Pt. 8 Div. 2 Subdiv. 2</w:t>
            </w:r>
          </w:p>
        </w:tc>
        <w:tc>
          <w:tcPr>
            <w:tcW w:w="1106" w:type="dxa"/>
            <w:shd w:val="clear" w:color="auto" w:fill="auto"/>
          </w:tcPr>
          <w:p>
            <w:pPr>
              <w:pStyle w:val="nTable"/>
              <w:spacing w:after="40"/>
            </w:pPr>
            <w:r>
              <w:t>37 of 2018</w:t>
            </w:r>
          </w:p>
        </w:tc>
        <w:tc>
          <w:tcPr>
            <w:tcW w:w="1134" w:type="dxa"/>
            <w:shd w:val="clear" w:color="auto" w:fill="auto"/>
          </w:tcPr>
          <w:p>
            <w:pPr>
              <w:pStyle w:val="nTable"/>
              <w:spacing w:after="40"/>
            </w:pPr>
            <w:r>
              <w:t>12 Dec 2018</w:t>
            </w:r>
          </w:p>
        </w:tc>
        <w:tc>
          <w:tcPr>
            <w:tcW w:w="2552" w:type="dxa"/>
            <w:shd w:val="clear" w:color="auto" w:fill="auto"/>
          </w:tcPr>
          <w:p>
            <w:pPr>
              <w:pStyle w:val="nTable"/>
              <w:spacing w:after="40"/>
              <w:rPr>
                <w:snapToGrid w:val="0"/>
              </w:rPr>
            </w:pPr>
            <w:r>
              <w:t xml:space="preserve">1 Feb 2019 (see s. 2(b) and </w:t>
            </w:r>
            <w:r>
              <w:rPr>
                <w:i/>
              </w:rPr>
              <w:t>Gazette</w:t>
            </w:r>
            <w:r>
              <w:t xml:space="preserve"> 25 Jan 2019 p. 193)</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i/>
              </w:rPr>
            </w:pPr>
            <w:r>
              <w:rPr>
                <w:i/>
              </w:rPr>
              <w:t>Gaming and Wagering Legislation Amendment Act 2018</w:t>
            </w:r>
            <w:r>
              <w:t xml:space="preserve"> Pt. 3</w:t>
            </w:r>
          </w:p>
        </w:tc>
        <w:tc>
          <w:tcPr>
            <w:tcW w:w="1106" w:type="dxa"/>
            <w:shd w:val="clear" w:color="auto" w:fill="auto"/>
          </w:tcPr>
          <w:p>
            <w:pPr>
              <w:pStyle w:val="nTable"/>
              <w:spacing w:after="40"/>
            </w:pPr>
            <w:r>
              <w:t>41 of 2018</w:t>
            </w:r>
          </w:p>
        </w:tc>
        <w:tc>
          <w:tcPr>
            <w:tcW w:w="1134" w:type="dxa"/>
            <w:shd w:val="clear" w:color="auto" w:fill="auto"/>
          </w:tcPr>
          <w:p>
            <w:pPr>
              <w:pStyle w:val="nTable"/>
              <w:spacing w:after="40"/>
            </w:pPr>
            <w:r>
              <w:t>12 Dec 2018</w:t>
            </w:r>
          </w:p>
        </w:tc>
        <w:tc>
          <w:tcPr>
            <w:tcW w:w="2552" w:type="dxa"/>
            <w:shd w:val="clear" w:color="auto" w:fill="auto"/>
          </w:tcPr>
          <w:p>
            <w:pPr>
              <w:pStyle w:val="nTable"/>
              <w:spacing w:after="40"/>
              <w:rPr>
                <w:b/>
                <w:snapToGrid w:val="0"/>
              </w:rPr>
            </w:pPr>
            <w:r>
              <w:t xml:space="preserve">1 Feb 2019 (see s. 2(b) and </w:t>
            </w:r>
            <w:r>
              <w:rPr>
                <w:i/>
              </w:rPr>
              <w:t>Gazette</w:t>
            </w:r>
            <w:r>
              <w:t xml:space="preserve"> 25 Jan 2019 p. 193</w:t>
            </w:r>
            <w:r>
              <w:noBreakHyphen/>
              <w:t>4)</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pPr>
            <w:r>
              <w:rPr>
                <w:i/>
              </w:rPr>
              <w:t xml:space="preserve">TAB (Disposal) Act 2019 </w:t>
            </w:r>
            <w:r>
              <w:t>s. 89(2) and 93</w:t>
            </w:r>
          </w:p>
        </w:tc>
        <w:tc>
          <w:tcPr>
            <w:tcW w:w="1106" w:type="dxa"/>
            <w:shd w:val="clear" w:color="auto" w:fill="auto"/>
          </w:tcPr>
          <w:p>
            <w:pPr>
              <w:pStyle w:val="nTable"/>
              <w:spacing w:after="40"/>
            </w:pPr>
            <w:r>
              <w:t>21 of 2019</w:t>
            </w:r>
          </w:p>
        </w:tc>
        <w:tc>
          <w:tcPr>
            <w:tcW w:w="1134" w:type="dxa"/>
            <w:shd w:val="clear" w:color="auto" w:fill="auto"/>
          </w:tcPr>
          <w:p>
            <w:pPr>
              <w:pStyle w:val="nTable"/>
              <w:spacing w:after="40"/>
            </w:pPr>
            <w:r>
              <w:t>18 Sep 2019</w:t>
            </w:r>
          </w:p>
        </w:tc>
        <w:tc>
          <w:tcPr>
            <w:tcW w:w="2552" w:type="dxa"/>
            <w:shd w:val="clear" w:color="auto" w:fill="auto"/>
          </w:tcPr>
          <w:p>
            <w:pPr>
              <w:pStyle w:val="nTable"/>
              <w:spacing w:after="40"/>
            </w:pPr>
            <w:r>
              <w:t>19 Sep 2019 (see s. 2(1)(c))</w:t>
            </w:r>
          </w:p>
        </w:tc>
      </w:tr>
      <w:tr>
        <w:tblPrEx>
          <w:tblBorders>
            <w:top w:val="none" w:sz="0" w:space="0" w:color="auto"/>
            <w:bottom w:val="none" w:sz="0" w:space="0" w:color="auto"/>
            <w:insideH w:val="none" w:sz="0" w:space="0" w:color="auto"/>
          </w:tblBorders>
        </w:tblPrEx>
        <w:trPr>
          <w:cantSplit/>
        </w:trPr>
        <w:tc>
          <w:tcPr>
            <w:tcW w:w="2296" w:type="dxa"/>
            <w:gridSpan w:val="2"/>
            <w:tcBorders>
              <w:bottom w:val="single" w:sz="4" w:space="0" w:color="auto"/>
            </w:tcBorders>
            <w:shd w:val="clear" w:color="auto" w:fill="auto"/>
          </w:tcPr>
          <w:p>
            <w:pPr>
              <w:pStyle w:val="nTable"/>
              <w:spacing w:after="40"/>
              <w:ind w:right="113"/>
              <w:rPr>
                <w:i/>
              </w:rPr>
            </w:pPr>
            <w:r>
              <w:rPr>
                <w:i/>
              </w:rPr>
              <w:t>Casino Legislation Amendment (Burswood Casino) Act 2022</w:t>
            </w:r>
            <w:r>
              <w:t xml:space="preserve"> Pt. 3</w:t>
            </w:r>
          </w:p>
        </w:tc>
        <w:tc>
          <w:tcPr>
            <w:tcW w:w="1106" w:type="dxa"/>
            <w:tcBorders>
              <w:bottom w:val="single" w:sz="4" w:space="0" w:color="auto"/>
            </w:tcBorders>
            <w:shd w:val="clear" w:color="auto" w:fill="auto"/>
          </w:tcPr>
          <w:p>
            <w:pPr>
              <w:pStyle w:val="nTable"/>
              <w:spacing w:after="40"/>
            </w:pPr>
            <w:r>
              <w:t>32 of 2022</w:t>
            </w:r>
          </w:p>
        </w:tc>
        <w:tc>
          <w:tcPr>
            <w:tcW w:w="1134" w:type="dxa"/>
            <w:tcBorders>
              <w:bottom w:val="single" w:sz="4" w:space="0" w:color="auto"/>
            </w:tcBorders>
            <w:shd w:val="clear" w:color="auto" w:fill="auto"/>
          </w:tcPr>
          <w:p>
            <w:pPr>
              <w:pStyle w:val="nTable"/>
              <w:spacing w:after="40"/>
            </w:pPr>
            <w:r>
              <w:t>28 Sep 2022</w:t>
            </w:r>
          </w:p>
        </w:tc>
        <w:tc>
          <w:tcPr>
            <w:tcW w:w="2552" w:type="dxa"/>
            <w:tcBorders>
              <w:bottom w:val="single" w:sz="4" w:space="0" w:color="auto"/>
            </w:tcBorders>
            <w:shd w:val="clear" w:color="auto" w:fill="auto"/>
          </w:tcPr>
          <w:p>
            <w:pPr>
              <w:pStyle w:val="nTable"/>
              <w:spacing w:after="40"/>
            </w:pPr>
            <w:r>
              <w:t>29 Sep 2022 (see s. 2(b))</w:t>
            </w:r>
          </w:p>
        </w:tc>
      </w:tr>
    </w:tbl>
    <w:p>
      <w:pPr>
        <w:pStyle w:val="nHeading3"/>
      </w:pPr>
      <w:bookmarkStart w:id="226" w:name="_Toc131666845"/>
      <w:r>
        <w:lastRenderedPageBreak/>
        <w:t>Uncommenced provisions table</w:t>
      </w:r>
      <w:bookmarkEnd w:id="226"/>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9"/>
        <w:gridCol w:w="1134"/>
        <w:gridCol w:w="9"/>
        <w:gridCol w:w="2543"/>
      </w:tblGrid>
      <w:tr>
        <w:trPr>
          <w:tblHeader/>
        </w:trPr>
        <w:tc>
          <w:tcPr>
            <w:tcW w:w="2268"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CellMar>
            <w:left w:w="57" w:type="dxa"/>
            <w:right w:w="57" w:type="dxa"/>
          </w:tblCellMar>
        </w:tblPrEx>
        <w:tc>
          <w:tcPr>
            <w:tcW w:w="2268" w:type="dxa"/>
            <w:tcBorders>
              <w:top w:val="single" w:sz="4" w:space="0" w:color="auto"/>
              <w:bottom w:val="nil"/>
            </w:tcBorders>
          </w:tcPr>
          <w:p>
            <w:pPr>
              <w:pStyle w:val="nTable"/>
              <w:spacing w:after="40"/>
              <w:rPr>
                <w:noProof/>
                <w:snapToGrid w:val="0"/>
              </w:rPr>
            </w:pPr>
            <w:r>
              <w:rPr>
                <w:i/>
              </w:rPr>
              <w:t>Public Health (Consequential Provisions) Act 2016</w:t>
            </w:r>
            <w:r>
              <w:t xml:space="preserve"> Pt. 5 Div. 8</w:t>
            </w:r>
          </w:p>
        </w:tc>
        <w:tc>
          <w:tcPr>
            <w:tcW w:w="1139" w:type="dxa"/>
            <w:tcBorders>
              <w:top w:val="single" w:sz="4" w:space="0" w:color="auto"/>
              <w:bottom w:val="nil"/>
            </w:tcBorders>
          </w:tcPr>
          <w:p>
            <w:pPr>
              <w:pStyle w:val="nTable"/>
              <w:spacing w:after="40"/>
            </w:pPr>
            <w:r>
              <w:t>19 of 2016</w:t>
            </w:r>
          </w:p>
        </w:tc>
        <w:tc>
          <w:tcPr>
            <w:tcW w:w="1143" w:type="dxa"/>
            <w:gridSpan w:val="2"/>
            <w:tcBorders>
              <w:top w:val="single" w:sz="4" w:space="0" w:color="auto"/>
              <w:bottom w:val="nil"/>
            </w:tcBorders>
          </w:tcPr>
          <w:p>
            <w:pPr>
              <w:pStyle w:val="nTable"/>
              <w:spacing w:after="40"/>
            </w:pPr>
            <w:r>
              <w:t>25 Jul 2016</w:t>
            </w:r>
          </w:p>
        </w:tc>
        <w:tc>
          <w:tcPr>
            <w:tcW w:w="2543" w:type="dxa"/>
            <w:tcBorders>
              <w:top w:val="single" w:sz="4" w:space="0" w:color="auto"/>
              <w:bottom w:val="nil"/>
            </w:tcBorders>
          </w:tcPr>
          <w:p>
            <w:pPr>
              <w:pStyle w:val="nTable"/>
              <w:spacing w:after="40"/>
              <w:rPr>
                <w:snapToGrid w:val="0"/>
              </w:rPr>
            </w:pPr>
            <w:r>
              <w:rPr>
                <w:snapToGrid w:val="0"/>
              </w:rPr>
              <w:t>To be proclaimed (see s. 2(1)(c))</w:t>
            </w:r>
          </w:p>
        </w:tc>
      </w:tr>
      <w:tr>
        <w:tblPrEx>
          <w:tblCellMar>
            <w:left w:w="57" w:type="dxa"/>
            <w:right w:w="57" w:type="dxa"/>
          </w:tblCellMar>
        </w:tblPrEx>
        <w:tc>
          <w:tcPr>
            <w:tcW w:w="2268" w:type="dxa"/>
            <w:tcBorders>
              <w:top w:val="nil"/>
              <w:bottom w:val="nil"/>
            </w:tcBorders>
          </w:tcPr>
          <w:p>
            <w:pPr>
              <w:pStyle w:val="nTable"/>
              <w:spacing w:after="40"/>
              <w:rPr>
                <w:i/>
              </w:rPr>
            </w:pPr>
            <w:r>
              <w:rPr>
                <w:i/>
              </w:rPr>
              <w:t xml:space="preserve">TAB (Disposal) Act 2019 </w:t>
            </w:r>
            <w:r>
              <w:t>s. 86-88, 89(1), 90-92 and 94-104</w:t>
            </w:r>
          </w:p>
        </w:tc>
        <w:tc>
          <w:tcPr>
            <w:tcW w:w="1139" w:type="dxa"/>
            <w:tcBorders>
              <w:top w:val="nil"/>
              <w:bottom w:val="nil"/>
            </w:tcBorders>
          </w:tcPr>
          <w:p>
            <w:pPr>
              <w:pStyle w:val="nTable"/>
              <w:spacing w:after="40"/>
            </w:pPr>
            <w:r>
              <w:t>21 of 2019</w:t>
            </w:r>
          </w:p>
        </w:tc>
        <w:tc>
          <w:tcPr>
            <w:tcW w:w="1143" w:type="dxa"/>
            <w:gridSpan w:val="2"/>
            <w:tcBorders>
              <w:top w:val="nil"/>
              <w:bottom w:val="nil"/>
            </w:tcBorders>
          </w:tcPr>
          <w:p>
            <w:pPr>
              <w:pStyle w:val="nTable"/>
              <w:spacing w:after="40"/>
            </w:pPr>
            <w:r>
              <w:t>18 Sep 2019</w:t>
            </w:r>
          </w:p>
        </w:tc>
        <w:tc>
          <w:tcPr>
            <w:tcW w:w="2543" w:type="dxa"/>
            <w:tcBorders>
              <w:top w:val="nil"/>
              <w:bottom w:val="nil"/>
            </w:tcBorders>
          </w:tcPr>
          <w:p>
            <w:pPr>
              <w:pStyle w:val="nTable"/>
              <w:spacing w:after="40"/>
              <w:rPr>
                <w:snapToGrid w:val="0"/>
              </w:rPr>
            </w:pPr>
            <w:r>
              <w:rPr>
                <w:snapToGrid w:val="0"/>
              </w:rPr>
              <w:t>To be proclaimed (see s. 2(1)(b) and (2))</w:t>
            </w:r>
          </w:p>
        </w:tc>
      </w:tr>
      <w:tr>
        <w:tblPrEx>
          <w:tblCellMar>
            <w:left w:w="57" w:type="dxa"/>
            <w:right w:w="57" w:type="dxa"/>
          </w:tblCellMar>
        </w:tblPrEx>
        <w:tc>
          <w:tcPr>
            <w:tcW w:w="2268" w:type="dxa"/>
            <w:tcBorders>
              <w:top w:val="nil"/>
              <w:bottom w:val="single" w:sz="4" w:space="0" w:color="auto"/>
            </w:tcBorders>
          </w:tcPr>
          <w:p>
            <w:pPr>
              <w:pStyle w:val="nTable"/>
              <w:spacing w:after="40"/>
              <w:rPr>
                <w:i/>
              </w:rPr>
            </w:pPr>
            <w:r>
              <w:rPr>
                <w:i/>
              </w:rPr>
              <w:t>Directors’ Liability Reform Act 2023</w:t>
            </w:r>
            <w:r>
              <w:t xml:space="preserve"> Pt. 3 Div. 30</w:t>
            </w:r>
          </w:p>
        </w:tc>
        <w:tc>
          <w:tcPr>
            <w:tcW w:w="1139" w:type="dxa"/>
            <w:tcBorders>
              <w:top w:val="nil"/>
              <w:bottom w:val="single" w:sz="4" w:space="0" w:color="auto"/>
            </w:tcBorders>
          </w:tcPr>
          <w:p>
            <w:pPr>
              <w:pStyle w:val="nTable"/>
              <w:spacing w:after="40"/>
            </w:pPr>
            <w:r>
              <w:t>9 of 2023</w:t>
            </w:r>
          </w:p>
        </w:tc>
        <w:tc>
          <w:tcPr>
            <w:tcW w:w="1143" w:type="dxa"/>
            <w:gridSpan w:val="2"/>
            <w:tcBorders>
              <w:top w:val="nil"/>
              <w:bottom w:val="single" w:sz="4" w:space="0" w:color="auto"/>
            </w:tcBorders>
          </w:tcPr>
          <w:p>
            <w:pPr>
              <w:pStyle w:val="nTable"/>
              <w:spacing w:after="40"/>
            </w:pPr>
            <w:r>
              <w:t>4 Apr 2023</w:t>
            </w:r>
          </w:p>
        </w:tc>
        <w:tc>
          <w:tcPr>
            <w:tcW w:w="2543" w:type="dxa"/>
            <w:tcBorders>
              <w:top w:val="nil"/>
              <w:bottom w:val="single" w:sz="4" w:space="0" w:color="auto"/>
            </w:tcBorders>
          </w:tcPr>
          <w:p>
            <w:pPr>
              <w:pStyle w:val="nTable"/>
              <w:spacing w:after="40"/>
              <w:rPr>
                <w:snapToGrid w:val="0"/>
              </w:rPr>
            </w:pPr>
            <w:r>
              <w:t>Pt. 3 Div. 30 (other than s. 80): 5 Apr 2023 (see s. 2(j));</w:t>
            </w:r>
            <w:r>
              <w:br/>
              <w:t xml:space="preserve">s. 80: Operative on commencement of the </w:t>
            </w:r>
            <w:r>
              <w:rPr>
                <w:i/>
              </w:rPr>
              <w:t>TAB (Disposal) Act 2019</w:t>
            </w:r>
            <w:r>
              <w:t xml:space="preserve"> s. 99 (see s. 2(h)(ii))</w:t>
            </w:r>
          </w:p>
        </w:tc>
      </w:tr>
    </w:tbl>
    <w:p>
      <w:pPr>
        <w:pStyle w:val="nHeading3"/>
      </w:pPr>
      <w:bookmarkStart w:id="227" w:name="_Toc131666846"/>
      <w:r>
        <w:t>Other notes</w:t>
      </w:r>
      <w:bookmarkEnd w:id="227"/>
    </w:p>
    <w:p>
      <w:pPr>
        <w:pStyle w:val="nNote"/>
        <w:spacing w:before="140"/>
        <w:rPr>
          <w:snapToGrid w:val="0"/>
        </w:rPr>
      </w:pPr>
      <w:r>
        <w:rPr>
          <w:snapToGrid w:val="0"/>
          <w:vertAlign w:val="superscript"/>
        </w:rPr>
        <w:t>1</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Note"/>
        <w:spacing w:before="140"/>
        <w:ind w:left="426" w:hanging="426"/>
        <w:rPr>
          <w:snapToGrid w:val="0"/>
        </w:rPr>
      </w:pPr>
      <w:r>
        <w:rPr>
          <w:snapToGrid w:val="0"/>
          <w:vertAlign w:val="superscript"/>
        </w:rPr>
        <w:t>2</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i/>
          <w:snapToGrid w:val="0"/>
        </w:rPr>
        <w:t xml:space="preserve"> </w:t>
      </w:r>
      <w:r>
        <w:rPr>
          <w:i/>
          <w:iCs/>
          <w:snapToGrid w:val="0"/>
        </w:rPr>
        <w:t>Administration (Consequential Provisions) Act 2002</w:t>
      </w:r>
      <w:r>
        <w:rPr>
          <w:snapToGrid w:val="0"/>
        </w:rPr>
        <w:t xml:space="preserve"> s. 6) contains savings and transitional provisions.</w:t>
      </w:r>
    </w:p>
    <w:p>
      <w:pPr>
        <w:pStyle w:val="nNote"/>
        <w:keepNext/>
        <w:spacing w:before="140"/>
      </w:pPr>
      <w:r>
        <w:rPr>
          <w:vertAlign w:val="superscript"/>
        </w:rPr>
        <w:t>3</w:t>
      </w:r>
      <w:r>
        <w:tab/>
        <w:t xml:space="preserve">The </w:t>
      </w:r>
      <w:r>
        <w:rPr>
          <w:i/>
        </w:rPr>
        <w:t>Racing and Gambling Legislation Amendment and Repeal Act 2003</w:t>
      </w:r>
      <w:r>
        <w:t xml:space="preserve"> Pt. 9 Div. 2 reads as follows:</w:t>
      </w:r>
    </w:p>
    <w:p>
      <w:pPr>
        <w:pStyle w:val="BlankOpen"/>
      </w:pP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spacing w:before="160"/>
      </w:pPr>
      <w:r>
        <w:rPr>
          <w:rStyle w:val="CharSectno"/>
        </w:rPr>
        <w:t>169</w:t>
      </w:r>
      <w:r>
        <w:t>.</w:t>
      </w:r>
      <w:r>
        <w:tab/>
        <w:t>Gaming and Wagering Commission</w:t>
      </w:r>
    </w:p>
    <w:p>
      <w:pPr>
        <w:pStyle w:val="nzSubsection"/>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pPr>
      <w:r>
        <w:lastRenderedPageBreak/>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keepNext/>
        <w:keepLines/>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BlankClose"/>
      </w:pP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229" w:name="_Toc115166698"/>
      <w:bookmarkStart w:id="230" w:name="_Toc115166855"/>
      <w:bookmarkStart w:id="231" w:name="_Toc115267929"/>
      <w:bookmarkStart w:id="232" w:name="_Toc131666847"/>
      <w:r>
        <w:rPr>
          <w:sz w:val="28"/>
        </w:rPr>
        <w:lastRenderedPageBreak/>
        <w:t>Defined terms</w:t>
      </w:r>
      <w:bookmarkEnd w:id="229"/>
      <w:bookmarkEnd w:id="230"/>
      <w:bookmarkEnd w:id="231"/>
      <w:bookmarkEnd w:id="2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member</w:t>
      </w:r>
      <w:r>
        <w:tab/>
        <w:t>109D(9)</w:t>
      </w:r>
    </w:p>
    <w:p>
      <w:pPr>
        <w:pStyle w:val="DefinedTerms"/>
      </w:pPr>
      <w:r>
        <w:t>approval</w:t>
      </w:r>
      <w:r>
        <w:tab/>
        <w:t>43A(4)</w:t>
      </w:r>
    </w:p>
    <w:p>
      <w:pPr>
        <w:pStyle w:val="DefinedTerms"/>
      </w:pPr>
      <w:r>
        <w:t>approved</w:t>
      </w:r>
      <w:r>
        <w:tab/>
        <w:t>3(1)</w:t>
      </w:r>
    </w:p>
    <w:p>
      <w:pPr>
        <w:pStyle w:val="DefinedTerms"/>
      </w:pPr>
      <w:r>
        <w:t>approved premises</w:t>
      </w:r>
      <w:r>
        <w:tab/>
        <w:t>3(1)</w:t>
      </w:r>
    </w:p>
    <w:p>
      <w:pPr>
        <w:pStyle w:val="DefinedTerms"/>
      </w:pPr>
      <w:r>
        <w:t>authorised officer</w:t>
      </w:r>
      <w:r>
        <w:tab/>
        <w:t>3(1)</w:t>
      </w:r>
    </w:p>
    <w:p>
      <w:pPr>
        <w:pStyle w:val="DefinedTerms"/>
      </w:pPr>
      <w:r>
        <w:t>authorised person</w:t>
      </w:r>
      <w:r>
        <w:tab/>
        <w:t>85(6)</w:t>
      </w:r>
    </w:p>
    <w:p>
      <w:pPr>
        <w:pStyle w:val="DefinedTerms"/>
      </w:pPr>
      <w:r>
        <w:t>banking day</w:t>
      </w:r>
      <w:r>
        <w:tab/>
        <w:t>63(4)</w:t>
      </w:r>
    </w:p>
    <w:p>
      <w:pPr>
        <w:pStyle w:val="DefinedTerms"/>
      </w:pPr>
      <w:r>
        <w:t>batch</w:t>
      </w:r>
      <w:r>
        <w:tab/>
        <w:t>101(1)</w:t>
      </w:r>
    </w:p>
    <w:p>
      <w:pPr>
        <w:pStyle w:val="DefinedTerms"/>
      </w:pPr>
      <w:r>
        <w:t>bingo</w:t>
      </w:r>
      <w:r>
        <w:tab/>
        <w:t>94(1)</w:t>
      </w:r>
    </w:p>
    <w:p>
      <w:pPr>
        <w:pStyle w:val="DefinedTerms"/>
      </w:pPr>
      <w:r>
        <w:t>books</w:t>
      </w:r>
      <w:r>
        <w:tab/>
        <w:t>3(1)</w:t>
      </w:r>
    </w:p>
    <w:p>
      <w:pPr>
        <w:pStyle w:val="DefinedTerms"/>
      </w:pPr>
      <w:r>
        <w:t>cards</w:t>
      </w:r>
      <w:r>
        <w:tab/>
        <w:t>94(2)</w:t>
      </w:r>
    </w:p>
    <w:p>
      <w:pPr>
        <w:pStyle w:val="DefinedTerms"/>
      </w:pPr>
      <w:r>
        <w:t>casino</w:t>
      </w:r>
      <w:r>
        <w:tab/>
        <w:t>3(1)</w:t>
      </w:r>
    </w:p>
    <w:p>
      <w:pPr>
        <w:pStyle w:val="DefinedTerms"/>
      </w:pPr>
      <w:r>
        <w:t>casino complex agreement</w:t>
      </w:r>
      <w:r>
        <w:tab/>
        <w:t>3(1)</w:t>
      </w:r>
    </w:p>
    <w:p>
      <w:pPr>
        <w:pStyle w:val="DefinedTerms"/>
      </w:pPr>
      <w:r>
        <w:t>certificate</w:t>
      </w:r>
      <w:r>
        <w:tab/>
        <w:t>3(1)</w:t>
      </w:r>
    </w:p>
    <w:p>
      <w:pPr>
        <w:pStyle w:val="DefinedTerms"/>
      </w:pPr>
      <w:r>
        <w:t>charitable organisation</w:t>
      </w:r>
      <w:r>
        <w:tab/>
        <w:t>94(1)</w:t>
      </w:r>
    </w:p>
    <w:p>
      <w:pPr>
        <w:pStyle w:val="DefinedTerms"/>
      </w:pPr>
      <w:r>
        <w:t>Chief Casino Officer</w:t>
      </w:r>
      <w:r>
        <w:tab/>
        <w:t>16(4)</w:t>
      </w:r>
    </w:p>
    <w:p>
      <w:pPr>
        <w:pStyle w:val="DefinedTerms"/>
      </w:pPr>
      <w:r>
        <w:t>closing date</w:t>
      </w:r>
      <w:r>
        <w:tab/>
        <w:t>101(1)</w:t>
      </w:r>
    </w:p>
    <w:p>
      <w:pPr>
        <w:pStyle w:val="DefinedTerms"/>
      </w:pPr>
      <w:r>
        <w:t>club</w:t>
      </w:r>
      <w:r>
        <w:tab/>
        <w:t>94(1)</w:t>
      </w:r>
    </w:p>
    <w:p>
      <w:pPr>
        <w:pStyle w:val="DefinedTerms"/>
      </w:pPr>
      <w:r>
        <w:t>Commission</w:t>
      </w:r>
      <w:r>
        <w:tab/>
        <w:t>3(1)</w:t>
      </w:r>
    </w:p>
    <w:p>
      <w:pPr>
        <w:pStyle w:val="DefinedTerms"/>
      </w:pPr>
      <w:r>
        <w:t>condition</w:t>
      </w:r>
      <w:r>
        <w:tab/>
        <w:t>3(1)</w:t>
      </w:r>
    </w:p>
    <w:p>
      <w:pPr>
        <w:pStyle w:val="DefinedTerms"/>
      </w:pPr>
      <w:r>
        <w:t>conduct</w:t>
      </w:r>
      <w:r>
        <w:tab/>
        <w:t>3(1)</w:t>
      </w:r>
    </w:p>
    <w:p>
      <w:pPr>
        <w:pStyle w:val="DefinedTerms"/>
      </w:pPr>
      <w:r>
        <w:t>conducting</w:t>
      </w:r>
      <w:r>
        <w:tab/>
        <w:t>101(1)</w:t>
      </w:r>
    </w:p>
    <w:p>
      <w:pPr>
        <w:pStyle w:val="DefinedTerms"/>
      </w:pPr>
      <w:r>
        <w:t>confidential police information</w:t>
      </w:r>
      <w:r>
        <w:tab/>
        <w:t>20A(1)</w:t>
      </w:r>
    </w:p>
    <w:p>
      <w:pPr>
        <w:pStyle w:val="DefinedTerms"/>
      </w:pPr>
      <w:r>
        <w:t>continuing lotteries levy</w:t>
      </w:r>
      <w:r>
        <w:tab/>
        <w:t>3(1)</w:t>
      </w:r>
    </w:p>
    <w:p>
      <w:pPr>
        <w:pStyle w:val="DefinedTerms"/>
      </w:pPr>
      <w:r>
        <w:t>continuing lottery</w:t>
      </w:r>
      <w:r>
        <w:tab/>
        <w:t>101(1)</w:t>
      </w:r>
    </w:p>
    <w:p>
      <w:pPr>
        <w:pStyle w:val="DefinedTerms"/>
      </w:pPr>
      <w:r>
        <w:t>credit card</w:t>
      </w:r>
      <w:r>
        <w:tab/>
        <w:t>3(1)</w:t>
      </w:r>
    </w:p>
    <w:p>
      <w:pPr>
        <w:pStyle w:val="DefinedTerms"/>
      </w:pPr>
      <w:r>
        <w:t>date of drawing</w:t>
      </w:r>
      <w:r>
        <w:tab/>
        <w:t>101(1)</w:t>
      </w:r>
    </w:p>
    <w:p>
      <w:pPr>
        <w:pStyle w:val="DefinedTerms"/>
      </w:pPr>
      <w:r>
        <w:t>debit card</w:t>
      </w:r>
      <w:r>
        <w:tab/>
        <w:t>3(1)</w:t>
      </w:r>
    </w:p>
    <w:p>
      <w:pPr>
        <w:pStyle w:val="DefinedTerms"/>
      </w:pPr>
      <w:r>
        <w:t>Department</w:t>
      </w:r>
      <w:r>
        <w:tab/>
        <w:t>3(1)</w:t>
      </w:r>
    </w:p>
    <w:p>
      <w:pPr>
        <w:pStyle w:val="DefinedTerms"/>
      </w:pPr>
      <w:r>
        <w:t>drawing</w:t>
      </w:r>
      <w:r>
        <w:tab/>
        <w:t>101(1)</w:t>
      </w:r>
    </w:p>
    <w:p>
      <w:pPr>
        <w:pStyle w:val="DefinedTerms"/>
      </w:pPr>
      <w:r>
        <w:t>employing authority</w:t>
      </w:r>
      <w:r>
        <w:tab/>
        <w:t>18(2a)</w:t>
      </w:r>
    </w:p>
    <w:p>
      <w:pPr>
        <w:pStyle w:val="DefinedTerms"/>
      </w:pPr>
      <w:r>
        <w:t>event</w:t>
      </w:r>
      <w:r>
        <w:tab/>
        <w:t>3(1)</w:t>
      </w:r>
    </w:p>
    <w:p>
      <w:pPr>
        <w:pStyle w:val="DefinedTerms"/>
      </w:pPr>
      <w:r>
        <w:t>face value</w:t>
      </w:r>
      <w:r>
        <w:tab/>
        <w:t>101(1)</w:t>
      </w:r>
    </w:p>
    <w:p>
      <w:pPr>
        <w:pStyle w:val="DefinedTerms"/>
      </w:pPr>
      <w:r>
        <w:t>foreign lottery</w:t>
      </w:r>
      <w:r>
        <w:tab/>
        <w:t>101(1)</w:t>
      </w:r>
    </w:p>
    <w:p>
      <w:pPr>
        <w:pStyle w:val="DefinedTerms"/>
      </w:pPr>
      <w:r>
        <w:t>gambling</w:t>
      </w:r>
      <w:r>
        <w:tab/>
        <w:t>3(1), 40A</w:t>
      </w:r>
    </w:p>
    <w:p>
      <w:pPr>
        <w:pStyle w:val="DefinedTerms"/>
      </w:pPr>
      <w:r>
        <w:t>game of chance</w:t>
      </w:r>
      <w:r>
        <w:tab/>
        <w:t>3(1)</w:t>
      </w:r>
    </w:p>
    <w:p>
      <w:pPr>
        <w:pStyle w:val="DefinedTerms"/>
      </w:pPr>
      <w:r>
        <w:t>gaming</w:t>
      </w:r>
      <w:r>
        <w:tab/>
        <w:t>3(1)</w:t>
      </w:r>
    </w:p>
    <w:p>
      <w:pPr>
        <w:pStyle w:val="DefinedTerms"/>
      </w:pPr>
      <w:r>
        <w:t>gaming equipment</w:t>
      </w:r>
      <w:r>
        <w:tab/>
        <w:t>3(1)</w:t>
      </w:r>
    </w:p>
    <w:p>
      <w:pPr>
        <w:pStyle w:val="DefinedTerms"/>
      </w:pPr>
      <w:r>
        <w:t>gaming machine</w:t>
      </w:r>
      <w:r>
        <w:tab/>
        <w:t>84(1)</w:t>
      </w:r>
    </w:p>
    <w:p>
      <w:pPr>
        <w:pStyle w:val="DefinedTerms"/>
      </w:pPr>
      <w:r>
        <w:t>gaming permit</w:t>
      </w:r>
      <w:r>
        <w:tab/>
        <w:t>3(1)</w:t>
      </w:r>
    </w:p>
    <w:p>
      <w:pPr>
        <w:pStyle w:val="DefinedTerms"/>
      </w:pPr>
      <w:r>
        <w:lastRenderedPageBreak/>
        <w:t>government inspector</w:t>
      </w:r>
      <w:r>
        <w:tab/>
        <w:t>16(4)</w:t>
      </w:r>
    </w:p>
    <w:p>
      <w:pPr>
        <w:pStyle w:val="DefinedTerms"/>
      </w:pPr>
      <w:r>
        <w:t>house</w:t>
      </w:r>
      <w:r>
        <w:tab/>
        <w:t>3(1)</w:t>
      </w:r>
    </w:p>
    <w:p>
      <w:pPr>
        <w:pStyle w:val="DefinedTerms"/>
      </w:pPr>
      <w:r>
        <w:t>imposed</w:t>
      </w:r>
      <w:r>
        <w:tab/>
        <w:t>3(1)</w:t>
      </w:r>
    </w:p>
    <w:p>
      <w:pPr>
        <w:pStyle w:val="DefinedTerms"/>
      </w:pPr>
      <w:r>
        <w:t>instruments of gaming</w:t>
      </w:r>
      <w:r>
        <w:tab/>
        <w:t>3(1)</w:t>
      </w:r>
    </w:p>
    <w:p>
      <w:pPr>
        <w:pStyle w:val="DefinedTerms"/>
      </w:pPr>
      <w:r>
        <w:t>licence</w:t>
      </w:r>
      <w:r>
        <w:tab/>
        <w:t>3(1)</w:t>
      </w:r>
    </w:p>
    <w:p>
      <w:pPr>
        <w:pStyle w:val="DefinedTerms"/>
      </w:pPr>
      <w:r>
        <w:t>licensed supplier</w:t>
      </w:r>
      <w:r>
        <w:tab/>
        <w:t>3(1)</w:t>
      </w:r>
    </w:p>
    <w:p>
      <w:pPr>
        <w:pStyle w:val="DefinedTerms"/>
      </w:pPr>
      <w:r>
        <w:t>lottery</w:t>
      </w:r>
      <w:r>
        <w:tab/>
        <w:t>3(1)</w:t>
      </w:r>
    </w:p>
    <w:p>
      <w:pPr>
        <w:pStyle w:val="DefinedTerms"/>
      </w:pPr>
      <w:r>
        <w:t>machine</w:t>
      </w:r>
      <w:r>
        <w:tab/>
        <w:t>3(1)</w:t>
      </w:r>
    </w:p>
    <w:p>
      <w:pPr>
        <w:pStyle w:val="DefinedTerms"/>
      </w:pPr>
      <w:r>
        <w:t>material evidence</w:t>
      </w:r>
      <w:r>
        <w:tab/>
        <w:t>26(2)</w:t>
      </w:r>
    </w:p>
    <w:p>
      <w:pPr>
        <w:pStyle w:val="DefinedTerms"/>
      </w:pPr>
      <w:r>
        <w:t>minor fund raising activity</w:t>
      </w:r>
      <w:r>
        <w:tab/>
        <w:t>3(1)</w:t>
      </w:r>
    </w:p>
    <w:p>
      <w:pPr>
        <w:pStyle w:val="DefinedTerms"/>
      </w:pPr>
      <w:r>
        <w:t>money</w:t>
      </w:r>
      <w:r>
        <w:tab/>
        <w:t>3(1), 94(1)</w:t>
      </w:r>
    </w:p>
    <w:p>
      <w:pPr>
        <w:pStyle w:val="DefinedTerms"/>
      </w:pPr>
      <w:r>
        <w:t>multiple bingo</w:t>
      </w:r>
      <w:r>
        <w:tab/>
        <w:t>3(1), 94(1), 96(4)</w:t>
      </w:r>
    </w:p>
    <w:p>
      <w:pPr>
        <w:pStyle w:val="DefinedTerms"/>
      </w:pPr>
      <w:r>
        <w:t>object</w:t>
      </w:r>
      <w:r>
        <w:tab/>
        <w:t>58(2)</w:t>
      </w:r>
    </w:p>
    <w:p>
      <w:pPr>
        <w:pStyle w:val="DefinedTerms"/>
      </w:pPr>
      <w:r>
        <w:t>occupier</w:t>
      </w:r>
      <w:r>
        <w:tab/>
        <w:t>3(1)</w:t>
      </w:r>
    </w:p>
    <w:p>
      <w:pPr>
        <w:pStyle w:val="DefinedTerms"/>
      </w:pPr>
      <w:r>
        <w:t>opening date</w:t>
      </w:r>
      <w:r>
        <w:tab/>
        <w:t>101(1)</w:t>
      </w:r>
    </w:p>
    <w:p>
      <w:pPr>
        <w:pStyle w:val="DefinedTerms"/>
      </w:pPr>
      <w:r>
        <w:t>organiser</w:t>
      </w:r>
      <w:r>
        <w:tab/>
        <w:t>94(1)</w:t>
      </w:r>
    </w:p>
    <w:p>
      <w:pPr>
        <w:pStyle w:val="DefinedTerms"/>
      </w:pPr>
      <w:r>
        <w:t>owner</w:t>
      </w:r>
      <w:r>
        <w:tab/>
        <w:t>3(1)</w:t>
      </w:r>
    </w:p>
    <w:p>
      <w:pPr>
        <w:pStyle w:val="DefinedTerms"/>
      </w:pPr>
      <w:r>
        <w:t>paid</w:t>
      </w:r>
      <w:r>
        <w:tab/>
        <w:t>94(1)</w:t>
      </w:r>
    </w:p>
    <w:p>
      <w:pPr>
        <w:pStyle w:val="DefinedTerms"/>
      </w:pPr>
      <w:r>
        <w:t>permit</w:t>
      </w:r>
      <w:r>
        <w:tab/>
        <w:t>3(1)</w:t>
      </w:r>
    </w:p>
    <w:p>
      <w:pPr>
        <w:pStyle w:val="DefinedTerms"/>
      </w:pPr>
      <w:r>
        <w:t>permit holder</w:t>
      </w:r>
      <w:r>
        <w:tab/>
        <w:t>3(1)</w:t>
      </w:r>
    </w:p>
    <w:p>
      <w:pPr>
        <w:pStyle w:val="DefinedTerms"/>
      </w:pPr>
      <w:r>
        <w:t>permitted amusement with prizes</w:t>
      </w:r>
      <w:r>
        <w:tab/>
        <w:t>3(1)</w:t>
      </w:r>
    </w:p>
    <w:p>
      <w:pPr>
        <w:pStyle w:val="DefinedTerms"/>
      </w:pPr>
      <w:r>
        <w:t>permitted bingo</w:t>
      </w:r>
      <w:r>
        <w:tab/>
        <w:t>3(1)</w:t>
      </w:r>
    </w:p>
    <w:p>
      <w:pPr>
        <w:pStyle w:val="DefinedTerms"/>
      </w:pPr>
      <w:r>
        <w:t>permitted gaming</w:t>
      </w:r>
      <w:r>
        <w:tab/>
        <w:t>3(1)</w:t>
      </w:r>
    </w:p>
    <w:p>
      <w:pPr>
        <w:pStyle w:val="DefinedTerms"/>
      </w:pPr>
      <w:r>
        <w:t>permitted lottery</w:t>
      </w:r>
      <w:r>
        <w:tab/>
        <w:t>3(1)</w:t>
      </w:r>
    </w:p>
    <w:p>
      <w:pPr>
        <w:pStyle w:val="DefinedTerms"/>
      </w:pPr>
      <w:r>
        <w:t>permitted two</w:t>
      </w:r>
      <w:r>
        <w:noBreakHyphen/>
        <w:t>up</w:t>
      </w:r>
      <w:r>
        <w:tab/>
        <w:t>3(1)</w:t>
      </w:r>
    </w:p>
    <w:p>
      <w:pPr>
        <w:pStyle w:val="DefinedTerms"/>
      </w:pPr>
      <w:r>
        <w:t>player</w:t>
      </w:r>
      <w:r>
        <w:tab/>
        <w:t>3(1)</w:t>
      </w:r>
    </w:p>
    <w:p>
      <w:pPr>
        <w:pStyle w:val="DefinedTerms"/>
      </w:pPr>
      <w:r>
        <w:t>playing</w:t>
      </w:r>
      <w:r>
        <w:tab/>
        <w:t>3(1)</w:t>
      </w:r>
    </w:p>
    <w:p>
      <w:pPr>
        <w:pStyle w:val="DefinedTerms"/>
      </w:pPr>
      <w:r>
        <w:t>possession</w:t>
      </w:r>
      <w:r>
        <w:tab/>
        <w:t>3(1)</w:t>
      </w:r>
    </w:p>
    <w:p>
      <w:pPr>
        <w:pStyle w:val="DefinedTerms"/>
      </w:pPr>
      <w:r>
        <w:t>premises</w:t>
      </w:r>
      <w:r>
        <w:tab/>
        <w:t>3(1)</w:t>
      </w:r>
    </w:p>
    <w:p>
      <w:pPr>
        <w:pStyle w:val="DefinedTerms"/>
      </w:pPr>
      <w:r>
        <w:t>prescribed gaming equipment</w:t>
      </w:r>
      <w:r>
        <w:tab/>
        <w:t>84(1)</w:t>
      </w:r>
    </w:p>
    <w:p>
      <w:pPr>
        <w:pStyle w:val="DefinedTerms"/>
      </w:pPr>
      <w:r>
        <w:t>prize</w:t>
      </w:r>
      <w:r>
        <w:tab/>
        <w:t>94(1)</w:t>
      </w:r>
    </w:p>
    <w:p>
      <w:pPr>
        <w:pStyle w:val="DefinedTerms"/>
      </w:pPr>
      <w:r>
        <w:t>prohibited advertisement</w:t>
      </w:r>
      <w:r>
        <w:tab/>
        <w:t>43A(1)</w:t>
      </w:r>
    </w:p>
    <w:p>
      <w:pPr>
        <w:pStyle w:val="DefinedTerms"/>
      </w:pPr>
      <w:r>
        <w:t>promoter</w:t>
      </w:r>
      <w:r>
        <w:tab/>
        <w:t>94(1)</w:t>
      </w:r>
    </w:p>
    <w:p>
      <w:pPr>
        <w:pStyle w:val="DefinedTerms"/>
      </w:pPr>
      <w:r>
        <w:t>public place</w:t>
      </w:r>
      <w:r>
        <w:tab/>
        <w:t>3(1)</w:t>
      </w:r>
    </w:p>
    <w:p>
      <w:pPr>
        <w:pStyle w:val="DefinedTerms"/>
      </w:pPr>
      <w:r>
        <w:t>public premises</w:t>
      </w:r>
      <w:r>
        <w:tab/>
        <w:t>93A</w:t>
      </w:r>
    </w:p>
    <w:p>
      <w:pPr>
        <w:pStyle w:val="DefinedTerms"/>
      </w:pPr>
      <w:r>
        <w:t>Public Service</w:t>
      </w:r>
      <w:r>
        <w:tab/>
        <w:t>18(2a)</w:t>
      </w:r>
    </w:p>
    <w:p>
      <w:pPr>
        <w:pStyle w:val="DefinedTerms"/>
      </w:pPr>
      <w:r>
        <w:t>quarter</w:t>
      </w:r>
      <w:r>
        <w:tab/>
        <w:t>101(1)</w:t>
      </w:r>
    </w:p>
    <w:p>
      <w:pPr>
        <w:pStyle w:val="DefinedTerms"/>
      </w:pPr>
      <w:r>
        <w:t>race</w:t>
      </w:r>
      <w:r>
        <w:tab/>
        <w:t>3(1)</w:t>
      </w:r>
    </w:p>
    <w:p>
      <w:pPr>
        <w:pStyle w:val="DefinedTerms"/>
      </w:pPr>
      <w:r>
        <w:t>race club</w:t>
      </w:r>
      <w:r>
        <w:tab/>
        <w:t>3(1)</w:t>
      </w:r>
    </w:p>
    <w:p>
      <w:pPr>
        <w:pStyle w:val="DefinedTerms"/>
      </w:pPr>
      <w:r>
        <w:t>race day</w:t>
      </w:r>
      <w:r>
        <w:tab/>
        <w:t>80(1a)</w:t>
      </w:r>
    </w:p>
    <w:p>
      <w:pPr>
        <w:pStyle w:val="DefinedTerms"/>
      </w:pPr>
      <w:r>
        <w:t>race meeting</w:t>
      </w:r>
      <w:r>
        <w:tab/>
        <w:t>3(1)</w:t>
      </w:r>
    </w:p>
    <w:p>
      <w:pPr>
        <w:pStyle w:val="DefinedTerms"/>
      </w:pPr>
      <w:r>
        <w:t>related furnishings</w:t>
      </w:r>
      <w:r>
        <w:tab/>
        <w:t>3(1)</w:t>
      </w:r>
    </w:p>
    <w:p>
      <w:pPr>
        <w:pStyle w:val="DefinedTerms"/>
      </w:pPr>
      <w:r>
        <w:t>relevant Act</w:t>
      </w:r>
      <w:r>
        <w:tab/>
        <w:t>20A(1)</w:t>
      </w:r>
    </w:p>
    <w:p>
      <w:pPr>
        <w:pStyle w:val="DefinedTerms"/>
      </w:pPr>
      <w:r>
        <w:t>remote gambling device</w:t>
      </w:r>
      <w:r>
        <w:tab/>
        <w:t>93A</w:t>
      </w:r>
    </w:p>
    <w:p>
      <w:pPr>
        <w:pStyle w:val="DefinedTerms"/>
      </w:pPr>
      <w:r>
        <w:t>responsible person</w:t>
      </w:r>
      <w:r>
        <w:tab/>
        <w:t>109B(1)</w:t>
      </w:r>
    </w:p>
    <w:p>
      <w:pPr>
        <w:pStyle w:val="DefinedTerms"/>
      </w:pPr>
      <w:r>
        <w:lastRenderedPageBreak/>
        <w:t>RWWA</w:t>
      </w:r>
      <w:r>
        <w:tab/>
        <w:t>3(1)</w:t>
      </w:r>
    </w:p>
    <w:p>
      <w:pPr>
        <w:pStyle w:val="DefinedTerms"/>
      </w:pPr>
      <w:r>
        <w:t>RWWA Act</w:t>
      </w:r>
      <w:r>
        <w:tab/>
        <w:t>3(1)</w:t>
      </w:r>
    </w:p>
    <w:p>
      <w:pPr>
        <w:pStyle w:val="DefinedTerms"/>
      </w:pPr>
      <w:r>
        <w:t>seized thing</w:t>
      </w:r>
      <w:r>
        <w:tab/>
        <w:t>32A(1)</w:t>
      </w:r>
    </w:p>
    <w:p>
      <w:pPr>
        <w:pStyle w:val="DefinedTerms"/>
      </w:pPr>
      <w:r>
        <w:t>service agreement</w:t>
      </w:r>
      <w:r>
        <w:tab/>
        <w:t>91(5)</w:t>
      </w:r>
    </w:p>
    <w:p>
      <w:pPr>
        <w:pStyle w:val="DefinedTerms"/>
      </w:pPr>
      <w:r>
        <w:t>simultaneous bingo</w:t>
      </w:r>
      <w:r>
        <w:tab/>
        <w:t>3(1), 94(1)</w:t>
      </w:r>
    </w:p>
    <w:p>
      <w:pPr>
        <w:pStyle w:val="DefinedTerms"/>
      </w:pPr>
      <w:r>
        <w:t>slot machine</w:t>
      </w:r>
      <w:r>
        <w:tab/>
        <w:t>84(1)</w:t>
      </w:r>
    </w:p>
    <w:p>
      <w:pPr>
        <w:pStyle w:val="DefinedTerms"/>
      </w:pPr>
      <w:r>
        <w:t>social gambling</w:t>
      </w:r>
      <w:r>
        <w:tab/>
        <w:t>3(1)</w:t>
      </w:r>
    </w:p>
    <w:p>
      <w:pPr>
        <w:pStyle w:val="DefinedTerms"/>
      </w:pPr>
      <w:r>
        <w:t>specified</w:t>
      </w:r>
      <w:r>
        <w:tab/>
        <w:t>48(2), 87(2), 91(8)</w:t>
      </w:r>
    </w:p>
    <w:p>
      <w:pPr>
        <w:pStyle w:val="DefinedTerms"/>
      </w:pPr>
      <w:r>
        <w:t>standard lottery</w:t>
      </w:r>
      <w:r>
        <w:tab/>
        <w:t>101(1)</w:t>
      </w:r>
    </w:p>
    <w:p>
      <w:pPr>
        <w:pStyle w:val="DefinedTerms"/>
      </w:pPr>
      <w:r>
        <w:t>telecommunication device</w:t>
      </w:r>
      <w:r>
        <w:tab/>
        <w:t>3(1)</w:t>
      </w:r>
    </w:p>
    <w:p>
      <w:pPr>
        <w:pStyle w:val="DefinedTerms"/>
      </w:pPr>
      <w:r>
        <w:t>terms</w:t>
      </w:r>
      <w:r>
        <w:tab/>
        <w:t>89(3)</w:t>
      </w:r>
    </w:p>
    <w:p>
      <w:pPr>
        <w:pStyle w:val="DefinedTerms"/>
      </w:pPr>
      <w:r>
        <w:t>ticket</w:t>
      </w:r>
      <w:r>
        <w:tab/>
        <w:t>101(1), 101(1)</w:t>
      </w:r>
    </w:p>
    <w:p>
      <w:pPr>
        <w:pStyle w:val="DefinedTerms"/>
      </w:pPr>
      <w:r>
        <w:t>token</w:t>
      </w:r>
      <w:r>
        <w:tab/>
        <w:t>3(1)</w:t>
      </w:r>
    </w:p>
    <w:p>
      <w:pPr>
        <w:pStyle w:val="DefinedTerms"/>
      </w:pPr>
      <w:r>
        <w:t>trade promotion lottery</w:t>
      </w:r>
      <w:r>
        <w:tab/>
        <w:t>3(1)</w:t>
      </w:r>
    </w:p>
    <w:p>
      <w:pPr>
        <w:pStyle w:val="DefinedTerms"/>
      </w:pPr>
      <w:r>
        <w:t>Trust</w:t>
      </w:r>
      <w:r>
        <w:tab/>
        <w:t>109A</w:t>
      </w:r>
    </w:p>
    <w:p>
      <w:pPr>
        <w:pStyle w:val="DefinedTerms"/>
      </w:pPr>
      <w:r>
        <w:t>Trust Account</w:t>
      </w:r>
      <w:r>
        <w:tab/>
        <w:t>109A</w:t>
      </w:r>
    </w:p>
    <w:p>
      <w:pPr>
        <w:pStyle w:val="DefinedTerms"/>
      </w:pPr>
      <w:r>
        <w:t>two</w:t>
      </w:r>
      <w:r>
        <w:noBreakHyphen/>
        <w:t>up</w:t>
      </w:r>
      <w:r>
        <w:tab/>
        <w:t>3(1)</w:t>
      </w:r>
    </w:p>
    <w:p>
      <w:pPr>
        <w:pStyle w:val="DefinedTerms"/>
      </w:pPr>
      <w:r>
        <w:t>unclaimed winnings</w:t>
      </w:r>
      <w:r>
        <w:tab/>
        <w:t>109A, 109B(1)</w:t>
      </w:r>
    </w:p>
    <w:p>
      <w:pPr>
        <w:pStyle w:val="DefinedTerms"/>
      </w:pPr>
      <w:r>
        <w:t>unlawful game</w:t>
      </w:r>
      <w:r>
        <w:tab/>
        <w:t>3(1)</w:t>
      </w:r>
    </w:p>
    <w:p>
      <w:pPr>
        <w:pStyle w:val="DefinedTerms"/>
      </w:pPr>
      <w:r>
        <w:t>unlawful gaming</w:t>
      </w:r>
      <w:r>
        <w:tab/>
        <w:t>43A(1)</w:t>
      </w:r>
    </w:p>
    <w:p>
      <w:pPr>
        <w:pStyle w:val="DefinedTerms"/>
      </w:pPr>
      <w:r>
        <w:t>unlawful gaming equipment</w:t>
      </w:r>
      <w:r>
        <w:tab/>
        <w:t>84(1)</w:t>
      </w:r>
    </w:p>
    <w:p>
      <w:pPr>
        <w:pStyle w:val="DefinedTerms"/>
      </w:pPr>
      <w:r>
        <w:t>unlawful gaming machine</w:t>
      </w:r>
      <w:r>
        <w:tab/>
        <w:t>84(1)</w:t>
      </w:r>
    </w:p>
    <w:p>
      <w:pPr>
        <w:pStyle w:val="DefinedTerms"/>
      </w:pPr>
      <w:r>
        <w:t>unlawful lottery</w:t>
      </w:r>
      <w:r>
        <w:tab/>
        <w:t>101(1)</w:t>
      </w:r>
    </w:p>
    <w:p>
      <w:pPr>
        <w:pStyle w:val="DefinedTerms"/>
      </w:pPr>
      <w:r>
        <w:t>unlawful wagering</w:t>
      </w:r>
      <w:r>
        <w:tab/>
        <w:t>43A(1)</w:t>
      </w:r>
    </w:p>
    <w:p>
      <w:pPr>
        <w:pStyle w:val="DefinedTerms"/>
      </w:pPr>
      <w:r>
        <w:t>value</w:t>
      </w:r>
      <w:r>
        <w:tab/>
        <w:t>94(1)</w:t>
      </w:r>
    </w:p>
    <w:p>
      <w:pPr>
        <w:pStyle w:val="DefinedTerms"/>
      </w:pPr>
      <w:r>
        <w:t>vehicle</w:t>
      </w:r>
      <w:r>
        <w:tab/>
        <w:t>3(1)</w:t>
      </w:r>
    </w:p>
    <w:p>
      <w:pPr>
        <w:pStyle w:val="DefinedTerms"/>
      </w:pPr>
      <w:r>
        <w:t>vessel</w:t>
      </w:r>
      <w:r>
        <w:tab/>
        <w:t>3(1)</w:t>
      </w:r>
    </w:p>
    <w:p>
      <w:pPr>
        <w:pStyle w:val="DefinedTerms"/>
      </w:pPr>
      <w:r>
        <w:t>wagering</w:t>
      </w:r>
      <w:r>
        <w:tab/>
        <w:t>3(1), 40A</w:t>
      </w:r>
    </w:p>
    <w:p>
      <w:pPr>
        <w:pStyle w:val="DefinedTerms"/>
      </w:pPr>
      <w:r>
        <w:t>winner</w:t>
      </w:r>
      <w:r>
        <w:tab/>
        <w:t>109B(1)</w:t>
      </w:r>
    </w:p>
    <w:p>
      <w:pPr>
        <w:pStyle w:val="DefinedTerms"/>
      </w:pPr>
      <w:r>
        <w:t>winnings</w:t>
      </w:r>
      <w:r>
        <w:tab/>
        <w:t>3(1)</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06-n0-00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06-n0-00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clxviii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clxviii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28" w:name="Compilation"/>
    <w:bookmarkEnd w:id="22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3" w:name="DefinedTerms"/>
    <w:bookmarkEnd w:id="23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4" w:name="Coversheet"/>
    <w:bookmarkEnd w:id="2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D30A26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A441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8F616E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51C5FA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87835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C922B1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D682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E63DA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E86EA1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ECA88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2F4C2B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927101004"/>
    <w:docVar w:name="WAFER_20140123160344" w:val="RemoveTocBookmarks,RemoveUnusedBookmarks,RemoveLanguageTags,UsedStyles,ResetPageSize,UpdateArrangement"/>
    <w:docVar w:name="WAFER_20140123160344_GUID" w:val="2e5daf11-eae3-4b2f-8827-029c904dc2ef"/>
    <w:docVar w:name="WAFER_20140123160356" w:val="RemoveTocBookmarks,RunningHeaders"/>
    <w:docVar w:name="WAFER_20140123160356_GUID" w:val="92e22a0d-0a40-4690-86ba-0e2b82a9e33a"/>
    <w:docVar w:name="WAFER_20141104172558" w:val="RemoveTocBookmarks,RemoveUnusedBookmarks,RemoveLanguageTags,UsedStyles,ResetPageSize,UpdateArrangement"/>
    <w:docVar w:name="WAFER_20141104172558_GUID" w:val="5a4be81d-7c04-4ed2-baeb-49c888184271"/>
    <w:docVar w:name="WAFER_20150506114414" w:val="ResetPageSize,UpdateArrangement,UpdateNTable"/>
    <w:docVar w:name="WAFER_20150506114414_GUID" w:val="63f23cb0-3b99-47d6-91b3-c23b4c055dd2"/>
    <w:docVar w:name="WAFER_20151104142640" w:val="UpdateStyles,UsedStyles"/>
    <w:docVar w:name="WAFER_20151104142640_GUID" w:val="0b5d45da-e0f4-499a-9354-ea01e6d40f66"/>
    <w:docVar w:name="WAFER_20170111123255" w:val="RemoveTocBookmarks,RemoveUnusedBookmarks,RemoveLanguageTags,UsedStyles,ResetPageSize"/>
    <w:docVar w:name="WAFER_20170111123255_GUID" w:val="1dd3edcc-92b9-45b4-a6d5-cfb042119d2a"/>
    <w:docVar w:name="WAFER_20190919112320" w:val="RemoveTocBookmarks,RemoveUnusedBookmarks,RemoveLanguageTags,ResetPageSize,RunningHeaders,UpdateStyles,UsedStyles"/>
    <w:docVar w:name="WAFER_20190919112320_GUID" w:val="4285692c-dae8-4465-a1b4-0fc263346761"/>
    <w:docVar w:name="WAFER_2020021314331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3319_GUID" w:val="1891f3fc-21ef-4232-9559-ad57ae98dfeb"/>
    <w:docVar w:name="WAFER_202209271010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927101004_GUID" w:val="dcb49953-8ed2-47f8-be3c-c9319e47d7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77D6E56-7E31-497B-88F9-1AF364BEE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5603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46031</Words>
  <Characters>215891</Characters>
  <Application>Microsoft Office Word</Application>
  <DocSecurity>0</DocSecurity>
  <Lines>5834</Lines>
  <Paragraphs>2878</Paragraphs>
  <ScaleCrop>false</ScaleCrop>
  <HeadingPairs>
    <vt:vector size="2" baseType="variant">
      <vt:variant>
        <vt:lpstr>Title</vt:lpstr>
      </vt:variant>
      <vt:variant>
        <vt:i4>1</vt:i4>
      </vt:variant>
    </vt:vector>
  </HeadingPairs>
  <TitlesOfParts>
    <vt:vector size="1" baseType="lpstr">
      <vt:lpstr>Gaming and Wagering Commission Act 1987</vt:lpstr>
    </vt:vector>
  </TitlesOfParts>
  <Manager/>
  <Company/>
  <LinksUpToDate>false</LinksUpToDate>
  <CharactersWithSpaces>259044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1987 - 06-n0-00</dc:title>
  <dc:subject/>
  <dc:creator/>
  <cp:keywords/>
  <dc:description/>
  <cp:lastModifiedBy>Master Repository Process</cp:lastModifiedBy>
  <cp:revision>4</cp:revision>
  <cp:lastPrinted>2019-01-30T08:13:00Z</cp:lastPrinted>
  <dcterms:created xsi:type="dcterms:W3CDTF">2023-04-06T06:56:00Z</dcterms:created>
  <dcterms:modified xsi:type="dcterms:W3CDTF">2023-04-06T06:56:00Z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DocumentType">
    <vt:lpwstr>Act</vt:lpwstr>
  </property>
  <property fmtid="{D5CDD505-2E9C-101B-9397-08002B2CF9AE}" pid="4" name="OwlsUID">
    <vt:i4>311</vt:i4>
  </property>
  <property fmtid="{D5CDD505-2E9C-101B-9397-08002B2CF9AE}" pid="5" name="ReprintNo">
    <vt:lpwstr>6</vt:lpwstr>
  </property>
  <property fmtid="{D5CDD505-2E9C-101B-9397-08002B2CF9AE}" pid="6" name="ReprintedAsAt">
    <vt:filetime>2011-12-15T16:00:00Z</vt:filetime>
  </property>
  <property fmtid="{D5CDD505-2E9C-101B-9397-08002B2CF9AE}" pid="7" name="AsAtDate">
    <vt:lpwstr>04 Apr 2023</vt:lpwstr>
  </property>
  <property fmtid="{D5CDD505-2E9C-101B-9397-08002B2CF9AE}" pid="8" name="Suffix">
    <vt:lpwstr>06-n0-00</vt:lpwstr>
  </property>
  <property fmtid="{D5CDD505-2E9C-101B-9397-08002B2CF9AE}" pid="9" name="CommencementDate">
    <vt:lpwstr>20230404</vt:lpwstr>
  </property>
</Properties>
</file>