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Regulations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_Toc135213777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_Toc135213778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_Toc135213779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_Toc135213781 \h </w:instrText>
      </w:r>
      <w:r>
        <w:fldChar w:fldCharType="separate"/>
      </w:r>
      <w:r>
        <w:t>2</w:t>
      </w:r>
      <w:r>
        <w:fldChar w:fldCharType="end"/>
      </w:r>
    </w:p>
    <w:p>
      <w:pPr>
        <w:pStyle w:val="TOC8"/>
        <w:rPr>
          <w:rFonts w:asciiTheme="minorHAnsi" w:eastAsiaTheme="minorEastAsia" w:hAnsiTheme="minorHAnsi" w:cstheme="minorBidi"/>
          <w:szCs w:val="22"/>
        </w:rPr>
      </w:pPr>
      <w:r>
        <w:t>2B.</w:t>
      </w:r>
      <w:r>
        <w:tab/>
        <w:t>Publication of Authority minutes and records</w:t>
      </w:r>
      <w:r>
        <w:tab/>
      </w:r>
      <w:r>
        <w:fldChar w:fldCharType="begin"/>
      </w:r>
      <w:r>
        <w:instrText xml:space="preserve"> PAGEREF _Toc135213782 \h </w:instrText>
      </w:r>
      <w:r>
        <w:fldChar w:fldCharType="separate"/>
      </w:r>
      <w:r>
        <w:t>2</w:t>
      </w:r>
      <w:r>
        <w:fldChar w:fldCharType="end"/>
      </w:r>
    </w:p>
    <w:p>
      <w:pPr>
        <w:pStyle w:val="TOC8"/>
        <w:rPr>
          <w:rFonts w:asciiTheme="minorHAnsi" w:eastAsiaTheme="minorEastAsia" w:hAnsiTheme="minorHAnsi" w:cstheme="minorBidi"/>
          <w:szCs w:val="22"/>
        </w:rPr>
      </w:pPr>
      <w:r>
        <w:t>2C.</w:t>
      </w:r>
      <w:r>
        <w:tab/>
        <w:t>Proposals of prescribed class (Act s. 38)</w:t>
      </w:r>
      <w:r>
        <w:tab/>
      </w:r>
      <w:r>
        <w:fldChar w:fldCharType="begin"/>
      </w:r>
      <w:r>
        <w:instrText xml:space="preserve"> PAGEREF _Toc135213783 \h </w:instrText>
      </w:r>
      <w:r>
        <w:fldChar w:fldCharType="separate"/>
      </w:r>
      <w:r>
        <w:t>3</w:t>
      </w:r>
      <w:r>
        <w:fldChar w:fldCharType="end"/>
      </w:r>
    </w:p>
    <w:p>
      <w:pPr>
        <w:pStyle w:val="TOC8"/>
        <w:rPr>
          <w:rFonts w:asciiTheme="minorHAnsi" w:eastAsiaTheme="minorEastAsia" w:hAnsiTheme="minorHAnsi" w:cstheme="minorBidi"/>
          <w:szCs w:val="22"/>
        </w:rPr>
      </w:pPr>
      <w:r>
        <w:t>3.</w:t>
      </w:r>
      <w:r>
        <w:tab/>
        <w:t>Details prescribed for records of referred proposals</w:t>
      </w:r>
      <w:r>
        <w:tab/>
      </w:r>
      <w:r>
        <w:fldChar w:fldCharType="begin"/>
      </w:r>
      <w:r>
        <w:instrText xml:space="preserve"> PAGEREF _Toc135213784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2A — Publication and confidentiality</w:t>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_Toc135213786 \h </w:instrText>
      </w:r>
      <w:r>
        <w:fldChar w:fldCharType="separate"/>
      </w:r>
      <w:r>
        <w:t>5</w:t>
      </w:r>
      <w:r>
        <w:fldChar w:fldCharType="end"/>
      </w:r>
    </w:p>
    <w:p>
      <w:pPr>
        <w:pStyle w:val="TOC8"/>
        <w:rPr>
          <w:rFonts w:asciiTheme="minorHAnsi" w:eastAsiaTheme="minorEastAsia" w:hAnsiTheme="minorHAnsi" w:cstheme="minorBidi"/>
          <w:szCs w:val="22"/>
        </w:rPr>
      </w:pPr>
      <w:r>
        <w:t>3B.</w:t>
      </w:r>
      <w:r>
        <w:tab/>
        <w:t>Authority may keep documentation relating to proposals confidential on request</w:t>
      </w:r>
      <w:r>
        <w:tab/>
      </w:r>
      <w:r>
        <w:fldChar w:fldCharType="begin"/>
      </w:r>
      <w:r>
        <w:instrText xml:space="preserve"> PAGEREF _Toc135213787 \h </w:instrText>
      </w:r>
      <w:r>
        <w:fldChar w:fldCharType="separate"/>
      </w:r>
      <w:r>
        <w:t>5</w:t>
      </w:r>
      <w:r>
        <w:fldChar w:fldCharType="end"/>
      </w:r>
    </w:p>
    <w:p>
      <w:pPr>
        <w:pStyle w:val="TOC8"/>
        <w:rPr>
          <w:rFonts w:asciiTheme="minorHAnsi" w:eastAsiaTheme="minorEastAsia" w:hAnsiTheme="minorHAnsi" w:cstheme="minorBidi"/>
          <w:szCs w:val="22"/>
        </w:rPr>
      </w:pPr>
      <w:r>
        <w:t>3C.</w:t>
      </w:r>
      <w:r>
        <w:tab/>
        <w:t>Authority must keep certain matters confidential</w:t>
      </w:r>
      <w:r>
        <w:tab/>
      </w:r>
      <w:r>
        <w:fldChar w:fldCharType="begin"/>
      </w:r>
      <w:r>
        <w:instrText xml:space="preserve"> PAGEREF _Toc135213788 \h </w:instrText>
      </w:r>
      <w:r>
        <w:fldChar w:fldCharType="separate"/>
      </w:r>
      <w:r>
        <w:t>6</w:t>
      </w:r>
      <w:r>
        <w:fldChar w:fldCharType="end"/>
      </w:r>
    </w:p>
    <w:p>
      <w:pPr>
        <w:pStyle w:val="TOC8"/>
        <w:rPr>
          <w:rFonts w:asciiTheme="minorHAnsi" w:eastAsiaTheme="minorEastAsia" w:hAnsiTheme="minorHAnsi" w:cstheme="minorBidi"/>
          <w:szCs w:val="22"/>
        </w:rPr>
      </w:pPr>
      <w:r>
        <w:t>3D.</w:t>
      </w:r>
      <w:r>
        <w:tab/>
        <w:t>Authority may keep certain matters relating to proposals confidential</w:t>
      </w:r>
      <w:r>
        <w:tab/>
      </w:r>
      <w:r>
        <w:fldChar w:fldCharType="begin"/>
      </w:r>
      <w:r>
        <w:instrText xml:space="preserve"> PAGEREF _Toc135213789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_Toc135213791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_Toc135213792 \h </w:instrText>
      </w:r>
      <w:r>
        <w:fldChar w:fldCharType="separate"/>
      </w:r>
      <w:r>
        <w:t>12</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_Toc135213793 \h </w:instrText>
      </w:r>
      <w:r>
        <w:fldChar w:fldCharType="separate"/>
      </w:r>
      <w:r>
        <w:t>12</w:t>
      </w:r>
      <w:r>
        <w:fldChar w:fldCharType="end"/>
      </w:r>
    </w:p>
    <w:p>
      <w:pPr>
        <w:pStyle w:val="TOC8"/>
        <w:rPr>
          <w:rFonts w:asciiTheme="minorHAnsi" w:eastAsiaTheme="minorEastAsia" w:hAnsiTheme="minorHAnsi" w:cstheme="minorBidi"/>
          <w:szCs w:val="22"/>
        </w:rPr>
      </w:pPr>
      <w:r>
        <w:lastRenderedPageBreak/>
        <w:t>5B</w:t>
      </w:r>
      <w:r>
        <w:rPr>
          <w:snapToGrid w:val="0"/>
        </w:rPr>
        <w:t>.</w:t>
      </w:r>
      <w:r>
        <w:rPr>
          <w:snapToGrid w:val="0"/>
        </w:rPr>
        <w:tab/>
        <w:t>Registration of premises, application for etc.</w:t>
      </w:r>
      <w:r>
        <w:tab/>
      </w:r>
      <w:r>
        <w:fldChar w:fldCharType="begin"/>
      </w:r>
      <w:r>
        <w:instrText xml:space="preserve"> PAGEREF _Toc135213794 \h </w:instrText>
      </w:r>
      <w:r>
        <w:fldChar w:fldCharType="separate"/>
      </w:r>
      <w:r>
        <w:t>14</w:t>
      </w:r>
      <w:r>
        <w:fldChar w:fldCharType="end"/>
      </w:r>
    </w:p>
    <w:p>
      <w:pPr>
        <w:pStyle w:val="TOC8"/>
        <w:rPr>
          <w:rFonts w:asciiTheme="minorHAnsi" w:eastAsiaTheme="minorEastAsia" w:hAnsiTheme="minorHAnsi" w:cstheme="minorBidi"/>
          <w:szCs w:val="22"/>
        </w:rPr>
      </w:pPr>
      <w:r>
        <w:t>5BA.</w:t>
      </w:r>
      <w:r>
        <w:tab/>
        <w:t>Fees prescribed for works approval (Act s. 54(1))</w:t>
      </w:r>
      <w:r>
        <w:tab/>
      </w:r>
      <w:r>
        <w:fldChar w:fldCharType="begin"/>
      </w:r>
      <w:r>
        <w:instrText xml:space="preserve"> PAGEREF _Toc135213795 \h </w:instrText>
      </w:r>
      <w:r>
        <w:fldChar w:fldCharType="separate"/>
      </w:r>
      <w:r>
        <w:t>15</w:t>
      </w:r>
      <w:r>
        <w:fldChar w:fldCharType="end"/>
      </w:r>
    </w:p>
    <w:p>
      <w:pPr>
        <w:pStyle w:val="TOC8"/>
        <w:rPr>
          <w:rFonts w:asciiTheme="minorHAnsi" w:eastAsiaTheme="minorEastAsia" w:hAnsiTheme="minorHAnsi" w:cstheme="minorBidi"/>
          <w:szCs w:val="22"/>
        </w:rPr>
      </w:pPr>
      <w:r>
        <w:t>5BB.</w:t>
      </w:r>
      <w:r>
        <w:tab/>
        <w:t>Fees prescribed for amending works approval or licence (Act s. 59B(1))</w:t>
      </w:r>
      <w:r>
        <w:tab/>
      </w:r>
      <w:r>
        <w:fldChar w:fldCharType="begin"/>
      </w:r>
      <w:r>
        <w:instrText xml:space="preserve"> PAGEREF _Toc135213796 \h </w:instrText>
      </w:r>
      <w:r>
        <w:fldChar w:fldCharType="separate"/>
      </w:r>
      <w:r>
        <w:t>15</w:t>
      </w:r>
      <w:r>
        <w:fldChar w:fldCharType="end"/>
      </w:r>
    </w:p>
    <w:p>
      <w:pPr>
        <w:pStyle w:val="TOC8"/>
        <w:rPr>
          <w:rFonts w:asciiTheme="minorHAnsi" w:eastAsiaTheme="minorEastAsia" w:hAnsiTheme="minorHAnsi" w:cstheme="minorBidi"/>
          <w:szCs w:val="22"/>
        </w:rPr>
      </w:pPr>
      <w:r>
        <w:t>5C.</w:t>
      </w:r>
      <w:r>
        <w:tab/>
        <w:t>Fees prescribed for transfer of works approval or licence (Act s. 64(1))</w:t>
      </w:r>
      <w:r>
        <w:tab/>
      </w:r>
      <w:r>
        <w:fldChar w:fldCharType="begin"/>
      </w:r>
      <w:r>
        <w:instrText xml:space="preserve"> PAGEREF _Toc135213797 \h </w:instrText>
      </w:r>
      <w:r>
        <w:fldChar w:fldCharType="separate"/>
      </w:r>
      <w:r>
        <w:t>16</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_Toc135213798 \h </w:instrText>
      </w:r>
      <w:r>
        <w:fldChar w:fldCharType="separate"/>
      </w:r>
      <w:r>
        <w:t>16</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_Toc135213799 \h </w:instrText>
      </w:r>
      <w:r>
        <w:fldChar w:fldCharType="separate"/>
      </w:r>
      <w:r>
        <w:t>16</w:t>
      </w:r>
      <w:r>
        <w:fldChar w:fldCharType="end"/>
      </w:r>
    </w:p>
    <w:p>
      <w:pPr>
        <w:pStyle w:val="TOC8"/>
        <w:rPr>
          <w:rFonts w:asciiTheme="minorHAnsi" w:eastAsiaTheme="minorEastAsia" w:hAnsiTheme="minorHAnsi" w:cstheme="minorBidi"/>
          <w:szCs w:val="22"/>
        </w:rPr>
      </w:pPr>
      <w:r>
        <w:t>5CB.</w:t>
      </w:r>
      <w:r>
        <w:tab/>
        <w:t>Replacement of expiring licence, application for</w:t>
      </w:r>
      <w:r>
        <w:tab/>
      </w:r>
      <w:r>
        <w:fldChar w:fldCharType="begin"/>
      </w:r>
      <w:r>
        <w:instrText xml:space="preserve"> PAGEREF _Toc135213800 \h </w:instrText>
      </w:r>
      <w:r>
        <w:fldChar w:fldCharType="separate"/>
      </w:r>
      <w:r>
        <w:t>17</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_Toc135213801 \h </w:instrText>
      </w:r>
      <w:r>
        <w:fldChar w:fldCharType="separate"/>
      </w:r>
      <w:r>
        <w:t>17</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_Toc135213802 \h </w:instrText>
      </w:r>
      <w:r>
        <w:fldChar w:fldCharType="separate"/>
      </w:r>
      <w:r>
        <w:t>19</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_Toc135213803 \h </w:instrText>
      </w:r>
      <w:r>
        <w:fldChar w:fldCharType="separate"/>
      </w:r>
      <w:r>
        <w:t>20</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_Toc135213804 \h </w:instrText>
      </w:r>
      <w:r>
        <w:fldChar w:fldCharType="separate"/>
      </w:r>
      <w:r>
        <w:t>21</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_Toc135213805 \h </w:instrText>
      </w:r>
      <w:r>
        <w:fldChar w:fldCharType="separate"/>
      </w:r>
      <w:r>
        <w:t>21</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harmless</w:t>
      </w:r>
      <w:r>
        <w:tab/>
      </w:r>
      <w:r>
        <w:fldChar w:fldCharType="begin"/>
      </w:r>
      <w:r>
        <w:instrText xml:space="preserve"> PAGEREF _Toc135213806 \h </w:instrText>
      </w:r>
      <w:r>
        <w:fldChar w:fldCharType="separate"/>
      </w:r>
      <w:r>
        <w:t>21</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_Toc135213807 \h </w:instrText>
      </w:r>
      <w:r>
        <w:fldChar w:fldCharType="separate"/>
      </w:r>
      <w:r>
        <w:t>22</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_Toc135213808 \h </w:instrText>
      </w:r>
      <w:r>
        <w:fldChar w:fldCharType="separate"/>
      </w:r>
      <w:r>
        <w:t>25</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_Toc135213809 \h </w:instrText>
      </w:r>
      <w:r>
        <w:fldChar w:fldCharType="separate"/>
      </w:r>
      <w:r>
        <w:t>26</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_Toc135213810 \h </w:instrText>
      </w:r>
      <w:r>
        <w:fldChar w:fldCharType="separate"/>
      </w:r>
      <w:r>
        <w:t>27</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_Toc135213811 \h </w:instrText>
      </w:r>
      <w:r>
        <w:fldChar w:fldCharType="separate"/>
      </w:r>
      <w:r>
        <w:t>27</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_Toc135213812 \h </w:instrText>
      </w:r>
      <w:r>
        <w:fldChar w:fldCharType="separate"/>
      </w:r>
      <w:r>
        <w:t>28</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_Toc135213813 \h </w:instrText>
      </w:r>
      <w:r>
        <w:fldChar w:fldCharType="separate"/>
      </w:r>
      <w:r>
        <w:t>28</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_Toc135213814 \h </w:instrText>
      </w:r>
      <w:r>
        <w:fldChar w:fldCharType="separate"/>
      </w:r>
      <w:r>
        <w:t>29</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_Toc135213815 \h </w:instrText>
      </w:r>
      <w:r>
        <w:fldChar w:fldCharType="separate"/>
      </w:r>
      <w:r>
        <w:t>29</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_Toc135213816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3A — Use of mercury in manufacturing</w:t>
      </w:r>
    </w:p>
    <w:p>
      <w:pPr>
        <w:pStyle w:val="TOC8"/>
        <w:rPr>
          <w:rFonts w:asciiTheme="minorHAnsi" w:eastAsiaTheme="minorEastAsia" w:hAnsiTheme="minorHAnsi" w:cstheme="minorBidi"/>
          <w:szCs w:val="22"/>
        </w:rPr>
      </w:pPr>
      <w:r>
        <w:t>5P.</w:t>
      </w:r>
      <w:r>
        <w:tab/>
        <w:t>Terms used</w:t>
      </w:r>
      <w:r>
        <w:tab/>
      </w:r>
      <w:r>
        <w:fldChar w:fldCharType="begin"/>
      </w:r>
      <w:r>
        <w:instrText xml:space="preserve"> PAGEREF _Toc135213818 \h </w:instrText>
      </w:r>
      <w:r>
        <w:fldChar w:fldCharType="separate"/>
      </w:r>
      <w:r>
        <w:t>31</w:t>
      </w:r>
      <w:r>
        <w:fldChar w:fldCharType="end"/>
      </w:r>
    </w:p>
    <w:p>
      <w:pPr>
        <w:pStyle w:val="TOC8"/>
        <w:rPr>
          <w:rFonts w:asciiTheme="minorHAnsi" w:eastAsiaTheme="minorEastAsia" w:hAnsiTheme="minorHAnsi" w:cstheme="minorBidi"/>
          <w:szCs w:val="22"/>
        </w:rPr>
      </w:pPr>
      <w:r>
        <w:t>5Q.</w:t>
      </w:r>
      <w:r>
        <w:tab/>
        <w:t>Offence to conduct a prohibited manufacturing process</w:t>
      </w:r>
      <w:r>
        <w:tab/>
      </w:r>
      <w:r>
        <w:fldChar w:fldCharType="begin"/>
      </w:r>
      <w:r>
        <w:instrText xml:space="preserve"> PAGEREF _Toc135213819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_Toc135213821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_Toc135213823 \h </w:instrText>
      </w:r>
      <w:r>
        <w:fldChar w:fldCharType="separate"/>
      </w:r>
      <w:r>
        <w:t>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_Toc135213824 \h </w:instrText>
      </w:r>
      <w:r>
        <w:fldChar w:fldCharType="separate"/>
      </w:r>
      <w:r>
        <w:t>35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_Toc135213825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_Toc135213827 \h </w:instrText>
      </w:r>
      <w:r>
        <w:fldChar w:fldCharType="separate"/>
      </w:r>
      <w:r>
        <w:t>38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_Toc135213828 \h </w:instrText>
      </w:r>
      <w:r>
        <w:fldChar w:fldCharType="separate"/>
      </w:r>
      <w:r>
        <w:t>39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_Toc135213829 \h </w:instrText>
      </w:r>
      <w:r>
        <w:fldChar w:fldCharType="separate"/>
      </w:r>
      <w:r>
        <w:t>39</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_Toc135213830 \h </w:instrText>
      </w:r>
      <w:r>
        <w:fldChar w:fldCharType="separate"/>
      </w:r>
      <w:r>
        <w:t>40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_Toc135213831 \h </w:instrText>
      </w:r>
      <w:r>
        <w:fldChar w:fldCharType="separate"/>
      </w:r>
      <w:r>
        <w:t>40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_Toc135213832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_Toc135213834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_Toc135213836 \h </w:instrText>
      </w:r>
      <w:r>
        <w:fldChar w:fldCharType="separate"/>
      </w:r>
      <w:r>
        <w:t>45</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_Toc135213837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_Toc135213839 \h </w:instrText>
      </w:r>
      <w:r>
        <w:fldChar w:fldCharType="separate"/>
      </w:r>
      <w:r>
        <w:t>46</w:t>
      </w:r>
      <w:r>
        <w:fldChar w:fldCharType="end"/>
      </w:r>
    </w:p>
    <w:p>
      <w:pPr>
        <w:pStyle w:val="TOC8"/>
        <w:rPr>
          <w:rFonts w:asciiTheme="minorHAnsi" w:eastAsiaTheme="minorEastAsia" w:hAnsiTheme="minorHAnsi" w:cstheme="minorBidi"/>
          <w:szCs w:val="22"/>
        </w:rPr>
      </w:pPr>
      <w:r>
        <w:t>18.</w:t>
      </w:r>
      <w:r>
        <w:tab/>
        <w:t>Conditions prescribed (Act s. 62(2))</w:t>
      </w:r>
      <w:r>
        <w:tab/>
      </w:r>
      <w:r>
        <w:fldChar w:fldCharType="begin"/>
      </w:r>
      <w:r>
        <w:instrText xml:space="preserve"> PAGEREF _Toc135213840 \h </w:instrText>
      </w:r>
      <w:r>
        <w:fldChar w:fldCharType="separate"/>
      </w:r>
      <w:r>
        <w:t>46</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_Toc135213841 \h </w:instrText>
      </w:r>
      <w:r>
        <w:fldChar w:fldCharType="separate"/>
      </w:r>
      <w:r>
        <w:t>47</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_Toc135213842 \h </w:instrText>
      </w:r>
      <w:r>
        <w:fldChar w:fldCharType="separate"/>
      </w:r>
      <w:r>
        <w:t>47</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_Toc135213843 \h </w:instrText>
      </w:r>
      <w:r>
        <w:fldChar w:fldCharType="separate"/>
      </w:r>
      <w:r>
        <w:t>48</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_Toc135213844 \h </w:instrText>
      </w:r>
      <w:r>
        <w:fldChar w:fldCharType="separate"/>
      </w:r>
      <w:r>
        <w:t>48</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_Toc135213845 \h </w:instrText>
      </w:r>
      <w:r>
        <w:fldChar w:fldCharType="separate"/>
      </w:r>
      <w:r>
        <w:t>49</w:t>
      </w:r>
      <w:r>
        <w:fldChar w:fldCharType="end"/>
      </w:r>
    </w:p>
    <w:p>
      <w:pPr>
        <w:pStyle w:val="TOC8"/>
        <w:rPr>
          <w:rFonts w:asciiTheme="minorHAnsi" w:eastAsiaTheme="minorEastAsia" w:hAnsiTheme="minorHAnsi" w:cstheme="minorBidi"/>
          <w:szCs w:val="22"/>
        </w:rPr>
      </w:pPr>
      <w:r>
        <w:lastRenderedPageBreak/>
        <w:t>20D.</w:t>
      </w:r>
      <w:r>
        <w:tab/>
        <w:t>Report of specified monitoring programme, presumption of accuracy of measurement in</w:t>
      </w:r>
      <w:r>
        <w:tab/>
      </w:r>
      <w:r>
        <w:fldChar w:fldCharType="begin"/>
      </w:r>
      <w:r>
        <w:instrText xml:space="preserve"> PAGEREF _Toc135213846 \h </w:instrText>
      </w:r>
      <w:r>
        <w:fldChar w:fldCharType="separate"/>
      </w:r>
      <w:r>
        <w:t>49</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_Toc135213847 \h </w:instrText>
      </w:r>
      <w:r>
        <w:fldChar w:fldCharType="separate"/>
      </w:r>
      <w:r>
        <w:t>50</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_Toc135213848 \h </w:instrText>
      </w:r>
      <w:r>
        <w:fldChar w:fldCharType="separate"/>
      </w:r>
      <w:r>
        <w:t>50</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_Toc135213849 \h </w:instrText>
      </w:r>
      <w:r>
        <w:fldChar w:fldCharType="separate"/>
      </w:r>
      <w:r>
        <w:t>52</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_Toc135213850 \h </w:instrText>
      </w:r>
      <w:r>
        <w:fldChar w:fldCharType="separate"/>
      </w:r>
      <w:r>
        <w:t>52</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_Toc135213851 \h </w:instrText>
      </w:r>
      <w:r>
        <w:fldChar w:fldCharType="separate"/>
      </w:r>
      <w:r>
        <w:t>53</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_Toc135213852 \h </w:instrText>
      </w:r>
      <w:r>
        <w:fldChar w:fldCharType="separate"/>
      </w:r>
      <w:r>
        <w:t>54</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_Toc135213853 \h </w:instrText>
      </w:r>
      <w:r>
        <w:fldChar w:fldCharType="separate"/>
      </w:r>
      <w:r>
        <w:t>54</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_Toc135213854 \h </w:instrText>
      </w:r>
      <w:r>
        <w:fldChar w:fldCharType="separate"/>
      </w:r>
      <w:r>
        <w:t>55</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_Toc135213855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_Toc135213857 \h </w:instrText>
      </w:r>
      <w:r>
        <w:fldChar w:fldCharType="separate"/>
      </w:r>
      <w:r>
        <w:t>56</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_Toc135213858 \h </w:instrText>
      </w:r>
      <w:r>
        <w:fldChar w:fldCharType="separate"/>
      </w:r>
      <w:r>
        <w:t>57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_Toc135213859 \h </w:instrText>
      </w:r>
      <w:r>
        <w:fldChar w:fldCharType="separate"/>
      </w:r>
      <w:r>
        <w:t>58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_Toc135213860 \h </w:instrText>
      </w:r>
      <w:r>
        <w:fldChar w:fldCharType="separate"/>
      </w:r>
      <w:r>
        <w:t>59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_Toc135213861 \h </w:instrText>
      </w:r>
      <w:r>
        <w:fldChar w:fldCharType="separate"/>
      </w:r>
      <w:r>
        <w:t>61</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_Toc135213862 \h </w:instrText>
      </w:r>
      <w:r>
        <w:fldChar w:fldCharType="separate"/>
      </w:r>
      <w:r>
        <w:t>61</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_Toc135213863 \h </w:instrText>
      </w:r>
      <w:r>
        <w:fldChar w:fldCharType="separate"/>
      </w:r>
      <w:r>
        <w:t>63</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_Toc135213864 \h </w:instrText>
      </w:r>
      <w:r>
        <w:fldChar w:fldCharType="separate"/>
      </w:r>
      <w:r>
        <w:t>64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_Toc135213865 \h </w:instrText>
      </w:r>
      <w:r>
        <w:fldChar w:fldCharType="separate"/>
      </w:r>
      <w:r>
        <w:t>65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_Toc135213866 \h </w:instrText>
      </w:r>
      <w:r>
        <w:fldChar w:fldCharType="separate"/>
      </w:r>
      <w:r>
        <w:t>67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_Toc135213867 \h </w:instrText>
      </w:r>
      <w:r>
        <w:fldChar w:fldCharType="separate"/>
      </w:r>
      <w:r>
        <w:t>68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_Toc135213868 \h </w:instrText>
      </w:r>
      <w:r>
        <w:fldChar w:fldCharType="separate"/>
      </w:r>
      <w:r>
        <w:t>68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_Toc135213869 \h </w:instrText>
      </w:r>
      <w:r>
        <w:fldChar w:fldCharType="separate"/>
      </w:r>
      <w:r>
        <w:t>69</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_Toc135213870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_Toc135213872 \h </w:instrText>
      </w:r>
      <w:r>
        <w:fldChar w:fldCharType="separate"/>
      </w:r>
      <w:r>
        <w:t>71</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_Toc135213873 \h </w:instrText>
      </w:r>
      <w:r>
        <w:fldChar w:fldCharType="separate"/>
      </w:r>
      <w:r>
        <w:t>71</w:t>
      </w:r>
      <w:r>
        <w:fldChar w:fldCharType="end"/>
      </w:r>
    </w:p>
    <w:p>
      <w:pPr>
        <w:pStyle w:val="TOC8"/>
        <w:rPr>
          <w:rFonts w:asciiTheme="minorHAnsi" w:eastAsiaTheme="minorEastAsia" w:hAnsiTheme="minorHAnsi" w:cstheme="minorBidi"/>
          <w:szCs w:val="22"/>
        </w:rPr>
      </w:pPr>
      <w:r>
        <w:lastRenderedPageBreak/>
        <w:t>36.</w:t>
      </w:r>
      <w:r>
        <w:tab/>
        <w:t>Ways prescribed of disposing of thing forfeited to Crown</w:t>
      </w:r>
      <w:r>
        <w:rPr>
          <w:snapToGrid w:val="0"/>
        </w:rPr>
        <w:t xml:space="preserve"> (Act s. 99W(1))</w:t>
      </w:r>
      <w:r>
        <w:tab/>
      </w:r>
      <w:r>
        <w:fldChar w:fldCharType="begin"/>
      </w:r>
      <w:r>
        <w:instrText xml:space="preserve"> PAGEREF _Toc135213874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_Toc135213876 \h </w:instrText>
      </w:r>
      <w:r>
        <w:fldChar w:fldCharType="separate"/>
      </w:r>
      <w:r>
        <w:t>73</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_Toc135213877 \h </w:instrText>
      </w:r>
      <w:r>
        <w:fldChar w:fldCharType="separate"/>
      </w:r>
      <w:r>
        <w:t>73</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_Toc135213878 \h </w:instrText>
      </w:r>
      <w:r>
        <w:fldChar w:fldCharType="separate"/>
      </w:r>
      <w:r>
        <w:t>73</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_Toc135213879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_Toc135213881 \h </w:instrText>
      </w:r>
      <w:r>
        <w:fldChar w:fldCharType="separate"/>
      </w:r>
      <w:r>
        <w:t>75</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_Toc135213882 \h </w:instrText>
      </w:r>
      <w:r>
        <w:fldChar w:fldCharType="separate"/>
      </w:r>
      <w:r>
        <w:t>76</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_Toc135213883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_Toc135213885 \h </w:instrText>
      </w:r>
      <w:r>
        <w:fldChar w:fldCharType="separate"/>
      </w:r>
      <w:r>
        <w:t>77</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Prescribed premises</w:t>
      </w:r>
    </w:p>
    <w:p>
      <w:pPr>
        <w:pStyle w:val="TOC2"/>
        <w:keepNext w:val="0"/>
        <w:tabs>
          <w:tab w:val="right" w:leader="dot" w:pos="7077"/>
        </w:tabs>
        <w:rPr>
          <w:rFonts w:asciiTheme="minorHAnsi" w:eastAsiaTheme="minorEastAsia" w:hAnsiTheme="minorHAnsi" w:cstheme="minorBidi"/>
          <w:b w:val="0"/>
          <w:sz w:val="22"/>
          <w:szCs w:val="22"/>
        </w:rPr>
      </w:pPr>
      <w:r>
        <w:t>Schedule 3 — Works approval fee</w:t>
      </w:r>
    </w:p>
    <w:p>
      <w:pPr>
        <w:pStyle w:val="TOC2"/>
        <w:keepNext w:val="0"/>
        <w:tabs>
          <w:tab w:val="right" w:leader="dot" w:pos="7077"/>
        </w:tabs>
        <w:rPr>
          <w:rFonts w:asciiTheme="minorHAnsi" w:eastAsiaTheme="minorEastAsia" w:hAnsiTheme="minorHAnsi" w:cstheme="minorBidi"/>
          <w:b w:val="0"/>
          <w:sz w:val="22"/>
          <w:szCs w:val="22"/>
        </w:rPr>
      </w:pPr>
      <w:r>
        <w:t>Schedule 4 — Licence fee</w:t>
      </w:r>
    </w:p>
    <w:p>
      <w:pPr>
        <w:pStyle w:val="TOC4"/>
        <w:keepNext w:val="0"/>
        <w:tabs>
          <w:tab w:val="right" w:leader="dot" w:pos="7077"/>
        </w:tabs>
        <w:rPr>
          <w:rFonts w:asciiTheme="minorHAnsi" w:eastAsiaTheme="minorEastAsia" w:hAnsiTheme="minorHAnsi" w:cstheme="minorBidi"/>
          <w:b w:val="0"/>
          <w:szCs w:val="22"/>
        </w:rPr>
      </w:pPr>
      <w:r>
        <w:t>Part 1 — Premises component</w:t>
      </w:r>
    </w:p>
    <w:p>
      <w:pPr>
        <w:pStyle w:val="TOC4"/>
        <w:keepNext w:val="0"/>
        <w:tabs>
          <w:tab w:val="right" w:leader="dot" w:pos="7077"/>
        </w:tabs>
        <w:rPr>
          <w:rFonts w:asciiTheme="minorHAnsi" w:eastAsiaTheme="minorEastAsia" w:hAnsiTheme="minorHAnsi" w:cstheme="minorBidi"/>
          <w:b w:val="0"/>
          <w:szCs w:val="22"/>
        </w:rPr>
      </w:pPr>
      <w:r>
        <w:t>Part 2 — Part 2 waste</w:t>
      </w:r>
    </w:p>
    <w:p>
      <w:pPr>
        <w:pStyle w:val="TOC4"/>
        <w:keepNext w:val="0"/>
        <w:tabs>
          <w:tab w:val="right" w:leader="dot" w:pos="7077"/>
        </w:tabs>
        <w:rPr>
          <w:rFonts w:asciiTheme="minorHAnsi" w:eastAsiaTheme="minorEastAsia" w:hAnsiTheme="minorHAnsi" w:cstheme="minorBidi"/>
          <w:b w:val="0"/>
          <w:szCs w:val="22"/>
        </w:rPr>
      </w:pPr>
      <w:r>
        <w:t>Part 3 — Discharge component</w:t>
      </w:r>
    </w:p>
    <w:p>
      <w:pPr>
        <w:pStyle w:val="TOC2"/>
        <w:keepNext w:val="0"/>
        <w:tabs>
          <w:tab w:val="right" w:leader="dot" w:pos="7077"/>
        </w:tabs>
        <w:rPr>
          <w:rFonts w:asciiTheme="minorHAnsi" w:eastAsiaTheme="minorEastAsia" w:hAnsiTheme="minorHAnsi" w:cstheme="minorBidi"/>
          <w:b w:val="0"/>
          <w:sz w:val="22"/>
          <w:szCs w:val="22"/>
        </w:rPr>
      </w:pPr>
      <w:r>
        <w:t>Schedule 5 — Tyre landfill exclusion zone</w:t>
      </w:r>
    </w:p>
    <w:p>
      <w:pPr>
        <w:pStyle w:val="TOC4"/>
        <w:keepNext w:val="0"/>
        <w:tabs>
          <w:tab w:val="right" w:leader="dot" w:pos="7077"/>
        </w:tabs>
        <w:rPr>
          <w:rFonts w:asciiTheme="minorHAnsi" w:eastAsiaTheme="minorEastAsia" w:hAnsiTheme="minorHAnsi" w:cstheme="minorBidi"/>
          <w:b w:val="0"/>
          <w:szCs w:val="22"/>
        </w:rPr>
      </w:pPr>
      <w:r>
        <w:t>Part 1 — Metropolitan</w:t>
      </w:r>
    </w:p>
    <w:p>
      <w:pPr>
        <w:pStyle w:val="TOC4"/>
        <w:keepNext w:val="0"/>
        <w:tabs>
          <w:tab w:val="right" w:leader="dot" w:pos="7077"/>
        </w:tabs>
        <w:rPr>
          <w:rFonts w:asciiTheme="minorHAnsi" w:eastAsiaTheme="minorEastAsia" w:hAnsiTheme="minorHAnsi" w:cstheme="minorBidi"/>
          <w:b w:val="0"/>
          <w:szCs w:val="22"/>
        </w:rPr>
      </w:pPr>
      <w:r>
        <w:t>Part 2 — Country</w:t>
      </w:r>
    </w:p>
    <w:p>
      <w:pPr>
        <w:pStyle w:val="TOC2"/>
        <w:tabs>
          <w:tab w:val="right" w:leader="dot" w:pos="7077"/>
        </w:tabs>
        <w:rPr>
          <w:rFonts w:asciiTheme="minorHAnsi" w:eastAsiaTheme="minorEastAsia" w:hAnsiTheme="minorHAnsi" w:cstheme="minorBidi"/>
          <w:b w:val="0"/>
          <w:sz w:val="22"/>
          <w:szCs w:val="22"/>
        </w:rPr>
      </w:pPr>
      <w:r>
        <w:lastRenderedPageBreak/>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_Toc135213896 \h </w:instrText>
      </w:r>
      <w:r>
        <w:fldChar w:fldCharType="separate"/>
      </w:r>
      <w:r>
        <w:t>106</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_Toc135213897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Schedule 6 — Infringement notice offences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_Toc135213901 \h </w:instrText>
      </w:r>
      <w:r>
        <w:fldChar w:fldCharType="separate"/>
      </w:r>
      <w:r>
        <w:t>124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_Toc135213902 \h </w:instrText>
      </w:r>
      <w:r>
        <w:fldChar w:fldCharType="separate"/>
      </w:r>
      <w:r>
        <w:t>130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_Toc135213903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3" w:name="_Toc135138810"/>
      <w:bookmarkStart w:id="4" w:name="_Toc135138938"/>
      <w:bookmarkStart w:id="5" w:name="_Toc13521377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rPr>
          <w:snapToGrid w:val="0"/>
        </w:rPr>
      </w:pPr>
      <w:r>
        <w:rPr>
          <w:snapToGrid w:val="0"/>
        </w:rPr>
        <w:tab/>
        <w:t>[Heading inserted: Gazette 13 Sep 1996 p. 4545.]</w:t>
      </w:r>
    </w:p>
    <w:p>
      <w:pPr>
        <w:pStyle w:val="Heading5"/>
        <w:spacing w:before="180"/>
        <w:rPr>
          <w:snapToGrid w:val="0"/>
        </w:rPr>
      </w:pPr>
      <w:bookmarkStart w:id="6" w:name="_Toc135213777"/>
      <w:r>
        <w:rPr>
          <w:rStyle w:val="CharSectno"/>
        </w:rPr>
        <w:t>1</w:t>
      </w:r>
      <w:r>
        <w:rPr>
          <w:snapToGrid w:val="0"/>
        </w:rPr>
        <w:t>.</w:t>
      </w:r>
      <w:r>
        <w:rPr>
          <w:snapToGrid w:val="0"/>
        </w:rPr>
        <w:tab/>
        <w:t>Citation</w:t>
      </w:r>
      <w:bookmarkEnd w:id="6"/>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7" w:name="_Toc135213778"/>
      <w:r>
        <w:rPr>
          <w:rStyle w:val="CharSectno"/>
        </w:rPr>
        <w:t>2</w:t>
      </w:r>
      <w:r>
        <w:rPr>
          <w:snapToGrid w:val="0"/>
        </w:rPr>
        <w:t>.</w:t>
      </w:r>
      <w:r>
        <w:rPr>
          <w:snapToGrid w:val="0"/>
        </w:rPr>
        <w:tab/>
        <w:t>Commencement</w:t>
      </w:r>
      <w:bookmarkEnd w:id="7"/>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8" w:name="_Toc135213779"/>
      <w:r>
        <w:rPr>
          <w:rStyle w:val="CharSectno"/>
        </w:rPr>
        <w:t>2AA</w:t>
      </w:r>
      <w:r>
        <w:t>.</w:t>
      </w:r>
      <w:r>
        <w:tab/>
        <w:t>Terms used</w:t>
      </w:r>
      <w:bookmarkEnd w:id="8"/>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9" w:name="_Toc135138814"/>
      <w:bookmarkStart w:id="10" w:name="_Toc135138942"/>
      <w:bookmarkStart w:id="11" w:name="_Toc135213780"/>
      <w:r>
        <w:rPr>
          <w:rStyle w:val="CharPartNo"/>
        </w:rPr>
        <w:lastRenderedPageBreak/>
        <w:t>Part 2</w:t>
      </w:r>
      <w:r>
        <w:rPr>
          <w:rStyle w:val="CharDivNo"/>
        </w:rPr>
        <w:t> </w:t>
      </w:r>
      <w:r>
        <w:t>—</w:t>
      </w:r>
      <w:r>
        <w:rPr>
          <w:rStyle w:val="CharDivText"/>
        </w:rPr>
        <w:t> </w:t>
      </w:r>
      <w:r>
        <w:rPr>
          <w:rStyle w:val="CharPartText"/>
        </w:rPr>
        <w:t>Administrative matters</w:t>
      </w:r>
      <w:bookmarkEnd w:id="9"/>
      <w:bookmarkEnd w:id="10"/>
      <w:bookmarkEnd w:id="11"/>
    </w:p>
    <w:p>
      <w:pPr>
        <w:pStyle w:val="Footnoteheading"/>
        <w:rPr>
          <w:snapToGrid w:val="0"/>
        </w:rPr>
      </w:pPr>
      <w:r>
        <w:rPr>
          <w:snapToGrid w:val="0"/>
        </w:rPr>
        <w:tab/>
        <w:t>[Heading inserted: Gazette 13 Sep 1996 p. 4545.]</w:t>
      </w:r>
    </w:p>
    <w:p>
      <w:pPr>
        <w:pStyle w:val="Heading5"/>
        <w:spacing w:before="180"/>
        <w:rPr>
          <w:snapToGrid w:val="0"/>
        </w:rPr>
      </w:pPr>
      <w:bookmarkStart w:id="12" w:name="_Toc135213781"/>
      <w:r>
        <w:rPr>
          <w:rStyle w:val="CharSectno"/>
        </w:rPr>
        <w:t>2A</w:t>
      </w:r>
      <w:r>
        <w:rPr>
          <w:snapToGrid w:val="0"/>
        </w:rPr>
        <w:t>.</w:t>
      </w:r>
      <w:r>
        <w:rPr>
          <w:snapToGrid w:val="0"/>
        </w:rPr>
        <w:tab/>
        <w:t>Draft policies, where and when public may inspect (Act s. 26(1)(d))</w:t>
      </w:r>
      <w:bookmarkEnd w:id="12"/>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13" w:name="_Toc135213782"/>
      <w:r>
        <w:rPr>
          <w:rStyle w:val="CharSectno"/>
        </w:rPr>
        <w:t>2B</w:t>
      </w:r>
      <w:r>
        <w:t>.</w:t>
      </w:r>
      <w:r>
        <w:tab/>
        <w:t>Publication of Authority minutes and records</w:t>
      </w:r>
      <w:bookmarkEnd w:id="13"/>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lastRenderedPageBreak/>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14" w:name="_Toc135213783"/>
      <w:r>
        <w:rPr>
          <w:rStyle w:val="CharSectno"/>
        </w:rPr>
        <w:t>2C</w:t>
      </w:r>
      <w:r>
        <w:t>.</w:t>
      </w:r>
      <w:r>
        <w:tab/>
        <w:t>Proposals of prescribed class (Act s. 38)</w:t>
      </w:r>
      <w:bookmarkEnd w:id="14"/>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lastRenderedPageBreak/>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w:t>
      </w:r>
    </w:p>
    <w:p>
      <w:pPr>
        <w:pStyle w:val="Heading5"/>
      </w:pPr>
      <w:bookmarkStart w:id="15" w:name="_Toc135213784"/>
      <w:r>
        <w:rPr>
          <w:rStyle w:val="CharSectno"/>
        </w:rPr>
        <w:t>3</w:t>
      </w:r>
      <w:r>
        <w:t>.</w:t>
      </w:r>
      <w:r>
        <w:tab/>
        <w:t>Details prescribed for records of referred proposals</w:t>
      </w:r>
      <w:bookmarkEnd w:id="15"/>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16" w:name="_Toc135138819"/>
      <w:bookmarkStart w:id="17" w:name="_Toc135138947"/>
      <w:bookmarkStart w:id="18" w:name="_Toc135213785"/>
      <w:r>
        <w:rPr>
          <w:rStyle w:val="CharPartNo"/>
        </w:rPr>
        <w:lastRenderedPageBreak/>
        <w:t>Part 2A</w:t>
      </w:r>
      <w:r>
        <w:t> — </w:t>
      </w:r>
      <w:r>
        <w:rPr>
          <w:rStyle w:val="CharPartText"/>
        </w:rPr>
        <w:t>Publication and confidentiality</w:t>
      </w:r>
      <w:bookmarkEnd w:id="16"/>
      <w:bookmarkEnd w:id="17"/>
      <w:bookmarkEnd w:id="18"/>
    </w:p>
    <w:p>
      <w:pPr>
        <w:pStyle w:val="Footnoteheading"/>
      </w:pPr>
      <w:r>
        <w:tab/>
        <w:t>[Heading inserted: SL 2021/178 r. 11.]</w:t>
      </w:r>
    </w:p>
    <w:p>
      <w:pPr>
        <w:pStyle w:val="Heading5"/>
      </w:pPr>
      <w:bookmarkStart w:id="19" w:name="_Toc135213786"/>
      <w:r>
        <w:rPr>
          <w:rStyle w:val="CharSectno"/>
        </w:rPr>
        <w:t>3A</w:t>
      </w:r>
      <w:r>
        <w:t>.</w:t>
      </w:r>
      <w:r>
        <w:tab/>
        <w:t>Terms used</w:t>
      </w:r>
      <w:bookmarkEnd w:id="19"/>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20" w:name="_Toc135213787"/>
      <w:r>
        <w:rPr>
          <w:rStyle w:val="CharSectno"/>
        </w:rPr>
        <w:t>3B</w:t>
      </w:r>
      <w:r>
        <w:t>.</w:t>
      </w:r>
      <w:r>
        <w:tab/>
        <w:t>Authority may keep documentation relating to proposals confidential on request</w:t>
      </w:r>
      <w:bookmarkEnd w:id="20"/>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lastRenderedPageBreak/>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21" w:name="_Toc135213788"/>
      <w:r>
        <w:rPr>
          <w:rStyle w:val="CharSectno"/>
        </w:rPr>
        <w:t>3C</w:t>
      </w:r>
      <w:r>
        <w:t>.</w:t>
      </w:r>
      <w:r>
        <w:tab/>
        <w:t>Authority must keep certain matters confidential</w:t>
      </w:r>
      <w:bookmarkEnd w:id="21"/>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22" w:name="_Toc135213789"/>
      <w:r>
        <w:rPr>
          <w:rStyle w:val="CharSectno"/>
        </w:rPr>
        <w:t>3D</w:t>
      </w:r>
      <w:r>
        <w:t>.</w:t>
      </w:r>
      <w:r>
        <w:tab/>
        <w:t>Authority may keep certain matters relating to proposals confidential</w:t>
      </w:r>
      <w:bookmarkEnd w:id="22"/>
    </w:p>
    <w:p>
      <w:pPr>
        <w:pStyle w:val="Subsection"/>
        <w:keepNext/>
      </w:pPr>
      <w:r>
        <w:tab/>
        <w:t>(1)</w:t>
      </w:r>
      <w:r>
        <w:tab/>
        <w:t>In this regulation —</w:t>
      </w:r>
    </w:p>
    <w:p>
      <w:pPr>
        <w:pStyle w:val="Defstart"/>
      </w:pPr>
      <w:r>
        <w:tab/>
      </w:r>
      <w:r>
        <w:rPr>
          <w:rStyle w:val="CharDefText"/>
        </w:rPr>
        <w:t>Aboriginal site</w:t>
      </w:r>
      <w:r>
        <w:t xml:space="preserve"> has the meaning given in the </w:t>
      </w:r>
      <w:r>
        <w:rPr>
          <w:i/>
        </w:rPr>
        <w:t xml:space="preserve">Aboriginal Heritage Act 1972 </w:t>
      </w:r>
      <w:r>
        <w:t>section 4;</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lastRenderedPageBreak/>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lastRenderedPageBreak/>
        <w:tab/>
        <w:t>(ii)</w:t>
      </w:r>
      <w:r>
        <w:tab/>
        <w:t>the presence or actions of persons if that information were published;</w:t>
      </w:r>
    </w:p>
    <w:p>
      <w:pPr>
        <w:pStyle w:val="Indenta"/>
        <w:keepNext/>
      </w:pPr>
      <w:r>
        <w:tab/>
        <w:t>(d)</w:t>
      </w:r>
      <w:r>
        <w:tab/>
        <w:t>the precise location of an Aboriginal site, if the precise location of that site is identified in documentation provided to the Authority in relation to a referred proposal or an approved proposal.</w:t>
      </w:r>
    </w:p>
    <w:p>
      <w:pPr>
        <w:pStyle w:val="Footnotesection"/>
      </w:pPr>
      <w:r>
        <w:tab/>
        <w:t>[Regulation 3D inserted: SL 2021/178 r. 11.]</w:t>
      </w:r>
    </w:p>
    <w:p>
      <w:pPr>
        <w:pStyle w:val="Heading2"/>
      </w:pPr>
      <w:bookmarkStart w:id="23" w:name="_Toc135138824"/>
      <w:bookmarkStart w:id="24" w:name="_Toc135138952"/>
      <w:bookmarkStart w:id="25" w:name="_Toc135213790"/>
      <w:r>
        <w:rPr>
          <w:rStyle w:val="CharPartNo"/>
        </w:rPr>
        <w:lastRenderedPageBreak/>
        <w:t>Part 3</w:t>
      </w:r>
      <w:r>
        <w:rPr>
          <w:rStyle w:val="CharDivNo"/>
        </w:rPr>
        <w:t> </w:t>
      </w:r>
      <w:r>
        <w:t>—</w:t>
      </w:r>
      <w:r>
        <w:rPr>
          <w:rStyle w:val="CharDivText"/>
        </w:rPr>
        <w:t> </w:t>
      </w:r>
      <w:r>
        <w:rPr>
          <w:rStyle w:val="CharPartText"/>
        </w:rPr>
        <w:t>Control of pollution generally</w:t>
      </w:r>
      <w:bookmarkEnd w:id="23"/>
      <w:bookmarkEnd w:id="24"/>
      <w:bookmarkEnd w:id="25"/>
    </w:p>
    <w:p>
      <w:pPr>
        <w:pStyle w:val="Footnoteheading"/>
        <w:rPr>
          <w:snapToGrid w:val="0"/>
        </w:rPr>
      </w:pPr>
      <w:r>
        <w:rPr>
          <w:snapToGrid w:val="0"/>
        </w:rPr>
        <w:tab/>
        <w:t>[Heading inserted: Gazette 13 Sep 1996 p. 4545.]</w:t>
      </w:r>
    </w:p>
    <w:p>
      <w:pPr>
        <w:pStyle w:val="Heading5"/>
        <w:spacing w:before="240"/>
        <w:rPr>
          <w:snapToGrid w:val="0"/>
        </w:rPr>
      </w:pPr>
      <w:bookmarkStart w:id="26" w:name="_Toc135213791"/>
      <w:r>
        <w:rPr>
          <w:rStyle w:val="CharSectno"/>
        </w:rPr>
        <w:t>4</w:t>
      </w:r>
      <w:r>
        <w:rPr>
          <w:snapToGrid w:val="0"/>
        </w:rPr>
        <w:t>.</w:t>
      </w:r>
      <w:r>
        <w:rPr>
          <w:snapToGrid w:val="0"/>
        </w:rPr>
        <w:tab/>
        <w:t>Terms used; amounts of units for fees</w:t>
      </w:r>
      <w:bookmarkEnd w:id="26"/>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lastRenderedPageBreak/>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keepNext/>
      </w:pPr>
      <w:r>
        <w:tab/>
        <w:t>(6)</w:t>
      </w:r>
      <w:r>
        <w:tab/>
        <w:t xml:space="preserve">In Schedule 4 Part 1 fee amounts are expressed in units or fractions of a unit and, for a financial year, one unit is </w:t>
      </w:r>
      <w:r>
        <w:lastRenderedPageBreak/>
        <w:t>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42.60</w:t>
            </w:r>
          </w:p>
        </w:tc>
      </w:tr>
      <w:tr>
        <w:tc>
          <w:tcPr>
            <w:tcW w:w="4263" w:type="dxa"/>
          </w:tcPr>
          <w:p>
            <w:pPr>
              <w:pStyle w:val="TableNAm"/>
            </w:pPr>
            <w:r>
              <w:t>Beginning on 1 July 2014 and ending on 30 June 2015</w:t>
            </w:r>
          </w:p>
        </w:tc>
        <w:tc>
          <w:tcPr>
            <w:tcW w:w="1616" w:type="dxa"/>
            <w:vAlign w:val="bottom"/>
          </w:tcPr>
          <w:p>
            <w:pPr>
              <w:pStyle w:val="TableNAm"/>
              <w:jc w:val="center"/>
            </w:pPr>
            <w:r>
              <w:t>44.30</w:t>
            </w:r>
          </w:p>
        </w:tc>
      </w:tr>
      <w:tr>
        <w:tc>
          <w:tcPr>
            <w:tcW w:w="4263" w:type="dxa"/>
          </w:tcPr>
          <w:p>
            <w:pPr>
              <w:pStyle w:val="TableNAm"/>
            </w:pPr>
            <w:r>
              <w:lastRenderedPageBreak/>
              <w:t>Beginning on 1 July 2015 and ending on 30 June 2016</w:t>
            </w:r>
          </w:p>
        </w:tc>
        <w:tc>
          <w:tcPr>
            <w:tcW w:w="1616" w:type="dxa"/>
            <w:vAlign w:val="bottom"/>
          </w:tcPr>
          <w:p>
            <w:pPr>
              <w:pStyle w:val="TableNAm"/>
              <w:jc w:val="center"/>
            </w:pPr>
            <w:r>
              <w:t>46.10</w:t>
            </w:r>
          </w:p>
        </w:tc>
      </w:tr>
      <w:tr>
        <w:tc>
          <w:tcPr>
            <w:tcW w:w="4263" w:type="dxa"/>
          </w:tcPr>
          <w:p>
            <w:pPr>
              <w:pStyle w:val="TableNAm"/>
            </w:pPr>
            <w:r>
              <w:t>Beginning on 1 July 2016 and ending on 30 June 2017</w:t>
            </w:r>
          </w:p>
        </w:tc>
        <w:tc>
          <w:tcPr>
            <w:tcW w:w="1616" w:type="dxa"/>
            <w:vAlign w:val="bottom"/>
          </w:tcPr>
          <w:p>
            <w:pPr>
              <w:pStyle w:val="TableNAm"/>
              <w:jc w:val="center"/>
            </w:pPr>
            <w:r>
              <w:t>47.90</w:t>
            </w:r>
          </w:p>
        </w:tc>
      </w:tr>
      <w:tr>
        <w:tc>
          <w:tcPr>
            <w:tcW w:w="4263" w:type="dxa"/>
          </w:tcPr>
          <w:p>
            <w:pPr>
              <w:pStyle w:val="TableNAm"/>
              <w:keepNext/>
            </w:pPr>
            <w:r>
              <w:t>Beginning on 1 July 2017 and ending on 30 June 2018</w:t>
            </w:r>
          </w:p>
        </w:tc>
        <w:tc>
          <w:tcPr>
            <w:tcW w:w="1616" w:type="dxa"/>
            <w:vAlign w:val="bottom"/>
          </w:tcPr>
          <w:p>
            <w:pPr>
              <w:pStyle w:val="TableNAm"/>
              <w:keepNext/>
              <w:jc w:val="center"/>
            </w:pPr>
            <w:r>
              <w:t>49.80</w:t>
            </w:r>
          </w:p>
        </w:tc>
      </w:tr>
      <w:tr>
        <w:tc>
          <w:tcPr>
            <w:tcW w:w="4263" w:type="dxa"/>
          </w:tcPr>
          <w:p>
            <w:pPr>
              <w:pStyle w:val="TableNAm"/>
              <w:keepNext/>
            </w:pPr>
            <w:r>
              <w:t>Beginning on 1 July 2018 and ending on 30 June 2022</w:t>
            </w:r>
          </w:p>
        </w:tc>
        <w:tc>
          <w:tcPr>
            <w:tcW w:w="1616" w:type="dxa"/>
            <w:vAlign w:val="bottom"/>
          </w:tcPr>
          <w:p>
            <w:pPr>
              <w:pStyle w:val="TableNAm"/>
              <w:keepNext/>
              <w:jc w:val="center"/>
            </w:pPr>
            <w:r>
              <w:t>56.80</w:t>
            </w:r>
          </w:p>
        </w:tc>
      </w:tr>
      <w:tr>
        <w:tc>
          <w:tcPr>
            <w:tcW w:w="4263" w:type="dxa"/>
            <w:tcBorders>
              <w:bottom w:val="single" w:sz="4" w:space="0" w:color="auto"/>
            </w:tcBorders>
          </w:tcPr>
          <w:p>
            <w:pPr>
              <w:pStyle w:val="TableNAm"/>
              <w:keepNext/>
            </w:pPr>
            <w:r>
              <w:t>On and from 1 July 2022</w:t>
            </w:r>
          </w:p>
        </w:tc>
        <w:tc>
          <w:tcPr>
            <w:tcW w:w="1616" w:type="dxa"/>
            <w:tcBorders>
              <w:bottom w:val="single" w:sz="4" w:space="0" w:color="auto"/>
            </w:tcBorders>
          </w:tcPr>
          <w:p>
            <w:pPr>
              <w:pStyle w:val="TableNAm"/>
              <w:keepNext/>
              <w:jc w:val="center"/>
            </w:pPr>
            <w:r>
              <w:t>62.50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 SL 2022/68 r. 4.]</w:t>
      </w:r>
    </w:p>
    <w:p>
      <w:pPr>
        <w:pStyle w:val="Heading5"/>
        <w:rPr>
          <w:snapToGrid w:val="0"/>
        </w:rPr>
      </w:pPr>
      <w:bookmarkStart w:id="27" w:name="_Toc135213792"/>
      <w:r>
        <w:rPr>
          <w:rStyle w:val="CharSectno"/>
        </w:rPr>
        <w:t>5</w:t>
      </w:r>
      <w:r>
        <w:rPr>
          <w:snapToGrid w:val="0"/>
        </w:rPr>
        <w:t>.</w:t>
      </w:r>
      <w:r>
        <w:rPr>
          <w:snapToGrid w:val="0"/>
        </w:rPr>
        <w:tab/>
        <w:t>Premises prescribed (Act Part V)</w:t>
      </w:r>
      <w:bookmarkEnd w:id="27"/>
    </w:p>
    <w:p>
      <w:pPr>
        <w:pStyle w:val="Subsection"/>
        <w:keepNext/>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28" w:name="_Toc135213793"/>
      <w:r>
        <w:rPr>
          <w:rStyle w:val="CharSectno"/>
        </w:rPr>
        <w:t>5A</w:t>
      </w:r>
      <w:r>
        <w:rPr>
          <w:snapToGrid w:val="0"/>
        </w:rPr>
        <w:t>.</w:t>
      </w:r>
      <w:r>
        <w:rPr>
          <w:snapToGrid w:val="0"/>
        </w:rPr>
        <w:tab/>
        <w:t>Registration of Sch. 1 Part 2 premises, effect and cancellation of etc.</w:t>
      </w:r>
      <w:bookmarkEnd w:id="28"/>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lastRenderedPageBreak/>
        <w:tab/>
        <w:t>(3)</w:t>
      </w:r>
      <w:r>
        <w:rPr>
          <w:snapToGrid w:val="0"/>
        </w:rPr>
        <w:tab/>
        <w:t>If premises specified in Part 2 of Schedule 1 are registered under regulation 5B, section 56 of the Act does not apply to the occupier of those premises.</w:t>
      </w:r>
    </w:p>
    <w:p>
      <w:pPr>
        <w:pStyle w:val="Subsection"/>
        <w:keepNext/>
      </w:pPr>
      <w:r>
        <w:tab/>
        <w:t>(4)</w:t>
      </w:r>
      <w:r>
        <w:tab/>
        <w:t>If premises specified in Schedule 1 Part 2 are registered under regulation 5B and the Chief Executive Officer is satisfied that the occupier of the premises —</w:t>
      </w:r>
    </w:p>
    <w:p>
      <w:pPr>
        <w:pStyle w:val="Indenta"/>
        <w:keepNext/>
      </w:pPr>
      <w:r>
        <w:tab/>
        <w:t>(a)</w:t>
      </w:r>
      <w:r>
        <w:tab/>
        <w:t>has been convicted in any court of an offence —</w:t>
      </w:r>
    </w:p>
    <w:p>
      <w:pPr>
        <w:pStyle w:val="Indenti"/>
      </w:pPr>
      <w:r>
        <w:tab/>
        <w:t>(i)</w:t>
      </w:r>
      <w:r>
        <w:tab/>
        <w:t>against the Act or regulations made under the Act; and</w:t>
      </w:r>
    </w:p>
    <w:p>
      <w:pPr>
        <w:pStyle w:val="Indenti"/>
        <w:keepNext/>
      </w:pPr>
      <w:r>
        <w:tab/>
        <w:t>(ii)</w:t>
      </w:r>
      <w:r>
        <w:tab/>
        <w:t>that relates to the premises;</w:t>
      </w:r>
    </w:p>
    <w:p>
      <w:pPr>
        <w:pStyle w:val="Indenta"/>
      </w:pPr>
      <w:r>
        <w:tab/>
      </w:r>
      <w:r>
        <w:tab/>
        <w:t>or</w:t>
      </w:r>
    </w:p>
    <w:p>
      <w:pPr>
        <w:pStyle w:val="Indenta"/>
        <w:keepNext/>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keepNext/>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keepNext/>
      </w:pPr>
      <w:r>
        <w:lastRenderedPageBreak/>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29" w:name="_Toc135213794"/>
      <w:r>
        <w:rPr>
          <w:rStyle w:val="CharSectno"/>
        </w:rPr>
        <w:t>5B</w:t>
      </w:r>
      <w:r>
        <w:rPr>
          <w:snapToGrid w:val="0"/>
        </w:rPr>
        <w:t>.</w:t>
      </w:r>
      <w:r>
        <w:rPr>
          <w:snapToGrid w:val="0"/>
        </w:rPr>
        <w:tab/>
        <w:t>Registration of premises, application for etc.</w:t>
      </w:r>
      <w:bookmarkEnd w:id="29"/>
    </w:p>
    <w:p>
      <w:pPr>
        <w:pStyle w:val="Ednotesubsection"/>
      </w:pPr>
      <w:r>
        <w:tab/>
        <w:t>[(1)</w:t>
      </w:r>
      <w:r>
        <w:tab/>
        <w:t>deleted]</w:t>
      </w:r>
    </w:p>
    <w:p>
      <w:pPr>
        <w:pStyle w:val="Subsection"/>
        <w:keepNext/>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keepNext/>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keepNext/>
        <w:rPr>
          <w:snapToGrid w:val="0"/>
        </w:rPr>
      </w:pPr>
      <w:r>
        <w:rPr>
          <w:snapToGrid w:val="0"/>
        </w:rPr>
        <w:tab/>
        <w:t>(b)</w:t>
      </w:r>
      <w:r>
        <w:rPr>
          <w:snapToGrid w:val="0"/>
        </w:rPr>
        <w:tab/>
        <w:t>include with the notification a recording fee of 2 units,</w:t>
      </w:r>
    </w:p>
    <w:p>
      <w:pPr>
        <w:pStyle w:val="Subsection"/>
        <w:keepNext/>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keepNext/>
        <w:rPr>
          <w:snapToGrid w:val="0"/>
        </w:rPr>
      </w:pPr>
      <w:r>
        <w:rPr>
          <w:snapToGrid w:val="0"/>
        </w:rPr>
        <w:lastRenderedPageBreak/>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30" w:name="_Toc135213795"/>
      <w:r>
        <w:rPr>
          <w:rStyle w:val="CharSectno"/>
        </w:rPr>
        <w:t>5BA</w:t>
      </w:r>
      <w:r>
        <w:t>.</w:t>
      </w:r>
      <w:r>
        <w:tab/>
        <w:t>Fees prescribed for works approval (Act s. 54(1))</w:t>
      </w:r>
      <w:bookmarkEnd w:id="30"/>
    </w:p>
    <w:p>
      <w:pPr>
        <w:pStyle w:val="Subsection"/>
        <w:keepNext/>
        <w:keepLines/>
      </w:pPr>
      <w:r>
        <w:tab/>
        <w:t>(1)</w:t>
      </w:r>
      <w:r>
        <w:tab/>
        <w:t>The fee prescribed for the purposes of section 54(1)(b) of the Act is the appropriate fee specified in Schedule 3 determined on the basis of the cost of the works that are the subject of the application.</w:t>
      </w:r>
    </w:p>
    <w:p>
      <w:pPr>
        <w:pStyle w:val="Subsection"/>
        <w:keepNext/>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keepNext/>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31" w:name="_Toc135213796"/>
      <w:r>
        <w:rPr>
          <w:rStyle w:val="CharSectno"/>
        </w:rPr>
        <w:t>5BB</w:t>
      </w:r>
      <w:r>
        <w:t>.</w:t>
      </w:r>
      <w:r>
        <w:tab/>
        <w:t>Fees prescribed for amending works approval or licence (Act s. 59B(1))</w:t>
      </w:r>
      <w:bookmarkEnd w:id="31"/>
    </w:p>
    <w:p>
      <w:pPr>
        <w:pStyle w:val="Subsection"/>
        <w:keepNext/>
      </w:pPr>
      <w:r>
        <w:tab/>
      </w:r>
      <w:r>
        <w:tab/>
        <w:t xml:space="preserve">For the purpose of section 59B(1)(b) of the Act, the fee prescribed for an application for an amendment to a works approval or licence is based on a unit value of $13.60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keepNext/>
      </w:pPr>
      <w:r>
        <w:lastRenderedPageBreak/>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 SL 2022/68 r. 5.]</w:t>
      </w:r>
    </w:p>
    <w:p>
      <w:pPr>
        <w:pStyle w:val="Heading5"/>
      </w:pPr>
      <w:bookmarkStart w:id="32" w:name="_Toc135213797"/>
      <w:r>
        <w:rPr>
          <w:rStyle w:val="CharSectno"/>
        </w:rPr>
        <w:t>5C</w:t>
      </w:r>
      <w:r>
        <w:t>.</w:t>
      </w:r>
      <w:r>
        <w:tab/>
        <w:t>Fees prescribed for transfer of works approval or licence (Act s. 64(1))</w:t>
      </w:r>
      <w:bookmarkEnd w:id="32"/>
    </w:p>
    <w:p>
      <w:pPr>
        <w:pStyle w:val="Subsection"/>
        <w:keepNext/>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33" w:name="_Toc135213798"/>
      <w:r>
        <w:rPr>
          <w:rStyle w:val="CharSectno"/>
        </w:rPr>
        <w:t>5CA</w:t>
      </w:r>
      <w:r>
        <w:t>.</w:t>
      </w:r>
      <w:r>
        <w:tab/>
        <w:t>Fee for works approval, CEO may waive</w:t>
      </w:r>
      <w:bookmarkEnd w:id="33"/>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5BA(1) in respect of the works approval.</w:t>
      </w:r>
    </w:p>
    <w:p>
      <w:pPr>
        <w:pStyle w:val="Footnotesection"/>
        <w:spacing w:before="80"/>
        <w:ind w:left="890" w:hanging="890"/>
      </w:pPr>
      <w:r>
        <w:tab/>
        <w:t>[Regulation 5CA inserted: Gazette 15 Aug 2000 p. 4713; amended: SL 2022/68 r. 6.]</w:t>
      </w:r>
    </w:p>
    <w:p>
      <w:pPr>
        <w:pStyle w:val="Heading5"/>
      </w:pPr>
      <w:bookmarkStart w:id="34" w:name="_Toc135213799"/>
      <w:r>
        <w:rPr>
          <w:rStyle w:val="CharSectno"/>
        </w:rPr>
        <w:t>5CAA</w:t>
      </w:r>
      <w:r>
        <w:t>.</w:t>
      </w:r>
      <w:r>
        <w:tab/>
        <w:t>Manner of advertising prescribed</w:t>
      </w:r>
      <w:r>
        <w:rPr>
          <w:snapToGrid w:val="0"/>
        </w:rPr>
        <w:t xml:space="preserve"> (Act s. 54(2a))</w:t>
      </w:r>
      <w:bookmarkEnd w:id="34"/>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keepNext/>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w:t>
      </w:r>
      <w:r>
        <w:lastRenderedPageBreak/>
        <w:t>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keepNext/>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35" w:name="_Toc135213800"/>
      <w:r>
        <w:rPr>
          <w:rStyle w:val="CharSectno"/>
        </w:rPr>
        <w:t>5CB</w:t>
      </w:r>
      <w:r>
        <w:t>.</w:t>
      </w:r>
      <w:r>
        <w:tab/>
        <w:t>Replacement of expiring licence, application for</w:t>
      </w:r>
      <w:bookmarkEnd w:id="35"/>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keepNext/>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36" w:name="_Toc135213801"/>
      <w:r>
        <w:rPr>
          <w:rStyle w:val="CharSectno"/>
        </w:rPr>
        <w:t>5D</w:t>
      </w:r>
      <w:r>
        <w:rPr>
          <w:snapToGrid w:val="0"/>
        </w:rPr>
        <w:t>.</w:t>
      </w:r>
      <w:r>
        <w:rPr>
          <w:snapToGrid w:val="0"/>
        </w:rPr>
        <w:tab/>
        <w:t>Prescribed premises, fee for licence for</w:t>
      </w:r>
      <w:bookmarkEnd w:id="36"/>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w:t>
      </w:r>
      <w:r>
        <w:lastRenderedPageBreak/>
        <w:t>period</w:t>
      </w:r>
      <w:r>
        <w:rPr>
          <w:snapToGrid w:val="0"/>
        </w:rPr>
        <w:t xml:space="preserve"> </w:t>
      </w:r>
      <w:r>
        <w:t>worked out under subregulation (1a) (reduced pro rata for a part of a financial year).</w:t>
      </w:r>
    </w:p>
    <w:p>
      <w:pPr>
        <w:pStyle w:val="Subsection"/>
        <w:keepNext/>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Ednotesubsection"/>
      </w:pPr>
      <w:r>
        <w:lastRenderedPageBreak/>
        <w:tab/>
        <w:t>[(5)</w:t>
      </w:r>
      <w:r>
        <w:tab/>
        <w:t>deleted]</w:t>
      </w:r>
    </w:p>
    <w:p>
      <w:pPr>
        <w:pStyle w:val="Subsection"/>
        <w:keepNext/>
      </w:pPr>
      <w:r>
        <w:tab/>
        <w:t>(6)</w:t>
      </w:r>
      <w:r>
        <w:tab/>
        <w:t>In this regulation and Schedule 4 —</w:t>
      </w:r>
    </w:p>
    <w:p>
      <w:pPr>
        <w:pStyle w:val="Defstart"/>
        <w:keepNex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keepNext/>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 SL 2022/68 r. 7.]</w:t>
      </w:r>
    </w:p>
    <w:p>
      <w:pPr>
        <w:pStyle w:val="Heading5"/>
      </w:pPr>
      <w:bookmarkStart w:id="37" w:name="_Toc135213802"/>
      <w:r>
        <w:rPr>
          <w:rStyle w:val="CharSectno"/>
        </w:rPr>
        <w:t>5DA</w:t>
      </w:r>
      <w:r>
        <w:t>.</w:t>
      </w:r>
      <w:r>
        <w:tab/>
        <w:t>Payment of licence fees</w:t>
      </w:r>
      <w:bookmarkEnd w:id="37"/>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lastRenderedPageBreak/>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38" w:name="_Toc135213803"/>
      <w:r>
        <w:rPr>
          <w:rStyle w:val="CharSectno"/>
        </w:rPr>
        <w:t>5E</w:t>
      </w:r>
      <w:r>
        <w:rPr>
          <w:snapToGrid w:val="0"/>
        </w:rPr>
        <w:t>.</w:t>
      </w:r>
      <w:r>
        <w:rPr>
          <w:snapToGrid w:val="0"/>
        </w:rPr>
        <w:tab/>
        <w:t>Amount in r. 5D(1a)(c), calculation of</w:t>
      </w:r>
      <w:bookmarkEnd w:id="38"/>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lastRenderedPageBreak/>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39" w:name="_Toc135213804"/>
      <w:r>
        <w:rPr>
          <w:rStyle w:val="CharSectno"/>
        </w:rPr>
        <w:t>5EA</w:t>
      </w:r>
      <w:r>
        <w:rPr>
          <w:snapToGrid w:val="0"/>
        </w:rPr>
        <w:t>.</w:t>
      </w:r>
      <w:r>
        <w:rPr>
          <w:snapToGrid w:val="0"/>
        </w:rPr>
        <w:tab/>
        <w:t>Fees under r. 5D(1a)(b) and (c), CEO may waive</w:t>
      </w:r>
      <w:bookmarkEnd w:id="39"/>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40" w:name="_Toc135213805"/>
      <w:r>
        <w:rPr>
          <w:rStyle w:val="CharSectno"/>
        </w:rPr>
        <w:t>5EB</w:t>
      </w:r>
      <w:r>
        <w:t>.</w:t>
      </w:r>
      <w:r>
        <w:tab/>
        <w:t>Fees under r. 5D, CEO may waive</w:t>
      </w:r>
      <w:bookmarkEnd w:id="40"/>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41" w:name="_Toc135213806"/>
      <w:r>
        <w:rPr>
          <w:rStyle w:val="CharSectno"/>
        </w:rPr>
        <w:t>5F</w:t>
      </w:r>
      <w:r>
        <w:rPr>
          <w:snapToGrid w:val="0"/>
        </w:rPr>
        <w:t>.</w:t>
      </w:r>
      <w:r>
        <w:rPr>
          <w:snapToGrid w:val="0"/>
        </w:rPr>
        <w:tab/>
        <w:t>Fee under r. 5D(1a)(c) if discharged waste harmless</w:t>
      </w:r>
      <w:bookmarkEnd w:id="41"/>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lastRenderedPageBreak/>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42" w:name="_Toc135213807"/>
      <w:r>
        <w:rPr>
          <w:rStyle w:val="CharSectno"/>
        </w:rPr>
        <w:t>5G</w:t>
      </w:r>
      <w:r>
        <w:t>.</w:t>
      </w:r>
      <w:r>
        <w:tab/>
        <w:t>Maximum fees under r. 5D(1a)</w:t>
      </w:r>
      <w:bookmarkEnd w:id="42"/>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77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ind w:right="78"/>
              <w:jc w:val="right"/>
            </w:pPr>
            <w:r>
              <w:t>605 000.00</w:t>
            </w:r>
          </w:p>
        </w:tc>
      </w:tr>
      <w:tr>
        <w:tc>
          <w:tcPr>
            <w:tcW w:w="4263" w:type="dxa"/>
          </w:tcPr>
          <w:p>
            <w:pPr>
              <w:pStyle w:val="TableNAm"/>
            </w:pPr>
            <w:r>
              <w:t>Beginning on 1 July 2008 and ending on 30 June 2009</w:t>
            </w:r>
          </w:p>
        </w:tc>
        <w:tc>
          <w:tcPr>
            <w:tcW w:w="1774" w:type="dxa"/>
            <w:vAlign w:val="bottom"/>
          </w:tcPr>
          <w:p>
            <w:pPr>
              <w:pStyle w:val="TableNAm"/>
              <w:ind w:right="78"/>
              <w:jc w:val="right"/>
            </w:pPr>
            <w:r>
              <w:t>705 000.00</w:t>
            </w:r>
          </w:p>
        </w:tc>
      </w:tr>
      <w:tr>
        <w:tc>
          <w:tcPr>
            <w:tcW w:w="4263" w:type="dxa"/>
          </w:tcPr>
          <w:p>
            <w:pPr>
              <w:pStyle w:val="TableNAm"/>
            </w:pPr>
            <w:r>
              <w:t>Beginning on 1 July 2009 and ending on 30 June 2010</w:t>
            </w:r>
          </w:p>
        </w:tc>
        <w:tc>
          <w:tcPr>
            <w:tcW w:w="1774" w:type="dxa"/>
            <w:vAlign w:val="bottom"/>
          </w:tcPr>
          <w:p>
            <w:pPr>
              <w:pStyle w:val="TableNAm"/>
              <w:ind w:right="78"/>
              <w:jc w:val="right"/>
            </w:pPr>
            <w:r>
              <w:t>755 000.00</w:t>
            </w:r>
          </w:p>
        </w:tc>
      </w:tr>
      <w:tr>
        <w:tc>
          <w:tcPr>
            <w:tcW w:w="4263" w:type="dxa"/>
          </w:tcPr>
          <w:p>
            <w:pPr>
              <w:pStyle w:val="TableNAm"/>
            </w:pPr>
            <w:r>
              <w:t>Beginning on 1 July 2010 and ending on 30 June 2011</w:t>
            </w:r>
          </w:p>
        </w:tc>
        <w:tc>
          <w:tcPr>
            <w:tcW w:w="1774" w:type="dxa"/>
            <w:vAlign w:val="bottom"/>
          </w:tcPr>
          <w:p>
            <w:pPr>
              <w:pStyle w:val="TableNAm"/>
              <w:ind w:right="78"/>
              <w:jc w:val="right"/>
            </w:pPr>
            <w:r>
              <w:t>805 000.00</w:t>
            </w:r>
          </w:p>
        </w:tc>
      </w:tr>
      <w:tr>
        <w:tc>
          <w:tcPr>
            <w:tcW w:w="4263" w:type="dxa"/>
          </w:tcPr>
          <w:p>
            <w:pPr>
              <w:pStyle w:val="TableNAm"/>
            </w:pPr>
            <w:r>
              <w:t>Beginning on 1 July 2011 and ending on 30 June 2012</w:t>
            </w:r>
          </w:p>
        </w:tc>
        <w:tc>
          <w:tcPr>
            <w:tcW w:w="1774" w:type="dxa"/>
            <w:vAlign w:val="bottom"/>
          </w:tcPr>
          <w:p>
            <w:pPr>
              <w:pStyle w:val="TableNAm"/>
              <w:ind w:right="78"/>
              <w:jc w:val="right"/>
            </w:pPr>
            <w:r>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ind w:right="78"/>
              <w:jc w:val="right"/>
            </w:pPr>
            <w:r>
              <w:t>905 000.00</w:t>
            </w:r>
          </w:p>
          <w:p>
            <w:pPr>
              <w:pStyle w:val="TableNAm"/>
              <w:ind w:right="78"/>
              <w:jc w:val="right"/>
            </w:pPr>
            <w:r>
              <w:t>1 030 000.00</w:t>
            </w:r>
          </w:p>
        </w:tc>
      </w:tr>
    </w:tbl>
    <w:p>
      <w:pPr>
        <w:pStyle w:val="Subsection"/>
        <w:spacing w:before="200"/>
      </w:pPr>
      <w:r>
        <w:lastRenderedPageBreak/>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550 000.00</w:t>
            </w:r>
          </w:p>
        </w:tc>
      </w:tr>
      <w:tr>
        <w:tc>
          <w:tcPr>
            <w:tcW w:w="4263" w:type="dxa"/>
          </w:tcPr>
          <w:p>
            <w:pPr>
              <w:pStyle w:val="TableNAm"/>
            </w:pPr>
            <w:r>
              <w:t>Beginning on 1 July 2008 and ending on 30 June 2009</w:t>
            </w:r>
          </w:p>
        </w:tc>
        <w:tc>
          <w:tcPr>
            <w:tcW w:w="1774" w:type="dxa"/>
            <w:vAlign w:val="bottom"/>
          </w:tcPr>
          <w:p>
            <w:pPr>
              <w:pStyle w:val="TableNAm"/>
              <w:jc w:val="center"/>
            </w:pPr>
            <w:r>
              <w:t>650 000.00</w:t>
            </w:r>
          </w:p>
        </w:tc>
      </w:tr>
      <w:tr>
        <w:tc>
          <w:tcPr>
            <w:tcW w:w="4263" w:type="dxa"/>
          </w:tcPr>
          <w:p>
            <w:pPr>
              <w:pStyle w:val="TableNAm"/>
            </w:pPr>
            <w:r>
              <w:t>Beginning on 1 July 2009 and ending on 30 June 2010</w:t>
            </w:r>
          </w:p>
        </w:tc>
        <w:tc>
          <w:tcPr>
            <w:tcW w:w="1774" w:type="dxa"/>
            <w:vAlign w:val="bottom"/>
          </w:tcPr>
          <w:p>
            <w:pPr>
              <w:pStyle w:val="TableNAm"/>
              <w:jc w:val="center"/>
            </w:pPr>
            <w:r>
              <w:t>700 000.00</w:t>
            </w:r>
          </w:p>
        </w:tc>
      </w:tr>
      <w:tr>
        <w:tc>
          <w:tcPr>
            <w:tcW w:w="4263" w:type="dxa"/>
          </w:tcPr>
          <w:p>
            <w:pPr>
              <w:pStyle w:val="TableNAm"/>
              <w:keepNext/>
            </w:pPr>
            <w:r>
              <w:t>Beginning on 1 July 2010 and ending on 30 June 2011</w:t>
            </w:r>
          </w:p>
        </w:tc>
        <w:tc>
          <w:tcPr>
            <w:tcW w:w="1774" w:type="dxa"/>
            <w:vAlign w:val="bottom"/>
          </w:tcPr>
          <w:p>
            <w:pPr>
              <w:pStyle w:val="TableNAm"/>
              <w:keepNext/>
              <w:jc w:val="center"/>
            </w:pPr>
            <w:r>
              <w:t>750 000.00</w:t>
            </w:r>
          </w:p>
        </w:tc>
      </w:tr>
      <w:tr>
        <w:trPr>
          <w:cantSplit/>
        </w:trPr>
        <w:tc>
          <w:tcPr>
            <w:tcW w:w="4263" w:type="dxa"/>
          </w:tcPr>
          <w:p>
            <w:pPr>
              <w:pStyle w:val="TableNAm"/>
            </w:pPr>
            <w:r>
              <w:t>Beginning on 1 July 2011 and ending on 30 June 2012</w:t>
            </w:r>
          </w:p>
        </w:tc>
        <w:tc>
          <w:tcPr>
            <w:tcW w:w="1774" w:type="dxa"/>
            <w:vAlign w:val="bottom"/>
          </w:tcPr>
          <w:p>
            <w:pPr>
              <w:pStyle w:val="TableNAm"/>
              <w:jc w:val="center"/>
            </w:pPr>
            <w: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lastRenderedPageBreak/>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940 000.00</w:t>
            </w:r>
          </w:p>
          <w:p>
            <w:pPr>
              <w:pStyle w:val="TableNAm"/>
              <w:ind w:right="219"/>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lastRenderedPageBreak/>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vAlign w:val="bottom"/>
          </w:tcPr>
          <w:p>
            <w:pPr>
              <w:pStyle w:val="TableNAm"/>
              <w:keepNext/>
              <w:jc w:val="center"/>
            </w:pPr>
            <w:r>
              <w:t>940 000.00</w:t>
            </w:r>
          </w:p>
          <w:p>
            <w:pPr>
              <w:pStyle w:val="TableNAm"/>
              <w:keepNext/>
              <w:ind w:right="219"/>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43" w:name="_Toc135213808"/>
      <w:r>
        <w:rPr>
          <w:rStyle w:val="CharSectno"/>
        </w:rPr>
        <w:t>5H</w:t>
      </w:r>
      <w:r>
        <w:rPr>
          <w:snapToGrid w:val="0"/>
        </w:rPr>
        <w:t>.</w:t>
      </w:r>
      <w:r>
        <w:rPr>
          <w:snapToGrid w:val="0"/>
        </w:rPr>
        <w:tab/>
        <w:t>Partial refunds of fees for licences</w:t>
      </w:r>
      <w:bookmarkEnd w:id="43"/>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lastRenderedPageBreak/>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44" w:name="_Toc135213809"/>
      <w:r>
        <w:rPr>
          <w:rStyle w:val="CharSectno"/>
        </w:rPr>
        <w:t>5I</w:t>
      </w:r>
      <w:r>
        <w:rPr>
          <w:snapToGrid w:val="0"/>
        </w:rPr>
        <w:t>.</w:t>
      </w:r>
      <w:r>
        <w:rPr>
          <w:snapToGrid w:val="0"/>
        </w:rPr>
        <w:tab/>
        <w:t>Certain matters relevant to fees to be determined by CEO</w:t>
      </w:r>
      <w:bookmarkEnd w:id="44"/>
    </w:p>
    <w:p>
      <w:pPr>
        <w:pStyle w:val="Subsection"/>
        <w:spacing w:before="120"/>
        <w:rPr>
          <w:snapToGrid w:val="0"/>
        </w:rPr>
      </w:pPr>
      <w:r>
        <w:rPr>
          <w:snapToGrid w:val="0"/>
        </w:rPr>
        <w:tab/>
      </w:r>
      <w:r>
        <w:rPr>
          <w:snapToGrid w:val="0"/>
        </w:rPr>
        <w:tab/>
        <w:t xml:space="preserve">For the purposes of determining the amount of a fee under this Part, any question relating to the cost of works, the production or design capacity of premises, or the kind or quantity of waste </w:t>
      </w:r>
      <w:r>
        <w:rPr>
          <w:snapToGrid w:val="0"/>
        </w:rPr>
        <w:lastRenderedPageBreak/>
        <w:t>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45" w:name="_Toc135213810"/>
      <w:r>
        <w:rPr>
          <w:rStyle w:val="CharSectno"/>
        </w:rPr>
        <w:t>5IA</w:t>
      </w:r>
      <w:r>
        <w:rPr>
          <w:snapToGrid w:val="0"/>
        </w:rPr>
        <w:t>.</w:t>
      </w:r>
      <w:r>
        <w:rPr>
          <w:snapToGrid w:val="0"/>
        </w:rPr>
        <w:tab/>
        <w:t>Compliance with best practice criteria may be condition of licence (Act s. 62(2))</w:t>
      </w:r>
      <w:bookmarkEnd w:id="45"/>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46" w:name="_Toc135213811"/>
      <w:r>
        <w:rPr>
          <w:rStyle w:val="CharSectno"/>
        </w:rPr>
        <w:t>5J</w:t>
      </w:r>
      <w:r>
        <w:t>.</w:t>
      </w:r>
      <w:r>
        <w:tab/>
        <w:t>Manner of advertising prescribed</w:t>
      </w:r>
      <w:r>
        <w:rPr>
          <w:snapToGrid w:val="0"/>
        </w:rPr>
        <w:t xml:space="preserve"> (Act s. 57(2a))</w:t>
      </w:r>
      <w:bookmarkEnd w:id="46"/>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47" w:name="_Toc135213812"/>
      <w:r>
        <w:rPr>
          <w:rStyle w:val="CharSectno"/>
        </w:rPr>
        <w:lastRenderedPageBreak/>
        <w:t>5K</w:t>
      </w:r>
      <w:r>
        <w:t>.</w:t>
      </w:r>
      <w:r>
        <w:tab/>
        <w:t xml:space="preserve">Details of discharge prescribed </w:t>
      </w:r>
      <w:r>
        <w:rPr>
          <w:snapToGrid w:val="0"/>
        </w:rPr>
        <w:t>(Act s. 72(1))</w:t>
      </w:r>
      <w:bookmarkEnd w:id="47"/>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keepNext/>
        <w:keepLines/>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48" w:name="_Toc135213813"/>
      <w:r>
        <w:rPr>
          <w:rStyle w:val="CharSectno"/>
        </w:rPr>
        <w:t>5L</w:t>
      </w:r>
      <w:r>
        <w:t>.</w:t>
      </w:r>
      <w:r>
        <w:tab/>
        <w:t>Manner of notifying prescribed</w:t>
      </w:r>
      <w:r>
        <w:rPr>
          <w:snapToGrid w:val="0"/>
        </w:rPr>
        <w:t xml:space="preserve"> (Act s. 72)</w:t>
      </w:r>
      <w:bookmarkEnd w:id="48"/>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49" w:name="_Toc135213814"/>
      <w:r>
        <w:rPr>
          <w:rStyle w:val="CharSectno"/>
        </w:rPr>
        <w:lastRenderedPageBreak/>
        <w:t>5M</w:t>
      </w:r>
      <w:r>
        <w:t>.</w:t>
      </w:r>
      <w:r>
        <w:tab/>
        <w:t>Changes in information given to Department, occupier etc. to notify Department of</w:t>
      </w:r>
      <w:bookmarkEnd w:id="49"/>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50" w:name="_Toc135213815"/>
      <w:r>
        <w:rPr>
          <w:rStyle w:val="CharSectno"/>
        </w:rPr>
        <w:t>5N</w:t>
      </w:r>
      <w:r>
        <w:t>.</w:t>
      </w:r>
      <w:r>
        <w:tab/>
        <w:t>Transitional provision (reduced fees)</w:t>
      </w:r>
      <w:bookmarkEnd w:id="50"/>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 xml:space="preserve">Environmental </w:t>
      </w:r>
      <w:r>
        <w:rPr>
          <w:i/>
        </w:rPr>
        <w:lastRenderedPageBreak/>
        <w:t>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51" w:name="_Toc135213816"/>
      <w:r>
        <w:rPr>
          <w:rStyle w:val="CharSectno"/>
        </w:rPr>
        <w:t>5O</w:t>
      </w:r>
      <w:r>
        <w:t>.</w:t>
      </w:r>
      <w:r>
        <w:tab/>
        <w:t>Reduction, waiver, or refund of fees, CEO’s powers as to</w:t>
      </w:r>
      <w:bookmarkEnd w:id="51"/>
    </w:p>
    <w:p>
      <w:pPr>
        <w:pStyle w:val="Subsection"/>
        <w:keepNext/>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52" w:name="_Toc135138851"/>
      <w:bookmarkStart w:id="53" w:name="_Toc135138979"/>
      <w:bookmarkStart w:id="54" w:name="_Toc135213817"/>
      <w:r>
        <w:rPr>
          <w:rStyle w:val="CharPartNo"/>
        </w:rPr>
        <w:lastRenderedPageBreak/>
        <w:t>Part 3A</w:t>
      </w:r>
      <w:r>
        <w:rPr>
          <w:rStyle w:val="CharDivNo"/>
        </w:rPr>
        <w:t> </w:t>
      </w:r>
      <w:r>
        <w:t>—</w:t>
      </w:r>
      <w:r>
        <w:rPr>
          <w:rStyle w:val="CharDivText"/>
        </w:rPr>
        <w:t> </w:t>
      </w:r>
      <w:r>
        <w:rPr>
          <w:rStyle w:val="CharPartText"/>
        </w:rPr>
        <w:t>Use of mercury in manufacturing</w:t>
      </w:r>
      <w:bookmarkEnd w:id="52"/>
      <w:bookmarkEnd w:id="53"/>
      <w:bookmarkEnd w:id="54"/>
    </w:p>
    <w:p>
      <w:pPr>
        <w:pStyle w:val="Footnoteheading"/>
        <w:rPr>
          <w:snapToGrid w:val="0"/>
        </w:rPr>
      </w:pPr>
      <w:r>
        <w:rPr>
          <w:snapToGrid w:val="0"/>
        </w:rPr>
        <w:tab/>
        <w:t>[Heading inserted: SL 2021/190 r. 4.]</w:t>
      </w:r>
    </w:p>
    <w:p>
      <w:pPr>
        <w:pStyle w:val="Heading5"/>
      </w:pPr>
      <w:bookmarkStart w:id="55" w:name="_Toc135213818"/>
      <w:r>
        <w:rPr>
          <w:rStyle w:val="CharSectno"/>
        </w:rPr>
        <w:t>5P</w:t>
      </w:r>
      <w:r>
        <w:t>.</w:t>
      </w:r>
      <w:r>
        <w:tab/>
        <w:t>Terms used</w:t>
      </w:r>
      <w:bookmarkEnd w:id="55"/>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56" w:name="_Toc135213819"/>
      <w:r>
        <w:rPr>
          <w:rStyle w:val="CharSectno"/>
        </w:rPr>
        <w:lastRenderedPageBreak/>
        <w:t>5Q</w:t>
      </w:r>
      <w:r>
        <w:t>.</w:t>
      </w:r>
      <w:r>
        <w:tab/>
        <w:t>Offence to conduct a prohibited manufacturing process</w:t>
      </w:r>
      <w:bookmarkEnd w:id="56"/>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57" w:name="_Toc135138854"/>
      <w:bookmarkStart w:id="58" w:name="_Toc135138982"/>
      <w:bookmarkStart w:id="59" w:name="_Toc135213820"/>
      <w:r>
        <w:rPr>
          <w:rStyle w:val="CharPartNo"/>
        </w:rPr>
        <w:lastRenderedPageBreak/>
        <w:t>Part 4</w:t>
      </w:r>
      <w:r>
        <w:rPr>
          <w:rStyle w:val="CharDivNo"/>
        </w:rPr>
        <w:t> </w:t>
      </w:r>
      <w:r>
        <w:t>—</w:t>
      </w:r>
      <w:r>
        <w:rPr>
          <w:rStyle w:val="CharDivText"/>
        </w:rPr>
        <w:t> </w:t>
      </w:r>
      <w:r>
        <w:rPr>
          <w:rStyle w:val="CharPartText"/>
        </w:rPr>
        <w:t>Audible alarms</w:t>
      </w:r>
      <w:bookmarkEnd w:id="57"/>
      <w:bookmarkEnd w:id="58"/>
      <w:bookmarkEnd w:id="59"/>
    </w:p>
    <w:p>
      <w:pPr>
        <w:pStyle w:val="Footnoteheading"/>
        <w:rPr>
          <w:snapToGrid w:val="0"/>
        </w:rPr>
      </w:pPr>
      <w:r>
        <w:rPr>
          <w:snapToGrid w:val="0"/>
        </w:rPr>
        <w:tab/>
        <w:t>[Heading inserted: Gazette 13 Sep 1996 p. 4545.]</w:t>
      </w:r>
    </w:p>
    <w:p>
      <w:pPr>
        <w:pStyle w:val="Heading5"/>
        <w:rPr>
          <w:snapToGrid w:val="0"/>
        </w:rPr>
      </w:pPr>
      <w:bookmarkStart w:id="60" w:name="_Toc135213821"/>
      <w:r>
        <w:rPr>
          <w:rStyle w:val="CharSectno"/>
        </w:rPr>
        <w:t>6</w:t>
      </w:r>
      <w:r>
        <w:rPr>
          <w:snapToGrid w:val="0"/>
        </w:rPr>
        <w:t>.</w:t>
      </w:r>
      <w:r>
        <w:rPr>
          <w:snapToGrid w:val="0"/>
        </w:rPr>
        <w:tab/>
        <w:t>Period prescribed for audible alarms (Act s. 99(1)(a))</w:t>
      </w:r>
      <w:bookmarkEnd w:id="60"/>
    </w:p>
    <w:p>
      <w:pPr>
        <w:pStyle w:val="Subsection"/>
        <w:rPr>
          <w:snapToGrid w:val="0"/>
        </w:rPr>
      </w:pPr>
      <w:r>
        <w:rPr>
          <w:snapToGrid w:val="0"/>
        </w:rPr>
        <w:tab/>
      </w:r>
      <w:r>
        <w:rPr>
          <w:snapToGrid w:val="0"/>
        </w:rPr>
        <w:tab/>
        <w:t>For the purposes of section 99(1)(a), the prescribed period is 30 minutes.</w:t>
      </w:r>
    </w:p>
    <w:p>
      <w:pPr>
        <w:pStyle w:val="Heading2"/>
      </w:pPr>
      <w:bookmarkStart w:id="61" w:name="_Toc135138856"/>
      <w:bookmarkStart w:id="62" w:name="_Toc135138984"/>
      <w:bookmarkStart w:id="63" w:name="_Toc135213822"/>
      <w:r>
        <w:rPr>
          <w:rStyle w:val="CharPartNo"/>
        </w:rPr>
        <w:lastRenderedPageBreak/>
        <w:t>Part 5</w:t>
      </w:r>
      <w:r>
        <w:rPr>
          <w:rStyle w:val="CharDivNo"/>
        </w:rPr>
        <w:t> </w:t>
      </w:r>
      <w:r>
        <w:t>—</w:t>
      </w:r>
      <w:r>
        <w:rPr>
          <w:rStyle w:val="CharDivText"/>
        </w:rPr>
        <w:t> </w:t>
      </w:r>
      <w:r>
        <w:rPr>
          <w:rStyle w:val="CharPartText"/>
        </w:rPr>
        <w:t>Appeals</w:t>
      </w:r>
      <w:bookmarkEnd w:id="61"/>
      <w:bookmarkEnd w:id="62"/>
      <w:bookmarkEnd w:id="63"/>
    </w:p>
    <w:p>
      <w:pPr>
        <w:pStyle w:val="Footnoteheading"/>
        <w:rPr>
          <w:snapToGrid w:val="0"/>
        </w:rPr>
      </w:pPr>
      <w:r>
        <w:rPr>
          <w:snapToGrid w:val="0"/>
        </w:rPr>
        <w:tab/>
        <w:t>[Heading inserted: Gazette 13 Sep 1996 p. 4545.]</w:t>
      </w:r>
    </w:p>
    <w:p>
      <w:pPr>
        <w:pStyle w:val="Heading5"/>
        <w:spacing w:before="240"/>
        <w:rPr>
          <w:snapToGrid w:val="0"/>
        </w:rPr>
      </w:pPr>
      <w:bookmarkStart w:id="64" w:name="_Toc135213823"/>
      <w:r>
        <w:rPr>
          <w:rStyle w:val="CharSectno"/>
        </w:rPr>
        <w:t>7</w:t>
      </w:r>
      <w:r>
        <w:rPr>
          <w:snapToGrid w:val="0"/>
        </w:rPr>
        <w:t>.</w:t>
      </w:r>
      <w:r>
        <w:rPr>
          <w:snapToGrid w:val="0"/>
        </w:rPr>
        <w:tab/>
        <w:t>Commencing appeals under Act Part VII, manner of</w:t>
      </w:r>
      <w:bookmarkEnd w:id="64"/>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lastRenderedPageBreak/>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65" w:name="_Toc135213824"/>
      <w:r>
        <w:rPr>
          <w:rStyle w:val="CharSectno"/>
        </w:rPr>
        <w:t>8</w:t>
      </w:r>
      <w:r>
        <w:rPr>
          <w:snapToGrid w:val="0"/>
        </w:rPr>
        <w:t>.</w:t>
      </w:r>
      <w:r>
        <w:rPr>
          <w:snapToGrid w:val="0"/>
        </w:rPr>
        <w:tab/>
        <w:t>Decisions on appeals, Minister to publish</w:t>
      </w:r>
      <w:bookmarkEnd w:id="65"/>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 xml:space="preserve">in the case of an appeal lodged under section 102 of the Act in respect of a works approval or licence, the name </w:t>
      </w:r>
      <w:r>
        <w:rPr>
          <w:snapToGrid w:val="0"/>
        </w:rPr>
        <w:lastRenderedPageBreak/>
        <w:t>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66" w:name="_Toc135213825"/>
      <w:r>
        <w:rPr>
          <w:rStyle w:val="CharSectno"/>
        </w:rPr>
        <w:t>9</w:t>
      </w:r>
      <w:r>
        <w:rPr>
          <w:snapToGrid w:val="0"/>
        </w:rPr>
        <w:t>.</w:t>
      </w:r>
      <w:r>
        <w:rPr>
          <w:snapToGrid w:val="0"/>
        </w:rPr>
        <w:tab/>
        <w:t>Decisions on appeals, persons to be notified of</w:t>
      </w:r>
      <w:bookmarkEnd w:id="66"/>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lastRenderedPageBreak/>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67" w:name="_Toc135138860"/>
      <w:bookmarkStart w:id="68" w:name="_Toc135138988"/>
      <w:bookmarkStart w:id="69" w:name="_Toc135213826"/>
      <w:r>
        <w:rPr>
          <w:rStyle w:val="CharPartNo"/>
        </w:rPr>
        <w:lastRenderedPageBreak/>
        <w:t>Part 6</w:t>
      </w:r>
      <w:r>
        <w:rPr>
          <w:rStyle w:val="CharDivNo"/>
        </w:rPr>
        <w:t> </w:t>
      </w:r>
      <w:r>
        <w:t>—</w:t>
      </w:r>
      <w:r>
        <w:rPr>
          <w:rStyle w:val="CharDivText"/>
        </w:rPr>
        <w:t> </w:t>
      </w:r>
      <w:r>
        <w:rPr>
          <w:rStyle w:val="CharPartText"/>
        </w:rPr>
        <w:t>Tyres</w:t>
      </w:r>
      <w:bookmarkEnd w:id="67"/>
      <w:bookmarkEnd w:id="68"/>
      <w:bookmarkEnd w:id="69"/>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70" w:name="_Toc135213827"/>
      <w:r>
        <w:rPr>
          <w:rStyle w:val="CharSectno"/>
        </w:rPr>
        <w:t>11</w:t>
      </w:r>
      <w:r>
        <w:rPr>
          <w:snapToGrid w:val="0"/>
        </w:rPr>
        <w:t>.</w:t>
      </w:r>
      <w:r>
        <w:rPr>
          <w:snapToGrid w:val="0"/>
        </w:rPr>
        <w:tab/>
        <w:t>Terms used; calculating quantity of used tyres</w:t>
      </w:r>
      <w:bookmarkEnd w:id="70"/>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lastRenderedPageBreak/>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71" w:name="_Toc135213828"/>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71"/>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72" w:name="_Toc135213829"/>
      <w:r>
        <w:rPr>
          <w:rStyle w:val="CharSectno"/>
        </w:rPr>
        <w:t>13</w:t>
      </w:r>
      <w:r>
        <w:rPr>
          <w:snapToGrid w:val="0"/>
        </w:rPr>
        <w:t>.</w:t>
      </w:r>
      <w:r>
        <w:rPr>
          <w:snapToGrid w:val="0"/>
        </w:rPr>
        <w:tab/>
        <w:t>Transport of used tyres for reward etc., when permitted</w:t>
      </w:r>
      <w:bookmarkEnd w:id="72"/>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lastRenderedPageBreak/>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73" w:name="_Toc135213830"/>
      <w:r>
        <w:rPr>
          <w:rStyle w:val="CharSectno"/>
        </w:rPr>
        <w:t>13A</w:t>
      </w:r>
      <w:r>
        <w:rPr>
          <w:snapToGrid w:val="0"/>
        </w:rPr>
        <w:t>.</w:t>
      </w:r>
      <w:r>
        <w:rPr>
          <w:snapToGrid w:val="0"/>
        </w:rPr>
        <w:tab/>
        <w:t>Tyre retailer not to damage used tyres</w:t>
      </w:r>
      <w:bookmarkEnd w:id="73"/>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74" w:name="_Toc135213831"/>
      <w:r>
        <w:rPr>
          <w:rStyle w:val="CharSectno"/>
        </w:rPr>
        <w:t>14</w:t>
      </w:r>
      <w:r>
        <w:rPr>
          <w:snapToGrid w:val="0"/>
        </w:rPr>
        <w:t>.</w:t>
      </w:r>
      <w:r>
        <w:rPr>
          <w:snapToGrid w:val="0"/>
        </w:rPr>
        <w:tab/>
        <w:t>Disposal of tyres, permitted means for</w:t>
      </w:r>
      <w:bookmarkEnd w:id="74"/>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lastRenderedPageBreak/>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 xml:space="preserve">in accordance with such conditions as are imposed by the Chief Executive Officer in respect of that burial for the purpose of ensuring that drainage, safety, soil erosion and soil stability at, </w:t>
      </w:r>
      <w:r>
        <w:rPr>
          <w:snapToGrid w:val="0"/>
        </w:rPr>
        <w:lastRenderedPageBreak/>
        <w:t>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75" w:name="_Toc135213832"/>
      <w:r>
        <w:rPr>
          <w:rStyle w:val="CharSectno"/>
        </w:rPr>
        <w:t>15</w:t>
      </w:r>
      <w:r>
        <w:rPr>
          <w:snapToGrid w:val="0"/>
        </w:rPr>
        <w:t>.</w:t>
      </w:r>
      <w:r>
        <w:rPr>
          <w:snapToGrid w:val="0"/>
        </w:rPr>
        <w:tab/>
        <w:t>Used tyres, storage of on licensed premises</w:t>
      </w:r>
      <w:bookmarkEnd w:id="75"/>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76" w:name="_Toc135138867"/>
      <w:bookmarkStart w:id="77" w:name="_Toc135138995"/>
      <w:bookmarkStart w:id="78" w:name="_Toc135213833"/>
      <w:r>
        <w:rPr>
          <w:rStyle w:val="CharPartNo"/>
        </w:rPr>
        <w:lastRenderedPageBreak/>
        <w:t>Part 7</w:t>
      </w:r>
      <w:r>
        <w:rPr>
          <w:rStyle w:val="CharDivNo"/>
        </w:rPr>
        <w:t> </w:t>
      </w:r>
      <w:r>
        <w:t>—</w:t>
      </w:r>
      <w:r>
        <w:rPr>
          <w:rStyle w:val="CharDivText"/>
        </w:rPr>
        <w:t> </w:t>
      </w:r>
      <w:r>
        <w:rPr>
          <w:rStyle w:val="CharPartText"/>
        </w:rPr>
        <w:t>Anti</w:t>
      </w:r>
      <w:r>
        <w:rPr>
          <w:rStyle w:val="CharPartText"/>
        </w:rPr>
        <w:noBreakHyphen/>
        <w:t>fouling paint</w:t>
      </w:r>
      <w:bookmarkEnd w:id="76"/>
      <w:bookmarkEnd w:id="77"/>
      <w:bookmarkEnd w:id="78"/>
    </w:p>
    <w:p>
      <w:pPr>
        <w:pStyle w:val="Footnoteheading"/>
        <w:rPr>
          <w:snapToGrid w:val="0"/>
        </w:rPr>
      </w:pPr>
      <w:r>
        <w:rPr>
          <w:snapToGrid w:val="0"/>
        </w:rPr>
        <w:tab/>
        <w:t>[Heading inserted: Gazette 13 Sep 1996 p. 4545.]</w:t>
      </w:r>
    </w:p>
    <w:p>
      <w:pPr>
        <w:pStyle w:val="Heading5"/>
        <w:rPr>
          <w:snapToGrid w:val="0"/>
        </w:rPr>
      </w:pPr>
      <w:bookmarkStart w:id="79" w:name="_Toc135213834"/>
      <w:r>
        <w:rPr>
          <w:rStyle w:val="CharSectno"/>
        </w:rPr>
        <w:t>16</w:t>
      </w:r>
      <w:r>
        <w:rPr>
          <w:snapToGrid w:val="0"/>
        </w:rPr>
        <w:t>.</w:t>
      </w:r>
      <w:r>
        <w:rPr>
          <w:snapToGrid w:val="0"/>
        </w:rPr>
        <w:tab/>
        <w:t>Organotin anti</w:t>
      </w:r>
      <w:r>
        <w:rPr>
          <w:snapToGrid w:val="0"/>
        </w:rPr>
        <w:noBreakHyphen/>
        <w:t>fouling paint, restrictions on use, sale etc. of</w:t>
      </w:r>
      <w:bookmarkEnd w:id="79"/>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lastRenderedPageBreak/>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80" w:name="_Toc135138869"/>
      <w:bookmarkStart w:id="81" w:name="_Toc135138997"/>
      <w:bookmarkStart w:id="82" w:name="_Toc135213835"/>
      <w:r>
        <w:rPr>
          <w:rStyle w:val="CharPartNo"/>
        </w:rPr>
        <w:lastRenderedPageBreak/>
        <w:t>Part 7A</w:t>
      </w:r>
      <w:r>
        <w:t> — </w:t>
      </w:r>
      <w:r>
        <w:rPr>
          <w:rStyle w:val="CharPartText"/>
        </w:rPr>
        <w:t>Burning on development sites</w:t>
      </w:r>
      <w:bookmarkEnd w:id="80"/>
      <w:bookmarkEnd w:id="81"/>
      <w:bookmarkEnd w:id="82"/>
    </w:p>
    <w:p>
      <w:pPr>
        <w:pStyle w:val="Footnoteheading"/>
      </w:pPr>
      <w:r>
        <w:tab/>
        <w:t>[Heading inserted: Gazette 19 Dec 2000 p. 7283.]</w:t>
      </w:r>
    </w:p>
    <w:p>
      <w:pPr>
        <w:pStyle w:val="Heading5"/>
      </w:pPr>
      <w:bookmarkStart w:id="83" w:name="_Toc135213836"/>
      <w:r>
        <w:rPr>
          <w:rStyle w:val="CharSectno"/>
        </w:rPr>
        <w:t>16A</w:t>
      </w:r>
      <w:r>
        <w:t>.</w:t>
      </w:r>
      <w:r>
        <w:tab/>
        <w:t>Terms used</w:t>
      </w:r>
      <w:bookmarkEnd w:id="83"/>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84" w:name="_Toc135213837"/>
      <w:r>
        <w:rPr>
          <w:rStyle w:val="CharSectno"/>
        </w:rPr>
        <w:t>16B</w:t>
      </w:r>
      <w:r>
        <w:t>.</w:t>
      </w:r>
      <w:r>
        <w:tab/>
        <w:t>Burning vegetation etc. on development sites in Sch. 5A areas restricted</w:t>
      </w:r>
      <w:bookmarkEnd w:id="84"/>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85" w:name="_Toc135138872"/>
      <w:bookmarkStart w:id="86" w:name="_Toc135139000"/>
      <w:bookmarkStart w:id="87" w:name="_Toc135213838"/>
      <w:r>
        <w:rPr>
          <w:rStyle w:val="CharPartNo"/>
        </w:rPr>
        <w:lastRenderedPageBreak/>
        <w:t>Part 8</w:t>
      </w:r>
      <w:r>
        <w:t xml:space="preserve"> — </w:t>
      </w:r>
      <w:r>
        <w:rPr>
          <w:rStyle w:val="CharPartText"/>
        </w:rPr>
        <w:t>Monitoring</w:t>
      </w:r>
      <w:bookmarkEnd w:id="85"/>
      <w:bookmarkEnd w:id="86"/>
      <w:bookmarkEnd w:id="87"/>
    </w:p>
    <w:p>
      <w:pPr>
        <w:pStyle w:val="Footnoteheading"/>
        <w:spacing w:before="80"/>
        <w:rPr>
          <w:snapToGrid w:val="0"/>
        </w:rPr>
      </w:pPr>
      <w:r>
        <w:rPr>
          <w:snapToGrid w:val="0"/>
        </w:rPr>
        <w:tab/>
        <w:t>[Heading inserted: Gazette 5 Jan 2001 p. 115.]</w:t>
      </w:r>
    </w:p>
    <w:p>
      <w:pPr>
        <w:pStyle w:val="Heading5"/>
        <w:spacing w:before="180"/>
      </w:pPr>
      <w:bookmarkStart w:id="88" w:name="_Toc135213839"/>
      <w:r>
        <w:rPr>
          <w:rStyle w:val="CharSectno"/>
        </w:rPr>
        <w:t>17</w:t>
      </w:r>
      <w:r>
        <w:t>.</w:t>
      </w:r>
      <w:r>
        <w:tab/>
        <w:t>Terms used</w:t>
      </w:r>
      <w:bookmarkEnd w:id="88"/>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89" w:name="_Toc135213840"/>
      <w:r>
        <w:rPr>
          <w:rStyle w:val="CharSectno"/>
        </w:rPr>
        <w:t>18</w:t>
      </w:r>
      <w:r>
        <w:t>.</w:t>
      </w:r>
      <w:r>
        <w:tab/>
        <w:t>Conditions prescribed (Act s. 62(2))</w:t>
      </w:r>
      <w:bookmarkEnd w:id="89"/>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90" w:name="_Toc135213841"/>
      <w:r>
        <w:rPr>
          <w:rStyle w:val="CharSectno"/>
        </w:rPr>
        <w:lastRenderedPageBreak/>
        <w:t>19</w:t>
      </w:r>
      <w:r>
        <w:t>.</w:t>
      </w:r>
      <w:r>
        <w:tab/>
        <w:t>Approved monitoring equipment, to be used in specified monitoring programmes</w:t>
      </w:r>
      <w:bookmarkEnd w:id="90"/>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91" w:author="Isobel Bond" w:date="2018-12-03T15:33:00Z" w:original=""/>
        </w:fldChar>
      </w:r>
      <w:r>
        <w:tab/>
        <w:t>Penalty: $5 000.</w:t>
      </w:r>
    </w:p>
    <w:p>
      <w:pPr>
        <w:pStyle w:val="Footnotesection"/>
        <w:ind w:left="890" w:hanging="890"/>
      </w:pPr>
      <w:r>
        <w:tab/>
        <w:t>[Regulation 19 inserted: Gazette 7 Jul 2000 p. 3678.]</w:t>
      </w:r>
    </w:p>
    <w:p>
      <w:pPr>
        <w:pStyle w:val="Heading5"/>
        <w:keepNext w:val="0"/>
        <w:keepLines w:val="0"/>
        <w:spacing w:before="180"/>
      </w:pPr>
      <w:bookmarkStart w:id="92" w:name="_Toc135213842"/>
      <w:r>
        <w:rPr>
          <w:rStyle w:val="CharSectno"/>
        </w:rPr>
        <w:t>20</w:t>
      </w:r>
      <w:r>
        <w:t>.</w:t>
      </w:r>
      <w:r>
        <w:tab/>
        <w:t>Approved monitoring equipment, duty to ensure accuracy of</w:t>
      </w:r>
      <w:bookmarkEnd w:id="92"/>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93" w:author="Isobel Bond" w:date="2018-12-03T15:33: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94" w:name="_Toc135213843"/>
      <w:r>
        <w:rPr>
          <w:rStyle w:val="CharSectno"/>
        </w:rPr>
        <w:lastRenderedPageBreak/>
        <w:t>20A</w:t>
      </w:r>
      <w:r>
        <w:t>.</w:t>
      </w:r>
      <w:r>
        <w:tab/>
        <w:t>Approved monitoring equipment, duty to comply with conditions of approval of</w:t>
      </w:r>
      <w:bookmarkEnd w:id="94"/>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95" w:name="_Toc135213844"/>
      <w:r>
        <w:rPr>
          <w:rStyle w:val="CharSectno"/>
        </w:rPr>
        <w:t>20B</w:t>
      </w:r>
      <w:r>
        <w:t>.</w:t>
      </w:r>
      <w:r>
        <w:tab/>
        <w:t>Approved monitoring equipment, duty to report results of to CEO</w:t>
      </w:r>
      <w:bookmarkEnd w:id="95"/>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lastRenderedPageBreak/>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96" w:name="_Toc135213845"/>
      <w:r>
        <w:rPr>
          <w:rStyle w:val="CharSectno"/>
        </w:rPr>
        <w:t>20C</w:t>
      </w:r>
      <w:r>
        <w:t>.</w:t>
      </w:r>
      <w:r>
        <w:tab/>
        <w:t>Approved monitoring equipment, presumption of accuracy of</w:t>
      </w:r>
      <w:bookmarkEnd w:id="96"/>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97" w:name="_Toc135213846"/>
      <w:r>
        <w:rPr>
          <w:rStyle w:val="CharSectno"/>
        </w:rPr>
        <w:t>20D</w:t>
      </w:r>
      <w:r>
        <w:t>.</w:t>
      </w:r>
      <w:r>
        <w:tab/>
        <w:t>Report of specified monitoring programme, presumption of accuracy of measurement in</w:t>
      </w:r>
      <w:bookmarkEnd w:id="97"/>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98" w:name="_Toc135213847"/>
      <w:r>
        <w:rPr>
          <w:rStyle w:val="CharSectno"/>
        </w:rPr>
        <w:lastRenderedPageBreak/>
        <w:t>20E</w:t>
      </w:r>
      <w:r>
        <w:t>.</w:t>
      </w:r>
      <w:r>
        <w:tab/>
        <w:t>Inaccurate measurement in r. 20B report, duty to notify CEO of</w:t>
      </w:r>
      <w:bookmarkEnd w:id="98"/>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99" w:name="_Toc135213848"/>
      <w:r>
        <w:rPr>
          <w:rStyle w:val="CharSectno"/>
        </w:rPr>
        <w:t>20F</w:t>
      </w:r>
      <w:r>
        <w:t>.</w:t>
      </w:r>
      <w:r>
        <w:tab/>
        <w:t>Monitoring equipment, approval of</w:t>
      </w:r>
      <w:bookmarkEnd w:id="99"/>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lastRenderedPageBreak/>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100" w:name="_Toc135213849"/>
      <w:r>
        <w:rPr>
          <w:rStyle w:val="CharSectno"/>
        </w:rPr>
        <w:lastRenderedPageBreak/>
        <w:t>20G</w:t>
      </w:r>
      <w:r>
        <w:t>.</w:t>
      </w:r>
      <w:r>
        <w:tab/>
        <w:t>Monitoring equipment, conditions of approval of</w:t>
      </w:r>
      <w:bookmarkEnd w:id="100"/>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101" w:name="_Toc135213850"/>
      <w:r>
        <w:rPr>
          <w:rStyle w:val="CharSectno"/>
        </w:rPr>
        <w:t>20H</w:t>
      </w:r>
      <w:r>
        <w:t>.</w:t>
      </w:r>
      <w:r>
        <w:tab/>
        <w:t>Approval of monitoring equipment, revoking</w:t>
      </w:r>
      <w:bookmarkEnd w:id="101"/>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lastRenderedPageBreak/>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102" w:name="_Toc135213851"/>
      <w:r>
        <w:rPr>
          <w:rStyle w:val="CharSectno"/>
        </w:rPr>
        <w:t>20I</w:t>
      </w:r>
      <w:r>
        <w:t>.</w:t>
      </w:r>
      <w:r>
        <w:tab/>
        <w:t>Appeal against r. 20F, 20G or 20H decision</w:t>
      </w:r>
      <w:bookmarkEnd w:id="102"/>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lastRenderedPageBreak/>
        <w:tab/>
        <w:t>[Regulation 20I inserted: Gazette 7 Jul 2000 p. 3682.]</w:t>
      </w:r>
    </w:p>
    <w:p>
      <w:pPr>
        <w:pStyle w:val="Heading5"/>
        <w:spacing w:before="180"/>
      </w:pPr>
      <w:bookmarkStart w:id="103" w:name="_Toc135213852"/>
      <w:r>
        <w:rPr>
          <w:rStyle w:val="CharSectno"/>
        </w:rPr>
        <w:t>20J</w:t>
      </w:r>
      <w:r>
        <w:t>.</w:t>
      </w:r>
      <w:r>
        <w:tab/>
        <w:t>Revocation of approval, use of monitoring equipment pending determination of appeal against</w:t>
      </w:r>
      <w:bookmarkEnd w:id="103"/>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104" w:name="_Toc135213853"/>
      <w:r>
        <w:rPr>
          <w:rStyle w:val="CharSectno"/>
        </w:rPr>
        <w:t>20K</w:t>
      </w:r>
      <w:r>
        <w:t>.</w:t>
      </w:r>
      <w:r>
        <w:tab/>
        <w:t>CEO’s signature, judicial notice of</w:t>
      </w:r>
      <w:bookmarkEnd w:id="104"/>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lastRenderedPageBreak/>
        <w:tab/>
        <w:t>[Regulation 20K inserted: Gazette 7 Jul 2000 p. 3683; amended: Gazette 5 Jan 2001 p. 118.]</w:t>
      </w:r>
    </w:p>
    <w:p>
      <w:pPr>
        <w:pStyle w:val="Heading5"/>
      </w:pPr>
      <w:bookmarkStart w:id="105" w:name="_Toc135213854"/>
      <w:r>
        <w:rPr>
          <w:rStyle w:val="CharSectno"/>
        </w:rPr>
        <w:t>20KA</w:t>
      </w:r>
      <w:r>
        <w:t>.</w:t>
      </w:r>
      <w:r>
        <w:tab/>
        <w:t>Guidelines for performance of CEO’s functions, Minister may make etc.</w:t>
      </w:r>
      <w:bookmarkEnd w:id="105"/>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106" w:name="_Toc135213855"/>
      <w:r>
        <w:rPr>
          <w:rStyle w:val="CharSectno"/>
        </w:rPr>
        <w:t>20L</w:t>
      </w:r>
      <w:r>
        <w:t>.</w:t>
      </w:r>
      <w:r>
        <w:tab/>
        <w:t>Review of this Part</w:t>
      </w:r>
      <w:bookmarkEnd w:id="106"/>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107" w:name="_Toc135138890"/>
      <w:bookmarkStart w:id="108" w:name="_Toc135139018"/>
      <w:bookmarkStart w:id="109" w:name="_Toc135213856"/>
      <w:r>
        <w:rPr>
          <w:rStyle w:val="CharPartNo"/>
        </w:rPr>
        <w:lastRenderedPageBreak/>
        <w:t>Part 9</w:t>
      </w:r>
      <w:r>
        <w:rPr>
          <w:rStyle w:val="CharDivNo"/>
        </w:rPr>
        <w:t> </w:t>
      </w:r>
      <w:r>
        <w:t>—</w:t>
      </w:r>
      <w:r>
        <w:rPr>
          <w:rStyle w:val="CharDivText"/>
        </w:rPr>
        <w:t> </w:t>
      </w:r>
      <w:r>
        <w:rPr>
          <w:rStyle w:val="CharPartText"/>
        </w:rPr>
        <w:t>Landfill levy</w:t>
      </w:r>
      <w:bookmarkEnd w:id="107"/>
      <w:bookmarkEnd w:id="108"/>
      <w:bookmarkEnd w:id="109"/>
    </w:p>
    <w:p>
      <w:pPr>
        <w:pStyle w:val="Footnoteheading"/>
        <w:rPr>
          <w:snapToGrid w:val="0"/>
        </w:rPr>
      </w:pPr>
      <w:r>
        <w:rPr>
          <w:snapToGrid w:val="0"/>
        </w:rPr>
        <w:tab/>
        <w:t>[Heading inserted: Gazette 26 Jun 1998 p. 3370.]</w:t>
      </w:r>
    </w:p>
    <w:p>
      <w:pPr>
        <w:pStyle w:val="Heading5"/>
        <w:rPr>
          <w:snapToGrid w:val="0"/>
        </w:rPr>
      </w:pPr>
      <w:bookmarkStart w:id="110" w:name="_Toc135213857"/>
      <w:r>
        <w:rPr>
          <w:rStyle w:val="CharSectno"/>
        </w:rPr>
        <w:t>21</w:t>
      </w:r>
      <w:r>
        <w:rPr>
          <w:snapToGrid w:val="0"/>
        </w:rPr>
        <w:t>.</w:t>
      </w:r>
      <w:r>
        <w:rPr>
          <w:snapToGrid w:val="0"/>
        </w:rPr>
        <w:tab/>
        <w:t>Terms used</w:t>
      </w:r>
      <w:bookmarkEnd w:id="110"/>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lastRenderedPageBreak/>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111" w:name="_Toc135213858"/>
      <w:r>
        <w:rPr>
          <w:rStyle w:val="CharSectno"/>
        </w:rPr>
        <w:t>22</w:t>
      </w:r>
      <w:r>
        <w:rPr>
          <w:snapToGrid w:val="0"/>
        </w:rPr>
        <w:t xml:space="preserve">. </w:t>
      </w:r>
      <w:r>
        <w:rPr>
          <w:snapToGrid w:val="0"/>
        </w:rPr>
        <w:tab/>
        <w:t>Application of this Part</w:t>
      </w:r>
      <w:bookmarkEnd w:id="111"/>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112" w:name="_Toc135213859"/>
      <w:r>
        <w:rPr>
          <w:rStyle w:val="CharSectno"/>
        </w:rPr>
        <w:lastRenderedPageBreak/>
        <w:t>23</w:t>
      </w:r>
      <w:r>
        <w:rPr>
          <w:snapToGrid w:val="0"/>
        </w:rPr>
        <w:t>.</w:t>
      </w:r>
      <w:r>
        <w:rPr>
          <w:snapToGrid w:val="0"/>
        </w:rPr>
        <w:tab/>
        <w:t>Exemptions from this Part; refunds etc. of levy</w:t>
      </w:r>
      <w:bookmarkEnd w:id="112"/>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lastRenderedPageBreak/>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113" w:name="_Toc135213860"/>
      <w:r>
        <w:rPr>
          <w:rStyle w:val="CharSectno"/>
        </w:rPr>
        <w:t>24</w:t>
      </w:r>
      <w:r>
        <w:rPr>
          <w:snapToGrid w:val="0"/>
        </w:rPr>
        <w:t>.</w:t>
      </w:r>
      <w:r>
        <w:rPr>
          <w:snapToGrid w:val="0"/>
        </w:rPr>
        <w:tab/>
        <w:t>Financial assurance, CEO may require from licensee with r. 23(1)(b) exemption</w:t>
      </w:r>
      <w:bookmarkEnd w:id="113"/>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lastRenderedPageBreak/>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114" w:name="_Toc135213861"/>
      <w:r>
        <w:rPr>
          <w:rStyle w:val="CharSectno"/>
        </w:rPr>
        <w:lastRenderedPageBreak/>
        <w:t>25</w:t>
      </w:r>
      <w:r>
        <w:rPr>
          <w:snapToGrid w:val="0"/>
        </w:rPr>
        <w:t>.</w:t>
      </w:r>
      <w:r>
        <w:rPr>
          <w:snapToGrid w:val="0"/>
        </w:rPr>
        <w:tab/>
        <w:t>Waste received at category 64 or 65 licensed landfill, calculating amount of</w:t>
      </w:r>
      <w:bookmarkEnd w:id="114"/>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115" w:name="_Toc135213862"/>
      <w:r>
        <w:rPr>
          <w:rStyle w:val="CharSectno"/>
        </w:rPr>
        <w:t>26</w:t>
      </w:r>
      <w:r>
        <w:t>.</w:t>
      </w:r>
      <w:r>
        <w:tab/>
        <w:t>Waste disposed of in category 63 licensed landfill, calculating amount of</w:t>
      </w:r>
      <w:bookmarkEnd w:id="115"/>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lastRenderedPageBreak/>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 xml:space="preserve">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w:t>
      </w:r>
      <w:r>
        <w:lastRenderedPageBreak/>
        <w:t>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116" w:name="_Toc135213863"/>
      <w:r>
        <w:rPr>
          <w:rStyle w:val="CharSectno"/>
        </w:rPr>
        <w:t>26A</w:t>
      </w:r>
      <w:r>
        <w:t>.</w:t>
      </w:r>
      <w:r>
        <w:tab/>
        <w:t>Breach of r. 26, CEO may estimate amount in case of etc.</w:t>
      </w:r>
      <w:bookmarkEnd w:id="116"/>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lastRenderedPageBreak/>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117" w:name="_Toc135213864"/>
      <w:r>
        <w:rPr>
          <w:rStyle w:val="CharSectno"/>
        </w:rPr>
        <w:t>27</w:t>
      </w:r>
      <w:r>
        <w:t>.</w:t>
      </w:r>
      <w:r>
        <w:tab/>
        <w:t>Levy, determining amount of</w:t>
      </w:r>
      <w:bookmarkEnd w:id="117"/>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lastRenderedPageBreak/>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118" w:name="_Toc135213865"/>
      <w:r>
        <w:rPr>
          <w:rStyle w:val="CharSectno"/>
        </w:rPr>
        <w:t>28</w:t>
      </w:r>
      <w:r>
        <w:rPr>
          <w:snapToGrid w:val="0"/>
        </w:rPr>
        <w:t>.</w:t>
      </w:r>
      <w:r>
        <w:rPr>
          <w:snapToGrid w:val="0"/>
        </w:rPr>
        <w:tab/>
        <w:t>Financial assurance, licensees to pay</w:t>
      </w:r>
      <w:bookmarkEnd w:id="118"/>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lastRenderedPageBreak/>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lastRenderedPageBreak/>
        <w:tab/>
        <w:t>[Regulation 28 inserted: Gazette 26 Jun 1998 p. 3373; amended: Gazette 11 Dec 1998 p. 6601; 29 Sep 2006 p. 4266.]</w:t>
      </w:r>
    </w:p>
    <w:p>
      <w:pPr>
        <w:pStyle w:val="Heading5"/>
        <w:rPr>
          <w:snapToGrid w:val="0"/>
        </w:rPr>
      </w:pPr>
      <w:bookmarkStart w:id="119" w:name="_Toc135213866"/>
      <w:r>
        <w:rPr>
          <w:rStyle w:val="CharSectno"/>
        </w:rPr>
        <w:t>29</w:t>
      </w:r>
      <w:r>
        <w:rPr>
          <w:snapToGrid w:val="0"/>
        </w:rPr>
        <w:t>.</w:t>
      </w:r>
      <w:r>
        <w:rPr>
          <w:snapToGrid w:val="0"/>
        </w:rPr>
        <w:tab/>
        <w:t>Records of waste received, licensees’ duties as to</w:t>
      </w:r>
      <w:bookmarkEnd w:id="119"/>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lastRenderedPageBreak/>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120" w:name="_Toc135213867"/>
      <w:r>
        <w:rPr>
          <w:rStyle w:val="CharSectno"/>
        </w:rPr>
        <w:t>30</w:t>
      </w:r>
      <w:r>
        <w:rPr>
          <w:snapToGrid w:val="0"/>
        </w:rPr>
        <w:t>.</w:t>
      </w:r>
      <w:r>
        <w:rPr>
          <w:snapToGrid w:val="0"/>
        </w:rPr>
        <w:tab/>
        <w:t>Levy, payment of; returns to be lodged</w:t>
      </w:r>
      <w:bookmarkEnd w:id="120"/>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121" w:name="_Toc135213868"/>
      <w:r>
        <w:rPr>
          <w:rStyle w:val="CharSectno"/>
        </w:rPr>
        <w:t>31</w:t>
      </w:r>
      <w:r>
        <w:rPr>
          <w:snapToGrid w:val="0"/>
        </w:rPr>
        <w:t>.</w:t>
      </w:r>
      <w:r>
        <w:rPr>
          <w:snapToGrid w:val="0"/>
        </w:rPr>
        <w:tab/>
        <w:t>Audits, CEO’s powers to direct etc.</w:t>
      </w:r>
      <w:bookmarkEnd w:id="121"/>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lastRenderedPageBreak/>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122" w:name="_Toc135213869"/>
      <w:r>
        <w:rPr>
          <w:rStyle w:val="CharSectno"/>
        </w:rPr>
        <w:t>32</w:t>
      </w:r>
      <w:r>
        <w:rPr>
          <w:snapToGrid w:val="0"/>
        </w:rPr>
        <w:t>.</w:t>
      </w:r>
      <w:r>
        <w:rPr>
          <w:snapToGrid w:val="0"/>
        </w:rPr>
        <w:tab/>
        <w:t>CEO’s decisions, review of and appeal against</w:t>
      </w:r>
      <w:bookmarkEnd w:id="122"/>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lastRenderedPageBreak/>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123" w:name="_Toc135213870"/>
      <w:r>
        <w:rPr>
          <w:rStyle w:val="CharSectno"/>
        </w:rPr>
        <w:t>33</w:t>
      </w:r>
      <w:r>
        <w:t>.</w:t>
      </w:r>
      <w:r>
        <w:tab/>
        <w:t>Payment of levies is condition of licence</w:t>
      </w:r>
      <w:bookmarkEnd w:id="123"/>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124" w:name="_Toc135138905"/>
      <w:bookmarkStart w:id="125" w:name="_Toc135139033"/>
      <w:bookmarkStart w:id="126" w:name="_Toc135213871"/>
      <w:r>
        <w:rPr>
          <w:rStyle w:val="CharPartNo"/>
        </w:rPr>
        <w:lastRenderedPageBreak/>
        <w:t>Part 10</w:t>
      </w:r>
      <w:r>
        <w:t xml:space="preserve"> — </w:t>
      </w:r>
      <w:r>
        <w:rPr>
          <w:rStyle w:val="CharPartText"/>
        </w:rPr>
        <w:t>Things seized or forfeited</w:t>
      </w:r>
      <w:bookmarkEnd w:id="124"/>
      <w:bookmarkEnd w:id="125"/>
      <w:bookmarkEnd w:id="126"/>
    </w:p>
    <w:p>
      <w:pPr>
        <w:pStyle w:val="Footnoteheading"/>
      </w:pPr>
      <w:r>
        <w:tab/>
        <w:t>[Heading inserted: Gazette 11 Dec 1998 p. 6601.]</w:t>
      </w:r>
    </w:p>
    <w:p>
      <w:pPr>
        <w:pStyle w:val="Heading5"/>
      </w:pPr>
      <w:bookmarkStart w:id="127" w:name="_Toc135213872"/>
      <w:r>
        <w:rPr>
          <w:rStyle w:val="CharSectno"/>
        </w:rPr>
        <w:t>34</w:t>
      </w:r>
      <w:r>
        <w:t>.</w:t>
      </w:r>
      <w:r>
        <w:tab/>
        <w:t>Ways prescribed of dealing with seized things (Act s. 92B(1))</w:t>
      </w:r>
      <w:bookmarkEnd w:id="127"/>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128" w:name="_Toc135213873"/>
      <w:r>
        <w:rPr>
          <w:rStyle w:val="CharSectno"/>
        </w:rPr>
        <w:t>35</w:t>
      </w:r>
      <w:r>
        <w:t>.</w:t>
      </w:r>
      <w:r>
        <w:tab/>
        <w:t>Manner of giving notice prescribed (Act s. 92D)</w:t>
      </w:r>
      <w:bookmarkEnd w:id="128"/>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lastRenderedPageBreak/>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129" w:name="_Toc135213874"/>
      <w:r>
        <w:rPr>
          <w:rStyle w:val="CharSectno"/>
        </w:rPr>
        <w:t>36</w:t>
      </w:r>
      <w:r>
        <w:t>.</w:t>
      </w:r>
      <w:r>
        <w:tab/>
        <w:t>Ways prescribed of disposing of thing forfeited to Crown</w:t>
      </w:r>
      <w:r>
        <w:rPr>
          <w:snapToGrid w:val="0"/>
        </w:rPr>
        <w:t xml:space="preserve"> (Act s. 99W(1))</w:t>
      </w:r>
      <w:bookmarkEnd w:id="129"/>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130" w:name="_Toc135138909"/>
      <w:bookmarkStart w:id="131" w:name="_Toc135139037"/>
      <w:bookmarkStart w:id="132" w:name="_Toc135213875"/>
      <w:r>
        <w:rPr>
          <w:rStyle w:val="CharPartNo"/>
        </w:rPr>
        <w:lastRenderedPageBreak/>
        <w:t>Part 11</w:t>
      </w:r>
      <w:r>
        <w:t xml:space="preserve"> — </w:t>
      </w:r>
      <w:r>
        <w:rPr>
          <w:rStyle w:val="CharPartText"/>
        </w:rPr>
        <w:t>Modified penalties and Tier 2 offences</w:t>
      </w:r>
      <w:bookmarkEnd w:id="130"/>
      <w:bookmarkEnd w:id="131"/>
      <w:bookmarkEnd w:id="132"/>
    </w:p>
    <w:p>
      <w:pPr>
        <w:pStyle w:val="Footnoteheading"/>
      </w:pPr>
      <w:r>
        <w:tab/>
        <w:t>[Heading inserted: Gazette 11 Dec 1998 p. 6603.]</w:t>
      </w:r>
    </w:p>
    <w:p>
      <w:pPr>
        <w:pStyle w:val="Heading5"/>
        <w:spacing w:before="180"/>
      </w:pPr>
      <w:bookmarkStart w:id="133" w:name="_Toc135213876"/>
      <w:r>
        <w:rPr>
          <w:rStyle w:val="CharSectno"/>
        </w:rPr>
        <w:t>37</w:t>
      </w:r>
      <w:r>
        <w:t>.</w:t>
      </w:r>
      <w:r>
        <w:tab/>
        <w:t>Form of modified penalty notice prescribed (Act s. 99B(1))</w:t>
      </w:r>
      <w:bookmarkEnd w:id="133"/>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134" w:name="_Toc135213877"/>
      <w:r>
        <w:rPr>
          <w:rStyle w:val="CharSectno"/>
        </w:rPr>
        <w:t>38</w:t>
      </w:r>
      <w:r>
        <w:t>.</w:t>
      </w:r>
      <w:r>
        <w:tab/>
        <w:t>Form of notice of withdrawal prescribed (Act s. 99D(1))</w:t>
      </w:r>
      <w:bookmarkEnd w:id="134"/>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135" w:name="_Toc135213878"/>
      <w:r>
        <w:rPr>
          <w:rStyle w:val="CharSectno"/>
        </w:rPr>
        <w:t>39</w:t>
      </w:r>
      <w:r>
        <w:t>.</w:t>
      </w:r>
      <w:r>
        <w:tab/>
        <w:t>Particulars prescribed (Act s. 99E(3))</w:t>
      </w:r>
      <w:bookmarkEnd w:id="135"/>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136" w:name="_Toc135213879"/>
      <w:r>
        <w:rPr>
          <w:rStyle w:val="CharSectno"/>
        </w:rPr>
        <w:lastRenderedPageBreak/>
        <w:t>40</w:t>
      </w:r>
      <w:r>
        <w:t>.</w:t>
      </w:r>
      <w:r>
        <w:tab/>
        <w:t>Where and when public may inspect register (Act s. 99F(2))</w:t>
      </w:r>
      <w:bookmarkEnd w:id="136"/>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137" w:name="_Toc135138914"/>
      <w:bookmarkStart w:id="138" w:name="_Toc135139042"/>
      <w:bookmarkStart w:id="139" w:name="_Toc135213880"/>
      <w:r>
        <w:rPr>
          <w:rStyle w:val="CharPartNo"/>
        </w:rPr>
        <w:lastRenderedPageBreak/>
        <w:t>Part 12</w:t>
      </w:r>
      <w:r>
        <w:t xml:space="preserve"> — </w:t>
      </w:r>
      <w:r>
        <w:rPr>
          <w:rStyle w:val="CharPartText"/>
        </w:rPr>
        <w:t>Infringement notices and offences</w:t>
      </w:r>
      <w:bookmarkEnd w:id="137"/>
      <w:bookmarkEnd w:id="138"/>
      <w:bookmarkEnd w:id="139"/>
    </w:p>
    <w:p>
      <w:pPr>
        <w:pStyle w:val="Footnoteheading"/>
      </w:pPr>
      <w:r>
        <w:tab/>
        <w:t>[Heading inserted: Gazette 11 Dec 1998 p. 6603.]</w:t>
      </w:r>
    </w:p>
    <w:p>
      <w:pPr>
        <w:pStyle w:val="Heading5"/>
      </w:pPr>
      <w:bookmarkStart w:id="140" w:name="_Toc135213881"/>
      <w:r>
        <w:rPr>
          <w:rStyle w:val="CharSectno"/>
        </w:rPr>
        <w:t>41</w:t>
      </w:r>
      <w:r>
        <w:t>.</w:t>
      </w:r>
      <w:r>
        <w:tab/>
        <w:t>Infringement notice offences and modified penalties prescribed (Act s. 99H and 99K)</w:t>
      </w:r>
      <w:bookmarkEnd w:id="140"/>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lastRenderedPageBreak/>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141" w:name="_Toc135213882"/>
      <w:r>
        <w:rPr>
          <w:rStyle w:val="CharSectno"/>
        </w:rPr>
        <w:t>42</w:t>
      </w:r>
      <w:r>
        <w:t>.</w:t>
      </w:r>
      <w:r>
        <w:tab/>
        <w:t>Form of infringement notice prescribed (Act s. 99K(1))</w:t>
      </w:r>
      <w:bookmarkEnd w:id="141"/>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142" w:name="_Toc135213883"/>
      <w:r>
        <w:rPr>
          <w:rStyle w:val="CharSectno"/>
        </w:rPr>
        <w:t>43</w:t>
      </w:r>
      <w:r>
        <w:t>.</w:t>
      </w:r>
      <w:r>
        <w:tab/>
        <w:t>Form of notice of withdrawal prescribed (Act s. 99N(1))</w:t>
      </w:r>
      <w:bookmarkEnd w:id="142"/>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143" w:name="_Toc135138918"/>
      <w:bookmarkStart w:id="144" w:name="_Toc135139046"/>
      <w:bookmarkStart w:id="145" w:name="_Toc135213884"/>
      <w:r>
        <w:rPr>
          <w:rStyle w:val="CharPartNo"/>
        </w:rPr>
        <w:lastRenderedPageBreak/>
        <w:t>Part 13</w:t>
      </w:r>
      <w:r>
        <w:t xml:space="preserve"> — </w:t>
      </w:r>
      <w:r>
        <w:rPr>
          <w:rStyle w:val="CharPartText"/>
        </w:rPr>
        <w:t>Miscellaneous</w:t>
      </w:r>
      <w:bookmarkEnd w:id="143"/>
      <w:bookmarkEnd w:id="144"/>
      <w:bookmarkEnd w:id="145"/>
    </w:p>
    <w:p>
      <w:pPr>
        <w:pStyle w:val="Footnoteheading"/>
      </w:pPr>
      <w:r>
        <w:tab/>
        <w:t>[Heading inserted: Gazette 11 Dec 1998 p. 6604.]</w:t>
      </w:r>
    </w:p>
    <w:p>
      <w:pPr>
        <w:pStyle w:val="Heading5"/>
      </w:pPr>
      <w:bookmarkStart w:id="146" w:name="_Toc135213885"/>
      <w:r>
        <w:rPr>
          <w:rStyle w:val="CharSectno"/>
        </w:rPr>
        <w:t>44</w:t>
      </w:r>
      <w:r>
        <w:t>.</w:t>
      </w:r>
      <w:r>
        <w:tab/>
        <w:t>Maximum amount prescribed (Act s. 99Y(1))</w:t>
      </w:r>
      <w:bookmarkEnd w:id="146"/>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Defpara"/>
        <w:sectPr>
          <w:headerReference w:type="even" r:id="rId23"/>
          <w:headerReference w:type="default" r:id="rId24"/>
          <w:headerReference w:type="first" r:id="rId25"/>
          <w:pgSz w:w="11907" w:h="16840" w:code="9"/>
          <w:pgMar w:top="2376" w:right="2405" w:bottom="3542" w:left="2405" w:header="706" w:footer="3544" w:gutter="0"/>
          <w:pgNumType w:start="1"/>
          <w:cols w:space="720"/>
          <w:noEndnote/>
          <w:titlePg/>
          <w:docGrid w:linePitch="326"/>
        </w:sectPr>
      </w:pPr>
    </w:p>
    <w:p>
      <w:pPr>
        <w:pStyle w:val="yScheduleHeading"/>
      </w:pPr>
      <w:bookmarkStart w:id="147" w:name="_Toc135138920"/>
      <w:bookmarkStart w:id="148" w:name="_Toc135139048"/>
      <w:bookmarkStart w:id="149" w:name="_Toc135213886"/>
      <w:r>
        <w:rPr>
          <w:rStyle w:val="CharSchNo"/>
        </w:rPr>
        <w:lastRenderedPageBreak/>
        <w:t>Schedule 1</w:t>
      </w:r>
      <w:r>
        <w:t> — </w:t>
      </w:r>
      <w:r>
        <w:rPr>
          <w:rStyle w:val="CharSchText"/>
        </w:rPr>
        <w:t>Prescribed premises</w:t>
      </w:r>
      <w:bookmarkEnd w:id="147"/>
      <w:bookmarkEnd w:id="148"/>
      <w:bookmarkEnd w:id="149"/>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outlineLvl w:val="2"/>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lastRenderedPageBreak/>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lastRenderedPageBreak/>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lastRenderedPageBreak/>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lastRenderedPageBreak/>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lastRenderedPageBreak/>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lastRenderedPageBreak/>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lastRenderedPageBreak/>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lastRenderedPageBreak/>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lastRenderedPageBreak/>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outlineLvl w:val="2"/>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lastRenderedPageBreak/>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lastRenderedPageBreak/>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lastRenderedPageBreak/>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lastRenderedPageBreak/>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150" w:name="_Toc135138921"/>
      <w:bookmarkStart w:id="151" w:name="_Toc135139049"/>
      <w:bookmarkStart w:id="152" w:name="_Toc135213887"/>
      <w:r>
        <w:rPr>
          <w:rStyle w:val="CharSchNo"/>
        </w:rPr>
        <w:lastRenderedPageBreak/>
        <w:t>Schedule 3</w:t>
      </w:r>
      <w:r>
        <w:rPr>
          <w:rStyle w:val="CharSDivNo"/>
        </w:rPr>
        <w:t> </w:t>
      </w:r>
      <w:r>
        <w:t>— </w:t>
      </w:r>
      <w:r>
        <w:rPr>
          <w:rStyle w:val="CharSchText"/>
        </w:rPr>
        <w:t>Works approval fee</w:t>
      </w:r>
      <w:bookmarkEnd w:id="150"/>
      <w:bookmarkEnd w:id="151"/>
      <w:bookmarkEnd w:id="152"/>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153" w:name="_Toc135138922"/>
      <w:bookmarkStart w:id="154" w:name="_Toc135139050"/>
      <w:bookmarkStart w:id="155" w:name="_Toc135213888"/>
      <w:r>
        <w:rPr>
          <w:rStyle w:val="CharSchNo"/>
        </w:rPr>
        <w:lastRenderedPageBreak/>
        <w:t>Schedule 4</w:t>
      </w:r>
      <w:r>
        <w:t> — </w:t>
      </w:r>
      <w:r>
        <w:rPr>
          <w:rStyle w:val="CharSchText"/>
        </w:rPr>
        <w:t>Licence fee</w:t>
      </w:r>
      <w:bookmarkEnd w:id="153"/>
      <w:bookmarkEnd w:id="154"/>
      <w:bookmarkEnd w:id="155"/>
    </w:p>
    <w:p>
      <w:pPr>
        <w:pStyle w:val="yShoulderClause"/>
        <w:rPr>
          <w:snapToGrid w:val="0"/>
        </w:rPr>
      </w:pPr>
      <w:r>
        <w:rPr>
          <w:snapToGrid w:val="0"/>
        </w:rPr>
        <w:t>[r. 5D]</w:t>
      </w:r>
    </w:p>
    <w:p>
      <w:pPr>
        <w:pStyle w:val="yFootnoteheading"/>
      </w:pPr>
      <w:r>
        <w:tab/>
        <w:t>[Heading inserted: Gazette 13 Sep 1996 p. 4560.]</w:t>
      </w:r>
    </w:p>
    <w:p>
      <w:pPr>
        <w:pStyle w:val="yHeading3"/>
      </w:pPr>
      <w:bookmarkStart w:id="156" w:name="_Toc135138923"/>
      <w:bookmarkStart w:id="157" w:name="_Toc135139051"/>
      <w:bookmarkStart w:id="158" w:name="_Toc135213889"/>
      <w:r>
        <w:rPr>
          <w:rStyle w:val="CharSDivNo"/>
          <w:sz w:val="28"/>
        </w:rPr>
        <w:t>Part 1</w:t>
      </w:r>
      <w:r>
        <w:t> — </w:t>
      </w:r>
      <w:r>
        <w:rPr>
          <w:rStyle w:val="CharSDivText"/>
          <w:sz w:val="28"/>
        </w:rPr>
        <w:t>Premises component</w:t>
      </w:r>
      <w:bookmarkEnd w:id="156"/>
      <w:bookmarkEnd w:id="157"/>
      <w:bookmarkEnd w:id="158"/>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lastRenderedPageBreak/>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lastRenderedPageBreak/>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lastRenderedPageBreak/>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lastRenderedPageBreak/>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lastRenderedPageBreak/>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lastRenderedPageBreak/>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lastRenderedPageBreak/>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159" w:name="_Toc135138924"/>
      <w:bookmarkStart w:id="160" w:name="_Toc135139052"/>
      <w:bookmarkStart w:id="161" w:name="_Toc135213890"/>
      <w:r>
        <w:rPr>
          <w:rStyle w:val="CharSDivNo"/>
          <w:sz w:val="28"/>
        </w:rPr>
        <w:t>Part 2</w:t>
      </w:r>
      <w:r>
        <w:t> — </w:t>
      </w:r>
      <w:r>
        <w:rPr>
          <w:rStyle w:val="CharSDivText"/>
          <w:sz w:val="28"/>
        </w:rPr>
        <w:t>Part 2 waste</w:t>
      </w:r>
      <w:bookmarkEnd w:id="159"/>
      <w:bookmarkEnd w:id="160"/>
      <w:bookmarkEnd w:id="161"/>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162" w:name="_Toc135138925"/>
      <w:bookmarkStart w:id="163" w:name="_Toc135139053"/>
      <w:bookmarkStart w:id="164" w:name="_Toc135213891"/>
      <w:r>
        <w:rPr>
          <w:rStyle w:val="CharSDivNo"/>
          <w:sz w:val="28"/>
        </w:rPr>
        <w:t>Part 3</w:t>
      </w:r>
      <w:r>
        <w:t> — </w:t>
      </w:r>
      <w:r>
        <w:rPr>
          <w:rStyle w:val="CharSDivText"/>
          <w:sz w:val="28"/>
        </w:rPr>
        <w:t>Discharge component</w:t>
      </w:r>
      <w:bookmarkEnd w:id="162"/>
      <w:bookmarkEnd w:id="163"/>
      <w:bookmarkEnd w:id="164"/>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lastRenderedPageBreak/>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lastRenderedPageBreak/>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lastRenderedPageBreak/>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165" w:name="_Toc135138926"/>
      <w:bookmarkStart w:id="166" w:name="_Toc135139054"/>
      <w:bookmarkStart w:id="167" w:name="_Toc135213892"/>
      <w:r>
        <w:rPr>
          <w:rStyle w:val="CharSchNo"/>
        </w:rPr>
        <w:lastRenderedPageBreak/>
        <w:t>Schedule 5</w:t>
      </w:r>
      <w:r>
        <w:t xml:space="preserve"> — </w:t>
      </w:r>
      <w:r>
        <w:rPr>
          <w:rStyle w:val="CharSchText"/>
        </w:rPr>
        <w:t>Tyre landfill exclusion zone</w:t>
      </w:r>
      <w:bookmarkEnd w:id="165"/>
      <w:bookmarkEnd w:id="166"/>
      <w:bookmarkEnd w:id="167"/>
    </w:p>
    <w:p>
      <w:pPr>
        <w:pStyle w:val="yShoulderClause"/>
        <w:rPr>
          <w:snapToGrid w:val="0"/>
        </w:rPr>
      </w:pPr>
      <w:r>
        <w:rPr>
          <w:snapToGrid w:val="0"/>
        </w:rPr>
        <w:t>[r. 11(1)]</w:t>
      </w:r>
    </w:p>
    <w:p>
      <w:pPr>
        <w:pStyle w:val="yFootnoteheading"/>
      </w:pPr>
      <w:r>
        <w:tab/>
        <w:t>[Heading inserted: Gazette 10 Dec 1996 p. 6879.]</w:t>
      </w:r>
    </w:p>
    <w:p>
      <w:pPr>
        <w:pStyle w:val="yHeading3"/>
      </w:pPr>
      <w:bookmarkStart w:id="168" w:name="_Toc135138927"/>
      <w:bookmarkStart w:id="169" w:name="_Toc135139055"/>
      <w:bookmarkStart w:id="170" w:name="_Toc135213893"/>
      <w:r>
        <w:rPr>
          <w:rStyle w:val="CharSDivNo"/>
          <w:sz w:val="28"/>
        </w:rPr>
        <w:t>Part 1</w:t>
      </w:r>
      <w:r>
        <w:t> — </w:t>
      </w:r>
      <w:r>
        <w:rPr>
          <w:rStyle w:val="CharSDivText"/>
          <w:sz w:val="28"/>
        </w:rPr>
        <w:t>Metropolitan</w:t>
      </w:r>
      <w:bookmarkEnd w:id="168"/>
      <w:bookmarkEnd w:id="169"/>
      <w:bookmarkEnd w:id="170"/>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171" w:name="_Toc135138928"/>
      <w:bookmarkStart w:id="172" w:name="_Toc135139056"/>
      <w:bookmarkStart w:id="173" w:name="_Toc135213894"/>
      <w:r>
        <w:rPr>
          <w:rStyle w:val="CharSDivNo"/>
          <w:sz w:val="28"/>
        </w:rPr>
        <w:t>Part 2</w:t>
      </w:r>
      <w:r>
        <w:t> — </w:t>
      </w:r>
      <w:r>
        <w:rPr>
          <w:rStyle w:val="CharSDivText"/>
          <w:sz w:val="28"/>
        </w:rPr>
        <w:t>Country</w:t>
      </w:r>
      <w:bookmarkEnd w:id="171"/>
      <w:bookmarkEnd w:id="172"/>
      <w:bookmarkEnd w:id="173"/>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175" w:name="_Toc135138929"/>
      <w:bookmarkStart w:id="176" w:name="_Toc135139057"/>
      <w:bookmarkStart w:id="177" w:name="_Toc135213895"/>
      <w:r>
        <w:rPr>
          <w:rStyle w:val="CharSchNo"/>
        </w:rPr>
        <w:lastRenderedPageBreak/>
        <w:t>Schedule 5A</w:t>
      </w:r>
      <w:r>
        <w:rPr>
          <w:rStyle w:val="CharSDivNo"/>
        </w:rPr>
        <w:t> </w:t>
      </w:r>
      <w:r>
        <w:t>—</w:t>
      </w:r>
      <w:r>
        <w:rPr>
          <w:rStyle w:val="CharSDivText"/>
        </w:rPr>
        <w:t> </w:t>
      </w:r>
      <w:r>
        <w:rPr>
          <w:rStyle w:val="CharSchText"/>
        </w:rPr>
        <w:t>Areas where burning matter on or from development sites is prohibited</w:t>
      </w:r>
      <w:bookmarkEnd w:id="175"/>
      <w:bookmarkEnd w:id="176"/>
      <w:bookmarkEnd w:id="177"/>
    </w:p>
    <w:p>
      <w:pPr>
        <w:pStyle w:val="yShoulderClause"/>
      </w:pPr>
      <w:r>
        <w:t>[r. 16B]</w:t>
      </w:r>
    </w:p>
    <w:p>
      <w:pPr>
        <w:pStyle w:val="yFootnoteheading"/>
      </w:pPr>
      <w:r>
        <w:tab/>
        <w:t>[Heading inserted: Gazette 19 Dec 2000 p. 7284.]</w:t>
      </w:r>
    </w:p>
    <w:p>
      <w:pPr>
        <w:pStyle w:val="yHeading5"/>
        <w:outlineLvl w:val="9"/>
      </w:pPr>
      <w:bookmarkStart w:id="178" w:name="_Toc135213896"/>
      <w:r>
        <w:rPr>
          <w:rStyle w:val="CharSClsNo"/>
        </w:rPr>
        <w:t>1</w:t>
      </w:r>
      <w:r>
        <w:t>.</w:t>
      </w:r>
      <w:r>
        <w:tab/>
        <w:t>Perth metropolitan area</w:t>
      </w:r>
      <w:bookmarkEnd w:id="178"/>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outlineLvl w:val="9"/>
      </w:pPr>
      <w:bookmarkStart w:id="179" w:name="_Toc135213897"/>
      <w:r>
        <w:rPr>
          <w:rStyle w:val="CharSClsNo"/>
        </w:rPr>
        <w:t>2</w:t>
      </w:r>
      <w:r>
        <w:t>.</w:t>
      </w:r>
      <w:r>
        <w:tab/>
        <w:t>Mandurah area</w:t>
      </w:r>
      <w:bookmarkEnd w:id="179"/>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180" w:name="_Toc135138932"/>
      <w:bookmarkStart w:id="181" w:name="_Toc135139060"/>
      <w:bookmarkStart w:id="182" w:name="_Toc135213898"/>
      <w:r>
        <w:rPr>
          <w:rStyle w:val="CharSchNo"/>
        </w:rPr>
        <w:lastRenderedPageBreak/>
        <w:t>Schedule 6</w:t>
      </w:r>
      <w:r>
        <w:t xml:space="preserve"> — </w:t>
      </w:r>
      <w:r>
        <w:rPr>
          <w:rStyle w:val="CharSchText"/>
        </w:rPr>
        <w:t>Infringement notice offences</w:t>
      </w:r>
      <w:bookmarkEnd w:id="180"/>
      <w:bookmarkEnd w:id="181"/>
      <w:bookmarkEnd w:id="182"/>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lastRenderedPageBreak/>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lastRenderedPageBreak/>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lastRenderedPageBreak/>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lastRenderedPageBreak/>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lastRenderedPageBreak/>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lastRenderedPageBreak/>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lastRenderedPageBreak/>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lastRenderedPageBreak/>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lastRenderedPageBreak/>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rPr>
                <w:i/>
              </w:rPr>
            </w:pPr>
            <w:r>
              <w:rPr>
                <w:i/>
              </w:rPr>
              <w:t>Environmental Protection (Prohibited Plastics and Balloons) Regulations 2018</w:t>
            </w:r>
          </w:p>
        </w:tc>
        <w:tc>
          <w:tcPr>
            <w:tcW w:w="1837" w:type="dxa"/>
            <w:noWrap/>
          </w:tcPr>
          <w:p>
            <w:pPr>
              <w:pStyle w:val="yTableNAm"/>
              <w:jc w:val="center"/>
            </w:pPr>
          </w:p>
        </w:tc>
        <w:tc>
          <w:tcPr>
            <w:tcW w:w="2402" w:type="dxa"/>
            <w:noWrap/>
          </w:tcPr>
          <w:p>
            <w:pPr>
              <w:pStyle w:val="yTableNAm"/>
              <w:jc w:val="center"/>
            </w:pPr>
          </w:p>
        </w:tc>
      </w:tr>
      <w:tr>
        <w:tblPrEx>
          <w:tblCellMar>
            <w:left w:w="108" w:type="dxa"/>
            <w:right w:w="108" w:type="dxa"/>
          </w:tblCellMar>
        </w:tblPrEx>
        <w:trPr>
          <w:gridAfter w:val="1"/>
          <w:wAfter w:w="23" w:type="dxa"/>
        </w:trPr>
        <w:tc>
          <w:tcPr>
            <w:tcW w:w="2968" w:type="dxa"/>
            <w:noWrap/>
          </w:tcPr>
          <w:p>
            <w:pPr>
              <w:pStyle w:val="yTableNAm"/>
            </w:pPr>
            <w:r>
              <w:lastRenderedPageBreak/>
              <w:t>1.</w:t>
            </w:r>
            <w:r>
              <w:tab/>
              <w:t>regulation 4</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2.</w:t>
            </w:r>
            <w:r>
              <w:tab/>
              <w:t>regulation 5</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3.</w:t>
            </w:r>
            <w:r>
              <w:tab/>
              <w:t>regulation 7(1)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4.</w:t>
            </w:r>
            <w:r>
              <w:tab/>
              <w:t>regulation 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5.</w:t>
            </w:r>
            <w:r>
              <w:tab/>
              <w:t>regulation 16</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6.</w:t>
            </w:r>
            <w:r>
              <w:tab/>
              <w:t>regulation 17</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7.</w:t>
            </w:r>
            <w:r>
              <w:tab/>
              <w:t>regulation 17B</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8.</w:t>
            </w:r>
            <w:r>
              <w:tab/>
              <w:t>regulation 17C</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9.</w:t>
            </w:r>
            <w:r>
              <w:tab/>
              <w:t>regulation 17E</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10.</w:t>
            </w:r>
            <w:r>
              <w:tab/>
              <w:t>regulation 17F(1)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11.</w:t>
            </w:r>
            <w:r>
              <w:tab/>
              <w:t>regulation 17I</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12.</w:t>
            </w:r>
            <w:r>
              <w:tab/>
              <w:t>regulation 18(1)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keepNext/>
            </w:pPr>
            <w:r>
              <w:t>13.</w:t>
            </w:r>
            <w:r>
              <w:tab/>
              <w:t>regulation 18(2)</w:t>
            </w:r>
          </w:p>
        </w:tc>
        <w:tc>
          <w:tcPr>
            <w:tcW w:w="1837" w:type="dxa"/>
            <w:noWrap/>
          </w:tcPr>
          <w:p>
            <w:pPr>
              <w:pStyle w:val="yTableNAm"/>
              <w:keepNext/>
              <w:jc w:val="center"/>
            </w:pPr>
            <w:r>
              <w:t>250</w:t>
            </w:r>
          </w:p>
        </w:tc>
        <w:tc>
          <w:tcPr>
            <w:tcW w:w="2402" w:type="dxa"/>
            <w:noWrap/>
          </w:tcPr>
          <w:p>
            <w:pPr>
              <w:pStyle w:val="yTableNAm"/>
              <w:keepNext/>
              <w:jc w:val="center"/>
            </w:pPr>
            <w:r>
              <w:t>500</w:t>
            </w:r>
          </w:p>
        </w:tc>
      </w:tr>
    </w:tbl>
    <w:p>
      <w:pPr>
        <w:pStyle w:val="yFootnotesection"/>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 SL 2021/215 r. 10; SL 2022/64 r. 17; SL 2023/13 r. 20.]</w:t>
      </w:r>
    </w:p>
    <w:p>
      <w:pPr>
        <w:pStyle w:val="yFootnotesection"/>
        <w:keepLines w:val="0"/>
        <w:rPr>
          <w:i w:val="0"/>
        </w:r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yScheduleHeading"/>
      </w:pPr>
      <w:bookmarkStart w:id="183" w:name="_Toc135138933"/>
      <w:bookmarkStart w:id="184" w:name="_Toc135139061"/>
      <w:bookmarkStart w:id="185" w:name="_Toc135213899"/>
      <w:r>
        <w:rPr>
          <w:rStyle w:val="CharSchNo"/>
        </w:rPr>
        <w:lastRenderedPageBreak/>
        <w:t>Schedule 7</w:t>
      </w:r>
      <w:r>
        <w:t xml:space="preserve"> — </w:t>
      </w:r>
      <w:r>
        <w:rPr>
          <w:rStyle w:val="CharSchText"/>
        </w:rPr>
        <w:t>Forms</w:t>
      </w:r>
      <w:bookmarkEnd w:id="183"/>
      <w:bookmarkEnd w:id="184"/>
      <w:bookmarkEnd w:id="185"/>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lastRenderedPageBreak/>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lastRenderedPageBreak/>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lastRenderedPageBreak/>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lastRenderedPageBreak/>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lastRenderedPageBreak/>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186" w:name="_Toc135138934"/>
      <w:bookmarkStart w:id="187" w:name="_Toc135139062"/>
      <w:bookmarkStart w:id="188" w:name="_Toc135213900"/>
      <w:r>
        <w:lastRenderedPageBreak/>
        <w:t>Notes</w:t>
      </w:r>
      <w:bookmarkEnd w:id="186"/>
      <w:bookmarkEnd w:id="187"/>
      <w:bookmarkEnd w:id="188"/>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89" w:name="_Toc135213901"/>
      <w:r>
        <w:t>Compilation table</w:t>
      </w:r>
      <w:bookmarkEnd w:id="18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lastRenderedPageBreak/>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c>
          <w:tcPr>
            <w:tcW w:w="3118" w:type="dxa"/>
            <w:tcBorders>
              <w:top w:val="nil"/>
              <w:bottom w:val="nil"/>
            </w:tcBorders>
          </w:tcPr>
          <w:p>
            <w:pPr>
              <w:pStyle w:val="nTable"/>
              <w:spacing w:after="40"/>
            </w:pPr>
            <w:r>
              <w:rPr>
                <w:i/>
              </w:rPr>
              <w:lastRenderedPageBreak/>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spacing w:after="40"/>
            </w:pPr>
            <w:r>
              <w:t>31 Aug 2018 p. 3093-107</w:t>
            </w:r>
          </w:p>
        </w:tc>
        <w:tc>
          <w:tcPr>
            <w:tcW w:w="2693" w:type="dxa"/>
            <w:tcBorders>
              <w:top w:val="nil"/>
              <w:bottom w:val="nil"/>
            </w:tcBorders>
          </w:tcPr>
          <w:p>
            <w:pPr>
              <w:pStyle w:val="nTable"/>
              <w:spacing w:after="40"/>
            </w:pPr>
            <w:r>
              <w:t>1 Sep 2018 (see r. 2(b))</w:t>
            </w:r>
          </w:p>
        </w:tc>
      </w:tr>
      <w:tr>
        <w:tc>
          <w:tcPr>
            <w:tcW w:w="3118" w:type="dxa"/>
            <w:tcBorders>
              <w:top w:val="nil"/>
              <w:bottom w:val="nil"/>
            </w:tcBorders>
          </w:tcPr>
          <w:p>
            <w:pPr>
              <w:pStyle w:val="nTable"/>
              <w:spacing w:after="40"/>
              <w:rPr>
                <w:i/>
              </w:rPr>
            </w:pPr>
            <w:r>
              <w:rPr>
                <w:i/>
              </w:rPr>
              <w:t>Environmental Protection Amendment Regulations (No. 3) 2018</w:t>
            </w:r>
          </w:p>
        </w:tc>
        <w:tc>
          <w:tcPr>
            <w:tcW w:w="1276" w:type="dxa"/>
            <w:tcBorders>
              <w:top w:val="nil"/>
              <w:bottom w:val="nil"/>
            </w:tcBorders>
          </w:tcPr>
          <w:p>
            <w:pPr>
              <w:pStyle w:val="nTable"/>
              <w:spacing w:after="40"/>
            </w:pPr>
            <w:r>
              <w:t>16 Oct 2018 p. 4093</w:t>
            </w:r>
          </w:p>
        </w:tc>
        <w:tc>
          <w:tcPr>
            <w:tcW w:w="2693" w:type="dxa"/>
            <w:tcBorders>
              <w:top w:val="nil"/>
              <w:bottom w:val="nil"/>
            </w:tcBorders>
          </w:tcPr>
          <w:p>
            <w:pPr>
              <w:pStyle w:val="nTable"/>
              <w:spacing w:after="40"/>
            </w:pPr>
            <w:r>
              <w:t>r. 1 and 2: 16 Oct 2018 (see r. 2(a));</w:t>
            </w:r>
            <w:r>
              <w:br/>
              <w:t>Regulations other than r. 1 and 2: 17 Oct 2018 (see r. 2(b))</w:t>
            </w:r>
          </w:p>
        </w:tc>
      </w:tr>
      <w:tr>
        <w:tc>
          <w:tcPr>
            <w:tcW w:w="3118" w:type="dxa"/>
            <w:tcBorders>
              <w:top w:val="nil"/>
              <w:bottom w:val="nil"/>
            </w:tcBorders>
          </w:tcPr>
          <w:p>
            <w:pPr>
              <w:pStyle w:val="nTable"/>
              <w:spacing w:after="40"/>
              <w:rPr>
                <w:i/>
              </w:rPr>
            </w:pPr>
            <w:r>
              <w:rPr>
                <w:i/>
              </w:rPr>
              <w:t>Environmental Protection Amendment Regulations (No. 2) 2020</w:t>
            </w:r>
          </w:p>
        </w:tc>
        <w:tc>
          <w:tcPr>
            <w:tcW w:w="1276" w:type="dxa"/>
            <w:tcBorders>
              <w:top w:val="nil"/>
              <w:bottom w:val="nil"/>
            </w:tcBorders>
          </w:tcPr>
          <w:p>
            <w:pPr>
              <w:pStyle w:val="nTable"/>
              <w:spacing w:after="40"/>
            </w:pPr>
            <w:r>
              <w:t>SL 2020/114 7 Jul 2020</w:t>
            </w:r>
          </w:p>
        </w:tc>
        <w:tc>
          <w:tcPr>
            <w:tcW w:w="2693" w:type="dxa"/>
            <w:tcBorders>
              <w:top w:val="nil"/>
              <w:bottom w:val="nil"/>
            </w:tcBorders>
          </w:tcPr>
          <w:p>
            <w:pPr>
              <w:pStyle w:val="nTable"/>
              <w:spacing w:after="40"/>
            </w:pPr>
            <w:r>
              <w:t>r. 1 and 2: 7 Jul 2020 (see r. 2(a));</w:t>
            </w:r>
            <w:r>
              <w:br/>
              <w:t>Regulations other than r. 1 and 2: 8 Jul 2020 (see r. 2(b))</w:t>
            </w:r>
          </w:p>
        </w:tc>
      </w:tr>
      <w:tr>
        <w:tc>
          <w:tcPr>
            <w:tcW w:w="3118" w:type="dxa"/>
            <w:tcBorders>
              <w:top w:val="nil"/>
              <w:bottom w:val="nil"/>
            </w:tcBorders>
          </w:tcPr>
          <w:p>
            <w:pPr>
              <w:pStyle w:val="nTable"/>
              <w:spacing w:after="40"/>
              <w:rPr>
                <w:i/>
              </w:rPr>
            </w:pPr>
            <w:r>
              <w:rPr>
                <w:i/>
              </w:rPr>
              <w:t>Environmental Protection Amendment Regulations 2020</w:t>
            </w:r>
          </w:p>
        </w:tc>
        <w:tc>
          <w:tcPr>
            <w:tcW w:w="1276" w:type="dxa"/>
            <w:tcBorders>
              <w:top w:val="nil"/>
              <w:bottom w:val="nil"/>
            </w:tcBorders>
          </w:tcPr>
          <w:p>
            <w:pPr>
              <w:pStyle w:val="nTable"/>
              <w:spacing w:after="40"/>
            </w:pPr>
            <w:r>
              <w:t>SL 2020/134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8" w:type="dxa"/>
            <w:tcBorders>
              <w:top w:val="nil"/>
              <w:bottom w:val="nil"/>
            </w:tcBorders>
          </w:tcPr>
          <w:p>
            <w:pPr>
              <w:pStyle w:val="nTable"/>
              <w:spacing w:after="40"/>
              <w:rPr>
                <w:i/>
              </w:rPr>
            </w:pPr>
            <w:r>
              <w:rPr>
                <w:i/>
              </w:rPr>
              <w:t xml:space="preserve">Environment Regulations Amendment (Infringement Notices) Regulations 2020 </w:t>
            </w:r>
            <w:r>
              <w:t>Pt. 4</w:t>
            </w:r>
          </w:p>
        </w:tc>
        <w:tc>
          <w:tcPr>
            <w:tcW w:w="127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pPr>
            <w:r>
              <w:rPr>
                <w:snapToGrid w:val="0"/>
                <w:spacing w:val="-2"/>
              </w:rPr>
              <w:t>29 Sep 2020 (see r. 2(b) and SL 2020/159 cl. 2(a))</w:t>
            </w:r>
          </w:p>
        </w:tc>
      </w:tr>
      <w:tr>
        <w:tc>
          <w:tcPr>
            <w:tcW w:w="3118" w:type="dxa"/>
            <w:tcBorders>
              <w:top w:val="nil"/>
              <w:bottom w:val="nil"/>
            </w:tcBorders>
          </w:tcPr>
          <w:p>
            <w:pPr>
              <w:pStyle w:val="nTable"/>
              <w:spacing w:after="40"/>
            </w:pPr>
            <w:r>
              <w:rPr>
                <w:i/>
              </w:rPr>
              <w:t>Environmental Protection Regulations Amendment (Publication and Confidentiality) Regulations 2021</w:t>
            </w:r>
            <w:r>
              <w:t xml:space="preserve"> Pt. 3</w:t>
            </w:r>
          </w:p>
        </w:tc>
        <w:tc>
          <w:tcPr>
            <w:tcW w:w="127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rPr>
                <w:snapToGrid w:val="0"/>
                <w:spacing w:val="-2"/>
              </w:rPr>
            </w:pPr>
            <w:r>
              <w:rPr>
                <w:snapToGrid w:val="0"/>
                <w:spacing w:val="-2"/>
              </w:rPr>
              <w:t>23 Oct 2021 (see r. 2(c) and SL 2021/176 cl. 2)</w:t>
            </w:r>
          </w:p>
        </w:tc>
      </w:tr>
      <w:tr>
        <w:tc>
          <w:tcPr>
            <w:tcW w:w="3118" w:type="dxa"/>
            <w:tcBorders>
              <w:top w:val="nil"/>
              <w:bottom w:val="nil"/>
            </w:tcBorders>
          </w:tcPr>
          <w:p>
            <w:pPr>
              <w:pStyle w:val="nTable"/>
              <w:spacing w:after="40"/>
              <w:rPr>
                <w:i/>
              </w:rPr>
            </w:pPr>
            <w:r>
              <w:rPr>
                <w:i/>
              </w:rPr>
              <w:t>Environmental Protection Amendment Regulations (No. 2) 2021</w:t>
            </w:r>
          </w:p>
        </w:tc>
        <w:tc>
          <w:tcPr>
            <w:tcW w:w="1276" w:type="dxa"/>
            <w:tcBorders>
              <w:top w:val="nil"/>
              <w:bottom w:val="nil"/>
            </w:tcBorders>
          </w:tcPr>
          <w:p>
            <w:pPr>
              <w:pStyle w:val="nTable"/>
              <w:spacing w:after="40"/>
            </w:pPr>
            <w:r>
              <w:t>SL 2021/190 19 Nov 2021</w:t>
            </w:r>
          </w:p>
        </w:tc>
        <w:tc>
          <w:tcPr>
            <w:tcW w:w="2693" w:type="dxa"/>
            <w:tcBorders>
              <w:top w:val="nil"/>
              <w:bottom w:val="nil"/>
            </w:tcBorders>
          </w:tcPr>
          <w:p>
            <w:pPr>
              <w:pStyle w:val="nTable"/>
              <w:spacing w:after="40"/>
              <w:rPr>
                <w:snapToGrid w:val="0"/>
                <w:spacing w:val="-2"/>
              </w:rPr>
            </w:pPr>
            <w:r>
              <w:rPr>
                <w:snapToGrid w:val="0"/>
                <w:spacing w:val="-2"/>
              </w:rPr>
              <w:t>r. 1 and 2: 19 Nov 2021 (see r. 2(a));</w:t>
            </w:r>
            <w:r>
              <w:rPr>
                <w:snapToGrid w:val="0"/>
                <w:spacing w:val="-2"/>
              </w:rPr>
              <w:br/>
              <w:t>Regulations other than r. 1 and 2: 20 Nov 2021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2021</w:t>
            </w:r>
            <w:r>
              <w:t xml:space="preserve"> Pt. 2 Div. 2</w:t>
            </w:r>
            <w:r>
              <w:rPr>
                <w:vertAlign w:val="superscript"/>
              </w:rPr>
              <w:t> 8</w:t>
            </w:r>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rPr>
                <w:snapToGrid w:val="0"/>
                <w:spacing w:val="-2"/>
              </w:rPr>
            </w:pPr>
            <w:r>
              <w:t>1 Jan 2022 (see r. 2(b))</w:t>
            </w:r>
          </w:p>
        </w:tc>
      </w:tr>
      <w:tr>
        <w:tc>
          <w:tcPr>
            <w:tcW w:w="3118" w:type="dxa"/>
            <w:tcBorders>
              <w:top w:val="nil"/>
              <w:bottom w:val="nil"/>
            </w:tcBorders>
          </w:tcPr>
          <w:p>
            <w:pPr>
              <w:pStyle w:val="nTable"/>
              <w:spacing w:after="40"/>
              <w:rPr>
                <w:i/>
              </w:rPr>
            </w:pPr>
            <w:r>
              <w:rPr>
                <w:i/>
              </w:rPr>
              <w:t xml:space="preserve">Environmental Protection Regulations Amendment (Prohibited Plastics and Balloons) Regulations 2022 </w:t>
            </w:r>
            <w:r>
              <w:t>Pt. 3 Div. 2</w:t>
            </w:r>
          </w:p>
        </w:tc>
        <w:tc>
          <w:tcPr>
            <w:tcW w:w="127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lastRenderedPageBreak/>
              <w:t>Environmental Protection Amendment Regulations 2022</w:t>
            </w:r>
          </w:p>
        </w:tc>
        <w:tc>
          <w:tcPr>
            <w:tcW w:w="1276" w:type="dxa"/>
            <w:tcBorders>
              <w:top w:val="nil"/>
              <w:bottom w:val="nil"/>
            </w:tcBorders>
          </w:tcPr>
          <w:p>
            <w:pPr>
              <w:pStyle w:val="nTable"/>
              <w:spacing w:after="40"/>
            </w:pPr>
            <w:r>
              <w:t>SL 2022/68 3 Jun 2022</w:t>
            </w:r>
          </w:p>
        </w:tc>
        <w:tc>
          <w:tcPr>
            <w:tcW w:w="2693" w:type="dxa"/>
            <w:tcBorders>
              <w:top w:val="nil"/>
              <w:bottom w:val="nil"/>
            </w:tcBorders>
          </w:tcPr>
          <w:p>
            <w:pPr>
              <w:pStyle w:val="nTable"/>
              <w:spacing w:after="40"/>
            </w:pPr>
            <w:r>
              <w:t>r. 1 and 2: 3 Jun 2022 (see r. 2(a));</w:t>
            </w:r>
            <w:r>
              <w:br/>
              <w:t>Regulations other than r. 1 and 2: 1 Jul 2022 (see r. 2(b))</w:t>
            </w:r>
          </w:p>
        </w:tc>
      </w:tr>
      <w:tr>
        <w:tc>
          <w:tcPr>
            <w:tcW w:w="3118" w:type="dxa"/>
            <w:tcBorders>
              <w:top w:val="nil"/>
              <w:bottom w:val="single" w:sz="4" w:space="0" w:color="auto"/>
            </w:tcBorders>
          </w:tcPr>
          <w:p>
            <w:pPr>
              <w:pStyle w:val="nTable"/>
              <w:spacing w:after="40"/>
              <w:rPr>
                <w:i/>
              </w:rPr>
            </w:pPr>
            <w:r>
              <w:rPr>
                <w:i/>
              </w:rPr>
              <w:t>Environmental Protection Regulations Amendment (Prohibited Plastics and Balloons) Regulations 2023</w:t>
            </w:r>
            <w:r>
              <w:t xml:space="preserve"> Pt. 3</w:t>
            </w:r>
          </w:p>
        </w:tc>
        <w:tc>
          <w:tcPr>
            <w:tcW w:w="1276" w:type="dxa"/>
            <w:tcBorders>
              <w:top w:val="nil"/>
              <w:bottom w:val="single" w:sz="4" w:space="0" w:color="auto"/>
            </w:tcBorders>
          </w:tcPr>
          <w:p>
            <w:pPr>
              <w:pStyle w:val="nTable"/>
              <w:spacing w:after="40"/>
            </w:pPr>
            <w:r>
              <w:t>SL 2023/13 24 Feb 2023</w:t>
            </w:r>
          </w:p>
        </w:tc>
        <w:tc>
          <w:tcPr>
            <w:tcW w:w="2693" w:type="dxa"/>
            <w:tcBorders>
              <w:top w:val="nil"/>
              <w:bottom w:val="single" w:sz="4" w:space="0" w:color="auto"/>
            </w:tcBorders>
          </w:tcPr>
          <w:p>
            <w:pPr>
              <w:pStyle w:val="nTable"/>
              <w:spacing w:after="40"/>
            </w:pPr>
            <w:r>
              <w:t>1 Mar 2023 (see r. 2(b))</w:t>
            </w:r>
          </w:p>
        </w:tc>
      </w:tr>
    </w:tbl>
    <w:p>
      <w:pPr>
        <w:pStyle w:val="nHeading3"/>
      </w:pPr>
      <w:bookmarkStart w:id="190" w:name="_Toc135213902"/>
      <w:r>
        <w:t>Uncommenced provisions table</w:t>
      </w:r>
      <w:bookmarkEnd w:id="19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Environment Regulations Amendment (Aboriginal Cultural Heritage) Regulations 2023</w:t>
            </w:r>
            <w:r>
              <w:t xml:space="preserve"> Pt. 4</w:t>
            </w:r>
          </w:p>
        </w:tc>
        <w:tc>
          <w:tcPr>
            <w:tcW w:w="1276" w:type="dxa"/>
          </w:tcPr>
          <w:p>
            <w:pPr>
              <w:pStyle w:val="nTable"/>
              <w:spacing w:after="40"/>
            </w:pPr>
            <w:r>
              <w:t>SL 2023/50 19 May 2023</w:t>
            </w:r>
          </w:p>
        </w:tc>
        <w:tc>
          <w:tcPr>
            <w:tcW w:w="2693" w:type="dxa"/>
          </w:tcPr>
          <w:p>
            <w:pPr>
              <w:pStyle w:val="nTable"/>
              <w:spacing w:after="40"/>
            </w:pPr>
            <w:r>
              <w:t>1 Jul 2023 (see r. 2(b))</w:t>
            </w:r>
          </w:p>
        </w:tc>
      </w:tr>
    </w:tbl>
    <w:p>
      <w:pPr>
        <w:pStyle w:val="nHeading3"/>
      </w:pPr>
      <w:bookmarkStart w:id="191" w:name="_Toc135213903"/>
      <w:r>
        <w:t>Other notes</w:t>
      </w:r>
      <w:bookmarkEnd w:id="191"/>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2017</w:t>
      </w:r>
      <w:r>
        <w:rPr>
          <w:snapToGrid w:val="0"/>
        </w:rPr>
        <w:t xml:space="preserve"> a reference in a written law to the Department of Environmental Protection or Department of Environment is, unless the context requires otherwise, to be read and construed as a reference to the Department of Water and Environmental Regulation.</w:t>
      </w:r>
    </w:p>
    <w:p>
      <w:pPr>
        <w:pStyle w:val="nNote"/>
        <w:rPr>
          <w:snapToGrid w:val="0"/>
        </w:rPr>
      </w:pPr>
      <w:r>
        <w:rPr>
          <w:snapToGrid w:val="0"/>
          <w:vertAlign w:val="superscript"/>
        </w:rPr>
        <w:t>3</w:t>
      </w:r>
      <w:r>
        <w:rPr>
          <w:snapToGrid w:val="0"/>
        </w:rPr>
        <w:tab/>
        <w:t xml:space="preserve">Proclaimed 1 July 1998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Pr>
        <w:pStyle w:val="nNote"/>
      </w:pPr>
      <w:r>
        <w:rPr>
          <w:vertAlign w:val="superscript"/>
        </w:rPr>
        <w:t>8</w:t>
      </w:r>
      <w:r>
        <w:rPr>
          <w:vertAlign w:val="superscript"/>
        </w:rPr>
        <w:tab/>
      </w:r>
      <w:r>
        <w:t xml:space="preserve">The </w:t>
      </w:r>
      <w:r>
        <w:rPr>
          <w:i/>
        </w:rPr>
        <w:t>Environmental Protection Regulations Amendment (Prohibited Plastics and Balloons) Regulations 2021</w:t>
      </w:r>
      <w:r>
        <w:t xml:space="preserve"> Pt. 3 Div. 2 (SL 2021/215) was deleted before it could </w:t>
      </w:r>
      <w:r>
        <w:lastRenderedPageBreak/>
        <w:t xml:space="preserve">come into operation (see the </w:t>
      </w:r>
      <w:r>
        <w:rPr>
          <w:i/>
        </w:rPr>
        <w:t>Environmental Protection Regulations Amendment (Prohibited Plastics and Balloons) Regulations 2022</w:t>
      </w:r>
      <w:r>
        <w:t xml:space="preserve"> r. 5 (SL 2022/64)).</w:t>
      </w:r>
    </w:p>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193" w:name="_Toc135138937"/>
      <w:bookmarkStart w:id="194" w:name="_Toc135139066"/>
      <w:bookmarkStart w:id="195" w:name="_Toc135213904"/>
      <w:r>
        <w:rPr>
          <w:sz w:val="28"/>
        </w:rPr>
        <w:lastRenderedPageBreak/>
        <w:t>Defined terms</w:t>
      </w:r>
      <w:bookmarkEnd w:id="193"/>
      <w:bookmarkEnd w:id="194"/>
      <w:bookmarkEnd w:id="1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site</w:t>
      </w:r>
      <w:r>
        <w:tab/>
        <w:t>3D(1)</w:t>
      </w:r>
    </w:p>
    <w:p>
      <w:pPr>
        <w:pStyle w:val="DefinedTerms"/>
      </w:pPr>
      <w:r>
        <w:t>actual discharge</w:t>
      </w:r>
      <w:r>
        <w:tab/>
        <w:t>5H(2)</w:t>
      </w:r>
    </w:p>
    <w:p>
      <w:pPr>
        <w:pStyle w:val="DefinedTerms"/>
      </w:pPr>
      <w:r>
        <w:t>aggregation point</w:t>
      </w:r>
      <w:r>
        <w:tab/>
        <w:t>Sch. 1</w:t>
      </w:r>
    </w:p>
    <w:p>
      <w:pPr>
        <w:pStyle w:val="DefinedTerms"/>
      </w:pPr>
      <w:r>
        <w:t>approved</w:t>
      </w:r>
      <w:r>
        <w:tab/>
        <w:t>21(1)</w:t>
      </w:r>
    </w:p>
    <w:p>
      <w:pPr>
        <w:pStyle w:val="DefinedTerms"/>
      </w:pPr>
      <w:r>
        <w:t>approved monitoring equipment</w:t>
      </w:r>
      <w:r>
        <w:tab/>
        <w:t>17</w:t>
      </w:r>
    </w:p>
    <w:p>
      <w:pPr>
        <w:pStyle w:val="DefinedTerms"/>
      </w:pPr>
      <w:r>
        <w:t>approved site</w:t>
      </w:r>
      <w:r>
        <w:tab/>
        <w:t>11(1)</w:t>
      </w:r>
    </w:p>
    <w:p>
      <w:pPr>
        <w:pStyle w:val="DefinedTerms"/>
      </w:pPr>
      <w:r>
        <w:t>baseline report</w:t>
      </w:r>
      <w:r>
        <w:tab/>
        <w:t>26(1)</w:t>
      </w:r>
    </w:p>
    <w:p>
      <w:pPr>
        <w:pStyle w:val="DefinedTerms"/>
      </w:pPr>
      <w:r>
        <w:t>baseline survey</w:t>
      </w:r>
      <w:r>
        <w:tab/>
        <w:t>26(1)</w:t>
      </w:r>
    </w:p>
    <w:p>
      <w:pPr>
        <w:pStyle w:val="DefinedTerms"/>
      </w:pPr>
      <w:r>
        <w:t>best practice criteria</w:t>
      </w:r>
      <w:r>
        <w:tab/>
        <w:t>4(1)</w:t>
      </w:r>
    </w:p>
    <w:p>
      <w:pPr>
        <w:pStyle w:val="DefinedTerms"/>
      </w:pPr>
      <w:r>
        <w:t>category</w:t>
      </w:r>
      <w:r>
        <w:tab/>
        <w:t>4(1)</w:t>
      </w:r>
    </w:p>
    <w:p>
      <w:pPr>
        <w:pStyle w:val="DefinedTerms"/>
      </w:pPr>
      <w:r>
        <w:t>clean fill premises</w:t>
      </w:r>
      <w:r>
        <w:tab/>
        <w:t>2AA</w:t>
      </w:r>
    </w:p>
    <w:p>
      <w:pPr>
        <w:pStyle w:val="DefinedTerms"/>
      </w:pPr>
      <w:r>
        <w:t>commencement day</w:t>
      </w:r>
      <w:r>
        <w:tab/>
        <w:t>21(1)</w:t>
      </w:r>
    </w:p>
    <w:p>
      <w:pPr>
        <w:pStyle w:val="DefinedTerms"/>
      </w:pPr>
      <w:r>
        <w:t>confidential material</w:t>
      </w:r>
      <w:r>
        <w:tab/>
        <w:t>3B(1)</w:t>
      </w:r>
    </w:p>
    <w:p>
      <w:pPr>
        <w:pStyle w:val="DefinedTerms"/>
      </w:pPr>
      <w:r>
        <w:t>department</w:t>
      </w:r>
      <w:r>
        <w:tab/>
        <w:t>3D(1)</w:t>
      </w:r>
    </w:p>
    <w:p>
      <w:pPr>
        <w:pStyle w:val="DefinedTerms"/>
      </w:pPr>
      <w:r>
        <w:t>development site</w:t>
      </w:r>
      <w:r>
        <w:tab/>
        <w:t>16A</w:t>
      </w:r>
    </w:p>
    <w:p>
      <w:pPr>
        <w:pStyle w:val="DefinedTerms"/>
      </w:pPr>
      <w:r>
        <w:t>development work</w:t>
      </w:r>
      <w:r>
        <w:tab/>
        <w:t>16A</w:t>
      </w:r>
    </w:p>
    <w:p>
      <w:pPr>
        <w:pStyle w:val="DefinedTerms"/>
      </w:pPr>
      <w:r>
        <w:t>documentation</w:t>
      </w:r>
      <w:r>
        <w:tab/>
        <w:t>3A</w:t>
      </w:r>
    </w:p>
    <w:p>
      <w:pPr>
        <w:pStyle w:val="DefinedTerms"/>
      </w:pPr>
      <w:r>
        <w:t>enclosed water body</w:t>
      </w:r>
      <w:r>
        <w:tab/>
        <w:t>16(4)</w:t>
      </w:r>
    </w:p>
    <w:p>
      <w:pPr>
        <w:pStyle w:val="DefinedTerms"/>
      </w:pPr>
      <w:r>
        <w:t>exemption period</w:t>
      </w:r>
      <w:r>
        <w:tab/>
        <w:t>21(1)</w:t>
      </w:r>
    </w:p>
    <w:p>
      <w:pPr>
        <w:pStyle w:val="DefinedTerms"/>
      </w:pPr>
      <w:r>
        <w:t>exempt matter</w:t>
      </w:r>
      <w:r>
        <w:tab/>
        <w:t>2B(1)</w:t>
      </w:r>
    </w:p>
    <w:p>
      <w:pPr>
        <w:pStyle w:val="DefinedTerms"/>
      </w:pPr>
      <w:r>
        <w:t>existing landfill</w:t>
      </w:r>
      <w:r>
        <w:tab/>
        <w:t>26(8)</w:t>
      </w:r>
    </w:p>
    <w:p>
      <w:pPr>
        <w:pStyle w:val="DefinedTerms"/>
      </w:pPr>
      <w:r>
        <w:t>existing licensee</w:t>
      </w:r>
      <w:r>
        <w:tab/>
        <w:t>21(1)</w:t>
      </w:r>
    </w:p>
    <w:p>
      <w:pPr>
        <w:pStyle w:val="DefinedTerms"/>
      </w:pPr>
      <w:r>
        <w:t>existing petroleum authority area</w:t>
      </w:r>
      <w:r>
        <w:tab/>
        <w:t>2C(1)</w:t>
      </w:r>
    </w:p>
    <w:p>
      <w:pPr>
        <w:pStyle w:val="DefinedTerms"/>
      </w:pPr>
      <w:r>
        <w:t>Fund</w:t>
      </w:r>
      <w:r>
        <w:tab/>
        <w:t>21(1)</w:t>
      </w:r>
    </w:p>
    <w:p>
      <w:pPr>
        <w:pStyle w:val="DefinedTerms"/>
      </w:pPr>
      <w:r>
        <w:t>head office</w:t>
      </w:r>
      <w:r>
        <w:tab/>
        <w:t>2AA</w:t>
      </w:r>
    </w:p>
    <w:p>
      <w:pPr>
        <w:pStyle w:val="DefinedTerms"/>
      </w:pPr>
      <w:r>
        <w:t>hydraulic fracturing</w:t>
      </w:r>
      <w:r>
        <w:tab/>
        <w:t>2C(1)</w:t>
      </w:r>
    </w:p>
    <w:p>
      <w:pPr>
        <w:pStyle w:val="DefinedTerms"/>
      </w:pPr>
      <w:r>
        <w:t>Landfill Waste Classification and Waste Definitions 1996</w:t>
      </w:r>
      <w:r>
        <w:tab/>
        <w:t>2AA</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mercury</w:t>
      </w:r>
      <w:r>
        <w:tab/>
        <w:t>5P</w:t>
      </w:r>
    </w:p>
    <w:p>
      <w:pPr>
        <w:pStyle w:val="DefinedTerms"/>
      </w:pPr>
      <w:r>
        <w:t>mercury-added product</w:t>
      </w:r>
      <w:r>
        <w:tab/>
        <w:t>5P</w:t>
      </w:r>
    </w:p>
    <w:p>
      <w:pPr>
        <w:pStyle w:val="DefinedTerms"/>
      </w:pPr>
      <w:r>
        <w:t>mercury compound</w:t>
      </w:r>
      <w:r>
        <w:tab/>
        <w:t>5P</w:t>
      </w:r>
    </w:p>
    <w:p>
      <w:pPr>
        <w:pStyle w:val="DefinedTerms"/>
      </w:pPr>
      <w:r>
        <w:t>metropolitan region</w:t>
      </w:r>
      <w:r>
        <w:tab/>
        <w:t>21(1)</w:t>
      </w:r>
    </w:p>
    <w:p>
      <w:pPr>
        <w:pStyle w:val="DefinedTerms"/>
      </w:pPr>
      <w:r>
        <w:lastRenderedPageBreak/>
        <w:t>minute</w:t>
      </w:r>
      <w:r>
        <w:tab/>
        <w:t>2B(1)</w:t>
      </w:r>
    </w:p>
    <w:p>
      <w:pPr>
        <w:pStyle w:val="DefinedTerms"/>
      </w:pPr>
      <w:r>
        <w:t>native species</w:t>
      </w:r>
      <w:r>
        <w:tab/>
        <w:t>3D(1)</w:t>
      </w:r>
    </w:p>
    <w:p>
      <w:pPr>
        <w:pStyle w:val="DefinedTerms"/>
      </w:pPr>
      <w:r>
        <w:t>organotin anti-fouling paint</w:t>
      </w:r>
      <w:r>
        <w:tab/>
        <w:t>16(4)</w:t>
      </w:r>
    </w:p>
    <w:p>
      <w:pPr>
        <w:pStyle w:val="DefinedTerms"/>
      </w:pPr>
      <w:r>
        <w:t>Part 2 waste</w:t>
      </w:r>
      <w:r>
        <w:tab/>
        <w:t>5D(6)</w:t>
      </w:r>
    </w:p>
    <w:p>
      <w:pPr>
        <w:pStyle w:val="DefinedTerms"/>
      </w:pPr>
      <w:r>
        <w:t>payer</w:t>
      </w:r>
      <w:r>
        <w:tab/>
        <w:t>5N</w:t>
      </w:r>
    </w:p>
    <w:p>
      <w:pPr>
        <w:pStyle w:val="DefinedTerms"/>
      </w:pPr>
      <w:r>
        <w:t>petroleum activity</w:t>
      </w:r>
      <w:r>
        <w:tab/>
        <w:t>2C(1)</w:t>
      </w:r>
    </w:p>
    <w:p>
      <w:pPr>
        <w:pStyle w:val="DefinedTerms"/>
      </w:pPr>
      <w:r>
        <w:t>PGER Environment Regulations</w:t>
      </w:r>
      <w:r>
        <w:tab/>
        <w:t>2C(1)</w:t>
      </w:r>
    </w:p>
    <w:p>
      <w:pPr>
        <w:pStyle w:val="DefinedTerms"/>
      </w:pPr>
      <w:r>
        <w:t>priority list</w:t>
      </w:r>
      <w:r>
        <w:tab/>
        <w:t>3D(1)</w:t>
      </w:r>
    </w:p>
    <w:p>
      <w:pPr>
        <w:pStyle w:val="DefinedTerms"/>
      </w:pPr>
      <w:r>
        <w:t>prohibited manufacturing process</w:t>
      </w:r>
      <w:r>
        <w:tab/>
        <w:t>5P</w:t>
      </w:r>
    </w:p>
    <w:p>
      <w:pPr>
        <w:pStyle w:val="DefinedTerms"/>
      </w:pPr>
      <w:r>
        <w:t>publish</w:t>
      </w:r>
      <w:r>
        <w:tab/>
        <w:t>3A</w:t>
      </w:r>
    </w:p>
    <w:p>
      <w:pPr>
        <w:pStyle w:val="DefinedTerms"/>
      </w:pPr>
      <w:r>
        <w:t>quarterly survey</w:t>
      </w:r>
      <w:r>
        <w:tab/>
        <w:t>26(4)</w:t>
      </w:r>
    </w:p>
    <w:p>
      <w:pPr>
        <w:pStyle w:val="DefinedTerms"/>
      </w:pPr>
      <w:r>
        <w:t>record</w:t>
      </w:r>
      <w:r>
        <w:tab/>
        <w:t>2B(1)</w:t>
      </w:r>
    </w:p>
    <w:p>
      <w:pPr>
        <w:pStyle w:val="DefinedTerms"/>
      </w:pPr>
      <w:r>
        <w:t>refund point</w:t>
      </w:r>
      <w:r>
        <w:tab/>
        <w:t>Sch. 1</w:t>
      </w:r>
    </w:p>
    <w:p>
      <w:pPr>
        <w:pStyle w:val="DefinedTerms"/>
      </w:pPr>
      <w:r>
        <w:t>relevant documentation</w:t>
      </w:r>
      <w:r>
        <w:tab/>
        <w:t>3B(2)</w:t>
      </w:r>
    </w:p>
    <w:p>
      <w:pPr>
        <w:pStyle w:val="DefinedTerms"/>
      </w:pPr>
      <w:r>
        <w:t>return period</w:t>
      </w:r>
      <w:r>
        <w:tab/>
        <w:t>21(1)</w:t>
      </w:r>
    </w:p>
    <w:p>
      <w:pPr>
        <w:pStyle w:val="DefinedTerms"/>
      </w:pPr>
      <w:r>
        <w:t>semi-enclosed water body</w:t>
      </w:r>
      <w:r>
        <w:tab/>
        <w:t>16(4)</w:t>
      </w:r>
    </w:p>
    <w:p>
      <w:pPr>
        <w:pStyle w:val="DefinedTerms"/>
      </w:pPr>
      <w:r>
        <w:t>species</w:t>
      </w:r>
      <w:r>
        <w:tab/>
        <w:t>3D(1)</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submit</w:t>
      </w:r>
      <w:r>
        <w:tab/>
        <w:t>3A</w:t>
      </w:r>
    </w:p>
    <w:p>
      <w:pPr>
        <w:pStyle w:val="DefinedTerms"/>
      </w:pPr>
      <w:r>
        <w:t>surveyor</w:t>
      </w:r>
      <w:r>
        <w:tab/>
        <w:t>26(8)</w:t>
      </w:r>
    </w:p>
    <w:p>
      <w:pPr>
        <w:pStyle w:val="DefinedTerms"/>
      </w:pPr>
      <w:r>
        <w:t>threatened species</w:t>
      </w:r>
      <w:r>
        <w:tab/>
        <w:t>3D(1)</w:t>
      </w:r>
    </w:p>
    <w:p>
      <w:pPr>
        <w:pStyle w:val="DefinedTerms"/>
      </w:pPr>
      <w:r>
        <w:t>tyre</w:t>
      </w:r>
      <w:r>
        <w:tab/>
        <w:t>11(1)</w:t>
      </w:r>
    </w:p>
    <w:p>
      <w:pPr>
        <w:pStyle w:val="DefinedTerms"/>
      </w:pPr>
      <w:r>
        <w:t>Tyre Landfill Exclusion Zone</w:t>
      </w:r>
      <w:r>
        <w:tab/>
        <w:t>11(1)</w:t>
      </w:r>
    </w:p>
    <w:p>
      <w:pPr>
        <w:pStyle w:val="DefinedTerms"/>
      </w:pPr>
      <w:r>
        <w:t>tyre retailer</w:t>
      </w:r>
      <w:r>
        <w:tab/>
        <w:t>11(1)</w:t>
      </w:r>
    </w:p>
    <w:p>
      <w:pPr>
        <w:pStyle w:val="DefinedTerms"/>
      </w:pPr>
      <w:r>
        <w:t>vessel</w:t>
      </w:r>
      <w:r>
        <w:tab/>
        <w:t>16(4)</w:t>
      </w:r>
    </w:p>
    <w:p/>
    <w:p>
      <w:pPr>
        <w:sectPr>
          <w:headerReference w:type="even" r:id="rId38"/>
          <w:headerReference w:type="default" r:id="rId39"/>
          <w:pgSz w:w="11907" w:h="16840" w:code="9"/>
          <w:pgMar w:top="2381" w:right="2409" w:bottom="3543" w:left="2409" w:header="720" w:footer="3544"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08-v0-00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08-v0-00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08-v0-00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08-v0-00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08-v0-00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08-v0-00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174" w:name="Schedule"/>
    <w:bookmarkEnd w:id="17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2" w:name="Compilation"/>
    <w:bookmarkEnd w:id="192"/>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96" w:name="DefinedTerms"/>
    <w:bookmarkEnd w:id="196"/>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7" w:name="Coversheet"/>
    <w:bookmarkEnd w:id="1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4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41101"/>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 w:name="WAFER_20211221152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2930_GUID" w:val="8fba9737-05e9-462a-8c05-73da14591284"/>
    <w:docVar w:name="WAFER_20220531143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3121_GUID" w:val="c4d9c775-849e-4839-a391-fb57d56e8717"/>
    <w:docVar w:name="WAFER_202206231554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3155430_GUID" w:val="b6068ba9-cc51-4321-898e-d7e001a3847a"/>
    <w:docVar w:name="WAFER_20230221143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40_GUID" w:val="2db0000b-e217-4653-a2a1-978462569acd"/>
    <w:docVar w:name="WAFER_2023051614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101_GUID" w:val="a3fc8326-ef17-47a4-b47d-44b17f0b8b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81"/>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4.png"/><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9D0322-67DE-41FA-8D7C-D30185E04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28904</Words>
  <Characters>140185</Characters>
  <Application>Microsoft Office Word</Application>
  <DocSecurity>0</DocSecurity>
  <Lines>5607</Lines>
  <Paragraphs>3842</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165247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1987 - 08-v0-00</dc:title>
  <dc:subject/>
  <dc:creator/>
  <cp:keywords/>
  <dc:description/>
  <cp:lastModifiedBy>Master Repository Process</cp:lastModifiedBy>
  <cp:revision>4</cp:revision>
  <cp:lastPrinted>2018-12-04T06:49:00Z</cp:lastPrinted>
  <dcterms:created xsi:type="dcterms:W3CDTF">2023-05-18T22:12:00Z</dcterms:created>
  <dcterms:modified xsi:type="dcterms:W3CDTF">2023-05-18T22:13:00Z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AsAtDate">
    <vt:lpwstr>19 May 2023</vt:lpwstr>
  </property>
  <property fmtid="{D5CDD505-2E9C-101B-9397-08002B2CF9AE}" pid="8" name="Suffix">
    <vt:lpwstr>08-v0-00</vt:lpwstr>
  </property>
  <property fmtid="{D5CDD505-2E9C-101B-9397-08002B2CF9AE}" pid="9" name="CommencementDate">
    <vt:lpwstr>20230519</vt:lpwstr>
  </property>
</Properties>
</file>