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_Toc135214343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_Toc135214344 \h </w:instrText>
      </w:r>
      <w:r>
        <w:fldChar w:fldCharType="separate"/>
      </w:r>
      <w:r>
        <w:t>1</w:t>
      </w:r>
      <w:r>
        <w:fldChar w:fldCharType="end"/>
      </w:r>
    </w:p>
    <w:p>
      <w:pPr>
        <w:pStyle w:val="TOC8"/>
        <w:rPr>
          <w:rFonts w:asciiTheme="minorHAnsi" w:eastAsiaTheme="minorEastAsia" w:hAnsiTheme="minorHAnsi" w:cstheme="minorBidi"/>
          <w:szCs w:val="22"/>
        </w:rPr>
      </w:pPr>
      <w:r>
        <w:t>2A.</w:t>
      </w:r>
      <w:r>
        <w:tab/>
        <w:t>Partial waiver of due or charge if vessel allocated longer pen than necessary</w:t>
      </w:r>
      <w:r>
        <w:tab/>
      </w:r>
      <w:r>
        <w:fldChar w:fldCharType="begin"/>
      </w:r>
      <w:r>
        <w:instrText xml:space="preserve"> PAGEREF _Toc135214345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_Toc135214346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_Toc135214349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_Toc135214351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_Toc135214352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_Toc135214354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_Toc135214355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_Toc135214356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3A — Manifests</w:t>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_Toc135214358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_Toc135214359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_Toc135214361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_Toc135214362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11B</w:t>
      </w:r>
      <w:r>
        <w:rPr>
          <w:snapToGrid w:val="0"/>
        </w:rPr>
        <w:t>.</w:t>
      </w:r>
      <w:r>
        <w:rPr>
          <w:snapToGrid w:val="0"/>
        </w:rPr>
        <w:tab/>
        <w:t>Charges on vessels’ stores, including fuel oil</w:t>
      </w:r>
      <w:r>
        <w:tab/>
      </w:r>
      <w:r>
        <w:fldChar w:fldCharType="begin"/>
      </w:r>
      <w:r>
        <w:instrText xml:space="preserve"> PAGEREF _Toc135214363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_Toc135214364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_Toc135214365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_Toc135214367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_Toc135214368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_Toc135214369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_Toc135214370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_Toc135214371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_Toc135214372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_Toc135214373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_Toc135214374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_Toc135214375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_Toc135214376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_Toc135214378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_Toc135214379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_Toc135214380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_Toc135214381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_Toc135214382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_Toc135214383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_Toc135214385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_Toc135214386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_Toc135214387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_Toc135214388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_Toc135214389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_Toc135214390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_Toc135214392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_Toc135214393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_Toc135214394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_Toc135214395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_Toc135214397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_Toc135214398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_Toc135214399 \h </w:instrText>
      </w:r>
      <w:r>
        <w:fldChar w:fldCharType="separate"/>
      </w:r>
      <w:r>
        <w:t>21</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_Toc135214400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_Toc135214401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_Toc135214402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_Toc135214403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_Toc135214405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_Toc135214406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_Toc135214407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_Toc135214408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_Toc135214409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_Toc135214410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_Toc135214411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_Toc135214412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_Toc135214413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_Toc135214414 \h </w:instrText>
      </w:r>
      <w:r>
        <w:fldChar w:fldCharType="separate"/>
      </w:r>
      <w:r>
        <w:t>26</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_Toc135214415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_Toc135214416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_Toc135214417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_Toc135214418 \h </w:instrText>
      </w:r>
      <w:r>
        <w:fldChar w:fldCharType="separate"/>
      </w:r>
      <w:r>
        <w:t>27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_Toc135214419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_Toc135214420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_Toc135214421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_Toc135214422 \h </w:instrText>
      </w:r>
      <w:r>
        <w:fldChar w:fldCharType="separate"/>
      </w:r>
      <w:r>
        <w:t>36</w:t>
      </w:r>
      <w:r>
        <w:fldChar w:fldCharType="end"/>
      </w:r>
    </w:p>
    <w:p>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_Toc135214423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11 — Burswood Jetty</w:t>
      </w:r>
    </w:p>
    <w:p>
      <w:pPr>
        <w:pStyle w:val="TOC8"/>
        <w:rPr>
          <w:rFonts w:asciiTheme="minorHAnsi" w:eastAsiaTheme="minorEastAsia" w:hAnsiTheme="minorHAnsi" w:cstheme="minorBidi"/>
          <w:szCs w:val="22"/>
        </w:rPr>
      </w:pPr>
      <w:r>
        <w:t>67DD.</w:t>
      </w:r>
      <w:r>
        <w:tab/>
        <w:t>Terms used</w:t>
      </w:r>
      <w:r>
        <w:tab/>
      </w:r>
      <w:r>
        <w:fldChar w:fldCharType="begin"/>
      </w:r>
      <w:r>
        <w:instrText xml:space="preserve"> PAGEREF _Toc135214425 \h </w:instrText>
      </w:r>
      <w:r>
        <w:fldChar w:fldCharType="separate"/>
      </w:r>
      <w:r>
        <w:t>37</w:t>
      </w:r>
      <w:r>
        <w:fldChar w:fldCharType="end"/>
      </w:r>
    </w:p>
    <w:p>
      <w:pPr>
        <w:pStyle w:val="TOC8"/>
        <w:rPr>
          <w:rFonts w:asciiTheme="minorHAnsi" w:eastAsiaTheme="minorEastAsia" w:hAnsiTheme="minorHAnsi" w:cstheme="minorBidi"/>
          <w:szCs w:val="22"/>
        </w:rPr>
      </w:pPr>
      <w:r>
        <w:t>67DE.</w:t>
      </w:r>
      <w:r>
        <w:tab/>
        <w:t>Application</w:t>
      </w:r>
      <w:r>
        <w:tab/>
      </w:r>
      <w:r>
        <w:fldChar w:fldCharType="begin"/>
      </w:r>
      <w:r>
        <w:instrText xml:space="preserve"> PAGEREF _Toc135214426 \h </w:instrText>
      </w:r>
      <w:r>
        <w:fldChar w:fldCharType="separate"/>
      </w:r>
      <w:r>
        <w:t>38</w:t>
      </w:r>
      <w:r>
        <w:fldChar w:fldCharType="end"/>
      </w:r>
    </w:p>
    <w:p>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_Toc135214427 \h </w:instrText>
      </w:r>
      <w:r>
        <w:fldChar w:fldCharType="separate"/>
      </w:r>
      <w:r>
        <w:t>38</w:t>
      </w:r>
      <w:r>
        <w:fldChar w:fldCharType="end"/>
      </w:r>
    </w:p>
    <w:p>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_Toc135214428 \h </w:instrText>
      </w:r>
      <w:r>
        <w:fldChar w:fldCharType="separate"/>
      </w:r>
      <w:r>
        <w:t>39</w:t>
      </w:r>
      <w:r>
        <w:fldChar w:fldCharType="end"/>
      </w:r>
    </w:p>
    <w:p>
      <w:pPr>
        <w:pStyle w:val="TOC8"/>
        <w:rPr>
          <w:rFonts w:asciiTheme="minorHAnsi" w:eastAsiaTheme="minorEastAsia" w:hAnsiTheme="minorHAnsi" w:cstheme="minorBidi"/>
          <w:szCs w:val="22"/>
        </w:rPr>
      </w:pPr>
      <w:r>
        <w:t>67DH.</w:t>
      </w:r>
      <w:r>
        <w:tab/>
        <w:t>Cancellation of Berth 1 permit</w:t>
      </w:r>
      <w:r>
        <w:tab/>
      </w:r>
      <w:r>
        <w:fldChar w:fldCharType="begin"/>
      </w:r>
      <w:r>
        <w:instrText xml:space="preserve"> PAGEREF _Toc135214429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67DI.</w:t>
      </w:r>
      <w:r>
        <w:tab/>
        <w:t>Use of Berth 1 otherwise than under Berth 1 permit</w:t>
      </w:r>
      <w:r>
        <w:tab/>
      </w:r>
      <w:r>
        <w:fldChar w:fldCharType="begin"/>
      </w:r>
      <w:r>
        <w:instrText xml:space="preserve"> PAGEREF _Toc135214430 \h </w:instrText>
      </w:r>
      <w:r>
        <w:fldChar w:fldCharType="separate"/>
      </w:r>
      <w:r>
        <w:t>40</w:t>
      </w:r>
      <w:r>
        <w:fldChar w:fldCharType="end"/>
      </w:r>
    </w:p>
    <w:p>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_Toc135214431 \h </w:instrText>
      </w:r>
      <w:r>
        <w:fldChar w:fldCharType="separate"/>
      </w:r>
      <w:r>
        <w:t>41</w:t>
      </w:r>
      <w:r>
        <w:fldChar w:fldCharType="end"/>
      </w:r>
    </w:p>
    <w:p>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_Toc135214432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_Toc135214435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_Toc135214437 \h </w:instrText>
      </w:r>
      <w:r>
        <w:fldChar w:fldCharType="separate"/>
      </w:r>
      <w:r>
        <w:t>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_Toc135214438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_Toc135214439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_Toc135214441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_Toc135214442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_Toc135214443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_Toc135214444 \h </w:instrText>
      </w:r>
      <w:r>
        <w:fldChar w:fldCharType="separate"/>
      </w:r>
      <w:r>
        <w:t>47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_Toc135214445 \h </w:instrText>
      </w:r>
      <w:r>
        <w:fldChar w:fldCharType="separate"/>
      </w:r>
      <w:r>
        <w:t>47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_Toc135214446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_Toc135214447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_Toc135214448 \h </w:instrText>
      </w:r>
      <w:r>
        <w:fldChar w:fldCharType="separate"/>
      </w:r>
      <w:r>
        <w:t>48</w:t>
      </w:r>
      <w:r>
        <w:fldChar w:fldCharType="end"/>
      </w:r>
    </w:p>
    <w:p>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_Toc135214449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_Toc135214451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_Toc135214452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_Toc135214453 \h </w:instrText>
      </w:r>
      <w:r>
        <w:fldChar w:fldCharType="separate"/>
      </w:r>
      <w:r>
        <w:t>50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_Toc135214454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_Toc135214455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_Toc135214457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_Toc135214459 \h </w:instrText>
      </w:r>
      <w:r>
        <w:fldChar w:fldCharType="separate"/>
      </w:r>
      <w:r>
        <w:t>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_Toc135214460 \h </w:instrText>
      </w:r>
      <w:r>
        <w:fldChar w:fldCharType="separate"/>
      </w:r>
      <w:r>
        <w:t>51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_Toc135214461 \h </w:instrText>
      </w:r>
      <w:r>
        <w:fldChar w:fldCharType="separate"/>
      </w:r>
      <w:r>
        <w:t>51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_Toc135214462 \h </w:instrText>
      </w:r>
      <w:r>
        <w:fldChar w:fldCharType="separate"/>
      </w:r>
      <w:r>
        <w:t>52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_Toc135214463 \h </w:instrText>
      </w:r>
      <w:r>
        <w:fldChar w:fldCharType="separate"/>
      </w:r>
      <w:r>
        <w:t>52</w:t>
      </w:r>
      <w:r>
        <w:fldChar w:fldCharType="end"/>
      </w:r>
    </w:p>
    <w:p>
      <w:pPr>
        <w:pStyle w:val="TOC8"/>
        <w:rPr>
          <w:rFonts w:asciiTheme="minorHAnsi" w:eastAsiaTheme="minorEastAsia" w:hAnsiTheme="minorHAnsi" w:cstheme="minorBidi"/>
          <w:szCs w:val="22"/>
        </w:rPr>
      </w:pPr>
      <w:r>
        <w:lastRenderedPageBreak/>
        <w:t>91</w:t>
      </w:r>
      <w:r>
        <w:rPr>
          <w:snapToGrid w:val="0"/>
        </w:rPr>
        <w:t>.</w:t>
      </w:r>
      <w:r>
        <w:rPr>
          <w:snapToGrid w:val="0"/>
        </w:rPr>
        <w:tab/>
        <w:t>Interference with jetties or approaches</w:t>
      </w:r>
      <w:r>
        <w:tab/>
      </w:r>
      <w:r>
        <w:fldChar w:fldCharType="begin"/>
      </w:r>
      <w:r>
        <w:instrText xml:space="preserve"> PAGEREF _Toc135214464 \h </w:instrText>
      </w:r>
      <w:r>
        <w:fldChar w:fldCharType="separate"/>
      </w:r>
      <w:r>
        <w:t>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_Toc135214465 \h </w:instrText>
      </w:r>
      <w:r>
        <w:fldChar w:fldCharType="separate"/>
      </w:r>
      <w:r>
        <w:t>52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_Toc135214466 \h </w:instrText>
      </w:r>
      <w:r>
        <w:fldChar w:fldCharType="separate"/>
      </w:r>
      <w:r>
        <w:t>52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_Toc135214467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_Toc135214470 \h </w:instrText>
      </w:r>
      <w:r>
        <w:fldChar w:fldCharType="separate"/>
      </w:r>
      <w:r>
        <w:t>54</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_Toc135214471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_Toc135214472 \h </w:instrText>
      </w:r>
      <w:r>
        <w:fldChar w:fldCharType="separate"/>
      </w:r>
      <w:r>
        <w:t>54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_Toc135214473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_Toc135214474 \h </w:instrText>
      </w:r>
      <w:r>
        <w:fldChar w:fldCharType="separate"/>
      </w:r>
      <w:r>
        <w:t>55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_Toc135214475 \h </w:instrText>
      </w:r>
      <w:r>
        <w:fldChar w:fldCharType="separate"/>
      </w:r>
      <w:r>
        <w:t>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_Toc135214476 \h </w:instrText>
      </w:r>
      <w:r>
        <w:fldChar w:fldCharType="separate"/>
      </w:r>
      <w:r>
        <w:t>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_Toc135214477 \h </w:instrText>
      </w:r>
      <w:r>
        <w:fldChar w:fldCharType="separate"/>
      </w:r>
      <w:r>
        <w:t>56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_Toc135214478 \h </w:instrText>
      </w:r>
      <w:r>
        <w:fldChar w:fldCharType="separate"/>
      </w:r>
      <w:r>
        <w:t>56</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_Toc135214479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_Toc135214481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Licence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105J.</w:t>
      </w:r>
      <w:r>
        <w:tab/>
        <w:t>Terms used</w:t>
      </w:r>
      <w:r>
        <w:tab/>
      </w:r>
      <w:r>
        <w:fldChar w:fldCharType="begin"/>
      </w:r>
      <w:r>
        <w:instrText xml:space="preserve"> PAGEREF _Toc135214484 \h </w:instrText>
      </w:r>
      <w:r>
        <w:fldChar w:fldCharType="separate"/>
      </w:r>
      <w:r>
        <w:t>58</w:t>
      </w:r>
      <w:r>
        <w:fldChar w:fldCharType="end"/>
      </w:r>
    </w:p>
    <w:p>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_Toc135214485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Prescribed licence fees</w:t>
      </w:r>
    </w:p>
    <w:p>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_Toc135214487 \h </w:instrText>
      </w:r>
      <w:r>
        <w:fldChar w:fldCharType="separate"/>
      </w:r>
      <w:r>
        <w:t>61</w:t>
      </w:r>
      <w:r>
        <w:fldChar w:fldCharType="end"/>
      </w:r>
    </w:p>
    <w:p>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_Toc135214488 \h </w:instrText>
      </w:r>
      <w:r>
        <w:fldChar w:fldCharType="separate"/>
      </w:r>
      <w:r>
        <w:t>62</w:t>
      </w:r>
      <w:r>
        <w:fldChar w:fldCharType="end"/>
      </w:r>
    </w:p>
    <w:p>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_Toc135214489 \h </w:instrText>
      </w:r>
      <w:r>
        <w:fldChar w:fldCharType="separate"/>
      </w:r>
      <w:r>
        <w:t>62</w:t>
      </w:r>
      <w:r>
        <w:fldChar w:fldCharType="end"/>
      </w:r>
    </w:p>
    <w:p>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_Toc135214490 \h </w:instrText>
      </w:r>
      <w:r>
        <w:fldChar w:fldCharType="separate"/>
      </w:r>
      <w:r>
        <w:t>64</w:t>
      </w:r>
      <w:r>
        <w:fldChar w:fldCharType="end"/>
      </w:r>
    </w:p>
    <w:p>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_Toc135214491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_Toc135214493 \h </w:instrText>
      </w:r>
      <w:r>
        <w:fldChar w:fldCharType="separate"/>
      </w:r>
      <w:r>
        <w:t>65</w:t>
      </w:r>
      <w:r>
        <w:fldChar w:fldCharType="end"/>
      </w:r>
    </w:p>
    <w:p>
      <w:pPr>
        <w:pStyle w:val="TOC8"/>
        <w:rPr>
          <w:rFonts w:asciiTheme="minorHAnsi" w:eastAsiaTheme="minorEastAsia" w:hAnsiTheme="minorHAnsi" w:cstheme="minorBidi"/>
          <w:szCs w:val="22"/>
        </w:rPr>
      </w:pPr>
      <w:r>
        <w:lastRenderedPageBreak/>
        <w:t>107</w:t>
      </w:r>
      <w:r>
        <w:rPr>
          <w:snapToGrid w:val="0"/>
        </w:rPr>
        <w:t>.</w:t>
      </w:r>
      <w:r>
        <w:rPr>
          <w:snapToGrid w:val="0"/>
        </w:rPr>
        <w:tab/>
        <w:t>Recovery of expenses incurred by breaches of regulations</w:t>
      </w:r>
      <w:r>
        <w:tab/>
      </w:r>
      <w:r>
        <w:fldChar w:fldCharType="begin"/>
      </w:r>
      <w:r>
        <w:instrText xml:space="preserve"> PAGEREF _Toc135214494 \h </w:instrText>
      </w:r>
      <w:r>
        <w:fldChar w:fldCharType="separate"/>
      </w:r>
      <w:r>
        <w:t>65</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_Toc135214495 \h </w:instrText>
      </w:r>
      <w:r>
        <w:fldChar w:fldCharType="separate"/>
      </w:r>
      <w:r>
        <w:t>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_Toc135214496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5 — Waiver and refund of fees</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_Toc135214498 \h </w:instrText>
      </w:r>
      <w:r>
        <w:fldChar w:fldCharType="separate"/>
      </w:r>
      <w:r>
        <w:t>67</w:t>
      </w:r>
      <w:r>
        <w:fldChar w:fldCharType="end"/>
      </w:r>
    </w:p>
    <w:p>
      <w:pPr>
        <w:pStyle w:val="TOC8"/>
        <w:rPr>
          <w:rFonts w:asciiTheme="minorHAnsi" w:eastAsiaTheme="minorEastAsia" w:hAnsiTheme="minorHAnsi" w:cstheme="minorBidi"/>
          <w:szCs w:val="22"/>
        </w:rPr>
      </w:pPr>
      <w:r>
        <w:t>110.</w:t>
      </w:r>
      <w:r>
        <w:tab/>
        <w:t>Authorised fee officers</w:t>
      </w:r>
      <w:r>
        <w:tab/>
      </w:r>
      <w:r>
        <w:fldChar w:fldCharType="begin"/>
      </w:r>
      <w:r>
        <w:instrText xml:space="preserve"> PAGEREF _Toc135214499 \h </w:instrText>
      </w:r>
      <w:r>
        <w:fldChar w:fldCharType="separate"/>
      </w:r>
      <w:r>
        <w:t>67</w:t>
      </w:r>
      <w:r>
        <w:fldChar w:fldCharType="end"/>
      </w:r>
    </w:p>
    <w:p>
      <w:pPr>
        <w:pStyle w:val="TOC8"/>
        <w:rPr>
          <w:rFonts w:asciiTheme="minorHAnsi" w:eastAsiaTheme="minorEastAsia" w:hAnsiTheme="minorHAnsi" w:cstheme="minorBidi"/>
          <w:szCs w:val="22"/>
        </w:rPr>
      </w:pPr>
      <w:r>
        <w:t>111.</w:t>
      </w:r>
      <w:r>
        <w:tab/>
        <w:t>Waiver of fees</w:t>
      </w:r>
      <w:r>
        <w:tab/>
      </w:r>
      <w:r>
        <w:fldChar w:fldCharType="begin"/>
      </w:r>
      <w:r>
        <w:instrText xml:space="preserve"> PAGEREF _Toc135214500 \h </w:instrText>
      </w:r>
      <w:r>
        <w:fldChar w:fldCharType="separate"/>
      </w:r>
      <w:r>
        <w:t>68</w:t>
      </w:r>
      <w:r>
        <w:fldChar w:fldCharType="end"/>
      </w:r>
    </w:p>
    <w:p>
      <w:pPr>
        <w:pStyle w:val="TOC8"/>
        <w:rPr>
          <w:rFonts w:asciiTheme="minorHAnsi" w:eastAsiaTheme="minorEastAsia" w:hAnsiTheme="minorHAnsi" w:cstheme="minorBidi"/>
          <w:szCs w:val="22"/>
        </w:rPr>
      </w:pPr>
      <w:r>
        <w:t>112.</w:t>
      </w:r>
      <w:r>
        <w:tab/>
        <w:t>Details of waivers to be accessible on website</w:t>
      </w:r>
      <w:r>
        <w:tab/>
      </w:r>
      <w:r>
        <w:fldChar w:fldCharType="begin"/>
      </w:r>
      <w:r>
        <w:instrText xml:space="preserve"> PAGEREF _Toc135214501 \h </w:instrText>
      </w:r>
      <w:r>
        <w:fldChar w:fldCharType="separate"/>
      </w:r>
      <w:r>
        <w:t>68</w:t>
      </w:r>
      <w:r>
        <w:fldChar w:fldCharType="end"/>
      </w:r>
    </w:p>
    <w:p>
      <w:pPr>
        <w:pStyle w:val="TOC8"/>
        <w:rPr>
          <w:rFonts w:asciiTheme="minorHAnsi" w:eastAsiaTheme="minorEastAsia" w:hAnsiTheme="minorHAnsi" w:cstheme="minorBidi"/>
          <w:szCs w:val="22"/>
        </w:rPr>
      </w:pPr>
      <w:r>
        <w:t>113.</w:t>
      </w:r>
      <w:r>
        <w:tab/>
        <w:t>Emergency waivers</w:t>
      </w:r>
      <w:r>
        <w:tab/>
      </w:r>
      <w:r>
        <w:fldChar w:fldCharType="begin"/>
      </w:r>
      <w:r>
        <w:instrText xml:space="preserve"> PAGEREF _Toc135214502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waiver</w:t>
      </w:r>
      <w:r>
        <w:tab/>
      </w:r>
      <w:r>
        <w:fldChar w:fldCharType="begin"/>
      </w:r>
      <w:r>
        <w:instrText xml:space="preserve"> PAGEREF _Toc135214503 \h </w:instrText>
      </w:r>
      <w:r>
        <w:fldChar w:fldCharType="separate"/>
      </w:r>
      <w:r>
        <w:t>69</w:t>
      </w:r>
      <w:r>
        <w:fldChar w:fldCharType="end"/>
      </w:r>
    </w:p>
    <w:p>
      <w:pPr>
        <w:pStyle w:val="TOC8"/>
        <w:rPr>
          <w:rFonts w:asciiTheme="minorHAnsi" w:eastAsiaTheme="minorEastAsia" w:hAnsiTheme="minorHAnsi" w:cstheme="minorBidi"/>
          <w:szCs w:val="22"/>
        </w:rPr>
      </w:pPr>
      <w:r>
        <w:t>115.</w:t>
      </w:r>
      <w:r>
        <w:tab/>
        <w:t>Refund of fees</w:t>
      </w:r>
      <w:r>
        <w:tab/>
      </w:r>
      <w:r>
        <w:fldChar w:fldCharType="begin"/>
      </w:r>
      <w:r>
        <w:instrText xml:space="preserve"> PAGEREF _Toc135214504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_Toc135214507 \h </w:instrText>
      </w:r>
      <w:r>
        <w:fldChar w:fldCharType="separate"/>
      </w:r>
      <w:r>
        <w:t>71</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_Toc135214508 \h </w:instrText>
      </w:r>
      <w:r>
        <w:fldChar w:fldCharType="separate"/>
      </w:r>
      <w:r>
        <w:t>71</w:t>
      </w:r>
      <w:r>
        <w:fldChar w:fldCharType="end"/>
      </w:r>
    </w:p>
    <w:p>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_Toc135214509 \h </w:instrText>
      </w:r>
      <w:r>
        <w:fldChar w:fldCharType="separate"/>
      </w:r>
      <w:r>
        <w:t>72</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_Toc135214510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Dues and charges for specified places</w:t>
      </w:r>
    </w:p>
    <w:p>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_Toc135214512 \h </w:instrText>
      </w:r>
      <w:r>
        <w:fldChar w:fldCharType="separate"/>
      </w:r>
      <w:r>
        <w:t>73</w:t>
      </w:r>
      <w:r>
        <w:fldChar w:fldCharType="end"/>
      </w:r>
    </w:p>
    <w:p>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_Toc135214513 \h </w:instrText>
      </w:r>
      <w:r>
        <w:fldChar w:fldCharType="separate"/>
      </w:r>
      <w:r>
        <w:t>73</w:t>
      </w:r>
      <w:r>
        <w:fldChar w:fldCharType="end"/>
      </w:r>
    </w:p>
    <w:p>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_Toc135214514 \h </w:instrText>
      </w:r>
      <w:r>
        <w:fldChar w:fldCharType="separate"/>
      </w:r>
      <w:r>
        <w:t>74</w:t>
      </w:r>
      <w:r>
        <w:fldChar w:fldCharType="end"/>
      </w:r>
    </w:p>
    <w:p>
      <w:pPr>
        <w:pStyle w:val="TOC8"/>
        <w:rPr>
          <w:rFonts w:asciiTheme="minorHAnsi" w:eastAsiaTheme="minorEastAsia" w:hAnsiTheme="minorHAnsi" w:cstheme="minorBidi"/>
          <w:szCs w:val="22"/>
        </w:rPr>
      </w:pPr>
      <w:r>
        <w:t>8.</w:t>
      </w:r>
      <w:r>
        <w:tab/>
        <w:t>Bremer Bay</w:t>
      </w:r>
      <w:r>
        <w:tab/>
      </w:r>
      <w:r>
        <w:fldChar w:fldCharType="begin"/>
      </w:r>
      <w:r>
        <w:instrText xml:space="preserve"> PAGEREF _Toc135214515 \h </w:instrText>
      </w:r>
      <w:r>
        <w:fldChar w:fldCharType="separate"/>
      </w:r>
      <w:r>
        <w:t>75</w:t>
      </w:r>
      <w:r>
        <w:fldChar w:fldCharType="end"/>
      </w:r>
    </w:p>
    <w:p>
      <w:pPr>
        <w:pStyle w:val="TOC8"/>
        <w:rPr>
          <w:rFonts w:asciiTheme="minorHAnsi" w:eastAsiaTheme="minorEastAsia" w:hAnsiTheme="minorHAnsi" w:cstheme="minorBidi"/>
          <w:szCs w:val="22"/>
        </w:rPr>
      </w:pPr>
      <w:r>
        <w:t>9.</w:t>
      </w:r>
      <w:r>
        <w:tab/>
        <w:t>Bunbury, Casuarina Boat Harbour</w:t>
      </w:r>
      <w:r>
        <w:tab/>
      </w:r>
      <w:r>
        <w:fldChar w:fldCharType="begin"/>
      </w:r>
      <w:r>
        <w:instrText xml:space="preserve"> PAGEREF _Toc135214516 \h </w:instrText>
      </w:r>
      <w:r>
        <w:fldChar w:fldCharType="separate"/>
      </w:r>
      <w:r>
        <w:t>75</w:t>
      </w:r>
      <w:r>
        <w:fldChar w:fldCharType="end"/>
      </w:r>
    </w:p>
    <w:p>
      <w:pPr>
        <w:pStyle w:val="TOC8"/>
        <w:rPr>
          <w:rFonts w:asciiTheme="minorHAnsi" w:eastAsiaTheme="minorEastAsia" w:hAnsiTheme="minorHAnsi" w:cstheme="minorBidi"/>
          <w:szCs w:val="22"/>
        </w:rPr>
      </w:pPr>
      <w:r>
        <w:t>10.</w:t>
      </w:r>
      <w:r>
        <w:tab/>
        <w:t>Burswood Jetty</w:t>
      </w:r>
      <w:r>
        <w:tab/>
      </w:r>
      <w:r>
        <w:fldChar w:fldCharType="begin"/>
      </w:r>
      <w:r>
        <w:instrText xml:space="preserve"> PAGEREF _Toc135214517 \h </w:instrText>
      </w:r>
      <w:r>
        <w:fldChar w:fldCharType="separate"/>
      </w:r>
      <w:r>
        <w:t>76</w:t>
      </w:r>
      <w:r>
        <w:fldChar w:fldCharType="end"/>
      </w:r>
    </w:p>
    <w:p>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_Toc135214518 \h </w:instrText>
      </w:r>
      <w:r>
        <w:fldChar w:fldCharType="separate"/>
      </w:r>
      <w:r>
        <w:t>77</w:t>
      </w:r>
      <w:r>
        <w:fldChar w:fldCharType="end"/>
      </w:r>
    </w:p>
    <w:p>
      <w:pPr>
        <w:pStyle w:val="TOC8"/>
        <w:rPr>
          <w:rFonts w:asciiTheme="minorHAnsi" w:eastAsiaTheme="minorEastAsia" w:hAnsiTheme="minorHAnsi" w:cstheme="minorBidi"/>
          <w:szCs w:val="22"/>
        </w:rPr>
      </w:pPr>
      <w:r>
        <w:t>12.</w:t>
      </w:r>
      <w:r>
        <w:tab/>
        <w:t>Cervantes</w:t>
      </w:r>
      <w:r>
        <w:tab/>
      </w:r>
      <w:r>
        <w:fldChar w:fldCharType="begin"/>
      </w:r>
      <w:r>
        <w:instrText xml:space="preserve"> PAGEREF _Toc135214519 \h </w:instrText>
      </w:r>
      <w:r>
        <w:fldChar w:fldCharType="separate"/>
      </w:r>
      <w:r>
        <w:t>78</w:t>
      </w:r>
      <w:r>
        <w:fldChar w:fldCharType="end"/>
      </w:r>
    </w:p>
    <w:p>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_Toc135214520 \h </w:instrText>
      </w:r>
      <w:r>
        <w:fldChar w:fldCharType="separate"/>
      </w:r>
      <w:r>
        <w:t>79</w:t>
      </w:r>
      <w:r>
        <w:fldChar w:fldCharType="end"/>
      </w:r>
    </w:p>
    <w:p>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_Toc135214521 \h </w:instrText>
      </w:r>
      <w:r>
        <w:fldChar w:fldCharType="separate"/>
      </w:r>
      <w:r>
        <w:t>79</w:t>
      </w:r>
      <w:r>
        <w:fldChar w:fldCharType="end"/>
      </w:r>
    </w:p>
    <w:p>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_Toc135214522 \h </w:instrText>
      </w:r>
      <w:r>
        <w:fldChar w:fldCharType="separate"/>
      </w:r>
      <w:r>
        <w:t>80</w:t>
      </w:r>
      <w:r>
        <w:fldChar w:fldCharType="end"/>
      </w:r>
    </w:p>
    <w:p>
      <w:pPr>
        <w:pStyle w:val="TOC8"/>
        <w:rPr>
          <w:rFonts w:asciiTheme="minorHAnsi" w:eastAsiaTheme="minorEastAsia" w:hAnsiTheme="minorHAnsi" w:cstheme="minorBidi"/>
          <w:szCs w:val="22"/>
        </w:rPr>
      </w:pPr>
      <w:r>
        <w:t>16.</w:t>
      </w:r>
      <w:r>
        <w:tab/>
        <w:t>Exmouth</w:t>
      </w:r>
      <w:r>
        <w:tab/>
      </w:r>
      <w:r>
        <w:fldChar w:fldCharType="begin"/>
      </w:r>
      <w:r>
        <w:instrText xml:space="preserve"> PAGEREF _Toc135214523 \h </w:instrText>
      </w:r>
      <w:r>
        <w:fldChar w:fldCharType="separate"/>
      </w:r>
      <w:r>
        <w:t>81</w:t>
      </w:r>
      <w:r>
        <w:fldChar w:fldCharType="end"/>
      </w:r>
    </w:p>
    <w:p>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_Toc135214524 \h </w:instrText>
      </w:r>
      <w:r>
        <w:fldChar w:fldCharType="separate"/>
      </w:r>
      <w:r>
        <w:t>83</w:t>
      </w:r>
      <w:r>
        <w:fldChar w:fldCharType="end"/>
      </w:r>
    </w:p>
    <w:p>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_Toc135214525 \h </w:instrText>
      </w:r>
      <w:r>
        <w:fldChar w:fldCharType="separate"/>
      </w:r>
      <w:r>
        <w:t>84</w:t>
      </w:r>
      <w:r>
        <w:fldChar w:fldCharType="end"/>
      </w:r>
    </w:p>
    <w:p>
      <w:pPr>
        <w:pStyle w:val="TOC8"/>
        <w:rPr>
          <w:rFonts w:asciiTheme="minorHAnsi" w:eastAsiaTheme="minorEastAsia" w:hAnsiTheme="minorHAnsi" w:cstheme="minorBidi"/>
          <w:szCs w:val="22"/>
        </w:rPr>
      </w:pPr>
      <w:r>
        <w:t>19.</w:t>
      </w:r>
      <w:r>
        <w:tab/>
        <w:t>Green Head</w:t>
      </w:r>
      <w:r>
        <w:tab/>
      </w:r>
      <w:r>
        <w:fldChar w:fldCharType="begin"/>
      </w:r>
      <w:r>
        <w:instrText xml:space="preserve"> PAGEREF _Toc135214526 \h </w:instrText>
      </w:r>
      <w:r>
        <w:fldChar w:fldCharType="separate"/>
      </w:r>
      <w:r>
        <w:t>85</w:t>
      </w:r>
      <w:r>
        <w:fldChar w:fldCharType="end"/>
      </w:r>
    </w:p>
    <w:p>
      <w:pPr>
        <w:pStyle w:val="TOC8"/>
        <w:rPr>
          <w:rFonts w:asciiTheme="minorHAnsi" w:eastAsiaTheme="minorEastAsia" w:hAnsiTheme="minorHAnsi" w:cstheme="minorBidi"/>
          <w:szCs w:val="22"/>
        </w:rPr>
      </w:pPr>
      <w:r>
        <w:t>20.</w:t>
      </w:r>
      <w:r>
        <w:tab/>
        <w:t>Hopetoun</w:t>
      </w:r>
      <w:r>
        <w:tab/>
      </w:r>
      <w:r>
        <w:fldChar w:fldCharType="begin"/>
      </w:r>
      <w:r>
        <w:instrText xml:space="preserve"> PAGEREF _Toc135214527 \h </w:instrText>
      </w:r>
      <w:r>
        <w:fldChar w:fldCharType="separate"/>
      </w:r>
      <w:r>
        <w:t>85</w:t>
      </w:r>
      <w:r>
        <w:fldChar w:fldCharType="end"/>
      </w:r>
    </w:p>
    <w:p>
      <w:pPr>
        <w:pStyle w:val="TOC8"/>
        <w:rPr>
          <w:rFonts w:asciiTheme="minorHAnsi" w:eastAsiaTheme="minorEastAsia" w:hAnsiTheme="minorHAnsi" w:cstheme="minorBidi"/>
          <w:szCs w:val="22"/>
        </w:rPr>
      </w:pPr>
      <w:r>
        <w:lastRenderedPageBreak/>
        <w:t>21.</w:t>
      </w:r>
      <w:r>
        <w:tab/>
        <w:t>Jurien Boat Harbour</w:t>
      </w:r>
      <w:r>
        <w:tab/>
      </w:r>
      <w:r>
        <w:fldChar w:fldCharType="begin"/>
      </w:r>
      <w:r>
        <w:instrText xml:space="preserve"> PAGEREF _Toc135214528 \h </w:instrText>
      </w:r>
      <w:r>
        <w:fldChar w:fldCharType="separate"/>
      </w:r>
      <w:r>
        <w:t>86</w:t>
      </w:r>
      <w:r>
        <w:fldChar w:fldCharType="end"/>
      </w:r>
    </w:p>
    <w:p>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_Toc135214529 \h </w:instrText>
      </w:r>
      <w:r>
        <w:fldChar w:fldCharType="separate"/>
      </w:r>
      <w:r>
        <w:t>87</w:t>
      </w:r>
      <w:r>
        <w:fldChar w:fldCharType="end"/>
      </w:r>
    </w:p>
    <w:p>
      <w:pPr>
        <w:pStyle w:val="TOC8"/>
        <w:rPr>
          <w:rFonts w:asciiTheme="minorHAnsi" w:eastAsiaTheme="minorEastAsia" w:hAnsiTheme="minorHAnsi" w:cstheme="minorBidi"/>
          <w:szCs w:val="22"/>
        </w:rPr>
      </w:pPr>
      <w:r>
        <w:t>23.</w:t>
      </w:r>
      <w:r>
        <w:tab/>
        <w:t>Lancelin</w:t>
      </w:r>
      <w:r>
        <w:tab/>
      </w:r>
      <w:r>
        <w:fldChar w:fldCharType="begin"/>
      </w:r>
      <w:r>
        <w:instrText xml:space="preserve"> PAGEREF _Toc135214530 \h </w:instrText>
      </w:r>
      <w:r>
        <w:fldChar w:fldCharType="separate"/>
      </w:r>
      <w:r>
        <w:t>87</w:t>
      </w:r>
      <w:r>
        <w:fldChar w:fldCharType="end"/>
      </w:r>
    </w:p>
    <w:p>
      <w:pPr>
        <w:pStyle w:val="TOC8"/>
        <w:rPr>
          <w:rFonts w:asciiTheme="minorHAnsi" w:eastAsiaTheme="minorEastAsia" w:hAnsiTheme="minorHAnsi" w:cstheme="minorBidi"/>
          <w:szCs w:val="22"/>
        </w:rPr>
      </w:pPr>
      <w:r>
        <w:t>24.</w:t>
      </w:r>
      <w:r>
        <w:tab/>
        <w:t>Leeman</w:t>
      </w:r>
      <w:r>
        <w:tab/>
      </w:r>
      <w:r>
        <w:fldChar w:fldCharType="begin"/>
      </w:r>
      <w:r>
        <w:instrText xml:space="preserve"> PAGEREF _Toc135214531 \h </w:instrText>
      </w:r>
      <w:r>
        <w:fldChar w:fldCharType="separate"/>
      </w:r>
      <w:r>
        <w:t>88</w:t>
      </w:r>
      <w:r>
        <w:fldChar w:fldCharType="end"/>
      </w:r>
    </w:p>
    <w:p>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_Toc135214532 \h </w:instrText>
      </w:r>
      <w:r>
        <w:fldChar w:fldCharType="separate"/>
      </w:r>
      <w:r>
        <w:t>88</w:t>
      </w:r>
      <w:r>
        <w:fldChar w:fldCharType="end"/>
      </w:r>
    </w:p>
    <w:p>
      <w:pPr>
        <w:pStyle w:val="TOC8"/>
        <w:rPr>
          <w:rFonts w:asciiTheme="minorHAnsi" w:eastAsiaTheme="minorEastAsia" w:hAnsiTheme="minorHAnsi" w:cstheme="minorBidi"/>
          <w:szCs w:val="22"/>
        </w:rPr>
      </w:pPr>
      <w:r>
        <w:t>26.</w:t>
      </w:r>
      <w:r>
        <w:tab/>
        <w:t>Point Samson, Johns Creek Boat Harbour</w:t>
      </w:r>
      <w:r>
        <w:tab/>
      </w:r>
      <w:r>
        <w:fldChar w:fldCharType="begin"/>
      </w:r>
      <w:r>
        <w:instrText xml:space="preserve"> PAGEREF _Toc135214533 \h </w:instrText>
      </w:r>
      <w:r>
        <w:fldChar w:fldCharType="separate"/>
      </w:r>
      <w:r>
        <w:t>90</w:t>
      </w:r>
      <w:r>
        <w:fldChar w:fldCharType="end"/>
      </w:r>
    </w:p>
    <w:p>
      <w:pPr>
        <w:pStyle w:val="TOC8"/>
        <w:rPr>
          <w:rFonts w:asciiTheme="minorHAnsi" w:eastAsiaTheme="minorEastAsia" w:hAnsiTheme="minorHAnsi" w:cstheme="minorBidi"/>
          <w:szCs w:val="22"/>
        </w:rPr>
      </w:pPr>
      <w:r>
        <w:t>27.</w:t>
      </w:r>
      <w:r>
        <w:tab/>
        <w:t>Port Denison</w:t>
      </w:r>
      <w:r>
        <w:tab/>
      </w:r>
      <w:r>
        <w:fldChar w:fldCharType="begin"/>
      </w:r>
      <w:r>
        <w:instrText xml:space="preserve"> PAGEREF _Toc135214534 \h </w:instrText>
      </w:r>
      <w:r>
        <w:fldChar w:fldCharType="separate"/>
      </w:r>
      <w:r>
        <w:t>91</w:t>
      </w:r>
      <w:r>
        <w:fldChar w:fldCharType="end"/>
      </w:r>
    </w:p>
    <w:p>
      <w:pPr>
        <w:pStyle w:val="TOC8"/>
        <w:rPr>
          <w:rFonts w:asciiTheme="minorHAnsi" w:eastAsiaTheme="minorEastAsia" w:hAnsiTheme="minorHAnsi" w:cstheme="minorBidi"/>
          <w:szCs w:val="22"/>
        </w:rPr>
      </w:pPr>
      <w:r>
        <w:t>28.</w:t>
      </w:r>
      <w:r>
        <w:tab/>
        <w:t>Port Gregory</w:t>
      </w:r>
      <w:r>
        <w:tab/>
      </w:r>
      <w:r>
        <w:fldChar w:fldCharType="begin"/>
      </w:r>
      <w:r>
        <w:instrText xml:space="preserve"> PAGEREF _Toc135214535 \h </w:instrText>
      </w:r>
      <w:r>
        <w:fldChar w:fldCharType="separate"/>
      </w:r>
      <w:r>
        <w:t>92</w:t>
      </w:r>
      <w:r>
        <w:fldChar w:fldCharType="end"/>
      </w:r>
    </w:p>
    <w:p>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_Toc135214536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30.</w:t>
      </w:r>
      <w:r>
        <w:tab/>
        <w:t>Living on vessel</w:t>
      </w:r>
      <w:r>
        <w:tab/>
      </w:r>
      <w:r>
        <w:fldChar w:fldCharType="begin"/>
      </w:r>
      <w:r>
        <w:instrText xml:space="preserve"> PAGEREF _Toc135214538 \h </w:instrText>
      </w:r>
      <w:r>
        <w:fldChar w:fldCharType="separate"/>
      </w:r>
      <w:r>
        <w:t>94</w:t>
      </w:r>
      <w:r>
        <w:fldChar w:fldCharType="end"/>
      </w:r>
    </w:p>
    <w:p>
      <w:pPr>
        <w:pStyle w:val="TOC8"/>
        <w:rPr>
          <w:rFonts w:asciiTheme="minorHAnsi" w:eastAsiaTheme="minorEastAsia" w:hAnsiTheme="minorHAnsi" w:cstheme="minorBidi"/>
          <w:szCs w:val="22"/>
        </w:rPr>
      </w:pPr>
      <w:r>
        <w:t>31.</w:t>
      </w:r>
      <w:r>
        <w:tab/>
        <w:t>Electricity supply</w:t>
      </w:r>
      <w:r>
        <w:tab/>
      </w:r>
      <w:r>
        <w:fldChar w:fldCharType="begin"/>
      </w:r>
      <w:r>
        <w:instrText xml:space="preserve"> PAGEREF _Toc135214539 \h </w:instrText>
      </w:r>
      <w:r>
        <w:fldChar w:fldCharType="separate"/>
      </w:r>
      <w:r>
        <w:t>94</w:t>
      </w:r>
      <w:r>
        <w:fldChar w:fldCharType="end"/>
      </w:r>
    </w:p>
    <w:p>
      <w:pPr>
        <w:pStyle w:val="TOC8"/>
        <w:rPr>
          <w:rFonts w:asciiTheme="minorHAnsi" w:eastAsiaTheme="minorEastAsia" w:hAnsiTheme="minorHAnsi" w:cstheme="minorBidi"/>
          <w:szCs w:val="22"/>
        </w:rPr>
      </w:pPr>
      <w:r>
        <w:t>32.</w:t>
      </w:r>
      <w:r>
        <w:tab/>
        <w:t>Water supply</w:t>
      </w:r>
      <w:r>
        <w:tab/>
      </w:r>
      <w:r>
        <w:fldChar w:fldCharType="begin"/>
      </w:r>
      <w:r>
        <w:instrText xml:space="preserve"> PAGEREF _Toc135214540 \h </w:instrText>
      </w:r>
      <w:r>
        <w:fldChar w:fldCharType="separate"/>
      </w:r>
      <w:r>
        <w:t>94</w:t>
      </w:r>
      <w:r>
        <w:fldChar w:fldCharType="end"/>
      </w:r>
    </w:p>
    <w:p>
      <w:pPr>
        <w:pStyle w:val="TOC8"/>
        <w:rPr>
          <w:rFonts w:asciiTheme="minorHAnsi" w:eastAsiaTheme="minorEastAsia" w:hAnsiTheme="minorHAnsi" w:cstheme="minorBidi"/>
          <w:szCs w:val="22"/>
        </w:rPr>
      </w:pPr>
      <w:r>
        <w:t>33.</w:t>
      </w:r>
      <w:r>
        <w:tab/>
        <w:t>Rubbish removal</w:t>
      </w:r>
      <w:r>
        <w:tab/>
      </w:r>
      <w:r>
        <w:fldChar w:fldCharType="begin"/>
      </w:r>
      <w:r>
        <w:instrText xml:space="preserve"> PAGEREF _Toc135214541 \h </w:instrText>
      </w:r>
      <w:r>
        <w:fldChar w:fldCharType="separate"/>
      </w:r>
      <w:r>
        <w:t>95</w:t>
      </w:r>
      <w:r>
        <w:fldChar w:fldCharType="end"/>
      </w:r>
    </w:p>
    <w:p>
      <w:pPr>
        <w:pStyle w:val="TOC8"/>
        <w:rPr>
          <w:rFonts w:asciiTheme="minorHAnsi" w:eastAsiaTheme="minorEastAsia" w:hAnsiTheme="minorHAnsi" w:cstheme="minorBidi"/>
          <w:szCs w:val="22"/>
        </w:rPr>
      </w:pPr>
      <w:r>
        <w:t>34.</w:t>
      </w:r>
      <w:r>
        <w:tab/>
        <w:t>Passengers and cargo</w:t>
      </w:r>
      <w:r>
        <w:tab/>
      </w:r>
      <w:r>
        <w:fldChar w:fldCharType="begin"/>
      </w:r>
      <w:r>
        <w:instrText xml:space="preserve"> PAGEREF _Toc135214542 \h </w:instrText>
      </w:r>
      <w:r>
        <w:fldChar w:fldCharType="separate"/>
      </w:r>
      <w:r>
        <w:t>95</w:t>
      </w:r>
      <w:r>
        <w:fldChar w:fldCharType="end"/>
      </w:r>
    </w:p>
    <w:p>
      <w:pPr>
        <w:pStyle w:val="TOC8"/>
        <w:rPr>
          <w:rFonts w:asciiTheme="minorHAnsi" w:eastAsiaTheme="minorEastAsia" w:hAnsiTheme="minorHAnsi" w:cstheme="minorBidi"/>
          <w:szCs w:val="22"/>
        </w:rPr>
      </w:pPr>
      <w:r>
        <w:t>35.</w:t>
      </w:r>
      <w:r>
        <w:tab/>
        <w:t>Floating dinghy pens</w:t>
      </w:r>
      <w:r>
        <w:tab/>
      </w:r>
      <w:r>
        <w:fldChar w:fldCharType="begin"/>
      </w:r>
      <w:r>
        <w:instrText xml:space="preserve"> PAGEREF _Toc135214543 \h </w:instrText>
      </w:r>
      <w:r>
        <w:fldChar w:fldCharType="separate"/>
      </w:r>
      <w:r>
        <w:t>96</w:t>
      </w:r>
      <w:r>
        <w:fldChar w:fldCharType="end"/>
      </w:r>
    </w:p>
    <w:p>
      <w:pPr>
        <w:pStyle w:val="TOC8"/>
        <w:rPr>
          <w:rFonts w:asciiTheme="minorHAnsi" w:eastAsiaTheme="minorEastAsia" w:hAnsiTheme="minorHAnsi" w:cstheme="minorBidi"/>
          <w:szCs w:val="22"/>
        </w:rPr>
      </w:pPr>
      <w:r>
        <w:t>36.</w:t>
      </w:r>
      <w:r>
        <w:tab/>
        <w:t>Use of jetty hardstand or appurtenant area</w:t>
      </w:r>
      <w:r>
        <w:tab/>
      </w:r>
      <w:r>
        <w:fldChar w:fldCharType="begin"/>
      </w:r>
      <w:r>
        <w:instrText xml:space="preserve"> PAGEREF _Toc135214544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_Toc135214546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_Toc135214549 \h </w:instrText>
      </w:r>
      <w:r>
        <w:fldChar w:fldCharType="separate"/>
      </w:r>
      <w:r>
        <w:t>99</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_Toc135214550 \h </w:instrText>
      </w:r>
      <w:r>
        <w:fldChar w:fldCharType="separate"/>
      </w:r>
      <w:r>
        <w:t>99</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_Toc135214551 \h </w:instrText>
      </w:r>
      <w:r>
        <w:fldChar w:fldCharType="separate"/>
      </w:r>
      <w:r>
        <w:t>99</w:t>
      </w:r>
      <w:r>
        <w:fldChar w:fldCharType="end"/>
      </w:r>
    </w:p>
    <w:p>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_Toc135214552 \h </w:instrText>
      </w:r>
      <w:r>
        <w:fldChar w:fldCharType="separate"/>
      </w:r>
      <w:r>
        <w:t>100</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_Toc135214553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_Toc135214555 \h </w:instrText>
      </w:r>
      <w:r>
        <w:fldChar w:fldCharType="separate"/>
      </w:r>
      <w:r>
        <w:t>101</w:t>
      </w:r>
      <w:r>
        <w:fldChar w:fldCharType="end"/>
      </w:r>
    </w:p>
    <w:p>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_Toc135214556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Charges for other places</w:t>
      </w:r>
    </w:p>
    <w:p>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_Toc135214558 \h </w:instrText>
      </w:r>
      <w:r>
        <w:fldChar w:fldCharType="separate"/>
      </w:r>
      <w:r>
        <w:t>102</w:t>
      </w:r>
      <w:r>
        <w:fldChar w:fldCharType="end"/>
      </w:r>
    </w:p>
    <w:p>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_Toc135214559 \h </w:instrText>
      </w:r>
      <w:r>
        <w:fldChar w:fldCharType="separate"/>
      </w:r>
      <w:r>
        <w:t>103</w:t>
      </w:r>
      <w:r>
        <w:fldChar w:fldCharType="end"/>
      </w:r>
    </w:p>
    <w:p>
      <w:pPr>
        <w:pStyle w:val="TOC8"/>
        <w:rPr>
          <w:rFonts w:asciiTheme="minorHAnsi" w:eastAsiaTheme="minorEastAsia" w:hAnsiTheme="minorHAnsi" w:cstheme="minorBidi"/>
          <w:szCs w:val="22"/>
        </w:rPr>
      </w:pPr>
      <w:r>
        <w:t>10.</w:t>
      </w:r>
      <w:r>
        <w:tab/>
        <w:t>Jervoise Bay</w:t>
      </w:r>
      <w:r>
        <w:tab/>
      </w:r>
      <w:r>
        <w:fldChar w:fldCharType="begin"/>
      </w:r>
      <w:r>
        <w:instrText xml:space="preserve"> PAGEREF _Toc135214560 \h </w:instrText>
      </w:r>
      <w:r>
        <w:fldChar w:fldCharType="separate"/>
      </w:r>
      <w:r>
        <w:t>103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_Toc135214563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_Toc135214564 \h </w:instrText>
      </w:r>
      <w:r>
        <w:fldChar w:fldCharType="separate"/>
      </w:r>
      <w:r>
        <w:t>116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_Toc135214565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3" w:name="_Toc135136939"/>
      <w:bookmarkStart w:id="4" w:name="_Toc135137163"/>
      <w:bookmarkStart w:id="5" w:name="_Toc135214342"/>
      <w:r>
        <w:rPr>
          <w:rStyle w:val="CharPartNo"/>
        </w:rPr>
        <w:t>Part 1A</w:t>
      </w:r>
      <w:r>
        <w:rPr>
          <w:b w:val="0"/>
        </w:rPr>
        <w:t> </w:t>
      </w:r>
      <w:r>
        <w:t>—</w:t>
      </w:r>
      <w:r>
        <w:rPr>
          <w:b w:val="0"/>
        </w:rPr>
        <w:t> </w:t>
      </w:r>
      <w:r>
        <w:rPr>
          <w:rStyle w:val="CharPartText"/>
        </w:rPr>
        <w:t>Preliminary</w:t>
      </w:r>
      <w:bookmarkEnd w:id="3"/>
      <w:bookmarkEnd w:id="4"/>
      <w:bookmarkEnd w:id="5"/>
    </w:p>
    <w:p>
      <w:pPr>
        <w:pStyle w:val="Footnoteheading"/>
      </w:pPr>
      <w:r>
        <w:tab/>
        <w:t>[Heading inserted: Gazette 25 May 2018 p. 1669.]</w:t>
      </w:r>
    </w:p>
    <w:p>
      <w:pPr>
        <w:pStyle w:val="Heading5"/>
        <w:rPr>
          <w:snapToGrid w:val="0"/>
        </w:rPr>
      </w:pPr>
      <w:bookmarkStart w:id="6" w:name="_Toc135214343"/>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7" w:name="_Toc135214344"/>
      <w:r>
        <w:rPr>
          <w:rStyle w:val="CharSectno"/>
        </w:rPr>
        <w:t>2</w:t>
      </w:r>
      <w:r>
        <w:t>.</w:t>
      </w:r>
      <w:r>
        <w:tab/>
        <w:t>Liability for dues and charges</w:t>
      </w:r>
      <w:bookmarkEnd w:id="7"/>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pPr>
      <w:bookmarkStart w:id="8" w:name="_Toc135214345"/>
      <w:r>
        <w:rPr>
          <w:rStyle w:val="CharSectno"/>
        </w:rPr>
        <w:t>2A</w:t>
      </w:r>
      <w:r>
        <w:t>.</w:t>
      </w:r>
      <w:r>
        <w:tab/>
        <w:t>Partial waiver of due or charge if vessel allocated longer pen than necessary</w:t>
      </w:r>
      <w:bookmarkEnd w:id="8"/>
    </w:p>
    <w:p>
      <w:pPr>
        <w:pStyle w:val="Subsection"/>
      </w:pPr>
      <w:r>
        <w:tab/>
        <w:t>(1)</w:t>
      </w:r>
      <w:r>
        <w:tab/>
        <w:t xml:space="preserve">This regulation applies if — </w:t>
      </w:r>
    </w:p>
    <w:p>
      <w:pPr>
        <w:pStyle w:val="Indenta"/>
      </w:pPr>
      <w:r>
        <w:tab/>
        <w:t>(a)</w:t>
      </w:r>
      <w:r>
        <w:tab/>
        <w:t>a vessel is allocated a pen at a jetty that is longer than necessary for the vessel due to the unavailability of a suitable</w:t>
      </w:r>
      <w:r>
        <w:noBreakHyphen/>
        <w:t>sized pen for the vessel at the place where the vessel is berthed; and</w:t>
      </w:r>
    </w:p>
    <w:p>
      <w:pPr>
        <w:pStyle w:val="Indenta"/>
      </w:pPr>
      <w:r>
        <w:tab/>
        <w:t>(b)</w:t>
      </w:r>
      <w:r>
        <w:tab/>
        <w:t>a due or charge prescribed in Schedule 1 or 3 is charged by reference to the length of the pen allocated to the vessel.</w:t>
      </w:r>
    </w:p>
    <w:p>
      <w:pPr>
        <w:pStyle w:val="Subsection"/>
      </w:pPr>
      <w:r>
        <w:lastRenderedPageBreak/>
        <w:tab/>
        <w:t>(2)</w:t>
      </w:r>
      <w:r>
        <w:tab/>
        <w:t>If the officer in charge of the jetty considers it is appropriate in the circumstances, the officer may reduce the due or charge so that the due or charge payable is the due or charge that would have been payable if a suitable</w:t>
      </w:r>
      <w:r>
        <w:noBreakHyphen/>
        <w:t>sized pen were allocated to the vessel.</w:t>
      </w:r>
    </w:p>
    <w:p>
      <w:pPr>
        <w:pStyle w:val="Footnotesection"/>
      </w:pPr>
      <w:r>
        <w:tab/>
        <w:t>[Regulation 2A inserted: SL 2022/48 r. 4.]</w:t>
      </w:r>
    </w:p>
    <w:p>
      <w:pPr>
        <w:pStyle w:val="Heading5"/>
        <w:rPr>
          <w:snapToGrid w:val="0"/>
        </w:rPr>
      </w:pPr>
      <w:bookmarkStart w:id="9" w:name="_Toc135214346"/>
      <w:r>
        <w:rPr>
          <w:rStyle w:val="CharSectno"/>
        </w:rPr>
        <w:t>3</w:t>
      </w:r>
      <w:r>
        <w:rPr>
          <w:snapToGrid w:val="0"/>
        </w:rPr>
        <w:t>.</w:t>
      </w:r>
      <w:r>
        <w:rPr>
          <w:snapToGrid w:val="0"/>
        </w:rPr>
        <w:tab/>
        <w:t>Terms used</w:t>
      </w:r>
      <w:bookmarkEnd w:id="9"/>
      <w:r>
        <w:rPr>
          <w:snapToGrid w:val="0"/>
        </w:rPr>
        <w:t xml:space="preserve"> </w:t>
      </w:r>
    </w:p>
    <w:p>
      <w:pPr>
        <w:pStyle w:val="Subsection"/>
        <w:keepNext/>
        <w:rPr>
          <w:snapToGrid w:val="0"/>
        </w:rPr>
      </w:pPr>
      <w:r>
        <w:rPr>
          <w:snapToGrid w:val="0"/>
        </w:rPr>
        <w:tab/>
        <w:t>(1)</w:t>
      </w:r>
      <w:r>
        <w:rPr>
          <w:snapToGrid w:val="0"/>
        </w:rPr>
        <w:tab/>
        <w:t xml:space="preserve">In these regulations — </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any of the following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 xml:space="preserve">National Credit Code </w:t>
      </w:r>
      <w:r>
        <w:t xml:space="preserve">(Commonwealth) is a credit contract, or is </w:t>
      </w:r>
      <w:r>
        <w:lastRenderedPageBreak/>
        <w:t>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keepNext/>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keepNext/>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lastRenderedPageBreak/>
        <w:tab/>
        <w:t>(b)</w:t>
      </w:r>
      <w:r>
        <w:tab/>
        <w:t>the length of a vessel is its overall length rounded down to the nearest whole metre;</w:t>
      </w:r>
    </w:p>
    <w:p>
      <w:pPr>
        <w:pStyle w:val="Indenta"/>
      </w:pPr>
      <w:r>
        <w:tab/>
        <w:t>(c)</w:t>
      </w:r>
      <w:r>
        <w:tab/>
        <w:t>the length of a pen is the length of the pen as determined by the chief executive officer and set out on the Department’s website at the time the charge is calculated.</w:t>
      </w:r>
    </w:p>
    <w:p>
      <w:pPr>
        <w:pStyle w:val="Subsection"/>
        <w:keepNext/>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keepNext/>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SL 2022/48 r. 5.] </w:t>
      </w:r>
    </w:p>
    <w:p>
      <w:pPr>
        <w:pStyle w:val="Heading2"/>
      </w:pPr>
      <w:bookmarkStart w:id="10" w:name="_Toc135136944"/>
      <w:bookmarkStart w:id="11" w:name="_Toc135137168"/>
      <w:bookmarkStart w:id="12" w:name="_Toc135214347"/>
      <w:r>
        <w:rPr>
          <w:rStyle w:val="CharPartNo"/>
        </w:rPr>
        <w:lastRenderedPageBreak/>
        <w:t>Part 1</w:t>
      </w:r>
      <w:r>
        <w:t> — </w:t>
      </w:r>
      <w:r>
        <w:rPr>
          <w:rStyle w:val="CharPartText"/>
        </w:rPr>
        <w:t>Regulations applying to jetties controlled by the Department</w:t>
      </w:r>
      <w:bookmarkEnd w:id="10"/>
      <w:bookmarkEnd w:id="11"/>
      <w:bookmarkEnd w:id="12"/>
      <w:r>
        <w:rPr>
          <w:rStyle w:val="CharPartText"/>
        </w:rPr>
        <w:t xml:space="preserve"> </w:t>
      </w:r>
    </w:p>
    <w:p>
      <w:pPr>
        <w:pStyle w:val="Footnoteheading"/>
      </w:pPr>
      <w:r>
        <w:tab/>
        <w:t xml:space="preserve">[Heading inserted: Gazette 19 May 1989 p. 1494.] </w:t>
      </w:r>
    </w:p>
    <w:p>
      <w:pPr>
        <w:pStyle w:val="Heading3"/>
        <w:rPr>
          <w:snapToGrid w:val="0"/>
        </w:rPr>
      </w:pPr>
      <w:bookmarkStart w:id="13" w:name="_Toc135136945"/>
      <w:bookmarkStart w:id="14" w:name="_Toc135137169"/>
      <w:bookmarkStart w:id="15" w:name="_Toc135214348"/>
      <w:r>
        <w:rPr>
          <w:rStyle w:val="CharDivNo"/>
        </w:rPr>
        <w:t>Division 1</w:t>
      </w:r>
      <w:r>
        <w:rPr>
          <w:snapToGrid w:val="0"/>
        </w:rPr>
        <w:t> — </w:t>
      </w:r>
      <w:r>
        <w:rPr>
          <w:rStyle w:val="CharDivText"/>
        </w:rPr>
        <w:t>Application of this Part</w:t>
      </w:r>
      <w:bookmarkEnd w:id="13"/>
      <w:bookmarkEnd w:id="14"/>
      <w:bookmarkEnd w:id="15"/>
      <w:r>
        <w:rPr>
          <w:rStyle w:val="CharDivText"/>
        </w:rPr>
        <w:t xml:space="preserve"> </w:t>
      </w:r>
    </w:p>
    <w:p>
      <w:pPr>
        <w:pStyle w:val="Footnoteheading"/>
      </w:pPr>
      <w:r>
        <w:tab/>
        <w:t xml:space="preserve">[Heading inserted: Gazette 19 May 1989 p. 1494.] </w:t>
      </w:r>
    </w:p>
    <w:p>
      <w:pPr>
        <w:pStyle w:val="Heading5"/>
        <w:rPr>
          <w:snapToGrid w:val="0"/>
        </w:rPr>
      </w:pPr>
      <w:bookmarkStart w:id="16" w:name="_Toc135214349"/>
      <w:r>
        <w:rPr>
          <w:rStyle w:val="CharSectno"/>
        </w:rPr>
        <w:t>3A</w:t>
      </w:r>
      <w:r>
        <w:rPr>
          <w:snapToGrid w:val="0"/>
        </w:rPr>
        <w:t>.</w:t>
      </w:r>
      <w:r>
        <w:rPr>
          <w:snapToGrid w:val="0"/>
        </w:rPr>
        <w:tab/>
        <w:t>Application</w:t>
      </w:r>
      <w:bookmarkEnd w:id="1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7" w:name="_Toc135136947"/>
      <w:bookmarkStart w:id="18" w:name="_Toc135137171"/>
      <w:bookmarkStart w:id="19" w:name="_Toc135214350"/>
      <w:r>
        <w:rPr>
          <w:rStyle w:val="CharDivNo"/>
        </w:rPr>
        <w:t>Division 2</w:t>
      </w:r>
      <w:r>
        <w:rPr>
          <w:snapToGrid w:val="0"/>
        </w:rPr>
        <w:t> — </w:t>
      </w:r>
      <w:r>
        <w:rPr>
          <w:rStyle w:val="CharDivText"/>
        </w:rPr>
        <w:t>Arrival and movement of vessels</w:t>
      </w:r>
      <w:bookmarkEnd w:id="17"/>
      <w:bookmarkEnd w:id="18"/>
      <w:bookmarkEnd w:id="19"/>
      <w:r>
        <w:rPr>
          <w:rStyle w:val="CharDivText"/>
        </w:rPr>
        <w:t xml:space="preserve"> </w:t>
      </w:r>
    </w:p>
    <w:p>
      <w:pPr>
        <w:pStyle w:val="Footnoteheading"/>
      </w:pPr>
      <w:r>
        <w:tab/>
        <w:t xml:space="preserve">[Heading inserted: Gazette 19 May 1989 p. 1494.] </w:t>
      </w:r>
    </w:p>
    <w:p>
      <w:pPr>
        <w:pStyle w:val="Heading5"/>
        <w:rPr>
          <w:snapToGrid w:val="0"/>
        </w:rPr>
      </w:pPr>
      <w:bookmarkStart w:id="20" w:name="_Toc135214351"/>
      <w:r>
        <w:rPr>
          <w:rStyle w:val="CharSectno"/>
        </w:rPr>
        <w:t>4</w:t>
      </w:r>
      <w:r>
        <w:rPr>
          <w:snapToGrid w:val="0"/>
        </w:rPr>
        <w:t>.</w:t>
      </w:r>
      <w:r>
        <w:rPr>
          <w:snapToGrid w:val="0"/>
        </w:rPr>
        <w:tab/>
        <w:t>Master or agent to report arrival</w:t>
      </w:r>
      <w:bookmarkEnd w:id="20"/>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21" w:name="_Toc135214352"/>
      <w:r>
        <w:rPr>
          <w:rStyle w:val="CharSectno"/>
        </w:rPr>
        <w:t>5</w:t>
      </w:r>
      <w:r>
        <w:rPr>
          <w:snapToGrid w:val="0"/>
        </w:rPr>
        <w:t>.</w:t>
      </w:r>
      <w:r>
        <w:rPr>
          <w:snapToGrid w:val="0"/>
        </w:rPr>
        <w:tab/>
        <w:t>Vessels to change berths</w:t>
      </w:r>
      <w:bookmarkEnd w:id="21"/>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2" w:name="_Toc135136950"/>
      <w:bookmarkStart w:id="23" w:name="_Toc135137174"/>
      <w:bookmarkStart w:id="24" w:name="_Toc135214353"/>
      <w:r>
        <w:rPr>
          <w:rStyle w:val="CharDivNo"/>
        </w:rPr>
        <w:lastRenderedPageBreak/>
        <w:t>Division 3</w:t>
      </w:r>
      <w:r>
        <w:rPr>
          <w:snapToGrid w:val="0"/>
        </w:rPr>
        <w:t> — </w:t>
      </w:r>
      <w:r>
        <w:rPr>
          <w:rStyle w:val="CharDivText"/>
        </w:rPr>
        <w:t>Berthing dues</w:t>
      </w:r>
      <w:bookmarkEnd w:id="22"/>
      <w:bookmarkEnd w:id="23"/>
      <w:bookmarkEnd w:id="24"/>
      <w:r>
        <w:rPr>
          <w:rStyle w:val="CharDivText"/>
        </w:rPr>
        <w:t xml:space="preserve"> </w:t>
      </w:r>
    </w:p>
    <w:p>
      <w:pPr>
        <w:pStyle w:val="Footnoteheading"/>
        <w:keepNext/>
        <w:keepLines/>
      </w:pPr>
      <w:r>
        <w:tab/>
        <w:t xml:space="preserve">[Heading inserted: Gazette 19 May 1989 p. 1494.] </w:t>
      </w:r>
    </w:p>
    <w:p>
      <w:pPr>
        <w:pStyle w:val="Heading5"/>
      </w:pPr>
      <w:bookmarkStart w:id="25" w:name="_Toc135214354"/>
      <w:r>
        <w:rPr>
          <w:rStyle w:val="CharSectno"/>
        </w:rPr>
        <w:t>6</w:t>
      </w:r>
      <w:r>
        <w:t>.</w:t>
      </w:r>
      <w:r>
        <w:tab/>
        <w:t>Berthing dues</w:t>
      </w:r>
      <w:bookmarkEnd w:id="25"/>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lastRenderedPageBreak/>
        <w:tab/>
        <w:t>[Regulation 6 inserted: Gazette 25 Jul 2014 p. 2610-11; amended: Gazette 22 Jul 2015 p. 2952; 25 May 2018 p. 1670; 31 May 2019 p. 1756.]</w:t>
      </w:r>
    </w:p>
    <w:p>
      <w:pPr>
        <w:pStyle w:val="Heading5"/>
        <w:spacing w:before="240"/>
      </w:pPr>
      <w:bookmarkStart w:id="26" w:name="_Toc135214355"/>
      <w:r>
        <w:rPr>
          <w:rStyle w:val="CharSectno"/>
        </w:rPr>
        <w:t>6A</w:t>
      </w:r>
      <w:r>
        <w:t>.</w:t>
      </w:r>
      <w:r>
        <w:tab/>
        <w:t>Requirement to pay berthing dues</w:t>
      </w:r>
      <w:bookmarkEnd w:id="26"/>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27" w:name="_Toc135214356"/>
      <w:r>
        <w:rPr>
          <w:rStyle w:val="CharSectno"/>
        </w:rPr>
        <w:t>7</w:t>
      </w:r>
      <w:r>
        <w:rPr>
          <w:snapToGrid w:val="0"/>
        </w:rPr>
        <w:t>.</w:t>
      </w:r>
      <w:r>
        <w:rPr>
          <w:snapToGrid w:val="0"/>
        </w:rPr>
        <w:tab/>
        <w:t>Computation of berthing dues</w:t>
      </w:r>
      <w:bookmarkEnd w:id="27"/>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28" w:name="_Toc135136954"/>
      <w:bookmarkStart w:id="29" w:name="_Toc135137178"/>
      <w:bookmarkStart w:id="30" w:name="_Toc135214357"/>
      <w:r>
        <w:rPr>
          <w:rStyle w:val="CharDivNo"/>
        </w:rPr>
        <w:lastRenderedPageBreak/>
        <w:t>Division 3A</w:t>
      </w:r>
      <w:r>
        <w:t> — </w:t>
      </w:r>
      <w:r>
        <w:rPr>
          <w:rStyle w:val="CharDivText"/>
        </w:rPr>
        <w:t>Manifests</w:t>
      </w:r>
      <w:bookmarkEnd w:id="28"/>
      <w:bookmarkEnd w:id="29"/>
      <w:bookmarkEnd w:id="30"/>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31" w:name="_Toc135214358"/>
      <w:r>
        <w:rPr>
          <w:rStyle w:val="CharSectno"/>
        </w:rPr>
        <w:t>8</w:t>
      </w:r>
      <w:r>
        <w:rPr>
          <w:snapToGrid w:val="0"/>
        </w:rPr>
        <w:t>.</w:t>
      </w:r>
      <w:r>
        <w:rPr>
          <w:snapToGrid w:val="0"/>
        </w:rPr>
        <w:tab/>
        <w:t>Inwards manifests</w:t>
      </w:r>
      <w:bookmarkEnd w:id="31"/>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32" w:name="_Toc135214359"/>
      <w:r>
        <w:rPr>
          <w:rStyle w:val="CharSectno"/>
        </w:rPr>
        <w:t>9</w:t>
      </w:r>
      <w:r>
        <w:rPr>
          <w:snapToGrid w:val="0"/>
        </w:rPr>
        <w:t>.</w:t>
      </w:r>
      <w:r>
        <w:rPr>
          <w:snapToGrid w:val="0"/>
        </w:rPr>
        <w:tab/>
        <w:t>Outwards manifests</w:t>
      </w:r>
      <w:bookmarkEnd w:id="32"/>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33" w:name="_Toc135136957"/>
      <w:bookmarkStart w:id="34" w:name="_Toc135137181"/>
      <w:bookmarkStart w:id="35" w:name="_Toc135214360"/>
      <w:r>
        <w:rPr>
          <w:rStyle w:val="CharDivNo"/>
        </w:rPr>
        <w:t>Division 4</w:t>
      </w:r>
      <w:r>
        <w:rPr>
          <w:snapToGrid w:val="0"/>
        </w:rPr>
        <w:t> — </w:t>
      </w:r>
      <w:r>
        <w:rPr>
          <w:rStyle w:val="CharDivText"/>
        </w:rPr>
        <w:t>Wharfage dues, handling and haulage charges</w:t>
      </w:r>
      <w:bookmarkEnd w:id="33"/>
      <w:bookmarkEnd w:id="34"/>
      <w:bookmarkEnd w:id="35"/>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36" w:name="_Toc135214361"/>
      <w:r>
        <w:rPr>
          <w:rStyle w:val="CharSectno"/>
        </w:rPr>
        <w:t>10A</w:t>
      </w:r>
      <w:r>
        <w:rPr>
          <w:snapToGrid w:val="0"/>
        </w:rPr>
        <w:t>.</w:t>
      </w:r>
      <w:r>
        <w:rPr>
          <w:snapToGrid w:val="0"/>
        </w:rPr>
        <w:tab/>
        <w:t>Payment of dues and charges</w:t>
      </w:r>
      <w:bookmarkEnd w:id="36"/>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37" w:name="_Toc135214362"/>
      <w:r>
        <w:rPr>
          <w:rStyle w:val="CharSectno"/>
        </w:rPr>
        <w:t>11</w:t>
      </w:r>
      <w:r>
        <w:rPr>
          <w:snapToGrid w:val="0"/>
        </w:rPr>
        <w:t>.</w:t>
      </w:r>
      <w:r>
        <w:rPr>
          <w:snapToGrid w:val="0"/>
        </w:rPr>
        <w:tab/>
        <w:t>Charges for transhipment cargo</w:t>
      </w:r>
      <w:bookmarkEnd w:id="3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38" w:name="_Toc135214363"/>
      <w:r>
        <w:rPr>
          <w:rStyle w:val="CharSectno"/>
        </w:rPr>
        <w:t>11B</w:t>
      </w:r>
      <w:r>
        <w:rPr>
          <w:snapToGrid w:val="0"/>
        </w:rPr>
        <w:t>.</w:t>
      </w:r>
      <w:r>
        <w:rPr>
          <w:snapToGrid w:val="0"/>
        </w:rPr>
        <w:tab/>
        <w:t>Charges on vessels’ stores, including fuel oil</w:t>
      </w:r>
      <w:bookmarkEnd w:id="38"/>
      <w:r>
        <w:rPr>
          <w:snapToGrid w:val="0"/>
        </w:rPr>
        <w:t xml:space="preserve"> </w:t>
      </w:r>
    </w:p>
    <w:p>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39" w:name="_Toc135214364"/>
      <w:r>
        <w:rPr>
          <w:rStyle w:val="CharSectno"/>
        </w:rPr>
        <w:t>12</w:t>
      </w:r>
      <w:r>
        <w:rPr>
          <w:snapToGrid w:val="0"/>
        </w:rPr>
        <w:t>.</w:t>
      </w:r>
      <w:r>
        <w:rPr>
          <w:snapToGrid w:val="0"/>
        </w:rPr>
        <w:tab/>
        <w:t>Charges to be paid before delivery of cargo</w:t>
      </w:r>
      <w:bookmarkEnd w:id="39"/>
      <w:r>
        <w:rPr>
          <w:snapToGrid w:val="0"/>
        </w:rPr>
        <w:t xml:space="preserve"> </w:t>
      </w:r>
    </w:p>
    <w:p>
      <w:pPr>
        <w:pStyle w:val="Subsection"/>
        <w:rPr>
          <w:snapToGrid w:val="0"/>
        </w:rPr>
      </w:pPr>
      <w:r>
        <w:rPr>
          <w:snapToGrid w:val="0"/>
        </w:rPr>
        <w:tab/>
      </w:r>
      <w:r>
        <w:rPr>
          <w:snapToGrid w:val="0"/>
        </w:rPr>
        <w:tab/>
        <w:t xml:space="preserve">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w:t>
      </w:r>
      <w:r>
        <w:rPr>
          <w:snapToGrid w:val="0"/>
        </w:rPr>
        <w:lastRenderedPageBreak/>
        <w:t>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40" w:name="_Toc135214365"/>
      <w:r>
        <w:rPr>
          <w:rStyle w:val="CharSectno"/>
        </w:rPr>
        <w:t>13</w:t>
      </w:r>
      <w:r>
        <w:rPr>
          <w:snapToGrid w:val="0"/>
        </w:rPr>
        <w:t>.</w:t>
      </w:r>
      <w:r>
        <w:rPr>
          <w:snapToGrid w:val="0"/>
        </w:rPr>
        <w:tab/>
        <w:t>Extra charges</w:t>
      </w:r>
      <w:bookmarkEnd w:id="40"/>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41" w:name="_Toc135136963"/>
      <w:bookmarkStart w:id="42" w:name="_Toc135137187"/>
      <w:bookmarkStart w:id="43" w:name="_Toc135214366"/>
      <w:r>
        <w:rPr>
          <w:rStyle w:val="CharDivNo"/>
        </w:rPr>
        <w:t>Division 5</w:t>
      </w:r>
      <w:r>
        <w:rPr>
          <w:snapToGrid w:val="0"/>
        </w:rPr>
        <w:t> — </w:t>
      </w:r>
      <w:r>
        <w:rPr>
          <w:rStyle w:val="CharDivText"/>
        </w:rPr>
        <w:t>Handling of cargo</w:t>
      </w:r>
      <w:bookmarkEnd w:id="41"/>
      <w:bookmarkEnd w:id="42"/>
      <w:bookmarkEnd w:id="43"/>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4" w:name="_Toc135214367"/>
      <w:r>
        <w:rPr>
          <w:rStyle w:val="CharSectno"/>
        </w:rPr>
        <w:t>14</w:t>
      </w:r>
      <w:r>
        <w:rPr>
          <w:snapToGrid w:val="0"/>
        </w:rPr>
        <w:t>.</w:t>
      </w:r>
      <w:r>
        <w:rPr>
          <w:snapToGrid w:val="0"/>
        </w:rPr>
        <w:tab/>
        <w:t>Cargo not to be placed on jetties or premises without authority</w:t>
      </w:r>
      <w:bookmarkEnd w:id="44"/>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45" w:name="_Toc135214368"/>
      <w:r>
        <w:rPr>
          <w:rStyle w:val="CharSectno"/>
        </w:rPr>
        <w:t>15</w:t>
      </w:r>
      <w:r>
        <w:rPr>
          <w:snapToGrid w:val="0"/>
        </w:rPr>
        <w:t>.</w:t>
      </w:r>
      <w:r>
        <w:rPr>
          <w:snapToGrid w:val="0"/>
        </w:rPr>
        <w:tab/>
        <w:t>Discharging of cargo may be stopped</w:t>
      </w:r>
      <w:bookmarkEnd w:id="45"/>
      <w:r>
        <w:rPr>
          <w:snapToGrid w:val="0"/>
        </w:rPr>
        <w:t xml:space="preserve"> </w:t>
      </w:r>
    </w:p>
    <w:p>
      <w:pPr>
        <w:pStyle w:val="Subsection"/>
        <w:rPr>
          <w:snapToGrid w:val="0"/>
        </w:rPr>
      </w:pPr>
      <w:r>
        <w:rPr>
          <w:snapToGrid w:val="0"/>
        </w:rPr>
        <w:tab/>
      </w:r>
      <w:r>
        <w:rPr>
          <w:snapToGrid w:val="0"/>
        </w:rPr>
        <w:tab/>
        <w:t xml:space="preserve">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w:t>
      </w:r>
      <w:r>
        <w:rPr>
          <w:snapToGrid w:val="0"/>
        </w:rPr>
        <w:lastRenderedPageBreak/>
        <w:t>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46" w:name="_Toc135214369"/>
      <w:r>
        <w:rPr>
          <w:rStyle w:val="CharSectno"/>
        </w:rPr>
        <w:t>16</w:t>
      </w:r>
      <w:r>
        <w:rPr>
          <w:snapToGrid w:val="0"/>
        </w:rPr>
        <w:t>.</w:t>
      </w:r>
      <w:r>
        <w:rPr>
          <w:snapToGrid w:val="0"/>
        </w:rPr>
        <w:tab/>
        <w:t>Goods not to be shifted without authority</w:t>
      </w:r>
      <w:bookmarkEnd w:id="46"/>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47" w:name="_Toc135214370"/>
      <w:r>
        <w:rPr>
          <w:rStyle w:val="CharSectno"/>
        </w:rPr>
        <w:t>17</w:t>
      </w:r>
      <w:r>
        <w:rPr>
          <w:snapToGrid w:val="0"/>
        </w:rPr>
        <w:t>.</w:t>
      </w:r>
      <w:r>
        <w:rPr>
          <w:snapToGrid w:val="0"/>
        </w:rPr>
        <w:tab/>
        <w:t>Bulk cargo not to be deposited without authority</w:t>
      </w:r>
      <w:bookmarkEnd w:id="47"/>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48" w:name="_Toc135214371"/>
      <w:r>
        <w:rPr>
          <w:rStyle w:val="CharSectno"/>
        </w:rPr>
        <w:t>18</w:t>
      </w:r>
      <w:r>
        <w:rPr>
          <w:snapToGrid w:val="0"/>
        </w:rPr>
        <w:t>.</w:t>
      </w:r>
      <w:r>
        <w:rPr>
          <w:snapToGrid w:val="0"/>
        </w:rPr>
        <w:tab/>
        <w:t>Outward cargo advice notes</w:t>
      </w:r>
      <w:bookmarkEnd w:id="48"/>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49" w:name="_Toc135214372"/>
      <w:r>
        <w:rPr>
          <w:rStyle w:val="CharSectno"/>
        </w:rPr>
        <w:t>19</w:t>
      </w:r>
      <w:r>
        <w:rPr>
          <w:snapToGrid w:val="0"/>
        </w:rPr>
        <w:t>.</w:t>
      </w:r>
      <w:r>
        <w:rPr>
          <w:snapToGrid w:val="0"/>
        </w:rPr>
        <w:tab/>
        <w:t>Outward cargo</w:t>
      </w:r>
      <w:bookmarkEnd w:id="4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50" w:name="_Toc135214373"/>
      <w:r>
        <w:rPr>
          <w:rStyle w:val="CharSectno"/>
        </w:rPr>
        <w:t>20</w:t>
      </w:r>
      <w:r>
        <w:rPr>
          <w:snapToGrid w:val="0"/>
        </w:rPr>
        <w:t>.</w:t>
      </w:r>
      <w:r>
        <w:rPr>
          <w:snapToGrid w:val="0"/>
        </w:rPr>
        <w:tab/>
        <w:t>Dangerous cargo not to be shipped without permission</w:t>
      </w:r>
      <w:bookmarkEnd w:id="50"/>
      <w:r>
        <w:rPr>
          <w:snapToGrid w:val="0"/>
        </w:rPr>
        <w:t xml:space="preserve"> </w:t>
      </w:r>
    </w:p>
    <w:p>
      <w:pPr>
        <w:pStyle w:val="Subsection"/>
        <w:rPr>
          <w:snapToGrid w:val="0"/>
        </w:rPr>
      </w:pPr>
      <w:r>
        <w:rPr>
          <w:snapToGrid w:val="0"/>
        </w:rPr>
        <w:tab/>
      </w:r>
      <w:r>
        <w:rPr>
          <w:snapToGrid w:val="0"/>
        </w:rPr>
        <w:tab/>
        <w:t xml:space="preserve">No person shall carry, send or deposit, or attempt to carry, send, or deposit, or permit to be sent, carried, or deposited on any </w:t>
      </w:r>
      <w:r>
        <w:rPr>
          <w:snapToGrid w:val="0"/>
        </w:rPr>
        <w:lastRenderedPageBreak/>
        <w:t>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51" w:name="_Toc135214374"/>
      <w:r>
        <w:rPr>
          <w:rStyle w:val="CharSectno"/>
        </w:rPr>
        <w:t>21</w:t>
      </w:r>
      <w:r>
        <w:rPr>
          <w:snapToGrid w:val="0"/>
        </w:rPr>
        <w:t>.</w:t>
      </w:r>
      <w:r>
        <w:rPr>
          <w:snapToGrid w:val="0"/>
        </w:rPr>
        <w:tab/>
        <w:t>Dangerous cargo may be refused or examined</w:t>
      </w:r>
      <w:bookmarkEnd w:id="51"/>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52" w:name="_Toc135214375"/>
      <w:r>
        <w:rPr>
          <w:rStyle w:val="CharSectno"/>
        </w:rPr>
        <w:t>22</w:t>
      </w:r>
      <w:r>
        <w:rPr>
          <w:snapToGrid w:val="0"/>
        </w:rPr>
        <w:t>.</w:t>
      </w:r>
      <w:r>
        <w:rPr>
          <w:snapToGrid w:val="0"/>
        </w:rPr>
        <w:tab/>
        <w:t>Marking of heavy packages</w:t>
      </w:r>
      <w:bookmarkEnd w:id="52"/>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lastRenderedPageBreak/>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53" w:name="_Toc135214376"/>
      <w:r>
        <w:rPr>
          <w:rStyle w:val="CharSectno"/>
        </w:rPr>
        <w:t>23</w:t>
      </w:r>
      <w:r>
        <w:rPr>
          <w:snapToGrid w:val="0"/>
        </w:rPr>
        <w:t>.</w:t>
      </w:r>
      <w:r>
        <w:rPr>
          <w:snapToGrid w:val="0"/>
        </w:rPr>
        <w:tab/>
        <w:t>False statements</w:t>
      </w:r>
      <w:bookmarkEnd w:id="53"/>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4" w:name="_Toc135136974"/>
      <w:bookmarkStart w:id="55" w:name="_Toc135137198"/>
      <w:bookmarkStart w:id="56" w:name="_Toc135214377"/>
      <w:r>
        <w:rPr>
          <w:rStyle w:val="CharDivNo"/>
        </w:rPr>
        <w:lastRenderedPageBreak/>
        <w:t>Division 6</w:t>
      </w:r>
      <w:r>
        <w:rPr>
          <w:snapToGrid w:val="0"/>
        </w:rPr>
        <w:t> — </w:t>
      </w:r>
      <w:r>
        <w:rPr>
          <w:rStyle w:val="CharDivText"/>
        </w:rPr>
        <w:t>Receipt, delivery and storage of cargo</w:t>
      </w:r>
      <w:bookmarkEnd w:id="54"/>
      <w:bookmarkEnd w:id="55"/>
      <w:bookmarkEnd w:id="56"/>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57" w:name="_Toc135214378"/>
      <w:r>
        <w:rPr>
          <w:rStyle w:val="CharSectno"/>
        </w:rPr>
        <w:t>25</w:t>
      </w:r>
      <w:r>
        <w:rPr>
          <w:snapToGrid w:val="0"/>
        </w:rPr>
        <w:t>.</w:t>
      </w:r>
      <w:r>
        <w:rPr>
          <w:snapToGrid w:val="0"/>
        </w:rPr>
        <w:tab/>
        <w:t>Storage charges</w:t>
      </w:r>
      <w:bookmarkEnd w:id="57"/>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lastRenderedPageBreak/>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58" w:name="_Toc135214379"/>
      <w:r>
        <w:rPr>
          <w:rStyle w:val="CharSectno"/>
        </w:rPr>
        <w:t>26</w:t>
      </w:r>
      <w:r>
        <w:rPr>
          <w:snapToGrid w:val="0"/>
        </w:rPr>
        <w:t>.</w:t>
      </w:r>
      <w:r>
        <w:rPr>
          <w:snapToGrid w:val="0"/>
        </w:rPr>
        <w:tab/>
        <w:t>Department not bound to find storage accommodation</w:t>
      </w:r>
      <w:bookmarkEnd w:id="5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59" w:name="_Toc135214380"/>
      <w:r>
        <w:rPr>
          <w:rStyle w:val="CharSectno"/>
        </w:rPr>
        <w:t>27</w:t>
      </w:r>
      <w:r>
        <w:rPr>
          <w:snapToGrid w:val="0"/>
        </w:rPr>
        <w:t>.</w:t>
      </w:r>
      <w:r>
        <w:rPr>
          <w:snapToGrid w:val="0"/>
        </w:rPr>
        <w:tab/>
        <w:t>Goods may be disposed of</w:t>
      </w:r>
      <w:bookmarkEnd w:id="5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60" w:name="_Toc135214381"/>
      <w:r>
        <w:rPr>
          <w:rStyle w:val="CharSectno"/>
        </w:rPr>
        <w:lastRenderedPageBreak/>
        <w:t>28</w:t>
      </w:r>
      <w:r>
        <w:rPr>
          <w:snapToGrid w:val="0"/>
        </w:rPr>
        <w:t>.</w:t>
      </w:r>
      <w:r>
        <w:rPr>
          <w:snapToGrid w:val="0"/>
        </w:rPr>
        <w:tab/>
        <w:t>Goods to be checked before delivery</w:t>
      </w:r>
      <w:bookmarkEnd w:id="60"/>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61" w:name="_Toc135214382"/>
      <w:r>
        <w:rPr>
          <w:rStyle w:val="CharSectno"/>
        </w:rPr>
        <w:t>29</w:t>
      </w:r>
      <w:r>
        <w:rPr>
          <w:snapToGrid w:val="0"/>
        </w:rPr>
        <w:t>.</w:t>
      </w:r>
      <w:r>
        <w:rPr>
          <w:snapToGrid w:val="0"/>
        </w:rPr>
        <w:tab/>
        <w:t>Delay in delivery</w:t>
      </w:r>
      <w:bookmarkEnd w:id="6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62" w:name="_Toc135214383"/>
      <w:r>
        <w:rPr>
          <w:rStyle w:val="CharSectno"/>
        </w:rPr>
        <w:t>30</w:t>
      </w:r>
      <w:r>
        <w:rPr>
          <w:snapToGrid w:val="0"/>
        </w:rPr>
        <w:t>.</w:t>
      </w:r>
      <w:r>
        <w:rPr>
          <w:snapToGrid w:val="0"/>
        </w:rPr>
        <w:tab/>
        <w:t>Wrong delivery</w:t>
      </w:r>
      <w:bookmarkEnd w:id="62"/>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3" w:name="_Toc135136981"/>
      <w:bookmarkStart w:id="64" w:name="_Toc135137205"/>
      <w:bookmarkStart w:id="65" w:name="_Toc135214384"/>
      <w:r>
        <w:rPr>
          <w:rStyle w:val="CharDivNo"/>
        </w:rPr>
        <w:t>Division 7</w:t>
      </w:r>
      <w:r>
        <w:rPr>
          <w:snapToGrid w:val="0"/>
        </w:rPr>
        <w:t> — </w:t>
      </w:r>
      <w:r>
        <w:rPr>
          <w:rStyle w:val="CharDivText"/>
        </w:rPr>
        <w:t>Responsibility of Department</w:t>
      </w:r>
      <w:bookmarkEnd w:id="63"/>
      <w:bookmarkEnd w:id="64"/>
      <w:bookmarkEnd w:id="65"/>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66" w:name="_Toc135214385"/>
      <w:r>
        <w:rPr>
          <w:rStyle w:val="CharSectno"/>
        </w:rPr>
        <w:t>31</w:t>
      </w:r>
      <w:r>
        <w:rPr>
          <w:snapToGrid w:val="0"/>
        </w:rPr>
        <w:t>.</w:t>
      </w:r>
      <w:r>
        <w:rPr>
          <w:snapToGrid w:val="0"/>
        </w:rPr>
        <w:tab/>
        <w:t>Custody of cargo</w:t>
      </w:r>
      <w:bookmarkEnd w:id="66"/>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67" w:name="_Toc135214386"/>
      <w:r>
        <w:rPr>
          <w:rStyle w:val="CharSectno"/>
        </w:rPr>
        <w:lastRenderedPageBreak/>
        <w:t>32</w:t>
      </w:r>
      <w:r>
        <w:rPr>
          <w:snapToGrid w:val="0"/>
        </w:rPr>
        <w:t>.</w:t>
      </w:r>
      <w:r>
        <w:rPr>
          <w:snapToGrid w:val="0"/>
        </w:rPr>
        <w:tab/>
        <w:t>Goods without receipts</w:t>
      </w:r>
      <w:bookmarkEnd w:id="67"/>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68" w:name="_Toc135214387"/>
      <w:r>
        <w:rPr>
          <w:rStyle w:val="CharSectno"/>
        </w:rPr>
        <w:t>33</w:t>
      </w:r>
      <w:r>
        <w:rPr>
          <w:snapToGrid w:val="0"/>
        </w:rPr>
        <w:t>.</w:t>
      </w:r>
      <w:r>
        <w:rPr>
          <w:snapToGrid w:val="0"/>
        </w:rPr>
        <w:tab/>
        <w:t>Goods stacked on jetties</w:t>
      </w:r>
      <w:bookmarkEnd w:id="6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69" w:name="_Toc135214388"/>
      <w:r>
        <w:rPr>
          <w:rStyle w:val="CharSectno"/>
        </w:rPr>
        <w:t>34</w:t>
      </w:r>
      <w:r>
        <w:rPr>
          <w:snapToGrid w:val="0"/>
        </w:rPr>
        <w:t>.</w:t>
      </w:r>
      <w:r>
        <w:rPr>
          <w:snapToGrid w:val="0"/>
        </w:rPr>
        <w:tab/>
        <w:t>Cargo damaged by fire etc.</w:t>
      </w:r>
      <w:bookmarkEnd w:id="69"/>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70" w:name="_Toc135214389"/>
      <w:r>
        <w:rPr>
          <w:rStyle w:val="CharSectno"/>
        </w:rPr>
        <w:t>35</w:t>
      </w:r>
      <w:r>
        <w:rPr>
          <w:snapToGrid w:val="0"/>
        </w:rPr>
        <w:t>.</w:t>
      </w:r>
      <w:r>
        <w:rPr>
          <w:snapToGrid w:val="0"/>
        </w:rPr>
        <w:tab/>
        <w:t>Goods insufficiently packed</w:t>
      </w:r>
      <w:bookmarkEnd w:id="7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lastRenderedPageBreak/>
        <w:tab/>
        <w:t xml:space="preserve">[Regulation 35 amended: Gazette 19 May 1989 p. 1495.] </w:t>
      </w:r>
    </w:p>
    <w:p>
      <w:pPr>
        <w:pStyle w:val="Heading5"/>
        <w:rPr>
          <w:snapToGrid w:val="0"/>
        </w:rPr>
      </w:pPr>
      <w:bookmarkStart w:id="71" w:name="_Toc135214390"/>
      <w:r>
        <w:rPr>
          <w:rStyle w:val="CharSectno"/>
        </w:rPr>
        <w:t>36</w:t>
      </w:r>
      <w:r>
        <w:rPr>
          <w:snapToGrid w:val="0"/>
        </w:rPr>
        <w:t>.</w:t>
      </w:r>
      <w:r>
        <w:rPr>
          <w:snapToGrid w:val="0"/>
        </w:rPr>
        <w:tab/>
        <w:t>Claims in respect of cargo</w:t>
      </w:r>
      <w:bookmarkEnd w:id="7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72" w:name="_Toc135136988"/>
      <w:bookmarkStart w:id="73" w:name="_Toc135137212"/>
      <w:bookmarkStart w:id="74" w:name="_Toc135214391"/>
      <w:r>
        <w:rPr>
          <w:rStyle w:val="CharDivNo"/>
        </w:rPr>
        <w:t>Division 8</w:t>
      </w:r>
      <w:r>
        <w:rPr>
          <w:snapToGrid w:val="0"/>
        </w:rPr>
        <w:t> — </w:t>
      </w:r>
      <w:r>
        <w:rPr>
          <w:rStyle w:val="CharDivText"/>
        </w:rPr>
        <w:t>Working hours</w:t>
      </w:r>
      <w:bookmarkEnd w:id="72"/>
      <w:bookmarkEnd w:id="73"/>
      <w:bookmarkEnd w:id="74"/>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75" w:name="_Toc135214392"/>
      <w:r>
        <w:rPr>
          <w:rStyle w:val="CharSectno"/>
        </w:rPr>
        <w:t>37</w:t>
      </w:r>
      <w:r>
        <w:rPr>
          <w:snapToGrid w:val="0"/>
        </w:rPr>
        <w:t>.</w:t>
      </w:r>
      <w:r>
        <w:rPr>
          <w:snapToGrid w:val="0"/>
        </w:rPr>
        <w:tab/>
        <w:t>Ordinary time</w:t>
      </w:r>
      <w:bookmarkEnd w:id="75"/>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76" w:name="_Toc135214393"/>
      <w:r>
        <w:rPr>
          <w:rStyle w:val="CharSectno"/>
        </w:rPr>
        <w:t>38</w:t>
      </w:r>
      <w:r>
        <w:rPr>
          <w:snapToGrid w:val="0"/>
        </w:rPr>
        <w:t>.</w:t>
      </w:r>
      <w:r>
        <w:rPr>
          <w:snapToGrid w:val="0"/>
        </w:rPr>
        <w:tab/>
        <w:t>Overtime</w:t>
      </w:r>
      <w:bookmarkEnd w:id="76"/>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77" w:name="_Toc135214394"/>
      <w:r>
        <w:rPr>
          <w:rStyle w:val="CharSectno"/>
        </w:rPr>
        <w:lastRenderedPageBreak/>
        <w:t>38A</w:t>
      </w:r>
      <w:r>
        <w:rPr>
          <w:snapToGrid w:val="0"/>
        </w:rPr>
        <w:t>.</w:t>
      </w:r>
      <w:r>
        <w:rPr>
          <w:snapToGrid w:val="0"/>
        </w:rPr>
        <w:tab/>
        <w:t>Wages incurred through ships’ delays to be paid for</w:t>
      </w:r>
      <w:bookmarkEnd w:id="7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78" w:name="_Toc135214395"/>
      <w:r>
        <w:rPr>
          <w:rStyle w:val="CharSectno"/>
        </w:rPr>
        <w:t>39</w:t>
      </w:r>
      <w:r>
        <w:rPr>
          <w:snapToGrid w:val="0"/>
        </w:rPr>
        <w:t>.</w:t>
      </w:r>
      <w:r>
        <w:rPr>
          <w:snapToGrid w:val="0"/>
        </w:rPr>
        <w:tab/>
        <w:t>Master to give notice of desire to work</w:t>
      </w:r>
      <w:bookmarkEnd w:id="78"/>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79" w:name="_Toc135136993"/>
      <w:bookmarkStart w:id="80" w:name="_Toc135137217"/>
      <w:bookmarkStart w:id="81" w:name="_Toc135214396"/>
      <w:r>
        <w:rPr>
          <w:rStyle w:val="CharDivNo"/>
        </w:rPr>
        <w:t>Division 9</w:t>
      </w:r>
      <w:r>
        <w:rPr>
          <w:snapToGrid w:val="0"/>
        </w:rPr>
        <w:t> — </w:t>
      </w:r>
      <w:r>
        <w:rPr>
          <w:rStyle w:val="CharDivText"/>
        </w:rPr>
        <w:t>Livestock or vehicles on jetties or premises</w:t>
      </w:r>
      <w:bookmarkEnd w:id="79"/>
      <w:bookmarkEnd w:id="80"/>
      <w:bookmarkEnd w:id="81"/>
      <w:r>
        <w:rPr>
          <w:rStyle w:val="CharDivText"/>
        </w:rPr>
        <w:t xml:space="preserve"> </w:t>
      </w:r>
    </w:p>
    <w:p>
      <w:pPr>
        <w:pStyle w:val="Footnoteheading"/>
      </w:pPr>
      <w:r>
        <w:tab/>
        <w:t xml:space="preserve">[Heading inserted: Gazette 19 May 1989 p. 1494.] </w:t>
      </w:r>
    </w:p>
    <w:p>
      <w:pPr>
        <w:pStyle w:val="Heading5"/>
        <w:rPr>
          <w:snapToGrid w:val="0"/>
        </w:rPr>
      </w:pPr>
      <w:bookmarkStart w:id="82" w:name="_Toc135214397"/>
      <w:r>
        <w:rPr>
          <w:rStyle w:val="CharSectno"/>
        </w:rPr>
        <w:t>40</w:t>
      </w:r>
      <w:r>
        <w:rPr>
          <w:snapToGrid w:val="0"/>
        </w:rPr>
        <w:t>.</w:t>
      </w:r>
      <w:r>
        <w:rPr>
          <w:snapToGrid w:val="0"/>
        </w:rPr>
        <w:tab/>
        <w:t>Livestock on jetties or premises</w:t>
      </w:r>
      <w:bookmarkEnd w:id="82"/>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83" w:name="_Toc135214398"/>
      <w:r>
        <w:rPr>
          <w:rStyle w:val="CharSectno"/>
        </w:rPr>
        <w:t>41</w:t>
      </w:r>
      <w:r>
        <w:rPr>
          <w:snapToGrid w:val="0"/>
        </w:rPr>
        <w:t>.</w:t>
      </w:r>
      <w:r>
        <w:rPr>
          <w:snapToGrid w:val="0"/>
        </w:rPr>
        <w:tab/>
        <w:t>Riding vehicles etc. on jetties or premises</w:t>
      </w:r>
      <w:bookmarkEnd w:id="83"/>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lastRenderedPageBreak/>
        <w:tab/>
        <w:t xml:space="preserve">[Regulation 41 amended: Gazette 17 Mar 1960 p. 779; 19 May 1989 p. 1495.] </w:t>
      </w:r>
    </w:p>
    <w:p>
      <w:pPr>
        <w:pStyle w:val="Heading5"/>
        <w:rPr>
          <w:snapToGrid w:val="0"/>
        </w:rPr>
      </w:pPr>
      <w:bookmarkStart w:id="84" w:name="_Toc135214399"/>
      <w:r>
        <w:rPr>
          <w:rStyle w:val="CharSectno"/>
        </w:rPr>
        <w:t>41A</w:t>
      </w:r>
      <w:r>
        <w:rPr>
          <w:snapToGrid w:val="0"/>
        </w:rPr>
        <w:t>.</w:t>
      </w:r>
      <w:r>
        <w:rPr>
          <w:snapToGrid w:val="0"/>
        </w:rPr>
        <w:tab/>
        <w:t>Vehicles not to be parked on jetties</w:t>
      </w:r>
      <w:bookmarkEnd w:id="84"/>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85" w:name="_Toc135214400"/>
      <w:r>
        <w:rPr>
          <w:rStyle w:val="CharSectno"/>
        </w:rPr>
        <w:t>41B</w:t>
      </w:r>
      <w:r>
        <w:rPr>
          <w:snapToGrid w:val="0"/>
        </w:rPr>
        <w:t>.</w:t>
      </w:r>
      <w:r>
        <w:rPr>
          <w:snapToGrid w:val="0"/>
        </w:rPr>
        <w:tab/>
        <w:t>Department not responsible for vehicles on jetties</w:t>
      </w:r>
      <w:bookmarkEnd w:id="8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86" w:name="_Toc135214401"/>
      <w:r>
        <w:rPr>
          <w:rStyle w:val="CharSectno"/>
        </w:rPr>
        <w:t>42</w:t>
      </w:r>
      <w:r>
        <w:rPr>
          <w:snapToGrid w:val="0"/>
        </w:rPr>
        <w:t>.</w:t>
      </w:r>
      <w:r>
        <w:rPr>
          <w:snapToGrid w:val="0"/>
        </w:rPr>
        <w:tab/>
        <w:t>Drivers of vehicles to obey instructions</w:t>
      </w:r>
      <w:bookmarkEnd w:id="8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87" w:name="_Toc135214402"/>
      <w:r>
        <w:rPr>
          <w:rStyle w:val="CharSectno"/>
        </w:rPr>
        <w:t>42A</w:t>
      </w:r>
      <w:r>
        <w:t>.</w:t>
      </w:r>
      <w:r>
        <w:tab/>
        <w:t>Charges for vehicular use of jetty</w:t>
      </w:r>
      <w:bookmarkEnd w:id="87"/>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88" w:name="_Toc135214403"/>
      <w:r>
        <w:rPr>
          <w:rStyle w:val="CharSectno"/>
        </w:rPr>
        <w:lastRenderedPageBreak/>
        <w:t>43</w:t>
      </w:r>
      <w:r>
        <w:rPr>
          <w:snapToGrid w:val="0"/>
        </w:rPr>
        <w:t>.</w:t>
      </w:r>
      <w:r>
        <w:rPr>
          <w:snapToGrid w:val="0"/>
        </w:rPr>
        <w:tab/>
        <w:t>Persons not to be on jetties when livestock is being handled</w:t>
      </w:r>
      <w:bookmarkEnd w:id="88"/>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rPr>
          <w:snapToGrid w:val="0"/>
        </w:rPr>
      </w:pPr>
      <w:bookmarkStart w:id="89" w:name="_Toc135137001"/>
      <w:bookmarkStart w:id="90" w:name="_Toc135137225"/>
      <w:bookmarkStart w:id="91" w:name="_Toc135214404"/>
      <w:r>
        <w:rPr>
          <w:rStyle w:val="CharDivNo"/>
        </w:rPr>
        <w:t>Division 10</w:t>
      </w:r>
      <w:r>
        <w:rPr>
          <w:snapToGrid w:val="0"/>
        </w:rPr>
        <w:t> — </w:t>
      </w:r>
      <w:r>
        <w:rPr>
          <w:rStyle w:val="CharDivText"/>
        </w:rPr>
        <w:t>Miscellaneous</w:t>
      </w:r>
      <w:bookmarkEnd w:id="89"/>
      <w:bookmarkEnd w:id="90"/>
      <w:bookmarkEnd w:id="91"/>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92" w:name="_Toc135214405"/>
      <w:r>
        <w:rPr>
          <w:rStyle w:val="CharSectno"/>
        </w:rPr>
        <w:t>44</w:t>
      </w:r>
      <w:r>
        <w:rPr>
          <w:snapToGrid w:val="0"/>
        </w:rPr>
        <w:t>.</w:t>
      </w:r>
      <w:r>
        <w:rPr>
          <w:snapToGrid w:val="0"/>
        </w:rPr>
        <w:tab/>
        <w:t>Bill posting, defacement and obscenity</w:t>
      </w:r>
      <w:bookmarkEnd w:id="9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93" w:name="_Toc135214406"/>
      <w:r>
        <w:rPr>
          <w:rStyle w:val="CharSectno"/>
        </w:rPr>
        <w:t>45</w:t>
      </w:r>
      <w:r>
        <w:rPr>
          <w:snapToGrid w:val="0"/>
        </w:rPr>
        <w:t>.</w:t>
      </w:r>
      <w:r>
        <w:rPr>
          <w:snapToGrid w:val="0"/>
        </w:rPr>
        <w:tab/>
        <w:t>Disorderly persons</w:t>
      </w:r>
      <w:bookmarkEnd w:id="9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lastRenderedPageBreak/>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94" w:name="_Toc135214407"/>
      <w:r>
        <w:rPr>
          <w:rStyle w:val="CharSectno"/>
        </w:rPr>
        <w:t>46</w:t>
      </w:r>
      <w:r>
        <w:rPr>
          <w:snapToGrid w:val="0"/>
        </w:rPr>
        <w:t>.</w:t>
      </w:r>
      <w:r>
        <w:rPr>
          <w:snapToGrid w:val="0"/>
        </w:rPr>
        <w:tab/>
        <w:t>Fires not to be lit</w:t>
      </w:r>
      <w:bookmarkEnd w:id="94"/>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95" w:name="_Toc135214408"/>
      <w:r>
        <w:rPr>
          <w:rStyle w:val="CharSectno"/>
        </w:rPr>
        <w:t>47</w:t>
      </w:r>
      <w:r>
        <w:rPr>
          <w:snapToGrid w:val="0"/>
        </w:rPr>
        <w:t>.</w:t>
      </w:r>
      <w:r>
        <w:rPr>
          <w:snapToGrid w:val="0"/>
        </w:rPr>
        <w:tab/>
        <w:t>Gates to be shut</w:t>
      </w:r>
      <w:bookmarkEnd w:id="9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96" w:name="_Toc135214409"/>
      <w:r>
        <w:rPr>
          <w:rStyle w:val="CharSectno"/>
        </w:rPr>
        <w:t>48</w:t>
      </w:r>
      <w:r>
        <w:rPr>
          <w:snapToGrid w:val="0"/>
        </w:rPr>
        <w:t>.</w:t>
      </w:r>
      <w:r>
        <w:rPr>
          <w:snapToGrid w:val="0"/>
        </w:rPr>
        <w:tab/>
        <w:t>Interference with lights</w:t>
      </w:r>
      <w:bookmarkEnd w:id="96"/>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97" w:name="_Toc135214410"/>
      <w:r>
        <w:rPr>
          <w:rStyle w:val="CharSectno"/>
        </w:rPr>
        <w:lastRenderedPageBreak/>
        <w:t>49</w:t>
      </w:r>
      <w:r>
        <w:rPr>
          <w:snapToGrid w:val="0"/>
        </w:rPr>
        <w:t>.</w:t>
      </w:r>
      <w:r>
        <w:rPr>
          <w:snapToGrid w:val="0"/>
        </w:rPr>
        <w:tab/>
        <w:t>Interference with or damaging property</w:t>
      </w:r>
      <w:bookmarkEnd w:id="9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98" w:name="_Toc135214411"/>
      <w:r>
        <w:rPr>
          <w:rStyle w:val="CharSectno"/>
        </w:rPr>
        <w:t>50</w:t>
      </w:r>
      <w:r>
        <w:rPr>
          <w:snapToGrid w:val="0"/>
        </w:rPr>
        <w:t>.</w:t>
      </w:r>
      <w:r>
        <w:rPr>
          <w:snapToGrid w:val="0"/>
        </w:rPr>
        <w:tab/>
        <w:t>Lost property</w:t>
      </w:r>
      <w:bookmarkEnd w:id="9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99" w:name="_Toc135214412"/>
      <w:r>
        <w:rPr>
          <w:rStyle w:val="CharSectno"/>
        </w:rPr>
        <w:lastRenderedPageBreak/>
        <w:t>51</w:t>
      </w:r>
      <w:r>
        <w:rPr>
          <w:snapToGrid w:val="0"/>
        </w:rPr>
        <w:t>.</w:t>
      </w:r>
      <w:r>
        <w:rPr>
          <w:snapToGrid w:val="0"/>
        </w:rPr>
        <w:tab/>
        <w:t>Obstruction of officers, or premises</w:t>
      </w:r>
      <w:bookmarkEnd w:id="9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00" w:name="_Toc135214413"/>
      <w:r>
        <w:rPr>
          <w:rStyle w:val="CharSectno"/>
        </w:rPr>
        <w:t>52</w:t>
      </w:r>
      <w:r>
        <w:rPr>
          <w:snapToGrid w:val="0"/>
        </w:rPr>
        <w:t>.</w:t>
      </w:r>
      <w:r>
        <w:rPr>
          <w:snapToGrid w:val="0"/>
        </w:rPr>
        <w:tab/>
        <w:t>Obstruction of or damage to jetties or premises</w:t>
      </w:r>
      <w:bookmarkEnd w:id="10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lastRenderedPageBreak/>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01" w:name="_Toc135214414"/>
      <w:r>
        <w:rPr>
          <w:rStyle w:val="CharSectno"/>
        </w:rPr>
        <w:t>53</w:t>
      </w:r>
      <w:r>
        <w:rPr>
          <w:snapToGrid w:val="0"/>
        </w:rPr>
        <w:t>.</w:t>
      </w:r>
      <w:r>
        <w:rPr>
          <w:snapToGrid w:val="0"/>
        </w:rPr>
        <w:tab/>
        <w:t>Rubbish etc. not to be thrown</w:t>
      </w:r>
      <w:bookmarkEnd w:id="10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02" w:name="_Toc135214415"/>
      <w:r>
        <w:rPr>
          <w:rStyle w:val="CharSectno"/>
        </w:rPr>
        <w:t>53A</w:t>
      </w:r>
      <w:r>
        <w:t>.</w:t>
      </w:r>
      <w:r>
        <w:tab/>
        <w:t>Charges for rubbish removal</w:t>
      </w:r>
      <w:bookmarkEnd w:id="102"/>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03" w:name="_Toc135214416"/>
      <w:r>
        <w:rPr>
          <w:rStyle w:val="CharSectno"/>
        </w:rPr>
        <w:t>54</w:t>
      </w:r>
      <w:r>
        <w:rPr>
          <w:snapToGrid w:val="0"/>
        </w:rPr>
        <w:t>.</w:t>
      </w:r>
      <w:r>
        <w:rPr>
          <w:snapToGrid w:val="0"/>
        </w:rPr>
        <w:tab/>
        <w:t>Sale of articles prohibited</w:t>
      </w:r>
      <w:bookmarkEnd w:id="10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04" w:name="_Toc135214417"/>
      <w:r>
        <w:rPr>
          <w:rStyle w:val="CharSectno"/>
        </w:rPr>
        <w:t>55</w:t>
      </w:r>
      <w:r>
        <w:rPr>
          <w:snapToGrid w:val="0"/>
        </w:rPr>
        <w:t>.</w:t>
      </w:r>
      <w:r>
        <w:rPr>
          <w:snapToGrid w:val="0"/>
        </w:rPr>
        <w:tab/>
        <w:t>Smoking and loitering</w:t>
      </w:r>
      <w:bookmarkEnd w:id="104"/>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05" w:name="_Toc135214418"/>
      <w:r>
        <w:rPr>
          <w:rStyle w:val="CharSectno"/>
        </w:rPr>
        <w:lastRenderedPageBreak/>
        <w:t>56</w:t>
      </w:r>
      <w:r>
        <w:rPr>
          <w:snapToGrid w:val="0"/>
        </w:rPr>
        <w:t>.</w:t>
      </w:r>
      <w:r>
        <w:rPr>
          <w:snapToGrid w:val="0"/>
        </w:rPr>
        <w:tab/>
        <w:t>Trespassing</w:t>
      </w:r>
      <w:bookmarkEnd w:id="10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06" w:name="_Toc135214419"/>
      <w:r>
        <w:rPr>
          <w:rStyle w:val="CharSectno"/>
        </w:rPr>
        <w:t>67A</w:t>
      </w:r>
      <w:r>
        <w:rPr>
          <w:snapToGrid w:val="0"/>
        </w:rPr>
        <w:t>.</w:t>
      </w:r>
      <w:r>
        <w:rPr>
          <w:snapToGrid w:val="0"/>
        </w:rPr>
        <w:tab/>
        <w:t>Conditions for construction and installation of pipelines</w:t>
      </w:r>
      <w:bookmarkEnd w:id="10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 xml:space="preserve">When an existing pipeline is to be relaid or renewed, or any major repairs are to be effected, such pipeline or </w:t>
      </w:r>
      <w:r>
        <w:rPr>
          <w:snapToGrid w:val="0"/>
        </w:rPr>
        <w:lastRenderedPageBreak/>
        <w:t>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 xml:space="preserve">return valve at the seaward end of the pipeline may be dispensed with, if the distance from </w:t>
      </w:r>
      <w:r>
        <w:rPr>
          <w:snapToGrid w:val="0"/>
        </w:rPr>
        <w:lastRenderedPageBreak/>
        <w:t>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lastRenderedPageBreak/>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07" w:name="_Toc135214420"/>
      <w:r>
        <w:rPr>
          <w:rStyle w:val="CharSectno"/>
        </w:rPr>
        <w:t>67B</w:t>
      </w:r>
      <w:r>
        <w:rPr>
          <w:snapToGrid w:val="0"/>
        </w:rPr>
        <w:t>.</w:t>
      </w:r>
      <w:r>
        <w:rPr>
          <w:snapToGrid w:val="0"/>
        </w:rPr>
        <w:tab/>
        <w:t>Maintenance and operation of pipelines</w:t>
      </w:r>
      <w:bookmarkEnd w:id="10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lastRenderedPageBreak/>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 xml:space="preserve">Flexible hoses used in connection with the pumping of liquids derived from inflammable liquid, liquids derived from petroleum, coal or shale and liquids having a flash </w:t>
      </w:r>
      <w:r>
        <w:rPr>
          <w:snapToGrid w:val="0"/>
        </w:rPr>
        <w:lastRenderedPageBreak/>
        <w:t>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lastRenderedPageBreak/>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lastRenderedPageBreak/>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lastRenderedPageBreak/>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 xml:space="preserve">Pipelines, hoses, valves and other appliances shall be coupled up and pumping commenced at least one hour before sunset, and such pipelines and hoses shall not be uncoupled or otherwise interfered with except in daylight unless with </w:t>
      </w:r>
      <w:r>
        <w:rPr>
          <w:snapToGrid w:val="0"/>
        </w:rPr>
        <w:lastRenderedPageBreak/>
        <w:t>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08" w:name="_Toc135214421"/>
      <w:r>
        <w:rPr>
          <w:rStyle w:val="CharSectno"/>
        </w:rPr>
        <w:t>67D</w:t>
      </w:r>
      <w:r>
        <w:rPr>
          <w:snapToGrid w:val="0"/>
        </w:rPr>
        <w:t>.</w:t>
      </w:r>
      <w:r>
        <w:rPr>
          <w:snapToGrid w:val="0"/>
        </w:rPr>
        <w:tab/>
        <w:t>Penalty for failure to remove or amend pipeline</w:t>
      </w:r>
      <w:bookmarkEnd w:id="10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09" w:name="_Toc135214422"/>
      <w:r>
        <w:rPr>
          <w:rStyle w:val="CharSectno"/>
        </w:rPr>
        <w:t>67DA</w:t>
      </w:r>
      <w:r>
        <w:t>.</w:t>
      </w:r>
      <w:r>
        <w:tab/>
        <w:t>Fuelling vessels at service jetties limited</w:t>
      </w:r>
      <w:bookmarkEnd w:id="109"/>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lastRenderedPageBreak/>
        <w:tab/>
        <w:t>Penalty: a fine of $500.</w:t>
      </w:r>
    </w:p>
    <w:p>
      <w:pPr>
        <w:pStyle w:val="Footnotesection"/>
      </w:pPr>
      <w:r>
        <w:tab/>
        <w:t>[Regulation 67DA inserted: Gazette 7 Dec 2007 p. 5984; amended: Gazette 25 Jul 2014 p. 2612.]</w:t>
      </w:r>
    </w:p>
    <w:p>
      <w:pPr>
        <w:pStyle w:val="Ednotesection"/>
      </w:pPr>
      <w:r>
        <w:t>[</w:t>
      </w:r>
      <w:r>
        <w:rPr>
          <w:b/>
        </w:rPr>
        <w:t>67DB.</w:t>
      </w:r>
      <w:r>
        <w:rPr>
          <w:b/>
        </w:rPr>
        <w:tab/>
      </w:r>
      <w:r>
        <w:t>Deleted: SL 2022/47 r. 4.]</w:t>
      </w:r>
    </w:p>
    <w:p>
      <w:pPr>
        <w:pStyle w:val="Heading5"/>
      </w:pPr>
      <w:bookmarkStart w:id="110" w:name="_Toc135214423"/>
      <w:r>
        <w:rPr>
          <w:rStyle w:val="CharSectno"/>
        </w:rPr>
        <w:t>67DC</w:t>
      </w:r>
      <w:r>
        <w:t>.</w:t>
      </w:r>
      <w:r>
        <w:tab/>
        <w:t>Controlling short term access to service jetty</w:t>
      </w:r>
      <w:bookmarkEnd w:id="110"/>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111" w:name="_Toc135137021"/>
      <w:bookmarkStart w:id="112" w:name="_Toc135137245"/>
      <w:bookmarkStart w:id="113" w:name="_Toc135214424"/>
      <w:r>
        <w:rPr>
          <w:rStyle w:val="CharDivNo"/>
        </w:rPr>
        <w:t>Division 11</w:t>
      </w:r>
      <w:r>
        <w:t> — </w:t>
      </w:r>
      <w:r>
        <w:rPr>
          <w:rStyle w:val="CharDivText"/>
        </w:rPr>
        <w:t>Burswood Jetty</w:t>
      </w:r>
      <w:bookmarkEnd w:id="111"/>
      <w:bookmarkEnd w:id="112"/>
      <w:bookmarkEnd w:id="113"/>
    </w:p>
    <w:p>
      <w:pPr>
        <w:pStyle w:val="Footnoteheading"/>
      </w:pPr>
      <w:r>
        <w:tab/>
        <w:t>[Heading inserted: SL 2020/128 r. 6.]</w:t>
      </w:r>
    </w:p>
    <w:p>
      <w:pPr>
        <w:pStyle w:val="Heading5"/>
      </w:pPr>
      <w:bookmarkStart w:id="114" w:name="_Toc135214425"/>
      <w:r>
        <w:rPr>
          <w:rStyle w:val="CharSectno"/>
        </w:rPr>
        <w:t>67DD</w:t>
      </w:r>
      <w:r>
        <w:t>.</w:t>
      </w:r>
      <w:r>
        <w:tab/>
        <w:t>Terms used</w:t>
      </w:r>
      <w:bookmarkEnd w:id="114"/>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rPr>
          <w:bCs/>
          <w:iCs/>
        </w:rPr>
        <w:tab/>
      </w:r>
      <w:r>
        <w:rPr>
          <w:rStyle w:val="CharDefText"/>
        </w:rPr>
        <w:t>item 1</w:t>
      </w:r>
      <w:r>
        <w:t xml:space="preserve"> means item 1 in the Table to Schedule 1 clause 10(2);</w:t>
      </w:r>
    </w:p>
    <w:p>
      <w:pPr>
        <w:pStyle w:val="Defstart"/>
      </w:pPr>
      <w:r>
        <w:rPr>
          <w:bCs/>
          <w:iCs/>
        </w:rPr>
        <w:tab/>
      </w:r>
      <w:r>
        <w:rPr>
          <w:rStyle w:val="CharDefText"/>
        </w:rPr>
        <w:t>item 2</w:t>
      </w:r>
      <w:r>
        <w:t xml:space="preserve"> means item 2 in the Table to Schedule 1 clause 10(2);</w:t>
      </w:r>
    </w:p>
    <w:p>
      <w:pPr>
        <w:pStyle w:val="Defstart"/>
      </w:pPr>
      <w:r>
        <w:rPr>
          <w:bCs/>
          <w:iCs/>
        </w:rPr>
        <w:tab/>
      </w:r>
      <w:r>
        <w:rPr>
          <w:rStyle w:val="CharDefText"/>
        </w:rPr>
        <w:t>item 3</w:t>
      </w:r>
      <w:r>
        <w:t xml:space="preserve"> means item 3 in the Table to Schedule 1 clause 10(2).</w:t>
      </w:r>
    </w:p>
    <w:p>
      <w:pPr>
        <w:pStyle w:val="Footnotesection"/>
      </w:pPr>
      <w:r>
        <w:lastRenderedPageBreak/>
        <w:tab/>
        <w:t>[Regulation 67DD inserted: SL 2020/128 r. 6; amended: SL 2022/48 r. 6.]</w:t>
      </w:r>
    </w:p>
    <w:p>
      <w:pPr>
        <w:pStyle w:val="Heading5"/>
      </w:pPr>
      <w:bookmarkStart w:id="115" w:name="_Toc135214426"/>
      <w:r>
        <w:rPr>
          <w:rStyle w:val="CharSectno"/>
        </w:rPr>
        <w:t>67DE</w:t>
      </w:r>
      <w:r>
        <w:t>.</w:t>
      </w:r>
      <w:r>
        <w:tab/>
        <w:t>Application</w:t>
      </w:r>
      <w:bookmarkEnd w:id="115"/>
    </w:p>
    <w:p>
      <w:pPr>
        <w:pStyle w:val="Subsection"/>
        <w:keepNext/>
      </w:pPr>
      <w:r>
        <w:tab/>
      </w:r>
      <w:r>
        <w:tab/>
        <w:t>This Division applies to Burswood Jetty.</w:t>
      </w:r>
    </w:p>
    <w:p>
      <w:pPr>
        <w:pStyle w:val="Footnotesection"/>
      </w:pPr>
      <w:r>
        <w:tab/>
        <w:t>[Regulation 67DE inserted: SL 2020/128 r. 6.]</w:t>
      </w:r>
    </w:p>
    <w:p>
      <w:pPr>
        <w:pStyle w:val="Heading5"/>
      </w:pPr>
      <w:bookmarkStart w:id="116" w:name="_Toc135214427"/>
      <w:r>
        <w:rPr>
          <w:rStyle w:val="CharSectno"/>
        </w:rPr>
        <w:t>67DF</w:t>
      </w:r>
      <w:r>
        <w:t>.</w:t>
      </w:r>
      <w:r>
        <w:tab/>
        <w:t>Permit may be granted for exclusive use of Berth 1 at certain times</w:t>
      </w:r>
      <w:bookmarkEnd w:id="116"/>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keepNext/>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keepNext/>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117" w:name="_Toc135214428"/>
      <w:r>
        <w:rPr>
          <w:rStyle w:val="CharSectno"/>
        </w:rPr>
        <w:lastRenderedPageBreak/>
        <w:t>67DG</w:t>
      </w:r>
      <w:r>
        <w:t>.</w:t>
      </w:r>
      <w:r>
        <w:tab/>
        <w:t>Duration and conditions of, and payment for, Berth 1 permit</w:t>
      </w:r>
      <w:bookmarkEnd w:id="117"/>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keepNext/>
      </w:pPr>
      <w:r>
        <w:tab/>
        <w:t>(5)</w:t>
      </w:r>
      <w:r>
        <w:tab/>
        <w:t>A person must not contravene a condition specified in a Berth 1 permit.</w:t>
      </w:r>
    </w:p>
    <w:p>
      <w:pPr>
        <w:pStyle w:val="Footnotesection"/>
      </w:pPr>
      <w:r>
        <w:tab/>
        <w:t>[Regulation 67DG inserted: SL 2020/128 r. 6.]</w:t>
      </w:r>
    </w:p>
    <w:p>
      <w:pPr>
        <w:pStyle w:val="Heading5"/>
      </w:pPr>
      <w:bookmarkStart w:id="118" w:name="_Toc135214429"/>
      <w:r>
        <w:rPr>
          <w:rStyle w:val="CharSectno"/>
        </w:rPr>
        <w:t>67DH</w:t>
      </w:r>
      <w:r>
        <w:t>.</w:t>
      </w:r>
      <w:r>
        <w:tab/>
        <w:t>Cancellation of Berth 1 permit</w:t>
      </w:r>
      <w:bookmarkEnd w:id="118"/>
    </w:p>
    <w:p>
      <w:pPr>
        <w:pStyle w:val="Subsection"/>
        <w:keepNext/>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keepNext/>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keepNext/>
      </w:pPr>
      <w:r>
        <w:lastRenderedPageBreak/>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119" w:name="_Toc135214430"/>
      <w:r>
        <w:rPr>
          <w:rStyle w:val="CharSectno"/>
        </w:rPr>
        <w:t>67DI</w:t>
      </w:r>
      <w:r>
        <w:t>.</w:t>
      </w:r>
      <w:r>
        <w:tab/>
        <w:t>Use of Berth 1 otherwise than under Berth 1 permit</w:t>
      </w:r>
      <w:bookmarkEnd w:id="119"/>
    </w:p>
    <w:p>
      <w:pPr>
        <w:pStyle w:val="Subsection"/>
        <w:keepNext/>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keepNext/>
      </w:pPr>
      <w:r>
        <w:tab/>
        <w:t>(2)</w:t>
      </w:r>
      <w:r>
        <w:tab/>
        <w:t xml:space="preserve">Subject to the payment of the relevant amount payable under item 2 or 3, a relevant vessel is authorised to use Berth 1 — </w:t>
      </w:r>
    </w:p>
    <w:p>
      <w:pPr>
        <w:pStyle w:val="Indenta"/>
        <w:keepNext/>
      </w:pPr>
      <w:r>
        <w:tab/>
        <w:t>(a)</w:t>
      </w:r>
      <w:r>
        <w:tab/>
        <w:t xml:space="preserve">at any time other than — </w:t>
      </w:r>
    </w:p>
    <w:p>
      <w:pPr>
        <w:pStyle w:val="Indenti"/>
      </w:pPr>
      <w:r>
        <w:tab/>
        <w:t>(i)</w:t>
      </w:r>
      <w:r>
        <w:tab/>
        <w:t>during the authorised period; or</w:t>
      </w:r>
    </w:p>
    <w:p>
      <w:pPr>
        <w:pStyle w:val="Indenti"/>
        <w:keepNext/>
      </w:pPr>
      <w:r>
        <w:tab/>
        <w:t>(ii)</w:t>
      </w:r>
      <w:r>
        <w:tab/>
        <w:t>at a time when the use of Berth 1 is required by the exclusive operator under regulation 67DF(2)(b);</w:t>
      </w:r>
    </w:p>
    <w:p>
      <w:pPr>
        <w:pStyle w:val="Indenta"/>
      </w:pPr>
      <w:r>
        <w:tab/>
      </w:r>
      <w:r>
        <w:tab/>
        <w:t>and</w:t>
      </w:r>
    </w:p>
    <w:p>
      <w:pPr>
        <w:pStyle w:val="Indenta"/>
        <w:keepNext/>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keepNext/>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120" w:name="_Toc135214431"/>
      <w:r>
        <w:rPr>
          <w:rStyle w:val="CharSectno"/>
        </w:rPr>
        <w:lastRenderedPageBreak/>
        <w:t>67DJ</w:t>
      </w:r>
      <w:r>
        <w:t>.</w:t>
      </w:r>
      <w:r>
        <w:tab/>
        <w:t>Use of Berth 2 and Berth 3</w:t>
      </w:r>
      <w:bookmarkEnd w:id="120"/>
    </w:p>
    <w:p>
      <w:pPr>
        <w:pStyle w:val="Subsection"/>
        <w:keepNext/>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keepNext/>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keepNext/>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121" w:name="_Toc135214432"/>
      <w:r>
        <w:rPr>
          <w:rStyle w:val="CharSectno"/>
        </w:rPr>
        <w:t>67DK</w:t>
      </w:r>
      <w:r>
        <w:t>.</w:t>
      </w:r>
      <w:r>
        <w:tab/>
        <w:t>Temporary closure of Burswood Jetty or berth</w:t>
      </w:r>
      <w:bookmarkEnd w:id="121"/>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keepNext/>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keepNext/>
      </w:pPr>
      <w:r>
        <w:lastRenderedPageBreak/>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122" w:name="_Toc135137030"/>
      <w:bookmarkStart w:id="123" w:name="_Toc135137254"/>
      <w:bookmarkStart w:id="124" w:name="_Toc135214433"/>
      <w:r>
        <w:rPr>
          <w:rStyle w:val="CharPartNo"/>
        </w:rPr>
        <w:lastRenderedPageBreak/>
        <w:t>Part 2</w:t>
      </w:r>
      <w:r>
        <w:t> — </w:t>
      </w:r>
      <w:r>
        <w:rPr>
          <w:rStyle w:val="CharPartText"/>
        </w:rPr>
        <w:t>Regulations applying to jetties within the Port of Perth</w:t>
      </w:r>
      <w:bookmarkEnd w:id="122"/>
      <w:bookmarkEnd w:id="123"/>
      <w:bookmarkEnd w:id="124"/>
      <w:r>
        <w:rPr>
          <w:rStyle w:val="CharPartText"/>
        </w:rPr>
        <w:t xml:space="preserve"> </w:t>
      </w:r>
    </w:p>
    <w:p>
      <w:pPr>
        <w:pStyle w:val="Footnoteheading"/>
      </w:pPr>
      <w:r>
        <w:tab/>
        <w:t xml:space="preserve">[Heading inserted: Gazette 19 May 1989 p. 1494.] </w:t>
      </w:r>
    </w:p>
    <w:p>
      <w:pPr>
        <w:pStyle w:val="Heading3"/>
        <w:rPr>
          <w:snapToGrid w:val="0"/>
        </w:rPr>
      </w:pPr>
      <w:bookmarkStart w:id="125" w:name="_Toc135137031"/>
      <w:bookmarkStart w:id="126" w:name="_Toc135137255"/>
      <w:bookmarkStart w:id="127" w:name="_Toc135214434"/>
      <w:r>
        <w:rPr>
          <w:rStyle w:val="CharDivNo"/>
        </w:rPr>
        <w:t>Division 1</w:t>
      </w:r>
      <w:r>
        <w:rPr>
          <w:snapToGrid w:val="0"/>
        </w:rPr>
        <w:t> — </w:t>
      </w:r>
      <w:r>
        <w:rPr>
          <w:rStyle w:val="CharDivText"/>
        </w:rPr>
        <w:t>Application of this Part</w:t>
      </w:r>
      <w:bookmarkEnd w:id="125"/>
      <w:bookmarkEnd w:id="126"/>
      <w:bookmarkEnd w:id="127"/>
      <w:r>
        <w:rPr>
          <w:rStyle w:val="CharDivText"/>
        </w:rPr>
        <w:t xml:space="preserve"> </w:t>
      </w:r>
    </w:p>
    <w:p>
      <w:pPr>
        <w:pStyle w:val="Footnoteheading"/>
      </w:pPr>
      <w:r>
        <w:tab/>
        <w:t xml:space="preserve">[Heading inserted: Gazette 19 May 1989 p. 1494.] </w:t>
      </w:r>
    </w:p>
    <w:p>
      <w:pPr>
        <w:pStyle w:val="Heading5"/>
        <w:rPr>
          <w:snapToGrid w:val="0"/>
        </w:rPr>
      </w:pPr>
      <w:bookmarkStart w:id="128" w:name="_Toc135214435"/>
      <w:r>
        <w:rPr>
          <w:rStyle w:val="CharSectno"/>
        </w:rPr>
        <w:t>67E</w:t>
      </w:r>
      <w:r>
        <w:rPr>
          <w:snapToGrid w:val="0"/>
        </w:rPr>
        <w:t>.</w:t>
      </w:r>
      <w:r>
        <w:rPr>
          <w:snapToGrid w:val="0"/>
        </w:rPr>
        <w:tab/>
        <w:t>Application</w:t>
      </w:r>
      <w:bookmarkEnd w:id="128"/>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129" w:name="_Toc135137033"/>
      <w:bookmarkStart w:id="130" w:name="_Toc135137257"/>
      <w:bookmarkStart w:id="131" w:name="_Toc135214436"/>
      <w:r>
        <w:rPr>
          <w:rStyle w:val="CharDivNo"/>
        </w:rPr>
        <w:t>Division 2</w:t>
      </w:r>
      <w:r>
        <w:rPr>
          <w:snapToGrid w:val="0"/>
        </w:rPr>
        <w:t> — </w:t>
      </w:r>
      <w:r>
        <w:rPr>
          <w:rStyle w:val="CharDivText"/>
        </w:rPr>
        <w:t>Management and use of jetties</w:t>
      </w:r>
      <w:bookmarkEnd w:id="129"/>
      <w:bookmarkEnd w:id="130"/>
      <w:bookmarkEnd w:id="131"/>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32" w:name="_Toc135214437"/>
      <w:r>
        <w:rPr>
          <w:rStyle w:val="CharSectno"/>
        </w:rPr>
        <w:t>68</w:t>
      </w:r>
      <w:r>
        <w:rPr>
          <w:snapToGrid w:val="0"/>
        </w:rPr>
        <w:t>.</w:t>
      </w:r>
      <w:r>
        <w:rPr>
          <w:snapToGrid w:val="0"/>
        </w:rPr>
        <w:tab/>
        <w:t>Control of jetties</w:t>
      </w:r>
      <w:bookmarkEnd w:id="132"/>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33" w:name="_Toc135214438"/>
      <w:r>
        <w:rPr>
          <w:rStyle w:val="CharSectno"/>
        </w:rPr>
        <w:t>69</w:t>
      </w:r>
      <w:r>
        <w:rPr>
          <w:snapToGrid w:val="0"/>
        </w:rPr>
        <w:t>.</w:t>
      </w:r>
      <w:r>
        <w:rPr>
          <w:snapToGrid w:val="0"/>
        </w:rPr>
        <w:tab/>
        <w:t>Use of jetties</w:t>
      </w:r>
      <w:bookmarkEnd w:id="13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34" w:name="_Toc135214439"/>
      <w:r>
        <w:rPr>
          <w:rStyle w:val="CharSectno"/>
        </w:rPr>
        <w:lastRenderedPageBreak/>
        <w:t>70</w:t>
      </w:r>
      <w:r>
        <w:rPr>
          <w:snapToGrid w:val="0"/>
        </w:rPr>
        <w:t>.</w:t>
      </w:r>
      <w:r>
        <w:rPr>
          <w:snapToGrid w:val="0"/>
        </w:rPr>
        <w:tab/>
        <w:t>Jetties may be closed</w:t>
      </w:r>
      <w:bookmarkEnd w:id="134"/>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35" w:name="_Toc135137037"/>
      <w:bookmarkStart w:id="136" w:name="_Toc135137261"/>
      <w:bookmarkStart w:id="137" w:name="_Toc135214440"/>
      <w:r>
        <w:rPr>
          <w:rStyle w:val="CharDivNo"/>
        </w:rPr>
        <w:t>Division 3</w:t>
      </w:r>
      <w:r>
        <w:rPr>
          <w:snapToGrid w:val="0"/>
        </w:rPr>
        <w:t> — </w:t>
      </w:r>
      <w:r>
        <w:rPr>
          <w:rStyle w:val="CharDivText"/>
        </w:rPr>
        <w:t>Mooring and berthing of vessels</w:t>
      </w:r>
      <w:bookmarkEnd w:id="135"/>
      <w:bookmarkEnd w:id="136"/>
      <w:bookmarkEnd w:id="137"/>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38" w:name="_Toc135214441"/>
      <w:r>
        <w:rPr>
          <w:rStyle w:val="CharSectno"/>
        </w:rPr>
        <w:t>71</w:t>
      </w:r>
      <w:r>
        <w:rPr>
          <w:snapToGrid w:val="0"/>
        </w:rPr>
        <w:t>.</w:t>
      </w:r>
      <w:r>
        <w:rPr>
          <w:snapToGrid w:val="0"/>
        </w:rPr>
        <w:tab/>
        <w:t>Permit required to moor etc. alongside jetty or buoy</w:t>
      </w:r>
      <w:bookmarkEnd w:id="13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39" w:name="_Toc135214442"/>
      <w:r>
        <w:rPr>
          <w:rStyle w:val="CharSectno"/>
        </w:rPr>
        <w:t>72</w:t>
      </w:r>
      <w:r>
        <w:rPr>
          <w:snapToGrid w:val="0"/>
        </w:rPr>
        <w:t>.</w:t>
      </w:r>
      <w:r>
        <w:rPr>
          <w:snapToGrid w:val="0"/>
        </w:rPr>
        <w:tab/>
        <w:t>Duration of, and charges for, permits</w:t>
      </w:r>
      <w:bookmarkEnd w:id="13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lastRenderedPageBreak/>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lastRenderedPageBreak/>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140" w:name="_Toc135214443"/>
      <w:r>
        <w:rPr>
          <w:rStyle w:val="CharSectno"/>
        </w:rPr>
        <w:t>73</w:t>
      </w:r>
      <w:r>
        <w:rPr>
          <w:snapToGrid w:val="0"/>
        </w:rPr>
        <w:t>.</w:t>
      </w:r>
      <w:r>
        <w:rPr>
          <w:snapToGrid w:val="0"/>
        </w:rPr>
        <w:tab/>
        <w:t>Permit for exclusive use of berth</w:t>
      </w:r>
      <w:bookmarkEnd w:id="14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 xml:space="preserve">Any of the conditions specified in a permit issued under this regulation may be amended or varied by notice in writing served on the person in charge of the vessel subject to the permit or </w:t>
      </w:r>
      <w:r>
        <w:rPr>
          <w:snapToGrid w:val="0"/>
        </w:rPr>
        <w:lastRenderedPageBreak/>
        <w:t>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141" w:name="_Toc135214444"/>
      <w:r>
        <w:rPr>
          <w:rStyle w:val="CharSectno"/>
        </w:rPr>
        <w:t>74</w:t>
      </w:r>
      <w:r>
        <w:rPr>
          <w:snapToGrid w:val="0"/>
        </w:rPr>
        <w:t>.</w:t>
      </w:r>
      <w:r>
        <w:rPr>
          <w:snapToGrid w:val="0"/>
        </w:rPr>
        <w:tab/>
        <w:t>Manner of mooring vessels</w:t>
      </w:r>
      <w:bookmarkEnd w:id="141"/>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42" w:name="_Toc135214445"/>
      <w:r>
        <w:rPr>
          <w:rStyle w:val="CharSectno"/>
        </w:rPr>
        <w:t>75</w:t>
      </w:r>
      <w:r>
        <w:rPr>
          <w:snapToGrid w:val="0"/>
        </w:rPr>
        <w:t>.</w:t>
      </w:r>
      <w:r>
        <w:rPr>
          <w:snapToGrid w:val="0"/>
        </w:rPr>
        <w:tab/>
        <w:t>Vessels not to remain at jetties longer than necessary</w:t>
      </w:r>
      <w:bookmarkEnd w:id="142"/>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43" w:name="_Toc135214446"/>
      <w:r>
        <w:rPr>
          <w:rStyle w:val="CharSectno"/>
        </w:rPr>
        <w:lastRenderedPageBreak/>
        <w:t>76</w:t>
      </w:r>
      <w:r>
        <w:rPr>
          <w:snapToGrid w:val="0"/>
        </w:rPr>
        <w:t>.</w:t>
      </w:r>
      <w:r>
        <w:rPr>
          <w:snapToGrid w:val="0"/>
        </w:rPr>
        <w:tab/>
        <w:t>Mooring of rafts and boathouses</w:t>
      </w:r>
      <w:bookmarkEnd w:id="14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44" w:name="_Toc135214447"/>
      <w:r>
        <w:rPr>
          <w:rStyle w:val="CharSectno"/>
        </w:rPr>
        <w:t>77</w:t>
      </w:r>
      <w:r>
        <w:rPr>
          <w:snapToGrid w:val="0"/>
        </w:rPr>
        <w:t>.</w:t>
      </w:r>
      <w:r>
        <w:rPr>
          <w:snapToGrid w:val="0"/>
        </w:rPr>
        <w:tab/>
        <w:t>Vessels to be in charge of competent person</w:t>
      </w:r>
      <w:bookmarkEnd w:id="14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45" w:name="_Toc135214448"/>
      <w:r>
        <w:rPr>
          <w:rStyle w:val="CharSectno"/>
        </w:rPr>
        <w:t>78</w:t>
      </w:r>
      <w:r>
        <w:rPr>
          <w:snapToGrid w:val="0"/>
        </w:rPr>
        <w:t>.</w:t>
      </w:r>
      <w:r>
        <w:rPr>
          <w:snapToGrid w:val="0"/>
        </w:rPr>
        <w:tab/>
        <w:t>Approaching jetties after sunset</w:t>
      </w:r>
      <w:bookmarkEnd w:id="14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146" w:name="_Toc135214449"/>
      <w:r>
        <w:rPr>
          <w:rStyle w:val="CharSectno"/>
        </w:rPr>
        <w:t>78A</w:t>
      </w:r>
      <w:r>
        <w:t>.</w:t>
      </w:r>
      <w:r>
        <w:tab/>
        <w:t>Charges for sullage removal</w:t>
      </w:r>
      <w:bookmarkEnd w:id="146"/>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147" w:name="_Toc135137047"/>
      <w:bookmarkStart w:id="148" w:name="_Toc135137271"/>
      <w:bookmarkStart w:id="149" w:name="_Toc135214450"/>
      <w:r>
        <w:rPr>
          <w:rStyle w:val="CharDivNo"/>
        </w:rPr>
        <w:lastRenderedPageBreak/>
        <w:t>Division 4</w:t>
      </w:r>
      <w:r>
        <w:rPr>
          <w:snapToGrid w:val="0"/>
        </w:rPr>
        <w:t> — </w:t>
      </w:r>
      <w:r>
        <w:rPr>
          <w:rStyle w:val="CharDivText"/>
        </w:rPr>
        <w:t>Loading or discharging cargo</w:t>
      </w:r>
      <w:bookmarkEnd w:id="147"/>
      <w:bookmarkEnd w:id="148"/>
      <w:bookmarkEnd w:id="149"/>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50" w:name="_Toc135214451"/>
      <w:r>
        <w:rPr>
          <w:rStyle w:val="CharSectno"/>
        </w:rPr>
        <w:t>80</w:t>
      </w:r>
      <w:r>
        <w:rPr>
          <w:snapToGrid w:val="0"/>
        </w:rPr>
        <w:t>.</w:t>
      </w:r>
      <w:r>
        <w:rPr>
          <w:snapToGrid w:val="0"/>
        </w:rPr>
        <w:tab/>
        <w:t>Vessels loading or discharging</w:t>
      </w:r>
      <w:bookmarkEnd w:id="150"/>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51" w:name="_Toc135214452"/>
      <w:r>
        <w:rPr>
          <w:rStyle w:val="CharSectno"/>
        </w:rPr>
        <w:t>81</w:t>
      </w:r>
      <w:r>
        <w:rPr>
          <w:snapToGrid w:val="0"/>
        </w:rPr>
        <w:t>.</w:t>
      </w:r>
      <w:r>
        <w:rPr>
          <w:snapToGrid w:val="0"/>
        </w:rPr>
        <w:tab/>
        <w:t>Cargo to be removed</w:t>
      </w:r>
      <w:bookmarkEnd w:id="151"/>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152" w:name="_Toc135214453"/>
      <w:r>
        <w:rPr>
          <w:rStyle w:val="CharSectno"/>
        </w:rPr>
        <w:lastRenderedPageBreak/>
        <w:t>82</w:t>
      </w:r>
      <w:r>
        <w:rPr>
          <w:snapToGrid w:val="0"/>
        </w:rPr>
        <w:t>.</w:t>
      </w:r>
      <w:r>
        <w:rPr>
          <w:snapToGrid w:val="0"/>
        </w:rPr>
        <w:tab/>
        <w:t>Cargo not to remain on jetties overnight</w:t>
      </w:r>
      <w:bookmarkEnd w:id="15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53" w:name="_Toc135214454"/>
      <w:r>
        <w:rPr>
          <w:rStyle w:val="CharSectno"/>
        </w:rPr>
        <w:t>83</w:t>
      </w:r>
      <w:r>
        <w:rPr>
          <w:snapToGrid w:val="0"/>
        </w:rPr>
        <w:t>.</w:t>
      </w:r>
      <w:r>
        <w:rPr>
          <w:snapToGrid w:val="0"/>
        </w:rPr>
        <w:tab/>
        <w:t>Explosives not to be handled without permission</w:t>
      </w:r>
      <w:bookmarkEnd w:id="15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54" w:name="_Toc135214455"/>
      <w:r>
        <w:rPr>
          <w:rStyle w:val="CharSectno"/>
        </w:rPr>
        <w:t>84</w:t>
      </w:r>
      <w:r>
        <w:rPr>
          <w:snapToGrid w:val="0"/>
        </w:rPr>
        <w:t>.</w:t>
      </w:r>
      <w:r>
        <w:rPr>
          <w:snapToGrid w:val="0"/>
        </w:rPr>
        <w:tab/>
        <w:t>Manner of handling cargo</w:t>
      </w:r>
      <w:bookmarkEnd w:id="154"/>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55" w:name="_Toc135137053"/>
      <w:bookmarkStart w:id="156" w:name="_Toc135137277"/>
      <w:bookmarkStart w:id="157" w:name="_Toc135214456"/>
      <w:r>
        <w:rPr>
          <w:rStyle w:val="CharDivNo"/>
        </w:rPr>
        <w:t>Division 5</w:t>
      </w:r>
      <w:r>
        <w:rPr>
          <w:snapToGrid w:val="0"/>
        </w:rPr>
        <w:t> — </w:t>
      </w:r>
      <w:r>
        <w:rPr>
          <w:rStyle w:val="CharDivText"/>
        </w:rPr>
        <w:t>Navigation of vessels</w:t>
      </w:r>
      <w:bookmarkEnd w:id="155"/>
      <w:bookmarkEnd w:id="156"/>
      <w:bookmarkEnd w:id="157"/>
      <w:r>
        <w:rPr>
          <w:rStyle w:val="CharDivText"/>
        </w:rPr>
        <w:t xml:space="preserve"> </w:t>
      </w:r>
    </w:p>
    <w:p>
      <w:pPr>
        <w:pStyle w:val="Footnoteheading"/>
      </w:pPr>
      <w:r>
        <w:tab/>
        <w:t xml:space="preserve">[Heading inserted: Gazette 19 May 1989 p. 1494.] </w:t>
      </w:r>
    </w:p>
    <w:p>
      <w:pPr>
        <w:pStyle w:val="Heading5"/>
        <w:rPr>
          <w:snapToGrid w:val="0"/>
        </w:rPr>
      </w:pPr>
      <w:bookmarkStart w:id="158" w:name="_Toc135214457"/>
      <w:r>
        <w:rPr>
          <w:rStyle w:val="CharSectno"/>
        </w:rPr>
        <w:t>85</w:t>
      </w:r>
      <w:r>
        <w:rPr>
          <w:snapToGrid w:val="0"/>
        </w:rPr>
        <w:t>.</w:t>
      </w:r>
      <w:r>
        <w:rPr>
          <w:snapToGrid w:val="0"/>
        </w:rPr>
        <w:tab/>
        <w:t>Power vessels approaching jetties</w:t>
      </w:r>
      <w:bookmarkEnd w:id="15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lastRenderedPageBreak/>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59" w:name="_Toc135137055"/>
      <w:bookmarkStart w:id="160" w:name="_Toc135137279"/>
      <w:bookmarkStart w:id="161" w:name="_Toc135214458"/>
      <w:r>
        <w:rPr>
          <w:rStyle w:val="CharDivNo"/>
        </w:rPr>
        <w:t>Division 6</w:t>
      </w:r>
      <w:r>
        <w:rPr>
          <w:snapToGrid w:val="0"/>
        </w:rPr>
        <w:t> — </w:t>
      </w:r>
      <w:r>
        <w:rPr>
          <w:rStyle w:val="CharDivText"/>
        </w:rPr>
        <w:t>Miscellaneous</w:t>
      </w:r>
      <w:bookmarkEnd w:id="159"/>
      <w:bookmarkEnd w:id="160"/>
      <w:bookmarkEnd w:id="161"/>
      <w:r>
        <w:rPr>
          <w:rStyle w:val="CharDivText"/>
        </w:rPr>
        <w:t xml:space="preserve"> </w:t>
      </w:r>
    </w:p>
    <w:p>
      <w:pPr>
        <w:pStyle w:val="Footnoteheading"/>
        <w:keepNext/>
      </w:pPr>
      <w:r>
        <w:tab/>
        <w:t xml:space="preserve">[Heading inserted: Gazette 19 May 1989 p. 1494.] </w:t>
      </w:r>
    </w:p>
    <w:p>
      <w:pPr>
        <w:pStyle w:val="Heading5"/>
        <w:rPr>
          <w:snapToGrid w:val="0"/>
        </w:rPr>
      </w:pPr>
      <w:bookmarkStart w:id="162" w:name="_Toc135214459"/>
      <w:r>
        <w:rPr>
          <w:rStyle w:val="CharSectno"/>
        </w:rPr>
        <w:t>86</w:t>
      </w:r>
      <w:r>
        <w:rPr>
          <w:snapToGrid w:val="0"/>
        </w:rPr>
        <w:t>.</w:t>
      </w:r>
      <w:r>
        <w:rPr>
          <w:snapToGrid w:val="0"/>
        </w:rPr>
        <w:tab/>
        <w:t>Bathing from jetties</w:t>
      </w:r>
      <w:bookmarkEnd w:id="162"/>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63" w:name="_Toc135214460"/>
      <w:r>
        <w:rPr>
          <w:rStyle w:val="CharSectno"/>
        </w:rPr>
        <w:t>87</w:t>
      </w:r>
      <w:r>
        <w:rPr>
          <w:snapToGrid w:val="0"/>
        </w:rPr>
        <w:t>.</w:t>
      </w:r>
      <w:r>
        <w:rPr>
          <w:snapToGrid w:val="0"/>
        </w:rPr>
        <w:tab/>
        <w:t>Damage to jetties</w:t>
      </w:r>
      <w:bookmarkEnd w:id="163"/>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164" w:name="_Toc135214461"/>
      <w:r>
        <w:rPr>
          <w:rStyle w:val="CharSectno"/>
        </w:rPr>
        <w:t>88</w:t>
      </w:r>
      <w:r>
        <w:rPr>
          <w:snapToGrid w:val="0"/>
        </w:rPr>
        <w:t>.</w:t>
      </w:r>
      <w:r>
        <w:rPr>
          <w:snapToGrid w:val="0"/>
        </w:rPr>
        <w:tab/>
        <w:t>Fishing from certain places prohibited</w:t>
      </w:r>
      <w:bookmarkEnd w:id="164"/>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lastRenderedPageBreak/>
        <w:tab/>
        <w:t xml:space="preserve">[Regulation 88 amended: Gazette 19 May 1989 p. 1495.] </w:t>
      </w:r>
    </w:p>
    <w:p>
      <w:pPr>
        <w:pStyle w:val="Heading5"/>
        <w:rPr>
          <w:snapToGrid w:val="0"/>
        </w:rPr>
      </w:pPr>
      <w:bookmarkStart w:id="165" w:name="_Toc135214462"/>
      <w:r>
        <w:rPr>
          <w:rStyle w:val="CharSectno"/>
        </w:rPr>
        <w:t>89</w:t>
      </w:r>
      <w:r>
        <w:rPr>
          <w:snapToGrid w:val="0"/>
        </w:rPr>
        <w:t>.</w:t>
      </w:r>
      <w:r>
        <w:rPr>
          <w:snapToGrid w:val="0"/>
        </w:rPr>
        <w:tab/>
        <w:t>Fishing nets on jetties</w:t>
      </w:r>
      <w:bookmarkEnd w:id="165"/>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66" w:name="_Toc135214463"/>
      <w:r>
        <w:rPr>
          <w:rStyle w:val="CharSectno"/>
        </w:rPr>
        <w:t>90</w:t>
      </w:r>
      <w:r>
        <w:rPr>
          <w:snapToGrid w:val="0"/>
        </w:rPr>
        <w:t>.</w:t>
      </w:r>
      <w:r>
        <w:rPr>
          <w:snapToGrid w:val="0"/>
        </w:rPr>
        <w:tab/>
        <w:t>Gangways to be provided</w:t>
      </w:r>
      <w:bookmarkEnd w:id="166"/>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67" w:name="_Toc135214464"/>
      <w:r>
        <w:rPr>
          <w:rStyle w:val="CharSectno"/>
        </w:rPr>
        <w:t>91</w:t>
      </w:r>
      <w:r>
        <w:rPr>
          <w:snapToGrid w:val="0"/>
        </w:rPr>
        <w:t>.</w:t>
      </w:r>
      <w:r>
        <w:rPr>
          <w:snapToGrid w:val="0"/>
        </w:rPr>
        <w:tab/>
        <w:t>Interference with jetties or approaches</w:t>
      </w:r>
      <w:bookmarkEnd w:id="16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68" w:name="_Toc135214465"/>
      <w:r>
        <w:rPr>
          <w:rStyle w:val="CharSectno"/>
        </w:rPr>
        <w:t>92</w:t>
      </w:r>
      <w:r>
        <w:rPr>
          <w:snapToGrid w:val="0"/>
        </w:rPr>
        <w:t>.</w:t>
      </w:r>
      <w:r>
        <w:rPr>
          <w:snapToGrid w:val="0"/>
        </w:rPr>
        <w:tab/>
        <w:t>Lifebuoys on jetties</w:t>
      </w:r>
      <w:bookmarkEnd w:id="16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69" w:name="_Toc135214466"/>
      <w:r>
        <w:rPr>
          <w:rStyle w:val="CharSectno"/>
        </w:rPr>
        <w:t>93</w:t>
      </w:r>
      <w:r>
        <w:rPr>
          <w:snapToGrid w:val="0"/>
        </w:rPr>
        <w:t>.</w:t>
      </w:r>
      <w:r>
        <w:rPr>
          <w:snapToGrid w:val="0"/>
        </w:rPr>
        <w:tab/>
        <w:t>Obstruction of jetties or officers</w:t>
      </w:r>
      <w:bookmarkEnd w:id="16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lastRenderedPageBreak/>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70" w:name="_Toc135214467"/>
      <w:r>
        <w:rPr>
          <w:rStyle w:val="CharSectno"/>
        </w:rPr>
        <w:t>94</w:t>
      </w:r>
      <w:r>
        <w:rPr>
          <w:snapToGrid w:val="0"/>
        </w:rPr>
        <w:t>.</w:t>
      </w:r>
      <w:r>
        <w:rPr>
          <w:snapToGrid w:val="0"/>
        </w:rPr>
        <w:tab/>
        <w:t>Rubbish not to be thrown in river etc.</w:t>
      </w:r>
      <w:bookmarkEnd w:id="170"/>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171" w:name="_Toc135137065"/>
      <w:bookmarkStart w:id="172" w:name="_Toc135137289"/>
      <w:bookmarkStart w:id="173" w:name="_Toc135214468"/>
      <w:r>
        <w:rPr>
          <w:rStyle w:val="CharPartNo"/>
        </w:rPr>
        <w:lastRenderedPageBreak/>
        <w:t>Part 3</w:t>
      </w:r>
      <w:r>
        <w:t> — </w:t>
      </w:r>
      <w:r>
        <w:rPr>
          <w:rStyle w:val="CharPartText"/>
        </w:rPr>
        <w:t>Special provisions applying at particular ports</w:t>
      </w:r>
      <w:bookmarkEnd w:id="171"/>
      <w:bookmarkEnd w:id="172"/>
      <w:bookmarkEnd w:id="173"/>
      <w:r>
        <w:rPr>
          <w:rStyle w:val="CharPartText"/>
        </w:rPr>
        <w:t xml:space="preserve"> </w:t>
      </w:r>
    </w:p>
    <w:p>
      <w:pPr>
        <w:pStyle w:val="Footnoteheading"/>
      </w:pPr>
      <w:r>
        <w:tab/>
        <w:t xml:space="preserve">[Heading inserted: Gazette 19 May 1989 p. 1494.] </w:t>
      </w:r>
    </w:p>
    <w:p>
      <w:pPr>
        <w:pStyle w:val="Heading3"/>
        <w:rPr>
          <w:snapToGrid w:val="0"/>
        </w:rPr>
      </w:pPr>
      <w:bookmarkStart w:id="174" w:name="_Toc135137066"/>
      <w:bookmarkStart w:id="175" w:name="_Toc135137290"/>
      <w:bookmarkStart w:id="176" w:name="_Toc135214469"/>
      <w:r>
        <w:rPr>
          <w:rStyle w:val="CharDivNo"/>
        </w:rPr>
        <w:t>Division 1</w:t>
      </w:r>
      <w:r>
        <w:rPr>
          <w:snapToGrid w:val="0"/>
        </w:rPr>
        <w:t> — </w:t>
      </w:r>
      <w:r>
        <w:rPr>
          <w:rStyle w:val="CharDivText"/>
        </w:rPr>
        <w:t>Use of slipways</w:t>
      </w:r>
      <w:bookmarkEnd w:id="174"/>
      <w:bookmarkEnd w:id="175"/>
      <w:bookmarkEnd w:id="176"/>
      <w:r>
        <w:rPr>
          <w:rStyle w:val="CharDivText"/>
        </w:rPr>
        <w:t xml:space="preserve"> </w:t>
      </w:r>
    </w:p>
    <w:p>
      <w:pPr>
        <w:pStyle w:val="Footnoteheading"/>
      </w:pPr>
      <w:r>
        <w:tab/>
        <w:t xml:space="preserve">[Heading inserted: Gazette 19 May 1989 p. 1494.] </w:t>
      </w:r>
    </w:p>
    <w:p>
      <w:pPr>
        <w:pStyle w:val="Heading5"/>
      </w:pPr>
      <w:bookmarkStart w:id="177" w:name="_Toc135214470"/>
      <w:r>
        <w:rPr>
          <w:rStyle w:val="CharSectno"/>
        </w:rPr>
        <w:t>95</w:t>
      </w:r>
      <w:r>
        <w:t>.</w:t>
      </w:r>
      <w:r>
        <w:tab/>
        <w:t>Management and control of departmental slipways</w:t>
      </w:r>
      <w:bookmarkEnd w:id="177"/>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178" w:name="_Toc135214471"/>
      <w:r>
        <w:rPr>
          <w:rStyle w:val="CharSectno"/>
        </w:rPr>
        <w:t>95A</w:t>
      </w:r>
      <w:r>
        <w:t>.</w:t>
      </w:r>
      <w:r>
        <w:tab/>
        <w:t>Use of slipway</w:t>
      </w:r>
      <w:bookmarkEnd w:id="178"/>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79" w:name="_Toc135214472"/>
      <w:r>
        <w:rPr>
          <w:rStyle w:val="CharSectno"/>
        </w:rPr>
        <w:t>96</w:t>
      </w:r>
      <w:r>
        <w:rPr>
          <w:snapToGrid w:val="0"/>
        </w:rPr>
        <w:t>.</w:t>
      </w:r>
      <w:r>
        <w:rPr>
          <w:snapToGrid w:val="0"/>
        </w:rPr>
        <w:tab/>
        <w:t>Charges for use of slipway</w:t>
      </w:r>
      <w:bookmarkEnd w:id="17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80" w:name="_Toc135214473"/>
      <w:r>
        <w:rPr>
          <w:rStyle w:val="CharSectno"/>
        </w:rPr>
        <w:t>97</w:t>
      </w:r>
      <w:r>
        <w:rPr>
          <w:snapToGrid w:val="0"/>
        </w:rPr>
        <w:t>.</w:t>
      </w:r>
      <w:r>
        <w:rPr>
          <w:snapToGrid w:val="0"/>
        </w:rPr>
        <w:tab/>
        <w:t>Government vessels may take precedence</w:t>
      </w:r>
      <w:bookmarkEnd w:id="180"/>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81" w:name="_Toc135214474"/>
      <w:r>
        <w:rPr>
          <w:rStyle w:val="CharSectno"/>
        </w:rPr>
        <w:t>98</w:t>
      </w:r>
      <w:r>
        <w:rPr>
          <w:snapToGrid w:val="0"/>
        </w:rPr>
        <w:t>.</w:t>
      </w:r>
      <w:r>
        <w:rPr>
          <w:snapToGrid w:val="0"/>
        </w:rPr>
        <w:tab/>
        <w:t>Vessels may forfeit their turn</w:t>
      </w:r>
      <w:bookmarkEnd w:id="18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82" w:name="_Toc135214475"/>
      <w:r>
        <w:rPr>
          <w:rStyle w:val="CharSectno"/>
        </w:rPr>
        <w:t>99</w:t>
      </w:r>
      <w:r>
        <w:rPr>
          <w:snapToGrid w:val="0"/>
        </w:rPr>
        <w:t>.</w:t>
      </w:r>
      <w:r>
        <w:rPr>
          <w:snapToGrid w:val="0"/>
        </w:rPr>
        <w:tab/>
        <w:t>Department will not undertake repairs etc.</w:t>
      </w:r>
      <w:bookmarkEnd w:id="182"/>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83" w:name="_Toc135214476"/>
      <w:r>
        <w:rPr>
          <w:rStyle w:val="CharSectno"/>
        </w:rPr>
        <w:lastRenderedPageBreak/>
        <w:t>100</w:t>
      </w:r>
      <w:r>
        <w:rPr>
          <w:snapToGrid w:val="0"/>
        </w:rPr>
        <w:t>.</w:t>
      </w:r>
      <w:r>
        <w:rPr>
          <w:snapToGrid w:val="0"/>
        </w:rPr>
        <w:tab/>
        <w:t>Department not responsible for damage to vessel when in use of slip</w:t>
      </w:r>
      <w:bookmarkEnd w:id="183"/>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84" w:name="_Toc135214477"/>
      <w:r>
        <w:rPr>
          <w:rStyle w:val="CharSectno"/>
        </w:rPr>
        <w:t>101</w:t>
      </w:r>
      <w:r>
        <w:rPr>
          <w:snapToGrid w:val="0"/>
        </w:rPr>
        <w:t>.</w:t>
      </w:r>
      <w:r>
        <w:rPr>
          <w:snapToGrid w:val="0"/>
        </w:rPr>
        <w:tab/>
        <w:t>Duties of owner or master using slipway</w:t>
      </w:r>
      <w:bookmarkEnd w:id="18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85" w:name="_Toc135214478"/>
      <w:r>
        <w:rPr>
          <w:rStyle w:val="CharSectno"/>
        </w:rPr>
        <w:t>101A</w:t>
      </w:r>
      <w:r>
        <w:rPr>
          <w:snapToGrid w:val="0"/>
        </w:rPr>
        <w:t>.</w:t>
      </w:r>
      <w:r>
        <w:rPr>
          <w:snapToGrid w:val="0"/>
        </w:rPr>
        <w:tab/>
        <w:t>Slipping of more than one vessel at a time</w:t>
      </w:r>
      <w:bookmarkEnd w:id="18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186" w:name="_Toc135214479"/>
      <w:r>
        <w:rPr>
          <w:rStyle w:val="CharSectno"/>
        </w:rPr>
        <w:t>101B</w:t>
      </w:r>
      <w:r>
        <w:rPr>
          <w:snapToGrid w:val="0"/>
        </w:rPr>
        <w:t>.</w:t>
      </w:r>
      <w:r>
        <w:rPr>
          <w:snapToGrid w:val="0"/>
        </w:rPr>
        <w:tab/>
        <w:t>Dispute procedure</w:t>
      </w:r>
      <w:bookmarkEnd w:id="186"/>
      <w:r>
        <w:rPr>
          <w:snapToGrid w:val="0"/>
        </w:rPr>
        <w:t xml:space="preserve"> </w:t>
      </w:r>
    </w:p>
    <w:p>
      <w:pPr>
        <w:pStyle w:val="Subsection"/>
        <w:spacing w:before="120"/>
        <w:rPr>
          <w:snapToGrid w:val="0"/>
        </w:rPr>
      </w:pPr>
      <w:r>
        <w:rPr>
          <w:snapToGrid w:val="0"/>
        </w:rPr>
        <w:lastRenderedPageBreak/>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87" w:name="_Toc135137077"/>
      <w:bookmarkStart w:id="188" w:name="_Toc135137301"/>
      <w:bookmarkStart w:id="189" w:name="_Toc135214480"/>
      <w:r>
        <w:rPr>
          <w:rStyle w:val="CharDivNo"/>
        </w:rPr>
        <w:t>Division 2</w:t>
      </w:r>
      <w:r>
        <w:rPr>
          <w:snapToGrid w:val="0"/>
        </w:rPr>
        <w:t> — </w:t>
      </w:r>
      <w:r>
        <w:rPr>
          <w:rStyle w:val="CharDivText"/>
        </w:rPr>
        <w:t>Use of mooring springs</w:t>
      </w:r>
      <w:bookmarkEnd w:id="187"/>
      <w:bookmarkEnd w:id="188"/>
      <w:bookmarkEnd w:id="189"/>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90" w:name="_Toc135214481"/>
      <w:r>
        <w:rPr>
          <w:rStyle w:val="CharSectno"/>
        </w:rPr>
        <w:t>105F</w:t>
      </w:r>
      <w:r>
        <w:rPr>
          <w:snapToGrid w:val="0"/>
        </w:rPr>
        <w:t>.</w:t>
      </w:r>
      <w:r>
        <w:rPr>
          <w:snapToGrid w:val="0"/>
        </w:rPr>
        <w:tab/>
        <w:t>Approaching bollard or jetty to which mooring spring or rope fastened</w:t>
      </w:r>
      <w:bookmarkEnd w:id="190"/>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r>
        <w:t>[Division 4 (r. 105I) deleted: SL 2021/51 r. 5.]</w:t>
      </w:r>
    </w:p>
    <w:p>
      <w:pPr>
        <w:pStyle w:val="Heading2"/>
      </w:pPr>
      <w:bookmarkStart w:id="191" w:name="_Toc135137079"/>
      <w:bookmarkStart w:id="192" w:name="_Toc135137303"/>
      <w:bookmarkStart w:id="193" w:name="_Toc135214482"/>
      <w:r>
        <w:rPr>
          <w:rStyle w:val="CharPartNo"/>
        </w:rPr>
        <w:lastRenderedPageBreak/>
        <w:t>Part 3A</w:t>
      </w:r>
      <w:r>
        <w:rPr>
          <w:b w:val="0"/>
        </w:rPr>
        <w:t> </w:t>
      </w:r>
      <w:r>
        <w:t>—</w:t>
      </w:r>
      <w:r>
        <w:rPr>
          <w:b w:val="0"/>
        </w:rPr>
        <w:t> </w:t>
      </w:r>
      <w:r>
        <w:rPr>
          <w:rStyle w:val="CharPartText"/>
        </w:rPr>
        <w:t>Licence fees</w:t>
      </w:r>
      <w:bookmarkEnd w:id="191"/>
      <w:bookmarkEnd w:id="192"/>
      <w:bookmarkEnd w:id="193"/>
    </w:p>
    <w:p>
      <w:pPr>
        <w:pStyle w:val="Footnoteheading"/>
      </w:pPr>
      <w:r>
        <w:tab/>
        <w:t>[Heading inserted: SL 2020/96 r. 5.]</w:t>
      </w:r>
    </w:p>
    <w:p>
      <w:pPr>
        <w:pStyle w:val="Heading3"/>
      </w:pPr>
      <w:bookmarkStart w:id="194" w:name="_Toc135137080"/>
      <w:bookmarkStart w:id="195" w:name="_Toc135137304"/>
      <w:bookmarkStart w:id="196" w:name="_Toc135214483"/>
      <w:r>
        <w:rPr>
          <w:rStyle w:val="CharDivNo"/>
        </w:rPr>
        <w:t>Division 1</w:t>
      </w:r>
      <w:r>
        <w:t> — </w:t>
      </w:r>
      <w:r>
        <w:rPr>
          <w:rStyle w:val="CharDivText"/>
        </w:rPr>
        <w:t>Preliminary</w:t>
      </w:r>
      <w:bookmarkEnd w:id="194"/>
      <w:bookmarkEnd w:id="195"/>
      <w:bookmarkEnd w:id="196"/>
    </w:p>
    <w:p>
      <w:pPr>
        <w:pStyle w:val="Footnoteheading"/>
      </w:pPr>
      <w:r>
        <w:tab/>
        <w:t>[Heading inserted: SL 2020/96 r. 5.]</w:t>
      </w:r>
    </w:p>
    <w:p>
      <w:pPr>
        <w:pStyle w:val="Heading5"/>
      </w:pPr>
      <w:bookmarkStart w:id="197" w:name="_Toc135214484"/>
      <w:r>
        <w:rPr>
          <w:rStyle w:val="CharSectno"/>
        </w:rPr>
        <w:t>105J</w:t>
      </w:r>
      <w:r>
        <w:t>.</w:t>
      </w:r>
      <w:r>
        <w:tab/>
        <w:t>Terms used</w:t>
      </w:r>
      <w:bookmarkEnd w:id="197"/>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lastRenderedPageBreak/>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198" w:name="_Toc135214485"/>
      <w:r>
        <w:rPr>
          <w:rStyle w:val="CharSectno"/>
        </w:rPr>
        <w:t>105K</w:t>
      </w:r>
      <w:r>
        <w:t>.</w:t>
      </w:r>
      <w:r>
        <w:tab/>
        <w:t>Obligation to pay licence fees</w:t>
      </w:r>
      <w:bookmarkEnd w:id="198"/>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pPr>
        <w:pStyle w:val="Footnotesection"/>
      </w:pPr>
      <w:r>
        <w:tab/>
        <w:t>[Regulation 105K inserted: SL 2020/96 r. 5.]</w:t>
      </w:r>
    </w:p>
    <w:p>
      <w:pPr>
        <w:pStyle w:val="Heading3"/>
      </w:pPr>
      <w:bookmarkStart w:id="199" w:name="_Toc135137083"/>
      <w:bookmarkStart w:id="200" w:name="_Toc135137307"/>
      <w:bookmarkStart w:id="201" w:name="_Toc135214486"/>
      <w:r>
        <w:rPr>
          <w:rStyle w:val="CharDivNo"/>
        </w:rPr>
        <w:t>Division 2</w:t>
      </w:r>
      <w:r>
        <w:t> — </w:t>
      </w:r>
      <w:r>
        <w:rPr>
          <w:rStyle w:val="CharDivText"/>
        </w:rPr>
        <w:t>Prescribed licence fees</w:t>
      </w:r>
      <w:bookmarkEnd w:id="199"/>
      <w:bookmarkEnd w:id="200"/>
      <w:bookmarkEnd w:id="201"/>
    </w:p>
    <w:p>
      <w:pPr>
        <w:pStyle w:val="Footnoteheading"/>
      </w:pPr>
      <w:r>
        <w:tab/>
        <w:t>[Heading inserted: SL 2020/96 r. 5.]</w:t>
      </w:r>
    </w:p>
    <w:p>
      <w:pPr>
        <w:pStyle w:val="Heading5"/>
      </w:pPr>
      <w:bookmarkStart w:id="202" w:name="_Toc135214487"/>
      <w:r>
        <w:rPr>
          <w:rStyle w:val="CharSectno"/>
        </w:rPr>
        <w:t>105L</w:t>
      </w:r>
      <w:r>
        <w:t>.</w:t>
      </w:r>
      <w:r>
        <w:tab/>
        <w:t>Private licence for certain type of ramp on freehold land</w:t>
      </w:r>
      <w:bookmarkEnd w:id="202"/>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keepNext/>
      </w:pPr>
      <w:r>
        <w:tab/>
        <w:t>(2)</w:t>
      </w:r>
      <w:r>
        <w:tab/>
        <w:t xml:space="preserve">The following fees are prescribed for a private licence to which this regulation applies — </w:t>
      </w:r>
    </w:p>
    <w:p>
      <w:pPr>
        <w:pStyle w:val="Indenta"/>
      </w:pPr>
      <w:r>
        <w:tab/>
        <w:t>(a)</w:t>
      </w:r>
      <w:r>
        <w:tab/>
        <w:t>a new licence fee of $145.90;</w:t>
      </w:r>
    </w:p>
    <w:p>
      <w:pPr>
        <w:pStyle w:val="Indenta"/>
      </w:pPr>
      <w:r>
        <w:tab/>
        <w:t>(b)</w:t>
      </w:r>
      <w:r>
        <w:tab/>
        <w:t>a replacement licence fee of $145.90;</w:t>
      </w:r>
    </w:p>
    <w:p>
      <w:pPr>
        <w:pStyle w:val="Indenta"/>
      </w:pPr>
      <w:r>
        <w:tab/>
        <w:t>(c)</w:t>
      </w:r>
      <w:r>
        <w:tab/>
        <w:t>an amended licence fee of $141.65;</w:t>
      </w:r>
    </w:p>
    <w:p>
      <w:pPr>
        <w:pStyle w:val="Indenta"/>
        <w:keepNext/>
      </w:pPr>
      <w:r>
        <w:tab/>
        <w:t>(d)</w:t>
      </w:r>
      <w:r>
        <w:tab/>
        <w:t>an annual licence fee of $49.30.</w:t>
      </w:r>
    </w:p>
    <w:p>
      <w:pPr>
        <w:pStyle w:val="Footnotesection"/>
      </w:pPr>
      <w:r>
        <w:tab/>
        <w:t>[Regulation 105L inserted: SL 2020/96 r. 5; amended: SL 2021/68 r. 8; SL 2022/48 r. 7.]</w:t>
      </w:r>
    </w:p>
    <w:p>
      <w:pPr>
        <w:pStyle w:val="Heading5"/>
      </w:pPr>
      <w:bookmarkStart w:id="203" w:name="_Toc135214488"/>
      <w:r>
        <w:rPr>
          <w:rStyle w:val="CharSectno"/>
        </w:rPr>
        <w:lastRenderedPageBreak/>
        <w:t>105M</w:t>
      </w:r>
      <w:r>
        <w:t>.</w:t>
      </w:r>
      <w:r>
        <w:tab/>
        <w:t>Private licence for jetty not used for business purposes</w:t>
      </w:r>
      <w:bookmarkEnd w:id="203"/>
    </w:p>
    <w:p>
      <w:pPr>
        <w:pStyle w:val="Subsection"/>
        <w:keepNext/>
      </w:pPr>
      <w:r>
        <w:tab/>
        <w:t>(1)</w:t>
      </w:r>
      <w:r>
        <w:tab/>
        <w:t xml:space="preserve">This regulation applies to a private licence if — </w:t>
      </w:r>
    </w:p>
    <w:p>
      <w:pPr>
        <w:pStyle w:val="Indenta"/>
        <w:keepNext/>
      </w:pPr>
      <w:r>
        <w:tab/>
        <w:t>(a)</w:t>
      </w:r>
      <w:r>
        <w:tab/>
        <w:t xml:space="preserve">the licence is none of the following — </w:t>
      </w:r>
    </w:p>
    <w:p>
      <w:pPr>
        <w:pStyle w:val="Indenti"/>
      </w:pPr>
      <w:r>
        <w:tab/>
        <w:t>(i)</w:t>
      </w:r>
      <w:r>
        <w:tab/>
        <w:t>a business licence;</w:t>
      </w:r>
    </w:p>
    <w:p>
      <w:pPr>
        <w:pStyle w:val="Indenti"/>
        <w:keepNext/>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keepNext/>
      </w:pPr>
      <w:r>
        <w:tab/>
        <w:t>(2)</w:t>
      </w:r>
      <w:r>
        <w:tab/>
        <w:t xml:space="preserve">Subject to subregulations (3) and (4), the following fees are prescribed for a private licence to which this regulation applies — </w:t>
      </w:r>
    </w:p>
    <w:p>
      <w:pPr>
        <w:pStyle w:val="Indenta"/>
      </w:pPr>
      <w:r>
        <w:tab/>
        <w:t>(a)</w:t>
      </w:r>
      <w:r>
        <w:tab/>
        <w:t>a new licence fee of $657.40;</w:t>
      </w:r>
    </w:p>
    <w:p>
      <w:pPr>
        <w:pStyle w:val="Indenta"/>
      </w:pPr>
      <w:r>
        <w:tab/>
        <w:t>(b)</w:t>
      </w:r>
      <w:r>
        <w:tab/>
        <w:t>a replacement licence fee of $424.90;</w:t>
      </w:r>
    </w:p>
    <w:p>
      <w:pPr>
        <w:pStyle w:val="Indenta"/>
      </w:pPr>
      <w:r>
        <w:tab/>
        <w:t>(c)</w:t>
      </w:r>
      <w:r>
        <w:tab/>
        <w:t>an amended licence fee of $141.65;</w:t>
      </w:r>
    </w:p>
    <w:p>
      <w:pPr>
        <w:pStyle w:val="Indenta"/>
      </w:pPr>
      <w:r>
        <w:tab/>
        <w:t>(d)</w:t>
      </w:r>
      <w:r>
        <w:tab/>
        <w:t>an annual licence fee of $150.15.</w:t>
      </w:r>
    </w:p>
    <w:p>
      <w:pPr>
        <w:pStyle w:val="Subsection"/>
      </w:pPr>
      <w:r>
        <w:tab/>
        <w:t>(3)</w:t>
      </w:r>
      <w:r>
        <w:tab/>
        <w:t>Subregulation (4) applies if 2 separate private licences to which this regulation applies are, or will be, in force concurrently in relation to the same jetty.</w:t>
      </w:r>
    </w:p>
    <w:p>
      <w:pPr>
        <w:pStyle w:val="Subsection"/>
        <w:keepNext/>
      </w:pPr>
      <w:r>
        <w:tab/>
        <w:t>(4)</w:t>
      </w:r>
      <w:r>
        <w:tab/>
        <w:t xml:space="preserve">The following fees are prescribed for each private licence — </w:t>
      </w:r>
    </w:p>
    <w:p>
      <w:pPr>
        <w:pStyle w:val="Indenta"/>
      </w:pPr>
      <w:r>
        <w:tab/>
        <w:t>(a)</w:t>
      </w:r>
      <w:r>
        <w:tab/>
        <w:t>a new licence fee of $584.95;</w:t>
      </w:r>
    </w:p>
    <w:p>
      <w:pPr>
        <w:pStyle w:val="Indenta"/>
      </w:pPr>
      <w:r>
        <w:tab/>
        <w:t>(b)</w:t>
      </w:r>
      <w:r>
        <w:tab/>
        <w:t>a replacement licence fee of $424.90;</w:t>
      </w:r>
    </w:p>
    <w:p>
      <w:pPr>
        <w:pStyle w:val="Indenta"/>
      </w:pPr>
      <w:r>
        <w:tab/>
        <w:t>(c)</w:t>
      </w:r>
      <w:r>
        <w:tab/>
        <w:t>an amended licence fee of $141.65;</w:t>
      </w:r>
    </w:p>
    <w:p>
      <w:pPr>
        <w:pStyle w:val="Indenta"/>
        <w:keepNext/>
      </w:pPr>
      <w:r>
        <w:tab/>
        <w:t>(d)</w:t>
      </w:r>
      <w:r>
        <w:tab/>
        <w:t>an annual licence fee of $75.20.</w:t>
      </w:r>
    </w:p>
    <w:p>
      <w:pPr>
        <w:pStyle w:val="Footnotesection"/>
      </w:pPr>
      <w:r>
        <w:tab/>
        <w:t>[Regulation 105M inserted: SL 2020/96 r. 5; amended: SL 2021/68 r. 8; SL 2022/48 r. 8.]</w:t>
      </w:r>
    </w:p>
    <w:p>
      <w:pPr>
        <w:pStyle w:val="Heading5"/>
      </w:pPr>
      <w:bookmarkStart w:id="204" w:name="_Toc135214489"/>
      <w:r>
        <w:rPr>
          <w:rStyle w:val="CharSectno"/>
        </w:rPr>
        <w:t>105N</w:t>
      </w:r>
      <w:r>
        <w:t>.</w:t>
      </w:r>
      <w:r>
        <w:tab/>
        <w:t>Private licence for jetty used for business purposes</w:t>
      </w:r>
      <w:bookmarkEnd w:id="204"/>
    </w:p>
    <w:p>
      <w:pPr>
        <w:pStyle w:val="Subsection"/>
      </w:pPr>
      <w:r>
        <w:tab/>
        <w:t>(1)</w:t>
      </w:r>
      <w:r>
        <w:tab/>
        <w:t>This regulation applies to a private licence that is a business licence but is not a local government public licence.</w:t>
      </w:r>
    </w:p>
    <w:p>
      <w:pPr>
        <w:pStyle w:val="Subsection"/>
        <w:keepNext/>
      </w:pPr>
      <w:r>
        <w:lastRenderedPageBreak/>
        <w:tab/>
        <w:t>(2)</w:t>
      </w:r>
      <w:r>
        <w:tab/>
        <w:t xml:space="preserve">Subject to subregulations (3) to (5), the following fees are prescribed for a private licence to which this regulation applies — </w:t>
      </w:r>
    </w:p>
    <w:p>
      <w:pPr>
        <w:pStyle w:val="Indenta"/>
      </w:pPr>
      <w:r>
        <w:tab/>
        <w:t>(a)</w:t>
      </w:r>
      <w:r>
        <w:tab/>
        <w:t>a new licence fee of $1 386.60;</w:t>
      </w:r>
    </w:p>
    <w:p>
      <w:pPr>
        <w:pStyle w:val="Indenta"/>
      </w:pPr>
      <w:r>
        <w:tab/>
        <w:t>(b)</w:t>
      </w:r>
      <w:r>
        <w:tab/>
        <w:t>a replacement licence fee of $1 036.20;</w:t>
      </w:r>
    </w:p>
    <w:p>
      <w:pPr>
        <w:pStyle w:val="Indenta"/>
      </w:pPr>
      <w:r>
        <w:tab/>
        <w:t>(c)</w:t>
      </w:r>
      <w:r>
        <w:tab/>
        <w:t>an amended licence fee of $141.65;</w:t>
      </w:r>
    </w:p>
    <w:p>
      <w:pPr>
        <w:pStyle w:val="Indenta"/>
      </w:pPr>
      <w:r>
        <w:tab/>
        <w:t>(d)</w:t>
      </w:r>
      <w:r>
        <w:tab/>
        <w:t>an annual licence fee of $760.95.</w:t>
      </w:r>
    </w:p>
    <w:p>
      <w:pPr>
        <w:pStyle w:val="Subsection"/>
        <w:keepNext/>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keepNext/>
      </w:pPr>
      <w:r>
        <w:tab/>
        <w:t>(4)</w:t>
      </w:r>
      <w:r>
        <w:tab/>
        <w:t xml:space="preserve">If the private licence authorises more than 10 berths, but no more than 20 berths, the following fees are prescribed for the licence — </w:t>
      </w:r>
    </w:p>
    <w:p>
      <w:pPr>
        <w:pStyle w:val="Indenta"/>
      </w:pPr>
      <w:r>
        <w:tab/>
        <w:t>(a)</w:t>
      </w:r>
      <w:r>
        <w:tab/>
        <w:t>a new licence fee of $2 032.10;</w:t>
      </w:r>
    </w:p>
    <w:p>
      <w:pPr>
        <w:pStyle w:val="Indenta"/>
      </w:pPr>
      <w:r>
        <w:tab/>
        <w:t>(b)</w:t>
      </w:r>
      <w:r>
        <w:tab/>
        <w:t>a replacement licence fee of $1 036.20;</w:t>
      </w:r>
    </w:p>
    <w:p>
      <w:pPr>
        <w:pStyle w:val="Indenta"/>
      </w:pPr>
      <w:r>
        <w:tab/>
        <w:t>(c)</w:t>
      </w:r>
      <w:r>
        <w:tab/>
        <w:t>an amended licence fee of $141.65;</w:t>
      </w:r>
    </w:p>
    <w:p>
      <w:pPr>
        <w:pStyle w:val="Indenta"/>
      </w:pPr>
      <w:r>
        <w:tab/>
        <w:t>(d)</w:t>
      </w:r>
      <w:r>
        <w:tab/>
        <w:t>an annual licence fee of $1 140.80.</w:t>
      </w:r>
    </w:p>
    <w:p>
      <w:pPr>
        <w:pStyle w:val="Subsection"/>
        <w:keepNext/>
      </w:pPr>
      <w:r>
        <w:tab/>
        <w:t>(5)</w:t>
      </w:r>
      <w:r>
        <w:tab/>
        <w:t xml:space="preserve">If the private licence authorises more than 20 berths, the following fees are prescribed for the licence — </w:t>
      </w:r>
    </w:p>
    <w:p>
      <w:pPr>
        <w:pStyle w:val="Indenta"/>
      </w:pPr>
      <w:r>
        <w:tab/>
        <w:t>(a)</w:t>
      </w:r>
      <w:r>
        <w:tab/>
        <w:t>a new licence fee of $2 679.90;</w:t>
      </w:r>
    </w:p>
    <w:p>
      <w:pPr>
        <w:pStyle w:val="Indenta"/>
      </w:pPr>
      <w:r>
        <w:tab/>
        <w:t>(b)</w:t>
      </w:r>
      <w:r>
        <w:tab/>
        <w:t>a replacement licence fee of $1 036.20;</w:t>
      </w:r>
    </w:p>
    <w:p>
      <w:pPr>
        <w:pStyle w:val="Indenta"/>
      </w:pPr>
      <w:r>
        <w:tab/>
        <w:t>(c)</w:t>
      </w:r>
      <w:r>
        <w:tab/>
        <w:t>an amended licence fee of $141.65;</w:t>
      </w:r>
    </w:p>
    <w:p>
      <w:pPr>
        <w:pStyle w:val="Indenta"/>
        <w:keepNext/>
      </w:pPr>
      <w:r>
        <w:tab/>
        <w:t>(d)</w:t>
      </w:r>
      <w:r>
        <w:tab/>
        <w:t>an annual licence fee of $1 521.05.</w:t>
      </w:r>
    </w:p>
    <w:p>
      <w:pPr>
        <w:pStyle w:val="Footnotesection"/>
      </w:pPr>
      <w:r>
        <w:tab/>
        <w:t>[Regulation 105N inserted: SL 2020/96 r. 5; amended: SL 2021/68 r. 8; SL 2022/48 r. 9.]</w:t>
      </w:r>
    </w:p>
    <w:p>
      <w:pPr>
        <w:pStyle w:val="Heading5"/>
      </w:pPr>
      <w:bookmarkStart w:id="205" w:name="_Toc135214490"/>
      <w:r>
        <w:rPr>
          <w:rStyle w:val="CharSectno"/>
        </w:rPr>
        <w:lastRenderedPageBreak/>
        <w:t>105O</w:t>
      </w:r>
      <w:r>
        <w:t>.</w:t>
      </w:r>
      <w:r>
        <w:tab/>
        <w:t>Fuel pipeline licence</w:t>
      </w:r>
      <w:bookmarkEnd w:id="205"/>
    </w:p>
    <w:p>
      <w:pPr>
        <w:pStyle w:val="Subsection"/>
        <w:keepNext/>
      </w:pPr>
      <w:r>
        <w:tab/>
      </w:r>
      <w:r>
        <w:tab/>
        <w:t xml:space="preserve">The following fees are prescribed for a fuel pipeline licence — </w:t>
      </w:r>
    </w:p>
    <w:p>
      <w:pPr>
        <w:pStyle w:val="Indenta"/>
      </w:pPr>
      <w:r>
        <w:tab/>
        <w:t>(a)</w:t>
      </w:r>
      <w:r>
        <w:tab/>
        <w:t>a new licence fee of $1 525.25;</w:t>
      </w:r>
    </w:p>
    <w:p>
      <w:pPr>
        <w:pStyle w:val="Indenta"/>
      </w:pPr>
      <w:r>
        <w:tab/>
        <w:t>(b)</w:t>
      </w:r>
      <w:r>
        <w:tab/>
        <w:t>a replacement licence fee of $1 138.80;</w:t>
      </w:r>
    </w:p>
    <w:p>
      <w:pPr>
        <w:pStyle w:val="Indenta"/>
      </w:pPr>
      <w:r>
        <w:tab/>
        <w:t>(c)</w:t>
      </w:r>
      <w:r>
        <w:tab/>
        <w:t>an amended licence fee of $155.80;</w:t>
      </w:r>
    </w:p>
    <w:p>
      <w:pPr>
        <w:pStyle w:val="Indenta"/>
        <w:keepNext/>
      </w:pPr>
      <w:r>
        <w:tab/>
        <w:t>(d)</w:t>
      </w:r>
      <w:r>
        <w:tab/>
        <w:t>an annual licence fee of $837.05.</w:t>
      </w:r>
    </w:p>
    <w:p>
      <w:pPr>
        <w:pStyle w:val="Footnotesection"/>
      </w:pPr>
      <w:r>
        <w:tab/>
        <w:t>[Regulation 105O inserted: SL 2022/48 r. 10.]</w:t>
      </w:r>
    </w:p>
    <w:p>
      <w:pPr>
        <w:pStyle w:val="Heading5"/>
      </w:pPr>
      <w:bookmarkStart w:id="206" w:name="_Toc135214491"/>
      <w:r>
        <w:rPr>
          <w:rStyle w:val="CharSectno"/>
        </w:rPr>
        <w:t>105P</w:t>
      </w:r>
      <w:r>
        <w:t>.</w:t>
      </w:r>
      <w:r>
        <w:tab/>
        <w:t>Local government public licence</w:t>
      </w:r>
      <w:bookmarkEnd w:id="206"/>
    </w:p>
    <w:p>
      <w:pPr>
        <w:pStyle w:val="Subsection"/>
        <w:keepNext/>
      </w:pPr>
      <w:r>
        <w:tab/>
      </w:r>
      <w:r>
        <w:tab/>
        <w:t xml:space="preserve">The following fees are prescribed for a local government public licence — </w:t>
      </w:r>
    </w:p>
    <w:p>
      <w:pPr>
        <w:pStyle w:val="Indenta"/>
      </w:pPr>
      <w:r>
        <w:tab/>
        <w:t>(a)</w:t>
      </w:r>
      <w:r>
        <w:tab/>
        <w:t>a new licence fee of $98.45;</w:t>
      </w:r>
    </w:p>
    <w:p>
      <w:pPr>
        <w:pStyle w:val="Indenta"/>
      </w:pPr>
      <w:r>
        <w:tab/>
        <w:t>(b)</w:t>
      </w:r>
      <w:r>
        <w:tab/>
        <w:t>a replacement licence fee of $98.45;</w:t>
      </w:r>
    </w:p>
    <w:p>
      <w:pPr>
        <w:pStyle w:val="Indenta"/>
      </w:pPr>
      <w:r>
        <w:tab/>
        <w:t>(c)</w:t>
      </w:r>
      <w:r>
        <w:tab/>
        <w:t>an amended licence fee of $141.65;</w:t>
      </w:r>
    </w:p>
    <w:p>
      <w:pPr>
        <w:pStyle w:val="Indenta"/>
        <w:keepNext/>
      </w:pPr>
      <w:r>
        <w:tab/>
        <w:t>(d)</w:t>
      </w:r>
      <w:r>
        <w:tab/>
        <w:t>an annual licence fee of $43.70.</w:t>
      </w:r>
    </w:p>
    <w:p>
      <w:pPr>
        <w:pStyle w:val="Footnotesection"/>
      </w:pPr>
      <w:r>
        <w:tab/>
        <w:t>[Regulation 105P inserted: SL 2022/48 r. 10.]</w:t>
      </w:r>
    </w:p>
    <w:p>
      <w:pPr>
        <w:pStyle w:val="Heading2"/>
      </w:pPr>
      <w:bookmarkStart w:id="207" w:name="_Toc135137089"/>
      <w:bookmarkStart w:id="208" w:name="_Toc135137313"/>
      <w:bookmarkStart w:id="209" w:name="_Toc135214492"/>
      <w:r>
        <w:rPr>
          <w:rStyle w:val="CharPartNo"/>
        </w:rPr>
        <w:lastRenderedPageBreak/>
        <w:t>Part 4</w:t>
      </w:r>
      <w:r>
        <w:rPr>
          <w:rStyle w:val="CharDivNo"/>
        </w:rPr>
        <w:t> </w:t>
      </w:r>
      <w:r>
        <w:t>—</w:t>
      </w:r>
      <w:r>
        <w:rPr>
          <w:rStyle w:val="CharDivText"/>
        </w:rPr>
        <w:t> </w:t>
      </w:r>
      <w:r>
        <w:rPr>
          <w:rStyle w:val="CharPartText"/>
        </w:rPr>
        <w:t>Breach of regulations and penalties</w:t>
      </w:r>
      <w:bookmarkEnd w:id="207"/>
      <w:bookmarkEnd w:id="208"/>
      <w:bookmarkEnd w:id="209"/>
    </w:p>
    <w:p>
      <w:pPr>
        <w:pStyle w:val="Footnoteheading"/>
      </w:pPr>
      <w:r>
        <w:tab/>
        <w:t xml:space="preserve">[Heading inserted: Gazette 19 May 1989 p. 1494.] </w:t>
      </w:r>
    </w:p>
    <w:p>
      <w:pPr>
        <w:pStyle w:val="Heading5"/>
        <w:rPr>
          <w:snapToGrid w:val="0"/>
        </w:rPr>
      </w:pPr>
      <w:bookmarkStart w:id="210" w:name="_Toc135214493"/>
      <w:r>
        <w:rPr>
          <w:rStyle w:val="CharSectno"/>
        </w:rPr>
        <w:t>106</w:t>
      </w:r>
      <w:r>
        <w:rPr>
          <w:snapToGrid w:val="0"/>
        </w:rPr>
        <w:t>.</w:t>
      </w:r>
      <w:r>
        <w:rPr>
          <w:snapToGrid w:val="0"/>
        </w:rPr>
        <w:tab/>
        <w:t>Powers of officer of Department</w:t>
      </w:r>
      <w:bookmarkEnd w:id="210"/>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211" w:name="_Toc135214494"/>
      <w:r>
        <w:rPr>
          <w:rStyle w:val="CharSectno"/>
        </w:rPr>
        <w:t>107</w:t>
      </w:r>
      <w:r>
        <w:rPr>
          <w:snapToGrid w:val="0"/>
        </w:rPr>
        <w:t>.</w:t>
      </w:r>
      <w:r>
        <w:rPr>
          <w:snapToGrid w:val="0"/>
        </w:rPr>
        <w:tab/>
        <w:t>Recovery of expenses incurred by breaches of regulations</w:t>
      </w:r>
      <w:bookmarkEnd w:id="211"/>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212" w:name="_Toc135214495"/>
      <w:r>
        <w:rPr>
          <w:rStyle w:val="CharSectno"/>
        </w:rPr>
        <w:t>107A</w:t>
      </w:r>
      <w:r>
        <w:rPr>
          <w:snapToGrid w:val="0"/>
        </w:rPr>
        <w:t>.</w:t>
      </w:r>
      <w:r>
        <w:rPr>
          <w:snapToGrid w:val="0"/>
        </w:rPr>
        <w:tab/>
        <w:t>Police have authority to enforce regulations</w:t>
      </w:r>
      <w:bookmarkEnd w:id="212"/>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213" w:name="_Toc135214496"/>
      <w:r>
        <w:rPr>
          <w:rStyle w:val="CharSectno"/>
        </w:rPr>
        <w:lastRenderedPageBreak/>
        <w:t>108</w:t>
      </w:r>
      <w:r>
        <w:rPr>
          <w:snapToGrid w:val="0"/>
        </w:rPr>
        <w:t>.</w:t>
      </w:r>
      <w:r>
        <w:rPr>
          <w:snapToGrid w:val="0"/>
        </w:rPr>
        <w:tab/>
        <w:t>Penalty for offences</w:t>
      </w:r>
      <w:bookmarkEnd w:id="213"/>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Heading2"/>
      </w:pPr>
      <w:bookmarkStart w:id="214" w:name="_Toc135137094"/>
      <w:bookmarkStart w:id="215" w:name="_Toc135137318"/>
      <w:bookmarkStart w:id="216" w:name="_Toc135214497"/>
      <w:r>
        <w:rPr>
          <w:rStyle w:val="CharPartNo"/>
        </w:rPr>
        <w:lastRenderedPageBreak/>
        <w:t>Part 5</w:t>
      </w:r>
      <w:r>
        <w:rPr>
          <w:rStyle w:val="CharDivNo"/>
        </w:rPr>
        <w:t> </w:t>
      </w:r>
      <w:r>
        <w:t>—</w:t>
      </w:r>
      <w:r>
        <w:rPr>
          <w:rStyle w:val="CharDivText"/>
        </w:rPr>
        <w:t> </w:t>
      </w:r>
      <w:r>
        <w:rPr>
          <w:rStyle w:val="CharPartText"/>
        </w:rPr>
        <w:t>Waiver and refund of fees</w:t>
      </w:r>
      <w:bookmarkEnd w:id="214"/>
      <w:bookmarkEnd w:id="215"/>
      <w:bookmarkEnd w:id="216"/>
    </w:p>
    <w:p>
      <w:pPr>
        <w:pStyle w:val="Footnoteheading"/>
        <w:rPr>
          <w:snapToGrid w:val="0"/>
        </w:rPr>
      </w:pPr>
      <w:r>
        <w:rPr>
          <w:snapToGrid w:val="0"/>
        </w:rPr>
        <w:tab/>
        <w:t>[Heading inserted: SL 2022/47 r. 5.]</w:t>
      </w:r>
    </w:p>
    <w:p>
      <w:pPr>
        <w:pStyle w:val="Heading5"/>
      </w:pPr>
      <w:bookmarkStart w:id="217" w:name="_Toc135214498"/>
      <w:r>
        <w:rPr>
          <w:rStyle w:val="CharSectno"/>
        </w:rPr>
        <w:t>109</w:t>
      </w:r>
      <w:r>
        <w:t>.</w:t>
      </w:r>
      <w:r>
        <w:tab/>
        <w:t>Terms used</w:t>
      </w:r>
      <w:bookmarkEnd w:id="217"/>
    </w:p>
    <w:p>
      <w:pPr>
        <w:pStyle w:val="Subsection"/>
      </w:pPr>
      <w:r>
        <w:tab/>
      </w:r>
      <w:r>
        <w:tab/>
        <w:t xml:space="preserve">In this Part — </w:t>
      </w:r>
    </w:p>
    <w:p>
      <w:pPr>
        <w:pStyle w:val="Defstart"/>
      </w:pPr>
      <w:r>
        <w:tab/>
      </w:r>
      <w:r>
        <w:rPr>
          <w:rStyle w:val="CharDefText"/>
        </w:rPr>
        <w:t>authorised fee officer</w:t>
      </w:r>
      <w:r>
        <w:t xml:space="preserve"> means an officer designated under regulation 110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chief executive officer or by an authorised fee officer.</w:t>
      </w:r>
    </w:p>
    <w:p>
      <w:pPr>
        <w:pStyle w:val="Footnotesection"/>
      </w:pPr>
      <w:r>
        <w:tab/>
        <w:t>[Regulation 109 inserted: SL 2022/47 r. 5.]</w:t>
      </w:r>
    </w:p>
    <w:p>
      <w:pPr>
        <w:pStyle w:val="Heading5"/>
      </w:pPr>
      <w:bookmarkStart w:id="218" w:name="_Toc135214499"/>
      <w:r>
        <w:rPr>
          <w:rStyle w:val="CharSectno"/>
        </w:rPr>
        <w:t>110</w:t>
      </w:r>
      <w:r>
        <w:t>.</w:t>
      </w:r>
      <w:r>
        <w:tab/>
        <w:t>Authorised fee officers</w:t>
      </w:r>
      <w:bookmarkEnd w:id="218"/>
    </w:p>
    <w:p>
      <w:pPr>
        <w:pStyle w:val="Subsection"/>
      </w:pPr>
      <w:r>
        <w:tab/>
        <w:t>(1)</w:t>
      </w:r>
      <w:r>
        <w:tab/>
        <w:t>The chief executive officer may, in writing, designate an officer to be an authorised fee officer for the purposes of this Part.</w:t>
      </w:r>
    </w:p>
    <w:p>
      <w:pPr>
        <w:pStyle w:val="Subsection"/>
      </w:pPr>
      <w:r>
        <w:tab/>
        <w:t>(2)</w:t>
      </w:r>
      <w:r>
        <w:tab/>
        <w:t xml:space="preserve">A designation under this regulation may authorise the officer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officer performing a function in reliance on a designation under this regulation is taken to do so in accordance with the terms of the designation unless the contrary is shown.</w:t>
      </w:r>
    </w:p>
    <w:p>
      <w:pPr>
        <w:pStyle w:val="Footnotesection"/>
      </w:pPr>
      <w:r>
        <w:tab/>
        <w:t xml:space="preserve">[Regulation 110 inserted: SL 2022/47 r. 5.] </w:t>
      </w:r>
    </w:p>
    <w:p>
      <w:pPr>
        <w:pStyle w:val="Heading5"/>
      </w:pPr>
      <w:bookmarkStart w:id="219" w:name="_Toc135214500"/>
      <w:r>
        <w:rPr>
          <w:rStyle w:val="CharSectno"/>
        </w:rPr>
        <w:lastRenderedPageBreak/>
        <w:t>111</w:t>
      </w:r>
      <w:r>
        <w:t>.</w:t>
      </w:r>
      <w:r>
        <w:tab/>
        <w:t>Waiver of fees</w:t>
      </w:r>
      <w:bookmarkEnd w:id="219"/>
      <w:r>
        <w:t xml:space="preserve"> </w:t>
      </w:r>
    </w:p>
    <w:p>
      <w:pPr>
        <w:pStyle w:val="Subsection"/>
      </w:pPr>
      <w:r>
        <w:tab/>
        <w:t>(1)</w:t>
      </w:r>
      <w:r>
        <w:tab/>
        <w:t xml:space="preserve">The chief executive officer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chief executive officer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111 inserted: SL 2022/47 r. 5.]</w:t>
      </w:r>
    </w:p>
    <w:p>
      <w:pPr>
        <w:pStyle w:val="Heading5"/>
      </w:pPr>
      <w:bookmarkStart w:id="220" w:name="_Toc135214501"/>
      <w:r>
        <w:rPr>
          <w:rStyle w:val="CharSectno"/>
        </w:rPr>
        <w:t>112</w:t>
      </w:r>
      <w:r>
        <w:t>.</w:t>
      </w:r>
      <w:r>
        <w:tab/>
        <w:t>Details of waivers to be accessible on website</w:t>
      </w:r>
      <w:bookmarkEnd w:id="220"/>
    </w:p>
    <w:p>
      <w:pPr>
        <w:pStyle w:val="Subsection"/>
      </w:pPr>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111(2),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112 inserted: SL 2022/47 r. 5.]</w:t>
      </w:r>
    </w:p>
    <w:p>
      <w:pPr>
        <w:pStyle w:val="Heading5"/>
      </w:pPr>
      <w:bookmarkStart w:id="221" w:name="_Toc135214502"/>
      <w:r>
        <w:rPr>
          <w:rStyle w:val="CharSectno"/>
        </w:rPr>
        <w:t>113</w:t>
      </w:r>
      <w:r>
        <w:t>.</w:t>
      </w:r>
      <w:r>
        <w:tab/>
        <w:t>Emergency waivers</w:t>
      </w:r>
      <w:bookmarkEnd w:id="221"/>
      <w:r>
        <w:t xml:space="preserve"> </w:t>
      </w:r>
    </w:p>
    <w:p>
      <w:pPr>
        <w:pStyle w:val="Subsection"/>
      </w:pPr>
      <w:r>
        <w:tab/>
      </w:r>
      <w:r>
        <w:tab/>
        <w:t xml:space="preserve">The chief executive officer or an authorised fee officer may, without the need for a written instrument, waive in whole or in part a fee for the use of a pen, alongside berth or mooring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113 inserted: SL 2022/47 r. 5.]</w:t>
      </w:r>
    </w:p>
    <w:p>
      <w:pPr>
        <w:pStyle w:val="Heading5"/>
      </w:pPr>
      <w:bookmarkStart w:id="222" w:name="_Toc135214503"/>
      <w:r>
        <w:rPr>
          <w:rStyle w:val="CharSectno"/>
        </w:rPr>
        <w:t>114</w:t>
      </w:r>
      <w:r>
        <w:t>.</w:t>
      </w:r>
      <w:r>
        <w:tab/>
        <w:t>Effect of waiver</w:t>
      </w:r>
      <w:bookmarkEnd w:id="222"/>
    </w:p>
    <w:p>
      <w:pPr>
        <w:pStyle w:val="Subsection"/>
      </w:pPr>
      <w:r>
        <w:tab/>
      </w:r>
      <w:r>
        <w:tab/>
        <w:t xml:space="preserve">Despite any other provision of these regulations, if a fee that would otherwise be payable is waived under regulation 111 or 113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114 inserted: SL 2022/47 r. 5.]</w:t>
      </w:r>
    </w:p>
    <w:p>
      <w:pPr>
        <w:pStyle w:val="Heading5"/>
      </w:pPr>
      <w:bookmarkStart w:id="223" w:name="_Toc135214504"/>
      <w:r>
        <w:rPr>
          <w:rStyle w:val="CharSectno"/>
        </w:rPr>
        <w:t>115</w:t>
      </w:r>
      <w:r>
        <w:t>.</w:t>
      </w:r>
      <w:r>
        <w:tab/>
        <w:t>Refund of fees</w:t>
      </w:r>
      <w:bookmarkEnd w:id="223"/>
    </w:p>
    <w:p>
      <w:pPr>
        <w:pStyle w:val="Subsection"/>
      </w:pPr>
      <w:r>
        <w:tab/>
        <w:t>(1)</w:t>
      </w:r>
      <w:r>
        <w:tab/>
        <w:t>The chief executive officer or an authorised fee officer may refund in whole or in part any fee that has been paid.</w:t>
      </w:r>
    </w:p>
    <w:p>
      <w:pPr>
        <w:pStyle w:val="Subsection"/>
      </w:pPr>
      <w:r>
        <w:tab/>
        <w:t>(2)</w:t>
      </w:r>
      <w:r>
        <w:tab/>
        <w:t xml:space="preserve">If a fee is refunded under subregulation (1) the rights and obligations under the Act of every person — </w:t>
      </w:r>
    </w:p>
    <w:p>
      <w:pPr>
        <w:pStyle w:val="Indenta"/>
      </w:pPr>
      <w:r>
        <w:tab/>
        <w:t>(a)</w:t>
      </w:r>
      <w:r>
        <w:tab/>
        <w:t>are as specified by the chief executive officer or authorised fee officer on making the refund; and</w:t>
      </w:r>
    </w:p>
    <w:p>
      <w:pPr>
        <w:pStyle w:val="Indenta"/>
      </w:pPr>
      <w:r>
        <w:lastRenderedPageBreak/>
        <w:tab/>
        <w:t>(b)</w:t>
      </w:r>
      <w:r>
        <w:tab/>
        <w:t>to the extent that they are not specified under paragraph (a), are as they would be if the fee, or so much of it as has been refunded, had not been paid.</w:t>
      </w:r>
    </w:p>
    <w:p>
      <w:pPr>
        <w:pStyle w:val="Footnotesection"/>
      </w:pPr>
      <w:r>
        <w:tab/>
        <w:t>[Regulation 115 inserted: SL 2022/47 r. 5.</w:t>
      </w:r>
    </w:p>
    <w:p>
      <w:pPr>
        <w:pStyle w:val="Footnotesection"/>
        <w:sectPr>
          <w:type w:val="continuous"/>
          <w:pgSz w:w="11907" w:h="16840" w:code="9"/>
          <w:pgMar w:top="2376" w:right="2405" w:bottom="3542" w:left="2405" w:header="706" w:footer="3544" w:gutter="0"/>
          <w:cols w:space="720"/>
          <w:noEndnote/>
          <w:docGrid w:linePitch="326"/>
        </w:sectPr>
      </w:pPr>
    </w:p>
    <w:p>
      <w:pPr>
        <w:pStyle w:val="yScheduleHeading"/>
      </w:pPr>
      <w:bookmarkStart w:id="224" w:name="_Toc135137102"/>
      <w:bookmarkStart w:id="225" w:name="_Toc135137326"/>
      <w:bookmarkStart w:id="226" w:name="_Toc135214505"/>
      <w:r>
        <w:rPr>
          <w:rStyle w:val="CharSchNo"/>
        </w:rPr>
        <w:lastRenderedPageBreak/>
        <w:t>Schedule 1</w:t>
      </w:r>
      <w:r>
        <w:t> — </w:t>
      </w:r>
      <w:r>
        <w:rPr>
          <w:rStyle w:val="CharSchText"/>
        </w:rPr>
        <w:t>Dues and charges generally</w:t>
      </w:r>
      <w:bookmarkEnd w:id="224"/>
      <w:bookmarkEnd w:id="225"/>
      <w:bookmarkEnd w:id="226"/>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227" w:name="_Toc135137103"/>
      <w:bookmarkStart w:id="228" w:name="_Toc135137327"/>
      <w:bookmarkStart w:id="229" w:name="_Toc135214506"/>
      <w:r>
        <w:rPr>
          <w:rStyle w:val="CharSDivNo"/>
        </w:rPr>
        <w:t>Division 1</w:t>
      </w:r>
      <w:r>
        <w:t> — </w:t>
      </w:r>
      <w:r>
        <w:rPr>
          <w:rStyle w:val="CharSDivText"/>
        </w:rPr>
        <w:t>Preliminary matters</w:t>
      </w:r>
      <w:bookmarkEnd w:id="227"/>
      <w:bookmarkEnd w:id="228"/>
      <w:bookmarkEnd w:id="229"/>
    </w:p>
    <w:p>
      <w:pPr>
        <w:pStyle w:val="yFootnoteheading"/>
        <w:rPr>
          <w:snapToGrid w:val="0"/>
        </w:rPr>
      </w:pPr>
      <w:r>
        <w:rPr>
          <w:snapToGrid w:val="0"/>
        </w:rPr>
        <w:tab/>
        <w:t>[Heading inserted: SL 2021/68 r. 4.]</w:t>
      </w:r>
    </w:p>
    <w:p>
      <w:pPr>
        <w:pStyle w:val="yHeading5"/>
      </w:pPr>
      <w:bookmarkStart w:id="230" w:name="_Toc135214507"/>
      <w:r>
        <w:rPr>
          <w:rStyle w:val="CharSClsNo"/>
        </w:rPr>
        <w:t>1</w:t>
      </w:r>
      <w:r>
        <w:t>.</w:t>
      </w:r>
      <w:r>
        <w:tab/>
        <w:t>Standard rates for this Schedule</w:t>
      </w:r>
      <w:bookmarkEnd w:id="230"/>
    </w:p>
    <w:p>
      <w:pPr>
        <w:pStyle w:val="ySubsection"/>
      </w:pPr>
      <w:r>
        <w:tab/>
      </w:r>
      <w:r>
        <w:tab/>
        <w:t xml:space="preserve">In this Schedule, the following rates are standard rates — </w:t>
      </w:r>
    </w:p>
    <w:p>
      <w:pPr>
        <w:pStyle w:val="ySubsection"/>
        <w:rPr>
          <w:b/>
        </w:rPr>
      </w:pPr>
      <w:r>
        <w:rPr>
          <w:b/>
        </w:rPr>
        <w:tab/>
      </w:r>
      <w:r>
        <w:rPr>
          <w:b/>
        </w:rPr>
        <w:tab/>
        <w:t>Rate 1: a casual daily rate of $8.00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Rate 2: a casual daily rate of $57.00</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$91.40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2022/48 r. 11.]</w:t>
      </w:r>
    </w:p>
    <w:p>
      <w:pPr>
        <w:pStyle w:val="yHeading5"/>
      </w:pPr>
      <w:bookmarkStart w:id="231" w:name="_Toc135214508"/>
      <w:r>
        <w:rPr>
          <w:rStyle w:val="CharSClsNo"/>
        </w:rPr>
        <w:t>2</w:t>
      </w:r>
      <w:r>
        <w:t>.</w:t>
      </w:r>
      <w:r>
        <w:tab/>
        <w:t>Transferability of annual payments</w:t>
      </w:r>
      <w:bookmarkEnd w:id="231"/>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 xml:space="preserve">A vessel for which there has been paid an amount to the Department for annual use of a pen, alongside berth or mooring at a place </w:t>
      </w:r>
      <w:r>
        <w:lastRenderedPageBreak/>
        <w:t>specified in this Schedule may use a service jetty for up to an hour in a day at any other place specified in this Schedule or at a place specified in Schedule 3.</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232" w:name="_Toc135214509"/>
      <w:r>
        <w:rPr>
          <w:rStyle w:val="CharSClsNo"/>
        </w:rPr>
        <w:t>3</w:t>
      </w:r>
      <w:r>
        <w:t>.</w:t>
      </w:r>
      <w:r>
        <w:tab/>
        <w:t>Service jetty entitlements</w:t>
      </w:r>
      <w:bookmarkEnd w:id="232"/>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233" w:name="_Toc135214510"/>
      <w:r>
        <w:rPr>
          <w:rStyle w:val="CharSClsNo"/>
        </w:rPr>
        <w:t>4</w:t>
      </w:r>
      <w:r>
        <w:t>.</w:t>
      </w:r>
      <w:r>
        <w:tab/>
        <w:t>Active loading and unloading</w:t>
      </w:r>
      <w:bookmarkEnd w:id="233"/>
    </w:p>
    <w:p>
      <w:pPr>
        <w:pStyle w:val="ySubsection"/>
        <w:keepNext/>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234" w:name="_Toc135137108"/>
      <w:bookmarkStart w:id="235" w:name="_Toc135137332"/>
      <w:bookmarkStart w:id="236" w:name="_Toc135214511"/>
      <w:r>
        <w:rPr>
          <w:rStyle w:val="CharSDivNo"/>
        </w:rPr>
        <w:t>Division 2</w:t>
      </w:r>
      <w:r>
        <w:t> — </w:t>
      </w:r>
      <w:r>
        <w:rPr>
          <w:rStyle w:val="CharSDivText"/>
        </w:rPr>
        <w:t>Dues and charges for specified places</w:t>
      </w:r>
      <w:bookmarkEnd w:id="234"/>
      <w:bookmarkEnd w:id="235"/>
      <w:bookmarkEnd w:id="236"/>
    </w:p>
    <w:p>
      <w:pPr>
        <w:pStyle w:val="yFootnoteheading"/>
      </w:pPr>
      <w:r>
        <w:tab/>
        <w:t>[Heading inserted: SL 2022/48 r. 12.]</w:t>
      </w:r>
    </w:p>
    <w:p>
      <w:pPr>
        <w:pStyle w:val="yHeading5"/>
      </w:pPr>
      <w:bookmarkStart w:id="237" w:name="_Toc135214512"/>
      <w:r>
        <w:rPr>
          <w:rStyle w:val="CharSClsNo"/>
        </w:rPr>
        <w:lastRenderedPageBreak/>
        <w:t>5</w:t>
      </w:r>
      <w:r>
        <w:t>.</w:t>
      </w:r>
      <w:r>
        <w:tab/>
        <w:t>Albany, Albany Waterfront Marina</w:t>
      </w:r>
      <w:bookmarkEnd w:id="237"/>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noWrap/>
            <w:vAlign w:val="bottom"/>
          </w:tcPr>
          <w:p>
            <w:pPr>
              <w:pStyle w:val="yTableNAm"/>
              <w:ind w:right="282"/>
              <w:jc w:val="right"/>
            </w:pPr>
            <w:r>
              <w:rPr>
                <w:szCs w:val="22"/>
              </w:rPr>
              <w:t>665.30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pPr>
            <w:r>
              <w:rPr>
                <w:szCs w:val="22"/>
              </w:rPr>
              <w:t>531.90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pPr>
            <w:r>
              <w:rPr>
                <w:szCs w:val="22"/>
              </w:rPr>
              <w:t>665.30</w:t>
            </w:r>
          </w:p>
        </w:tc>
      </w:tr>
      <w:tr>
        <w:trPr>
          <w:cantSplit/>
        </w:trPr>
        <w:tc>
          <w:tcPr>
            <w:tcW w:w="709" w:type="dxa"/>
            <w:noWrap/>
          </w:tcPr>
          <w:p>
            <w:pPr>
              <w:pStyle w:val="yTableNAm"/>
              <w:keepNext/>
              <w:jc w:val="center"/>
            </w:pPr>
            <w:r>
              <w:t>4.</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pPr>
          </w:p>
        </w:tc>
      </w:tr>
      <w:tr>
        <w:trPr>
          <w:cantSplit/>
        </w:trPr>
        <w:tc>
          <w:tcPr>
            <w:tcW w:w="709" w:type="dxa"/>
            <w:tcBorders>
              <w:bottom w:val="single" w:sz="4" w:space="0" w:color="auto"/>
            </w:tcBorders>
            <w:noWrap/>
          </w:tcPr>
          <w:p>
            <w:pPr>
              <w:pStyle w:val="yTableNAm"/>
              <w:jc w:val="center"/>
            </w:pPr>
            <w:r>
              <w:t>5.</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pPr>
          </w:p>
        </w:tc>
      </w:tr>
    </w:tbl>
    <w:p>
      <w:pPr>
        <w:pStyle w:val="yFootnotesection"/>
      </w:pPr>
      <w:r>
        <w:tab/>
        <w:t>[Clause 5 inserted: SL 2022/48 r. 12.]</w:t>
      </w:r>
    </w:p>
    <w:p>
      <w:pPr>
        <w:pStyle w:val="yHeading5"/>
      </w:pPr>
      <w:bookmarkStart w:id="238" w:name="_Toc135214513"/>
      <w:r>
        <w:rPr>
          <w:rStyle w:val="CharSClsNo"/>
        </w:rPr>
        <w:t>6</w:t>
      </w:r>
      <w:r>
        <w:t>.</w:t>
      </w:r>
      <w:r>
        <w:tab/>
        <w:t>Albany, Emu Point Boat Harbour</w:t>
      </w:r>
      <w:bookmarkEnd w:id="238"/>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pPr>
            <w:r>
              <w:t>348.40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pPr>
            <w:r>
              <w:t>419.60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pPr>
          </w:p>
        </w:tc>
      </w:tr>
      <w:tr>
        <w:trPr>
          <w:cantSplit/>
        </w:trPr>
        <w:tc>
          <w:tcPr>
            <w:tcW w:w="709" w:type="dxa"/>
            <w:tcBorders>
              <w:bottom w:val="single" w:sz="4" w:space="0" w:color="auto"/>
            </w:tcBorders>
            <w:noWrap/>
          </w:tcPr>
          <w:p>
            <w:pPr>
              <w:pStyle w:val="yTableNAm"/>
              <w:keepNext/>
              <w:jc w:val="center"/>
            </w:pPr>
            <w:r>
              <w:t>4.</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pPr>
          </w:p>
        </w:tc>
      </w:tr>
    </w:tbl>
    <w:p>
      <w:pPr>
        <w:pStyle w:val="yFootnotesection"/>
      </w:pPr>
      <w:r>
        <w:tab/>
        <w:t>[Clause 6 inserted: SL 2022/48 r. 12.]</w:t>
      </w:r>
    </w:p>
    <w:p>
      <w:pPr>
        <w:pStyle w:val="yHeading5"/>
      </w:pPr>
      <w:bookmarkStart w:id="239" w:name="_Toc135214514"/>
      <w:r>
        <w:rPr>
          <w:rStyle w:val="CharSClsNo"/>
        </w:rPr>
        <w:t>7</w:t>
      </w:r>
      <w:r>
        <w:t>.</w:t>
      </w:r>
      <w:r>
        <w:tab/>
        <w:t>Augusta Boat Harbour</w:t>
      </w:r>
      <w:bookmarkEnd w:id="239"/>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pPr>
            <w:r>
              <w:rPr>
                <w:szCs w:val="24"/>
              </w:rPr>
              <w:t>665.30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665.30</w:t>
            </w:r>
          </w:p>
        </w:tc>
      </w:tr>
      <w:tr>
        <w:trPr>
          <w:cantSplit/>
        </w:trPr>
        <w:tc>
          <w:tcPr>
            <w:tcW w:w="709" w:type="dxa"/>
            <w:noWrap/>
          </w:tcPr>
          <w:p>
            <w:pPr>
              <w:pStyle w:val="yTableNAm"/>
              <w:jc w:val="center"/>
            </w:pPr>
            <w:r>
              <w:lastRenderedPageBreak/>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r>
        <w:tab/>
        <w:t>[Clause 7 inserted: SL 2022/48 r. 12.]</w:t>
      </w:r>
    </w:p>
    <w:p>
      <w:pPr>
        <w:pStyle w:val="yHeading5"/>
      </w:pPr>
      <w:bookmarkStart w:id="240" w:name="_Toc135214515"/>
      <w:r>
        <w:rPr>
          <w:rStyle w:val="CharSClsNo"/>
        </w:rPr>
        <w:t>8</w:t>
      </w:r>
      <w:r>
        <w:t>.</w:t>
      </w:r>
      <w:r>
        <w:tab/>
        <w:t>Bremer Bay</w:t>
      </w:r>
      <w:bookmarkEnd w:id="240"/>
    </w:p>
    <w:p>
      <w:pPr>
        <w:pStyle w:val="ySubsection"/>
      </w:pPr>
      <w:r>
        <w:tab/>
        <w:t>(1)</w:t>
      </w:r>
      <w:r>
        <w:tab/>
        <w:t>This clause applies to Bremer Bay.</w:t>
      </w:r>
    </w:p>
    <w:p>
      <w:pPr>
        <w:pStyle w:val="ySubsection"/>
        <w:keepNext/>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by a vessel for which a swing mooring fee has not been paid, an amount calculated using standard Rate 3</w:t>
            </w:r>
          </w:p>
        </w:tc>
      </w:tr>
    </w:tbl>
    <w:p>
      <w:pPr>
        <w:pStyle w:val="yFootnotesection"/>
      </w:pPr>
      <w:r>
        <w:tab/>
        <w:t>[Clause 8 inserted: SL 2022/48 r. 12.]</w:t>
      </w:r>
    </w:p>
    <w:p>
      <w:pPr>
        <w:pStyle w:val="yHeading5"/>
      </w:pPr>
      <w:bookmarkStart w:id="241" w:name="_Toc135214516"/>
      <w:r>
        <w:rPr>
          <w:rStyle w:val="CharSClsNo"/>
        </w:rPr>
        <w:t>9</w:t>
      </w:r>
      <w:r>
        <w:t>.</w:t>
      </w:r>
      <w:r>
        <w:tab/>
        <w:t>Bunbury, Casuarina Boat Harbour</w:t>
      </w:r>
      <w:bookmarkEnd w:id="241"/>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542.70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542.70</w:t>
            </w: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r>
        <w:tab/>
        <w:t>[Clause 9 inserted: SL 2022/48 r. 12.]</w:t>
      </w:r>
    </w:p>
    <w:p>
      <w:pPr>
        <w:pStyle w:val="yHeading5"/>
      </w:pPr>
      <w:bookmarkStart w:id="242" w:name="_Toc135214517"/>
      <w:r>
        <w:rPr>
          <w:rStyle w:val="CharSClsNo"/>
        </w:rPr>
        <w:t>10</w:t>
      </w:r>
      <w:r>
        <w:t>.</w:t>
      </w:r>
      <w:r>
        <w:tab/>
        <w:t>Burswood Jetty</w:t>
      </w:r>
      <w:bookmarkEnd w:id="242"/>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804" w:type="dxa"/>
        <w:tblInd w:w="142"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vAlign w:val="bottom"/>
          </w:tcPr>
          <w:p>
            <w:pPr>
              <w:pStyle w:val="yTableNAm"/>
              <w:ind w:right="282"/>
              <w:jc w:val="right"/>
              <w:rPr>
                <w:szCs w:val="24"/>
              </w:rPr>
            </w:pPr>
            <w:r>
              <w:rPr>
                <w:szCs w:val="24"/>
              </w:rPr>
              <w:t>16 114.50</w:t>
            </w:r>
          </w:p>
        </w:tc>
      </w:tr>
      <w:tr>
        <w:trPr>
          <w:cantSplit/>
        </w:trPr>
        <w:tc>
          <w:tcPr>
            <w:tcW w:w="709" w:type="dxa"/>
            <w:noWrap/>
          </w:tcPr>
          <w:p>
            <w:pPr>
              <w:pStyle w:val="yTableNAm"/>
              <w:jc w:val="center"/>
            </w:pPr>
            <w:r>
              <w:t>2.</w:t>
            </w:r>
          </w:p>
        </w:tc>
        <w:tc>
          <w:tcPr>
            <w:tcW w:w="4819" w:type="dxa"/>
            <w:noWrap/>
          </w:tcPr>
          <w:p>
            <w:pPr>
              <w:pStyle w:val="yTableNAm"/>
            </w:pPr>
            <w:r>
              <w:t xml:space="preserve">For the casual daily use of — </w:t>
            </w:r>
          </w:p>
        </w:tc>
        <w:tc>
          <w:tcPr>
            <w:tcW w:w="1276" w:type="dxa"/>
            <w:noWrap/>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2 by a commercial vessel, an amount calculated using standard Rate 1</w:t>
            </w:r>
          </w:p>
        </w:tc>
        <w:tc>
          <w:tcPr>
            <w:tcW w:w="1276" w:type="dxa"/>
            <w:noWrap/>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3 by a recreational vessel, an amount calculated using standard Rate 2</w:t>
            </w:r>
          </w:p>
        </w:tc>
        <w:tc>
          <w:tcPr>
            <w:tcW w:w="1276" w:type="dxa"/>
            <w:noWrap/>
          </w:tcPr>
          <w:p>
            <w:pPr>
              <w:pStyle w:val="yTableNAm"/>
              <w:ind w:right="282"/>
              <w:jc w:val="right"/>
              <w:rPr>
                <w:szCs w:val="24"/>
              </w:rPr>
            </w:pP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annual use of — </w:t>
            </w:r>
          </w:p>
        </w:tc>
        <w:tc>
          <w:tcPr>
            <w:tcW w:w="1276" w:type="dxa"/>
            <w:noWrap/>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Berth 1 (otherwise than under a Berth 1 permit) or Berth 2 by a commercial vessel, an amount calculated using standard Rate 3</w:t>
            </w:r>
          </w:p>
        </w:tc>
        <w:tc>
          <w:tcPr>
            <w:tcW w:w="1276" w:type="dxa"/>
            <w:noWrap/>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316" w:hanging="316"/>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ind w:right="282"/>
              <w:jc w:val="right"/>
              <w:rPr>
                <w:szCs w:val="24"/>
              </w:rPr>
            </w:pPr>
          </w:p>
        </w:tc>
      </w:tr>
    </w:tbl>
    <w:p>
      <w:pPr>
        <w:pStyle w:val="yFootnotesection"/>
      </w:pPr>
      <w:r>
        <w:tab/>
        <w:t>[Clause 10 inserted: SL 2022/48 r. 12.]</w:t>
      </w:r>
    </w:p>
    <w:p>
      <w:pPr>
        <w:pStyle w:val="yHeading5"/>
      </w:pPr>
      <w:bookmarkStart w:id="243" w:name="_Toc135214518"/>
      <w:r>
        <w:rPr>
          <w:rStyle w:val="CharSClsNo"/>
        </w:rPr>
        <w:t>11</w:t>
      </w:r>
      <w:r>
        <w:t>.</w:t>
      </w:r>
      <w:r>
        <w:tab/>
        <w:t>Carnarvon Boat Harbour</w:t>
      </w:r>
      <w:bookmarkEnd w:id="243"/>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401.20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366.80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481.30</w:t>
            </w:r>
          </w:p>
        </w:tc>
      </w:tr>
      <w:tr>
        <w:trPr>
          <w:cantSplit/>
        </w:trPr>
        <w:tc>
          <w:tcPr>
            <w:tcW w:w="709" w:type="dxa"/>
            <w:noWrap/>
          </w:tcPr>
          <w:p>
            <w:pPr>
              <w:pStyle w:val="yTableNAm"/>
              <w:jc w:val="center"/>
            </w:pPr>
            <w:r>
              <w:lastRenderedPageBreak/>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6.</w:t>
            </w:r>
          </w:p>
        </w:tc>
        <w:tc>
          <w:tcPr>
            <w:tcW w:w="4819" w:type="dxa"/>
            <w:noWrap/>
          </w:tcPr>
          <w:p>
            <w:pPr>
              <w:pStyle w:val="yTableNAm"/>
            </w:pPr>
            <w:r>
              <w:t>For the use, other than casual daily use, of a pile mooring, an amount calculated per metre of the vessel’s length using the annual rate of</w:t>
            </w:r>
          </w:p>
        </w:tc>
        <w:tc>
          <w:tcPr>
            <w:tcW w:w="1276" w:type="dxa"/>
            <w:noWrap/>
            <w:vAlign w:val="bottom"/>
          </w:tcPr>
          <w:p>
            <w:pPr>
              <w:pStyle w:val="yTableNAm"/>
              <w:ind w:right="282"/>
              <w:jc w:val="right"/>
              <w:rPr>
                <w:szCs w:val="24"/>
              </w:rPr>
            </w:pPr>
            <w:r>
              <w:rPr>
                <w:szCs w:val="24"/>
              </w:rPr>
              <w:t>225.30</w:t>
            </w:r>
          </w:p>
        </w:tc>
      </w:tr>
      <w:tr>
        <w:trPr>
          <w:cantSplit/>
        </w:trPr>
        <w:tc>
          <w:tcPr>
            <w:tcW w:w="709" w:type="dxa"/>
            <w:noWrap/>
          </w:tcPr>
          <w:p>
            <w:pPr>
              <w:pStyle w:val="yTableNAm"/>
              <w:jc w:val="center"/>
            </w:pPr>
            <w:r>
              <w:t>7.</w:t>
            </w:r>
          </w:p>
        </w:tc>
        <w:tc>
          <w:tcPr>
            <w:tcW w:w="4819" w:type="dxa"/>
            <w:noWrap/>
          </w:tcPr>
          <w:p>
            <w:pPr>
              <w:pStyle w:val="yTableNAm"/>
            </w:pPr>
            <w:r>
              <w:t>For the casual daily use of a pen, alongside berth or pile mooring 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8.</w:t>
            </w:r>
          </w:p>
        </w:tc>
        <w:tc>
          <w:tcPr>
            <w:tcW w:w="4819" w:type="dxa"/>
            <w:noWrap/>
          </w:tcPr>
          <w:p>
            <w:pPr>
              <w:pStyle w:val="yTableNAm"/>
            </w:pPr>
            <w:r>
              <w:t>For the casual daily use of a pen, alongside berth or pile mooring 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keepNext/>
              <w:jc w:val="center"/>
            </w:pPr>
            <w:r>
              <w:t>9.</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rPr>
                <w:szCs w:val="24"/>
              </w:rPr>
            </w:pPr>
          </w:p>
        </w:tc>
      </w:tr>
    </w:tbl>
    <w:p>
      <w:pPr>
        <w:pStyle w:val="yFootnotesection"/>
      </w:pPr>
      <w:r>
        <w:tab/>
        <w:t>[Clause 11 inserted: SL 2022/48 r. 12.]</w:t>
      </w:r>
    </w:p>
    <w:p>
      <w:pPr>
        <w:pStyle w:val="yHeading5"/>
      </w:pPr>
      <w:bookmarkStart w:id="244" w:name="_Toc135214519"/>
      <w:r>
        <w:rPr>
          <w:rStyle w:val="CharSClsNo"/>
        </w:rPr>
        <w:t>12</w:t>
      </w:r>
      <w:r>
        <w:t>.</w:t>
      </w:r>
      <w:r>
        <w:tab/>
        <w:t>Cervantes</w:t>
      </w:r>
      <w:bookmarkEnd w:id="244"/>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lastRenderedPageBreak/>
        <w:tab/>
        <w:t>[Clause 12 inserted: SL 2022/48 r. 12.]</w:t>
      </w:r>
    </w:p>
    <w:p>
      <w:pPr>
        <w:pStyle w:val="yHeading5"/>
      </w:pPr>
      <w:bookmarkStart w:id="245" w:name="_Toc135214520"/>
      <w:r>
        <w:rPr>
          <w:rStyle w:val="CharSClsNo"/>
        </w:rPr>
        <w:t>13</w:t>
      </w:r>
      <w:r>
        <w:t>.</w:t>
      </w:r>
      <w:r>
        <w:tab/>
        <w:t>Coral Bay Maritime Facility</w:t>
      </w:r>
      <w:bookmarkEnd w:id="245"/>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for short term use by any vessel, an amount calculated using standard Rate 3</w:t>
            </w:r>
          </w:p>
        </w:tc>
      </w:tr>
      <w:tr>
        <w:trPr>
          <w:cantSplit/>
        </w:trPr>
        <w:tc>
          <w:tcPr>
            <w:tcW w:w="709" w:type="dxa"/>
            <w:noWrap/>
          </w:tcPr>
          <w:p>
            <w:pPr>
              <w:pStyle w:val="yTableNAm"/>
              <w:jc w:val="center"/>
            </w:pPr>
          </w:p>
        </w:tc>
        <w:tc>
          <w:tcPr>
            <w:tcW w:w="6095" w:type="dxa"/>
            <w:noWrap/>
          </w:tcPr>
          <w:p>
            <w:pPr>
              <w:pStyle w:val="yTableNAm"/>
              <w:ind w:left="316" w:hanging="316"/>
            </w:pPr>
            <w:r>
              <w:t>•</w:t>
            </w:r>
            <w:r>
              <w:tab/>
              <w:t>for casual daily use by a commercial vessel, an amount calculated using standard Rate 1</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casual daily use of a pen or alongside berth by a recreational vessel, an amount calculated using standard Rate 2</w:t>
            </w:r>
          </w:p>
        </w:tc>
      </w:tr>
    </w:tbl>
    <w:p>
      <w:pPr>
        <w:pStyle w:val="yFootnotesection"/>
      </w:pPr>
      <w:r>
        <w:tab/>
        <w:t>[Clause 13 inserted: SL 2022/48 r. 12.]</w:t>
      </w:r>
    </w:p>
    <w:p>
      <w:pPr>
        <w:pStyle w:val="yHeading5"/>
      </w:pPr>
      <w:bookmarkStart w:id="246" w:name="_Toc135214521"/>
      <w:r>
        <w:rPr>
          <w:rStyle w:val="CharSClsNo"/>
        </w:rPr>
        <w:t>14</w:t>
      </w:r>
      <w:r>
        <w:t>.</w:t>
      </w:r>
      <w:r>
        <w:tab/>
        <w:t>Denham Maritime Facility</w:t>
      </w:r>
      <w:bookmarkEnd w:id="246"/>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454.50</w:t>
            </w:r>
          </w:p>
        </w:tc>
      </w:tr>
      <w:tr>
        <w:trPr>
          <w:cantSplit/>
        </w:trPr>
        <w:tc>
          <w:tcPr>
            <w:tcW w:w="709" w:type="dxa"/>
            <w:noWrap/>
          </w:tcPr>
          <w:p>
            <w:pPr>
              <w:pStyle w:val="yTableNAm"/>
              <w:jc w:val="center"/>
            </w:pPr>
            <w:r>
              <w:t>2.</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3.</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r>
        <w:tab/>
        <w:t>[Clause 14 inserted: SL 2022/48 r. 12.]</w:t>
      </w:r>
    </w:p>
    <w:p>
      <w:pPr>
        <w:pStyle w:val="yHeading5"/>
      </w:pPr>
      <w:bookmarkStart w:id="247" w:name="_Toc135214522"/>
      <w:r>
        <w:rPr>
          <w:rStyle w:val="CharSClsNo"/>
        </w:rPr>
        <w:t>15</w:t>
      </w:r>
      <w:r>
        <w:t>.</w:t>
      </w:r>
      <w:r>
        <w:tab/>
        <w:t>Esperance, Bandy Creek Boat Harbour</w:t>
      </w:r>
      <w:bookmarkEnd w:id="247"/>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340.30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489.40</w:t>
            </w:r>
          </w:p>
        </w:tc>
      </w:tr>
      <w:tr>
        <w:trPr>
          <w:cantSplit/>
        </w:trPr>
        <w:tc>
          <w:tcPr>
            <w:tcW w:w="709" w:type="dxa"/>
            <w:noWrap/>
          </w:tcPr>
          <w:p>
            <w:pPr>
              <w:pStyle w:val="yTableNAm"/>
              <w:keepNext/>
              <w:jc w:val="center"/>
            </w:pPr>
            <w:r>
              <w:t>3.</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r>
        <w:tab/>
        <w:t>[Clause 15 inserted: SL 2022/48 r. 12.]</w:t>
      </w:r>
    </w:p>
    <w:p>
      <w:pPr>
        <w:pStyle w:val="yHeading5"/>
      </w:pPr>
      <w:bookmarkStart w:id="248" w:name="_Toc135214523"/>
      <w:r>
        <w:rPr>
          <w:rStyle w:val="CharSClsNo"/>
        </w:rPr>
        <w:lastRenderedPageBreak/>
        <w:t>16</w:t>
      </w:r>
      <w:r>
        <w:t>.</w:t>
      </w:r>
      <w:r>
        <w:tab/>
        <w:t>Exmouth</w:t>
      </w:r>
      <w:bookmarkEnd w:id="248"/>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 a walkway by a service vessel, an amount calculated per metre of the pen’s length using the annual rate of</w:t>
            </w:r>
          </w:p>
        </w:tc>
        <w:tc>
          <w:tcPr>
            <w:tcW w:w="1276" w:type="dxa"/>
            <w:noWrap/>
            <w:vAlign w:val="bottom"/>
          </w:tcPr>
          <w:p>
            <w:pPr>
              <w:pStyle w:val="yTableNAm"/>
              <w:ind w:right="282"/>
              <w:jc w:val="right"/>
              <w:rPr>
                <w:szCs w:val="24"/>
              </w:rPr>
            </w:pPr>
            <w:r>
              <w:rPr>
                <w:szCs w:val="24"/>
              </w:rPr>
              <w:t>765.60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fixed alongside berth by a service vessel, an amount calculated per metre of the vessel’s length using the annual rate of</w:t>
            </w:r>
          </w:p>
        </w:tc>
        <w:tc>
          <w:tcPr>
            <w:tcW w:w="1276" w:type="dxa"/>
            <w:noWrap/>
            <w:vAlign w:val="bottom"/>
          </w:tcPr>
          <w:p>
            <w:pPr>
              <w:pStyle w:val="yTableNAm"/>
              <w:ind w:right="282"/>
              <w:jc w:val="right"/>
              <w:rPr>
                <w:szCs w:val="24"/>
              </w:rPr>
            </w:pPr>
            <w:r>
              <w:rPr>
                <w:szCs w:val="24"/>
              </w:rPr>
              <w:t>765.60</w:t>
            </w:r>
          </w:p>
        </w:tc>
      </w:tr>
      <w:tr>
        <w:trPr>
          <w:cantSplit/>
        </w:trPr>
        <w:tc>
          <w:tcPr>
            <w:tcW w:w="709" w:type="dxa"/>
            <w:noWrap/>
          </w:tcPr>
          <w:p>
            <w:pPr>
              <w:pStyle w:val="yTableNAm"/>
              <w:jc w:val="center"/>
            </w:pPr>
            <w:r>
              <w:t>5.</w:t>
            </w:r>
          </w:p>
        </w:tc>
        <w:tc>
          <w:tcPr>
            <w:tcW w:w="4819" w:type="dxa"/>
            <w:noWrap/>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lastRenderedPageBreak/>
              <w:t>6.</w:t>
            </w:r>
          </w:p>
        </w:tc>
        <w:tc>
          <w:tcPr>
            <w:tcW w:w="4819" w:type="dxa"/>
            <w:noWrap/>
          </w:tcPr>
          <w:p>
            <w:pPr>
              <w:pStyle w:val="yTableNAm"/>
            </w:pPr>
            <w:r>
              <w:t>For the use, other than casual daily use, of a floating pen with a walkway by a service vessel, an amount calculated per metre of the pen’s length using the annual rate of</w:t>
            </w:r>
          </w:p>
        </w:tc>
        <w:tc>
          <w:tcPr>
            <w:tcW w:w="1276" w:type="dxa"/>
            <w:noWrap/>
            <w:vAlign w:val="bottom"/>
          </w:tcPr>
          <w:p>
            <w:pPr>
              <w:pStyle w:val="yTableNAm"/>
              <w:ind w:right="282"/>
              <w:jc w:val="right"/>
              <w:rPr>
                <w:szCs w:val="24"/>
              </w:rPr>
            </w:pPr>
            <w:r>
              <w:rPr>
                <w:szCs w:val="24"/>
              </w:rPr>
              <w:t>904.80</w:t>
            </w:r>
          </w:p>
        </w:tc>
      </w:tr>
      <w:tr>
        <w:trPr>
          <w:cantSplit/>
        </w:trPr>
        <w:tc>
          <w:tcPr>
            <w:tcW w:w="709" w:type="dxa"/>
            <w:noWrap/>
          </w:tcPr>
          <w:p>
            <w:pPr>
              <w:pStyle w:val="yTableNAm"/>
              <w:jc w:val="center"/>
            </w:pPr>
            <w:r>
              <w:t>7.</w:t>
            </w:r>
          </w:p>
        </w:tc>
        <w:tc>
          <w:tcPr>
            <w:tcW w:w="4819" w:type="dxa"/>
            <w:noWrap/>
          </w:tcPr>
          <w:p>
            <w:pPr>
              <w:pStyle w:val="yTableNAm"/>
            </w:pPr>
            <w:r>
              <w:t>For the use, other than casual daily use, of a 25 m pen with a walkway by a vessel, an amount calculated per metre of the pen’s length using the annual rate of</w:t>
            </w:r>
          </w:p>
        </w:tc>
        <w:tc>
          <w:tcPr>
            <w:tcW w:w="1276" w:type="dxa"/>
            <w:noWrap/>
            <w:vAlign w:val="bottom"/>
          </w:tcPr>
          <w:p>
            <w:pPr>
              <w:pStyle w:val="yTableNAm"/>
              <w:ind w:right="282"/>
              <w:jc w:val="right"/>
              <w:rPr>
                <w:szCs w:val="24"/>
              </w:rPr>
            </w:pPr>
            <w:r>
              <w:rPr>
                <w:szCs w:val="24"/>
              </w:rPr>
              <w:t>1 113.60</w:t>
            </w:r>
          </w:p>
        </w:tc>
      </w:tr>
      <w:tr>
        <w:trPr>
          <w:cantSplit/>
        </w:trPr>
        <w:tc>
          <w:tcPr>
            <w:tcW w:w="709" w:type="dxa"/>
            <w:noWrap/>
          </w:tcPr>
          <w:p>
            <w:pPr>
              <w:pStyle w:val="yTableNAm"/>
              <w:jc w:val="center"/>
            </w:pPr>
            <w:r>
              <w:t>8.</w:t>
            </w:r>
          </w:p>
        </w:tc>
        <w:tc>
          <w:tcPr>
            <w:tcW w:w="4819" w:type="dxa"/>
            <w:noWrap/>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9.</w:t>
            </w:r>
          </w:p>
        </w:tc>
        <w:tc>
          <w:tcPr>
            <w:tcW w:w="4819" w:type="dxa"/>
            <w:noWrap/>
          </w:tcPr>
          <w:p>
            <w:pPr>
              <w:pStyle w:val="yTableNAm"/>
            </w:pPr>
            <w:r>
              <w:t>For the use, other than casual daily use, of a floating alongside berth by a service vessel, an amount calculated per metre of the vessel’s length using the annual rate of</w:t>
            </w:r>
          </w:p>
        </w:tc>
        <w:tc>
          <w:tcPr>
            <w:tcW w:w="1276" w:type="dxa"/>
            <w:noWrap/>
            <w:vAlign w:val="bottom"/>
          </w:tcPr>
          <w:p>
            <w:pPr>
              <w:pStyle w:val="yTableNAm"/>
              <w:ind w:right="282"/>
              <w:jc w:val="right"/>
              <w:rPr>
                <w:szCs w:val="24"/>
              </w:rPr>
            </w:pPr>
            <w:r>
              <w:rPr>
                <w:szCs w:val="24"/>
              </w:rPr>
              <w:t>904.80</w:t>
            </w:r>
          </w:p>
        </w:tc>
      </w:tr>
      <w:tr>
        <w:trPr>
          <w:cantSplit/>
        </w:trPr>
        <w:tc>
          <w:tcPr>
            <w:tcW w:w="709" w:type="dxa"/>
            <w:noWrap/>
          </w:tcPr>
          <w:p>
            <w:pPr>
              <w:pStyle w:val="yTableNAm"/>
              <w:keepNext/>
              <w:jc w:val="center"/>
            </w:pPr>
            <w:r>
              <w:t>10.</w:t>
            </w:r>
          </w:p>
        </w:tc>
        <w:tc>
          <w:tcPr>
            <w:tcW w:w="4819" w:type="dxa"/>
            <w:noWrap/>
          </w:tcPr>
          <w:p>
            <w:pPr>
              <w:pStyle w:val="yTableNAm"/>
              <w:keepNext/>
            </w:pPr>
            <w:r>
              <w:t xml:space="preserve">For the casual daily use of a pen or alongside berth — </w:t>
            </w:r>
          </w:p>
        </w:tc>
        <w:tc>
          <w:tcPr>
            <w:tcW w:w="1276"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Government vessel, tourism vessel or fishing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11.</w:t>
            </w:r>
          </w:p>
        </w:tc>
        <w:tc>
          <w:tcPr>
            <w:tcW w:w="4819" w:type="dxa"/>
            <w:noWrap/>
          </w:tcPr>
          <w:p>
            <w:pPr>
              <w:pStyle w:val="yTableNAm"/>
            </w:pPr>
            <w:r>
              <w:t>For the short term use of an alongside berth on a service jetty by a vessel (other than a service vessel), an amount calculated using standard Rate 3</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12.</w:t>
            </w:r>
          </w:p>
        </w:tc>
        <w:tc>
          <w:tcPr>
            <w:tcW w:w="4819" w:type="dxa"/>
            <w:noWrap/>
          </w:tcPr>
          <w:p>
            <w:pPr>
              <w:pStyle w:val="yTableNAm"/>
            </w:pPr>
            <w:r>
              <w:t>For the casual daily use of a pen or alongside berth, other than on a service jetty, by a service vessel, an amount calculated per metre of the vessel’s length using the daily rate of</w:t>
            </w:r>
          </w:p>
        </w:tc>
        <w:tc>
          <w:tcPr>
            <w:tcW w:w="1276" w:type="dxa"/>
            <w:noWrap/>
            <w:vAlign w:val="bottom"/>
          </w:tcPr>
          <w:p>
            <w:pPr>
              <w:pStyle w:val="yTableNAm"/>
              <w:ind w:right="282"/>
              <w:jc w:val="right"/>
              <w:rPr>
                <w:szCs w:val="24"/>
              </w:rPr>
            </w:pPr>
            <w:r>
              <w:rPr>
                <w:szCs w:val="24"/>
              </w:rPr>
              <w:t>12.35</w:t>
            </w:r>
          </w:p>
        </w:tc>
      </w:tr>
      <w:tr>
        <w:trPr>
          <w:cantSplit/>
        </w:trPr>
        <w:tc>
          <w:tcPr>
            <w:tcW w:w="709" w:type="dxa"/>
            <w:tcBorders>
              <w:bottom w:val="single" w:sz="4" w:space="0" w:color="auto"/>
            </w:tcBorders>
            <w:noWrap/>
          </w:tcPr>
          <w:p>
            <w:pPr>
              <w:pStyle w:val="yTableNAm"/>
              <w:jc w:val="center"/>
            </w:pPr>
            <w:r>
              <w:lastRenderedPageBreak/>
              <w:t>13.</w:t>
            </w:r>
          </w:p>
        </w:tc>
        <w:tc>
          <w:tcPr>
            <w:tcW w:w="4819" w:type="dxa"/>
            <w:tcBorders>
              <w:bottom w:val="single" w:sz="4" w:space="0" w:color="auto"/>
            </w:tcBorders>
            <w:noWrap/>
          </w:tcPr>
          <w:p>
            <w:pPr>
              <w:pStyle w:val="yTableNAm"/>
            </w:pPr>
            <w:r>
              <w:t>For the use of a service jetty, other than while refuelling, by a service vessel, an amount calculated per metre of the vessel’s length using the 6</w:t>
            </w:r>
            <w:r>
              <w:noBreakHyphen/>
              <w:t>hourly rate of</w:t>
            </w:r>
          </w:p>
        </w:tc>
        <w:tc>
          <w:tcPr>
            <w:tcW w:w="1276" w:type="dxa"/>
            <w:tcBorders>
              <w:bottom w:val="single" w:sz="4" w:space="0" w:color="auto"/>
            </w:tcBorders>
            <w:noWrap/>
            <w:vAlign w:val="bottom"/>
          </w:tcPr>
          <w:p>
            <w:pPr>
              <w:pStyle w:val="yTableNAm"/>
              <w:ind w:right="282"/>
              <w:jc w:val="right"/>
              <w:rPr>
                <w:szCs w:val="24"/>
              </w:rPr>
            </w:pPr>
            <w:r>
              <w:rPr>
                <w:szCs w:val="24"/>
              </w:rPr>
              <w:t>9.50</w:t>
            </w:r>
          </w:p>
        </w:tc>
      </w:tr>
    </w:tbl>
    <w:p>
      <w:pPr>
        <w:pStyle w:val="yFootnotesection"/>
      </w:pPr>
      <w:r>
        <w:tab/>
        <w:t>[Clause 16 inserted: SL 2022/48 r. 12.]</w:t>
      </w:r>
    </w:p>
    <w:p>
      <w:pPr>
        <w:pStyle w:val="yHeading5"/>
      </w:pPr>
      <w:bookmarkStart w:id="249" w:name="_Toc135214524"/>
      <w:r>
        <w:rPr>
          <w:rStyle w:val="CharSClsNo"/>
        </w:rPr>
        <w:t>17</w:t>
      </w:r>
      <w:r>
        <w:t>.</w:t>
      </w:r>
      <w:r>
        <w:tab/>
        <w:t>Fremantle Fishing Boat Harbour</w:t>
      </w:r>
      <w:bookmarkEnd w:id="249"/>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For the use, other than casual daily use, of a fixed pen without a walkway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2.</w:t>
            </w:r>
          </w:p>
        </w:tc>
        <w:tc>
          <w:tcPr>
            <w:tcW w:w="4819" w:type="dxa"/>
            <w:noWrap/>
          </w:tcPr>
          <w:p>
            <w:pPr>
              <w:pStyle w:val="yTableNAm"/>
            </w:pPr>
            <w:r>
              <w:t xml:space="preserve">For the use, other than casual daily use, of a fixed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per metre of the vessel’s length using the annual rate of</w:t>
            </w:r>
          </w:p>
        </w:tc>
        <w:tc>
          <w:tcPr>
            <w:tcW w:w="1276" w:type="dxa"/>
            <w:noWrap/>
            <w:vAlign w:val="bottom"/>
          </w:tcPr>
          <w:p>
            <w:pPr>
              <w:pStyle w:val="yTableNAm"/>
              <w:ind w:right="282"/>
              <w:jc w:val="right"/>
              <w:rPr>
                <w:szCs w:val="24"/>
              </w:rPr>
            </w:pPr>
            <w:r>
              <w:rPr>
                <w:szCs w:val="24"/>
              </w:rPr>
              <w:t>550.90</w:t>
            </w: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lastRenderedPageBreak/>
              <w:t>4.</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5.</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keepNext/>
              <w:jc w:val="center"/>
            </w:pPr>
            <w:r>
              <w:t>6.</w:t>
            </w:r>
          </w:p>
        </w:tc>
        <w:tc>
          <w:tcPr>
            <w:tcW w:w="4819" w:type="dxa"/>
            <w:tcBorders>
              <w:bottom w:val="single" w:sz="4" w:space="0" w:color="auto"/>
            </w:tcBorders>
            <w:noWrap/>
          </w:tcPr>
          <w:p>
            <w:pPr>
              <w:pStyle w:val="yTableNAm"/>
              <w:keepNext/>
            </w:pPr>
            <w:r>
              <w:t>For the short term use of a service jetty, an amount calculated using standard Rate 3</w:t>
            </w:r>
          </w:p>
        </w:tc>
        <w:tc>
          <w:tcPr>
            <w:tcW w:w="1276" w:type="dxa"/>
            <w:tcBorders>
              <w:bottom w:val="single" w:sz="4" w:space="0" w:color="auto"/>
            </w:tcBorders>
            <w:noWrap/>
            <w:vAlign w:val="bottom"/>
          </w:tcPr>
          <w:p>
            <w:pPr>
              <w:pStyle w:val="yTableNAm"/>
              <w:keepNext/>
              <w:ind w:right="282"/>
              <w:jc w:val="right"/>
              <w:rPr>
                <w:szCs w:val="24"/>
              </w:rPr>
            </w:pPr>
          </w:p>
        </w:tc>
      </w:tr>
    </w:tbl>
    <w:p>
      <w:pPr>
        <w:pStyle w:val="yFootnotesection"/>
      </w:pPr>
      <w:r>
        <w:tab/>
        <w:t>[Clause 17 inserted: SL 2022/48 r. 12.]</w:t>
      </w:r>
    </w:p>
    <w:p>
      <w:pPr>
        <w:pStyle w:val="yHeading5"/>
      </w:pPr>
      <w:bookmarkStart w:id="250" w:name="_Toc135214525"/>
      <w:r>
        <w:rPr>
          <w:rStyle w:val="CharSClsNo"/>
        </w:rPr>
        <w:t>18</w:t>
      </w:r>
      <w:r>
        <w:t>.</w:t>
      </w:r>
      <w:r>
        <w:tab/>
        <w:t>Geraldton, Batavia Coast Boat Harbour</w:t>
      </w:r>
      <w:bookmarkEnd w:id="250"/>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floating pen with a walkway by a vessel,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floating alongside berth by a vessel,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r>
        <w:tab/>
        <w:t>[Clause 18 inserted: SL 2022/48 r. 12.]</w:t>
      </w:r>
    </w:p>
    <w:p>
      <w:pPr>
        <w:pStyle w:val="yHeading5"/>
      </w:pPr>
      <w:bookmarkStart w:id="251" w:name="_Toc135214526"/>
      <w:r>
        <w:rPr>
          <w:rStyle w:val="CharSClsNo"/>
        </w:rPr>
        <w:t>19</w:t>
      </w:r>
      <w:r>
        <w:t>.</w:t>
      </w:r>
      <w:r>
        <w:tab/>
        <w:t>Green Head</w:t>
      </w:r>
      <w:bookmarkEnd w:id="251"/>
    </w:p>
    <w:p>
      <w:pPr>
        <w:pStyle w:val="ySubsection"/>
      </w:pPr>
      <w:r>
        <w:tab/>
        <w:t>(1)</w:t>
      </w:r>
      <w:r>
        <w:tab/>
        <w:t>This clause applies to Green Head.</w:t>
      </w:r>
    </w:p>
    <w:p>
      <w:pPr>
        <w:pStyle w:val="ySubsection"/>
        <w:keepNext/>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19 inserted: SL 2022/48 r. 12.]</w:t>
      </w:r>
    </w:p>
    <w:p>
      <w:pPr>
        <w:pStyle w:val="yHeading5"/>
      </w:pPr>
      <w:bookmarkStart w:id="252" w:name="_Toc135214527"/>
      <w:r>
        <w:rPr>
          <w:rStyle w:val="CharSClsNo"/>
        </w:rPr>
        <w:t>20</w:t>
      </w:r>
      <w:r>
        <w:t>.</w:t>
      </w:r>
      <w:r>
        <w:tab/>
        <w:t>Hopetoun</w:t>
      </w:r>
      <w:bookmarkEnd w:id="252"/>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20 inserted: SL 2022/48 r. 12.]</w:t>
      </w:r>
    </w:p>
    <w:p>
      <w:pPr>
        <w:pStyle w:val="yHeading5"/>
      </w:pPr>
      <w:bookmarkStart w:id="253" w:name="_Toc135214528"/>
      <w:r>
        <w:rPr>
          <w:rStyle w:val="CharSClsNo"/>
        </w:rPr>
        <w:t>21</w:t>
      </w:r>
      <w:r>
        <w:t>.</w:t>
      </w:r>
      <w:r>
        <w:tab/>
        <w:t>Jurien Boat Harbour</w:t>
      </w:r>
      <w:bookmarkEnd w:id="253"/>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r>
        <w:tab/>
        <w:t>[Clause 21 inserted: SL 2022/48 r. 12.]</w:t>
      </w:r>
    </w:p>
    <w:p>
      <w:pPr>
        <w:pStyle w:val="yHeading5"/>
      </w:pPr>
      <w:bookmarkStart w:id="254" w:name="_Toc135214529"/>
      <w:r>
        <w:rPr>
          <w:rStyle w:val="CharSClsNo"/>
        </w:rPr>
        <w:lastRenderedPageBreak/>
        <w:t>22</w:t>
      </w:r>
      <w:r>
        <w:t>.</w:t>
      </w:r>
      <w:r>
        <w:tab/>
        <w:t>Kalbarri Boat Harbour</w:t>
      </w:r>
      <w:bookmarkEnd w:id="254"/>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446.40</w:t>
            </w:r>
          </w:p>
        </w:tc>
      </w:tr>
      <w:tr>
        <w:trPr>
          <w:cantSplit/>
        </w:trPr>
        <w:tc>
          <w:tcPr>
            <w:tcW w:w="709" w:type="dxa"/>
            <w:noWrap/>
          </w:tcPr>
          <w:p>
            <w:pPr>
              <w:pStyle w:val="yTableNAm"/>
              <w:keepNext/>
              <w:jc w:val="center"/>
            </w:pPr>
            <w:r>
              <w:t>2.</w:t>
            </w:r>
          </w:p>
        </w:tc>
        <w:tc>
          <w:tcPr>
            <w:tcW w:w="4819" w:type="dxa"/>
            <w:noWrap/>
          </w:tcPr>
          <w:p>
            <w:pPr>
              <w:pStyle w:val="yTableNAm"/>
              <w:keepNext/>
            </w:pPr>
            <w:r>
              <w:t>For the use, other than casual daily use, of a fixed alongside berth, an amount calculated per metre of the vessel’s length using the annual rate of</w:t>
            </w:r>
          </w:p>
        </w:tc>
        <w:tc>
          <w:tcPr>
            <w:tcW w:w="1276" w:type="dxa"/>
            <w:noWrap/>
            <w:vAlign w:val="bottom"/>
          </w:tcPr>
          <w:p>
            <w:pPr>
              <w:pStyle w:val="yTableNAm"/>
              <w:keepNext/>
              <w:ind w:right="282"/>
              <w:jc w:val="right"/>
              <w:rPr>
                <w:szCs w:val="24"/>
              </w:rPr>
            </w:pPr>
            <w:r>
              <w:rPr>
                <w:szCs w:val="24"/>
              </w:rPr>
              <w:t>446.40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r>
        <w:tab/>
        <w:t>[Clause 22 inserted: SL 2022/48 r. 12.]</w:t>
      </w:r>
    </w:p>
    <w:p>
      <w:pPr>
        <w:pStyle w:val="yHeading5"/>
      </w:pPr>
      <w:bookmarkStart w:id="255" w:name="_Toc135214530"/>
      <w:r>
        <w:rPr>
          <w:rStyle w:val="CharSClsNo"/>
        </w:rPr>
        <w:t>23</w:t>
      </w:r>
      <w:r>
        <w:t>.</w:t>
      </w:r>
      <w:r>
        <w:tab/>
        <w:t>Lancelin</w:t>
      </w:r>
      <w:bookmarkEnd w:id="255"/>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23 inserted: SL 2022/48 r. 12.]</w:t>
      </w:r>
    </w:p>
    <w:p>
      <w:pPr>
        <w:pStyle w:val="yHeading5"/>
      </w:pPr>
      <w:bookmarkStart w:id="256" w:name="_Toc135214531"/>
      <w:r>
        <w:rPr>
          <w:rStyle w:val="CharSClsNo"/>
        </w:rPr>
        <w:t>24</w:t>
      </w:r>
      <w:r>
        <w:t>.</w:t>
      </w:r>
      <w:r>
        <w:tab/>
        <w:t>Leeman</w:t>
      </w:r>
      <w:bookmarkEnd w:id="256"/>
    </w:p>
    <w:p>
      <w:pPr>
        <w:pStyle w:val="ySubsection"/>
      </w:pPr>
      <w:r>
        <w:tab/>
        <w:t>(1)</w:t>
      </w:r>
      <w:r>
        <w:tab/>
        <w:t>This clause applies to Leeman.</w:t>
      </w:r>
    </w:p>
    <w:p>
      <w:pPr>
        <w:pStyle w:val="ySubsection"/>
      </w:pPr>
      <w:r>
        <w:tab/>
        <w:t>(2)</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53"/>
        <w:gridCol w:w="5994"/>
      </w:tblGrid>
      <w:tr>
        <w:trPr>
          <w:cantSplit/>
          <w:tblHeader/>
        </w:trPr>
        <w:tc>
          <w:tcPr>
            <w:tcW w:w="753" w:type="dxa"/>
            <w:tcBorders>
              <w:top w:val="single" w:sz="4" w:space="0" w:color="auto"/>
              <w:bottom w:val="single" w:sz="4" w:space="0" w:color="auto"/>
            </w:tcBorders>
            <w:noWrap/>
          </w:tcPr>
          <w:p>
            <w:pPr>
              <w:pStyle w:val="yTableNAm"/>
              <w:jc w:val="center"/>
              <w:rPr>
                <w:b/>
              </w:rPr>
            </w:pPr>
            <w:r>
              <w:rPr>
                <w:b/>
              </w:rPr>
              <w:t>Item</w:t>
            </w:r>
          </w:p>
        </w:tc>
        <w:tc>
          <w:tcPr>
            <w:tcW w:w="5994"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53" w:type="dxa"/>
            <w:noWrap/>
          </w:tcPr>
          <w:p>
            <w:pPr>
              <w:pStyle w:val="yTableNAm"/>
              <w:jc w:val="center"/>
            </w:pPr>
            <w:r>
              <w:t>1.</w:t>
            </w:r>
          </w:p>
        </w:tc>
        <w:tc>
          <w:tcPr>
            <w:tcW w:w="5994" w:type="dxa"/>
            <w:noWrap/>
          </w:tcPr>
          <w:p>
            <w:pPr>
              <w:pStyle w:val="yTableNAm"/>
            </w:pPr>
            <w:r>
              <w:t xml:space="preserve">For the casual daily use of an alongside berth — </w:t>
            </w:r>
          </w:p>
        </w:tc>
      </w:tr>
      <w:tr>
        <w:trPr>
          <w:cantSplit/>
        </w:trPr>
        <w:tc>
          <w:tcPr>
            <w:tcW w:w="753" w:type="dxa"/>
            <w:noWrap/>
          </w:tcPr>
          <w:p>
            <w:pPr>
              <w:pStyle w:val="yTableNAm"/>
              <w:jc w:val="center"/>
            </w:pPr>
          </w:p>
        </w:tc>
        <w:tc>
          <w:tcPr>
            <w:tcW w:w="5994" w:type="dxa"/>
            <w:noWrap/>
          </w:tcPr>
          <w:p>
            <w:pPr>
              <w:pStyle w:val="yTableNAm"/>
              <w:ind w:left="316" w:hanging="316"/>
            </w:pPr>
            <w:r>
              <w:t>•</w:t>
            </w:r>
            <w:r>
              <w:tab/>
              <w:t>by a commercial vessel, an amount calculated using standard Rate 1</w:t>
            </w:r>
          </w:p>
        </w:tc>
      </w:tr>
      <w:tr>
        <w:trPr>
          <w:cantSplit/>
        </w:trPr>
        <w:tc>
          <w:tcPr>
            <w:tcW w:w="753" w:type="dxa"/>
            <w:noWrap/>
          </w:tcPr>
          <w:p>
            <w:pPr>
              <w:pStyle w:val="yTableNAm"/>
              <w:jc w:val="center"/>
            </w:pPr>
          </w:p>
        </w:tc>
        <w:tc>
          <w:tcPr>
            <w:tcW w:w="5994" w:type="dxa"/>
            <w:noWrap/>
          </w:tcPr>
          <w:p>
            <w:pPr>
              <w:pStyle w:val="yTableNAm"/>
              <w:ind w:left="316" w:hanging="316"/>
            </w:pPr>
            <w:r>
              <w:t>•</w:t>
            </w:r>
            <w:r>
              <w:tab/>
              <w:t>by a recreational vessel, an amount calculated using standard Rate 2</w:t>
            </w:r>
          </w:p>
        </w:tc>
      </w:tr>
      <w:tr>
        <w:trPr>
          <w:cantSplit/>
        </w:trPr>
        <w:tc>
          <w:tcPr>
            <w:tcW w:w="753" w:type="dxa"/>
            <w:tcBorders>
              <w:bottom w:val="single" w:sz="4" w:space="0" w:color="auto"/>
            </w:tcBorders>
            <w:noWrap/>
          </w:tcPr>
          <w:p>
            <w:pPr>
              <w:pStyle w:val="yTableNAm"/>
              <w:jc w:val="center"/>
            </w:pPr>
            <w:r>
              <w:t>2.</w:t>
            </w:r>
          </w:p>
        </w:tc>
        <w:tc>
          <w:tcPr>
            <w:tcW w:w="5994"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24 inserted: SL 2022/48 r. 12.]</w:t>
      </w:r>
    </w:p>
    <w:p>
      <w:pPr>
        <w:pStyle w:val="yHeading5"/>
      </w:pPr>
      <w:bookmarkStart w:id="257" w:name="_Toc135214532"/>
      <w:r>
        <w:rPr>
          <w:rStyle w:val="CharSClsNo"/>
        </w:rPr>
        <w:t>25</w:t>
      </w:r>
      <w:r>
        <w:t>.</w:t>
      </w:r>
      <w:r>
        <w:tab/>
        <w:t>Onslow, Beadon Creek Boat Harbour</w:t>
      </w:r>
      <w:bookmarkEnd w:id="257"/>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lastRenderedPageBreak/>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tcBorders>
            <w:noWrap/>
          </w:tcPr>
          <w:p>
            <w:pPr>
              <w:pStyle w:val="yTableNAm"/>
              <w:jc w:val="center"/>
            </w:pPr>
            <w:r>
              <w:t>1.</w:t>
            </w:r>
          </w:p>
        </w:tc>
        <w:tc>
          <w:tcPr>
            <w:tcW w:w="4819" w:type="dxa"/>
            <w:tcBorders>
              <w:top w:val="single" w:sz="4" w:space="0" w:color="auto"/>
            </w:tcBorders>
            <w:noWrap/>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19" w:type="dxa"/>
            <w:tcBorders>
              <w:top w:val="single" w:sz="4" w:space="0" w:color="auto"/>
            </w:tcBorders>
            <w:noWrap/>
            <w:vAlign w:val="bottom"/>
          </w:tcPr>
          <w:p>
            <w:pPr>
              <w:pStyle w:val="yTableNAm"/>
              <w:ind w:right="282"/>
              <w:jc w:val="right"/>
              <w:rPr>
                <w:szCs w:val="24"/>
              </w:rPr>
            </w:pPr>
            <w:r>
              <w:rPr>
                <w:szCs w:val="24"/>
              </w:rPr>
              <w:t>278.40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pile mooring by a service vessel, an amount calculated per metre of the vessel’s length using the annual rate of</w:t>
            </w:r>
          </w:p>
        </w:tc>
        <w:tc>
          <w:tcPr>
            <w:tcW w:w="1219"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3.</w:t>
            </w:r>
          </w:p>
        </w:tc>
        <w:tc>
          <w:tcPr>
            <w:tcW w:w="4819" w:type="dxa"/>
            <w:noWrap/>
          </w:tcPr>
          <w:p>
            <w:pPr>
              <w:pStyle w:val="yTableNAm"/>
            </w:pPr>
            <w:r>
              <w:t xml:space="preserve">For the casual daily use of an alongside berth or pile mooring — </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Government vessel, tourism vessel or fishing vessel, an amount calculated using standard Rate 1</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4.</w:t>
            </w:r>
          </w:p>
        </w:tc>
        <w:tc>
          <w:tcPr>
            <w:tcW w:w="4819" w:type="dxa"/>
            <w:noWrap/>
          </w:tcPr>
          <w:p>
            <w:pPr>
              <w:pStyle w:val="yTableNAm"/>
            </w:pPr>
            <w:r>
              <w:t>For the short term use of a service jetty by a vessel (other than a service vessel), an amount calculated using standard Rate 3</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5.</w:t>
            </w:r>
          </w:p>
        </w:tc>
        <w:tc>
          <w:tcPr>
            <w:tcW w:w="4819" w:type="dxa"/>
            <w:noWrap/>
          </w:tcPr>
          <w:p>
            <w:pPr>
              <w:pStyle w:val="yTableNAm"/>
            </w:pPr>
            <w:r>
              <w:t>For the casual daily use of a pile mooring by a service vessel, an amount calculated per metre of the vessel’s length using the daily rate of</w:t>
            </w:r>
          </w:p>
        </w:tc>
        <w:tc>
          <w:tcPr>
            <w:tcW w:w="1219" w:type="dxa"/>
            <w:noWrap/>
            <w:vAlign w:val="bottom"/>
          </w:tcPr>
          <w:p>
            <w:pPr>
              <w:pStyle w:val="yTableNAm"/>
              <w:ind w:right="282"/>
              <w:jc w:val="right"/>
              <w:rPr>
                <w:szCs w:val="24"/>
              </w:rPr>
            </w:pPr>
            <w:r>
              <w:rPr>
                <w:szCs w:val="24"/>
              </w:rPr>
              <w:t>11.00</w:t>
            </w:r>
          </w:p>
        </w:tc>
      </w:tr>
      <w:tr>
        <w:trPr>
          <w:cantSplit/>
        </w:trPr>
        <w:tc>
          <w:tcPr>
            <w:tcW w:w="709" w:type="dxa"/>
            <w:noWrap/>
          </w:tcPr>
          <w:p>
            <w:pPr>
              <w:pStyle w:val="yTableNAm"/>
              <w:jc w:val="center"/>
            </w:pPr>
            <w:r>
              <w:t>6.</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19" w:type="dxa"/>
            <w:noWrap/>
            <w:vAlign w:val="bottom"/>
          </w:tcPr>
          <w:p>
            <w:pPr>
              <w:pStyle w:val="yTableNAm"/>
              <w:ind w:right="282"/>
              <w:jc w:val="right"/>
              <w:rPr>
                <w:szCs w:val="24"/>
              </w:rPr>
            </w:pPr>
            <w:r>
              <w:rPr>
                <w:szCs w:val="24"/>
              </w:rPr>
              <w:t>83.50</w:t>
            </w:r>
          </w:p>
        </w:tc>
      </w:tr>
      <w:tr>
        <w:trPr>
          <w:cantSplit/>
        </w:trPr>
        <w:tc>
          <w:tcPr>
            <w:tcW w:w="709" w:type="dxa"/>
            <w:noWrap/>
          </w:tcPr>
          <w:p>
            <w:pPr>
              <w:pStyle w:val="yTableNAm"/>
              <w:jc w:val="center"/>
            </w:pPr>
            <w:r>
              <w:lastRenderedPageBreak/>
              <w:t>7.</w:t>
            </w:r>
          </w:p>
        </w:tc>
        <w:tc>
          <w:tcPr>
            <w:tcW w:w="4819" w:type="dxa"/>
            <w:noWrap/>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19" w:type="dxa"/>
            <w:noWrap/>
            <w:vAlign w:val="bottom"/>
          </w:tcPr>
          <w:p>
            <w:pPr>
              <w:pStyle w:val="yTableNAm"/>
              <w:ind w:right="282"/>
              <w:jc w:val="right"/>
              <w:rPr>
                <w:szCs w:val="24"/>
              </w:rPr>
            </w:pPr>
            <w:r>
              <w:rPr>
                <w:szCs w:val="24"/>
              </w:rPr>
              <w:t>25.05</w:t>
            </w:r>
          </w:p>
        </w:tc>
      </w:tr>
      <w:tr>
        <w:trPr>
          <w:cantSplit/>
        </w:trPr>
        <w:tc>
          <w:tcPr>
            <w:tcW w:w="709" w:type="dxa"/>
            <w:tcBorders>
              <w:bottom w:val="single" w:sz="4" w:space="0" w:color="auto"/>
            </w:tcBorders>
            <w:noWrap/>
          </w:tcPr>
          <w:p>
            <w:pPr>
              <w:pStyle w:val="yTableNAm"/>
              <w:jc w:val="center"/>
            </w:pPr>
            <w:r>
              <w:t>8.</w:t>
            </w:r>
          </w:p>
        </w:tc>
        <w:tc>
          <w:tcPr>
            <w:tcW w:w="4819" w:type="dxa"/>
            <w:tcBorders>
              <w:bottom w:val="single" w:sz="4" w:space="0" w:color="auto"/>
            </w:tcBorders>
            <w:noWrap/>
          </w:tcPr>
          <w:p>
            <w:pPr>
              <w:pStyle w:val="yTableNAm"/>
            </w:pPr>
            <w:r>
              <w:t>For the use of the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ind w:right="282"/>
              <w:jc w:val="right"/>
              <w:rPr>
                <w:szCs w:val="24"/>
              </w:rPr>
            </w:pPr>
            <w:r>
              <w:rPr>
                <w:szCs w:val="24"/>
              </w:rPr>
              <w:t>9.50</w:t>
            </w:r>
          </w:p>
        </w:tc>
      </w:tr>
    </w:tbl>
    <w:p>
      <w:pPr>
        <w:pStyle w:val="yFootnotesection"/>
      </w:pPr>
      <w:r>
        <w:tab/>
        <w:t>[Clause 25 inserted: SL 2022/48 r. 12.]</w:t>
      </w:r>
    </w:p>
    <w:p>
      <w:pPr>
        <w:pStyle w:val="yHeading5"/>
      </w:pPr>
      <w:bookmarkStart w:id="258" w:name="_Toc135214533"/>
      <w:r>
        <w:rPr>
          <w:rStyle w:val="CharSClsNo"/>
        </w:rPr>
        <w:t>26</w:t>
      </w:r>
      <w:r>
        <w:t>.</w:t>
      </w:r>
      <w:r>
        <w:tab/>
        <w:t>Point Samson, Johns Creek Boat Harbour</w:t>
      </w:r>
      <w:bookmarkEnd w:id="258"/>
    </w:p>
    <w:p>
      <w:pPr>
        <w:pStyle w:val="ySubsection"/>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747"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1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19"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19"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alongside berth at a service jetty by a service vessel, an amount calculated per metre of the vessel’s length using the annual rate of</w:t>
            </w:r>
          </w:p>
        </w:tc>
        <w:tc>
          <w:tcPr>
            <w:tcW w:w="1219" w:type="dxa"/>
            <w:noWrap/>
            <w:vAlign w:val="bottom"/>
          </w:tcPr>
          <w:p>
            <w:pPr>
              <w:pStyle w:val="yTableNAm"/>
              <w:ind w:right="282"/>
              <w:jc w:val="right"/>
              <w:rPr>
                <w:szCs w:val="24"/>
              </w:rPr>
            </w:pPr>
            <w:r>
              <w:rPr>
                <w:szCs w:val="24"/>
              </w:rPr>
              <w:t>765.60</w:t>
            </w:r>
          </w:p>
        </w:tc>
      </w:tr>
      <w:tr>
        <w:trPr>
          <w:cantSplit/>
        </w:trPr>
        <w:tc>
          <w:tcPr>
            <w:tcW w:w="709" w:type="dxa"/>
            <w:noWrap/>
          </w:tcPr>
          <w:p>
            <w:pPr>
              <w:pStyle w:val="yTableNAm"/>
              <w:jc w:val="center"/>
            </w:pPr>
            <w:r>
              <w:t>3.</w:t>
            </w:r>
          </w:p>
        </w:tc>
        <w:tc>
          <w:tcPr>
            <w:tcW w:w="4819" w:type="dxa"/>
            <w:noWrap/>
          </w:tcPr>
          <w:p>
            <w:pPr>
              <w:pStyle w:val="yTableNAm"/>
            </w:pPr>
            <w:r>
              <w:t>For the casual daily use of a berth at a service jetty by a Government vessel, tourism vessel or fishing vessel, an amount calculated using standard Rate 1</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lastRenderedPageBreak/>
              <w:t>4.</w:t>
            </w:r>
          </w:p>
        </w:tc>
        <w:tc>
          <w:tcPr>
            <w:tcW w:w="4819" w:type="dxa"/>
            <w:noWrap/>
          </w:tcPr>
          <w:p>
            <w:pPr>
              <w:pStyle w:val="yTableNAm"/>
            </w:pPr>
            <w:r>
              <w:t>For the casual daily use of a service jetty by a recreational vessel, an amount calculated using standard Rate 2</w:t>
            </w:r>
          </w:p>
        </w:tc>
        <w:tc>
          <w:tcPr>
            <w:tcW w:w="1219" w:type="dxa"/>
            <w:noWrap/>
            <w:vAlign w:val="bottom"/>
          </w:tcPr>
          <w:p>
            <w:pPr>
              <w:pStyle w:val="yTableNAm"/>
              <w:ind w:right="282"/>
              <w:jc w:val="right"/>
              <w:rPr>
                <w:szCs w:val="24"/>
              </w:rPr>
            </w:pPr>
          </w:p>
        </w:tc>
      </w:tr>
      <w:tr>
        <w:trPr>
          <w:cantSplit/>
        </w:trPr>
        <w:tc>
          <w:tcPr>
            <w:tcW w:w="709" w:type="dxa"/>
            <w:noWrap/>
          </w:tcPr>
          <w:p>
            <w:pPr>
              <w:pStyle w:val="yTableNAm"/>
              <w:jc w:val="center"/>
            </w:pPr>
            <w:r>
              <w:t>5.</w:t>
            </w:r>
          </w:p>
        </w:tc>
        <w:tc>
          <w:tcPr>
            <w:tcW w:w="4819" w:type="dxa"/>
            <w:noWrap/>
          </w:tcPr>
          <w:p>
            <w:pPr>
              <w:pStyle w:val="yTableNAm"/>
            </w:pPr>
            <w:r>
              <w:t>For the short term use of a berth at a service jetty by a vessel (other than a service vessel), an amount calculated using standard Rate 3</w:t>
            </w:r>
          </w:p>
        </w:tc>
        <w:tc>
          <w:tcPr>
            <w:tcW w:w="1219"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6.</w:t>
            </w:r>
          </w:p>
        </w:tc>
        <w:tc>
          <w:tcPr>
            <w:tcW w:w="4819" w:type="dxa"/>
            <w:tcBorders>
              <w:bottom w:val="single" w:sz="4" w:space="0" w:color="auto"/>
            </w:tcBorders>
            <w:noWrap/>
          </w:tcPr>
          <w:p>
            <w:pPr>
              <w:pStyle w:val="yTableNAm"/>
            </w:pPr>
            <w:r>
              <w:t>For the use of a berth at a service jetty by a service vessel, an amount calculated per metre of the vessel’s length using the 6</w:t>
            </w:r>
            <w:r>
              <w:noBreakHyphen/>
              <w:t>hourly rate of</w:t>
            </w:r>
          </w:p>
        </w:tc>
        <w:tc>
          <w:tcPr>
            <w:tcW w:w="1219" w:type="dxa"/>
            <w:tcBorders>
              <w:bottom w:val="single" w:sz="4" w:space="0" w:color="auto"/>
            </w:tcBorders>
            <w:noWrap/>
            <w:vAlign w:val="bottom"/>
          </w:tcPr>
          <w:p>
            <w:pPr>
              <w:pStyle w:val="yTableNAm"/>
              <w:ind w:right="282"/>
              <w:jc w:val="right"/>
              <w:rPr>
                <w:szCs w:val="24"/>
              </w:rPr>
            </w:pPr>
            <w:r>
              <w:rPr>
                <w:szCs w:val="24"/>
              </w:rPr>
              <w:t>9.50</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For the use of a careening pad by a vessel, an amount per day of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if the vessel is 15 m or less in length</w:t>
            </w:r>
          </w:p>
        </w:tc>
        <w:tc>
          <w:tcPr>
            <w:tcW w:w="1276" w:type="dxa"/>
            <w:noWrap/>
            <w:vAlign w:val="bottom"/>
          </w:tcPr>
          <w:p>
            <w:pPr>
              <w:pStyle w:val="yTableNAm"/>
              <w:ind w:right="282"/>
              <w:jc w:val="right"/>
              <w:rPr>
                <w:szCs w:val="24"/>
              </w:rPr>
            </w:pPr>
            <w:r>
              <w:rPr>
                <w:szCs w:val="24"/>
              </w:rPr>
              <w:t>227.35</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316" w:hanging="316"/>
            </w:pPr>
            <w:r>
              <w:t>•</w:t>
            </w:r>
            <w:r>
              <w:tab/>
              <w:t>if the vessel is over 15 m in length</w:t>
            </w:r>
          </w:p>
        </w:tc>
        <w:tc>
          <w:tcPr>
            <w:tcW w:w="1276" w:type="dxa"/>
            <w:tcBorders>
              <w:bottom w:val="single" w:sz="4" w:space="0" w:color="auto"/>
            </w:tcBorders>
            <w:noWrap/>
            <w:vAlign w:val="bottom"/>
          </w:tcPr>
          <w:p>
            <w:pPr>
              <w:pStyle w:val="yTableNAm"/>
              <w:ind w:right="282"/>
              <w:jc w:val="right"/>
              <w:rPr>
                <w:szCs w:val="24"/>
              </w:rPr>
            </w:pPr>
            <w:r>
              <w:rPr>
                <w:szCs w:val="24"/>
              </w:rPr>
              <w:t>331.90</w:t>
            </w:r>
          </w:p>
        </w:tc>
      </w:tr>
    </w:tbl>
    <w:p>
      <w:pPr>
        <w:pStyle w:val="yFootnotesection"/>
      </w:pPr>
      <w:r>
        <w:tab/>
        <w:t>[Clause 26 inserted: SL 2022/48 r. 12.]</w:t>
      </w:r>
    </w:p>
    <w:p>
      <w:pPr>
        <w:pStyle w:val="yHeading5"/>
      </w:pPr>
      <w:bookmarkStart w:id="259" w:name="_Toc135214534"/>
      <w:r>
        <w:rPr>
          <w:rStyle w:val="CharSClsNo"/>
        </w:rPr>
        <w:t>27</w:t>
      </w:r>
      <w:r>
        <w:t>.</w:t>
      </w:r>
      <w:r>
        <w:tab/>
        <w:t>Port Denison</w:t>
      </w:r>
      <w:bookmarkEnd w:id="259"/>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460.40</w:t>
            </w:r>
          </w:p>
        </w:tc>
      </w:tr>
      <w:tr>
        <w:trPr>
          <w:cantSplit/>
        </w:trPr>
        <w:tc>
          <w:tcPr>
            <w:tcW w:w="709" w:type="dxa"/>
            <w:noWrap/>
          </w:tcPr>
          <w:p>
            <w:pPr>
              <w:pStyle w:val="yTableNAm"/>
              <w:jc w:val="center"/>
            </w:pPr>
            <w:r>
              <w:lastRenderedPageBreak/>
              <w:t>2.</w:t>
            </w:r>
          </w:p>
        </w:tc>
        <w:tc>
          <w:tcPr>
            <w:tcW w:w="4819" w:type="dxa"/>
            <w:noWrap/>
          </w:tcPr>
          <w:p>
            <w:pPr>
              <w:pStyle w:val="yTableNAm"/>
            </w:pPr>
            <w:r>
              <w:t>For the casual daily use of an alongside berth 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r>
              <w:t>3.</w:t>
            </w:r>
          </w:p>
        </w:tc>
        <w:tc>
          <w:tcPr>
            <w:tcW w:w="4819" w:type="dxa"/>
            <w:noWrap/>
          </w:tcPr>
          <w:p>
            <w:pPr>
              <w:pStyle w:val="yTableNAm"/>
            </w:pPr>
            <w:r>
              <w:t>For the casual daily use of a pen or alongside berth 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4.</w:t>
            </w:r>
          </w:p>
        </w:tc>
        <w:tc>
          <w:tcPr>
            <w:tcW w:w="4819" w:type="dxa"/>
            <w:tcBorders>
              <w:bottom w:val="single" w:sz="4" w:space="0" w:color="auto"/>
            </w:tcBorders>
            <w:noWrap/>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r>
        <w:tab/>
        <w:t>[Clause 27 inserted: SL 2022/48 r. 12.]</w:t>
      </w:r>
    </w:p>
    <w:p>
      <w:pPr>
        <w:pStyle w:val="yHeading5"/>
      </w:pPr>
      <w:bookmarkStart w:id="260" w:name="_Toc135214535"/>
      <w:r>
        <w:rPr>
          <w:rStyle w:val="CharSClsNo"/>
        </w:rPr>
        <w:t>28</w:t>
      </w:r>
      <w:r>
        <w:t>.</w:t>
      </w:r>
      <w:r>
        <w:tab/>
        <w:t>Port Gregory</w:t>
      </w:r>
      <w:bookmarkEnd w:id="260"/>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the casual daily use of an alongside berth — </w:t>
            </w:r>
          </w:p>
        </w:tc>
      </w:tr>
      <w:tr>
        <w:trPr>
          <w:cantSplit/>
        </w:trPr>
        <w:tc>
          <w:tcPr>
            <w:tcW w:w="709" w:type="dxa"/>
            <w:noWrap/>
          </w:tcPr>
          <w:p>
            <w:pPr>
              <w:pStyle w:val="yTableNAm"/>
              <w:jc w:val="center"/>
            </w:pPr>
          </w:p>
        </w:tc>
        <w:tc>
          <w:tcPr>
            <w:tcW w:w="6095" w:type="dxa"/>
            <w:noWrap/>
          </w:tcPr>
          <w:p>
            <w:pPr>
              <w:pStyle w:val="yTableNAm"/>
              <w:ind w:left="316" w:hanging="316"/>
            </w:pPr>
            <w:r>
              <w:t>•</w:t>
            </w:r>
            <w:r>
              <w:tab/>
              <w:t>by a commercial vessel, an amount calculated using standard Rate 1</w:t>
            </w:r>
          </w:p>
        </w:tc>
      </w:tr>
      <w:tr>
        <w:trPr>
          <w:cantSplit/>
        </w:trPr>
        <w:tc>
          <w:tcPr>
            <w:tcW w:w="709" w:type="dxa"/>
            <w:noWrap/>
          </w:tcPr>
          <w:p>
            <w:pPr>
              <w:pStyle w:val="yTableNAm"/>
              <w:jc w:val="center"/>
            </w:pPr>
          </w:p>
        </w:tc>
        <w:tc>
          <w:tcPr>
            <w:tcW w:w="6095" w:type="dxa"/>
            <w:noWrap/>
          </w:tcPr>
          <w:p>
            <w:pPr>
              <w:pStyle w:val="yTableNAm"/>
              <w:ind w:left="316" w:hanging="316"/>
            </w:pPr>
            <w:r>
              <w:t>•</w:t>
            </w:r>
            <w:r>
              <w:tab/>
              <w:t>by a recreational vessel, an amount calculated using standard Rate 2</w:t>
            </w:r>
          </w:p>
        </w:tc>
      </w:tr>
      <w:tr>
        <w:trPr>
          <w:cantSplit/>
        </w:trPr>
        <w:tc>
          <w:tcPr>
            <w:tcW w:w="709" w:type="dxa"/>
            <w:tcBorders>
              <w:bottom w:val="single" w:sz="4" w:space="0" w:color="auto"/>
            </w:tcBorders>
            <w:noWrap/>
          </w:tcPr>
          <w:p>
            <w:pPr>
              <w:pStyle w:val="yTableNAm"/>
              <w:jc w:val="center"/>
            </w:pPr>
            <w:r>
              <w:t>2.</w:t>
            </w:r>
          </w:p>
        </w:tc>
        <w:tc>
          <w:tcPr>
            <w:tcW w:w="6095" w:type="dxa"/>
            <w:tcBorders>
              <w:bottom w:val="single" w:sz="4" w:space="0" w:color="auto"/>
            </w:tcBorders>
            <w:noWrap/>
          </w:tcPr>
          <w:p>
            <w:pPr>
              <w:pStyle w:val="yTableNAm"/>
            </w:pPr>
            <w:r>
              <w:t>For the short term use of a service jetty, an amount calculated using standard Rate 3</w:t>
            </w:r>
          </w:p>
        </w:tc>
      </w:tr>
    </w:tbl>
    <w:p>
      <w:pPr>
        <w:pStyle w:val="yFootnotesection"/>
      </w:pPr>
      <w:r>
        <w:tab/>
        <w:t>[Clause 28 inserted: SL 2022/48 r. 12.]</w:t>
      </w:r>
    </w:p>
    <w:p>
      <w:pPr>
        <w:pStyle w:val="yHeading5"/>
      </w:pPr>
      <w:bookmarkStart w:id="261" w:name="_Toc135214536"/>
      <w:r>
        <w:rPr>
          <w:rStyle w:val="CharSClsNo"/>
        </w:rPr>
        <w:t>29</w:t>
      </w:r>
      <w:r>
        <w:t>.</w:t>
      </w:r>
      <w:r>
        <w:tab/>
        <w:t>Two Rocks Marina</w:t>
      </w:r>
      <w:bookmarkEnd w:id="261"/>
    </w:p>
    <w:p>
      <w:pPr>
        <w:pStyle w:val="ySubsection"/>
      </w:pPr>
      <w:r>
        <w:tab/>
        <w:t>(1)</w:t>
      </w:r>
      <w:r>
        <w:tab/>
        <w:t>This clause applies to the Two Rocks Marina.</w:t>
      </w:r>
    </w:p>
    <w:p>
      <w:pPr>
        <w:pStyle w:val="ySubsection"/>
      </w:pPr>
      <w:r>
        <w:lastRenderedPageBreak/>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For the use, other than casual daily use, of a fixed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2.</w:t>
            </w:r>
          </w:p>
        </w:tc>
        <w:tc>
          <w:tcPr>
            <w:tcW w:w="4819" w:type="dxa"/>
            <w:noWrap/>
          </w:tcPr>
          <w:p>
            <w:pPr>
              <w:pStyle w:val="yTableNAm"/>
            </w:pPr>
            <w:r>
              <w:t>For the use, other than casual daily use, of a fixed pen without a walkway, an amount calculated per metre of the pen’s length using the annual rate of</w:t>
            </w:r>
          </w:p>
        </w:tc>
        <w:tc>
          <w:tcPr>
            <w:tcW w:w="1276" w:type="dxa"/>
            <w:noWrap/>
            <w:vAlign w:val="bottom"/>
          </w:tcPr>
          <w:p>
            <w:pPr>
              <w:pStyle w:val="yTableNAm"/>
              <w:ind w:right="282"/>
              <w:jc w:val="right"/>
              <w:rPr>
                <w:szCs w:val="24"/>
              </w:rPr>
            </w:pPr>
            <w:r>
              <w:rPr>
                <w:szCs w:val="24"/>
              </w:rPr>
              <w:t>487.20</w:t>
            </w:r>
          </w:p>
        </w:tc>
      </w:tr>
      <w:tr>
        <w:trPr>
          <w:cantSplit/>
        </w:trPr>
        <w:tc>
          <w:tcPr>
            <w:tcW w:w="709" w:type="dxa"/>
            <w:noWrap/>
          </w:tcPr>
          <w:p>
            <w:pPr>
              <w:pStyle w:val="yTableNAm"/>
              <w:jc w:val="center"/>
            </w:pPr>
            <w:r>
              <w:t>3.</w:t>
            </w:r>
          </w:p>
        </w:tc>
        <w:tc>
          <w:tcPr>
            <w:tcW w:w="4819" w:type="dxa"/>
            <w:noWrap/>
          </w:tcPr>
          <w:p>
            <w:pPr>
              <w:pStyle w:val="yTableNAm"/>
            </w:pPr>
            <w:r>
              <w:t>For the use, other than casual daily use, of a floating pen with a walkway, an amount calculated per metre of the pen’s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4.</w:t>
            </w:r>
          </w:p>
        </w:tc>
        <w:tc>
          <w:tcPr>
            <w:tcW w:w="4819" w:type="dxa"/>
            <w:noWrap/>
          </w:tcPr>
          <w:p>
            <w:pPr>
              <w:pStyle w:val="yTableNAm"/>
            </w:pPr>
            <w:r>
              <w:t>For the use, other than casual daily use, of a fixed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556.80</w:t>
            </w:r>
          </w:p>
        </w:tc>
      </w:tr>
      <w:tr>
        <w:trPr>
          <w:cantSplit/>
        </w:trPr>
        <w:tc>
          <w:tcPr>
            <w:tcW w:w="709" w:type="dxa"/>
            <w:noWrap/>
          </w:tcPr>
          <w:p>
            <w:pPr>
              <w:pStyle w:val="yTableNAm"/>
              <w:jc w:val="center"/>
            </w:pPr>
            <w:r>
              <w:t>5.</w:t>
            </w:r>
          </w:p>
        </w:tc>
        <w:tc>
          <w:tcPr>
            <w:tcW w:w="4819" w:type="dxa"/>
            <w:noWrap/>
          </w:tcPr>
          <w:p>
            <w:pPr>
              <w:pStyle w:val="yTableNAm"/>
            </w:pPr>
            <w:r>
              <w:t>For the use, other than casual daily use, of a floating alongside berth, an amount calculated per metre of the vessel’s length using the annual rate of</w:t>
            </w:r>
          </w:p>
        </w:tc>
        <w:tc>
          <w:tcPr>
            <w:tcW w:w="1276" w:type="dxa"/>
            <w:noWrap/>
            <w:vAlign w:val="bottom"/>
          </w:tcPr>
          <w:p>
            <w:pPr>
              <w:pStyle w:val="yTableNAm"/>
              <w:ind w:right="282"/>
              <w:jc w:val="right"/>
              <w:rPr>
                <w:szCs w:val="24"/>
              </w:rPr>
            </w:pPr>
            <w:r>
              <w:rPr>
                <w:szCs w:val="24"/>
              </w:rPr>
              <w:t>696.00</w:t>
            </w:r>
          </w:p>
        </w:tc>
      </w:tr>
      <w:tr>
        <w:trPr>
          <w:cantSplit/>
        </w:trPr>
        <w:tc>
          <w:tcPr>
            <w:tcW w:w="709" w:type="dxa"/>
            <w:noWrap/>
          </w:tcPr>
          <w:p>
            <w:pPr>
              <w:pStyle w:val="yTableNAm"/>
              <w:jc w:val="center"/>
            </w:pPr>
            <w:r>
              <w:t>6.</w:t>
            </w:r>
          </w:p>
        </w:tc>
        <w:tc>
          <w:tcPr>
            <w:tcW w:w="4819" w:type="dxa"/>
            <w:noWrap/>
          </w:tcPr>
          <w:p>
            <w:pPr>
              <w:pStyle w:val="yTableNAm"/>
            </w:pPr>
            <w:r>
              <w:t xml:space="preserve">For the casual daily use of a pen or alongside berth — </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commercial vessel, an amount calculated using standard Rate 1</w:t>
            </w:r>
          </w:p>
        </w:tc>
        <w:tc>
          <w:tcPr>
            <w:tcW w:w="1276"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819" w:type="dxa"/>
            <w:noWrap/>
          </w:tcPr>
          <w:p>
            <w:pPr>
              <w:pStyle w:val="yTableNAm"/>
              <w:ind w:left="316" w:hanging="316"/>
            </w:pPr>
            <w:r>
              <w:t>•</w:t>
            </w:r>
            <w:r>
              <w:tab/>
              <w:t>by a recreational vessel, an amount calculated using standard Rate 2</w:t>
            </w:r>
          </w:p>
        </w:tc>
        <w:tc>
          <w:tcPr>
            <w:tcW w:w="1276" w:type="dxa"/>
            <w:noWrap/>
            <w:vAlign w:val="bottom"/>
          </w:tcPr>
          <w:p>
            <w:pPr>
              <w:pStyle w:val="yTableNAm"/>
              <w:ind w:right="282"/>
              <w:jc w:val="right"/>
              <w:rPr>
                <w:szCs w:val="24"/>
              </w:rPr>
            </w:pPr>
          </w:p>
        </w:tc>
      </w:tr>
      <w:tr>
        <w:trPr>
          <w:cantSplit/>
        </w:trPr>
        <w:tc>
          <w:tcPr>
            <w:tcW w:w="709" w:type="dxa"/>
            <w:tcBorders>
              <w:bottom w:val="single" w:sz="4" w:space="0" w:color="auto"/>
            </w:tcBorders>
            <w:noWrap/>
          </w:tcPr>
          <w:p>
            <w:pPr>
              <w:pStyle w:val="yTableNAm"/>
              <w:jc w:val="center"/>
            </w:pPr>
            <w:r>
              <w:t>7.</w:t>
            </w:r>
          </w:p>
        </w:tc>
        <w:tc>
          <w:tcPr>
            <w:tcW w:w="4819" w:type="dxa"/>
            <w:tcBorders>
              <w:bottom w:val="single" w:sz="4" w:space="0" w:color="auto"/>
            </w:tcBorders>
            <w:noWrap/>
          </w:tcPr>
          <w:p>
            <w:pPr>
              <w:pStyle w:val="yTableNAm"/>
            </w:pPr>
            <w:r>
              <w:t>For the short term use of a service jetty, an amount calculated using standard Rate 3</w:t>
            </w:r>
          </w:p>
        </w:tc>
        <w:tc>
          <w:tcPr>
            <w:tcW w:w="1276" w:type="dxa"/>
            <w:tcBorders>
              <w:bottom w:val="single" w:sz="4" w:space="0" w:color="auto"/>
            </w:tcBorders>
            <w:noWrap/>
            <w:vAlign w:val="bottom"/>
          </w:tcPr>
          <w:p>
            <w:pPr>
              <w:pStyle w:val="yTableNAm"/>
              <w:ind w:right="282"/>
              <w:jc w:val="right"/>
              <w:rPr>
                <w:szCs w:val="24"/>
              </w:rPr>
            </w:pPr>
          </w:p>
        </w:tc>
      </w:tr>
    </w:tbl>
    <w:p>
      <w:pPr>
        <w:pStyle w:val="yFootnotesection"/>
      </w:pPr>
      <w:r>
        <w:tab/>
        <w:t>[Clause 29 inserted: SL 2022/48 r. 12.]</w:t>
      </w:r>
    </w:p>
    <w:p>
      <w:pPr>
        <w:pStyle w:val="yHeading3"/>
      </w:pPr>
      <w:bookmarkStart w:id="262" w:name="_Toc135137134"/>
      <w:bookmarkStart w:id="263" w:name="_Toc135137358"/>
      <w:bookmarkStart w:id="264" w:name="_Toc135214537"/>
      <w:r>
        <w:rPr>
          <w:rStyle w:val="CharSDivNo"/>
        </w:rPr>
        <w:t>Division 3</w:t>
      </w:r>
      <w:r>
        <w:t> — </w:t>
      </w:r>
      <w:r>
        <w:rPr>
          <w:rStyle w:val="CharSDivText"/>
        </w:rPr>
        <w:t>State</w:t>
      </w:r>
      <w:r>
        <w:rPr>
          <w:rStyle w:val="CharSDivText"/>
        </w:rPr>
        <w:noBreakHyphen/>
        <w:t>wide charges</w:t>
      </w:r>
      <w:bookmarkEnd w:id="262"/>
      <w:bookmarkEnd w:id="263"/>
      <w:bookmarkEnd w:id="264"/>
    </w:p>
    <w:p>
      <w:pPr>
        <w:pStyle w:val="yFootnoteheading"/>
      </w:pPr>
      <w:r>
        <w:tab/>
        <w:t>[Heading inserted: SL 2022/48 r. 12.]</w:t>
      </w:r>
    </w:p>
    <w:p>
      <w:pPr>
        <w:pStyle w:val="yHeading5"/>
      </w:pPr>
      <w:bookmarkStart w:id="265" w:name="_Toc135214538"/>
      <w:r>
        <w:rPr>
          <w:rStyle w:val="CharSClsNo"/>
        </w:rPr>
        <w:lastRenderedPageBreak/>
        <w:t>30</w:t>
      </w:r>
      <w:r>
        <w:t>.</w:t>
      </w:r>
      <w:r>
        <w:tab/>
        <w:t>Living on vessel</w:t>
      </w:r>
      <w:bookmarkEnd w:id="265"/>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berth, mooring or pen at or near a jetty at a place mentioned in this Schedule or the Port of Perth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For living on a vessel — </w:t>
            </w:r>
          </w:p>
        </w:tc>
        <w:tc>
          <w:tcPr>
            <w:tcW w:w="1134"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961" w:type="dxa"/>
            <w:noWrap/>
          </w:tcPr>
          <w:p>
            <w:pPr>
              <w:pStyle w:val="yTableNAm"/>
              <w:spacing w:before="0"/>
              <w:ind w:left="318" w:hanging="318"/>
            </w:pPr>
            <w:r>
              <w:t>•</w:t>
            </w:r>
            <w:r>
              <w:tab/>
              <w:t>without enhanced facilities, an amount calculated using the monthly rate per vessel of</w:t>
            </w:r>
          </w:p>
        </w:tc>
        <w:tc>
          <w:tcPr>
            <w:tcW w:w="1134" w:type="dxa"/>
            <w:noWrap/>
            <w:vAlign w:val="bottom"/>
          </w:tcPr>
          <w:p>
            <w:pPr>
              <w:pStyle w:val="yTableNAm"/>
              <w:ind w:right="282"/>
              <w:jc w:val="right"/>
              <w:rPr>
                <w:szCs w:val="24"/>
              </w:rPr>
            </w:pPr>
            <w:r>
              <w:rPr>
                <w:szCs w:val="24"/>
              </w:rPr>
              <w:t>51.60</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8" w:hanging="318"/>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ind w:right="282"/>
              <w:jc w:val="right"/>
              <w:rPr>
                <w:szCs w:val="24"/>
              </w:rPr>
            </w:pPr>
            <w:r>
              <w:rPr>
                <w:szCs w:val="24"/>
              </w:rPr>
              <w:t>157.20</w:t>
            </w:r>
          </w:p>
        </w:tc>
      </w:tr>
    </w:tbl>
    <w:p>
      <w:pPr>
        <w:pStyle w:val="yFootnotesection"/>
      </w:pPr>
      <w:r>
        <w:tab/>
        <w:t>[Clause 30 inserted: SL 2022/48 r. 12.]</w:t>
      </w:r>
    </w:p>
    <w:p>
      <w:pPr>
        <w:pStyle w:val="yHeading5"/>
      </w:pPr>
      <w:bookmarkStart w:id="266" w:name="_Toc135214539"/>
      <w:r>
        <w:rPr>
          <w:rStyle w:val="CharSClsNo"/>
        </w:rPr>
        <w:t>31</w:t>
      </w:r>
      <w:r>
        <w:t>.</w:t>
      </w:r>
      <w:r>
        <w:tab/>
        <w:t>Electricity supply</w:t>
      </w:r>
      <w:bookmarkEnd w:id="266"/>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For electricity supply that is — </w:t>
            </w:r>
          </w:p>
        </w:tc>
        <w:tc>
          <w:tcPr>
            <w:tcW w:w="1134" w:type="dxa"/>
            <w:noWrap/>
            <w:vAlign w:val="bottom"/>
          </w:tcPr>
          <w:p>
            <w:pPr>
              <w:pStyle w:val="yTableNAm"/>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single phase (metered)</w:t>
            </w:r>
          </w:p>
        </w:tc>
        <w:tc>
          <w:tcPr>
            <w:tcW w:w="1134" w:type="dxa"/>
            <w:noWrap/>
            <w:vAlign w:val="bottom"/>
          </w:tcPr>
          <w:p>
            <w:pPr>
              <w:pStyle w:val="yTableNAm"/>
              <w:ind w:right="282"/>
              <w:jc w:val="right"/>
              <w:rPr>
                <w:szCs w:val="24"/>
              </w:rPr>
            </w:pPr>
            <w:r>
              <w:rPr>
                <w:szCs w:val="24"/>
              </w:rPr>
              <w:t>Cost</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6" w:hanging="316"/>
            </w:pPr>
            <w:r>
              <w:t>•</w:t>
            </w:r>
            <w:r>
              <w:tab/>
              <w:t>3</w:t>
            </w:r>
            <w:r>
              <w:noBreakHyphen/>
              <w:t>phase (whether metered or unmetered)</w:t>
            </w:r>
          </w:p>
        </w:tc>
        <w:tc>
          <w:tcPr>
            <w:tcW w:w="1134" w:type="dxa"/>
            <w:tcBorders>
              <w:bottom w:val="single" w:sz="4" w:space="0" w:color="auto"/>
            </w:tcBorders>
            <w:noWrap/>
            <w:vAlign w:val="bottom"/>
          </w:tcPr>
          <w:p>
            <w:pPr>
              <w:pStyle w:val="yTableNAm"/>
              <w:ind w:right="282"/>
              <w:jc w:val="right"/>
              <w:rPr>
                <w:szCs w:val="24"/>
              </w:rPr>
            </w:pPr>
            <w:r>
              <w:rPr>
                <w:szCs w:val="24"/>
              </w:rPr>
              <w:t>Cost</w:t>
            </w:r>
          </w:p>
        </w:tc>
      </w:tr>
    </w:tbl>
    <w:p>
      <w:pPr>
        <w:pStyle w:val="yFootnotesection"/>
      </w:pPr>
      <w:r>
        <w:tab/>
        <w:t>[Clause 31 inserted: SL 2022/48 r. 12.]</w:t>
      </w:r>
    </w:p>
    <w:p>
      <w:pPr>
        <w:pStyle w:val="yHeading5"/>
      </w:pPr>
      <w:bookmarkStart w:id="267" w:name="_Toc135214540"/>
      <w:r>
        <w:rPr>
          <w:rStyle w:val="CharSClsNo"/>
        </w:rPr>
        <w:t>32</w:t>
      </w:r>
      <w:r>
        <w:t>.</w:t>
      </w:r>
      <w:r>
        <w:tab/>
        <w:t>Water supply</w:t>
      </w:r>
      <w:bookmarkEnd w:id="267"/>
    </w:p>
    <w:p>
      <w:pPr>
        <w:pStyle w:val="ySubsection"/>
      </w:pPr>
      <w:r>
        <w:tab/>
      </w:r>
      <w:r>
        <w:tab/>
        <w:t>The charge for water supply to a vessel in a place is set out in the Table.</w:t>
      </w:r>
    </w:p>
    <w:p>
      <w:pPr>
        <w:pStyle w:val="yTHeadingNAm"/>
      </w:pPr>
      <w:r>
        <w:lastRenderedPageBreak/>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ind w:right="282"/>
              <w:jc w:val="right"/>
            </w:pPr>
            <w:r>
              <w:rPr>
                <w:szCs w:val="24"/>
              </w:rPr>
              <w:t>Cost</w:t>
            </w:r>
          </w:p>
        </w:tc>
      </w:tr>
    </w:tbl>
    <w:p>
      <w:pPr>
        <w:pStyle w:val="yFootnotesection"/>
      </w:pPr>
      <w:r>
        <w:tab/>
        <w:t>[Clause 32 inserted: SL 2022/48 r. 12.]</w:t>
      </w:r>
    </w:p>
    <w:p>
      <w:pPr>
        <w:pStyle w:val="yHeading5"/>
      </w:pPr>
      <w:bookmarkStart w:id="268" w:name="_Toc135214541"/>
      <w:r>
        <w:rPr>
          <w:rStyle w:val="CharSClsNo"/>
        </w:rPr>
        <w:t>33</w:t>
      </w:r>
      <w:r>
        <w:t>.</w:t>
      </w:r>
      <w:r>
        <w:tab/>
        <w:t>Rubbish removal</w:t>
      </w:r>
      <w:bookmarkEnd w:id="268"/>
      <w:r>
        <w:t xml:space="preserve"> </w:t>
      </w:r>
    </w:p>
    <w:p>
      <w:pPr>
        <w:pStyle w:val="ySubsection"/>
        <w:keepNext/>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rubbish removal — </w:t>
            </w:r>
          </w:p>
        </w:tc>
        <w:tc>
          <w:tcPr>
            <w:tcW w:w="1134" w:type="dxa"/>
            <w:noWrap/>
          </w:tcPr>
          <w:p>
            <w:pPr>
              <w:pStyle w:val="yTableNAm"/>
              <w:keepNext/>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excess quantity, or from a source other than a vessel for which charges for using the harbour have been paid, per half skip supplied and emptied</w:t>
            </w:r>
          </w:p>
        </w:tc>
        <w:tc>
          <w:tcPr>
            <w:tcW w:w="1134" w:type="dxa"/>
            <w:noWrap/>
            <w:vAlign w:val="bottom"/>
          </w:tcPr>
          <w:p>
            <w:pPr>
              <w:pStyle w:val="yTableNAm"/>
              <w:ind w:right="282"/>
              <w:jc w:val="right"/>
              <w:rPr>
                <w:szCs w:val="24"/>
              </w:rPr>
            </w:pPr>
            <w:r>
              <w:rPr>
                <w:szCs w:val="24"/>
              </w:rPr>
              <w:t>Cost</w:t>
            </w:r>
          </w:p>
        </w:tc>
      </w:tr>
      <w:tr>
        <w:trPr>
          <w:cantSplit/>
        </w:trPr>
        <w:tc>
          <w:tcPr>
            <w:tcW w:w="709" w:type="dxa"/>
            <w:noWrap/>
          </w:tcPr>
          <w:p>
            <w:pPr>
              <w:pStyle w:val="yTableNAm"/>
              <w:jc w:val="center"/>
            </w:pPr>
          </w:p>
        </w:tc>
        <w:tc>
          <w:tcPr>
            <w:tcW w:w="4961" w:type="dxa"/>
            <w:noWrap/>
          </w:tcPr>
          <w:p>
            <w:pPr>
              <w:pStyle w:val="yTableNAm"/>
              <w:ind w:left="316" w:hanging="316"/>
            </w:pPr>
            <w:r>
              <w:t>•</w:t>
            </w:r>
            <w:r>
              <w:tab/>
              <w:t>waste oil from vessels in excess of 150 L</w:t>
            </w:r>
          </w:p>
        </w:tc>
        <w:tc>
          <w:tcPr>
            <w:tcW w:w="1134" w:type="dxa"/>
            <w:noWrap/>
            <w:vAlign w:val="bottom"/>
          </w:tcPr>
          <w:p>
            <w:pPr>
              <w:pStyle w:val="yTableNAm"/>
              <w:ind w:right="282"/>
              <w:jc w:val="right"/>
              <w:rPr>
                <w:szCs w:val="24"/>
              </w:rPr>
            </w:pPr>
            <w:r>
              <w:rPr>
                <w:szCs w:val="24"/>
              </w:rPr>
              <w:t>Cost</w:t>
            </w:r>
          </w:p>
        </w:tc>
      </w:tr>
      <w:tr>
        <w:trPr>
          <w:cantSplit/>
        </w:trPr>
        <w:tc>
          <w:tcPr>
            <w:tcW w:w="709" w:type="dxa"/>
            <w:noWrap/>
          </w:tcPr>
          <w:p>
            <w:pPr>
              <w:pStyle w:val="yTableNAm"/>
              <w:jc w:val="center"/>
            </w:pPr>
          </w:p>
        </w:tc>
        <w:tc>
          <w:tcPr>
            <w:tcW w:w="4961" w:type="dxa"/>
            <w:noWrap/>
          </w:tcPr>
          <w:p>
            <w:pPr>
              <w:pStyle w:val="yTableNAm"/>
              <w:ind w:left="316" w:hanging="316"/>
            </w:pPr>
            <w:r>
              <w:t>•</w:t>
            </w:r>
            <w:r>
              <w:tab/>
              <w:t>waste oil drum or other container not removed by owner, per drum or container</w:t>
            </w:r>
          </w:p>
        </w:tc>
        <w:tc>
          <w:tcPr>
            <w:tcW w:w="1134" w:type="dxa"/>
            <w:noWrap/>
            <w:vAlign w:val="bottom"/>
          </w:tcPr>
          <w:p>
            <w:pPr>
              <w:pStyle w:val="yTableNAm"/>
              <w:ind w:right="282"/>
              <w:jc w:val="right"/>
              <w:rPr>
                <w:szCs w:val="24"/>
              </w:rPr>
            </w:pPr>
            <w:r>
              <w:rPr>
                <w:szCs w:val="24"/>
              </w:rPr>
              <w:t>Cost</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316" w:hanging="316"/>
            </w:pPr>
            <w:r>
              <w:t>•</w:t>
            </w:r>
            <w:r>
              <w:tab/>
              <w:t>rubbish not put in supplied bins</w:t>
            </w:r>
          </w:p>
        </w:tc>
        <w:tc>
          <w:tcPr>
            <w:tcW w:w="1134" w:type="dxa"/>
            <w:tcBorders>
              <w:bottom w:val="single" w:sz="4" w:space="0" w:color="auto"/>
            </w:tcBorders>
            <w:noWrap/>
            <w:vAlign w:val="bottom"/>
          </w:tcPr>
          <w:p>
            <w:pPr>
              <w:pStyle w:val="yTableNAm"/>
              <w:ind w:right="282"/>
              <w:jc w:val="right"/>
              <w:rPr>
                <w:szCs w:val="24"/>
              </w:rPr>
            </w:pPr>
            <w:r>
              <w:rPr>
                <w:szCs w:val="24"/>
              </w:rPr>
              <w:t>Cost</w:t>
            </w:r>
          </w:p>
        </w:tc>
      </w:tr>
    </w:tbl>
    <w:p>
      <w:pPr>
        <w:pStyle w:val="yFootnotesection"/>
      </w:pPr>
      <w:r>
        <w:tab/>
        <w:t>[Clause 33 inserted: SL 2022/48 r. 12.]</w:t>
      </w:r>
    </w:p>
    <w:p>
      <w:pPr>
        <w:pStyle w:val="yHeading5"/>
      </w:pPr>
      <w:bookmarkStart w:id="269" w:name="_Toc135214542"/>
      <w:r>
        <w:rPr>
          <w:rStyle w:val="CharSClsNo"/>
        </w:rPr>
        <w:t>34</w:t>
      </w:r>
      <w:r>
        <w:t>.</w:t>
      </w:r>
      <w:r>
        <w:tab/>
        <w:t>Passengers and cargo</w:t>
      </w:r>
      <w:bookmarkEnd w:id="269"/>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the use of a pen, berth or service jetty by a cruise liner transfer vessel to load or unload passengers — </w:t>
            </w:r>
          </w:p>
        </w:tc>
        <w:tc>
          <w:tcPr>
            <w:tcW w:w="1134" w:type="dxa"/>
            <w:noWrap/>
            <w:vAlign w:val="bottom"/>
          </w:tcPr>
          <w:p>
            <w:pPr>
              <w:pStyle w:val="yTableNAm"/>
              <w:keepNext/>
              <w:ind w:right="282"/>
              <w:jc w:val="right"/>
              <w:rPr>
                <w:szCs w:val="24"/>
              </w:rPr>
            </w:pPr>
          </w:p>
        </w:tc>
      </w:tr>
      <w:tr>
        <w:trPr>
          <w:cantSplit/>
        </w:trPr>
        <w:tc>
          <w:tcPr>
            <w:tcW w:w="709" w:type="dxa"/>
            <w:noWrap/>
          </w:tcPr>
          <w:p>
            <w:pPr>
              <w:pStyle w:val="yTableNAm"/>
              <w:jc w:val="center"/>
            </w:pPr>
          </w:p>
        </w:tc>
        <w:tc>
          <w:tcPr>
            <w:tcW w:w="4961" w:type="dxa"/>
            <w:noWrap/>
          </w:tcPr>
          <w:p>
            <w:pPr>
              <w:pStyle w:val="yTableNAm"/>
              <w:ind w:left="316" w:hanging="316"/>
            </w:pPr>
            <w:r>
              <w:t>•</w:t>
            </w:r>
            <w:r>
              <w:tab/>
              <w:t>an amount calculated per metre of the vessel’s length using the daily rate of</w:t>
            </w:r>
          </w:p>
        </w:tc>
        <w:tc>
          <w:tcPr>
            <w:tcW w:w="1134" w:type="dxa"/>
            <w:noWrap/>
            <w:vAlign w:val="bottom"/>
          </w:tcPr>
          <w:p>
            <w:pPr>
              <w:pStyle w:val="yTableNAm"/>
              <w:ind w:right="282"/>
              <w:jc w:val="right"/>
              <w:rPr>
                <w:szCs w:val="24"/>
              </w:rPr>
            </w:pPr>
            <w:r>
              <w:rPr>
                <w:szCs w:val="24"/>
              </w:rPr>
              <w:t>11.60</w:t>
            </w:r>
          </w:p>
        </w:tc>
      </w:tr>
      <w:tr>
        <w:trPr>
          <w:cantSplit/>
        </w:trPr>
        <w:tc>
          <w:tcPr>
            <w:tcW w:w="709" w:type="dxa"/>
            <w:noWrap/>
          </w:tcPr>
          <w:p>
            <w:pPr>
              <w:pStyle w:val="yTableNAm"/>
              <w:jc w:val="center"/>
            </w:pPr>
          </w:p>
        </w:tc>
        <w:tc>
          <w:tcPr>
            <w:tcW w:w="4961" w:type="dxa"/>
            <w:noWrap/>
          </w:tcPr>
          <w:p>
            <w:pPr>
              <w:pStyle w:val="yTableNAm"/>
              <w:ind w:left="316" w:hanging="316"/>
            </w:pPr>
            <w:r>
              <w:t>•</w:t>
            </w:r>
            <w:r>
              <w:tab/>
              <w:t>plus a charge per passenger of</w:t>
            </w:r>
          </w:p>
        </w:tc>
        <w:tc>
          <w:tcPr>
            <w:tcW w:w="1134" w:type="dxa"/>
            <w:noWrap/>
            <w:vAlign w:val="bottom"/>
          </w:tcPr>
          <w:p>
            <w:pPr>
              <w:pStyle w:val="yTableNAm"/>
              <w:ind w:right="282"/>
              <w:jc w:val="right"/>
              <w:rPr>
                <w:szCs w:val="24"/>
              </w:rPr>
            </w:pPr>
            <w:r>
              <w:rPr>
                <w:szCs w:val="24"/>
              </w:rPr>
              <w:t>4.80</w:t>
            </w:r>
          </w:p>
        </w:tc>
      </w:tr>
      <w:tr>
        <w:trPr>
          <w:cantSplit/>
        </w:trPr>
        <w:tc>
          <w:tcPr>
            <w:tcW w:w="709" w:type="dxa"/>
            <w:noWrap/>
          </w:tcPr>
          <w:p>
            <w:pPr>
              <w:pStyle w:val="yTableNAm"/>
              <w:jc w:val="center"/>
            </w:pPr>
            <w:r>
              <w:t>2.</w:t>
            </w:r>
          </w:p>
        </w:tc>
        <w:tc>
          <w:tcPr>
            <w:tcW w:w="4961" w:type="dxa"/>
            <w:noWrap/>
          </w:tcPr>
          <w:p>
            <w:pPr>
              <w:pStyle w:val="yTableNAm"/>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ind w:right="282"/>
              <w:jc w:val="right"/>
              <w:rPr>
                <w:szCs w:val="24"/>
              </w:rPr>
            </w:pPr>
            <w:r>
              <w:rPr>
                <w:szCs w:val="24"/>
              </w:rPr>
              <w:t>7.60</w:t>
            </w:r>
          </w:p>
        </w:tc>
      </w:tr>
      <w:tr>
        <w:trPr>
          <w:cantSplit/>
        </w:trPr>
        <w:tc>
          <w:tcPr>
            <w:tcW w:w="709" w:type="dxa"/>
            <w:tcBorders>
              <w:bottom w:val="single" w:sz="4" w:space="0" w:color="auto"/>
            </w:tcBorders>
            <w:noWrap/>
          </w:tcPr>
          <w:p>
            <w:pPr>
              <w:pStyle w:val="yTableNAm"/>
              <w:jc w:val="center"/>
            </w:pPr>
            <w:r>
              <w:t>3.</w:t>
            </w:r>
          </w:p>
        </w:tc>
        <w:tc>
          <w:tcPr>
            <w:tcW w:w="4961" w:type="dxa"/>
            <w:tcBorders>
              <w:bottom w:val="single" w:sz="4" w:space="0" w:color="auto"/>
            </w:tcBorders>
            <w:noWrap/>
          </w:tcPr>
          <w:p>
            <w:pPr>
              <w:pStyle w:val="yTableNAm"/>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ind w:right="282"/>
              <w:jc w:val="right"/>
              <w:rPr>
                <w:szCs w:val="24"/>
              </w:rPr>
            </w:pPr>
            <w:r>
              <w:rPr>
                <w:szCs w:val="24"/>
              </w:rPr>
              <w:t>16.90</w:t>
            </w:r>
          </w:p>
        </w:tc>
      </w:tr>
    </w:tbl>
    <w:p>
      <w:pPr>
        <w:pStyle w:val="yFootnotesection"/>
      </w:pPr>
      <w:r>
        <w:tab/>
        <w:t>[Clause 34 inserted: SL 2022/48 r. 12.]</w:t>
      </w:r>
    </w:p>
    <w:p>
      <w:pPr>
        <w:pStyle w:val="yHeading5"/>
      </w:pPr>
      <w:bookmarkStart w:id="270" w:name="_Toc135214543"/>
      <w:r>
        <w:rPr>
          <w:rStyle w:val="CharSClsNo"/>
        </w:rPr>
        <w:t>35</w:t>
      </w:r>
      <w:r>
        <w:t>.</w:t>
      </w:r>
      <w:r>
        <w:tab/>
        <w:t>Floating dinghy pens</w:t>
      </w:r>
      <w:bookmarkEnd w:id="270"/>
    </w:p>
    <w:p>
      <w:pPr>
        <w:pStyle w:val="ySubsection"/>
      </w:pPr>
      <w:r>
        <w:tab/>
      </w:r>
      <w:r>
        <w:tab/>
        <w:t>The charge payable for the use of a floating dinghy pen at a place is $413.10 per vessel per year.</w:t>
      </w:r>
    </w:p>
    <w:p>
      <w:pPr>
        <w:pStyle w:val="yFootnotesection"/>
      </w:pPr>
      <w:r>
        <w:tab/>
        <w:t>[Clause 35 inserted: SL 2022/48 r. 12.]</w:t>
      </w:r>
    </w:p>
    <w:p>
      <w:pPr>
        <w:pStyle w:val="yHeading5"/>
      </w:pPr>
      <w:bookmarkStart w:id="271" w:name="_Toc135214544"/>
      <w:r>
        <w:rPr>
          <w:rStyle w:val="CharSClsNo"/>
        </w:rPr>
        <w:t>36</w:t>
      </w:r>
      <w:r>
        <w:t>.</w:t>
      </w:r>
      <w:r>
        <w:tab/>
        <w:t>Use of jetty hardstand or appurtenant area</w:t>
      </w:r>
      <w:bookmarkEnd w:id="271"/>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$2.00.</w:t>
      </w:r>
    </w:p>
    <w:p>
      <w:pPr>
        <w:pStyle w:val="yFootnotesection"/>
      </w:pPr>
      <w:r>
        <w:tab/>
        <w:t>[Clause 36 inserted: SL 2022/48 r. 12.]</w:t>
      </w:r>
    </w:p>
    <w:p>
      <w:pPr>
        <w:pStyle w:val="yScheduleHeading"/>
      </w:pPr>
      <w:bookmarkStart w:id="272" w:name="_Toc135137142"/>
      <w:bookmarkStart w:id="273" w:name="_Toc135137366"/>
      <w:bookmarkStart w:id="274" w:name="_Toc135214545"/>
      <w:r>
        <w:rPr>
          <w:rStyle w:val="CharSchNo"/>
        </w:rPr>
        <w:lastRenderedPageBreak/>
        <w:t>Schedule 2</w:t>
      </w:r>
      <w:r>
        <w:rPr>
          <w:rStyle w:val="CharSDivNo"/>
        </w:rPr>
        <w:t> </w:t>
      </w:r>
      <w:r>
        <w:t>—</w:t>
      </w:r>
      <w:r>
        <w:rPr>
          <w:rStyle w:val="CharSDivText"/>
        </w:rPr>
        <w:t> </w:t>
      </w:r>
      <w:r>
        <w:rPr>
          <w:rStyle w:val="CharSchText"/>
        </w:rPr>
        <w:t>Fuel oil wharfage</w:t>
      </w:r>
      <w:bookmarkEnd w:id="272"/>
      <w:bookmarkEnd w:id="273"/>
      <w:bookmarkEnd w:id="274"/>
    </w:p>
    <w:p>
      <w:pPr>
        <w:pStyle w:val="yShoulderClause"/>
      </w:pPr>
      <w:r>
        <w:t>[r. 11B(2)]</w:t>
      </w:r>
    </w:p>
    <w:p>
      <w:pPr>
        <w:pStyle w:val="yFootnoteheading"/>
      </w:pPr>
      <w:r>
        <w:tab/>
        <w:t>[Heading inserted: SL 2022/48 r. 13.]</w:t>
      </w:r>
    </w:p>
    <w:p>
      <w:pPr>
        <w:pStyle w:val="yHeading5"/>
      </w:pPr>
      <w:bookmarkStart w:id="275" w:name="_Toc135214546"/>
      <w:r>
        <w:rPr>
          <w:rStyle w:val="CharSClsNo"/>
        </w:rPr>
        <w:t>1</w:t>
      </w:r>
      <w:r>
        <w:t>.</w:t>
      </w:r>
      <w:r>
        <w:tab/>
        <w:t>Wharfage for fuel oil</w:t>
      </w:r>
      <w:bookmarkEnd w:id="275"/>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lastRenderedPageBreak/>
              <w:t>17.</w:t>
            </w:r>
          </w:p>
        </w:tc>
        <w:tc>
          <w:tcPr>
            <w:tcW w:w="4961" w:type="dxa"/>
            <w:noWrap/>
          </w:tcPr>
          <w:p>
            <w:pPr>
              <w:pStyle w:val="yTableNAm"/>
            </w:pPr>
            <w:r>
              <w:t>Kalbarri</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ind w:right="282"/>
              <w:jc w:val="right"/>
              <w:rPr>
                <w:szCs w:val="24"/>
              </w:rPr>
            </w:pPr>
            <w:r>
              <w:rPr>
                <w:szCs w:val="24"/>
              </w:rPr>
              <w:t>0.062</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ind w:right="282"/>
              <w:jc w:val="right"/>
              <w:rPr>
                <w:szCs w:val="24"/>
              </w:rPr>
            </w:pPr>
            <w:r>
              <w:rPr>
                <w:szCs w:val="24"/>
              </w:rPr>
              <w:t>0.062</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ind w:right="282"/>
              <w:jc w:val="right"/>
              <w:rPr>
                <w:szCs w:val="24"/>
              </w:rPr>
            </w:pPr>
            <w:r>
              <w:rPr>
                <w:szCs w:val="24"/>
              </w:rPr>
              <w:t>0.062</w:t>
            </w:r>
          </w:p>
        </w:tc>
      </w:tr>
    </w:tbl>
    <w:p>
      <w:pPr>
        <w:pStyle w:val="yFootnotesection"/>
      </w:pPr>
      <w:r>
        <w:tab/>
        <w:t>Schedule 2 inserted: SL 2022/48 r. 13.]</w:t>
      </w:r>
    </w:p>
    <w:p>
      <w:pPr>
        <w:pStyle w:val="yScheduleHeading"/>
      </w:pPr>
      <w:bookmarkStart w:id="276" w:name="_Toc135137144"/>
      <w:bookmarkStart w:id="277" w:name="_Toc135137368"/>
      <w:bookmarkStart w:id="278" w:name="_Toc135214547"/>
      <w:r>
        <w:rPr>
          <w:rStyle w:val="CharSchNo"/>
        </w:rPr>
        <w:lastRenderedPageBreak/>
        <w:t>Schedule 3</w:t>
      </w:r>
      <w:r>
        <w:t> — </w:t>
      </w:r>
      <w:r>
        <w:rPr>
          <w:rStyle w:val="CharSchText"/>
        </w:rPr>
        <w:t>Port of Perth charges</w:t>
      </w:r>
      <w:bookmarkEnd w:id="276"/>
      <w:bookmarkEnd w:id="277"/>
      <w:bookmarkEnd w:id="278"/>
    </w:p>
    <w:p>
      <w:pPr>
        <w:pStyle w:val="yShoulderClause"/>
      </w:pPr>
      <w:r>
        <w:t>[r. 72(3) and 78A]</w:t>
      </w:r>
    </w:p>
    <w:p>
      <w:pPr>
        <w:pStyle w:val="yFootnoteheading"/>
      </w:pPr>
      <w:r>
        <w:tab/>
        <w:t>[Heading inserted: SL 2021/68 r. 7.]</w:t>
      </w:r>
    </w:p>
    <w:p>
      <w:pPr>
        <w:pStyle w:val="yHeading3"/>
      </w:pPr>
      <w:bookmarkStart w:id="279" w:name="_Toc135137145"/>
      <w:bookmarkStart w:id="280" w:name="_Toc135137369"/>
      <w:bookmarkStart w:id="281" w:name="_Toc135214548"/>
      <w:r>
        <w:rPr>
          <w:rStyle w:val="CharSDivNo"/>
        </w:rPr>
        <w:t>Division 1</w:t>
      </w:r>
      <w:r>
        <w:t> — </w:t>
      </w:r>
      <w:r>
        <w:rPr>
          <w:rStyle w:val="CharSDivText"/>
        </w:rPr>
        <w:t>Preliminary matters</w:t>
      </w:r>
      <w:bookmarkEnd w:id="279"/>
      <w:bookmarkEnd w:id="280"/>
      <w:bookmarkEnd w:id="281"/>
    </w:p>
    <w:p>
      <w:pPr>
        <w:pStyle w:val="yFootnoteheading"/>
      </w:pPr>
      <w:r>
        <w:tab/>
        <w:t>[Heading inserted: SL 2021/68 r. 7.]</w:t>
      </w:r>
    </w:p>
    <w:p>
      <w:pPr>
        <w:pStyle w:val="yHeading5"/>
      </w:pPr>
      <w:bookmarkStart w:id="282" w:name="_Toc135214549"/>
      <w:r>
        <w:rPr>
          <w:rStyle w:val="CharSClsNo"/>
        </w:rPr>
        <w:t>1</w:t>
      </w:r>
      <w:r>
        <w:t>.</w:t>
      </w:r>
      <w:r>
        <w:tab/>
        <w:t>Application of this Schedule</w:t>
      </w:r>
      <w:bookmarkEnd w:id="282"/>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283" w:name="_Toc135214550"/>
      <w:r>
        <w:rPr>
          <w:rStyle w:val="CharSClsNo"/>
        </w:rPr>
        <w:t>2</w:t>
      </w:r>
      <w:r>
        <w:t>.</w:t>
      </w:r>
      <w:r>
        <w:tab/>
        <w:t>Standard rates for this Schedule</w:t>
      </w:r>
      <w:bookmarkEnd w:id="283"/>
    </w:p>
    <w:p>
      <w:pPr>
        <w:pStyle w:val="ySubsection"/>
      </w:pPr>
      <w:r>
        <w:tab/>
      </w:r>
      <w:r>
        <w:tab/>
        <w:t xml:space="preserve">In this Schedule, the following rates are standard rates — </w:t>
      </w:r>
    </w:p>
    <w:p>
      <w:pPr>
        <w:pStyle w:val="ySubsection"/>
        <w:rPr>
          <w:b/>
          <w:bCs/>
        </w:rPr>
      </w:pPr>
      <w:r>
        <w:rPr>
          <w:b/>
          <w:bCs/>
        </w:rPr>
        <w:tab/>
      </w:r>
      <w:r>
        <w:rPr>
          <w:b/>
          <w:bCs/>
        </w:rPr>
        <w:tab/>
      </w:r>
      <w:r>
        <w:rPr>
          <w:b/>
        </w:rPr>
        <w:t>Rate 1: a casual daily rate of $8.00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bCs/>
        </w:rPr>
      </w:pPr>
      <w:r>
        <w:rPr>
          <w:b/>
          <w:bCs/>
        </w:rPr>
        <w:tab/>
      </w:r>
      <w:r>
        <w:rPr>
          <w:b/>
          <w:bCs/>
        </w:rPr>
        <w:tab/>
      </w:r>
      <w:r>
        <w:rPr>
          <w:b/>
        </w:rPr>
        <w:t>Rate 2: a casual daily rate of $57.00</w:t>
      </w:r>
      <w:r>
        <w:rPr>
          <w:b/>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bCs/>
        </w:rPr>
        <w:tab/>
      </w:r>
      <w:r>
        <w:rPr>
          <w:b/>
          <w:bCs/>
        </w:rPr>
        <w:tab/>
      </w:r>
      <w:r>
        <w:rPr>
          <w:b/>
        </w:rPr>
        <w:t>Rate 3: an annual rate of $91.40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2022/48 r. 14.]</w:t>
      </w:r>
    </w:p>
    <w:p>
      <w:pPr>
        <w:pStyle w:val="yHeading5"/>
      </w:pPr>
      <w:bookmarkStart w:id="284" w:name="_Toc135214551"/>
      <w:r>
        <w:rPr>
          <w:rStyle w:val="CharSClsNo"/>
        </w:rPr>
        <w:t>3</w:t>
      </w:r>
      <w:r>
        <w:t>.</w:t>
      </w:r>
      <w:r>
        <w:tab/>
        <w:t>Transferability of annual payments</w:t>
      </w:r>
      <w:bookmarkEnd w:id="284"/>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w:t>
      </w:r>
      <w:r>
        <w:lastRenderedPageBreak/>
        <w:t xml:space="preserve">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keepNext/>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keepNext/>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285" w:name="_Toc135214552"/>
      <w:r>
        <w:rPr>
          <w:rStyle w:val="CharSClsNo"/>
        </w:rPr>
        <w:t>4</w:t>
      </w:r>
      <w:r>
        <w:t>.</w:t>
      </w:r>
      <w:r>
        <w:tab/>
        <w:t>Service jetty entitlements</w:t>
      </w:r>
      <w:bookmarkEnd w:id="285"/>
    </w:p>
    <w:p>
      <w:pPr>
        <w:pStyle w:val="ySubsection"/>
        <w:keepNext/>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286" w:name="_Toc135214553"/>
      <w:r>
        <w:rPr>
          <w:rStyle w:val="CharSClsNo"/>
        </w:rPr>
        <w:t>5</w:t>
      </w:r>
      <w:r>
        <w:t>.</w:t>
      </w:r>
      <w:r>
        <w:tab/>
        <w:t>Active loading and unloading</w:t>
      </w:r>
      <w:bookmarkEnd w:id="286"/>
    </w:p>
    <w:p>
      <w:pPr>
        <w:pStyle w:val="ySubsection"/>
        <w:keepNext/>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keepNext/>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287" w:name="_Toc135137151"/>
      <w:bookmarkStart w:id="288" w:name="_Toc135137375"/>
      <w:bookmarkStart w:id="289" w:name="_Toc135214554"/>
      <w:r>
        <w:rPr>
          <w:rStyle w:val="CharSDivNo"/>
        </w:rPr>
        <w:lastRenderedPageBreak/>
        <w:t>Division 2</w:t>
      </w:r>
      <w:r>
        <w:t> — </w:t>
      </w:r>
      <w:r>
        <w:rPr>
          <w:rStyle w:val="CharSDivText"/>
        </w:rPr>
        <w:t>Charges for jetties on Swan and Canning Rivers</w:t>
      </w:r>
      <w:bookmarkEnd w:id="287"/>
      <w:bookmarkEnd w:id="288"/>
      <w:bookmarkEnd w:id="289"/>
    </w:p>
    <w:p>
      <w:pPr>
        <w:pStyle w:val="yFootnoteheading"/>
      </w:pPr>
      <w:r>
        <w:tab/>
        <w:t>[Heading inserted: SL 2022/48 r. 15.]</w:t>
      </w:r>
    </w:p>
    <w:p>
      <w:pPr>
        <w:pStyle w:val="yHeading5"/>
      </w:pPr>
      <w:bookmarkStart w:id="290" w:name="_Toc135214555"/>
      <w:r>
        <w:rPr>
          <w:rStyle w:val="CharSClsNo"/>
        </w:rPr>
        <w:t>6</w:t>
      </w:r>
      <w:r>
        <w:t>.</w:t>
      </w:r>
      <w:r>
        <w:tab/>
        <w:t>Barrack Street and Mends Street jetties</w:t>
      </w:r>
      <w:bookmarkEnd w:id="290"/>
    </w:p>
    <w:p>
      <w:pPr>
        <w:pStyle w:val="ySubsection"/>
      </w:pPr>
      <w:r>
        <w:tab/>
        <w:t>(1)</w:t>
      </w:r>
      <w:r>
        <w:tab/>
        <w:t>This clause applies to jetties at Barrack Street and Mends Street.</w:t>
      </w:r>
    </w:p>
    <w:p>
      <w:pPr>
        <w:pStyle w:val="ySubsection"/>
      </w:pPr>
      <w:r>
        <w:tab/>
        <w:t>(2)</w:t>
      </w:r>
      <w:r>
        <w:tab/>
        <w:t>The charge payable under regulation 72 for a permit to use a jetty is set out in the Table.</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pPr>
            <w:r>
              <w:t xml:space="preserve">For a vessel for 12 months — the higher of </w:t>
            </w:r>
            <w:r>
              <w:rPr>
                <w:szCs w:val="22"/>
              </w:rPr>
              <w:t>$4 854.75</w:t>
            </w:r>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ind w:left="316" w:hanging="316"/>
            </w:pPr>
            <w:r>
              <w:t>•</w:t>
            </w:r>
            <w:r>
              <w:tab/>
              <w:t>$67.85 per passenger calculated on the vessel’s passenger carrying capacity under its highest class of survey</w:t>
            </w:r>
          </w:p>
        </w:tc>
      </w:tr>
      <w:tr>
        <w:trPr>
          <w:cantSplit/>
        </w:trPr>
        <w:tc>
          <w:tcPr>
            <w:tcW w:w="709" w:type="dxa"/>
            <w:noWrap/>
          </w:tcPr>
          <w:p>
            <w:pPr>
              <w:pStyle w:val="yTableNAm"/>
              <w:jc w:val="center"/>
            </w:pPr>
          </w:p>
        </w:tc>
        <w:tc>
          <w:tcPr>
            <w:tcW w:w="6095" w:type="dxa"/>
            <w:noWrap/>
          </w:tcPr>
          <w:p>
            <w:pPr>
              <w:pStyle w:val="yTableNAm"/>
              <w:ind w:left="316" w:hanging="316"/>
            </w:pPr>
            <w:r>
              <w:tab/>
              <w:t>plus —</w:t>
            </w:r>
          </w:p>
        </w:tc>
      </w:tr>
      <w:tr>
        <w:trPr>
          <w:cantSplit/>
        </w:trPr>
        <w:tc>
          <w:tcPr>
            <w:tcW w:w="709" w:type="dxa"/>
            <w:noWrap/>
          </w:tcPr>
          <w:p>
            <w:pPr>
              <w:pStyle w:val="yTableNAm"/>
              <w:jc w:val="center"/>
            </w:pPr>
          </w:p>
        </w:tc>
        <w:tc>
          <w:tcPr>
            <w:tcW w:w="6095" w:type="dxa"/>
            <w:noWrap/>
          </w:tcPr>
          <w:p>
            <w:pPr>
              <w:pStyle w:val="yTableNAm"/>
              <w:tabs>
                <w:tab w:val="clear" w:pos="567"/>
              </w:tabs>
              <w:spacing w:before="40"/>
              <w:ind w:left="743" w:hanging="284"/>
            </w:pPr>
            <w:r>
              <w:t>◦</w:t>
            </w:r>
            <w:r>
              <w:tab/>
              <w:t xml:space="preserve">for a vessel less than 35 m long, the higher of </w:t>
            </w:r>
            <w:r>
              <w:rPr>
                <w:szCs w:val="22"/>
              </w:rPr>
              <w:t>$8 737.65</w:t>
            </w:r>
            <w:r>
              <w:t xml:space="preserve"> and </w:t>
            </w:r>
            <w:r>
              <w:rPr>
                <w:szCs w:val="22"/>
              </w:rPr>
              <w:t>$485.40</w:t>
            </w:r>
            <w:r>
              <w:t xml:space="preserve"> per metre of the vessel’s length;</w:t>
            </w:r>
          </w:p>
        </w:tc>
      </w:tr>
      <w:tr>
        <w:trPr>
          <w:cantSplit/>
        </w:trPr>
        <w:tc>
          <w:tcPr>
            <w:tcW w:w="709" w:type="dxa"/>
            <w:noWrap/>
          </w:tcPr>
          <w:p>
            <w:pPr>
              <w:pStyle w:val="yTableNAm"/>
              <w:spacing w:before="40"/>
              <w:jc w:val="center"/>
            </w:pPr>
          </w:p>
        </w:tc>
        <w:tc>
          <w:tcPr>
            <w:tcW w:w="6095" w:type="dxa"/>
            <w:noWrap/>
          </w:tcPr>
          <w:p>
            <w:pPr>
              <w:pStyle w:val="yTableNAm"/>
              <w:tabs>
                <w:tab w:val="clear" w:pos="567"/>
              </w:tabs>
              <w:spacing w:before="40"/>
              <w:ind w:left="741" w:hanging="283"/>
            </w:pPr>
            <w:r>
              <w:t>◦</w:t>
            </w:r>
            <w:r>
              <w:tab/>
              <w:t>for a vessel 35 m long or over, $776.75 per metre of the vessel’s length</w:t>
            </w:r>
          </w:p>
        </w:tc>
      </w:tr>
      <w:tr>
        <w:trPr>
          <w:cantSplit/>
        </w:trPr>
        <w:tc>
          <w:tcPr>
            <w:tcW w:w="709" w:type="dxa"/>
            <w:noWrap/>
          </w:tcPr>
          <w:p>
            <w:pPr>
              <w:pStyle w:val="yTableNAm"/>
              <w:jc w:val="center"/>
            </w:pPr>
          </w:p>
        </w:tc>
        <w:tc>
          <w:tcPr>
            <w:tcW w:w="6095" w:type="dxa"/>
            <w:noWrap/>
          </w:tcPr>
          <w:p>
            <w:pPr>
              <w:pStyle w:val="yTableNAm"/>
              <w:ind w:left="316" w:hanging="316"/>
            </w:pPr>
            <w:r>
              <w:tab/>
              <w:t>minus —</w:t>
            </w:r>
          </w:p>
        </w:tc>
      </w:tr>
      <w:tr>
        <w:trPr>
          <w:cantSplit/>
        </w:trPr>
        <w:tc>
          <w:tcPr>
            <w:tcW w:w="709" w:type="dxa"/>
            <w:tcBorders>
              <w:bottom w:val="single" w:sz="4" w:space="0" w:color="auto"/>
            </w:tcBorders>
            <w:noWrap/>
          </w:tcPr>
          <w:p>
            <w:pPr>
              <w:pStyle w:val="yTableNAm"/>
              <w:spacing w:before="40"/>
              <w:jc w:val="center"/>
            </w:pPr>
          </w:p>
        </w:tc>
        <w:tc>
          <w:tcPr>
            <w:tcW w:w="6095" w:type="dxa"/>
            <w:tcBorders>
              <w:bottom w:val="single" w:sz="4" w:space="0" w:color="auto"/>
            </w:tcBorders>
            <w:noWrap/>
          </w:tcPr>
          <w:p>
            <w:pPr>
              <w:pStyle w:val="yTableNAm"/>
              <w:tabs>
                <w:tab w:val="clear" w:pos="567"/>
              </w:tabs>
              <w:spacing w:before="40"/>
              <w:ind w:left="741" w:hanging="283"/>
            </w:pPr>
            <w:r>
              <w:t>◦</w:t>
            </w:r>
            <w:r>
              <w:tab/>
              <w:t>$6 795.95</w:t>
            </w:r>
          </w:p>
        </w:tc>
      </w:tr>
    </w:tbl>
    <w:p>
      <w:pPr>
        <w:pStyle w:val="ySubsection"/>
      </w:pPr>
      <w:r>
        <w:tab/>
        <w:t>(3)</w:t>
      </w:r>
      <w:r>
        <w:tab/>
        <w:t>The charge payable under regulation 78A for the removal of sullage from a vessel is $98.95 per pump out.</w:t>
      </w:r>
    </w:p>
    <w:p>
      <w:pPr>
        <w:pStyle w:val="ySubsection"/>
      </w:pPr>
      <w:r>
        <w:tab/>
        <w:t>(4)</w:t>
      </w:r>
      <w:r>
        <w:tab/>
        <w:t>Subclause (3) does not apply if the charge referred to in subclause (2) has been paid in respect of the vessel.</w:t>
      </w:r>
    </w:p>
    <w:p>
      <w:pPr>
        <w:pStyle w:val="yFootnotesection"/>
      </w:pPr>
      <w:r>
        <w:tab/>
        <w:t>[Clause 6 inserted: SL 2022/48 r. 15.]</w:t>
      </w:r>
    </w:p>
    <w:p>
      <w:pPr>
        <w:pStyle w:val="yHeading5"/>
      </w:pPr>
      <w:bookmarkStart w:id="291" w:name="_Toc135214556"/>
      <w:r>
        <w:rPr>
          <w:rStyle w:val="CharSClsNo"/>
        </w:rPr>
        <w:t>7</w:t>
      </w:r>
      <w:r>
        <w:t>.</w:t>
      </w:r>
      <w:r>
        <w:tab/>
        <w:t>Other jetties on Swan and Canning Rivers</w:t>
      </w:r>
      <w:bookmarkEnd w:id="291"/>
    </w:p>
    <w:p>
      <w:pPr>
        <w:pStyle w:val="ySubsection"/>
      </w:pPr>
      <w:r>
        <w:tab/>
        <w:t>(1)</w:t>
      </w:r>
      <w:r>
        <w:tab/>
        <w:t>This clause applies to jetties on the Swan and Canning Rivers, other than at Barrack Street or Mends Street.</w:t>
      </w:r>
    </w:p>
    <w:p>
      <w:pPr>
        <w:pStyle w:val="ySubsection"/>
      </w:pPr>
      <w:r>
        <w:lastRenderedPageBreak/>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2022/48 r. 15.]</w:t>
      </w:r>
    </w:p>
    <w:p>
      <w:pPr>
        <w:pStyle w:val="yHeading3"/>
      </w:pPr>
      <w:bookmarkStart w:id="292" w:name="_Toc135137154"/>
      <w:bookmarkStart w:id="293" w:name="_Toc135137378"/>
      <w:bookmarkStart w:id="294" w:name="_Toc135214557"/>
      <w:r>
        <w:rPr>
          <w:rStyle w:val="CharSDivNo"/>
        </w:rPr>
        <w:t>Division 3</w:t>
      </w:r>
      <w:r>
        <w:t> — </w:t>
      </w:r>
      <w:r>
        <w:rPr>
          <w:rStyle w:val="CharSDivText"/>
        </w:rPr>
        <w:t>Charges for other places</w:t>
      </w:r>
      <w:bookmarkEnd w:id="292"/>
      <w:bookmarkEnd w:id="293"/>
      <w:bookmarkEnd w:id="294"/>
    </w:p>
    <w:p>
      <w:pPr>
        <w:pStyle w:val="yFootnoteheading"/>
      </w:pPr>
      <w:r>
        <w:tab/>
        <w:t>[Heading inserted: SL 2022/48 r. 15.]</w:t>
      </w:r>
    </w:p>
    <w:p>
      <w:pPr>
        <w:pStyle w:val="yHeading5"/>
      </w:pPr>
      <w:bookmarkStart w:id="295" w:name="_Toc135214558"/>
      <w:r>
        <w:rPr>
          <w:rStyle w:val="CharSClsNo"/>
        </w:rPr>
        <w:t>8</w:t>
      </w:r>
      <w:r>
        <w:t>.</w:t>
      </w:r>
      <w:r>
        <w:tab/>
        <w:t>Fremantle, Challenger Boat Harbour</w:t>
      </w:r>
      <w:bookmarkEnd w:id="295"/>
    </w:p>
    <w:p>
      <w:pPr>
        <w:pStyle w:val="ySubsection"/>
      </w:pPr>
      <w:r>
        <w:tab/>
        <w:t>(1)</w:t>
      </w:r>
      <w:r>
        <w:tab/>
        <w:t>This clause applies to the Challenger Boat Harbour at Fremantle.</w:t>
      </w:r>
    </w:p>
    <w:p>
      <w:pPr>
        <w:pStyle w:val="ySubsection"/>
        <w:keepNext/>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r>
              <w:rPr>
                <w:szCs w:val="24"/>
              </w:rPr>
              <w:t>556.80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r>
              <w:rPr>
                <w:szCs w:val="24"/>
              </w:rPr>
              <w:t>487.20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tabs>
                <w:tab w:val="clear" w:pos="567"/>
              </w:tabs>
              <w:ind w:right="141"/>
              <w:jc w:val="right"/>
              <w:rPr>
                <w:szCs w:val="24"/>
              </w:rPr>
            </w:pPr>
            <w:r>
              <w:rPr>
                <w:szCs w:val="24"/>
              </w:rPr>
              <w:t>556.80</w:t>
            </w:r>
          </w:p>
        </w:tc>
      </w:tr>
      <w:tr>
        <w:tc>
          <w:tcPr>
            <w:tcW w:w="709" w:type="dxa"/>
            <w:tcBorders>
              <w:bottom w:val="single" w:sz="4" w:space="0" w:color="auto"/>
            </w:tcBorders>
            <w:noWrap/>
          </w:tcPr>
          <w:p>
            <w:pPr>
              <w:pStyle w:val="yTableNAm"/>
              <w:jc w:val="center"/>
            </w:pPr>
            <w:r>
              <w:t>4.</w:t>
            </w:r>
          </w:p>
        </w:tc>
        <w:tc>
          <w:tcPr>
            <w:tcW w:w="5103" w:type="dxa"/>
            <w:tcBorders>
              <w:bottom w:val="single" w:sz="4" w:space="0" w:color="auto"/>
            </w:tcBorders>
            <w:noWrap/>
          </w:tcPr>
          <w:p>
            <w:pPr>
              <w:pStyle w:val="yTableNAm"/>
            </w:pPr>
            <w:r>
              <w:t>For the casual daily use of a pen or alongside berth by a recreational vessel, an amount calculated using standard Rate 2</w:t>
            </w:r>
          </w:p>
        </w:tc>
        <w:tc>
          <w:tcPr>
            <w:tcW w:w="992" w:type="dxa"/>
            <w:tcBorders>
              <w:bottom w:val="single" w:sz="4" w:space="0" w:color="auto"/>
            </w:tcBorders>
            <w:noWrap/>
            <w:vAlign w:val="bottom"/>
          </w:tcPr>
          <w:p>
            <w:pPr>
              <w:pStyle w:val="yTableNAm"/>
              <w:tabs>
                <w:tab w:val="clear" w:pos="567"/>
              </w:tabs>
              <w:ind w:right="141"/>
              <w:jc w:val="right"/>
              <w:rPr>
                <w:szCs w:val="24"/>
              </w:rPr>
            </w:pPr>
          </w:p>
        </w:tc>
      </w:tr>
    </w:tbl>
    <w:p>
      <w:pPr>
        <w:pStyle w:val="yFootnotesection"/>
      </w:pPr>
      <w:r>
        <w:tab/>
        <w:t>[Clause 8 inserted: SL 2022/48 r. 15.]</w:t>
      </w:r>
    </w:p>
    <w:p>
      <w:pPr>
        <w:pStyle w:val="yHeading5"/>
      </w:pPr>
      <w:bookmarkStart w:id="296" w:name="_Toc135214559"/>
      <w:r>
        <w:rPr>
          <w:rStyle w:val="CharSClsNo"/>
        </w:rPr>
        <w:lastRenderedPageBreak/>
        <w:t>9</w:t>
      </w:r>
      <w:r>
        <w:t>.</w:t>
      </w:r>
      <w:r>
        <w:tab/>
        <w:t>Hillarys Boat Harbour</w:t>
      </w:r>
      <w:bookmarkEnd w:id="296"/>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c>
          <w:tcPr>
            <w:tcW w:w="709" w:type="dxa"/>
            <w:tcBorders>
              <w:top w:val="single" w:sz="4" w:space="0" w:color="auto"/>
            </w:tcBorders>
            <w:noWrap/>
          </w:tcPr>
          <w:p>
            <w:pPr>
              <w:pStyle w:val="yTableNAm"/>
              <w:jc w:val="center"/>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tabs>
                <w:tab w:val="clear" w:pos="567"/>
              </w:tabs>
              <w:ind w:right="141"/>
              <w:jc w:val="right"/>
              <w:rPr>
                <w:szCs w:val="24"/>
              </w:rPr>
            </w:pPr>
            <w:r>
              <w:rPr>
                <w:szCs w:val="24"/>
              </w:rPr>
              <w:t>556.80</w:t>
            </w:r>
          </w:p>
        </w:tc>
      </w:tr>
      <w:tr>
        <w:tc>
          <w:tcPr>
            <w:tcW w:w="709" w:type="dxa"/>
            <w:noWrap/>
          </w:tcPr>
          <w:p>
            <w:pPr>
              <w:pStyle w:val="yTableNAm"/>
              <w:jc w:val="center"/>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tabs>
                <w:tab w:val="clear" w:pos="567"/>
              </w:tabs>
              <w:ind w:right="141"/>
              <w:jc w:val="right"/>
              <w:rPr>
                <w:szCs w:val="24"/>
              </w:rPr>
            </w:pPr>
            <w:r>
              <w:rPr>
                <w:szCs w:val="24"/>
              </w:rPr>
              <w:t>696.00</w:t>
            </w:r>
          </w:p>
        </w:tc>
      </w:tr>
      <w:tr>
        <w:tc>
          <w:tcPr>
            <w:tcW w:w="709" w:type="dxa"/>
            <w:noWrap/>
          </w:tcPr>
          <w:p>
            <w:pPr>
              <w:pStyle w:val="yTableNAm"/>
              <w:jc w:val="center"/>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tabs>
                <w:tab w:val="clear" w:pos="567"/>
              </w:tabs>
              <w:ind w:right="141"/>
              <w:jc w:val="right"/>
              <w:rPr>
                <w:szCs w:val="24"/>
              </w:rPr>
            </w:pPr>
            <w:r>
              <w:rPr>
                <w:szCs w:val="24"/>
              </w:rPr>
              <w:t>696.00</w:t>
            </w:r>
          </w:p>
        </w:tc>
      </w:tr>
      <w:tr>
        <w:tc>
          <w:tcPr>
            <w:tcW w:w="709" w:type="dxa"/>
            <w:noWrap/>
          </w:tcPr>
          <w:p>
            <w:pPr>
              <w:pStyle w:val="yTableNAm"/>
              <w:jc w:val="center"/>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tabs>
                <w:tab w:val="clear" w:pos="567"/>
              </w:tabs>
              <w:ind w:right="141"/>
              <w:jc w:val="right"/>
              <w:rPr>
                <w:szCs w:val="24"/>
              </w:rPr>
            </w:pPr>
          </w:p>
        </w:tc>
      </w:tr>
      <w:tr>
        <w:tc>
          <w:tcPr>
            <w:tcW w:w="709" w:type="dxa"/>
            <w:noWrap/>
          </w:tcPr>
          <w:p>
            <w:pPr>
              <w:pStyle w:val="yTableNAm"/>
              <w:jc w:val="center"/>
            </w:pPr>
          </w:p>
        </w:tc>
        <w:tc>
          <w:tcPr>
            <w:tcW w:w="5103" w:type="dxa"/>
            <w:noWrap/>
          </w:tcPr>
          <w:p>
            <w:pPr>
              <w:pStyle w:val="yTableNAm"/>
              <w:ind w:left="316" w:hanging="316"/>
            </w:pPr>
            <w:r>
              <w:t>•</w:t>
            </w:r>
            <w:r>
              <w:tab/>
              <w:t>by a commercial vessel, an amount calculated using standard Rate 1</w:t>
            </w:r>
          </w:p>
        </w:tc>
        <w:tc>
          <w:tcPr>
            <w:tcW w:w="992" w:type="dxa"/>
            <w:noWrap/>
            <w:vAlign w:val="bottom"/>
          </w:tcPr>
          <w:p>
            <w:pPr>
              <w:pStyle w:val="yTableNAm"/>
              <w:tabs>
                <w:tab w:val="clear" w:pos="567"/>
              </w:tabs>
              <w:ind w:right="141"/>
              <w:jc w:val="right"/>
              <w:rPr>
                <w:szCs w:val="24"/>
              </w:rPr>
            </w:pPr>
          </w:p>
        </w:tc>
      </w:tr>
      <w:tr>
        <w:tc>
          <w:tcPr>
            <w:tcW w:w="709" w:type="dxa"/>
            <w:noWrap/>
          </w:tcPr>
          <w:p>
            <w:pPr>
              <w:pStyle w:val="yTableNAm"/>
              <w:jc w:val="center"/>
            </w:pPr>
          </w:p>
        </w:tc>
        <w:tc>
          <w:tcPr>
            <w:tcW w:w="5103" w:type="dxa"/>
            <w:noWrap/>
          </w:tcPr>
          <w:p>
            <w:pPr>
              <w:pStyle w:val="yTableNAm"/>
              <w:ind w:left="316" w:hanging="316"/>
            </w:pPr>
            <w:r>
              <w:t>•</w:t>
            </w:r>
            <w:r>
              <w:tab/>
              <w:t>by a recreational vessel, an amount calculated using standard Rate 2</w:t>
            </w:r>
          </w:p>
        </w:tc>
        <w:tc>
          <w:tcPr>
            <w:tcW w:w="992" w:type="dxa"/>
            <w:noWrap/>
            <w:vAlign w:val="bottom"/>
          </w:tcPr>
          <w:p>
            <w:pPr>
              <w:pStyle w:val="yTableNAm"/>
              <w:tabs>
                <w:tab w:val="clear" w:pos="567"/>
              </w:tabs>
              <w:ind w:right="141"/>
              <w:jc w:val="right"/>
              <w:rPr>
                <w:szCs w:val="24"/>
              </w:rPr>
            </w:pPr>
          </w:p>
        </w:tc>
      </w:tr>
      <w:tr>
        <w:tc>
          <w:tcPr>
            <w:tcW w:w="709" w:type="dxa"/>
            <w:tcBorders>
              <w:bottom w:val="single" w:sz="4" w:space="0" w:color="auto"/>
            </w:tcBorders>
            <w:noWrap/>
          </w:tcPr>
          <w:p>
            <w:pPr>
              <w:pStyle w:val="yTableNAm"/>
              <w:jc w:val="center"/>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tabs>
                <w:tab w:val="clear" w:pos="567"/>
              </w:tabs>
              <w:ind w:left="-121" w:right="141"/>
              <w:jc w:val="right"/>
            </w:pPr>
          </w:p>
        </w:tc>
      </w:tr>
    </w:tbl>
    <w:p>
      <w:pPr>
        <w:pStyle w:val="yFootnotesection"/>
      </w:pPr>
      <w:r>
        <w:tab/>
        <w:t>[Clause 9 inserted: SL 2022/48 r. 15.]</w:t>
      </w:r>
    </w:p>
    <w:p>
      <w:pPr>
        <w:pStyle w:val="yHeading5"/>
      </w:pPr>
      <w:bookmarkStart w:id="297" w:name="_Toc135214560"/>
      <w:r>
        <w:rPr>
          <w:rStyle w:val="CharSClsNo"/>
        </w:rPr>
        <w:t>10</w:t>
      </w:r>
      <w:r>
        <w:t>.</w:t>
      </w:r>
      <w:r>
        <w:tab/>
        <w:t>Jervoise Bay</w:t>
      </w:r>
      <w:bookmarkEnd w:id="297"/>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lastRenderedPageBreak/>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Type of use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5103" w:type="dxa"/>
            <w:noWrap/>
          </w:tcPr>
          <w:p>
            <w:pPr>
              <w:pStyle w:val="yTableNAm"/>
            </w:pPr>
            <w:r>
              <w:t>For the use, other than casual daily use, of a pile mooring, an amount calculated per metre of the vessel’s length using the annual rate of</w:t>
            </w:r>
          </w:p>
        </w:tc>
        <w:tc>
          <w:tcPr>
            <w:tcW w:w="992" w:type="dxa"/>
            <w:noWrap/>
            <w:vAlign w:val="bottom"/>
          </w:tcPr>
          <w:p>
            <w:pPr>
              <w:pStyle w:val="yTableNAm"/>
              <w:tabs>
                <w:tab w:val="clear" w:pos="567"/>
              </w:tabs>
              <w:ind w:left="-121" w:right="141"/>
              <w:jc w:val="right"/>
            </w:pPr>
            <w:r>
              <w:t>267.80</w:t>
            </w:r>
          </w:p>
        </w:tc>
      </w:tr>
      <w:tr>
        <w:trPr>
          <w:cantSplit/>
        </w:trPr>
        <w:tc>
          <w:tcPr>
            <w:tcW w:w="709" w:type="dxa"/>
            <w:noWrap/>
          </w:tcPr>
          <w:p>
            <w:pPr>
              <w:pStyle w:val="yTableNAm"/>
              <w:jc w:val="center"/>
            </w:pPr>
            <w:r>
              <w:t>2.</w:t>
            </w:r>
          </w:p>
        </w:tc>
        <w:tc>
          <w:tcPr>
            <w:tcW w:w="5103" w:type="dxa"/>
            <w:noWrap/>
          </w:tcPr>
          <w:p>
            <w:pPr>
              <w:pStyle w:val="yTableNAm"/>
            </w:pPr>
            <w:r>
              <w:t xml:space="preserve">For the casual daily use of a pile mooring — </w:t>
            </w:r>
          </w:p>
        </w:tc>
        <w:tc>
          <w:tcPr>
            <w:tcW w:w="992" w:type="dxa"/>
            <w:noWrap/>
            <w:vAlign w:val="bottom"/>
          </w:tcPr>
          <w:p>
            <w:pPr>
              <w:pStyle w:val="yTableNAm"/>
              <w:tabs>
                <w:tab w:val="clear" w:pos="567"/>
              </w:tabs>
              <w:ind w:left="-121" w:right="141"/>
              <w:jc w:val="right"/>
            </w:pPr>
          </w:p>
        </w:tc>
      </w:tr>
      <w:tr>
        <w:trPr>
          <w:cantSplit/>
        </w:trPr>
        <w:tc>
          <w:tcPr>
            <w:tcW w:w="709" w:type="dxa"/>
            <w:noWrap/>
          </w:tcPr>
          <w:p>
            <w:pPr>
              <w:pStyle w:val="yTableNAm"/>
              <w:jc w:val="center"/>
            </w:pPr>
          </w:p>
        </w:tc>
        <w:tc>
          <w:tcPr>
            <w:tcW w:w="5103" w:type="dxa"/>
            <w:noWrap/>
          </w:tcPr>
          <w:p>
            <w:pPr>
              <w:pStyle w:val="yTableNAm"/>
              <w:ind w:left="316" w:hanging="316"/>
            </w:pPr>
            <w:r>
              <w:t>•</w:t>
            </w:r>
            <w:r>
              <w:tab/>
              <w:t>by a commercial vessel, an amount calculated using standard Rate 1</w:t>
            </w:r>
          </w:p>
        </w:tc>
        <w:tc>
          <w:tcPr>
            <w:tcW w:w="992" w:type="dxa"/>
            <w:noWrap/>
            <w:vAlign w:val="bottom"/>
          </w:tcPr>
          <w:p>
            <w:pPr>
              <w:pStyle w:val="yTableNAm"/>
              <w:tabs>
                <w:tab w:val="clear" w:pos="567"/>
              </w:tabs>
              <w:ind w:left="-121" w:right="141"/>
              <w:jc w:val="right"/>
            </w:pPr>
          </w:p>
        </w:tc>
      </w:tr>
      <w:tr>
        <w:trPr>
          <w:cantSplit/>
        </w:trPr>
        <w:tc>
          <w:tcPr>
            <w:tcW w:w="709" w:type="dxa"/>
            <w:tcBorders>
              <w:bottom w:val="single" w:sz="4" w:space="0" w:color="auto"/>
            </w:tcBorders>
            <w:noWrap/>
          </w:tcPr>
          <w:p>
            <w:pPr>
              <w:pStyle w:val="yTableNAm"/>
              <w:jc w:val="center"/>
            </w:pPr>
          </w:p>
        </w:tc>
        <w:tc>
          <w:tcPr>
            <w:tcW w:w="5103" w:type="dxa"/>
            <w:tcBorders>
              <w:bottom w:val="single" w:sz="4" w:space="0" w:color="auto"/>
            </w:tcBorders>
            <w:noWrap/>
          </w:tcPr>
          <w:p>
            <w:pPr>
              <w:pStyle w:val="yTableNAm"/>
              <w:ind w:left="316" w:hanging="316"/>
            </w:pPr>
            <w:r>
              <w:t>•</w:t>
            </w:r>
            <w:r>
              <w:tab/>
              <w:t>by a recreational vessel, an amount calculated using standard Rate 2</w:t>
            </w:r>
          </w:p>
        </w:tc>
        <w:tc>
          <w:tcPr>
            <w:tcW w:w="992" w:type="dxa"/>
            <w:tcBorders>
              <w:bottom w:val="single" w:sz="4" w:space="0" w:color="auto"/>
            </w:tcBorders>
            <w:noWrap/>
            <w:vAlign w:val="bottom"/>
          </w:tcPr>
          <w:p>
            <w:pPr>
              <w:pStyle w:val="yTableNAm"/>
              <w:tabs>
                <w:tab w:val="clear" w:pos="567"/>
              </w:tabs>
              <w:ind w:left="-121" w:right="141"/>
              <w:jc w:val="right"/>
            </w:pPr>
          </w:p>
        </w:tc>
      </w:tr>
    </w:tbl>
    <w:p>
      <w:pPr>
        <w:pStyle w:val="yFootnotesection"/>
      </w:pPr>
      <w:r>
        <w:tab/>
        <w:t>[Clause 10 inserted: SL 2022/48 r. 15.]</w:t>
      </w:r>
    </w:p>
    <w:p>
      <w:pPr>
        <w:sectPr>
          <w:headerReference w:type="even" r:id="rId26"/>
          <w:headerReference w:type="default" r:id="rId27"/>
          <w:type w:val="continuous"/>
          <w:pgSz w:w="11907" w:h="16840" w:code="9"/>
          <w:pgMar w:top="2376" w:right="2405" w:bottom="3542" w:left="2405" w:header="706" w:footer="3544" w:gutter="0"/>
          <w:cols w:space="720"/>
          <w:noEndnote/>
          <w:docGrid w:linePitch="326"/>
        </w:sectPr>
      </w:pPr>
    </w:p>
    <w:p>
      <w:pPr>
        <w:pStyle w:val="yScheduleHeading"/>
      </w:pPr>
      <w:bookmarkStart w:id="298" w:name="_Toc135137158"/>
      <w:bookmarkStart w:id="299" w:name="_Toc135137382"/>
      <w:bookmarkStart w:id="300" w:name="_Toc135214561"/>
      <w:r>
        <w:rPr>
          <w:rStyle w:val="CharSchNo"/>
        </w:rPr>
        <w:lastRenderedPageBreak/>
        <w:t>Schedule 4</w:t>
      </w:r>
      <w:r>
        <w:rPr>
          <w:rStyle w:val="CharSDivNo"/>
        </w:rPr>
        <w:t> </w:t>
      </w:r>
      <w:r>
        <w:t>—</w:t>
      </w:r>
      <w:r>
        <w:rPr>
          <w:rStyle w:val="CharSDivText"/>
        </w:rPr>
        <w:t> </w:t>
      </w:r>
      <w:r>
        <w:rPr>
          <w:rStyle w:val="CharSchText"/>
        </w:rPr>
        <w:t>Forms</w:t>
      </w:r>
      <w:bookmarkEnd w:id="298"/>
      <w:bookmarkEnd w:id="299"/>
      <w:bookmarkEnd w:id="300"/>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b/>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lastRenderedPageBreak/>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301" w:name="_Toc135137159"/>
      <w:bookmarkStart w:id="302" w:name="_Toc135137383"/>
      <w:bookmarkStart w:id="303" w:name="_Toc135214562"/>
      <w:r>
        <w:lastRenderedPageBreak/>
        <w:t>Notes</w:t>
      </w:r>
      <w:bookmarkEnd w:id="301"/>
      <w:bookmarkEnd w:id="302"/>
      <w:bookmarkEnd w:id="303"/>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4" w:name="_Toc135214563"/>
      <w:r>
        <w:t>Compilation table</w:t>
      </w:r>
      <w:bookmarkEnd w:id="30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lastRenderedPageBreak/>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lastRenderedPageBreak/>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lastRenderedPageBreak/>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lastRenderedPageBreak/>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lastRenderedPageBreak/>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keepNext/>
              <w:spacing w:after="40"/>
              <w:rPr>
                <w:i/>
              </w:rPr>
            </w:pPr>
            <w:r>
              <w:rPr>
                <w:i/>
              </w:rPr>
              <w:t>Jetties Amendment Regulations (No. 4) 2020</w:t>
            </w:r>
          </w:p>
        </w:tc>
        <w:tc>
          <w:tcPr>
            <w:tcW w:w="1276" w:type="dxa"/>
            <w:tcBorders>
              <w:top w:val="nil"/>
              <w:bottom w:val="nil"/>
            </w:tcBorders>
          </w:tcPr>
          <w:p>
            <w:pPr>
              <w:pStyle w:val="nTable"/>
              <w:keepNext/>
              <w:spacing w:after="40"/>
            </w:pPr>
            <w:r>
              <w:t>SL 2020/238 4 Dec 2020</w:t>
            </w:r>
          </w:p>
        </w:tc>
        <w:tc>
          <w:tcPr>
            <w:tcW w:w="2722" w:type="dxa"/>
            <w:tcBorders>
              <w:top w:val="nil"/>
              <w:bottom w:val="nil"/>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keepNext/>
              <w:spacing w:after="40"/>
              <w:rPr>
                <w:i/>
              </w:rPr>
            </w:pPr>
            <w:r>
              <w:rPr>
                <w:i/>
              </w:rPr>
              <w:t>Transport Regulations Amendment (Ports) Regulations 2021</w:t>
            </w:r>
            <w:r>
              <w:t xml:space="preserve"> Pt. 2</w:t>
            </w:r>
          </w:p>
        </w:tc>
        <w:tc>
          <w:tcPr>
            <w:tcW w:w="1276" w:type="dxa"/>
            <w:tcBorders>
              <w:top w:val="nil"/>
              <w:bottom w:val="nil"/>
            </w:tcBorders>
          </w:tcPr>
          <w:p>
            <w:pPr>
              <w:pStyle w:val="nTable"/>
              <w:keepNext/>
              <w:spacing w:after="40"/>
            </w:pPr>
            <w:r>
              <w:t>SL 2021/51 7 May 2021</w:t>
            </w:r>
          </w:p>
        </w:tc>
        <w:tc>
          <w:tcPr>
            <w:tcW w:w="2722" w:type="dxa"/>
            <w:tcBorders>
              <w:top w:val="nil"/>
              <w:bottom w:val="nil"/>
            </w:tcBorders>
          </w:tcPr>
          <w:p>
            <w:pPr>
              <w:pStyle w:val="nTable"/>
              <w:keepNext/>
              <w:spacing w:after="40"/>
              <w:rPr>
                <w:bCs/>
                <w:snapToGrid w:val="0"/>
              </w:rPr>
            </w:pPr>
            <w:r>
              <w:t>1 Jul 2021 (see r. 2(b) and SL 2021/50 cl. 2)</w:t>
            </w:r>
          </w:p>
        </w:tc>
      </w:tr>
      <w:tr>
        <w:trPr>
          <w:cantSplit/>
        </w:trPr>
        <w:tc>
          <w:tcPr>
            <w:tcW w:w="3090" w:type="dxa"/>
            <w:tcBorders>
              <w:top w:val="nil"/>
              <w:bottom w:val="nil"/>
            </w:tcBorders>
          </w:tcPr>
          <w:p>
            <w:pPr>
              <w:pStyle w:val="nTable"/>
              <w:keepNext/>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keepNext/>
              <w:spacing w:after="40"/>
            </w:pPr>
            <w:r>
              <w:t>SL 2021/68 4 Jun 2021</w:t>
            </w:r>
          </w:p>
        </w:tc>
        <w:tc>
          <w:tcPr>
            <w:tcW w:w="2722" w:type="dxa"/>
            <w:tcBorders>
              <w:top w:val="nil"/>
              <w:bottom w:val="nil"/>
            </w:tcBorders>
          </w:tcPr>
          <w:p>
            <w:pPr>
              <w:pStyle w:val="nTable"/>
              <w:keepNext/>
              <w:spacing w:after="40"/>
            </w:pPr>
            <w:r>
              <w:t>1 Jul 2021 (see r. 2(b), SL 2021/51 r. 2(b) and SL 2021/50 cl. 2)</w:t>
            </w:r>
          </w:p>
        </w:tc>
      </w:tr>
      <w:tr>
        <w:trPr>
          <w:cantSplit/>
        </w:trPr>
        <w:tc>
          <w:tcPr>
            <w:tcW w:w="3090" w:type="dxa"/>
            <w:tcBorders>
              <w:top w:val="nil"/>
              <w:bottom w:val="nil"/>
            </w:tcBorders>
          </w:tcPr>
          <w:p>
            <w:pPr>
              <w:pStyle w:val="nTable"/>
              <w:keepNext/>
              <w:spacing w:after="40"/>
              <w:rPr>
                <w:i/>
              </w:rPr>
            </w:pPr>
            <w:r>
              <w:rPr>
                <w:i/>
              </w:rPr>
              <w:t>Transport Regulations Amendment (Waiver and Refund) Regulations 2022</w:t>
            </w:r>
            <w:r>
              <w:t xml:space="preserve"> Pt. 2</w:t>
            </w:r>
          </w:p>
        </w:tc>
        <w:tc>
          <w:tcPr>
            <w:tcW w:w="1276" w:type="dxa"/>
            <w:tcBorders>
              <w:top w:val="nil"/>
              <w:bottom w:val="nil"/>
            </w:tcBorders>
          </w:tcPr>
          <w:p>
            <w:pPr>
              <w:pStyle w:val="nTable"/>
              <w:keepNext/>
              <w:spacing w:after="40"/>
            </w:pPr>
            <w:r>
              <w:t>SL 2022/47 8 April 2022</w:t>
            </w:r>
          </w:p>
        </w:tc>
        <w:tc>
          <w:tcPr>
            <w:tcW w:w="2722" w:type="dxa"/>
            <w:tcBorders>
              <w:top w:val="nil"/>
              <w:bottom w:val="nil"/>
            </w:tcBorders>
          </w:tcPr>
          <w:p>
            <w:pPr>
              <w:pStyle w:val="nTable"/>
              <w:keepNext/>
              <w:spacing w:after="40"/>
            </w:pPr>
            <w:r>
              <w:t>9 April 2022</w:t>
            </w:r>
            <w:r>
              <w:rPr>
                <w:bCs/>
                <w:snapToGrid w:val="0"/>
              </w:rPr>
              <w:t xml:space="preserve"> (see r. 2(b))</w:t>
            </w:r>
          </w:p>
        </w:tc>
      </w:tr>
      <w:tr>
        <w:trPr>
          <w:cantSplit/>
        </w:trPr>
        <w:tc>
          <w:tcPr>
            <w:tcW w:w="3090" w:type="dxa"/>
            <w:tcBorders>
              <w:top w:val="nil"/>
              <w:bottom w:val="single" w:sz="4" w:space="0" w:color="auto"/>
            </w:tcBorders>
          </w:tcPr>
          <w:p>
            <w:pPr>
              <w:pStyle w:val="nTable"/>
              <w:keepNext/>
              <w:spacing w:after="40"/>
              <w:rPr>
                <w:i/>
              </w:rPr>
            </w:pPr>
            <w:r>
              <w:rPr>
                <w:i/>
              </w:rPr>
              <w:t>Jetties Amendment Regulations (No. 2) 2022</w:t>
            </w:r>
          </w:p>
        </w:tc>
        <w:tc>
          <w:tcPr>
            <w:tcW w:w="1276" w:type="dxa"/>
            <w:tcBorders>
              <w:top w:val="nil"/>
              <w:bottom w:val="single" w:sz="4" w:space="0" w:color="auto"/>
            </w:tcBorders>
          </w:tcPr>
          <w:p>
            <w:pPr>
              <w:pStyle w:val="nTable"/>
              <w:keepNext/>
              <w:spacing w:after="40"/>
            </w:pPr>
            <w:r>
              <w:t>SL 2022/48 22 Apr 2022</w:t>
            </w:r>
          </w:p>
        </w:tc>
        <w:tc>
          <w:tcPr>
            <w:tcW w:w="2722" w:type="dxa"/>
            <w:tcBorders>
              <w:top w:val="nil"/>
              <w:bottom w:val="single" w:sz="4" w:space="0" w:color="auto"/>
            </w:tcBorders>
          </w:tcPr>
          <w:p>
            <w:pPr>
              <w:pStyle w:val="nTable"/>
              <w:keepNext/>
              <w:spacing w:after="40"/>
            </w:pPr>
            <w:r>
              <w:t>r. 1 and 2: 22 Apr 2022 (see r. 2(a));</w:t>
            </w:r>
            <w:r>
              <w:br/>
              <w:t>Regulations other than r. 1 and 2: 1 Jul 2022 (see r. 2(b))</w:t>
            </w:r>
          </w:p>
        </w:tc>
      </w:tr>
    </w:tbl>
    <w:p>
      <w:pPr>
        <w:pStyle w:val="nHeading3"/>
      </w:pPr>
      <w:bookmarkStart w:id="305" w:name="_Toc135214564"/>
      <w:r>
        <w:t>Uncommenced provisions table</w:t>
      </w:r>
      <w:bookmarkEnd w:id="30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2023</w:t>
            </w:r>
            <w:r>
              <w:t xml:space="preserve"> Pt. 2</w:t>
            </w:r>
          </w:p>
        </w:tc>
        <w:tc>
          <w:tcPr>
            <w:tcW w:w="1276" w:type="dxa"/>
          </w:tcPr>
          <w:p>
            <w:pPr>
              <w:pStyle w:val="nTable"/>
              <w:spacing w:after="40"/>
            </w:pPr>
            <w:r>
              <w:t>SL 2023/43 19 May 2023</w:t>
            </w:r>
          </w:p>
        </w:tc>
        <w:tc>
          <w:tcPr>
            <w:tcW w:w="2693" w:type="dxa"/>
          </w:tcPr>
          <w:p>
            <w:pPr>
              <w:pStyle w:val="nTable"/>
              <w:spacing w:after="40"/>
            </w:pPr>
            <w:r>
              <w:t>1 Jul 2023 (see r. 2(b))</w:t>
            </w:r>
          </w:p>
        </w:tc>
      </w:tr>
    </w:tbl>
    <w:p>
      <w:pPr>
        <w:pStyle w:val="nHeading3"/>
      </w:pPr>
      <w:bookmarkStart w:id="306" w:name="_Toc135214565"/>
      <w:r>
        <w:lastRenderedPageBreak/>
        <w:t>Other notes</w:t>
      </w:r>
      <w:bookmarkEnd w:id="306"/>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Footnote no longer applicable.</w:t>
      </w:r>
    </w:p>
    <w:p>
      <w:pPr>
        <w:pStyle w:val="nNote"/>
      </w:pPr>
      <w:r>
        <w:rPr>
          <w:vertAlign w:val="superscript"/>
        </w:rPr>
        <w:t>3</w:t>
      </w:r>
      <w:r>
        <w:tab/>
        <w:t>The Standards Association of Australia has changed its corporate status and its name.  It is now Standards Australia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308" w:name="_Toc135137162"/>
      <w:bookmarkStart w:id="309" w:name="_Toc135137387"/>
      <w:bookmarkStart w:id="310" w:name="_Toc135214566"/>
      <w:r>
        <w:rPr>
          <w:sz w:val="28"/>
        </w:rPr>
        <w:lastRenderedPageBreak/>
        <w:t>Defined terms</w:t>
      </w:r>
      <w:bookmarkEnd w:id="308"/>
      <w:bookmarkEnd w:id="309"/>
      <w:bookmarkEnd w:id="3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licence fee</w:t>
      </w:r>
      <w:r>
        <w:tab/>
        <w:t>105J, 105K(5)</w:t>
      </w:r>
    </w:p>
    <w:p>
      <w:pPr>
        <w:pStyle w:val="DefinedTerms"/>
      </w:pPr>
      <w:r>
        <w:t>amending instrument</w:t>
      </w:r>
      <w:r>
        <w:tab/>
        <w:t>111(2)</w:t>
      </w:r>
    </w:p>
    <w:p>
      <w:pPr>
        <w:pStyle w:val="DefinedTerms"/>
      </w:pPr>
      <w:r>
        <w:t>annual licence fee</w:t>
      </w:r>
      <w:r>
        <w:tab/>
        <w:t>105J, 105K(6)</w:t>
      </w:r>
    </w:p>
    <w:p>
      <w:pPr>
        <w:pStyle w:val="DefinedTerms"/>
      </w:pPr>
      <w:r>
        <w:t>authorised fee officer</w:t>
      </w:r>
      <w:r>
        <w:tab/>
        <w:t>109</w:t>
      </w:r>
    </w:p>
    <w:p>
      <w:pPr>
        <w:pStyle w:val="DefinedTerms"/>
      </w:pPr>
      <w:r>
        <w:t>authorised period</w:t>
      </w:r>
      <w:r>
        <w:tab/>
        <w:t>67DD</w:t>
      </w:r>
    </w:p>
    <w:p>
      <w:pPr>
        <w:pStyle w:val="DefinedTerms"/>
      </w:pPr>
      <w:r>
        <w:t>Berth 1</w:t>
      </w:r>
      <w:r>
        <w:tab/>
        <w:t>67DD</w:t>
      </w:r>
    </w:p>
    <w:p>
      <w:pPr>
        <w:pStyle w:val="DefinedTerms"/>
      </w:pPr>
      <w:r>
        <w:t>Berth 1 permit</w:t>
      </w:r>
      <w:r>
        <w:tab/>
        <w:t>67DD</w:t>
      </w:r>
    </w:p>
    <w:p>
      <w:pPr>
        <w:pStyle w:val="DefinedTerms"/>
      </w:pPr>
      <w:r>
        <w:t>Berth 2</w:t>
      </w:r>
      <w:r>
        <w:tab/>
        <w:t>67DD</w:t>
      </w:r>
    </w:p>
    <w:p>
      <w:pPr>
        <w:pStyle w:val="DefinedTerms"/>
      </w:pPr>
      <w:r>
        <w:t>Berth 3</w:t>
      </w:r>
      <w:r>
        <w:tab/>
        <w:t>67DD</w:t>
      </w:r>
    </w:p>
    <w:p>
      <w:pPr>
        <w:pStyle w:val="DefinedTerms"/>
      </w:pPr>
      <w:r>
        <w:t>Burswood Jetty</w:t>
      </w:r>
      <w:r>
        <w:tab/>
        <w:t>3(1)</w:t>
      </w:r>
    </w:p>
    <w:p>
      <w:pPr>
        <w:pStyle w:val="DefinedTerms"/>
      </w:pPr>
      <w:r>
        <w:t>business</w:t>
      </w:r>
      <w:r>
        <w:tab/>
        <w:t>105J</w:t>
      </w:r>
    </w:p>
    <w:p>
      <w:pPr>
        <w:pStyle w:val="DefinedTerms"/>
      </w:pPr>
      <w:r>
        <w:t>business licence</w:t>
      </w:r>
      <w:r>
        <w:tab/>
        <w:t>105J</w:t>
      </w:r>
    </w:p>
    <w:p>
      <w:pPr>
        <w:pStyle w:val="DefinedTerms"/>
      </w:pPr>
      <w:r>
        <w:t>commercial passenger vessel</w:t>
      </w:r>
      <w:r>
        <w:tab/>
        <w:t>67DD</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30(1)</w:t>
      </w:r>
    </w:p>
    <w:p>
      <w:pPr>
        <w:pStyle w:val="DefinedTerms"/>
      </w:pPr>
      <w:r>
        <w:t>exclusive operator</w:t>
      </w:r>
      <w:r>
        <w:tab/>
        <w:t>67DD, 67DF(2)</w:t>
      </w:r>
    </w:p>
    <w:p>
      <w:pPr>
        <w:pStyle w:val="DefinedTerms"/>
      </w:pPr>
      <w:r>
        <w:t>fee</w:t>
      </w:r>
      <w:r>
        <w:tab/>
        <w:t>109</w:t>
      </w:r>
    </w:p>
    <w:p>
      <w:pPr>
        <w:pStyle w:val="DefinedTerms"/>
      </w:pPr>
      <w:r>
        <w:t>fishing vessel</w:t>
      </w:r>
      <w:r>
        <w:tab/>
        <w:t>3(1)</w:t>
      </w:r>
    </w:p>
    <w:p>
      <w:pPr>
        <w:pStyle w:val="DefinedTerms"/>
      </w:pPr>
      <w:r>
        <w:t>fuel pipeline</w:t>
      </w:r>
      <w:r>
        <w:tab/>
        <w:t>105J</w:t>
      </w:r>
    </w:p>
    <w:p>
      <w:pPr>
        <w:pStyle w:val="DefinedTerms"/>
      </w:pPr>
      <w:r>
        <w:t>fuel pipeline licence</w:t>
      </w:r>
      <w:r>
        <w:tab/>
        <w:t>105J</w:t>
      </w:r>
    </w:p>
    <w:p>
      <w:pPr>
        <w:pStyle w:val="DefinedTerms"/>
      </w:pPr>
      <w:r>
        <w:t>item 1</w:t>
      </w:r>
      <w:r>
        <w:tab/>
        <w:t>67DD</w:t>
      </w:r>
    </w:p>
    <w:p>
      <w:pPr>
        <w:pStyle w:val="DefinedTerms"/>
      </w:pPr>
      <w:r>
        <w:t>item 2</w:t>
      </w:r>
      <w:r>
        <w:tab/>
        <w:t>67DD</w:t>
      </w:r>
    </w:p>
    <w:p>
      <w:pPr>
        <w:pStyle w:val="DefinedTerms"/>
      </w:pPr>
      <w:r>
        <w:t>item 3</w:t>
      </w:r>
      <w:r>
        <w:tab/>
        <w:t>67DD</w:t>
      </w:r>
    </w:p>
    <w:p>
      <w:pPr>
        <w:pStyle w:val="DefinedTerms"/>
      </w:pPr>
      <w:r>
        <w:t>jetty</w:t>
      </w:r>
      <w:r>
        <w:tab/>
        <w:t>3(1), 105J</w:t>
      </w:r>
    </w:p>
    <w:p>
      <w:pPr>
        <w:pStyle w:val="DefinedTerms"/>
      </w:pPr>
      <w:r>
        <w:t>licence</w:t>
      </w:r>
      <w:r>
        <w:tab/>
        <w:t>105J</w:t>
      </w:r>
    </w:p>
    <w:p>
      <w:pPr>
        <w:pStyle w:val="DefinedTerms"/>
      </w:pPr>
      <w:r>
        <w:t>local government public licence</w:t>
      </w:r>
      <w:r>
        <w:tab/>
        <w:t>105J</w:t>
      </w:r>
    </w:p>
    <w:p>
      <w:pPr>
        <w:pStyle w:val="DefinedTerms"/>
      </w:pPr>
      <w:r>
        <w:t>master</w:t>
      </w:r>
      <w:r>
        <w:tab/>
        <w:t>3(1)</w:t>
      </w:r>
    </w:p>
    <w:p>
      <w:pPr>
        <w:pStyle w:val="DefinedTerms"/>
      </w:pPr>
      <w:r>
        <w:t>new licence fee</w:t>
      </w:r>
      <w:r>
        <w:tab/>
        <w:t>105J, 105K(3)</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private licence</w:t>
      </w:r>
      <w:r>
        <w:tab/>
        <w:t>105J</w:t>
      </w:r>
    </w:p>
    <w:p>
      <w:pPr>
        <w:pStyle w:val="DefinedTerms"/>
      </w:pPr>
      <w:r>
        <w:t>public jetty</w:t>
      </w:r>
      <w:r>
        <w:tab/>
        <w:t>3(1)</w:t>
      </w:r>
    </w:p>
    <w:p>
      <w:pPr>
        <w:pStyle w:val="DefinedTerms"/>
      </w:pPr>
      <w:r>
        <w:t>ramp</w:t>
      </w:r>
      <w:r>
        <w:tab/>
        <w:t>105J</w:t>
      </w:r>
    </w:p>
    <w:p>
      <w:pPr>
        <w:pStyle w:val="DefinedTerms"/>
      </w:pPr>
      <w:r>
        <w:t>recreational vessel</w:t>
      </w:r>
      <w:r>
        <w:tab/>
        <w:t>3(1)</w:t>
      </w:r>
    </w:p>
    <w:p>
      <w:pPr>
        <w:pStyle w:val="DefinedTerms"/>
      </w:pPr>
      <w:r>
        <w:t>relevant vessel</w:t>
      </w:r>
      <w:r>
        <w:tab/>
        <w:t>67DI(1)</w:t>
      </w:r>
    </w:p>
    <w:p>
      <w:pPr>
        <w:pStyle w:val="DefinedTerms"/>
      </w:pPr>
      <w:r>
        <w:t>replacement licence fee</w:t>
      </w:r>
      <w:r>
        <w:tab/>
        <w:t>105J, 105K(4)</w:t>
      </w:r>
    </w:p>
    <w:p>
      <w:pPr>
        <w:pStyle w:val="DefinedTerms"/>
      </w:pPr>
      <w:r>
        <w:lastRenderedPageBreak/>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 105J</w:t>
      </w:r>
    </w:p>
    <w:p>
      <w:pPr>
        <w:pStyle w:val="DefinedTerms"/>
      </w:pPr>
      <w:r>
        <w:t>week</w:t>
      </w:r>
      <w:r>
        <w:tab/>
        <w:t>3(2)</w:t>
      </w:r>
    </w:p>
    <w:p>
      <w:pPr>
        <w:pStyle w:val="DefinedTerms"/>
      </w:pPr>
      <w:r>
        <w:t>written instrument</w:t>
      </w:r>
      <w:r>
        <w:tab/>
        <w:t>109</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09-v0-00</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4</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4</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Breach of regulations and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108</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108</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Breach of regulations and penalties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4</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4</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108</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108</w:t>
          </w:r>
          <w:r>
            <w:rPr>
              <w:b/>
            </w:rPr>
            <w:fldChar w:fldCharType="end"/>
          </w:r>
        </w:p>
      </w:tc>
    </w:tr>
  </w:tbl>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1" w:name="DefinedTerms"/>
    <w:bookmarkEnd w:id="31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2" w:name="Coversheet"/>
    <w:bookmarkEnd w:id="3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34102"/>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 w:name="WAFER_2022042012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3831_GUID" w:val="9bd887dc-5622-4a17-9b0a-4eeac0158a8a"/>
    <w:docVar w:name="WAFER_20220627133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3116_GUID" w:val="7c6f7894-7aa8-4b80-9954-837c418f4104"/>
    <w:docVar w:name="WAFER_2023051613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34102_GUID" w:val="774786db-3824-4e3b-94ee-6ee5737938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F6E7E-9613-404E-B2B9-548C7BDB8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30109</Words>
  <Characters>140312</Characters>
  <Application>Microsoft Office Word</Application>
  <DocSecurity>0</DocSecurity>
  <Lines>4677</Lines>
  <Paragraphs>3043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1940 - 09-v0-00</dc:title>
  <dc:subject/>
  <dc:creator/>
  <cp:keywords/>
  <dc:description/>
  <cp:lastModifiedBy>Master Repository Process</cp:lastModifiedBy>
  <cp:revision>4</cp:revision>
  <cp:lastPrinted>2018-06-29T07:24:00Z</cp:lastPrinted>
  <dcterms:created xsi:type="dcterms:W3CDTF">2023-05-18T22:16:00Z</dcterms:created>
  <dcterms:modified xsi:type="dcterms:W3CDTF">2023-05-18T22:16:00Z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19 May 2023</vt:lpwstr>
  </property>
  <property fmtid="{D5CDD505-2E9C-101B-9397-08002B2CF9AE}" pid="8" name="Suffix">
    <vt:lpwstr>09-v0-00</vt:lpwstr>
  </property>
  <property fmtid="{D5CDD505-2E9C-101B-9397-08002B2CF9AE}" pid="9" name="CommencementDate">
    <vt:lpwstr>20230519</vt:lpwstr>
  </property>
</Properties>
</file>