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_Toc135386436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_Toc135386437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_Toc135386438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_Toc135386440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_Toc135386442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_Toc135386443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_Toc135386444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_Toc135386445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_Toc135386446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_Toc135386447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_Toc135386448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_Toc135386449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_Toc135386450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_Toc135386451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8.</w:t>
      </w:r>
      <w:r>
        <w:tab/>
        <w:t>Tribunal to report and make a determination annually</w:t>
      </w:r>
      <w:r>
        <w:tab/>
      </w:r>
      <w:r>
        <w:fldChar w:fldCharType="begin"/>
      </w:r>
      <w:r>
        <w:instrText xml:space="preserve"> PAGEREF _Toc135386452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_Toc135386453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_Toc135386454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_Toc135386455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_Toc135386457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_Toc135386458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_Toc135386459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_Toc135386460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_Toc135386461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_Toc135386462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_Toc135386464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_Toc135386466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_Toc135386467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_Toc135386471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_Toc135386472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_Toc135386473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3" w:name="_Toc135385281"/>
      <w:bookmarkStart w:id="4" w:name="_Toc135385367"/>
      <w:bookmarkStart w:id="5" w:name="_Toc135386434"/>
      <w:r>
        <w:rPr>
          <w:rStyle w:val="CharPartNo"/>
        </w:rPr>
        <w:lastRenderedPageBreak/>
        <w:t>Part I</w:t>
      </w:r>
      <w:r>
        <w:t> — </w:t>
      </w:r>
      <w:r>
        <w:rPr>
          <w:rStyle w:val="CharPartText"/>
        </w:rPr>
        <w:t>The Tribunal</w:t>
      </w:r>
      <w:bookmarkEnd w:id="3"/>
      <w:bookmarkEnd w:id="4"/>
      <w:bookmarkEnd w:id="5"/>
      <w:r>
        <w:rPr>
          <w:rStyle w:val="CharPartText"/>
        </w:rPr>
        <w:t xml:space="preserve"> </w:t>
      </w:r>
    </w:p>
    <w:p>
      <w:pPr>
        <w:pStyle w:val="Heading3"/>
      </w:pPr>
      <w:bookmarkStart w:id="6" w:name="_Toc135385282"/>
      <w:bookmarkStart w:id="7" w:name="_Toc135385368"/>
      <w:bookmarkStart w:id="8" w:name="_Toc135386435"/>
      <w:r>
        <w:rPr>
          <w:rStyle w:val="CharDivNo"/>
        </w:rPr>
        <w:t>Division 1</w:t>
      </w:r>
      <w:r>
        <w:t> — </w:t>
      </w:r>
      <w:r>
        <w:rPr>
          <w:rStyle w:val="CharDivText"/>
        </w:rPr>
        <w:t>Preliminary</w:t>
      </w:r>
      <w:bookmarkEnd w:id="6"/>
      <w:bookmarkEnd w:id="7"/>
      <w:bookmarkEnd w:id="8"/>
    </w:p>
    <w:p>
      <w:pPr>
        <w:pStyle w:val="Footnoteheading"/>
      </w:pPr>
      <w:r>
        <w:tab/>
        <w:t>[Heading inserted: No. 1 of 2018 s. 4.]</w:t>
      </w:r>
    </w:p>
    <w:p>
      <w:pPr>
        <w:pStyle w:val="Heading5"/>
        <w:rPr>
          <w:snapToGrid w:val="0"/>
        </w:rPr>
      </w:pPr>
      <w:bookmarkStart w:id="9" w:name="_Toc135386436"/>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0" w:name="_Toc135386437"/>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1" w:name="_Toc135386438"/>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lastRenderedPageBreak/>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2" w:name="_Toc135385286"/>
      <w:bookmarkStart w:id="13" w:name="_Toc135385372"/>
      <w:bookmarkStart w:id="14" w:name="_Toc135386439"/>
      <w:r>
        <w:rPr>
          <w:rStyle w:val="CharDivNo"/>
        </w:rPr>
        <w:lastRenderedPageBreak/>
        <w:t>Division 2</w:t>
      </w:r>
      <w:r>
        <w:t> — </w:t>
      </w:r>
      <w:r>
        <w:rPr>
          <w:rStyle w:val="CharDivText"/>
        </w:rPr>
        <w:t>Tribunal established</w:t>
      </w:r>
      <w:bookmarkEnd w:id="12"/>
      <w:bookmarkEnd w:id="13"/>
      <w:bookmarkEnd w:id="14"/>
    </w:p>
    <w:p>
      <w:pPr>
        <w:pStyle w:val="Footnoteheading"/>
      </w:pPr>
      <w:r>
        <w:tab/>
        <w:t>[Heading inserted: No. 1 of 2018 s. 5.]</w:t>
      </w:r>
    </w:p>
    <w:p>
      <w:pPr>
        <w:pStyle w:val="Heading5"/>
        <w:rPr>
          <w:snapToGrid w:val="0"/>
        </w:rPr>
      </w:pPr>
      <w:bookmarkStart w:id="15" w:name="_Toc135386440"/>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lastRenderedPageBreak/>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6" w:name="_Toc135385288"/>
      <w:bookmarkStart w:id="17" w:name="_Toc135385374"/>
      <w:bookmarkStart w:id="18" w:name="_Toc135386441"/>
      <w:r>
        <w:rPr>
          <w:rStyle w:val="CharDivNo"/>
        </w:rPr>
        <w:t>Division 3</w:t>
      </w:r>
      <w:r>
        <w:t> — </w:t>
      </w:r>
      <w:r>
        <w:rPr>
          <w:rStyle w:val="CharDivText"/>
        </w:rPr>
        <w:t>Inquiries, determinations and reports</w:t>
      </w:r>
      <w:bookmarkEnd w:id="16"/>
      <w:bookmarkEnd w:id="17"/>
      <w:bookmarkEnd w:id="18"/>
    </w:p>
    <w:p>
      <w:pPr>
        <w:pStyle w:val="Footnoteheading"/>
      </w:pPr>
      <w:r>
        <w:tab/>
        <w:t>[Heading inserted: No. 1 of 2018 s. 6.]</w:t>
      </w:r>
    </w:p>
    <w:p>
      <w:pPr>
        <w:pStyle w:val="Heading5"/>
        <w:rPr>
          <w:snapToGrid w:val="0"/>
        </w:rPr>
      </w:pPr>
      <w:bookmarkStart w:id="19" w:name="_Toc135386442"/>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 xml:space="preserve">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w:t>
      </w:r>
      <w:r>
        <w:rPr>
          <w:snapToGrid w:val="0"/>
        </w:rPr>
        <w:lastRenderedPageBreak/>
        <w:t>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20" w:name="_Toc135386443"/>
      <w:r>
        <w:rPr>
          <w:rStyle w:val="CharSectno"/>
        </w:rPr>
        <w:lastRenderedPageBreak/>
        <w:t>6</w:t>
      </w:r>
      <w:r>
        <w:rPr>
          <w:snapToGrid w:val="0"/>
        </w:rPr>
        <w:t>.</w:t>
      </w:r>
      <w:r>
        <w:rPr>
          <w:snapToGrid w:val="0"/>
        </w:rPr>
        <w:tab/>
        <w:t>Other inquiries into and determinations of remuneration</w:t>
      </w:r>
      <w:bookmarkEnd w:id="20"/>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w:t>
      </w:r>
      <w:r>
        <w:rPr>
          <w:snapToGrid w:val="0"/>
        </w:rPr>
        <w:lastRenderedPageBreak/>
        <w:t xml:space="preserve">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 xml:space="preserve">a subsequent </w:t>
      </w:r>
      <w:r>
        <w:lastRenderedPageBreak/>
        <w:t>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lastRenderedPageBreak/>
        <w:t>s</w:t>
      </w:r>
      <w:r>
        <w:t>. 57; No. 22 of 2001 s. 3; Gazette 15 Aug 2003 p. 3691; Act No. 1 of 2005 s. 10(2); No. 56 of 2006 s. 7; No. 77 of 2006 s. 4; No. 32 of 2016 s. 192; No. 20 of 2021 s. 96(2).]</w:t>
      </w:r>
    </w:p>
    <w:p>
      <w:pPr>
        <w:pStyle w:val="Heading5"/>
        <w:spacing w:before="180"/>
      </w:pPr>
      <w:bookmarkStart w:id="21" w:name="_Toc135386444"/>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2" w:name="_Toc135386445"/>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3" w:name="_Toc135386446"/>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 xml:space="preserve">The Tribunal shall from time to time, as it sees fit, inquire into and determine the entitlements and benefits to be paid or </w:t>
      </w:r>
      <w:r>
        <w:rPr>
          <w:snapToGrid w:val="0"/>
        </w:rPr>
        <w:lastRenderedPageBreak/>
        <w:t>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4" w:name="_Toc135386447"/>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lastRenderedPageBreak/>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5" w:name="_Toc135386448"/>
      <w:r>
        <w:rPr>
          <w:rStyle w:val="CharSectno"/>
        </w:rPr>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w:t>
      </w:r>
      <w:r>
        <w:lastRenderedPageBreak/>
        <w:t xml:space="preserve">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lastRenderedPageBreak/>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135386449"/>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7" w:name="_Toc135386450"/>
      <w:r>
        <w:rPr>
          <w:rStyle w:val="CharSectno"/>
        </w:rPr>
        <w:t>7B</w:t>
      </w:r>
      <w:r>
        <w:t>.</w:t>
      </w:r>
      <w:r>
        <w:tab/>
        <w:t>Determinations as to fees and allowances of local government councillors</w:t>
      </w:r>
      <w:bookmarkEnd w:id="2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lastRenderedPageBreak/>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8" w:name="_Toc135386451"/>
      <w:r>
        <w:rPr>
          <w:rStyle w:val="CharSectno"/>
        </w:rPr>
        <w:t>7C</w:t>
      </w:r>
      <w:r>
        <w:t>.</w:t>
      </w:r>
      <w:r>
        <w:tab/>
        <w:t>Determinations as to remuneration of certain executive officers of Government entities</w:t>
      </w:r>
      <w:bookmarkEnd w:id="2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lastRenderedPageBreak/>
        <w:tab/>
        <w:t>[Section 7C inserted: No. 46 of 2016 s. 5.]</w:t>
      </w:r>
    </w:p>
    <w:p>
      <w:pPr>
        <w:pStyle w:val="Heading5"/>
        <w:spacing w:before="180"/>
      </w:pPr>
      <w:bookmarkStart w:id="29" w:name="_Toc135386452"/>
      <w:r>
        <w:rPr>
          <w:rStyle w:val="CharSectno"/>
        </w:rPr>
        <w:t>8</w:t>
      </w:r>
      <w:r>
        <w:t>.</w:t>
      </w:r>
      <w:r>
        <w:tab/>
        <w:t>Tribunal to report and make a determination annually</w:t>
      </w:r>
      <w:bookmarkEnd w:id="29"/>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30" w:name="_Toc135386453"/>
      <w:r>
        <w:rPr>
          <w:rStyle w:val="CharSectno"/>
        </w:rPr>
        <w:t>9</w:t>
      </w:r>
      <w:r>
        <w:rPr>
          <w:snapToGrid w:val="0"/>
        </w:rPr>
        <w:t>.</w:t>
      </w:r>
      <w:r>
        <w:rPr>
          <w:snapToGrid w:val="0"/>
        </w:rPr>
        <w:tab/>
        <w:t>Meetings of Tribunal</w:t>
      </w:r>
      <w:bookmarkEnd w:id="3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lastRenderedPageBreak/>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1" w:name="_Toc135386454"/>
      <w:r>
        <w:rPr>
          <w:rStyle w:val="CharSectno"/>
        </w:rPr>
        <w:t>10</w:t>
      </w:r>
      <w:r>
        <w:rPr>
          <w:snapToGrid w:val="0"/>
        </w:rPr>
        <w:t>.</w:t>
      </w:r>
      <w:r>
        <w:rPr>
          <w:snapToGrid w:val="0"/>
        </w:rPr>
        <w:tab/>
        <w:t>Method of inquiry by Tribunal</w:t>
      </w:r>
      <w:bookmarkEnd w:id="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lastRenderedPageBreak/>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lastRenderedPageBreak/>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32" w:name="_Toc135386455"/>
      <w:r>
        <w:rPr>
          <w:rStyle w:val="CharSectno"/>
        </w:rPr>
        <w:t>10A</w:t>
      </w:r>
      <w:r>
        <w:t>.</w:t>
      </w:r>
      <w:r>
        <w:tab/>
        <w:t>Tribunal to have regard to government financial matters</w:t>
      </w:r>
      <w:bookmarkEnd w:id="3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lastRenderedPageBreak/>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33" w:name="_Toc135385303"/>
      <w:bookmarkStart w:id="34" w:name="_Toc135385389"/>
      <w:bookmarkStart w:id="35" w:name="_Toc135386456"/>
      <w:r>
        <w:rPr>
          <w:rStyle w:val="CharDivNo"/>
        </w:rPr>
        <w:lastRenderedPageBreak/>
        <w:t>Division 4</w:t>
      </w:r>
      <w:r>
        <w:t> — </w:t>
      </w:r>
      <w:r>
        <w:rPr>
          <w:rStyle w:val="CharDivText"/>
        </w:rPr>
        <w:t>No remuneration increases before 1 July 2021</w:t>
      </w:r>
      <w:bookmarkEnd w:id="33"/>
      <w:bookmarkEnd w:id="34"/>
      <w:bookmarkEnd w:id="35"/>
    </w:p>
    <w:p>
      <w:pPr>
        <w:pStyle w:val="Footnoteheading"/>
      </w:pPr>
      <w:r>
        <w:tab/>
        <w:t>[Heading inserted: No. 1 of 2018 s. 9.]</w:t>
      </w:r>
    </w:p>
    <w:p>
      <w:pPr>
        <w:pStyle w:val="Heading5"/>
      </w:pPr>
      <w:bookmarkStart w:id="36" w:name="_Toc135386457"/>
      <w:r>
        <w:rPr>
          <w:rStyle w:val="CharSectno"/>
        </w:rPr>
        <w:t>10B</w:t>
      </w:r>
      <w:r>
        <w:t>.</w:t>
      </w:r>
      <w:r>
        <w:tab/>
        <w:t>Term used: commencement day</w:t>
      </w:r>
      <w:bookmarkEnd w:id="3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37" w:name="_Toc135386458"/>
      <w:r>
        <w:rPr>
          <w:rStyle w:val="CharSectno"/>
        </w:rPr>
        <w:t>10C</w:t>
      </w:r>
      <w:r>
        <w:t>.</w:t>
      </w:r>
      <w:r>
        <w:tab/>
        <w:t>No increases in Governor’s remuneration before 1 July 2021</w:t>
      </w:r>
      <w:bookmarkEnd w:id="3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8" w:name="_Toc135386459"/>
      <w:r>
        <w:rPr>
          <w:rStyle w:val="CharSectno"/>
        </w:rPr>
        <w:lastRenderedPageBreak/>
        <w:t>10D</w:t>
      </w:r>
      <w:r>
        <w:t>.</w:t>
      </w:r>
      <w:r>
        <w:tab/>
        <w:t>No increases in remuneration under s. 6 before 1 July 2021</w:t>
      </w:r>
      <w:bookmarkEnd w:id="3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w:t>
      </w:r>
      <w:r>
        <w:lastRenderedPageBreak/>
        <w:t xml:space="preserve">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9" w:name="_Toc135386460"/>
      <w:r>
        <w:rPr>
          <w:rStyle w:val="CharSectno"/>
        </w:rPr>
        <w:t>10E</w:t>
      </w:r>
      <w:r>
        <w:t>.</w:t>
      </w:r>
      <w:r>
        <w:tab/>
        <w:t>No increases in judicial remuneration before 1 July 2021</w:t>
      </w:r>
      <w:bookmarkEnd w:id="3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40" w:name="_Toc135386461"/>
      <w:r>
        <w:rPr>
          <w:rStyle w:val="CharSectno"/>
        </w:rPr>
        <w:t>10F</w:t>
      </w:r>
      <w:r>
        <w:t>.</w:t>
      </w:r>
      <w:r>
        <w:tab/>
        <w:t>No increases in remuneration of certain executive officers of Government entities before 1 July 2021</w:t>
      </w:r>
      <w:bookmarkEnd w:id="4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lastRenderedPageBreak/>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lastRenderedPageBreak/>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41" w:name="_Toc135386462"/>
      <w:r>
        <w:rPr>
          <w:rStyle w:val="CharSectno"/>
        </w:rPr>
        <w:t>10G</w:t>
      </w:r>
      <w:r>
        <w:t>.</w:t>
      </w:r>
      <w:r>
        <w:tab/>
        <w:t>Compensatory and catch-up determinations after 1 July 2021 prohibited</w:t>
      </w:r>
      <w:bookmarkEnd w:id="4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42" w:name="_Toc135385310"/>
      <w:bookmarkStart w:id="43" w:name="_Toc135385396"/>
      <w:bookmarkStart w:id="44" w:name="_Toc135386463"/>
      <w:r>
        <w:rPr>
          <w:rStyle w:val="CharDivNo"/>
        </w:rPr>
        <w:t>Division 5</w:t>
      </w:r>
      <w:r>
        <w:t> — </w:t>
      </w:r>
      <w:r>
        <w:rPr>
          <w:rStyle w:val="CharDivText"/>
        </w:rPr>
        <w:t>Miscellaneous</w:t>
      </w:r>
      <w:bookmarkEnd w:id="42"/>
      <w:bookmarkEnd w:id="43"/>
      <w:bookmarkEnd w:id="44"/>
    </w:p>
    <w:p>
      <w:pPr>
        <w:pStyle w:val="Footnoteheading"/>
      </w:pPr>
      <w:r>
        <w:tab/>
        <w:t>[Heading inserted: No. 1 of 2018 s. 10.]</w:t>
      </w:r>
    </w:p>
    <w:p>
      <w:pPr>
        <w:pStyle w:val="Heading5"/>
        <w:rPr>
          <w:snapToGrid w:val="0"/>
        </w:rPr>
      </w:pPr>
      <w:bookmarkStart w:id="45" w:name="_Toc135386464"/>
      <w:r>
        <w:rPr>
          <w:rStyle w:val="CharSectno"/>
        </w:rPr>
        <w:lastRenderedPageBreak/>
        <w:t>11</w:t>
      </w:r>
      <w:r>
        <w:rPr>
          <w:snapToGrid w:val="0"/>
        </w:rPr>
        <w:t>.</w:t>
      </w:r>
      <w:r>
        <w:rPr>
          <w:snapToGrid w:val="0"/>
        </w:rPr>
        <w:tab/>
        <w:t>Fees and allowances</w:t>
      </w:r>
      <w:bookmarkEnd w:id="4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6" w:name="_Toc135385312"/>
      <w:bookmarkStart w:id="47" w:name="_Toc135385398"/>
      <w:bookmarkStart w:id="48" w:name="_Toc135386465"/>
      <w:r>
        <w:rPr>
          <w:rStyle w:val="CharPartNo"/>
        </w:rPr>
        <w:lastRenderedPageBreak/>
        <w:t>Part IA</w:t>
      </w:r>
      <w:r>
        <w:rPr>
          <w:rStyle w:val="CharDivNo"/>
        </w:rPr>
        <w:t> </w:t>
      </w:r>
      <w:r>
        <w:t>—</w:t>
      </w:r>
      <w:r>
        <w:rPr>
          <w:rStyle w:val="CharDivText"/>
        </w:rPr>
        <w:t> </w:t>
      </w:r>
      <w:r>
        <w:rPr>
          <w:rStyle w:val="CharPartText"/>
        </w:rPr>
        <w:t>General</w:t>
      </w:r>
      <w:bookmarkEnd w:id="46"/>
      <w:bookmarkEnd w:id="47"/>
      <w:bookmarkEnd w:id="48"/>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49" w:name="_Toc135386466"/>
      <w:r>
        <w:rPr>
          <w:rStyle w:val="CharSectno"/>
        </w:rPr>
        <w:t>11A</w:t>
      </w:r>
      <w:r>
        <w:rPr>
          <w:snapToGrid w:val="0"/>
        </w:rPr>
        <w:t>.</w:t>
      </w:r>
      <w:r>
        <w:rPr>
          <w:snapToGrid w:val="0"/>
        </w:rPr>
        <w:tab/>
        <w:t>Arrangements for payment of travelling expenses by Treasurer</w:t>
      </w:r>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50" w:name="_Toc135386467"/>
      <w:r>
        <w:rPr>
          <w:rStyle w:val="CharSectno"/>
        </w:rPr>
        <w:t>12</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1" w:name="_Toc135385315"/>
      <w:bookmarkStart w:id="52" w:name="_Toc135385401"/>
      <w:bookmarkStart w:id="53" w:name="_Toc135386468"/>
      <w:r>
        <w:rPr>
          <w:rStyle w:val="CharSchNo"/>
        </w:rPr>
        <w:lastRenderedPageBreak/>
        <w:t>Schedule 1</w:t>
      </w:r>
      <w:r>
        <w:t> — </w:t>
      </w:r>
      <w:r>
        <w:rPr>
          <w:rStyle w:val="CharSchText"/>
        </w:rPr>
        <w:t>Offences</w:t>
      </w:r>
      <w:bookmarkEnd w:id="51"/>
      <w:bookmarkEnd w:id="52"/>
      <w:bookmarkEnd w:id="5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54" w:name="_Toc135385316"/>
      <w:bookmarkStart w:id="55" w:name="_Toc135385402"/>
      <w:bookmarkStart w:id="56" w:name="_Toc135386469"/>
      <w:r>
        <w:rPr>
          <w:rStyle w:val="CharSchNo"/>
        </w:rPr>
        <w:lastRenderedPageBreak/>
        <w:t>Schedule 2</w:t>
      </w:r>
      <w:r>
        <w:t> — </w:t>
      </w:r>
      <w:r>
        <w:rPr>
          <w:rStyle w:val="CharSchText"/>
        </w:rPr>
        <w:t>Entities that may be prescribed as Government entities and their executive officers</w:t>
      </w:r>
      <w:bookmarkEnd w:id="54"/>
      <w:bookmarkEnd w:id="55"/>
      <w:bookmarkEnd w:id="56"/>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lastRenderedPageBreak/>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8" w:name="_Toc135385317"/>
      <w:bookmarkStart w:id="59" w:name="_Toc135385403"/>
      <w:bookmarkStart w:id="60" w:name="_Toc135386470"/>
      <w:r>
        <w:lastRenderedPageBreak/>
        <w:t>Notes</w:t>
      </w:r>
      <w:bookmarkEnd w:id="58"/>
      <w:bookmarkEnd w:id="59"/>
      <w:bookmarkEnd w:id="60"/>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35386471"/>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lastRenderedPageBreak/>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lastRenderedPageBreak/>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lastRenderedPageBreak/>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lastRenderedPageBreak/>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tcBorders>
              <w:bottom w:val="single" w:sz="4" w:space="0" w:color="auto"/>
            </w:tcBorders>
            <w:shd w:val="clear" w:color="auto" w:fill="auto"/>
          </w:tcPr>
          <w:p>
            <w:pPr>
              <w:pStyle w:val="nTable"/>
              <w:spacing w:after="40"/>
              <w:rPr>
                <w:snapToGrid w:val="0"/>
              </w:rPr>
            </w:pPr>
            <w:r>
              <w:rPr>
                <w:snapToGrid w:val="0"/>
              </w:rPr>
              <w:t>20 of 2021</w:t>
            </w:r>
          </w:p>
        </w:tc>
        <w:tc>
          <w:tcPr>
            <w:tcW w:w="1134" w:type="dxa"/>
            <w:tcBorders>
              <w:bottom w:val="single" w:sz="4" w:space="0" w:color="auto"/>
            </w:tcBorders>
            <w:shd w:val="clear" w:color="auto" w:fill="auto"/>
          </w:tcPr>
          <w:p>
            <w:pPr>
              <w:pStyle w:val="nTable"/>
              <w:spacing w:after="40"/>
            </w:pPr>
            <w:r>
              <w:rPr>
                <w:snapToGrid w:val="0"/>
              </w:rPr>
              <w:t>24 Nov 2021</w:t>
            </w:r>
          </w:p>
        </w:tc>
        <w:tc>
          <w:tcPr>
            <w:tcW w:w="2552" w:type="dxa"/>
            <w:tcBorders>
              <w:bottom w:val="single" w:sz="4" w:space="0" w:color="auto"/>
            </w:tcBorders>
            <w:shd w:val="clear" w:color="auto" w:fill="auto"/>
          </w:tcPr>
          <w:p>
            <w:pPr>
              <w:pStyle w:val="nTable"/>
              <w:spacing w:after="40"/>
              <w:rPr>
                <w:snapToGrid w:val="0"/>
              </w:rPr>
            </w:pPr>
            <w:r>
              <w:rPr>
                <w:snapToGrid w:val="0"/>
              </w:rPr>
              <w:t>25 Nov 2021 (see s. 2(b))</w:t>
            </w:r>
          </w:p>
        </w:tc>
      </w:tr>
    </w:tbl>
    <w:p>
      <w:pPr>
        <w:pStyle w:val="nHeading3"/>
      </w:pPr>
      <w:bookmarkStart w:id="62" w:name="_Toc135386472"/>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tcBorders>
          </w:tcPr>
          <w:p>
            <w:pPr>
              <w:pStyle w:val="nTable"/>
              <w:spacing w:after="40"/>
            </w:pPr>
            <w:r>
              <w:rPr>
                <w:i/>
              </w:rPr>
              <w:t>Local Government Amendment Act 2023</w:t>
            </w:r>
            <w:r>
              <w:t xml:space="preserve"> Pt. 3 Div. 3</w:t>
            </w:r>
          </w:p>
        </w:tc>
        <w:tc>
          <w:tcPr>
            <w:tcW w:w="1134" w:type="dxa"/>
            <w:tcBorders>
              <w:top w:val="nil"/>
            </w:tcBorders>
          </w:tcPr>
          <w:p>
            <w:pPr>
              <w:pStyle w:val="nTable"/>
              <w:spacing w:after="40"/>
            </w:pPr>
            <w:r>
              <w:t>11 of 2023</w:t>
            </w:r>
          </w:p>
        </w:tc>
        <w:tc>
          <w:tcPr>
            <w:tcW w:w="1134" w:type="dxa"/>
            <w:tcBorders>
              <w:top w:val="nil"/>
            </w:tcBorders>
          </w:tcPr>
          <w:p>
            <w:pPr>
              <w:pStyle w:val="nTable"/>
              <w:spacing w:after="40"/>
            </w:pPr>
            <w:r>
              <w:t>18 May 2023</w:t>
            </w:r>
          </w:p>
        </w:tc>
        <w:tc>
          <w:tcPr>
            <w:tcW w:w="2552" w:type="dxa"/>
            <w:tcBorders>
              <w:top w:val="nil"/>
            </w:tcBorders>
          </w:tcPr>
          <w:p>
            <w:pPr>
              <w:pStyle w:val="nTable"/>
              <w:spacing w:after="40"/>
            </w:pPr>
            <w:r>
              <w:t>To be proclaimed (see s. 2(d)</w:t>
            </w:r>
          </w:p>
        </w:tc>
      </w:tr>
    </w:tbl>
    <w:p>
      <w:pPr>
        <w:pStyle w:val="nHeading3"/>
      </w:pPr>
      <w:bookmarkStart w:id="63" w:name="_Toc135386473"/>
      <w:r>
        <w:lastRenderedPageBreak/>
        <w:t>Other notes</w:t>
      </w:r>
      <w:bookmarkEnd w:id="63"/>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5" w:name="_Toc135385321"/>
      <w:bookmarkStart w:id="66" w:name="_Toc135385407"/>
      <w:bookmarkStart w:id="67" w:name="_Toc135386474"/>
      <w:r>
        <w:rPr>
          <w:sz w:val="28"/>
        </w:rPr>
        <w:lastRenderedPageBreak/>
        <w:t>Defined terms</w:t>
      </w:r>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39"/>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10393</Words>
  <Characters>49263</Characters>
  <Application>Microsoft Office Word</Application>
  <DocSecurity>0</DocSecurity>
  <Lines>1539</Lines>
  <Paragraphs>806</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1975 - 06-d0-00</dc:title>
  <dc:subject/>
  <dc:creator/>
  <cp:keywords/>
  <dc:description/>
  <cp:lastModifiedBy>Master Repository Process</cp:lastModifiedBy>
  <cp:revision>4</cp:revision>
  <cp:lastPrinted>2018-04-24T00:58:00Z</cp:lastPrinted>
  <dcterms:created xsi:type="dcterms:W3CDTF">2023-05-19T03:55:00Z</dcterms:created>
  <dcterms:modified xsi:type="dcterms:W3CDTF">2023-05-19T03:55:00Z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18 May 2023</vt:lpwstr>
  </property>
  <property fmtid="{D5CDD505-2E9C-101B-9397-08002B2CF9AE}" pid="8" name="Suffix">
    <vt:lpwstr>06-d0-00</vt:lpwstr>
  </property>
  <property fmtid="{D5CDD505-2E9C-101B-9397-08002B2CF9AE}" pid="9" name="CommencementDate">
    <vt:lpwstr>20230518</vt:lpwstr>
  </property>
</Properties>
</file>