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_Toc137634152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_Toc137634153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_Toc137634154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_Toc137634156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_Toc137634157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_Toc137634158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_Toc137634159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_Toc137634160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_Toc137634161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_Toc137634164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_Toc137634165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_Toc137634166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_Toc137634167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14.</w:t>
      </w:r>
      <w:r>
        <w:tab/>
        <w:t>Intention to apply for limited registration (s. 23(3)(a))</w:t>
      </w:r>
      <w:r>
        <w:tab/>
      </w:r>
      <w:r>
        <w:fldChar w:fldCharType="begin"/>
      </w:r>
      <w:r>
        <w:instrText xml:space="preserve"> PAGEREF _Toc137634168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_Toc137634169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_Toc137634170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_Toc137634171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_Toc137634172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_Toc137634173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_Toc137634174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_Toc137634176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_Toc137634177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_Toc137634179 \h </w:instrText>
      </w:r>
      <w:r>
        <w:fldChar w:fldCharType="separate"/>
      </w:r>
      <w:r>
        <w:t>19</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_Toc137634180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_Toc137634182 \h </w:instrText>
      </w:r>
      <w:r>
        <w:fldChar w:fldCharType="separate"/>
      </w:r>
      <w:r>
        <w:t>20</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_Toc137634183 \h </w:instrText>
      </w:r>
      <w:r>
        <w:fldChar w:fldCharType="separate"/>
      </w:r>
      <w:r>
        <w:t>20</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_Toc137634184 \h </w:instrText>
      </w:r>
      <w:r>
        <w:fldChar w:fldCharType="separate"/>
      </w:r>
      <w:r>
        <w:t>20</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_Toc137634185 \h </w:instrText>
      </w:r>
      <w:r>
        <w:fldChar w:fldCharType="separate"/>
      </w:r>
      <w:r>
        <w:t>21</w:t>
      </w:r>
      <w:r>
        <w:fldChar w:fldCharType="end"/>
      </w:r>
    </w:p>
    <w:p>
      <w:pPr>
        <w:pStyle w:val="TOC8"/>
        <w:rPr>
          <w:rFonts w:asciiTheme="minorHAnsi" w:eastAsiaTheme="minorEastAsia" w:hAnsiTheme="minorHAnsi" w:cstheme="minorBidi"/>
          <w:szCs w:val="22"/>
        </w:rPr>
      </w:pPr>
      <w:r>
        <w:t>27A.</w:t>
      </w:r>
      <w:r>
        <w:tab/>
        <w:t>Notice must be given of change of name or postal or email address</w:t>
      </w:r>
      <w:r>
        <w:tab/>
      </w:r>
      <w:r>
        <w:fldChar w:fldCharType="begin"/>
      </w:r>
      <w:r>
        <w:instrText xml:space="preserve"> PAGEREF _Toc137634186 \h </w:instrText>
      </w:r>
      <w:r>
        <w:fldChar w:fldCharType="separate"/>
      </w:r>
      <w:r>
        <w:t>23</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_Toc137634187 \h </w:instrText>
      </w:r>
      <w:r>
        <w:fldChar w:fldCharType="separate"/>
      </w:r>
      <w:r>
        <w:t>23</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_Toc137634188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_Toc137634190 \h </w:instrText>
      </w:r>
      <w:r>
        <w:fldChar w:fldCharType="separate"/>
      </w:r>
      <w:r>
        <w:t>25</w:t>
      </w:r>
      <w:r>
        <w:fldChar w:fldCharType="end"/>
      </w:r>
    </w:p>
    <w:p>
      <w:pPr>
        <w:pStyle w:val="TOC8"/>
        <w:rPr>
          <w:rFonts w:asciiTheme="minorHAnsi" w:eastAsiaTheme="minorEastAsia" w:hAnsiTheme="minorHAnsi" w:cstheme="minorBidi"/>
          <w:szCs w:val="22"/>
        </w:rPr>
      </w:pPr>
      <w:r>
        <w:lastRenderedPageBreak/>
        <w:t>30.</w:t>
      </w:r>
      <w:r>
        <w:tab/>
        <w:t>Renewal of registration — requirements for professional engagement and professional learning activities for first 5 years after commencement</w:t>
      </w:r>
      <w:r>
        <w:tab/>
      </w:r>
      <w:r>
        <w:fldChar w:fldCharType="begin"/>
      </w:r>
      <w:r>
        <w:instrText xml:space="preserve"> PAGEREF _Toc137634191 \h </w:instrText>
      </w:r>
      <w:r>
        <w:fldChar w:fldCharType="separate"/>
      </w:r>
      <w:r>
        <w:t>25</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_Toc137634192 \h </w:instrText>
      </w:r>
      <w:r>
        <w:fldChar w:fldCharType="separate"/>
      </w:r>
      <w:r>
        <w:t>26</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_Toc137634193 \h </w:instrText>
      </w:r>
      <w:r>
        <w:fldChar w:fldCharType="separate"/>
      </w:r>
      <w:r>
        <w:t>26</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_Toc137634194 \h </w:instrText>
      </w:r>
      <w:r>
        <w:fldChar w:fldCharType="separate"/>
      </w:r>
      <w:r>
        <w:t>27</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_Toc137634195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_Toc137634199 \h </w:instrText>
      </w:r>
      <w:r>
        <w:fldChar w:fldCharType="separate"/>
      </w:r>
      <w:r>
        <w:t>36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_Toc137634200 \h </w:instrText>
      </w:r>
      <w:r>
        <w:fldChar w:fldCharType="separate"/>
      </w:r>
      <w:r>
        <w:t>37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_Toc137634201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r>
        <w:fldChar w:fldCharType="end"/>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137562338"/>
      <w:bookmarkStart w:id="4" w:name="_Toc137562419"/>
      <w:bookmarkStart w:id="5" w:name="_Toc13763415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7634152"/>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Teacher Registration (General) Regulations 2012</w:t>
      </w:r>
      <w:r>
        <w:t>.</w:t>
      </w:r>
    </w:p>
    <w:p>
      <w:pPr>
        <w:pStyle w:val="Heading5"/>
      </w:pPr>
      <w:bookmarkStart w:id="8" w:name="_Toc137634153"/>
      <w:r>
        <w:rPr>
          <w:rStyle w:val="CharSectno"/>
        </w:rPr>
        <w:t>2</w:t>
      </w:r>
      <w:r>
        <w:t>.</w:t>
      </w:r>
      <w:r>
        <w:tab/>
        <w:t>Commencement</w:t>
      </w:r>
      <w:bookmarkEnd w:id="8"/>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 w:name="_Toc137634154"/>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10" w:name="_Toc137562342"/>
      <w:bookmarkStart w:id="11" w:name="_Toc137562423"/>
      <w:bookmarkStart w:id="12" w:name="_Toc137634155"/>
      <w:r>
        <w:rPr>
          <w:rStyle w:val="CharPartNo"/>
        </w:rPr>
        <w:lastRenderedPageBreak/>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137634156"/>
      <w:r>
        <w:rPr>
          <w:rStyle w:val="CharSectno"/>
        </w:rPr>
        <w:t>4</w:t>
      </w:r>
      <w:r>
        <w:t>.</w:t>
      </w:r>
      <w:r>
        <w:tab/>
        <w:t>Prescribed bodies or agencies (s. 3)</w:t>
      </w:r>
      <w:bookmarkEnd w:id="1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4" w:name="_Toc137634157"/>
      <w:r>
        <w:rPr>
          <w:rStyle w:val="CharSectno"/>
        </w:rPr>
        <w:t>5</w:t>
      </w:r>
      <w:r>
        <w:t>.</w:t>
      </w:r>
      <w:r>
        <w:tab/>
        <w:t>Places where centre</w:t>
      </w:r>
      <w:r>
        <w:noBreakHyphen/>
        <w:t>based services operate are educational venues (s. 3)</w:t>
      </w:r>
      <w:bookmarkEnd w:id="14"/>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15" w:name="_Toc137634158"/>
      <w:r>
        <w:rPr>
          <w:rStyle w:val="CharSectno"/>
        </w:rPr>
        <w:t>6</w:t>
      </w:r>
      <w:r>
        <w:t>.</w:t>
      </w:r>
      <w:r>
        <w:tab/>
        <w:t>Prescribed curriculum (s. 3)</w:t>
      </w:r>
      <w:bookmarkEnd w:id="15"/>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lastRenderedPageBreak/>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6" w:name="_Toc137634159"/>
      <w:r>
        <w:rPr>
          <w:rStyle w:val="CharSectno"/>
        </w:rPr>
        <w:t>7</w:t>
      </w:r>
      <w:r>
        <w:t>.</w:t>
      </w:r>
      <w:r>
        <w:tab/>
        <w:t>When unpaid volunteers are teaching (s. 3)</w:t>
      </w:r>
      <w:bookmarkEnd w:id="16"/>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7" w:name="_Toc137634160"/>
      <w:r>
        <w:rPr>
          <w:rStyle w:val="CharSectno"/>
        </w:rPr>
        <w:lastRenderedPageBreak/>
        <w:t>8</w:t>
      </w:r>
      <w:r>
        <w:t>.</w:t>
      </w:r>
      <w:r>
        <w:tab/>
        <w:t>Other persons who are not teaching (s. 3)</w:t>
      </w:r>
      <w:bookmarkEnd w:id="17"/>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 xml:space="preserve">Standards for NVR </w:t>
      </w:r>
      <w:r>
        <w:rPr>
          <w:i/>
        </w:rPr>
        <w:lastRenderedPageBreak/>
        <w:t>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8" w:name="_Toc137634161"/>
      <w:r>
        <w:rPr>
          <w:rStyle w:val="CharSectno"/>
        </w:rPr>
        <w:t>9</w:t>
      </w:r>
      <w:r>
        <w:t>.</w:t>
      </w:r>
      <w:r>
        <w:tab/>
        <w:t>Professional learning activities</w:t>
      </w:r>
      <w:bookmarkEnd w:id="18"/>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9" w:name="_Toc137562349"/>
      <w:bookmarkStart w:id="20" w:name="_Toc137562430"/>
      <w:bookmarkStart w:id="21" w:name="_Toc137634162"/>
      <w:r>
        <w:rPr>
          <w:rStyle w:val="CharPartNo"/>
        </w:rPr>
        <w:lastRenderedPageBreak/>
        <w:t>Part 3</w:t>
      </w:r>
      <w:r>
        <w:t> — </w:t>
      </w:r>
      <w:r>
        <w:rPr>
          <w:rStyle w:val="CharPartText"/>
        </w:rPr>
        <w:t>Registration</w:t>
      </w:r>
      <w:bookmarkEnd w:id="19"/>
      <w:bookmarkEnd w:id="20"/>
      <w:bookmarkEnd w:id="21"/>
    </w:p>
    <w:p>
      <w:pPr>
        <w:pStyle w:val="Heading3"/>
      </w:pPr>
      <w:bookmarkStart w:id="22" w:name="_Toc137562350"/>
      <w:bookmarkStart w:id="23" w:name="_Toc137562431"/>
      <w:bookmarkStart w:id="24" w:name="_Toc137634163"/>
      <w:r>
        <w:rPr>
          <w:rStyle w:val="CharDivNo"/>
        </w:rPr>
        <w:t>Division 1</w:t>
      </w:r>
      <w:r>
        <w:t> — </w:t>
      </w:r>
      <w:r>
        <w:rPr>
          <w:rStyle w:val="CharDivText"/>
        </w:rPr>
        <w:t>Registration of teachers</w:t>
      </w:r>
      <w:bookmarkEnd w:id="22"/>
      <w:bookmarkEnd w:id="23"/>
      <w:bookmarkEnd w:id="24"/>
    </w:p>
    <w:p>
      <w:pPr>
        <w:pStyle w:val="Footnoteheading"/>
      </w:pPr>
      <w:r>
        <w:tab/>
        <w:t>[Heading inserted: Gazette 28 Jan 2014 p. 177.]</w:t>
      </w:r>
    </w:p>
    <w:p>
      <w:pPr>
        <w:pStyle w:val="Heading5"/>
      </w:pPr>
      <w:bookmarkStart w:id="25" w:name="_Toc137634164"/>
      <w:r>
        <w:rPr>
          <w:rStyle w:val="CharSectno"/>
        </w:rPr>
        <w:t>10</w:t>
      </w:r>
      <w:r>
        <w:t>.</w:t>
      </w:r>
      <w:r>
        <w:tab/>
        <w:t>English language skills for full and provisional registration (s. 15(d) and 16(d))</w:t>
      </w:r>
      <w:bookmarkEnd w:id="25"/>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lastRenderedPageBreak/>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26" w:name="_Toc137634165"/>
      <w:r>
        <w:rPr>
          <w:rStyle w:val="CharSectno"/>
        </w:rPr>
        <w:t>11</w:t>
      </w:r>
      <w:r>
        <w:t>.</w:t>
      </w:r>
      <w:r>
        <w:tab/>
        <w:t>English language skills for limited registration (s. 17(c))</w:t>
      </w:r>
      <w:bookmarkEnd w:id="26"/>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lastRenderedPageBreak/>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lastRenderedPageBreak/>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27" w:name="_Toc137634166"/>
      <w:r>
        <w:rPr>
          <w:rStyle w:val="CharSectno"/>
        </w:rPr>
        <w:t>12</w:t>
      </w:r>
      <w:r>
        <w:t>.</w:t>
      </w:r>
      <w:r>
        <w:tab/>
        <w:t>Other requirements for limited registration (s. 17(d))</w:t>
      </w:r>
      <w:bookmarkEnd w:id="2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lastRenderedPageBreak/>
        <w:tab/>
        <w:t>(e)</w:t>
      </w:r>
      <w:r>
        <w:tab/>
        <w:t>the nominee has successfully completed all of the course requirements for, but has not yet received, a teaching qualification from an accredited initial teacher education programme.</w:t>
      </w:r>
    </w:p>
    <w:p>
      <w:pPr>
        <w:pStyle w:val="Heading5"/>
      </w:pPr>
      <w:bookmarkStart w:id="28" w:name="_Toc137634167"/>
      <w:r>
        <w:rPr>
          <w:rStyle w:val="CharSectno"/>
        </w:rPr>
        <w:t>13</w:t>
      </w:r>
      <w:r>
        <w:t>.</w:t>
      </w:r>
      <w:r>
        <w:tab/>
        <w:t>Renewal of registration — requirements for professional engagement and professional learning activities (s. 22(2)(c))</w:t>
      </w:r>
      <w:bookmarkEnd w:id="28"/>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lastRenderedPageBreak/>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29" w:name="_Toc137634168"/>
      <w:r>
        <w:rPr>
          <w:rStyle w:val="CharSectno"/>
        </w:rPr>
        <w:t>14</w:t>
      </w:r>
      <w:r>
        <w:t>.</w:t>
      </w:r>
      <w:r>
        <w:tab/>
        <w:t>Intention to apply for limited registration (s. 23(3)(a))</w:t>
      </w:r>
      <w:bookmarkEnd w:id="29"/>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0" w:name="_Toc137634169"/>
      <w:r>
        <w:rPr>
          <w:rStyle w:val="CharSectno"/>
        </w:rPr>
        <w:t>15</w:t>
      </w:r>
      <w:r>
        <w:t>.</w:t>
      </w:r>
      <w:r>
        <w:tab/>
        <w:t>Duration of non</w:t>
      </w:r>
      <w:r>
        <w:noBreakHyphen/>
        <w:t>practising registration</w:t>
      </w:r>
      <w:bookmarkEnd w:id="30"/>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lastRenderedPageBreak/>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31" w:name="_Toc137634170"/>
      <w:r>
        <w:rPr>
          <w:rStyle w:val="CharSectno"/>
        </w:rPr>
        <w:t>16</w:t>
      </w:r>
      <w:r>
        <w:t>.</w:t>
      </w:r>
      <w:r>
        <w:tab/>
        <w:t>Condition on non</w:t>
      </w:r>
      <w:r>
        <w:noBreakHyphen/>
        <w:t>practising registration (s. 25(2))</w:t>
      </w:r>
      <w:bookmarkEnd w:id="3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32" w:name="_Toc137634171"/>
      <w:r>
        <w:rPr>
          <w:rStyle w:val="CharSectno"/>
        </w:rPr>
        <w:t>17</w:t>
      </w:r>
      <w:r>
        <w:t>.</w:t>
      </w:r>
      <w:r>
        <w:tab/>
        <w:t>Condition on limited registration (s. 25(2))</w:t>
      </w:r>
      <w:bookmarkEnd w:id="32"/>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33" w:name="_Toc137634172"/>
      <w:r>
        <w:rPr>
          <w:rStyle w:val="CharSectno"/>
        </w:rPr>
        <w:t>18</w:t>
      </w:r>
      <w:r>
        <w:t>.</w:t>
      </w:r>
      <w:r>
        <w:tab/>
        <w:t>Applicant may change category of registration applied for</w:t>
      </w:r>
      <w:bookmarkEnd w:id="33"/>
    </w:p>
    <w:p>
      <w:pPr>
        <w:pStyle w:val="Subsection"/>
      </w:pPr>
      <w:r>
        <w:tab/>
        <w:t>(1)</w:t>
      </w:r>
      <w:r>
        <w:tab/>
        <w:t xml:space="preserve">A person who has applied for registration in a particular category may, by written notice to the Board, change the </w:t>
      </w:r>
      <w:r>
        <w:lastRenderedPageBreak/>
        <w:t>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34" w:name="_Toc137634173"/>
      <w:r>
        <w:rPr>
          <w:rStyle w:val="CharSectno"/>
        </w:rPr>
        <w:t>19</w:t>
      </w:r>
      <w:r>
        <w:t>.</w:t>
      </w:r>
      <w:r>
        <w:tab/>
        <w:t>Provision of information about eligibility for registration</w:t>
      </w:r>
      <w:bookmarkEnd w:id="34"/>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lastRenderedPageBreak/>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35" w:name="_Toc137634174"/>
      <w:r>
        <w:rPr>
          <w:rStyle w:val="CharSectno"/>
        </w:rPr>
        <w:t>20</w:t>
      </w:r>
      <w:r>
        <w:t>.</w:t>
      </w:r>
      <w:r>
        <w:tab/>
        <w:t>Registration cards</w:t>
      </w:r>
      <w:bookmarkEnd w:id="3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lastRenderedPageBreak/>
        <w:tab/>
        <w:t>(4)</w:t>
      </w:r>
      <w:r>
        <w:tab/>
        <w:t>The Board may, at the request of a teacher who has lost a registration card, provide a replacement registration card on payment of the relevant fee set out in Schedule 1.</w:t>
      </w:r>
    </w:p>
    <w:p>
      <w:pPr>
        <w:pStyle w:val="Heading3"/>
      </w:pPr>
      <w:bookmarkStart w:id="36" w:name="_Toc137562362"/>
      <w:bookmarkStart w:id="37" w:name="_Toc137562443"/>
      <w:bookmarkStart w:id="38" w:name="_Toc137634175"/>
      <w:r>
        <w:rPr>
          <w:rStyle w:val="CharDivNo"/>
        </w:rPr>
        <w:t>Division 2</w:t>
      </w:r>
      <w:r>
        <w:t> — </w:t>
      </w:r>
      <w:r>
        <w:rPr>
          <w:rStyle w:val="CharDivText"/>
        </w:rPr>
        <w:t>The register</w:t>
      </w:r>
      <w:bookmarkEnd w:id="36"/>
      <w:bookmarkEnd w:id="37"/>
      <w:bookmarkEnd w:id="38"/>
    </w:p>
    <w:p>
      <w:pPr>
        <w:pStyle w:val="Footnoteheading"/>
        <w:keepNext/>
      </w:pPr>
      <w:r>
        <w:tab/>
        <w:t>[Heading inserted: Gazette 28 Jan 2014 p. 177.]</w:t>
      </w:r>
    </w:p>
    <w:p>
      <w:pPr>
        <w:pStyle w:val="Heading5"/>
      </w:pPr>
      <w:bookmarkStart w:id="39" w:name="_Toc137634176"/>
      <w:r>
        <w:rPr>
          <w:rStyle w:val="CharSectno"/>
        </w:rPr>
        <w:t>21A</w:t>
      </w:r>
      <w:r>
        <w:t>.</w:t>
      </w:r>
      <w:r>
        <w:tab/>
        <w:t>Additional information to be recorded in register (s. 36(1)(e))</w:t>
      </w:r>
      <w:bookmarkEnd w:id="39"/>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Indenta"/>
      </w:pPr>
      <w:r>
        <w:lastRenderedPageBreak/>
        <w:tab/>
        <w:t>(h)</w:t>
      </w:r>
      <w:r>
        <w:tab/>
        <w:t>whether the teacher has automatic deemed registration to teach in an educational venue in the State.</w:t>
      </w:r>
    </w:p>
    <w:p>
      <w:pPr>
        <w:pStyle w:val="Footnotesection"/>
      </w:pPr>
      <w:r>
        <w:tab/>
        <w:t>[Regulation 21A inserted: Gazette 28 Jan 2014 p. 177-8; amended: SL 2022/125 r. 4.]</w:t>
      </w:r>
    </w:p>
    <w:p>
      <w:pPr>
        <w:pStyle w:val="Heading5"/>
      </w:pPr>
      <w:bookmarkStart w:id="40" w:name="_Toc137634177"/>
      <w:r>
        <w:rPr>
          <w:rStyle w:val="CharSectno"/>
        </w:rPr>
        <w:t>21B</w:t>
      </w:r>
      <w:r>
        <w:t>.</w:t>
      </w:r>
      <w:r>
        <w:tab/>
        <w:t>Additional persons who may inspect register information (professional) (s. 37(3)(b))</w:t>
      </w:r>
      <w:bookmarkEnd w:id="40"/>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lastRenderedPageBreak/>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41" w:name="_Toc137562365"/>
      <w:bookmarkStart w:id="42" w:name="_Toc137562446"/>
      <w:bookmarkStart w:id="43" w:name="_Toc137634178"/>
      <w:r>
        <w:rPr>
          <w:rStyle w:val="CharPartNo"/>
        </w:rPr>
        <w:lastRenderedPageBreak/>
        <w:t>Part 4</w:t>
      </w:r>
      <w:r>
        <w:rPr>
          <w:rStyle w:val="CharDivNo"/>
        </w:rPr>
        <w:t> </w:t>
      </w:r>
      <w:r>
        <w:t>—</w:t>
      </w:r>
      <w:r>
        <w:rPr>
          <w:rStyle w:val="CharDivText"/>
        </w:rPr>
        <w:t> </w:t>
      </w:r>
      <w:r>
        <w:rPr>
          <w:rStyle w:val="CharPartText"/>
        </w:rPr>
        <w:t>Disciplinary and impairment matters</w:t>
      </w:r>
      <w:bookmarkEnd w:id="41"/>
      <w:bookmarkEnd w:id="42"/>
      <w:bookmarkEnd w:id="43"/>
    </w:p>
    <w:p>
      <w:pPr>
        <w:pStyle w:val="Heading5"/>
      </w:pPr>
      <w:bookmarkStart w:id="44" w:name="_Toc137634179"/>
      <w:r>
        <w:rPr>
          <w:rStyle w:val="CharSectno"/>
        </w:rPr>
        <w:t>21</w:t>
      </w:r>
      <w:r>
        <w:t>.</w:t>
      </w:r>
      <w:r>
        <w:tab/>
        <w:t>Complaints</w:t>
      </w:r>
      <w:bookmarkEnd w:id="44"/>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45" w:name="_Toc137634180"/>
      <w:r>
        <w:rPr>
          <w:rStyle w:val="CharSectno"/>
        </w:rPr>
        <w:t>22</w:t>
      </w:r>
      <w:r>
        <w:t>.</w:t>
      </w:r>
      <w:r>
        <w:tab/>
        <w:t>Prescribed sexual offences (s. 46)</w:t>
      </w:r>
      <w:bookmarkEnd w:id="45"/>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46" w:name="_Toc137562368"/>
      <w:bookmarkStart w:id="47" w:name="_Toc137562449"/>
      <w:bookmarkStart w:id="48" w:name="_Toc137634181"/>
      <w:r>
        <w:rPr>
          <w:rStyle w:val="CharPartNo"/>
        </w:rPr>
        <w:lastRenderedPageBreak/>
        <w:t>Part 5</w:t>
      </w:r>
      <w:r>
        <w:rPr>
          <w:rStyle w:val="CharDivNo"/>
        </w:rPr>
        <w:t> </w:t>
      </w:r>
      <w:r>
        <w:t>—</w:t>
      </w:r>
      <w:r>
        <w:rPr>
          <w:rStyle w:val="CharDivText"/>
        </w:rPr>
        <w:t> </w:t>
      </w:r>
      <w:r>
        <w:rPr>
          <w:rStyle w:val="CharPartText"/>
        </w:rPr>
        <w:t>Miscellaneous</w:t>
      </w:r>
      <w:bookmarkEnd w:id="46"/>
      <w:bookmarkEnd w:id="47"/>
      <w:bookmarkEnd w:id="48"/>
    </w:p>
    <w:p>
      <w:pPr>
        <w:pStyle w:val="Heading5"/>
      </w:pPr>
      <w:bookmarkStart w:id="49" w:name="_Toc137634182"/>
      <w:r>
        <w:rPr>
          <w:rStyle w:val="CharSectno"/>
        </w:rPr>
        <w:t>23</w:t>
      </w:r>
      <w:r>
        <w:t>.</w:t>
      </w:r>
      <w:r>
        <w:tab/>
        <w:t>Payment of relief teachers during Board or committee meetings</w:t>
      </w:r>
      <w:bookmarkEnd w:id="4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50" w:name="_Toc137634183"/>
      <w:r>
        <w:rPr>
          <w:rStyle w:val="CharSectno"/>
        </w:rPr>
        <w:t>24</w:t>
      </w:r>
      <w:r>
        <w:t>.</w:t>
      </w:r>
      <w:r>
        <w:tab/>
        <w:t>Retention of criminal record checks</w:t>
      </w:r>
      <w:bookmarkEnd w:id="50"/>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51" w:name="_Toc137634184"/>
      <w:r>
        <w:rPr>
          <w:rStyle w:val="CharSectno"/>
        </w:rPr>
        <w:t>25</w:t>
      </w:r>
      <w:r>
        <w:t>.</w:t>
      </w:r>
      <w:r>
        <w:tab/>
        <w:t>Employer to supply information about teachers</w:t>
      </w:r>
      <w:bookmarkEnd w:id="51"/>
    </w:p>
    <w:p>
      <w:pPr>
        <w:pStyle w:val="Subsection"/>
      </w:pPr>
      <w:r>
        <w:tab/>
        <w:t>(1)</w:t>
      </w:r>
      <w:r>
        <w:tab/>
        <w:t xml:space="preserve">At the written request of the Board, an employer of registered teachers is to provide to the Board in writing — </w:t>
      </w:r>
    </w:p>
    <w:p>
      <w:pPr>
        <w:pStyle w:val="Indenta"/>
      </w:pPr>
      <w:r>
        <w:tab/>
        <w:t>(a)</w:t>
      </w:r>
      <w:r>
        <w:tab/>
        <w:t xml:space="preserve">a list, in accordance with subregulation (2), of each person who is currently employed by the employer to </w:t>
      </w:r>
      <w:r>
        <w:lastRenderedPageBreak/>
        <w:t>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52" w:name="_Toc137634185"/>
      <w:r>
        <w:rPr>
          <w:rStyle w:val="CharSectno"/>
        </w:rPr>
        <w:t>26</w:t>
      </w:r>
      <w:r>
        <w:t>.</w:t>
      </w:r>
      <w:r>
        <w:tab/>
        <w:t>Notice to be given by employer about suspension, dismissal or resignation of registered teacher — investigations and serious incompetence (s. 42)</w:t>
      </w:r>
      <w:bookmarkEnd w:id="52"/>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lastRenderedPageBreak/>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53" w:name="_Toc137634186"/>
      <w:r>
        <w:rPr>
          <w:rStyle w:val="CharSectno"/>
        </w:rPr>
        <w:lastRenderedPageBreak/>
        <w:t>27A</w:t>
      </w:r>
      <w:r>
        <w:t>.</w:t>
      </w:r>
      <w:r>
        <w:tab/>
        <w:t>Notice must be given of change of name or postal or email address</w:t>
      </w:r>
      <w:bookmarkEnd w:id="5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Footnotesection"/>
      </w:pPr>
      <w:r>
        <w:tab/>
        <w:t>[Regulation 27A inserted: Gazette 13 Aug 2013 p. 3734</w:t>
      </w:r>
      <w:r>
        <w:noBreakHyphen/>
        <w:t>5; amended: SL 2022/125 r. 5.]</w:t>
      </w:r>
    </w:p>
    <w:p>
      <w:pPr>
        <w:pStyle w:val="Heading5"/>
      </w:pPr>
      <w:bookmarkStart w:id="54" w:name="_Toc137634187"/>
      <w:r>
        <w:rPr>
          <w:rStyle w:val="CharSectno"/>
        </w:rPr>
        <w:t>27</w:t>
      </w:r>
      <w:r>
        <w:t>.</w:t>
      </w:r>
      <w:r>
        <w:tab/>
        <w:t>Board may require information to be verified by statutory declaration</w:t>
      </w:r>
      <w:bookmarkEnd w:id="5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55" w:name="_Toc137634188"/>
      <w:r>
        <w:rPr>
          <w:rStyle w:val="CharSectno"/>
        </w:rPr>
        <w:t>28</w:t>
      </w:r>
      <w:r>
        <w:t>.</w:t>
      </w:r>
      <w:r>
        <w:tab/>
        <w:t>Fees</w:t>
      </w:r>
      <w:bookmarkEnd w:id="55"/>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 xml:space="preserve">If a person who applies for registration has paid a fee set out in Schedule 1 item 11 for advice about whether or not the person has particular requirements for registration, then the fee payable for the application is reduced by the amount of the fee paid for </w:t>
      </w:r>
      <w:r>
        <w:lastRenderedPageBreak/>
        <w:t>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56" w:name="_Toc137562376"/>
      <w:bookmarkStart w:id="57" w:name="_Toc137562457"/>
      <w:bookmarkStart w:id="58" w:name="_Toc137634189"/>
      <w:r>
        <w:rPr>
          <w:rStyle w:val="CharPartNo"/>
        </w:rPr>
        <w:lastRenderedPageBreak/>
        <w:t>Part 6</w:t>
      </w:r>
      <w:r>
        <w:rPr>
          <w:rStyle w:val="CharDivNo"/>
        </w:rPr>
        <w:t> </w:t>
      </w:r>
      <w:r>
        <w:t>—</w:t>
      </w:r>
      <w:r>
        <w:rPr>
          <w:rStyle w:val="CharDivText"/>
        </w:rPr>
        <w:t> </w:t>
      </w:r>
      <w:r>
        <w:rPr>
          <w:rStyle w:val="CharPartText"/>
        </w:rPr>
        <w:t>Transitional matters</w:t>
      </w:r>
      <w:bookmarkEnd w:id="56"/>
      <w:bookmarkEnd w:id="57"/>
      <w:bookmarkEnd w:id="58"/>
    </w:p>
    <w:p>
      <w:pPr>
        <w:pStyle w:val="Heading5"/>
        <w:spacing w:before="260"/>
      </w:pPr>
      <w:bookmarkStart w:id="59" w:name="_Toc137634190"/>
      <w:r>
        <w:rPr>
          <w:rStyle w:val="CharSectno"/>
        </w:rPr>
        <w:t>29</w:t>
      </w:r>
      <w:r>
        <w:t>.</w:t>
      </w:r>
      <w:r>
        <w:tab/>
        <w:t>Terms used</w:t>
      </w:r>
      <w:bookmarkEnd w:id="59"/>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60" w:name="_Toc137634191"/>
      <w:r>
        <w:rPr>
          <w:rStyle w:val="CharSectno"/>
        </w:rPr>
        <w:t>30</w:t>
      </w:r>
      <w:r>
        <w:t>.</w:t>
      </w:r>
      <w:r>
        <w:tab/>
        <w:t>Renewal of registration — requirements for professional engagement and professional learning activities for first 5 years after commencement</w:t>
      </w:r>
      <w:bookmarkEnd w:id="60"/>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w:t>
      </w:r>
      <w:r>
        <w:lastRenderedPageBreak/>
        <w:t xml:space="preserve">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61" w:name="_Toc137634192"/>
      <w:r>
        <w:rPr>
          <w:rStyle w:val="CharSectno"/>
        </w:rPr>
        <w:t>31</w:t>
      </w:r>
      <w:r>
        <w:t>.</w:t>
      </w:r>
      <w:r>
        <w:tab/>
        <w:t>Requirement for limited registration — applications made within 18 months (s. 17(d) and 149)</w:t>
      </w:r>
      <w:bookmarkEnd w:id="61"/>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62" w:name="_Toc137634193"/>
      <w:r>
        <w:rPr>
          <w:rStyle w:val="CharSectno"/>
        </w:rPr>
        <w:t>32</w:t>
      </w:r>
      <w:r>
        <w:t>.</w:t>
      </w:r>
      <w:r>
        <w:tab/>
        <w:t>Teachers taken to be registered on commencement day do not need to meet requirements for teaching qualifications when renewing that registration</w:t>
      </w:r>
      <w:bookmarkEnd w:id="62"/>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63" w:name="_Toc137634194"/>
      <w:r>
        <w:rPr>
          <w:rStyle w:val="CharSectno"/>
        </w:rPr>
        <w:lastRenderedPageBreak/>
        <w:t>33</w:t>
      </w:r>
      <w:r>
        <w:t>.</w:t>
      </w:r>
      <w:r>
        <w:tab/>
        <w:t>Provisionally registered teachers — renewal</w:t>
      </w:r>
      <w:bookmarkEnd w:id="63"/>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64" w:name="_Toc137634195"/>
      <w:r>
        <w:rPr>
          <w:rStyle w:val="CharSectno"/>
        </w:rPr>
        <w:t>34</w:t>
      </w:r>
      <w:r>
        <w:t>.</w:t>
      </w:r>
      <w:r>
        <w:tab/>
        <w:t>Provisional and limited registration — period of registration</w:t>
      </w:r>
      <w:bookmarkEnd w:id="64"/>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65" w:name="_Toc137562383"/>
      <w:bookmarkStart w:id="66" w:name="_Toc137562464"/>
      <w:bookmarkStart w:id="67" w:name="_Toc137634196"/>
      <w:r>
        <w:rPr>
          <w:rStyle w:val="CharSchNo"/>
        </w:rPr>
        <w:lastRenderedPageBreak/>
        <w:t>Schedule 1</w:t>
      </w:r>
      <w:r>
        <w:t> — </w:t>
      </w:r>
      <w:r>
        <w:rPr>
          <w:rStyle w:val="CharSchText"/>
        </w:rPr>
        <w:t>Fees</w:t>
      </w:r>
      <w:bookmarkEnd w:id="65"/>
      <w:bookmarkEnd w:id="66"/>
      <w:bookmarkEnd w:id="67"/>
    </w:p>
    <w:p>
      <w:pPr>
        <w:pStyle w:val="yShoulderClause"/>
      </w:pPr>
      <w:r>
        <w:t>[r. 28]</w:t>
      </w:r>
    </w:p>
    <w:p>
      <w:pPr>
        <w:pStyle w:val="yFootnoteheading"/>
        <w:spacing w:after="60"/>
      </w:pPr>
      <w:r>
        <w:tab/>
        <w:t>[Heading inserted: SL 2022/61 r. 11.]</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rPr>
            </w:pPr>
            <w:r>
              <w:rPr>
                <w:b/>
              </w:rPr>
              <w:t>Type of fee</w:t>
            </w:r>
          </w:p>
        </w:tc>
        <w:tc>
          <w:tcPr>
            <w:tcW w:w="1451" w:type="dxa"/>
            <w:tcBorders>
              <w:top w:val="single" w:sz="4" w:space="0" w:color="auto"/>
              <w:bottom w:val="single" w:sz="4" w:space="0" w:color="auto"/>
            </w:tcBorders>
            <w:noWrap/>
          </w:tcPr>
          <w:p>
            <w:pPr>
              <w:pStyle w:val="yTableNAm"/>
              <w:jc w:val="center"/>
              <w:rPr>
                <w:b/>
              </w:rPr>
            </w:pPr>
            <w:r>
              <w:rPr>
                <w:b/>
              </w:rPr>
              <w:t xml:space="preserve">Provision </w:t>
            </w:r>
            <w:r>
              <w:rPr>
                <w:b/>
              </w:rPr>
              <w:br/>
              <w:t>of Act or regulations</w:t>
            </w:r>
          </w:p>
        </w:tc>
        <w:tc>
          <w:tcPr>
            <w:tcW w:w="1134" w:type="dxa"/>
            <w:tcBorders>
              <w:top w:val="single" w:sz="4" w:space="0" w:color="auto"/>
              <w:bottom w:val="single" w:sz="4" w:space="0" w:color="auto"/>
            </w:tcBorders>
            <w:noWrap/>
          </w:tcPr>
          <w:p>
            <w:pPr>
              <w:pStyle w:val="yTableNAm"/>
              <w:jc w:val="center"/>
              <w:rPr>
                <w:b/>
              </w:rPr>
            </w:pPr>
            <w:r>
              <w:rPr>
                <w:b/>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p>
            <w:pPr>
              <w:pStyle w:val="yTableNAm"/>
              <w:tabs>
                <w:tab w:val="clear" w:pos="567"/>
              </w:tabs>
              <w:ind w:left="493" w:hanging="493"/>
            </w:pPr>
            <w:r>
              <w:t>(a)</w:t>
            </w:r>
            <w:r>
              <w:tab/>
              <w:t>if the applicant has a teaching qualification from an accredited initial teacher education programme</w:t>
            </w:r>
          </w:p>
        </w:tc>
        <w:tc>
          <w:tcPr>
            <w:tcW w:w="1451" w:type="dxa"/>
            <w:noWrap/>
          </w:tcPr>
          <w:p>
            <w:pPr>
              <w:pStyle w:val="yTableNAm"/>
              <w:ind w:left="70"/>
            </w:pPr>
            <w:r>
              <w:t>s. 10(2)(e)</w:t>
            </w:r>
          </w:p>
        </w:tc>
        <w:tc>
          <w:tcPr>
            <w:tcW w:w="1134" w:type="dxa"/>
            <w:noWrap/>
          </w:tcPr>
          <w:p>
            <w:pPr>
              <w:pStyle w:val="yTableNAm"/>
              <w:tabs>
                <w:tab w:val="clear" w:pos="567"/>
              </w:tabs>
              <w:ind w:left="-390" w:right="318"/>
              <w:jc w:val="right"/>
            </w:pPr>
            <w:r>
              <w:br/>
            </w:r>
          </w:p>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$458</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lastRenderedPageBreak/>
              <w:t>2.</w:t>
            </w:r>
          </w:p>
        </w:tc>
        <w:tc>
          <w:tcPr>
            <w:tcW w:w="3828" w:type="dxa"/>
            <w:noWrap/>
          </w:tcPr>
          <w:p>
            <w:pPr>
              <w:pStyle w:val="yTableNAm"/>
              <w:rPr>
                <w:szCs w:val="22"/>
              </w:rPr>
            </w:pPr>
            <w:r>
              <w:rPr>
                <w:szCs w:val="22"/>
              </w:rPr>
              <w:t xml:space="preserve">Fee </w:t>
            </w:r>
            <w:r>
              <w:t>payable</w:t>
            </w:r>
            <w:r>
              <w:rPr>
                <w:szCs w:val="22"/>
              </w:rPr>
              <w:t xml:space="preserve"> by a person who applies for full registration — </w:t>
            </w:r>
          </w:p>
          <w:p>
            <w:pPr>
              <w:pStyle w:val="yTableNAm"/>
              <w:tabs>
                <w:tab w:val="clear" w:pos="567"/>
              </w:tabs>
              <w:ind w:left="493" w:hanging="493"/>
              <w:rPr>
                <w:szCs w:val="22"/>
              </w:rPr>
            </w:pPr>
            <w:r>
              <w:rPr>
                <w:szCs w:val="22"/>
              </w:rPr>
              <w:t>(a)</w:t>
            </w:r>
            <w:r>
              <w:rPr>
                <w:szCs w:val="22"/>
              </w:rPr>
              <w:tab/>
              <w:t xml:space="preserve">if the applicant has a teaching </w:t>
            </w:r>
            <w:r>
              <w:t>qualification</w:t>
            </w:r>
            <w:r>
              <w:rPr>
                <w:szCs w:val="22"/>
              </w:rPr>
              <w:t xml:space="preserve"> from an accredited initial teacher education programme</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$492</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provisional or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3.</w:t>
            </w:r>
          </w:p>
        </w:tc>
        <w:tc>
          <w:tcPr>
            <w:tcW w:w="3828" w:type="dxa"/>
            <w:noWrap/>
          </w:tcPr>
          <w:p>
            <w:pPr>
              <w:pStyle w:val="yTableNAm"/>
              <w:rPr>
                <w:szCs w:val="22"/>
              </w:rPr>
            </w:pPr>
            <w:r>
              <w:rPr>
                <w:szCs w:val="22"/>
              </w:rPr>
              <w:t xml:space="preserve">Fee payable by a person who applies for limited registration — </w:t>
            </w:r>
          </w:p>
          <w:p>
            <w:pPr>
              <w:pStyle w:val="yTableNAm"/>
              <w:tabs>
                <w:tab w:val="clear" w:pos="567"/>
              </w:tabs>
              <w:ind w:left="493" w:hanging="493"/>
              <w:rPr>
                <w:szCs w:val="22"/>
              </w:rPr>
            </w:pPr>
            <w:r>
              <w:rPr>
                <w:szCs w:val="22"/>
              </w:rPr>
              <w:t>(a)</w:t>
            </w:r>
            <w:r>
              <w:rPr>
                <w:szCs w:val="22"/>
              </w:rPr>
              <w:tab/>
              <w:t xml:space="preserve">if the application involves the consideration for approval of a qualification or qualifications </w:t>
            </w:r>
            <w:r>
              <w:t>conferred</w:t>
            </w:r>
            <w:r>
              <w:rPr>
                <w:szCs w:val="22"/>
              </w:rPr>
              <w:t xml:space="preserve"> by a body that is not established, or primarily based, in Australia or New Zealand</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$550</w:t>
            </w:r>
          </w:p>
        </w:tc>
      </w:tr>
      <w:tr>
        <w:trPr>
          <w:cantSplit/>
        </w:trPr>
        <w:tc>
          <w:tcPr>
            <w:tcW w:w="567" w:type="dxa"/>
            <w:noWrap/>
          </w:tcPr>
          <w:p>
            <w:pPr>
              <w:pStyle w:val="yTableNAm"/>
            </w:pPr>
          </w:p>
        </w:tc>
        <w:tc>
          <w:tcPr>
            <w:tcW w:w="3828" w:type="dxa"/>
            <w:noWrap/>
          </w:tcPr>
          <w:p>
            <w:pPr>
              <w:pStyle w:val="yTableNAm"/>
              <w:tabs>
                <w:tab w:val="clear" w:pos="567"/>
              </w:tabs>
              <w:ind w:left="493" w:hanging="493"/>
            </w:pPr>
            <w:r>
              <w:rPr>
                <w:szCs w:val="22"/>
              </w:rPr>
              <w:t>(b)</w:t>
            </w:r>
            <w:r>
              <w:rPr>
                <w:szCs w:val="22"/>
              </w:rPr>
              <w:tab/>
              <w:t xml:space="preserve">if the application involves a nominee </w:t>
            </w:r>
            <w:r>
              <w:t>participating in a teacher exchange programme approved by the Board for the purpose of this item</w:t>
            </w:r>
          </w:p>
          <w:p>
            <w:pPr>
              <w:pStyle w:val="yTableNAm"/>
              <w:tabs>
                <w:tab w:val="clear" w:pos="567"/>
              </w:tabs>
              <w:ind w:left="493" w:hanging="493"/>
              <w:rPr>
                <w:szCs w:val="22"/>
              </w:rPr>
            </w:pPr>
            <w:r>
              <w:t>(c)</w:t>
            </w:r>
            <w:r>
              <w:tab/>
              <w:t>otherwise</w:t>
            </w:r>
          </w:p>
        </w:tc>
        <w:tc>
          <w:tcPr>
            <w:tcW w:w="1451" w:type="dxa"/>
            <w:noWrap/>
          </w:tcPr>
          <w:p>
            <w:pPr>
              <w:pStyle w:val="yTableNAm"/>
            </w:pPr>
          </w:p>
        </w:tc>
        <w:tc>
          <w:tcPr>
            <w:tcW w:w="1134" w:type="dxa"/>
            <w:noWrap/>
          </w:tcPr>
          <w:p>
            <w:pPr>
              <w:pStyle w:val="yTableNAm"/>
              <w:tabs>
                <w:tab w:val="clear" w:pos="567"/>
              </w:tabs>
              <w:ind w:left="-390" w:right="177"/>
              <w:jc w:val="right"/>
            </w:pPr>
            <w:r>
              <w:t>no fee</w:t>
            </w:r>
            <w:r>
              <w:br/>
            </w:r>
            <w:r>
              <w:br/>
            </w:r>
            <w:r>
              <w:br/>
            </w:r>
            <w:r>
              <w:br/>
            </w:r>
          </w:p>
          <w:p>
            <w:pPr>
              <w:pStyle w:val="yTableNAm"/>
              <w:tabs>
                <w:tab w:val="clear" w:pos="567"/>
              </w:tabs>
              <w:ind w:left="-390" w:right="177"/>
              <w:jc w:val="right"/>
            </w:pPr>
            <w:r>
              <w:t>$228</w:t>
            </w:r>
          </w:p>
        </w:tc>
      </w:tr>
      <w:tr>
        <w:trPr>
          <w:cantSplit/>
        </w:trPr>
        <w:tc>
          <w:tcPr>
            <w:tcW w:w="567" w:type="dxa"/>
            <w:noWrap/>
          </w:tcPr>
          <w:p>
            <w:pPr>
              <w:pStyle w:val="yTableNAm"/>
            </w:pPr>
            <w:r>
              <w:t>4.</w:t>
            </w:r>
          </w:p>
        </w:tc>
        <w:tc>
          <w:tcPr>
            <w:tcW w:w="3828" w:type="dxa"/>
            <w:noWrap/>
          </w:tcPr>
          <w:p>
            <w:pPr>
              <w:pStyle w:val="yTableNAm"/>
              <w:rPr>
                <w:szCs w:val="22"/>
              </w:rPr>
            </w:pPr>
            <w:r>
              <w:rPr>
                <w:szCs w:val="22"/>
              </w:rPr>
              <w:t>Fee payable by a person who applies for non</w:t>
            </w:r>
            <w:r>
              <w:rPr>
                <w:szCs w:val="22"/>
              </w:rPr>
              <w:noBreakHyphen/>
              <w:t xml:space="preserve">practising registration — </w:t>
            </w:r>
          </w:p>
          <w:p>
            <w:pPr>
              <w:pStyle w:val="yTableNAm"/>
              <w:tabs>
                <w:tab w:val="clear" w:pos="567"/>
              </w:tabs>
              <w:ind w:left="493" w:hanging="493"/>
            </w:pPr>
            <w:r>
              <w:rPr>
                <w:szCs w:val="22"/>
              </w:rPr>
              <w:t>(a)</w:t>
            </w:r>
            <w:r>
              <w:rPr>
                <w:szCs w:val="22"/>
              </w:rPr>
              <w:tab/>
            </w:r>
            <w:r>
              <w:t>eligible under section 18(a) of the Act</w:t>
            </w:r>
          </w:p>
          <w:p>
            <w:pPr>
              <w:pStyle w:val="yTableNAm"/>
              <w:tabs>
                <w:tab w:val="clear" w:pos="567"/>
              </w:tabs>
              <w:ind w:left="493" w:hanging="493"/>
              <w:rPr>
                <w:szCs w:val="22"/>
              </w:rPr>
            </w:pPr>
            <w:r>
              <w:t>(b)</w:t>
            </w:r>
            <w:r>
              <w:tab/>
              <w:t>eligible under section 18(b) of the Act</w:t>
            </w:r>
            <w:r>
              <w:rPr>
                <w:szCs w:val="22"/>
              </w:rPr>
              <w:t>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w:t>
            </w:r>
            <w:r>
              <w:tab/>
              <w:t>if the applicant has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(iii)</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$492</w:t>
            </w:r>
          </w:p>
        </w:tc>
      </w:tr>
      <w:tr>
        <w:trPr>
          <w:cantSplit/>
        </w:trPr>
        <w:tc>
          <w:tcPr>
            <w:tcW w:w="567" w:type="dxa"/>
            <w:noWrap/>
          </w:tcPr>
          <w:p>
            <w:pPr>
              <w:pStyle w:val="yTableNAm"/>
            </w:pPr>
            <w:r>
              <w:lastRenderedPageBreak/>
              <w:t>5.</w:t>
            </w:r>
          </w:p>
        </w:tc>
        <w:tc>
          <w:tcPr>
            <w:tcW w:w="3828" w:type="dxa"/>
            <w:noWrap/>
          </w:tcPr>
          <w:p>
            <w:pPr>
              <w:pStyle w:val="yTableNAm"/>
              <w:rPr>
                <w:szCs w:val="22"/>
              </w:rPr>
            </w:pPr>
            <w:r>
              <w:rPr>
                <w:szCs w:val="22"/>
              </w:rPr>
              <w:t>Fee payable by a person who applies for the renewal of registration</w:t>
            </w:r>
          </w:p>
        </w:tc>
        <w:tc>
          <w:tcPr>
            <w:tcW w:w="1451" w:type="dxa"/>
            <w:noWrap/>
          </w:tcPr>
          <w:p>
            <w:pPr>
              <w:pStyle w:val="yTableNAm"/>
              <w:ind w:left="70"/>
            </w:pPr>
            <w:r>
              <w:t>s. 11(2)(d)</w:t>
            </w:r>
          </w:p>
        </w:tc>
        <w:tc>
          <w:tcPr>
            <w:tcW w:w="1134" w:type="dxa"/>
            <w:noWrap/>
          </w:tcPr>
          <w:p>
            <w:pPr>
              <w:pStyle w:val="yTableNAm"/>
              <w:tabs>
                <w:tab w:val="clear" w:pos="567"/>
              </w:tabs>
              <w:ind w:left="-390" w:right="177"/>
              <w:jc w:val="right"/>
            </w:pPr>
            <w:r>
              <w:t>$54</w:t>
            </w:r>
          </w:p>
        </w:tc>
      </w:tr>
      <w:tr>
        <w:trPr>
          <w:cantSplit/>
        </w:trPr>
        <w:tc>
          <w:tcPr>
            <w:tcW w:w="567" w:type="dxa"/>
            <w:noWrap/>
          </w:tcPr>
          <w:p>
            <w:pPr>
              <w:pStyle w:val="yTableNAm"/>
            </w:pPr>
            <w:r>
              <w:t>6.</w:t>
            </w:r>
          </w:p>
        </w:tc>
        <w:tc>
          <w:tcPr>
            <w:tcW w:w="3828" w:type="dxa"/>
            <w:noWrap/>
          </w:tcPr>
          <w:p>
            <w:pPr>
              <w:pStyle w:val="yTableNAm"/>
              <w:rPr>
                <w:szCs w:val="22"/>
              </w:rPr>
            </w:pPr>
            <w:r>
              <w:rPr>
                <w:szCs w:val="22"/>
              </w:rPr>
              <w:t xml:space="preserve">Annual fee — </w:t>
            </w:r>
          </w:p>
          <w:p>
            <w:pPr>
              <w:pStyle w:val="yTableNAm"/>
              <w:tabs>
                <w:tab w:val="clear" w:pos="567"/>
              </w:tabs>
              <w:ind w:left="493" w:hanging="493"/>
              <w:rPr>
                <w:szCs w:val="22"/>
              </w:rPr>
            </w:pPr>
            <w:r>
              <w:rPr>
                <w:szCs w:val="22"/>
              </w:rPr>
              <w:t>(a)</w:t>
            </w:r>
            <w:r>
              <w:rPr>
                <w:szCs w:val="22"/>
              </w:rPr>
              <w:tab/>
              <w:t>for the first year after registration is granted if it is granted in January, February, March, October, November or December</w:t>
            </w:r>
          </w:p>
          <w:p>
            <w:pPr>
              <w:pStyle w:val="yTableNAm"/>
              <w:tabs>
                <w:tab w:val="clear" w:pos="567"/>
              </w:tabs>
              <w:ind w:left="493" w:hanging="493"/>
              <w:rPr>
                <w:szCs w:val="22"/>
              </w:rPr>
            </w:pPr>
            <w:r>
              <w:rPr>
                <w:szCs w:val="22"/>
              </w:rPr>
              <w:t>(b)</w:t>
            </w:r>
            <w:r>
              <w:rPr>
                <w:szCs w:val="22"/>
              </w:rPr>
              <w:tab/>
              <w:t>otherwise</w:t>
            </w:r>
          </w:p>
        </w:tc>
        <w:tc>
          <w:tcPr>
            <w:tcW w:w="1451" w:type="dxa"/>
            <w:noWrap/>
          </w:tcPr>
          <w:p>
            <w:pPr>
              <w:pStyle w:val="yTableNAm"/>
              <w:ind w:left="70"/>
            </w:pPr>
            <w:r>
              <w:t>s. 35</w:t>
            </w:r>
          </w:p>
        </w:tc>
        <w:tc>
          <w:tcPr>
            <w:tcW w:w="1134" w:type="dxa"/>
            <w:noWrap/>
          </w:tcPr>
          <w:p>
            <w:pPr>
              <w:pStyle w:val="yTableNAm"/>
              <w:tabs>
                <w:tab w:val="clear" w:pos="567"/>
              </w:tabs>
              <w:ind w:left="-390" w:right="177"/>
              <w:jc w:val="right"/>
            </w:pPr>
          </w:p>
          <w:p>
            <w:pPr>
              <w:pStyle w:val="yTableNAm"/>
              <w:tabs>
                <w:tab w:val="clear" w:pos="567"/>
              </w:tabs>
              <w:ind w:left="-390" w:right="177"/>
              <w:jc w:val="right"/>
            </w:pPr>
            <w:r>
              <w:t>$46</w:t>
            </w:r>
            <w:r>
              <w:br/>
            </w:r>
            <w:r>
              <w:br/>
            </w:r>
            <w:r>
              <w:br/>
            </w:r>
          </w:p>
          <w:p>
            <w:pPr>
              <w:pStyle w:val="yTableNAm"/>
              <w:tabs>
                <w:tab w:val="clear" w:pos="567"/>
              </w:tabs>
              <w:ind w:left="-390" w:right="177"/>
              <w:jc w:val="right"/>
            </w:pPr>
            <w:r>
              <w:t>$92</w:t>
            </w:r>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rPr>
                <w:szCs w:val="22"/>
              </w:rPr>
              <w:t>Fee payable by a person for a criminal record check, obtained by the Board with consent of the person under section 44 of the Act</w:t>
            </w:r>
          </w:p>
        </w:tc>
        <w:tc>
          <w:tcPr>
            <w:tcW w:w="1451" w:type="dxa"/>
            <w:noWrap/>
          </w:tcPr>
          <w:p>
            <w:pPr>
              <w:pStyle w:val="yTableNAm"/>
              <w:ind w:left="70"/>
            </w:pPr>
            <w:r>
              <w:t>s. 128(2)(i)</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8.</w:t>
            </w:r>
          </w:p>
        </w:tc>
        <w:tc>
          <w:tcPr>
            <w:tcW w:w="3828" w:type="dxa"/>
            <w:noWrap/>
          </w:tcPr>
          <w:p>
            <w:pPr>
              <w:pStyle w:val="yTableNAm"/>
              <w:rPr>
                <w:szCs w:val="22"/>
              </w:rPr>
            </w:pPr>
            <w:r>
              <w:rPr>
                <w:szCs w:val="22"/>
              </w:rPr>
              <w:t>Fee payable by a person who applies for a certified copy of the register or an entry in the register for the copy</w:t>
            </w:r>
          </w:p>
        </w:tc>
        <w:tc>
          <w:tcPr>
            <w:tcW w:w="1451" w:type="dxa"/>
            <w:noWrap/>
          </w:tcPr>
          <w:p>
            <w:pPr>
              <w:pStyle w:val="yTableNAm"/>
              <w:ind w:left="70"/>
            </w:pPr>
            <w:r>
              <w:t>s. 37(5)</w:t>
            </w:r>
          </w:p>
        </w:tc>
        <w:tc>
          <w:tcPr>
            <w:tcW w:w="1134" w:type="dxa"/>
            <w:noWrap/>
          </w:tcPr>
          <w:p>
            <w:pPr>
              <w:pStyle w:val="yTableNAm"/>
              <w:tabs>
                <w:tab w:val="clear" w:pos="567"/>
              </w:tabs>
              <w:ind w:left="-106"/>
              <w:jc w:val="right"/>
            </w:pPr>
            <w:r>
              <w:t xml:space="preserve">$57 per entry up to </w:t>
            </w:r>
            <w:r>
              <w:rPr>
                <w:spacing w:val="-4"/>
              </w:rPr>
              <w:t>a maximum</w:t>
            </w:r>
            <w:r>
              <w:t xml:space="preserve"> fee of $165</w:t>
            </w:r>
          </w:p>
        </w:tc>
      </w:tr>
      <w:tr>
        <w:trPr>
          <w:cantSplit/>
        </w:trPr>
        <w:tc>
          <w:tcPr>
            <w:tcW w:w="567" w:type="dxa"/>
            <w:noWrap/>
          </w:tcPr>
          <w:p>
            <w:pPr>
              <w:pStyle w:val="yTableNAm"/>
            </w:pPr>
            <w:r>
              <w:t>9.</w:t>
            </w:r>
          </w:p>
        </w:tc>
        <w:tc>
          <w:tcPr>
            <w:tcW w:w="3828" w:type="dxa"/>
            <w:noWrap/>
          </w:tcPr>
          <w:p>
            <w:pPr>
              <w:pStyle w:val="yTableNAm"/>
              <w:rPr>
                <w:szCs w:val="22"/>
              </w:rPr>
            </w:pPr>
            <w:r>
              <w:rPr>
                <w:szCs w:val="22"/>
              </w:rPr>
              <w:t>Late payment processing fee</w:t>
            </w:r>
          </w:p>
        </w:tc>
        <w:tc>
          <w:tcPr>
            <w:tcW w:w="1451" w:type="dxa"/>
            <w:noWrap/>
          </w:tcPr>
          <w:p>
            <w:pPr>
              <w:pStyle w:val="yTableNAm"/>
              <w:ind w:left="70"/>
            </w:pPr>
            <w:r>
              <w:t>r. 28(5)</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10.</w:t>
            </w:r>
          </w:p>
        </w:tc>
        <w:tc>
          <w:tcPr>
            <w:tcW w:w="3828" w:type="dxa"/>
            <w:noWrap/>
          </w:tcPr>
          <w:p>
            <w:pPr>
              <w:pStyle w:val="yTableNAm"/>
              <w:rPr>
                <w:szCs w:val="22"/>
              </w:rPr>
            </w:pPr>
            <w:r>
              <w:rPr>
                <w:szCs w:val="22"/>
              </w:rPr>
              <w:t>Fee payable for a replacement registration card</w:t>
            </w:r>
          </w:p>
        </w:tc>
        <w:tc>
          <w:tcPr>
            <w:tcW w:w="1451" w:type="dxa"/>
            <w:noWrap/>
          </w:tcPr>
          <w:p>
            <w:pPr>
              <w:pStyle w:val="yTableNAm"/>
              <w:ind w:left="70"/>
            </w:pPr>
            <w:r>
              <w:t>r. 20(4)</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11.</w:t>
            </w:r>
          </w:p>
        </w:tc>
        <w:tc>
          <w:tcPr>
            <w:tcW w:w="3828" w:type="dxa"/>
            <w:noWrap/>
          </w:tcPr>
          <w:p>
            <w:pPr>
              <w:pStyle w:val="yTableNAm"/>
              <w:rPr>
                <w:szCs w:val="22"/>
              </w:rPr>
            </w:pPr>
            <w:r>
              <w:rPr>
                <w:szCs w:val="22"/>
              </w:rPr>
              <w:t>Fee payable by a person seeking advice about additional qualifications required for registration</w:t>
            </w:r>
          </w:p>
        </w:tc>
        <w:tc>
          <w:tcPr>
            <w:tcW w:w="1451" w:type="dxa"/>
            <w:noWrap/>
          </w:tcPr>
          <w:p>
            <w:pPr>
              <w:pStyle w:val="yTableNAm"/>
              <w:ind w:left="70"/>
            </w:pPr>
            <w:r>
              <w:t>r. 19(2)(a)(i) or (ii)</w:t>
            </w:r>
          </w:p>
        </w:tc>
        <w:tc>
          <w:tcPr>
            <w:tcW w:w="1134" w:type="dxa"/>
            <w:noWrap/>
          </w:tcPr>
          <w:p>
            <w:pPr>
              <w:pStyle w:val="yTableNAm"/>
              <w:tabs>
                <w:tab w:val="clear" w:pos="567"/>
              </w:tabs>
              <w:ind w:left="-390" w:right="177"/>
              <w:jc w:val="right"/>
            </w:pPr>
            <w:r>
              <w:t>$320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rPr>
                <w:szCs w:val="22"/>
              </w:rPr>
            </w:pPr>
            <w:r>
              <w:rPr>
                <w:szCs w:val="22"/>
              </w:rPr>
              <w:t>Fee payable by a person seeking advice about being a fit and proper person to be registered</w:t>
            </w:r>
          </w:p>
        </w:tc>
        <w:tc>
          <w:tcPr>
            <w:tcW w:w="1451" w:type="dxa"/>
            <w:tcBorders>
              <w:bottom w:val="single" w:sz="4" w:space="0" w:color="auto"/>
            </w:tcBorders>
            <w:noWrap/>
          </w:tcPr>
          <w:p>
            <w:pPr>
              <w:pStyle w:val="yTableNAm"/>
              <w:ind w:left="70"/>
            </w:pPr>
            <w:r>
              <w:t>r. 19(2)(b)</w:t>
            </w:r>
          </w:p>
        </w:tc>
        <w:tc>
          <w:tcPr>
            <w:tcW w:w="1134" w:type="dxa"/>
            <w:tcBorders>
              <w:bottom w:val="single" w:sz="4" w:space="0" w:color="auto"/>
            </w:tcBorders>
            <w:noWrap/>
          </w:tcPr>
          <w:p>
            <w:pPr>
              <w:pStyle w:val="yTableNAm"/>
              <w:tabs>
                <w:tab w:val="clear" w:pos="567"/>
              </w:tabs>
              <w:ind w:left="-390" w:right="177"/>
              <w:jc w:val="right"/>
            </w:pPr>
            <w:r>
              <w:t>$57</w:t>
            </w:r>
          </w:p>
        </w:tc>
      </w:tr>
    </w:tbl>
    <w:p>
      <w:pPr>
        <w:pStyle w:val="yFootnotesection"/>
      </w:pPr>
      <w:r>
        <w:tab/>
        <w:t>[Schedule 1 inserted: SL 2022/61 r. 11.]</w:t>
      </w:r>
    </w:p>
    <w:p>
      <w:pPr>
        <w:pStyle w:val="yScheduleHeading"/>
      </w:pPr>
      <w:bookmarkStart w:id="68" w:name="_Toc137562384"/>
      <w:bookmarkStart w:id="69" w:name="_Toc137562465"/>
      <w:bookmarkStart w:id="70" w:name="_Toc137634197"/>
      <w:r>
        <w:rPr>
          <w:rStyle w:val="CharSchNo"/>
        </w:rPr>
        <w:lastRenderedPageBreak/>
        <w:t>Schedule 2</w:t>
      </w:r>
      <w:r>
        <w:rPr>
          <w:rStyle w:val="CharSDivNo"/>
        </w:rPr>
        <w:t> </w:t>
      </w:r>
      <w:r>
        <w:t>—</w:t>
      </w:r>
      <w:r>
        <w:rPr>
          <w:rStyle w:val="CharSDivText"/>
        </w:rPr>
        <w:t> </w:t>
      </w:r>
      <w:r>
        <w:rPr>
          <w:rStyle w:val="CharSchText"/>
        </w:rPr>
        <w:t>Form for notice of intention to apply for limited registration</w:t>
      </w:r>
      <w:bookmarkEnd w:id="68"/>
      <w:bookmarkEnd w:id="69"/>
      <w:bookmarkEnd w:id="70"/>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lastRenderedPageBreak/>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lastRenderedPageBreak/>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lastRenderedPageBreak/>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72" w:name="_Toc137562385"/>
      <w:bookmarkStart w:id="73" w:name="_Toc137562466"/>
      <w:bookmarkStart w:id="74" w:name="_Toc137634198"/>
      <w:r>
        <w:lastRenderedPageBreak/>
        <w:t>Notes</w:t>
      </w:r>
      <w:bookmarkEnd w:id="72"/>
      <w:bookmarkEnd w:id="73"/>
      <w:bookmarkEnd w:id="74"/>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75" w:name="_Toc137634199"/>
      <w:r>
        <w:t>Compilation table</w:t>
      </w:r>
      <w:bookmarkEnd w:id="7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lastRenderedPageBreak/>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single" w:sz="4" w:space="0" w:color="auto"/>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single" w:sz="4" w:space="0" w:color="auto"/>
            </w:tcBorders>
            <w:shd w:val="clear" w:color="auto" w:fill="auto"/>
          </w:tcPr>
          <w:p>
            <w:pPr>
              <w:pStyle w:val="nTable"/>
              <w:keepNext/>
              <w:spacing w:after="40"/>
            </w:pPr>
            <w:r>
              <w:t>SL 2022/125 30 Jun 2022</w:t>
            </w:r>
          </w:p>
        </w:tc>
        <w:tc>
          <w:tcPr>
            <w:tcW w:w="2693" w:type="dxa"/>
            <w:tcBorders>
              <w:top w:val="nil"/>
              <w:bottom w:val="single" w:sz="4" w:space="0" w:color="auto"/>
            </w:tcBorders>
            <w:shd w:val="clear" w:color="auto" w:fill="auto"/>
          </w:tcPr>
          <w:p>
            <w:pPr>
              <w:pStyle w:val="nTable"/>
              <w:keepNext/>
              <w:spacing w:after="40"/>
            </w:pPr>
            <w:r>
              <w:t>r. 1 and 2: 30 Jun 2022 (see r. 2(a));</w:t>
            </w:r>
            <w:r>
              <w:br/>
              <w:t>Regulations other than r. 1 and 2: 1 Jul 2022 (see r. 2(b))</w:t>
            </w:r>
          </w:p>
        </w:tc>
      </w:tr>
    </w:tbl>
    <w:p>
      <w:pPr>
        <w:pStyle w:val="nHeading3"/>
      </w:pPr>
      <w:bookmarkStart w:id="76" w:name="_Toc137634200"/>
      <w:r>
        <w:t>Uncommenced provisions table</w:t>
      </w:r>
      <w:bookmarkEnd w:id="7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Education Regulations Amendment (Fees and Charges) Regulations 2023</w:t>
            </w:r>
            <w:r>
              <w:t xml:space="preserve"> Pt. 6</w:t>
            </w:r>
          </w:p>
        </w:tc>
        <w:tc>
          <w:tcPr>
            <w:tcW w:w="1276" w:type="dxa"/>
          </w:tcPr>
          <w:p>
            <w:pPr>
              <w:pStyle w:val="nTable"/>
              <w:spacing w:after="40"/>
            </w:pPr>
            <w:r>
              <w:t>SL 2023/67 16 Jun 2023</w:t>
            </w:r>
          </w:p>
        </w:tc>
        <w:tc>
          <w:tcPr>
            <w:tcW w:w="2693" w:type="dxa"/>
          </w:tcPr>
          <w:p>
            <w:pPr>
              <w:pStyle w:val="nTable"/>
              <w:spacing w:after="40"/>
            </w:pPr>
            <w:r>
              <w:t>1 Jul 2023 (see r. 2(b))</w:t>
            </w:r>
          </w:p>
        </w:tc>
      </w:tr>
    </w:tbl>
    <w:p>
      <w:pPr>
        <w:pStyle w:val="nHeading3"/>
      </w:pPr>
      <w:bookmarkStart w:id="77" w:name="_Toc137634201"/>
      <w:r>
        <w:t>Other notes</w:t>
      </w:r>
      <w:bookmarkEnd w:id="77"/>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79" w:name="_Toc137562388"/>
      <w:bookmarkStart w:id="80" w:name="_Toc137562470"/>
      <w:bookmarkStart w:id="81" w:name="_Toc137634202"/>
      <w:r>
        <w:rPr>
          <w:sz w:val="28"/>
        </w:rPr>
        <w:lastRenderedPageBreak/>
        <w:t>Defined terms</w:t>
      </w:r>
      <w:bookmarkEnd w:id="79"/>
      <w:bookmarkEnd w:id="80"/>
      <w:bookmarkEnd w:id="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automatic deemed registration</w:t>
      </w:r>
      <w:r>
        <w:tab/>
        <w:t>21A(1)</w:t>
      </w:r>
    </w:p>
    <w:p>
      <w:pPr>
        <w:pStyle w:val="DefinedTerms"/>
      </w:pPr>
      <w:r>
        <w:t>centre-based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nominated supervisor</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supervising officer</w:t>
      </w:r>
      <w:r>
        <w:tab/>
        <w:t>21B(1)</w:t>
      </w:r>
    </w:p>
    <w:p>
      <w:pPr>
        <w:pStyle w:val="DefinedTerms"/>
      </w:pPr>
      <w:r>
        <w:t>Torres Strait Islander</w:t>
      </w:r>
      <w:r>
        <w:tab/>
        <w:t>11(7)</w:t>
      </w:r>
    </w:p>
    <w:p>
      <w:pPr>
        <w:pStyle w:val="DefinedTerms"/>
      </w:pPr>
      <w:r>
        <w:t>Trans-Tasman mutual recognition principle</w:t>
      </w:r>
      <w:r>
        <w:tab/>
        <w:t>3</w:t>
      </w:r>
    </w:p>
    <w:p>
      <w:pPr>
        <w:pStyle w:val="DefinedTerms"/>
      </w:pPr>
      <w:r>
        <w:t>WACOT Act</w:t>
      </w:r>
      <w:r>
        <w:tab/>
        <w:t>29</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1" w:name="Schedule"/>
    <w:bookmarkEnd w:id="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2" w:name="DefinedTerms"/>
    <w:bookmarkEnd w:id="8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3" w:name="Coversheet"/>
    <w:bookmarkEnd w:id="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315104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E7180-D61B-40D2-911F-98AF18429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8015</Words>
  <Characters>41283</Characters>
  <Application>Microsoft Office Word</Application>
  <DocSecurity>0</DocSecurity>
  <Lines>1423</Lines>
  <Paragraphs>782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2012 - 01-h0-00</dc:title>
  <dc:subject/>
  <dc:creator/>
  <cp:keywords/>
  <dc:description/>
  <cp:lastModifiedBy>Master Repository Process</cp:lastModifiedBy>
  <cp:revision>4</cp:revision>
  <cp:lastPrinted>2015-08-18T01:24:00Z</cp:lastPrinted>
  <dcterms:created xsi:type="dcterms:W3CDTF">2023-06-15T23:31:00Z</dcterms:created>
  <dcterms:modified xsi:type="dcterms:W3CDTF">2023-06-15T23:31:00Z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16 Jun 2023</vt:lpwstr>
  </property>
  <property fmtid="{D5CDD505-2E9C-101B-9397-08002B2CF9AE}" pid="7" name="Suffix">
    <vt:lpwstr>01-h0-00</vt:lpwstr>
  </property>
  <property fmtid="{D5CDD505-2E9C-101B-9397-08002B2CF9AE}" pid="8" name="CommencementDate">
    <vt:lpwstr>20230616</vt:lpwstr>
  </property>
</Properties>
</file>