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Cultural Heritage Act 2021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Aboriginal Cultural Heritage (Cost Recovery) Regulations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Aboriginal Cultural Heritage (Cost Recovery)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_Toc138324243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_Toc138324244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_Toc138324245 \h </w:instrText>
      </w:r>
      <w:r>
        <w:fldChar w:fldCharType="separate"/>
      </w:r>
      <w:r>
        <w:t>1</w:t>
      </w:r>
      <w:r>
        <w:fldChar w:fldCharType="end"/>
      </w:r>
    </w:p>
    <w:p>
      <w:pPr>
        <w:pStyle w:val="TOC8"/>
        <w:rPr>
          <w:rFonts w:asciiTheme="minorHAnsi" w:eastAsiaTheme="minorEastAsia" w:hAnsiTheme="minorHAnsi" w:cstheme="minorBidi"/>
          <w:szCs w:val="22"/>
        </w:rPr>
      </w:pPr>
      <w:r>
        <w:t>4.</w:t>
      </w:r>
      <w:r>
        <w:tab/>
        <w:t>Revenue categories of proponents: general rules</w:t>
      </w:r>
      <w:r>
        <w:tab/>
      </w:r>
      <w:r>
        <w:fldChar w:fldCharType="begin"/>
      </w:r>
      <w:r>
        <w:instrText xml:space="preserve"> PAGEREF _Toc138324246 \h </w:instrText>
      </w:r>
      <w:r>
        <w:fldChar w:fldCharType="separate"/>
      </w:r>
      <w:r>
        <w:t>3</w:t>
      </w:r>
      <w:r>
        <w:fldChar w:fldCharType="end"/>
      </w:r>
    </w:p>
    <w:p>
      <w:pPr>
        <w:pStyle w:val="TOC8"/>
        <w:rPr>
          <w:rFonts w:asciiTheme="minorHAnsi" w:eastAsiaTheme="minorEastAsia" w:hAnsiTheme="minorHAnsi" w:cstheme="minorBidi"/>
          <w:szCs w:val="22"/>
        </w:rPr>
      </w:pPr>
      <w:r>
        <w:t>5.</w:t>
      </w:r>
      <w:r>
        <w:tab/>
        <w:t>Revenue categories of proponents: proponents recently come into existence</w:t>
      </w:r>
      <w:r>
        <w:tab/>
      </w:r>
      <w:r>
        <w:fldChar w:fldCharType="begin"/>
      </w:r>
      <w:r>
        <w:instrText xml:space="preserve"> PAGEREF _Toc138324247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_Toc138324249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_Toc138324250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Aboriginal Cultural Heritage Act 2021</w:t>
      </w:r>
    </w:p>
    <w:p>
      <w:pPr>
        <w:pStyle w:val="NameofActReg"/>
      </w:pPr>
      <w:r>
        <w:t>Aboriginal Cultural Heritage (Cost Recovery) Regulations 2023</w:t>
      </w:r>
    </w:p>
    <w:p>
      <w:pPr>
        <w:pStyle w:val="Heading2"/>
        <w:pageBreakBefore w:val="0"/>
        <w:spacing w:before="360"/>
      </w:pPr>
      <w:bookmarkStart w:id="3" w:name="_Toc135658609"/>
      <w:bookmarkStart w:id="4" w:name="_Toc135659678"/>
      <w:bookmarkStart w:id="5" w:name="_Toc135724338"/>
      <w:bookmarkStart w:id="6" w:name="_Toc135733439"/>
      <w:bookmarkStart w:id="7" w:name="_Toc137202942"/>
      <w:bookmarkStart w:id="8" w:name="_Toc137212197"/>
      <w:bookmarkStart w:id="9" w:name="_Toc138234458"/>
      <w:bookmarkStart w:id="10" w:name="_Toc138321279"/>
      <w:bookmarkStart w:id="11" w:name="_Toc138323405"/>
      <w:bookmarkStart w:id="12" w:name="_Toc138323462"/>
      <w:bookmarkStart w:id="13" w:name="_Toc13832424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137212198"/>
      <w:bookmarkStart w:id="15" w:name="_Toc138234459"/>
      <w:bookmarkStart w:id="16" w:name="_Toc138324243"/>
      <w:r>
        <w:rPr>
          <w:rStyle w:val="CharSectno"/>
        </w:rPr>
        <w:t>1</w:t>
      </w:r>
      <w:r>
        <w:t>.</w:t>
      </w:r>
      <w:r>
        <w:tab/>
        <w:t>Citation</w:t>
      </w:r>
      <w:bookmarkEnd w:id="14"/>
      <w:bookmarkEnd w:id="15"/>
      <w:bookmarkEnd w:id="16"/>
    </w:p>
    <w:p>
      <w:pPr>
        <w:pStyle w:val="Subsection"/>
      </w:pPr>
      <w:r>
        <w:tab/>
      </w:r>
      <w:r>
        <w:tab/>
      </w:r>
      <w:bookmarkStart w:id="17" w:name="Start_Cursor"/>
      <w:bookmarkEnd w:id="17"/>
      <w:r>
        <w:t xml:space="preserve">These </w:t>
      </w:r>
      <w:r>
        <w:rPr>
          <w:spacing w:val="-2"/>
        </w:rPr>
        <w:t>regulations</w:t>
      </w:r>
      <w:r>
        <w:t xml:space="preserve"> are the </w:t>
      </w:r>
      <w:r>
        <w:rPr>
          <w:i/>
        </w:rPr>
        <w:t>Aboriginal Cultural Heritage (Cost Recovery) Regulations 2023</w:t>
      </w:r>
      <w:r>
        <w:t>.</w:t>
      </w:r>
    </w:p>
    <w:p>
      <w:pPr>
        <w:pStyle w:val="Heading5"/>
        <w:rPr>
          <w:spacing w:val="-2"/>
        </w:rPr>
      </w:pPr>
      <w:bookmarkStart w:id="18" w:name="_Toc137212199"/>
      <w:bookmarkStart w:id="19" w:name="_Toc138234460"/>
      <w:bookmarkStart w:id="20" w:name="_Toc138324244"/>
      <w:r>
        <w:rPr>
          <w:rStyle w:val="CharSectno"/>
        </w:rPr>
        <w:t>2</w:t>
      </w:r>
      <w:r>
        <w:rPr>
          <w:spacing w:val="-2"/>
        </w:rPr>
        <w:t>.</w:t>
      </w:r>
      <w:r>
        <w:rPr>
          <w:spacing w:val="-2"/>
        </w:rPr>
        <w:tab/>
        <w:t>Commencement</w:t>
      </w:r>
      <w:bookmarkEnd w:id="18"/>
      <w:bookmarkEnd w:id="19"/>
      <w:bookmarkEnd w:id="2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2023.</w:t>
      </w:r>
    </w:p>
    <w:p>
      <w:pPr>
        <w:pStyle w:val="Heading5"/>
      </w:pPr>
      <w:bookmarkStart w:id="21" w:name="_Toc137212200"/>
      <w:bookmarkStart w:id="22" w:name="_Toc138234461"/>
      <w:bookmarkStart w:id="23" w:name="_Toc138324245"/>
      <w:r>
        <w:rPr>
          <w:rStyle w:val="CharSectno"/>
        </w:rPr>
        <w:t>3</w:t>
      </w:r>
      <w:r>
        <w:t>.</w:t>
      </w:r>
      <w:r>
        <w:tab/>
        <w:t>Terms used</w:t>
      </w:r>
      <w:bookmarkEnd w:id="21"/>
      <w:bookmarkEnd w:id="22"/>
      <w:bookmarkEnd w:id="23"/>
    </w:p>
    <w:p>
      <w:pPr>
        <w:pStyle w:val="Subsection"/>
      </w:pPr>
      <w:r>
        <w:tab/>
      </w:r>
      <w:r>
        <w:tab/>
        <w:t xml:space="preserve">In these regulations — </w:t>
      </w:r>
    </w:p>
    <w:p>
      <w:pPr>
        <w:pStyle w:val="Defstart"/>
      </w:pPr>
      <w:r>
        <w:tab/>
      </w:r>
      <w:r>
        <w:rPr>
          <w:rStyle w:val="CharDefText"/>
        </w:rPr>
        <w:t>aggregated turnover</w:t>
      </w:r>
      <w:r>
        <w:t xml:space="preserve"> has the meaning given in the </w:t>
      </w:r>
      <w:r>
        <w:rPr>
          <w:i/>
        </w:rPr>
        <w:t>Income Tax Assessment Act 1997</w:t>
      </w:r>
      <w:r>
        <w:t xml:space="preserve"> (Commonwealth) section 328</w:t>
      </w:r>
      <w:r>
        <w:noBreakHyphen/>
        <w:t>115(1);</w:t>
      </w:r>
    </w:p>
    <w:p>
      <w:pPr>
        <w:pStyle w:val="Defstart"/>
      </w:pPr>
      <w:r>
        <w:tab/>
      </w:r>
      <w:r>
        <w:rPr>
          <w:rStyle w:val="CharDefText"/>
        </w:rPr>
        <w:t>business</w:t>
      </w:r>
      <w:r>
        <w:t xml:space="preserve"> has the same meaning as in the </w:t>
      </w:r>
      <w:r>
        <w:rPr>
          <w:i/>
        </w:rPr>
        <w:t>Income Tax Assessment Act 1997</w:t>
      </w:r>
      <w:r>
        <w:t xml:space="preserve"> (Commonwealth);</w:t>
      </w:r>
    </w:p>
    <w:p>
      <w:pPr>
        <w:pStyle w:val="Defstart"/>
        <w:keepNext/>
      </w:pPr>
      <w:r>
        <w:tab/>
      </w:r>
      <w:r>
        <w:rPr>
          <w:rStyle w:val="CharDefText"/>
        </w:rPr>
        <w:t>commercial proponent</w:t>
      </w:r>
      <w:r>
        <w:t xml:space="preserve"> — </w:t>
      </w:r>
    </w:p>
    <w:p>
      <w:pPr>
        <w:pStyle w:val="Defpara"/>
      </w:pPr>
      <w:r>
        <w:tab/>
        <w:t>(a)</w:t>
      </w:r>
      <w:r>
        <w:tab/>
        <w:t>means a person carrying on a business; but</w:t>
      </w:r>
    </w:p>
    <w:p>
      <w:pPr>
        <w:pStyle w:val="Defpara"/>
        <w:keepNext/>
      </w:pPr>
      <w:r>
        <w:tab/>
        <w:t>(b)</w:t>
      </w:r>
      <w:r>
        <w:tab/>
        <w:t xml:space="preserve">does not include any of the following — </w:t>
      </w:r>
    </w:p>
    <w:p>
      <w:pPr>
        <w:pStyle w:val="Defsubpara"/>
        <w:keepNext/>
      </w:pPr>
      <w:r>
        <w:tab/>
        <w:t>(i)</w:t>
      </w:r>
      <w:r>
        <w:tab/>
        <w:t>a government proponent;</w:t>
      </w:r>
    </w:p>
    <w:p>
      <w:pPr>
        <w:pStyle w:val="Defsubpara"/>
        <w:keepNext/>
        <w:keepLines w:val="0"/>
      </w:pPr>
      <w:r>
        <w:tab/>
        <w:t>(ii)</w:t>
      </w:r>
      <w:r>
        <w:tab/>
        <w:t>a small business;</w:t>
      </w:r>
    </w:p>
    <w:p>
      <w:pPr>
        <w:pStyle w:val="Defsubpara"/>
        <w:keepLines w:val="0"/>
      </w:pPr>
      <w:r>
        <w:tab/>
        <w:t>(iii)</w:t>
      </w:r>
      <w:r>
        <w:tab/>
        <w:t>a non</w:t>
      </w:r>
      <w:r>
        <w:noBreakHyphen/>
        <w:t>profit organisation;</w:t>
      </w:r>
    </w:p>
    <w:p>
      <w:pPr>
        <w:pStyle w:val="Defsubpara"/>
        <w:keepLines w:val="0"/>
      </w:pPr>
      <w:r>
        <w:lastRenderedPageBreak/>
        <w:tab/>
        <w:t>(iv)</w:t>
      </w:r>
      <w:r>
        <w:tab/>
        <w:t>a CATSI Act corporation or Corporations Act corporation, except in respect of the undertaking by the corporation of an activity for profit or commercial gain;</w:t>
      </w:r>
    </w:p>
    <w:p>
      <w:pPr>
        <w:pStyle w:val="Defstart"/>
      </w:pPr>
      <w:r>
        <w:tab/>
      </w:r>
      <w:r>
        <w:rPr>
          <w:rStyle w:val="CharDefText"/>
        </w:rPr>
        <w:t>government proponent</w:t>
      </w:r>
      <w:r>
        <w:t xml:space="preserve"> — </w:t>
      </w:r>
    </w:p>
    <w:p>
      <w:pPr>
        <w:pStyle w:val="Defpara"/>
      </w:pPr>
      <w:r>
        <w:tab/>
        <w:t>(a)</w:t>
      </w:r>
      <w:r>
        <w:tab/>
        <w:t xml:space="preserve">means — </w:t>
      </w:r>
    </w:p>
    <w:p>
      <w:pPr>
        <w:pStyle w:val="Defsubpara"/>
      </w:pPr>
      <w:r>
        <w:tab/>
        <w:t>(i)</w:t>
      </w:r>
      <w:r>
        <w:tab/>
        <w:t xml:space="preserve">a department or organisation as defined in the </w:t>
      </w:r>
      <w:r>
        <w:rPr>
          <w:i/>
        </w:rPr>
        <w:t>Public Sector Management Act 1994</w:t>
      </w:r>
      <w:r>
        <w:t xml:space="preserve"> section 3(1); or</w:t>
      </w:r>
    </w:p>
    <w:p>
      <w:pPr>
        <w:pStyle w:val="Defsubpara"/>
      </w:pPr>
      <w:r>
        <w:tab/>
        <w:t>(ii)</w:t>
      </w:r>
      <w:r>
        <w:tab/>
        <w:t xml:space="preserve">an entity listed in the </w:t>
      </w:r>
      <w:r>
        <w:rPr>
          <w:i/>
        </w:rPr>
        <w:t>Public Sector Management Act 1994</w:t>
      </w:r>
      <w:r>
        <w:t xml:space="preserve"> Schedule 1 (other than in items 1 to 4 and 6 to 10);</w:t>
      </w:r>
    </w:p>
    <w:p>
      <w:pPr>
        <w:pStyle w:val="Defpara"/>
      </w:pPr>
      <w:r>
        <w:tab/>
      </w:r>
      <w:r>
        <w:tab/>
        <w:t>but</w:t>
      </w:r>
    </w:p>
    <w:p>
      <w:pPr>
        <w:pStyle w:val="Defpara"/>
      </w:pPr>
      <w:r>
        <w:tab/>
        <w:t>(b)</w:t>
      </w:r>
      <w:r>
        <w:tab/>
        <w:t xml:space="preserve">does not include any of the following — </w:t>
      </w:r>
    </w:p>
    <w:p>
      <w:pPr>
        <w:pStyle w:val="Defsubpara"/>
      </w:pPr>
      <w:r>
        <w:tab/>
        <w:t>(i)</w:t>
      </w:r>
      <w:r>
        <w:tab/>
        <w:t>the Legislative Council or Legislative Assembly;</w:t>
      </w:r>
    </w:p>
    <w:p>
      <w:pPr>
        <w:pStyle w:val="Defsubpara"/>
      </w:pPr>
      <w:r>
        <w:tab/>
        <w:t>(ii)</w:t>
      </w:r>
      <w:r>
        <w:tab/>
        <w:t>a committee of the Legislative Council or Legislative Assembly, or a joint committee or standing committee of the Legislative Council and Legislative Assembly;</w:t>
      </w:r>
    </w:p>
    <w:p>
      <w:pPr>
        <w:pStyle w:val="Defsubpara"/>
      </w:pPr>
      <w:r>
        <w:tab/>
        <w:t>(iii)</w:t>
      </w:r>
      <w:r>
        <w:tab/>
        <w:t>a Royal Commission;</w:t>
      </w:r>
    </w:p>
    <w:p>
      <w:pPr>
        <w:pStyle w:val="Defsubpara"/>
        <w:rPr>
          <w:rStyle w:val="DraftersNotes"/>
          <w:b w:val="0"/>
          <w:i w:val="0"/>
          <w:sz w:val="24"/>
        </w:rPr>
      </w:pPr>
      <w:r>
        <w:tab/>
        <w:t>(iv)</w:t>
      </w:r>
      <w:r>
        <w:tab/>
        <w:t>a member of, or person who holds an office established under a written law for the purposes of, a body set out in subparagraph (i), (ii) or (iii);</w:t>
      </w:r>
    </w:p>
    <w:p>
      <w:pPr>
        <w:pStyle w:val="Defstart"/>
      </w:pPr>
      <w:r>
        <w:tab/>
      </w:r>
      <w:r>
        <w:rPr>
          <w:rStyle w:val="CharDefText"/>
        </w:rPr>
        <w:t>income year</w:t>
      </w:r>
      <w:r>
        <w:t xml:space="preserve">, in relation to a commercial proponent, has the same meaning as in the </w:t>
      </w:r>
      <w:r>
        <w:rPr>
          <w:i/>
        </w:rPr>
        <w:t>Income Tax Assessment Act 1997</w:t>
      </w:r>
      <w:r>
        <w:t xml:space="preserve"> (Commonwealth);</w:t>
      </w:r>
    </w:p>
    <w:p>
      <w:pPr>
        <w:pStyle w:val="Defstart"/>
        <w:keepLines/>
      </w:pPr>
      <w:r>
        <w:tab/>
      </w:r>
      <w:r>
        <w:rPr>
          <w:rStyle w:val="CharDefText"/>
        </w:rPr>
        <w:t>non</w:t>
      </w:r>
      <w:r>
        <w:rPr>
          <w:rStyle w:val="CharDefText"/>
        </w:rPr>
        <w:noBreakHyphen/>
        <w:t>profit organisation</w:t>
      </w:r>
      <w:r>
        <w:t xml:space="preserve"> means an organisation that is not carried on for the purposes of profit or gain to its individual members and is, by the terms of the organisation’s constitution, prohibited from making any distribution, whether in money, property or otherwise, to its members;</w:t>
      </w:r>
    </w:p>
    <w:p>
      <w:pPr>
        <w:pStyle w:val="Defstart"/>
      </w:pPr>
      <w:r>
        <w:tab/>
      </w:r>
      <w:r>
        <w:rPr>
          <w:rStyle w:val="CharDefText"/>
        </w:rPr>
        <w:t>payment period</w:t>
      </w:r>
      <w:r>
        <w:t>, in relation to a fee payable under these regulations, means the period within which the fee must be paid;</w:t>
      </w:r>
    </w:p>
    <w:p>
      <w:pPr>
        <w:pStyle w:val="Defstart"/>
        <w:keepNext/>
      </w:pPr>
      <w:r>
        <w:lastRenderedPageBreak/>
        <w:tab/>
      </w:r>
      <w:r>
        <w:rPr>
          <w:rStyle w:val="CharDefText"/>
        </w:rPr>
        <w:t>revenue</w:t>
      </w:r>
      <w:r>
        <w:t>, in relation to a government proponent for a financial year, means the total revenue of the government proponent for that financial year;</w:t>
      </w:r>
    </w:p>
    <w:p>
      <w:pPr>
        <w:pStyle w:val="PermNoteHeading"/>
      </w:pPr>
      <w:r>
        <w:tab/>
        <w:t>Note for this definition:</w:t>
      </w:r>
    </w:p>
    <w:p>
      <w:pPr>
        <w:pStyle w:val="PermNoteText"/>
      </w:pPr>
      <w:r>
        <w:tab/>
      </w:r>
      <w:r>
        <w:tab/>
        <w:t xml:space="preserve">The revenue of a government proponent may include the following — </w:t>
      </w:r>
    </w:p>
    <w:p>
      <w:pPr>
        <w:pStyle w:val="PermNotePara"/>
      </w:pPr>
      <w:r>
        <w:tab/>
        <w:t>(a)</w:t>
      </w:r>
      <w:r>
        <w:tab/>
        <w:t>income generated through the government proponent’s operating activities, including income from performing services, selling goods or charging fees;</w:t>
      </w:r>
    </w:p>
    <w:p>
      <w:pPr>
        <w:pStyle w:val="PermNotePara"/>
      </w:pPr>
      <w:r>
        <w:tab/>
        <w:t>(b)</w:t>
      </w:r>
      <w:r>
        <w:tab/>
        <w:t>income received directly from government, including income from appropriations or special purpose accounts.</w:t>
      </w:r>
    </w:p>
    <w:p>
      <w:pPr>
        <w:pStyle w:val="Defstart"/>
      </w:pPr>
      <w:r>
        <w:tab/>
      </w:r>
      <w:r>
        <w:rPr>
          <w:rStyle w:val="CharDefText"/>
        </w:rPr>
        <w:t>revenue category</w:t>
      </w:r>
      <w:r>
        <w:t xml:space="preserve"> — </w:t>
      </w:r>
    </w:p>
    <w:p>
      <w:pPr>
        <w:pStyle w:val="Defpara"/>
      </w:pPr>
      <w:r>
        <w:tab/>
        <w:t>(a)</w:t>
      </w:r>
      <w:r>
        <w:tab/>
        <w:t>in relation to a commercial proponent for an income year — means the category given in regulation 4(1) or determined under regulation 5(2);</w:t>
      </w:r>
    </w:p>
    <w:p>
      <w:pPr>
        <w:pStyle w:val="Defpara"/>
      </w:pPr>
      <w:r>
        <w:tab/>
        <w:t>(b)</w:t>
      </w:r>
      <w:r>
        <w:tab/>
        <w:t>in relation to a government proponent for a financial year — means the category given in regulation 4(2) or determined under regulation 5(4);</w:t>
      </w:r>
    </w:p>
    <w:p>
      <w:pPr>
        <w:pStyle w:val="Defstart"/>
        <w:rPr>
          <w:rStyle w:val="DraftersNotes"/>
          <w:b w:val="0"/>
          <w:i w:val="0"/>
          <w:sz w:val="24"/>
        </w:rPr>
      </w:pPr>
      <w:r>
        <w:tab/>
      </w:r>
      <w:r>
        <w:rPr>
          <w:rStyle w:val="CharDefText"/>
        </w:rPr>
        <w:t>small business</w:t>
      </w:r>
      <w:r>
        <w:t xml:space="preserve"> has the meaning given in the </w:t>
      </w:r>
      <w:r>
        <w:rPr>
          <w:i/>
        </w:rPr>
        <w:t>Small Business Development Corporation Act 1983</w:t>
      </w:r>
      <w:r>
        <w:t xml:space="preserve"> section 3(1).</w:t>
      </w:r>
    </w:p>
    <w:p>
      <w:pPr>
        <w:pStyle w:val="Heading5"/>
      </w:pPr>
      <w:bookmarkStart w:id="24" w:name="_Toc137212201"/>
      <w:bookmarkStart w:id="25" w:name="_Toc138234462"/>
      <w:bookmarkStart w:id="26" w:name="_Toc138324246"/>
      <w:r>
        <w:rPr>
          <w:rStyle w:val="CharSectno"/>
        </w:rPr>
        <w:t>4</w:t>
      </w:r>
      <w:r>
        <w:t>.</w:t>
      </w:r>
      <w:r>
        <w:tab/>
        <w:t>Revenue categories of proponents: general rules</w:t>
      </w:r>
      <w:bookmarkEnd w:id="24"/>
      <w:bookmarkEnd w:id="25"/>
      <w:bookmarkEnd w:id="26"/>
    </w:p>
    <w:p>
      <w:pPr>
        <w:pStyle w:val="Subsection"/>
      </w:pPr>
      <w:r>
        <w:tab/>
        <w:t>(1)</w:t>
      </w:r>
      <w:r>
        <w:tab/>
        <w:t xml:space="preserve">The </w:t>
      </w:r>
      <w:r>
        <w:rPr>
          <w:rStyle w:val="CharDefText"/>
        </w:rPr>
        <w:t>revenue category</w:t>
      </w:r>
      <w:r>
        <w:t xml:space="preserve"> of a commercial proponent for an income year is the category set out in the Table that is applicable to the aggregated turnover of the commercial proponent for the previous income year, unless regulation 5(2) applies.</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701"/>
      </w:tblGrid>
      <w:tr>
        <w:trPr>
          <w:tblHeader/>
        </w:trPr>
        <w:tc>
          <w:tcPr>
            <w:tcW w:w="4395" w:type="dxa"/>
            <w:noWrap/>
          </w:tcPr>
          <w:p>
            <w:pPr>
              <w:pStyle w:val="TableNAm"/>
              <w:jc w:val="center"/>
              <w:rPr>
                <w:b/>
              </w:rPr>
            </w:pPr>
            <w:r>
              <w:rPr>
                <w:b/>
              </w:rPr>
              <w:t>Aggregated turnover for previous income year</w:t>
            </w:r>
          </w:p>
        </w:tc>
        <w:tc>
          <w:tcPr>
            <w:tcW w:w="1701" w:type="dxa"/>
            <w:noWrap/>
          </w:tcPr>
          <w:p>
            <w:pPr>
              <w:pStyle w:val="TableNAm"/>
              <w:jc w:val="center"/>
              <w:rPr>
                <w:b/>
              </w:rPr>
            </w:pPr>
            <w:r>
              <w:rPr>
                <w:b/>
              </w:rPr>
              <w:t>Category</w:t>
            </w:r>
          </w:p>
        </w:tc>
      </w:tr>
      <w:tr>
        <w:tc>
          <w:tcPr>
            <w:tcW w:w="4395" w:type="dxa"/>
            <w:noWrap/>
          </w:tcPr>
          <w:p>
            <w:pPr>
              <w:pStyle w:val="TableNAm"/>
            </w:pPr>
            <w:r>
              <w:t>Less than $10 million</w:t>
            </w:r>
          </w:p>
        </w:tc>
        <w:tc>
          <w:tcPr>
            <w:tcW w:w="1701" w:type="dxa"/>
            <w:noWrap/>
          </w:tcPr>
          <w:p>
            <w:pPr>
              <w:pStyle w:val="TableNAm"/>
              <w:jc w:val="center"/>
            </w:pPr>
            <w:r>
              <w:t>Category 1</w:t>
            </w:r>
          </w:p>
        </w:tc>
      </w:tr>
      <w:tr>
        <w:tc>
          <w:tcPr>
            <w:tcW w:w="4395" w:type="dxa"/>
            <w:noWrap/>
          </w:tcPr>
          <w:p>
            <w:pPr>
              <w:pStyle w:val="TableNAm"/>
            </w:pPr>
            <w:r>
              <w:t>At least $10 million but less than $250 million</w:t>
            </w:r>
          </w:p>
        </w:tc>
        <w:tc>
          <w:tcPr>
            <w:tcW w:w="1701" w:type="dxa"/>
            <w:noWrap/>
          </w:tcPr>
          <w:p>
            <w:pPr>
              <w:pStyle w:val="TableNAm"/>
              <w:jc w:val="center"/>
            </w:pPr>
            <w:r>
              <w:t>Category 2</w:t>
            </w:r>
          </w:p>
        </w:tc>
      </w:tr>
      <w:tr>
        <w:tc>
          <w:tcPr>
            <w:tcW w:w="4395" w:type="dxa"/>
            <w:noWrap/>
          </w:tcPr>
          <w:p>
            <w:pPr>
              <w:pStyle w:val="TableNAm"/>
            </w:pPr>
            <w:r>
              <w:lastRenderedPageBreak/>
              <w:t>At least $250 million but less than $1 billion</w:t>
            </w:r>
          </w:p>
        </w:tc>
        <w:tc>
          <w:tcPr>
            <w:tcW w:w="1701" w:type="dxa"/>
            <w:noWrap/>
          </w:tcPr>
          <w:p>
            <w:pPr>
              <w:pStyle w:val="TableNAm"/>
              <w:jc w:val="center"/>
            </w:pPr>
            <w:r>
              <w:t>Category 3</w:t>
            </w:r>
          </w:p>
        </w:tc>
      </w:tr>
      <w:tr>
        <w:tc>
          <w:tcPr>
            <w:tcW w:w="4395" w:type="dxa"/>
            <w:noWrap/>
          </w:tcPr>
          <w:p>
            <w:pPr>
              <w:pStyle w:val="TableNAm"/>
            </w:pPr>
            <w:r>
              <w:t>At least $1 billion but less than $5 billion</w:t>
            </w:r>
          </w:p>
        </w:tc>
        <w:tc>
          <w:tcPr>
            <w:tcW w:w="1701" w:type="dxa"/>
            <w:noWrap/>
          </w:tcPr>
          <w:p>
            <w:pPr>
              <w:pStyle w:val="TableNAm"/>
              <w:jc w:val="center"/>
            </w:pPr>
            <w:r>
              <w:t>Category 4</w:t>
            </w:r>
          </w:p>
        </w:tc>
      </w:tr>
      <w:tr>
        <w:tc>
          <w:tcPr>
            <w:tcW w:w="4395" w:type="dxa"/>
            <w:noWrap/>
          </w:tcPr>
          <w:p>
            <w:pPr>
              <w:pStyle w:val="TableNAm"/>
            </w:pPr>
            <w:r>
              <w:t>At least $5 billion</w:t>
            </w:r>
          </w:p>
        </w:tc>
        <w:tc>
          <w:tcPr>
            <w:tcW w:w="1701" w:type="dxa"/>
            <w:noWrap/>
          </w:tcPr>
          <w:p>
            <w:pPr>
              <w:pStyle w:val="TableNAm"/>
              <w:jc w:val="center"/>
            </w:pPr>
            <w:r>
              <w:t>Category 5</w:t>
            </w:r>
          </w:p>
        </w:tc>
      </w:tr>
    </w:tbl>
    <w:p>
      <w:pPr>
        <w:pStyle w:val="Subsection"/>
      </w:pPr>
      <w:r>
        <w:tab/>
        <w:t>(2)</w:t>
      </w:r>
      <w:r>
        <w:tab/>
        <w:t xml:space="preserve">The </w:t>
      </w:r>
      <w:r>
        <w:rPr>
          <w:rStyle w:val="CharDefText"/>
        </w:rPr>
        <w:t>revenue category</w:t>
      </w:r>
      <w:r>
        <w:t xml:space="preserve"> of a government proponent for a financial year is the category set out in the Table that is applicable to the revenue of the government proponent for the previous financial year, unless regulation 5(4) applies.</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701"/>
      </w:tblGrid>
      <w:tr>
        <w:trPr>
          <w:cantSplit/>
          <w:tblHeader/>
        </w:trPr>
        <w:tc>
          <w:tcPr>
            <w:tcW w:w="4395" w:type="dxa"/>
            <w:noWrap/>
          </w:tcPr>
          <w:p>
            <w:pPr>
              <w:pStyle w:val="TableNAm"/>
              <w:jc w:val="center"/>
              <w:rPr>
                <w:b/>
              </w:rPr>
            </w:pPr>
            <w:r>
              <w:rPr>
                <w:b/>
              </w:rPr>
              <w:t>Revenue for previous financial year</w:t>
            </w:r>
          </w:p>
        </w:tc>
        <w:tc>
          <w:tcPr>
            <w:tcW w:w="1701" w:type="dxa"/>
            <w:noWrap/>
          </w:tcPr>
          <w:p>
            <w:pPr>
              <w:pStyle w:val="TableNAm"/>
              <w:jc w:val="center"/>
              <w:rPr>
                <w:b/>
              </w:rPr>
            </w:pPr>
            <w:r>
              <w:rPr>
                <w:b/>
              </w:rPr>
              <w:t>Category</w:t>
            </w:r>
          </w:p>
        </w:tc>
      </w:tr>
      <w:tr>
        <w:trPr>
          <w:cantSplit/>
        </w:trPr>
        <w:tc>
          <w:tcPr>
            <w:tcW w:w="4395" w:type="dxa"/>
            <w:noWrap/>
          </w:tcPr>
          <w:p>
            <w:pPr>
              <w:pStyle w:val="TableNAm"/>
            </w:pPr>
            <w:r>
              <w:t>Less than $10 million</w:t>
            </w:r>
          </w:p>
        </w:tc>
        <w:tc>
          <w:tcPr>
            <w:tcW w:w="1701" w:type="dxa"/>
            <w:noWrap/>
          </w:tcPr>
          <w:p>
            <w:pPr>
              <w:pStyle w:val="TableNAm"/>
              <w:jc w:val="center"/>
            </w:pPr>
            <w:r>
              <w:t>Category 1</w:t>
            </w:r>
          </w:p>
        </w:tc>
      </w:tr>
      <w:tr>
        <w:trPr>
          <w:cantSplit/>
        </w:trPr>
        <w:tc>
          <w:tcPr>
            <w:tcW w:w="4395" w:type="dxa"/>
            <w:noWrap/>
          </w:tcPr>
          <w:p>
            <w:pPr>
              <w:pStyle w:val="TableNAm"/>
            </w:pPr>
            <w:r>
              <w:t>At least $10 million but less than $250 million</w:t>
            </w:r>
          </w:p>
        </w:tc>
        <w:tc>
          <w:tcPr>
            <w:tcW w:w="1701" w:type="dxa"/>
            <w:noWrap/>
          </w:tcPr>
          <w:p>
            <w:pPr>
              <w:pStyle w:val="TableNAm"/>
              <w:jc w:val="center"/>
            </w:pPr>
            <w:r>
              <w:t>Category 2</w:t>
            </w:r>
          </w:p>
        </w:tc>
      </w:tr>
      <w:tr>
        <w:trPr>
          <w:cantSplit/>
        </w:trPr>
        <w:tc>
          <w:tcPr>
            <w:tcW w:w="4395" w:type="dxa"/>
            <w:noWrap/>
          </w:tcPr>
          <w:p>
            <w:pPr>
              <w:pStyle w:val="TableNAm"/>
            </w:pPr>
            <w:r>
              <w:t>At least $250 million but less than $1 billion</w:t>
            </w:r>
          </w:p>
        </w:tc>
        <w:tc>
          <w:tcPr>
            <w:tcW w:w="1701" w:type="dxa"/>
            <w:noWrap/>
          </w:tcPr>
          <w:p>
            <w:pPr>
              <w:pStyle w:val="TableNAm"/>
              <w:jc w:val="center"/>
            </w:pPr>
            <w:r>
              <w:t>Category 3</w:t>
            </w:r>
          </w:p>
        </w:tc>
      </w:tr>
      <w:tr>
        <w:trPr>
          <w:cantSplit/>
        </w:trPr>
        <w:tc>
          <w:tcPr>
            <w:tcW w:w="4395" w:type="dxa"/>
            <w:noWrap/>
          </w:tcPr>
          <w:p>
            <w:pPr>
              <w:pStyle w:val="TableNAm"/>
            </w:pPr>
            <w:r>
              <w:t>At least $1 billion but less than $5 billion</w:t>
            </w:r>
          </w:p>
        </w:tc>
        <w:tc>
          <w:tcPr>
            <w:tcW w:w="1701" w:type="dxa"/>
            <w:noWrap/>
          </w:tcPr>
          <w:p>
            <w:pPr>
              <w:pStyle w:val="TableNAm"/>
              <w:jc w:val="center"/>
            </w:pPr>
            <w:r>
              <w:t>Category 4</w:t>
            </w:r>
          </w:p>
        </w:tc>
      </w:tr>
      <w:tr>
        <w:trPr>
          <w:cantSplit/>
        </w:trPr>
        <w:tc>
          <w:tcPr>
            <w:tcW w:w="4395" w:type="dxa"/>
            <w:noWrap/>
          </w:tcPr>
          <w:p>
            <w:pPr>
              <w:pStyle w:val="TableNAm"/>
            </w:pPr>
            <w:r>
              <w:t>At least $5 billion</w:t>
            </w:r>
          </w:p>
        </w:tc>
        <w:tc>
          <w:tcPr>
            <w:tcW w:w="1701" w:type="dxa"/>
            <w:noWrap/>
          </w:tcPr>
          <w:p>
            <w:pPr>
              <w:pStyle w:val="TableNAm"/>
              <w:jc w:val="center"/>
            </w:pPr>
            <w:r>
              <w:t>Category 5</w:t>
            </w:r>
          </w:p>
        </w:tc>
      </w:tr>
    </w:tbl>
    <w:p>
      <w:pPr>
        <w:pStyle w:val="Heading5"/>
      </w:pPr>
      <w:bookmarkStart w:id="27" w:name="_Toc137212202"/>
      <w:bookmarkStart w:id="28" w:name="_Toc138234463"/>
      <w:bookmarkStart w:id="29" w:name="_Toc138324247"/>
      <w:r>
        <w:rPr>
          <w:rStyle w:val="CharSectno"/>
        </w:rPr>
        <w:t>5</w:t>
      </w:r>
      <w:r>
        <w:t>.</w:t>
      </w:r>
      <w:r>
        <w:tab/>
        <w:t>Revenue categories of proponents: proponents recently come into existence</w:t>
      </w:r>
      <w:bookmarkEnd w:id="27"/>
      <w:bookmarkEnd w:id="28"/>
      <w:bookmarkEnd w:id="29"/>
    </w:p>
    <w:p>
      <w:pPr>
        <w:pStyle w:val="Subsection"/>
      </w:pPr>
      <w:r>
        <w:tab/>
        <w:t>(1)</w:t>
      </w:r>
      <w:r>
        <w:tab/>
        <w:t xml:space="preserve">Subregulation (2) applies if — </w:t>
      </w:r>
    </w:p>
    <w:p>
      <w:pPr>
        <w:pStyle w:val="Indenta"/>
      </w:pPr>
      <w:r>
        <w:tab/>
        <w:t>(a)</w:t>
      </w:r>
      <w:r>
        <w:tab/>
        <w:t>a commercial proponent is liable to pay a fee under Part 3 in respect of an application or objection; and</w:t>
      </w:r>
    </w:p>
    <w:p>
      <w:pPr>
        <w:pStyle w:val="Indenta"/>
      </w:pPr>
      <w:r>
        <w:lastRenderedPageBreak/>
        <w:tab/>
        <w:t>(b)</w:t>
      </w:r>
      <w:r>
        <w:tab/>
        <w:t>the commercial proponent came into existence in the income year in which the application or objection is made, or the previous income year.</w:t>
      </w:r>
    </w:p>
    <w:p>
      <w:pPr>
        <w:pStyle w:val="Subsection"/>
      </w:pPr>
      <w:r>
        <w:tab/>
        <w:t>(2)</w:t>
      </w:r>
      <w:r>
        <w:tab/>
        <w:t xml:space="preserve">The </w:t>
      </w:r>
      <w:r>
        <w:rPr>
          <w:rStyle w:val="CharDefText"/>
        </w:rPr>
        <w:t>revenue category</w:t>
      </w:r>
      <w:r>
        <w:t xml:space="preserve"> of the commercial proponent for the income year in which the application or objection is made is the category determined by the CEO based on the CEO’s estimate of what the aggregated turnover of the commercial proponent will be for the income year in which the application or objection is made.</w:t>
      </w:r>
    </w:p>
    <w:p>
      <w:pPr>
        <w:pStyle w:val="Subsection"/>
      </w:pPr>
      <w:r>
        <w:tab/>
        <w:t>(3)</w:t>
      </w:r>
      <w:r>
        <w:tab/>
        <w:t xml:space="preserve">Subregulation (4) applies if — </w:t>
      </w:r>
    </w:p>
    <w:p>
      <w:pPr>
        <w:pStyle w:val="Indenta"/>
      </w:pPr>
      <w:r>
        <w:tab/>
        <w:t>(a)</w:t>
      </w:r>
      <w:r>
        <w:tab/>
        <w:t>a government proponent is liable to pay a fee under Part 3 in respect of an application or objection; and</w:t>
      </w:r>
    </w:p>
    <w:p>
      <w:pPr>
        <w:pStyle w:val="Indenta"/>
      </w:pPr>
      <w:r>
        <w:tab/>
        <w:t>(b)</w:t>
      </w:r>
      <w:r>
        <w:tab/>
        <w:t>the government proponent came into existence in the financial year in which the application or objection is made, or the previous financial year.</w:t>
      </w:r>
    </w:p>
    <w:p>
      <w:pPr>
        <w:pStyle w:val="Subsection"/>
        <w:keepNext/>
      </w:pPr>
      <w:r>
        <w:tab/>
        <w:t>(4)</w:t>
      </w:r>
      <w:r>
        <w:tab/>
        <w:t xml:space="preserve">The </w:t>
      </w:r>
      <w:r>
        <w:rPr>
          <w:rStyle w:val="CharDefText"/>
        </w:rPr>
        <w:t>revenue category</w:t>
      </w:r>
      <w:r>
        <w:t xml:space="preserve"> of the government proponent for the financial year in which the application or objection is made is the category determined by the CEO based on the CEO’s estimate of what the revenue of the government proponent will be for the financial year in which the application or objection is made.</w:t>
      </w:r>
    </w:p>
    <w:p>
      <w:pPr>
        <w:pStyle w:val="Ednotepart"/>
      </w:pPr>
      <w:r>
        <w:t>[Parts 2</w:t>
      </w:r>
      <w:r>
        <w:noBreakHyphen/>
        <w:t>4 have not come into operation.]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30" w:name="_Toc138323411"/>
      <w:bookmarkStart w:id="31" w:name="_Toc138323468"/>
      <w:bookmarkStart w:id="32" w:name="_Toc138324248"/>
      <w:r>
        <w:lastRenderedPageBreak/>
        <w:t>Notes</w:t>
      </w:r>
      <w:bookmarkEnd w:id="30"/>
      <w:bookmarkEnd w:id="31"/>
      <w:bookmarkEnd w:id="32"/>
    </w:p>
    <w:p>
      <w:pPr>
        <w:pStyle w:val="nStatement"/>
      </w:pPr>
      <w:r>
        <w:t xml:space="preserve">This is a compilation of the </w:t>
      </w:r>
      <w:r>
        <w:rPr>
          <w:i/>
          <w:noProof/>
        </w:rPr>
        <w:t>Aboriginal Cultural Heritage (Cost Recovery) Regulations 2023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3" w:name="_Toc138324249"/>
      <w:r>
        <w:t>Compilation table</w:t>
      </w:r>
      <w:bookmarkEnd w:id="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Aboriginal Cultural Heritage (Cost Recovery) Regulations 2023</w:t>
            </w:r>
            <w:r>
              <w:rPr>
                <w:noProof/>
              </w:rPr>
              <w:t xml:space="preserve"> Pt. 1</w:t>
            </w:r>
          </w:p>
        </w:tc>
        <w:tc>
          <w:tcPr>
            <w:tcW w:w="1276" w:type="dxa"/>
          </w:tcPr>
          <w:p>
            <w:pPr>
              <w:pStyle w:val="nTable"/>
              <w:spacing w:after="40"/>
            </w:pPr>
            <w:r>
              <w:t>23 Jun 2023 SL 2023/81</w:t>
            </w:r>
          </w:p>
        </w:tc>
        <w:tc>
          <w:tcPr>
            <w:tcW w:w="2693" w:type="dxa"/>
          </w:tcPr>
          <w:p>
            <w:pPr>
              <w:pStyle w:val="nTable"/>
              <w:spacing w:after="40"/>
            </w:pPr>
            <w:r>
              <w:t>23 Jul 2023 (see r. 2(a))</w:t>
            </w:r>
          </w:p>
        </w:tc>
      </w:tr>
    </w:tbl>
    <w:p>
      <w:pPr>
        <w:pStyle w:val="nHeading3"/>
      </w:pPr>
      <w:bookmarkStart w:id="34" w:name="_Toc138324250"/>
      <w:r>
        <w:t>Uncommenced provisions table</w:t>
      </w:r>
      <w:bookmarkEnd w:id="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Aboriginal Cultural Heritage (Cost Recovery) Regulations 2023</w:t>
            </w:r>
            <w:r>
              <w:rPr>
                <w:noProof/>
              </w:rPr>
              <w:t xml:space="preserve"> (regulations other than Pt. 1)</w:t>
            </w:r>
          </w:p>
        </w:tc>
        <w:tc>
          <w:tcPr>
            <w:tcW w:w="1276" w:type="dxa"/>
          </w:tcPr>
          <w:p>
            <w:pPr>
              <w:pStyle w:val="nTable"/>
              <w:spacing w:after="40"/>
            </w:pPr>
            <w:r>
              <w:t>23 Jun 2023 SL 2023/81</w:t>
            </w:r>
          </w:p>
        </w:tc>
        <w:tc>
          <w:tcPr>
            <w:tcW w:w="2693" w:type="dxa"/>
          </w:tcPr>
          <w:p>
            <w:pPr>
              <w:pStyle w:val="nTable"/>
              <w:spacing w:after="40"/>
            </w:pPr>
            <w:r>
              <w:t>1 Jul 2023 (see r. 2(b))</w:t>
            </w:r>
          </w:p>
        </w:tc>
      </w:tr>
    </w:tbl>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36" w:name="_Toc138324251"/>
      <w:r>
        <w:rPr>
          <w:sz w:val="28"/>
        </w:rPr>
        <w:lastRenderedPageBreak/>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aggregated turnover</w:t>
      </w:r>
      <w:r>
        <w:tab/>
        <w:t>3</w:t>
      </w:r>
    </w:p>
    <w:p>
      <w:pPr>
        <w:pStyle w:val="DefinedTerms"/>
      </w:pPr>
      <w:r>
        <w:t>business</w:t>
      </w:r>
      <w:r>
        <w:tab/>
        <w:t>3</w:t>
      </w:r>
    </w:p>
    <w:p>
      <w:pPr>
        <w:pStyle w:val="DefinedTerms"/>
      </w:pPr>
      <w:r>
        <w:t>commercial proponent</w:t>
      </w:r>
      <w:r>
        <w:tab/>
        <w:t>3</w:t>
      </w:r>
    </w:p>
    <w:p>
      <w:pPr>
        <w:pStyle w:val="DefinedTerms"/>
      </w:pPr>
      <w:r>
        <w:t>government proponent</w:t>
      </w:r>
      <w:r>
        <w:tab/>
        <w:t>3</w:t>
      </w:r>
    </w:p>
    <w:p>
      <w:pPr>
        <w:pStyle w:val="DefinedTerms"/>
      </w:pPr>
      <w:r>
        <w:t>income year</w:t>
      </w:r>
      <w:r>
        <w:tab/>
        <w:t>3</w:t>
      </w:r>
    </w:p>
    <w:p>
      <w:pPr>
        <w:pStyle w:val="DefinedTerms"/>
      </w:pPr>
      <w:r>
        <w:t>non-profit organisation</w:t>
      </w:r>
      <w:r>
        <w:tab/>
        <w:t>3</w:t>
      </w:r>
    </w:p>
    <w:p>
      <w:pPr>
        <w:pStyle w:val="DefinedTerms"/>
      </w:pPr>
      <w:r>
        <w:t>payment period</w:t>
      </w:r>
      <w:r>
        <w:tab/>
        <w:t>3</w:t>
      </w:r>
    </w:p>
    <w:p>
      <w:pPr>
        <w:pStyle w:val="DefinedTerms"/>
      </w:pPr>
      <w:r>
        <w:t>revenue</w:t>
      </w:r>
      <w:r>
        <w:tab/>
        <w:t>3</w:t>
      </w:r>
    </w:p>
    <w:p>
      <w:pPr>
        <w:pStyle w:val="DefinedTerms"/>
      </w:pPr>
      <w:r>
        <w:t>revenue category</w:t>
      </w:r>
      <w:r>
        <w:tab/>
        <w:t>3, 4(1) and (2), 5(2) and (4)</w:t>
      </w:r>
    </w:p>
    <w:p>
      <w:pPr>
        <w:pStyle w:val="DefinedTerms"/>
      </w:pPr>
      <w:r>
        <w:t>small business</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7" w:name="DefinedTerms"/>
    <w:bookmarkEnd w:id="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90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52214352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518140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18140749_GUID" w:val="054baef5-db68-46c6-9473-3a2386498719"/>
    <w:docVar w:name="WAFER_20230522122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2122207_GUID" w:val="645a42f1-e15a-4398-9522-850ef42d3dd8"/>
    <w:docVar w:name="WAFER_20230522143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22143528_GUID" w:val="f960076d-bc2c-47a7-9b14-86c9381816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o:shapelayout v:ext="edit">
      <o:idmap v:ext="edit" data="1"/>
    </o:shapelayout>
  </w:shapeDefaults>
  <w:decimalSymbol w:val="."/>
  <w:listSeparator w:val=","/>
  <w15:docId w15:val="{3710B4F9-7D17-4F31-9D83-B73E7FAB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87877">
      <w:bodyDiv w:val="1"/>
      <w:marLeft w:val="0"/>
      <w:marRight w:val="0"/>
      <w:marTop w:val="0"/>
      <w:marBottom w:val="0"/>
      <w:divBdr>
        <w:top w:val="none" w:sz="0" w:space="0" w:color="auto"/>
        <w:left w:val="none" w:sz="0" w:space="0" w:color="auto"/>
        <w:bottom w:val="none" w:sz="0" w:space="0" w:color="auto"/>
        <w:right w:val="none" w:sz="0" w:space="0" w:color="auto"/>
      </w:divBdr>
    </w:div>
    <w:div w:id="119704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5E387-10C9-4FFB-89E1-5653EECE2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1274</Words>
  <Characters>6705</Characters>
  <Application>Microsoft Office Word</Application>
  <DocSecurity>0</DocSecurity>
  <Lines>239</Lines>
  <Paragraphs>166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Cultural Heritage (Cost Recovery) Regulations 2023 - 00-a0-00</dc:title>
  <dc:subject/>
  <dc:creator/>
  <cp:keywords/>
  <dc:description/>
  <cp:lastModifiedBy>Master Repository Process</cp:lastModifiedBy>
  <cp:revision>4</cp:revision>
  <cp:lastPrinted>2023-06-21T02:07:00Z</cp:lastPrinted>
  <dcterms:created xsi:type="dcterms:W3CDTF">2023-06-22T07:45:00Z</dcterms:created>
  <dcterms:modified xsi:type="dcterms:W3CDTF">2023-06-22T07:45:00Z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54226</vt:lpwstr>
  </property>
  <property fmtid="{D5CDD505-2E9C-101B-9397-08002B2CF9AE}" pid="3" name="DocumentType">
    <vt:lpwstr>Reg</vt:lpwstr>
  </property>
  <property fmtid="{D5CDD505-2E9C-101B-9397-08002B2CF9AE}" pid="4" name="AsAtDate">
    <vt:lpwstr>23 Jun 2023</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20230623</vt:lpwstr>
  </property>
</Properties>
</file>