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 Corporations Act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_Toc138412130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_Toc138412131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_Toc138412132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Water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_Toc138412135 \h </w:instrText>
      </w:r>
      <w:r>
        <w:fldChar w:fldCharType="separate"/>
      </w:r>
      <w:r>
        <w:t>5</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_Toc138412136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_Toc138412137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_Toc138412138 \h </w:instrText>
      </w:r>
      <w:r>
        <w:fldChar w:fldCharType="separate"/>
      </w:r>
      <w:r>
        <w:t>6</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_Toc138412139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_Toc138412141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_Toc138412142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_Toc138412143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_Toc138412144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_Toc138412145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_Toc138412146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_Toc138412148 \h </w:instrText>
      </w:r>
      <w:r>
        <w:fldChar w:fldCharType="separate"/>
      </w:r>
      <w:r>
        <w:t>10</w:t>
      </w:r>
      <w:r>
        <w:fldChar w:fldCharType="end"/>
      </w:r>
    </w:p>
    <w:p>
      <w:pPr>
        <w:pStyle w:val="TOC8"/>
        <w:rPr>
          <w:rFonts w:asciiTheme="minorHAnsi" w:eastAsiaTheme="minorEastAsia" w:hAnsiTheme="minorHAnsi" w:cstheme="minorBidi"/>
          <w:szCs w:val="22"/>
        </w:rPr>
      </w:pPr>
      <w:r>
        <w:t>14A.</w:t>
      </w:r>
      <w:r>
        <w:tab/>
        <w:t>Remuneration of chief executive officer while corporation is not a Government entity</w:t>
      </w:r>
      <w:r>
        <w:tab/>
      </w:r>
      <w:r>
        <w:fldChar w:fldCharType="begin"/>
      </w:r>
      <w:r>
        <w:instrText xml:space="preserve"> PAGEREF _Toc138412149 \h </w:instrText>
      </w:r>
      <w:r>
        <w:fldChar w:fldCharType="separate"/>
      </w:r>
      <w:r>
        <w:t>11</w:t>
      </w:r>
      <w:r>
        <w:fldChar w:fldCharType="end"/>
      </w:r>
    </w:p>
    <w:p>
      <w:pPr>
        <w:pStyle w:val="TOC8"/>
        <w:rPr>
          <w:rFonts w:asciiTheme="minorHAnsi" w:eastAsiaTheme="minorEastAsia" w:hAnsiTheme="minorHAnsi" w:cstheme="minorBidi"/>
          <w:szCs w:val="22"/>
        </w:rPr>
      </w:pPr>
      <w:r>
        <w:t>14B.</w:t>
      </w:r>
      <w:r>
        <w:tab/>
        <w:t>Remuneration of chief executive officer while corporation is a Government entity</w:t>
      </w:r>
      <w:r>
        <w:tab/>
      </w:r>
      <w:r>
        <w:fldChar w:fldCharType="begin"/>
      </w:r>
      <w:r>
        <w:instrText xml:space="preserve"> PAGEREF _Toc138412150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_Toc138412151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Staff</w:t>
      </w:r>
      <w:r>
        <w:tab/>
      </w:r>
      <w:r>
        <w:fldChar w:fldCharType="begin"/>
      </w:r>
      <w:r>
        <w:instrText xml:space="preserve"> PAGEREF _Toc138412152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_Toc138412153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_Toc138412154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_Toc138412155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_Toc138412156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_Toc138412158 \h </w:instrText>
      </w:r>
      <w:r>
        <w:fldChar w:fldCharType="separate"/>
      </w:r>
      <w:r>
        <w:t>16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_Toc138412159 \h </w:instrText>
      </w:r>
      <w:r>
        <w:fldChar w:fldCharType="separate"/>
      </w:r>
      <w:r>
        <w:t>16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_Toc138412160 \h </w:instrText>
      </w:r>
      <w:r>
        <w:fldChar w:fldCharType="separate"/>
      </w:r>
      <w:r>
        <w:t>17</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_Toc138412161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_Toc138412162 \h </w:instrText>
      </w:r>
      <w:r>
        <w:fldChar w:fldCharType="separate"/>
      </w:r>
      <w:r>
        <w:t>18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_Toc138412163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_Toc138412164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 of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_Toc138412167 \h </w:instrText>
      </w:r>
      <w:r>
        <w:fldChar w:fldCharType="separate"/>
      </w:r>
      <w:r>
        <w:t>20</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_Toc138412168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_Toc138412169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_Toc138412170 \h </w:instrText>
      </w:r>
      <w:r>
        <w:fldChar w:fldCharType="separate"/>
      </w:r>
      <w:r>
        <w:t>22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_Toc138412171 \h </w:instrText>
      </w:r>
      <w:r>
        <w:fldChar w:fldCharType="separate"/>
      </w:r>
      <w:r>
        <w:t>24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_Toc138412172 \h </w:instrText>
      </w:r>
      <w:r>
        <w:fldChar w:fldCharType="separate"/>
      </w:r>
      <w:r>
        <w:t>24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_Toc138412173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_Toc138412174 \h </w:instrText>
      </w:r>
      <w:r>
        <w:fldChar w:fldCharType="separate"/>
      </w:r>
      <w:r>
        <w:t>26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_Toc138412175 \h </w:instrText>
      </w:r>
      <w:r>
        <w:fldChar w:fldCharType="separate"/>
      </w:r>
      <w:r>
        <w:t>27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_Toc138412176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_Toc138412178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_Toc138412180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_Toc138412181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_Toc138412182 \h </w:instrText>
      </w:r>
      <w:r>
        <w:fldChar w:fldCharType="separate"/>
      </w:r>
      <w:r>
        <w:t>29</w:t>
      </w:r>
      <w:r>
        <w:fldChar w:fldCharType="end"/>
      </w:r>
    </w:p>
    <w:p>
      <w:pPr>
        <w:pStyle w:val="TOC8"/>
        <w:rPr>
          <w:rFonts w:asciiTheme="minorHAnsi" w:eastAsiaTheme="minorEastAsia" w:hAnsiTheme="minorHAnsi" w:cstheme="minorBidi"/>
          <w:szCs w:val="22"/>
        </w:rPr>
      </w:pPr>
      <w:r>
        <w:lastRenderedPageBreak/>
        <w:t>40</w:t>
      </w:r>
      <w:r>
        <w:rPr>
          <w:snapToGrid w:val="0"/>
        </w:rPr>
        <w:t>.</w:t>
      </w:r>
      <w:r>
        <w:rPr>
          <w:snapToGrid w:val="0"/>
        </w:rPr>
        <w:tab/>
        <w:t>Exception to s. 37 and 38</w:t>
      </w:r>
      <w:r>
        <w:tab/>
      </w:r>
      <w:r>
        <w:fldChar w:fldCharType="begin"/>
      </w:r>
      <w:r>
        <w:instrText xml:space="preserve"> PAGEREF _Toc138412183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as to accountability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_Toc138412186 \h </w:instrText>
      </w:r>
      <w:r>
        <w:fldChar w:fldCharType="separate"/>
      </w:r>
      <w:r>
        <w:t>32</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_Toc138412187 \h </w:instrText>
      </w:r>
      <w:r>
        <w:fldChar w:fldCharType="separate"/>
      </w:r>
      <w:r>
        <w:t>32</w:t>
      </w:r>
      <w:r>
        <w:fldChar w:fldCharType="end"/>
      </w:r>
    </w:p>
    <w:p>
      <w:pPr>
        <w:pStyle w:val="TOC8"/>
        <w:rPr>
          <w:rFonts w:asciiTheme="minorHAnsi" w:eastAsiaTheme="minorEastAsia" w:hAnsiTheme="minorHAnsi" w:cstheme="minorBidi"/>
          <w:szCs w:val="22"/>
        </w:rPr>
      </w:pPr>
      <w:r>
        <w:rPr>
          <w:bCs/>
        </w:rPr>
        <w:t>43</w:t>
      </w:r>
      <w:r>
        <w:t>.</w:t>
      </w:r>
      <w:r>
        <w:rPr>
          <w:bCs/>
        </w:rPr>
        <w:tab/>
      </w:r>
      <w:r>
        <w:rPr>
          <w:bCs/>
          <w:snapToGrid w:val="0"/>
        </w:rPr>
        <w:t>Matters to be included in plan</w:t>
      </w:r>
      <w:r>
        <w:tab/>
      </w:r>
      <w:r>
        <w:fldChar w:fldCharType="begin"/>
      </w:r>
      <w:r>
        <w:instrText xml:space="preserve"> PAGEREF _Toc138412188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_Toc138412189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_Toc138412190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_Toc138412191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_Toc138412192 \h </w:instrText>
      </w:r>
      <w:r>
        <w:fldChar w:fldCharType="separate"/>
      </w:r>
      <w:r>
        <w:t>34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_Toc138412193 \h </w:instrText>
      </w:r>
      <w:r>
        <w:fldChar w:fldCharType="separate"/>
      </w:r>
      <w:r>
        <w:t>35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_Toc138412194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_Toc138412196 \h </w:instrText>
      </w:r>
      <w:r>
        <w:fldChar w:fldCharType="separate"/>
      </w:r>
      <w:r>
        <w:t>35</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_Toc138412197 \h </w:instrText>
      </w:r>
      <w:r>
        <w:fldChar w:fldCharType="separate"/>
      </w:r>
      <w:r>
        <w:t>36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_Toc138412198 \h </w:instrText>
      </w:r>
      <w:r>
        <w:fldChar w:fldCharType="separate"/>
      </w:r>
      <w:r>
        <w:t>36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_Toc138412199 \h </w:instrText>
      </w:r>
      <w:r>
        <w:fldChar w:fldCharType="separate"/>
      </w:r>
      <w:r>
        <w:t>38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_Toc138412200 \h </w:instrText>
      </w:r>
      <w:r>
        <w:fldChar w:fldCharType="separate"/>
      </w:r>
      <w:r>
        <w:t>38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_Toc138412201 \h </w:instrText>
      </w:r>
      <w:r>
        <w:fldChar w:fldCharType="separate"/>
      </w:r>
      <w:r>
        <w:t>39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_Toc138412202 \h </w:instrText>
      </w:r>
      <w:r>
        <w:fldChar w:fldCharType="separate"/>
      </w:r>
      <w:r>
        <w:t>39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_Toc138412203 \h </w:instrText>
      </w:r>
      <w:r>
        <w:fldChar w:fldCharType="separate"/>
      </w:r>
      <w:r>
        <w:t>40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_Toc138412204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_Toc138412206 \h </w:instrText>
      </w:r>
      <w:r>
        <w:fldChar w:fldCharType="separate"/>
      </w:r>
      <w:r>
        <w:t>41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_Toc138412207 \h </w:instrText>
      </w:r>
      <w:r>
        <w:fldChar w:fldCharType="separate"/>
      </w:r>
      <w:r>
        <w:t>42</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_Toc138412208 \h </w:instrText>
      </w:r>
      <w:r>
        <w:fldChar w:fldCharType="separate"/>
      </w:r>
      <w:r>
        <w:t>42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_Toc138412209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_Toc138412211 \h </w:instrText>
      </w:r>
      <w:r>
        <w:fldChar w:fldCharType="separate"/>
      </w:r>
      <w:r>
        <w:t>43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_Toc138412212 \h </w:instrText>
      </w:r>
      <w:r>
        <w:fldChar w:fldCharType="separate"/>
      </w:r>
      <w:r>
        <w:t>44</w:t>
      </w:r>
      <w:r>
        <w:fldChar w:fldCharType="end"/>
      </w:r>
    </w:p>
    <w:p>
      <w:pPr>
        <w:pStyle w:val="TOC8"/>
        <w:rPr>
          <w:rFonts w:asciiTheme="minorHAnsi" w:eastAsiaTheme="minorEastAsia" w:hAnsiTheme="minorHAnsi" w:cstheme="minorBidi"/>
          <w:szCs w:val="22"/>
        </w:rPr>
      </w:pPr>
      <w:r>
        <w:lastRenderedPageBreak/>
        <w:t>65</w:t>
      </w:r>
      <w:r>
        <w:rPr>
          <w:snapToGrid w:val="0"/>
        </w:rPr>
        <w:t>.</w:t>
      </w:r>
      <w:r>
        <w:rPr>
          <w:snapToGrid w:val="0"/>
        </w:rPr>
        <w:tab/>
        <w:t>Directions contrary to commercial interest</w:t>
      </w:r>
      <w:r>
        <w:tab/>
      </w:r>
      <w:r>
        <w:fldChar w:fldCharType="begin"/>
      </w:r>
      <w:r>
        <w:instrText xml:space="preserve"> PAGEREF _Toc138412213 \h </w:instrText>
      </w:r>
      <w:r>
        <w:fldChar w:fldCharType="separate"/>
      </w:r>
      <w:r>
        <w:t>44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_Toc138412214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_Toc138412216 \h </w:instrText>
      </w:r>
      <w:r>
        <w:fldChar w:fldCharType="separate"/>
      </w:r>
      <w:r>
        <w:t>45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_Toc138412217 \h </w:instrText>
      </w:r>
      <w:r>
        <w:fldChar w:fldCharType="separate"/>
      </w:r>
      <w:r>
        <w:t>45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_Toc138412218 \h </w:instrText>
      </w:r>
      <w:r>
        <w:fldChar w:fldCharType="separate"/>
      </w:r>
      <w:r>
        <w:t>46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_Toc138412219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_Toc138412221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_Toc138412224 \h </w:instrText>
      </w:r>
      <w:r>
        <w:fldChar w:fldCharType="separate"/>
      </w:r>
      <w:r>
        <w:t>50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_Toc138412225 \h </w:instrText>
      </w:r>
      <w:r>
        <w:fldChar w:fldCharType="separate"/>
      </w:r>
      <w:r>
        <w:t>50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_Toc138412226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_Toc138412228 \h </w:instrText>
      </w:r>
      <w:r>
        <w:fldChar w:fldCharType="separate"/>
      </w:r>
      <w:r>
        <w:t>51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_Toc138412229 \h </w:instrText>
      </w:r>
      <w:r>
        <w:fldChar w:fldCharType="separate"/>
      </w:r>
      <w:r>
        <w:t>51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_Toc138412230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_Toc138412232 \h </w:instrText>
      </w:r>
      <w:r>
        <w:fldChar w:fldCharType="separate"/>
      </w:r>
      <w:r>
        <w:t>53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_Toc138412233 \h </w:instrText>
      </w:r>
      <w:r>
        <w:fldChar w:fldCharType="separate"/>
      </w:r>
      <w:r>
        <w:t>54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_Toc138412234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_Toc138412236 \h </w:instrText>
      </w:r>
      <w:r>
        <w:fldChar w:fldCharType="separate"/>
      </w:r>
      <w:r>
        <w:t>56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_Toc138412237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_Toc138412239 \h </w:instrText>
      </w:r>
      <w:r>
        <w:fldChar w:fldCharType="separate"/>
      </w:r>
      <w:r>
        <w:t>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_Toc138412240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_Toc138412242 \h </w:instrText>
      </w:r>
      <w:r>
        <w:fldChar w:fldCharType="separate"/>
      </w:r>
      <w:r>
        <w:t>59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_Toc138412243 \h </w:instrText>
      </w:r>
      <w:r>
        <w:fldChar w:fldCharType="separate"/>
      </w:r>
      <w:r>
        <w:t>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_Toc138412244 \h </w:instrText>
      </w:r>
      <w:r>
        <w:fldChar w:fldCharType="separate"/>
      </w:r>
      <w:r>
        <w:t>60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_Toc138412245 \h </w:instrText>
      </w:r>
      <w:r>
        <w:fldChar w:fldCharType="separate"/>
      </w:r>
      <w:r>
        <w:t>61</w:t>
      </w:r>
      <w:r>
        <w:fldChar w:fldCharType="end"/>
      </w:r>
    </w:p>
    <w:p>
      <w:pPr>
        <w:pStyle w:val="TOC8"/>
        <w:rPr>
          <w:rFonts w:asciiTheme="minorHAnsi" w:eastAsiaTheme="minorEastAsia" w:hAnsiTheme="minorHAnsi" w:cstheme="minorBidi"/>
          <w:szCs w:val="22"/>
        </w:rPr>
      </w:pPr>
      <w:r>
        <w:lastRenderedPageBreak/>
        <w:t>91</w:t>
      </w:r>
      <w:r>
        <w:rPr>
          <w:snapToGrid w:val="0"/>
        </w:rPr>
        <w:t>.</w:t>
      </w:r>
      <w:r>
        <w:rPr>
          <w:snapToGrid w:val="0"/>
        </w:rPr>
        <w:tab/>
        <w:t>Regulations</w:t>
      </w:r>
      <w:r>
        <w:tab/>
      </w:r>
      <w:r>
        <w:fldChar w:fldCharType="begin"/>
      </w:r>
      <w:r>
        <w:instrText xml:space="preserve"> PAGEREF _Toc138412246 \h </w:instrText>
      </w:r>
      <w:r>
        <w:fldChar w:fldCharType="separate"/>
      </w:r>
      <w:r>
        <w:t>61</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_Toc138412247 \h </w:instrText>
      </w:r>
      <w:r>
        <w:fldChar w:fldCharType="separate"/>
      </w:r>
      <w:r>
        <w:t>62</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_Toc138412248 \h </w:instrText>
      </w:r>
      <w:r>
        <w:fldChar w:fldCharType="separate"/>
      </w:r>
      <w:r>
        <w:t>63</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_Toc138412249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Term used: director</w:t>
      </w:r>
      <w:r>
        <w:tab/>
      </w:r>
      <w:r>
        <w:fldChar w:fldCharType="begin"/>
      </w:r>
      <w:r>
        <w:instrText xml:space="preserve"> PAGEREF _Toc138412251 \h </w:instrText>
      </w:r>
      <w:r>
        <w:fldChar w:fldCharType="separate"/>
      </w:r>
      <w:r>
        <w:t>65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_Toc138412252 \h </w:instrText>
      </w:r>
      <w:r>
        <w:fldChar w:fldCharType="separate"/>
      </w:r>
      <w:r>
        <w:t>65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_Toc138412253 \h </w:instrText>
      </w:r>
      <w:r>
        <w:fldChar w:fldCharType="separate"/>
      </w:r>
      <w:r>
        <w:t>65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_Toc138412254 \h </w:instrText>
      </w:r>
      <w:r>
        <w:fldChar w:fldCharType="separate"/>
      </w:r>
      <w:r>
        <w:t>66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_Toc138412255 \h </w:instrText>
      </w:r>
      <w:r>
        <w:fldChar w:fldCharType="separate"/>
      </w:r>
      <w:r>
        <w:t>66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_Toc138412256 \h </w:instrText>
      </w:r>
      <w:r>
        <w:fldChar w:fldCharType="separate"/>
      </w:r>
      <w:r>
        <w:t>67</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_Toc138412257 \h </w:instrText>
      </w:r>
      <w:r>
        <w:fldChar w:fldCharType="separate"/>
      </w:r>
      <w:r>
        <w:t>67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_Toc138412258 \h </w:instrText>
      </w:r>
      <w:r>
        <w:fldChar w:fldCharType="separate"/>
      </w:r>
      <w:r>
        <w:t>67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_Toc138412259 \h </w:instrText>
      </w:r>
      <w:r>
        <w:fldChar w:fldCharType="separate"/>
      </w:r>
      <w:r>
        <w:t>68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_Toc138412260 \h </w:instrText>
      </w:r>
      <w:r>
        <w:fldChar w:fldCharType="separate"/>
      </w:r>
      <w:r>
        <w:t>69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_Toc138412261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_Toc138412264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_Toc138412266 \h </w:instrText>
      </w:r>
      <w:r>
        <w:fldChar w:fldCharType="separate"/>
      </w:r>
      <w:r>
        <w:t>70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_Toc138412267 \h </w:instrText>
      </w:r>
      <w:r>
        <w:fldChar w:fldCharType="separate"/>
      </w:r>
      <w:r>
        <w:t>71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_Toc138412268 \h </w:instrText>
      </w:r>
      <w:r>
        <w:fldChar w:fldCharType="separate"/>
      </w:r>
      <w:r>
        <w:t>71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_Toc138412269 \h </w:instrText>
      </w:r>
      <w:r>
        <w:fldChar w:fldCharType="separate"/>
      </w:r>
      <w:r>
        <w:t>71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_Toc138412270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_Toc138412272 \h </w:instrText>
      </w:r>
      <w:r>
        <w:fldChar w:fldCharType="separate"/>
      </w:r>
      <w:r>
        <w:t>72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_Toc138412273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_Toc138412275 \h </w:instrText>
      </w:r>
      <w:r>
        <w:fldChar w:fldCharType="separate"/>
      </w:r>
      <w:r>
        <w:t>73</w:t>
      </w:r>
      <w:r>
        <w:fldChar w:fldCharType="end"/>
      </w:r>
    </w:p>
    <w:p>
      <w:pPr>
        <w:pStyle w:val="TOC8"/>
        <w:rPr>
          <w:rFonts w:asciiTheme="minorHAnsi" w:eastAsiaTheme="minorEastAsia" w:hAnsiTheme="minorHAnsi" w:cstheme="minorBidi"/>
          <w:szCs w:val="22"/>
        </w:rPr>
      </w:pPr>
      <w:r>
        <w:lastRenderedPageBreak/>
        <w:t>10</w:t>
      </w:r>
      <w:r>
        <w:rPr>
          <w:snapToGrid w:val="0"/>
        </w:rPr>
        <w:t>.</w:t>
      </w:r>
      <w:r>
        <w:rPr>
          <w:snapToGrid w:val="0"/>
        </w:rPr>
        <w:tab/>
        <w:t>Director etc. may apply for relief</w:t>
      </w:r>
      <w:r>
        <w:tab/>
      </w:r>
      <w:r>
        <w:fldChar w:fldCharType="begin"/>
      </w:r>
      <w:r>
        <w:instrText xml:space="preserve"> PAGEREF _Toc138412276 \h </w:instrText>
      </w:r>
      <w:r>
        <w:fldChar w:fldCharType="separate"/>
      </w:r>
      <w:r>
        <w:t>73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_Toc138412277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_Toc138412279 \h </w:instrText>
      </w:r>
      <w:r>
        <w:fldChar w:fldCharType="separate"/>
      </w:r>
      <w:r>
        <w:t>74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_Toc138412280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_Toc138412282 \h </w:instrText>
      </w:r>
      <w:r>
        <w:fldChar w:fldCharType="separate"/>
      </w:r>
      <w:r>
        <w:t>75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_Toc138412283 \h </w:instrText>
      </w:r>
      <w:r>
        <w:fldChar w:fldCharType="separate"/>
      </w:r>
      <w:r>
        <w:t>76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_Toc138412284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_Toc138412287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_Toc138412289 \h </w:instrText>
      </w:r>
      <w:r>
        <w:fldChar w:fldCharType="separate"/>
      </w:r>
      <w:r>
        <w:t>80</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_Toc138412290 \h </w:instrText>
      </w:r>
      <w:r>
        <w:fldChar w:fldCharType="separate"/>
      </w:r>
      <w:r>
        <w:t>81</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_Toc138412291 \h </w:instrText>
      </w:r>
      <w:r>
        <w:fldChar w:fldCharType="separate"/>
      </w:r>
      <w:r>
        <w:t>81</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_Toc138412292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_Toc138412295 \h </w:instrText>
      </w:r>
      <w:r>
        <w:fldChar w:fldCharType="separate"/>
      </w:r>
      <w:r>
        <w:t>82</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_Toc138412296 \h </w:instrText>
      </w:r>
      <w:r>
        <w:fldChar w:fldCharType="separate"/>
      </w:r>
      <w:r>
        <w:t>82</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_Toc138412297 \h </w:instrText>
      </w:r>
      <w:r>
        <w:fldChar w:fldCharType="separate"/>
      </w:r>
      <w:r>
        <w:t>83</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_Toc138412298 \h </w:instrText>
      </w:r>
      <w:r>
        <w:fldChar w:fldCharType="separate"/>
      </w:r>
      <w:r>
        <w:t>83</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_Toc138412299 \h </w:instrText>
      </w:r>
      <w:r>
        <w:fldChar w:fldCharType="separate"/>
      </w:r>
      <w:r>
        <w:t>84</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_Toc138412300 \h </w:instrText>
      </w:r>
      <w:r>
        <w:fldChar w:fldCharType="separate"/>
      </w:r>
      <w:r>
        <w:t>84</w:t>
      </w:r>
      <w:r>
        <w:fldChar w:fldCharType="end"/>
      </w:r>
    </w:p>
    <w:p>
      <w:pPr>
        <w:pStyle w:val="TOC8"/>
        <w:rPr>
          <w:rFonts w:asciiTheme="minorHAnsi" w:eastAsiaTheme="minorEastAsia" w:hAnsiTheme="minorHAnsi" w:cstheme="minorBidi"/>
          <w:szCs w:val="22"/>
        </w:rPr>
      </w:pPr>
      <w:r>
        <w:lastRenderedPageBreak/>
        <w:t>12.</w:t>
      </w:r>
      <w:r>
        <w:tab/>
        <w:t xml:space="preserve">Annual directors’ report, specific matters </w:t>
      </w:r>
      <w:r>
        <w:rPr>
          <w:i/>
        </w:rPr>
        <w:t>(cf. Corporations Act s. 300)</w:t>
      </w:r>
      <w:r>
        <w:tab/>
      </w:r>
      <w:r>
        <w:fldChar w:fldCharType="begin"/>
      </w:r>
      <w:r>
        <w:instrText xml:space="preserve"> PAGEREF _Toc138412301 \h </w:instrText>
      </w:r>
      <w:r>
        <w:fldChar w:fldCharType="separate"/>
      </w:r>
      <w:r>
        <w:t>85</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_Toc138412302 \h </w:instrText>
      </w:r>
      <w:r>
        <w:fldChar w:fldCharType="separate"/>
      </w:r>
      <w:r>
        <w:t>87</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_Toc138412303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_Toc138412305 \h </w:instrText>
      </w:r>
      <w:r>
        <w:fldChar w:fldCharType="separate"/>
      </w:r>
      <w:r>
        <w:t>88</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_Toc138412306 \h </w:instrText>
      </w:r>
      <w:r>
        <w:fldChar w:fldCharType="separate"/>
      </w:r>
      <w:r>
        <w:t>89</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_Toc138412307 \h </w:instrText>
      </w:r>
      <w:r>
        <w:fldChar w:fldCharType="separate"/>
      </w:r>
      <w:r>
        <w:t>89</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_Toc138412308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_Toc138412310 \h </w:instrText>
      </w:r>
      <w:r>
        <w:fldChar w:fldCharType="separate"/>
      </w:r>
      <w:r>
        <w:t>90</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_Toc138412311 \h </w:instrText>
      </w:r>
      <w:r>
        <w:fldChar w:fldCharType="separate"/>
      </w:r>
      <w:r>
        <w:t>90</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_Toc138412312 \h </w:instrText>
      </w:r>
      <w:r>
        <w:fldChar w:fldCharType="separate"/>
      </w:r>
      <w:r>
        <w:t>91</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_Toc138412313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_Toc138412315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_Toc138412317 \h </w:instrText>
      </w:r>
      <w:r>
        <w:fldChar w:fldCharType="separate"/>
      </w:r>
      <w:r>
        <w:t>92</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_Toc138412318 \h </w:instrText>
      </w:r>
      <w:r>
        <w:fldChar w:fldCharType="separate"/>
      </w:r>
      <w:r>
        <w:t>92</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_Toc138412319 \h </w:instrText>
      </w:r>
      <w:r>
        <w:fldChar w:fldCharType="separate"/>
      </w:r>
      <w:r>
        <w:t>92</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_Toc138412320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3 </w:t>
      </w:r>
      <w:r>
        <w:rPr>
          <w:i/>
        </w:rPr>
        <w:t>(cf. Corporations Act s. 340)</w:t>
      </w:r>
      <w:r>
        <w:tab/>
      </w:r>
      <w:r>
        <w:fldChar w:fldCharType="begin"/>
      </w:r>
      <w:r>
        <w:instrText xml:space="preserve"> PAGEREF _Toc138412322 \h </w:instrText>
      </w:r>
      <w:r>
        <w:fldChar w:fldCharType="separate"/>
      </w:r>
      <w:r>
        <w:t>93</w:t>
      </w:r>
      <w:r>
        <w:fldChar w:fldCharType="end"/>
      </w:r>
    </w:p>
    <w:p>
      <w:pPr>
        <w:pStyle w:val="TOC8"/>
        <w:rPr>
          <w:rFonts w:asciiTheme="minorHAnsi" w:eastAsiaTheme="minorEastAsia" w:hAnsiTheme="minorHAnsi" w:cstheme="minorBidi"/>
          <w:szCs w:val="22"/>
        </w:rPr>
      </w:pPr>
      <w:r>
        <w:lastRenderedPageBreak/>
        <w:t>29.</w:t>
      </w:r>
      <w:r>
        <w:tab/>
        <w:t xml:space="preserve">Criteria for exemption under cl. 28 </w:t>
      </w:r>
      <w:r>
        <w:rPr>
          <w:i/>
        </w:rPr>
        <w:t>(cf. Corporations Act s. 342)</w:t>
      </w:r>
      <w:r>
        <w:tab/>
      </w:r>
      <w:r>
        <w:fldChar w:fldCharType="begin"/>
      </w:r>
      <w:r>
        <w:instrText xml:space="preserve"> PAGEREF _Toc138412323 \h </w:instrText>
      </w:r>
      <w:r>
        <w:fldChar w:fldCharType="separate"/>
      </w:r>
      <w:r>
        <w:t>94</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_Toc138412324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_Toc138412326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_Toc138412328 \h </w:instrText>
      </w:r>
      <w:r>
        <w:fldChar w:fldCharType="separate"/>
      </w:r>
      <w:r>
        <w:t>95</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_Toc138412329 \h </w:instrText>
      </w:r>
      <w:r>
        <w:fldChar w:fldCharType="separate"/>
      </w:r>
      <w:r>
        <w:t>96</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_Toc138412330 \h </w:instrText>
      </w:r>
      <w:r>
        <w:fldChar w:fldCharType="separate"/>
      </w:r>
      <w:r>
        <w:t>96</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_Toc138412331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_Toc138412333 \h </w:instrText>
      </w:r>
      <w:r>
        <w:fldChar w:fldCharType="separate"/>
      </w:r>
      <w:r>
        <w:t>98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_Toc138412334 \h </w:instrText>
      </w:r>
      <w:r>
        <w:fldChar w:fldCharType="separate"/>
      </w:r>
      <w:r>
        <w:t>98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_Toc138412335 \h </w:instrText>
      </w:r>
      <w:r>
        <w:fldChar w:fldCharType="separate"/>
      </w:r>
      <w:r>
        <w:t>98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_Toc138412336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relating to </w:t>
      </w:r>
      <w:r>
        <w:rPr>
          <w:i/>
        </w:rPr>
        <w:t>Water Services Legislation Amendment and Repeal Act 2012</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_Toc138412340 \h </w:instrText>
      </w:r>
      <w:r>
        <w:fldChar w:fldCharType="separate"/>
      </w:r>
      <w:r>
        <w:t>100</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_Toc138412341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_Toc138412343 \h </w:instrText>
      </w:r>
      <w:r>
        <w:fldChar w:fldCharType="separate"/>
      </w:r>
      <w:r>
        <w:t>101</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_Toc138412344 \h </w:instrText>
      </w:r>
      <w:r>
        <w:fldChar w:fldCharType="separate"/>
      </w:r>
      <w:r>
        <w:t>102</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_Toc138412345 \h </w:instrText>
      </w:r>
      <w:r>
        <w:fldChar w:fldCharType="separate"/>
      </w:r>
      <w:r>
        <w:t>102</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_Toc138412346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7.</w:t>
      </w:r>
      <w:r>
        <w:tab/>
        <w:t xml:space="preserve">Supply of water to Water Corporation under </w:t>
      </w:r>
      <w:r>
        <w:rPr>
          <w:i/>
          <w:iCs/>
        </w:rPr>
        <w:t>Busselton Water Board (Supply of Water to Dunsborough) Act 2009</w:t>
      </w:r>
      <w:r>
        <w:tab/>
      </w:r>
      <w:r>
        <w:fldChar w:fldCharType="begin"/>
      </w:r>
      <w:r>
        <w:instrText xml:space="preserve"> PAGEREF _Toc138412347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Subdivision 3 — 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_Toc138412349 \h </w:instrText>
      </w:r>
      <w:r>
        <w:fldChar w:fldCharType="separate"/>
      </w:r>
      <w:r>
        <w:t>104</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_Toc138412350 \h </w:instrText>
      </w:r>
      <w:r>
        <w:fldChar w:fldCharType="separate"/>
      </w:r>
      <w:r>
        <w:t>104</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_Toc138412351 \h </w:instrText>
      </w:r>
      <w:r>
        <w:fldChar w:fldCharType="separate"/>
      </w:r>
      <w:r>
        <w:t>105</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_Toc138412352 \h </w:instrText>
      </w:r>
      <w:r>
        <w:fldChar w:fldCharType="separate"/>
      </w:r>
      <w:r>
        <w:t>105</w:t>
      </w:r>
      <w:r>
        <w:fldChar w:fldCharType="end"/>
      </w:r>
    </w:p>
    <w:p>
      <w:pPr>
        <w:pStyle w:val="TOC8"/>
        <w:rPr>
          <w:rFonts w:asciiTheme="minorHAnsi" w:eastAsiaTheme="minorEastAsia" w:hAnsiTheme="minorHAnsi" w:cstheme="minorBidi"/>
          <w:szCs w:val="22"/>
        </w:rPr>
      </w:pPr>
      <w:r>
        <w:t>12.</w:t>
      </w:r>
      <w:r>
        <w:tab/>
        <w:t>Arrangements for return to Public Sector</w:t>
      </w:r>
      <w:r>
        <w:tab/>
      </w:r>
      <w:r>
        <w:fldChar w:fldCharType="begin"/>
      </w:r>
      <w:r>
        <w:instrText xml:space="preserve"> PAGEREF _Toc138412353 \h </w:instrText>
      </w:r>
      <w:r>
        <w:fldChar w:fldCharType="separate"/>
      </w:r>
      <w:r>
        <w:t>106</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_Toc138412354 \h </w:instrText>
      </w:r>
      <w:r>
        <w:fldChar w:fldCharType="separate"/>
      </w:r>
      <w:r>
        <w:t>107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_Toc138412356 \h </w:instrText>
      </w:r>
      <w:r>
        <w:fldChar w:fldCharType="separate"/>
      </w:r>
      <w:r>
        <w:t>107</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_Toc138412357 \h </w:instrText>
      </w:r>
      <w:r>
        <w:fldChar w:fldCharType="separate"/>
      </w:r>
      <w:r>
        <w:t>107</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_Toc138412358 \h </w:instrText>
      </w:r>
      <w:r>
        <w:fldChar w:fldCharType="separate"/>
      </w:r>
      <w:r>
        <w:t>107</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_Toc138412359 \h </w:instrText>
      </w:r>
      <w:r>
        <w:fldChar w:fldCharType="separate"/>
      </w:r>
      <w:r>
        <w:t>108</w:t>
      </w:r>
      <w:r>
        <w:fldChar w:fldCharType="end"/>
      </w:r>
    </w:p>
    <w:p>
      <w:pPr>
        <w:pStyle w:val="TOC8"/>
        <w:rPr>
          <w:rFonts w:asciiTheme="minorHAnsi" w:eastAsiaTheme="minorEastAsia" w:hAnsiTheme="minorHAnsi" w:cstheme="minorBidi"/>
          <w:szCs w:val="22"/>
        </w:rPr>
      </w:pPr>
      <w:r>
        <w:t>18.</w:t>
      </w:r>
      <w:r>
        <w:tab/>
        <w:t>Payments to State under Part 5 Div. 2</w:t>
      </w:r>
      <w:r>
        <w:tab/>
      </w:r>
      <w:r>
        <w:fldChar w:fldCharType="begin"/>
      </w:r>
      <w:r>
        <w:instrText xml:space="preserve"> PAGEREF _Toc138412360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_Toc138412362 \h </w:instrText>
      </w:r>
      <w:r>
        <w:fldChar w:fldCharType="separate"/>
      </w:r>
      <w:r>
        <w:t>108</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_Toc138412363 \h </w:instrText>
      </w:r>
      <w:r>
        <w:fldChar w:fldCharType="separate"/>
      </w:r>
      <w:r>
        <w:t>109</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_Toc138412364 \h </w:instrText>
      </w:r>
      <w:r>
        <w:fldChar w:fldCharType="separate"/>
      </w:r>
      <w:r>
        <w:t>109</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_Toc138412365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_Toc138412367 \h </w:instrText>
      </w:r>
      <w:r>
        <w:fldChar w:fldCharType="separate"/>
      </w:r>
      <w:r>
        <w:t>111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_Toc138412368 \h </w:instrText>
      </w:r>
      <w:r>
        <w:fldChar w:fldCharType="separate"/>
      </w:r>
      <w:r>
        <w:t>113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_Toc138412369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No. 25 of 2012 s. 111.]</w:t>
      </w:r>
    </w:p>
    <w:p>
      <w:pPr>
        <w:pStyle w:val="Heading2"/>
      </w:pPr>
      <w:bookmarkStart w:id="3" w:name="_Toc138409304"/>
      <w:bookmarkStart w:id="4" w:name="_Toc138409671"/>
      <w:bookmarkStart w:id="5" w:name="_Toc138412129"/>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38412130"/>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w:t>
      </w:r>
    </w:p>
    <w:p>
      <w:pPr>
        <w:pStyle w:val="Footnotesection"/>
      </w:pPr>
      <w:r>
        <w:tab/>
        <w:t>[Section 1 amended: No. 25 of 2012 s. 112.]</w:t>
      </w:r>
    </w:p>
    <w:p>
      <w:pPr>
        <w:pStyle w:val="Heading5"/>
        <w:rPr>
          <w:snapToGrid w:val="0"/>
        </w:rPr>
      </w:pPr>
      <w:bookmarkStart w:id="7" w:name="_Toc138412131"/>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w:t>
      </w:r>
    </w:p>
    <w:p>
      <w:pPr>
        <w:pStyle w:val="Heading5"/>
        <w:rPr>
          <w:snapToGrid w:val="0"/>
        </w:rPr>
      </w:pPr>
      <w:bookmarkStart w:id="8" w:name="_Toc138412132"/>
      <w:r>
        <w:rPr>
          <w:rStyle w:val="CharSectno"/>
        </w:rPr>
        <w:t>3</w:t>
      </w:r>
      <w:r>
        <w:rPr>
          <w:snapToGrid w:val="0"/>
        </w:rPr>
        <w:t>.</w:t>
      </w:r>
      <w:r>
        <w:rPr>
          <w:snapToGrid w:val="0"/>
        </w:rPr>
        <w:tab/>
        <w:t>Terms used</w:t>
      </w:r>
      <w:bookmarkEnd w:id="8"/>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lastRenderedPageBreak/>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lastRenderedPageBreak/>
        <w:tab/>
        <w:t>[Section 3 amended: No. 10 of 2001 s. 205; No. 74 of 2003 s. 127(2); No. 8 of 2009 s. 132(2) and (3); No. 39 of 2010 s. 87(2); No. 25 of 2012 s. 113.]</w:t>
      </w:r>
    </w:p>
    <w:p>
      <w:pPr>
        <w:pStyle w:val="Heading2"/>
      </w:pPr>
      <w:bookmarkStart w:id="9" w:name="_Toc138409308"/>
      <w:bookmarkStart w:id="10" w:name="_Toc138409675"/>
      <w:bookmarkStart w:id="11" w:name="_Toc138412133"/>
      <w:r>
        <w:rPr>
          <w:rStyle w:val="CharPartNo"/>
        </w:rPr>
        <w:lastRenderedPageBreak/>
        <w:t>Part 2</w:t>
      </w:r>
      <w:r>
        <w:t> — </w:t>
      </w:r>
      <w:r>
        <w:rPr>
          <w:rStyle w:val="CharPartText"/>
        </w:rPr>
        <w:t>Water corporations</w:t>
      </w:r>
      <w:bookmarkEnd w:id="9"/>
      <w:bookmarkEnd w:id="10"/>
      <w:bookmarkEnd w:id="11"/>
    </w:p>
    <w:p>
      <w:pPr>
        <w:pStyle w:val="Footnoteheading"/>
      </w:pPr>
      <w:r>
        <w:tab/>
        <w:t>[Heading amended: No. 25 of 2012 s. 190.]</w:t>
      </w:r>
    </w:p>
    <w:p>
      <w:pPr>
        <w:pStyle w:val="Heading3"/>
        <w:rPr>
          <w:snapToGrid w:val="0"/>
        </w:rPr>
      </w:pPr>
      <w:bookmarkStart w:id="12" w:name="_Toc138409309"/>
      <w:bookmarkStart w:id="13" w:name="_Toc138409676"/>
      <w:bookmarkStart w:id="14" w:name="_Toc138412134"/>
      <w:r>
        <w:rPr>
          <w:rStyle w:val="CharDivNo"/>
        </w:rPr>
        <w:t>Division 1</w:t>
      </w:r>
      <w:r>
        <w:rPr>
          <w:snapToGrid w:val="0"/>
        </w:rPr>
        <w:t> — </w:t>
      </w:r>
      <w:r>
        <w:rPr>
          <w:rStyle w:val="CharDivText"/>
        </w:rPr>
        <w:t>Establishment of water corporations</w:t>
      </w:r>
      <w:bookmarkEnd w:id="12"/>
      <w:bookmarkEnd w:id="13"/>
      <w:bookmarkEnd w:id="14"/>
    </w:p>
    <w:p>
      <w:pPr>
        <w:pStyle w:val="Footnoteheading"/>
      </w:pPr>
      <w:r>
        <w:tab/>
        <w:t>[Heading amended: No. 25 of 2012 s. 190.]</w:t>
      </w:r>
    </w:p>
    <w:p>
      <w:pPr>
        <w:pStyle w:val="Heading5"/>
        <w:rPr>
          <w:snapToGrid w:val="0"/>
        </w:rPr>
      </w:pPr>
      <w:bookmarkStart w:id="15" w:name="_Toc138412135"/>
      <w:r>
        <w:rPr>
          <w:rStyle w:val="CharSectno"/>
        </w:rPr>
        <w:t>4</w:t>
      </w:r>
      <w:r>
        <w:rPr>
          <w:snapToGrid w:val="0"/>
        </w:rPr>
        <w:t>.</w:t>
      </w:r>
      <w:r>
        <w:rPr>
          <w:snapToGrid w:val="0"/>
        </w:rPr>
        <w:tab/>
        <w:t>Water corporations established</w:t>
      </w:r>
      <w:bookmarkEnd w:id="15"/>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No. 25 of 2012 s. 114.]</w:t>
      </w:r>
    </w:p>
    <w:p>
      <w:pPr>
        <w:pStyle w:val="Heading5"/>
      </w:pPr>
      <w:bookmarkStart w:id="16" w:name="_Toc138412136"/>
      <w:r>
        <w:rPr>
          <w:rStyle w:val="CharSectno"/>
        </w:rPr>
        <w:t>5A</w:t>
      </w:r>
      <w:r>
        <w:t>.</w:t>
      </w:r>
      <w:r>
        <w:tab/>
        <w:t>Nature of corporations</w:t>
      </w:r>
      <w:bookmarkEnd w:id="16"/>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No. 25 of 2012 s. 115.]</w:t>
      </w:r>
    </w:p>
    <w:p>
      <w:pPr>
        <w:pStyle w:val="Heading5"/>
        <w:rPr>
          <w:snapToGrid w:val="0"/>
        </w:rPr>
      </w:pPr>
      <w:bookmarkStart w:id="17" w:name="_Toc138412137"/>
      <w:r>
        <w:rPr>
          <w:rStyle w:val="CharSectno"/>
        </w:rPr>
        <w:lastRenderedPageBreak/>
        <w:t>5</w:t>
      </w:r>
      <w:r>
        <w:rPr>
          <w:snapToGrid w:val="0"/>
        </w:rPr>
        <w:t>.</w:t>
      </w:r>
      <w:r>
        <w:rPr>
          <w:snapToGrid w:val="0"/>
        </w:rPr>
        <w:tab/>
        <w:t>Corporations not agents of Crown</w:t>
      </w:r>
      <w:bookmarkEnd w:id="17"/>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No. 25 of 2012 s. 190.]</w:t>
      </w:r>
    </w:p>
    <w:p>
      <w:pPr>
        <w:pStyle w:val="Heading5"/>
        <w:rPr>
          <w:snapToGrid w:val="0"/>
        </w:rPr>
      </w:pPr>
      <w:bookmarkStart w:id="18" w:name="_Toc138412138"/>
      <w:r>
        <w:rPr>
          <w:rStyle w:val="CharSectno"/>
        </w:rPr>
        <w:t>6</w:t>
      </w:r>
      <w:r>
        <w:rPr>
          <w:snapToGrid w:val="0"/>
        </w:rPr>
        <w:t>.</w:t>
      </w:r>
      <w:r>
        <w:rPr>
          <w:snapToGrid w:val="0"/>
        </w:rPr>
        <w:tab/>
        <w:t>Corporations and officers not part of public sector</w:t>
      </w:r>
      <w:bookmarkEnd w:id="18"/>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No. 25 of 2012 s. 116 and 190.]</w:t>
      </w:r>
    </w:p>
    <w:p>
      <w:pPr>
        <w:pStyle w:val="Heading5"/>
      </w:pPr>
      <w:bookmarkStart w:id="19" w:name="_Toc138412139"/>
      <w:r>
        <w:rPr>
          <w:rStyle w:val="CharSectno"/>
        </w:rPr>
        <w:t>7A</w:t>
      </w:r>
      <w:r>
        <w:t>.</w:t>
      </w:r>
      <w:r>
        <w:tab/>
        <w:t>Dissolution of bodies established by Governor</w:t>
      </w:r>
      <w:bookmarkEnd w:id="19"/>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 xml:space="preserve">proceedings and remedies that might have been commenced by, or available to or against, the body </w:t>
      </w:r>
      <w:r>
        <w:lastRenderedPageBreak/>
        <w:t>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No. 25 of 2012 s. 117.]</w:t>
      </w:r>
    </w:p>
    <w:p>
      <w:pPr>
        <w:pStyle w:val="Heading3"/>
        <w:rPr>
          <w:snapToGrid w:val="0"/>
        </w:rPr>
      </w:pPr>
      <w:bookmarkStart w:id="20" w:name="_Toc138409315"/>
      <w:bookmarkStart w:id="21" w:name="_Toc138409682"/>
      <w:bookmarkStart w:id="22" w:name="_Toc138412140"/>
      <w:r>
        <w:rPr>
          <w:rStyle w:val="CharDivNo"/>
        </w:rPr>
        <w:t>Division 2</w:t>
      </w:r>
      <w:r>
        <w:rPr>
          <w:snapToGrid w:val="0"/>
        </w:rPr>
        <w:t> — </w:t>
      </w:r>
      <w:r>
        <w:rPr>
          <w:rStyle w:val="CharDivText"/>
        </w:rPr>
        <w:t>Boards of directors</w:t>
      </w:r>
      <w:bookmarkEnd w:id="20"/>
      <w:bookmarkEnd w:id="21"/>
      <w:bookmarkEnd w:id="22"/>
      <w:r>
        <w:rPr>
          <w:rStyle w:val="CharDivText"/>
        </w:rPr>
        <w:t xml:space="preserve"> </w:t>
      </w:r>
    </w:p>
    <w:p>
      <w:pPr>
        <w:pStyle w:val="Footnoteheading"/>
        <w:spacing w:before="100"/>
      </w:pPr>
      <w:r>
        <w:tab/>
        <w:t>[Heading amended: No. 25 of 2012 s. 190.]</w:t>
      </w:r>
    </w:p>
    <w:p>
      <w:pPr>
        <w:pStyle w:val="Heading5"/>
        <w:rPr>
          <w:snapToGrid w:val="0"/>
        </w:rPr>
      </w:pPr>
      <w:bookmarkStart w:id="23" w:name="_Toc138412141"/>
      <w:r>
        <w:rPr>
          <w:rStyle w:val="CharSectno"/>
        </w:rPr>
        <w:t>7</w:t>
      </w:r>
      <w:r>
        <w:rPr>
          <w:snapToGrid w:val="0"/>
        </w:rPr>
        <w:t>.</w:t>
      </w:r>
      <w:r>
        <w:rPr>
          <w:snapToGrid w:val="0"/>
        </w:rPr>
        <w:tab/>
        <w:t>Board of directors</w:t>
      </w:r>
      <w:bookmarkEnd w:id="23"/>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lastRenderedPageBreak/>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lastRenderedPageBreak/>
        <w:tab/>
        <w:t>(b)</w:t>
      </w:r>
      <w:r>
        <w:rPr>
          <w:snapToGrid w:val="0"/>
        </w:rPr>
        <w:tab/>
        <w:t>where the nominee was recommended by the board under subsection (3).</w:t>
      </w:r>
    </w:p>
    <w:p>
      <w:pPr>
        <w:pStyle w:val="Footnotesection"/>
      </w:pPr>
      <w:r>
        <w:tab/>
        <w:t>[Section 7 amended: No. 38 of 2007 s. 137; No. 25 of 2012 s. 118 and 190.]</w:t>
      </w:r>
    </w:p>
    <w:p>
      <w:pPr>
        <w:pStyle w:val="Heading5"/>
        <w:rPr>
          <w:snapToGrid w:val="0"/>
        </w:rPr>
      </w:pPr>
      <w:bookmarkStart w:id="24" w:name="_Toc138412142"/>
      <w:r>
        <w:rPr>
          <w:rStyle w:val="CharSectno"/>
        </w:rPr>
        <w:t>8</w:t>
      </w:r>
      <w:r>
        <w:rPr>
          <w:snapToGrid w:val="0"/>
        </w:rPr>
        <w:t>.</w:t>
      </w:r>
      <w:r>
        <w:rPr>
          <w:snapToGrid w:val="0"/>
        </w:rPr>
        <w:tab/>
        <w:t>Functions of board</w:t>
      </w:r>
      <w:bookmarkEnd w:id="2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No. 25 of 2012 s. 190.]</w:t>
      </w:r>
    </w:p>
    <w:p>
      <w:pPr>
        <w:pStyle w:val="Heading5"/>
        <w:rPr>
          <w:snapToGrid w:val="0"/>
        </w:rPr>
      </w:pPr>
      <w:bookmarkStart w:id="25" w:name="_Toc138412143"/>
      <w:r>
        <w:rPr>
          <w:rStyle w:val="CharSectno"/>
        </w:rPr>
        <w:t>9</w:t>
      </w:r>
      <w:r>
        <w:rPr>
          <w:snapToGrid w:val="0"/>
        </w:rPr>
        <w:t>.</w:t>
      </w:r>
      <w:r>
        <w:rPr>
          <w:snapToGrid w:val="0"/>
        </w:rPr>
        <w:tab/>
        <w:t>Board’s constitution and proceedings (Sch. 1)</w:t>
      </w:r>
      <w:bookmarkEnd w:id="25"/>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No. 25 of 2012 s. 190.]</w:t>
      </w:r>
    </w:p>
    <w:p>
      <w:pPr>
        <w:pStyle w:val="Heading5"/>
        <w:keepNext w:val="0"/>
        <w:keepLines w:val="0"/>
        <w:rPr>
          <w:snapToGrid w:val="0"/>
        </w:rPr>
      </w:pPr>
      <w:bookmarkStart w:id="26" w:name="_Toc138412144"/>
      <w:r>
        <w:rPr>
          <w:rStyle w:val="CharSectno"/>
        </w:rPr>
        <w:t>10</w:t>
      </w:r>
      <w:r>
        <w:rPr>
          <w:snapToGrid w:val="0"/>
        </w:rPr>
        <w:t>.</w:t>
      </w:r>
      <w:r>
        <w:rPr>
          <w:snapToGrid w:val="0"/>
        </w:rPr>
        <w:tab/>
        <w:t>Remuneration of non-executive directors</w:t>
      </w:r>
      <w:bookmarkEnd w:id="26"/>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No. 25 of 2012 s. 119.]</w:t>
      </w:r>
    </w:p>
    <w:p>
      <w:pPr>
        <w:pStyle w:val="Heading5"/>
        <w:rPr>
          <w:snapToGrid w:val="0"/>
        </w:rPr>
      </w:pPr>
      <w:bookmarkStart w:id="27" w:name="_Toc138412145"/>
      <w:r>
        <w:rPr>
          <w:rStyle w:val="CharSectno"/>
        </w:rPr>
        <w:t>11</w:t>
      </w:r>
      <w:r>
        <w:rPr>
          <w:snapToGrid w:val="0"/>
        </w:rPr>
        <w:t>.</w:t>
      </w:r>
      <w:r>
        <w:rPr>
          <w:snapToGrid w:val="0"/>
        </w:rPr>
        <w:tab/>
        <w:t>Conflict of duties</w:t>
      </w:r>
      <w:bookmarkEnd w:id="27"/>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lastRenderedPageBreak/>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No. 25 of 2012 s. 190.]</w:t>
      </w:r>
    </w:p>
    <w:p>
      <w:pPr>
        <w:pStyle w:val="Heading5"/>
        <w:rPr>
          <w:snapToGrid w:val="0"/>
        </w:rPr>
      </w:pPr>
      <w:bookmarkStart w:id="28" w:name="_Toc138412146"/>
      <w:r>
        <w:rPr>
          <w:rStyle w:val="CharSectno"/>
        </w:rPr>
        <w:t>12</w:t>
      </w:r>
      <w:r>
        <w:rPr>
          <w:snapToGrid w:val="0"/>
        </w:rPr>
        <w:t>.</w:t>
      </w:r>
      <w:r>
        <w:rPr>
          <w:snapToGrid w:val="0"/>
        </w:rPr>
        <w:tab/>
        <w:t>Committees</w:t>
      </w:r>
      <w:bookmarkEnd w:id="2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No. 25 of 2012 s. 190.]</w:t>
      </w:r>
    </w:p>
    <w:p>
      <w:pPr>
        <w:pStyle w:val="Heading3"/>
        <w:rPr>
          <w:snapToGrid w:val="0"/>
        </w:rPr>
      </w:pPr>
      <w:bookmarkStart w:id="29" w:name="_Toc138409322"/>
      <w:bookmarkStart w:id="30" w:name="_Toc138409689"/>
      <w:bookmarkStart w:id="31" w:name="_Toc138412147"/>
      <w:r>
        <w:rPr>
          <w:rStyle w:val="CharDivNo"/>
        </w:rPr>
        <w:t>Division 3</w:t>
      </w:r>
      <w:r>
        <w:rPr>
          <w:snapToGrid w:val="0"/>
        </w:rPr>
        <w:t> — </w:t>
      </w:r>
      <w:r>
        <w:rPr>
          <w:rStyle w:val="CharDivText"/>
        </w:rPr>
        <w:t>Staff</w:t>
      </w:r>
      <w:bookmarkEnd w:id="29"/>
      <w:bookmarkEnd w:id="30"/>
      <w:bookmarkEnd w:id="31"/>
      <w:r>
        <w:rPr>
          <w:rStyle w:val="CharDivText"/>
        </w:rPr>
        <w:t xml:space="preserve"> </w:t>
      </w:r>
    </w:p>
    <w:p>
      <w:pPr>
        <w:pStyle w:val="Heading5"/>
        <w:spacing w:before="180"/>
        <w:rPr>
          <w:snapToGrid w:val="0"/>
        </w:rPr>
      </w:pPr>
      <w:bookmarkStart w:id="32" w:name="_Toc138412148"/>
      <w:r>
        <w:rPr>
          <w:rStyle w:val="CharSectno"/>
        </w:rPr>
        <w:t>13</w:t>
      </w:r>
      <w:r>
        <w:rPr>
          <w:snapToGrid w:val="0"/>
        </w:rPr>
        <w:t>.</w:t>
      </w:r>
      <w:r>
        <w:rPr>
          <w:snapToGrid w:val="0"/>
        </w:rPr>
        <w:tab/>
        <w:t>Chief executive officer</w:t>
      </w:r>
      <w:bookmarkEnd w:id="32"/>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lastRenderedPageBreak/>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r>
      <w:r>
        <w:t xml:space="preserve">subject to sections 14A and 14B, </w:t>
      </w:r>
      <w:r>
        <w:rPr>
          <w:snapToGrid w:val="0"/>
        </w:rPr>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tab/>
        <w:t>(4A)</w:t>
      </w:r>
      <w:r>
        <w:tab/>
        <w:t>Subsection (3) does not apply to the exercise by the board of the power to determine or set remuneration to which section 14A or 14B applies.</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No. 10 of 1998 s. 73(1); No. 25 of 2012 s. 120 and 190; No. 46 of 2016 s. 29.]</w:t>
      </w:r>
    </w:p>
    <w:p>
      <w:pPr>
        <w:pStyle w:val="Heading5"/>
      </w:pPr>
      <w:bookmarkStart w:id="33" w:name="_Toc138412149"/>
      <w:r>
        <w:rPr>
          <w:rStyle w:val="CharSectno"/>
        </w:rPr>
        <w:t>14A</w:t>
      </w:r>
      <w:r>
        <w:t>.</w:t>
      </w:r>
      <w:r>
        <w:tab/>
        <w:t>Remuneration of chief executive officer while corporation is not a Government entity</w:t>
      </w:r>
      <w:bookmarkEnd w:id="33"/>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lastRenderedPageBreak/>
        <w:tab/>
        <w:t>(2)</w:t>
      </w:r>
      <w:r>
        <w:tab/>
        <w:t xml:space="preserve">This section applies when the corporation to which it relates is not a Government entity as defined in the </w:t>
      </w:r>
      <w:r>
        <w:rPr>
          <w:i/>
        </w:rPr>
        <w:t>Salaries and Allowances Act 1975</w:t>
      </w:r>
      <w:r>
        <w:t xml:space="preserve"> section 7C(1).</w:t>
      </w:r>
    </w:p>
    <w:p>
      <w:pPr>
        <w:pStyle w:val="Subsection"/>
      </w:pPr>
      <w:r>
        <w:tab/>
        <w:t>(3)</w:t>
      </w:r>
      <w:r>
        <w:tab/>
        <w:t>The remuneration, including any variation to the remuneration, of the chief executive officer of a corporation is to be determined by the board on the recommendation of the Minister.</w:t>
      </w:r>
    </w:p>
    <w:p>
      <w:pPr>
        <w:pStyle w:val="Subsection"/>
      </w:pPr>
      <w:r>
        <w:tab/>
        <w:t>(4)</w:t>
      </w:r>
      <w:r>
        <w:tab/>
        <w:t xml:space="preserve">Subsection (3) — </w:t>
      </w:r>
    </w:p>
    <w:p>
      <w:pPr>
        <w:pStyle w:val="Indenta"/>
      </w:pPr>
      <w:r>
        <w:tab/>
        <w:t>(a)</w:t>
      </w:r>
      <w:r>
        <w:tab/>
        <w:t xml:space="preserve">applies regardless of whether the chief executive officer was appointed on, before or after the day on which the </w:t>
      </w:r>
      <w:r>
        <w:rPr>
          <w:i/>
        </w:rPr>
        <w:t>Executive Officer Remuneration (Government Entities) Legislation Amendment Act 2016</w:t>
      </w:r>
      <w:r>
        <w:t xml:space="preserve"> Part 3 comes into operation; but</w:t>
      </w:r>
    </w:p>
    <w:p>
      <w:pPr>
        <w:pStyle w:val="Indenta"/>
      </w:pPr>
      <w:r>
        <w:tab/>
        <w:t>(b)</w:t>
      </w:r>
      <w:r>
        <w:tab/>
        <w:t>does not require the board to re</w:t>
      </w:r>
      <w:r>
        <w:noBreakHyphen/>
        <w:t>determine the remuneration of the person who, immediately before that day, holds office as the corporation’s chief executive officer.</w:t>
      </w:r>
    </w:p>
    <w:p>
      <w:pPr>
        <w:pStyle w:val="Footnotesection"/>
      </w:pPr>
      <w:r>
        <w:tab/>
        <w:t>[Section 14A inserted: No. 46 of 2016 s. 30.]</w:t>
      </w:r>
    </w:p>
    <w:p>
      <w:pPr>
        <w:pStyle w:val="Heading5"/>
      </w:pPr>
      <w:bookmarkStart w:id="34" w:name="_Toc138412150"/>
      <w:r>
        <w:rPr>
          <w:rStyle w:val="CharSectno"/>
        </w:rPr>
        <w:t>14B</w:t>
      </w:r>
      <w:r>
        <w:t>.</w:t>
      </w:r>
      <w:r>
        <w:tab/>
        <w:t>Remuneration of chief executive officer while corporation is a Government entity</w:t>
      </w:r>
      <w:bookmarkEnd w:id="34"/>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 xml:space="preserve">This section applies when the corporation to which it relates is a Government entity as defined in the </w:t>
      </w:r>
      <w:r>
        <w:rPr>
          <w:i/>
        </w:rPr>
        <w:t>Salaries and Allowances Act 1975</w:t>
      </w:r>
      <w:r>
        <w:t xml:space="preserve"> section 7C(1).</w:t>
      </w:r>
    </w:p>
    <w:p>
      <w:pPr>
        <w:pStyle w:val="Subsection"/>
      </w:pPr>
      <w:r>
        <w:tab/>
        <w:t>(3)</w:t>
      </w:r>
      <w:r>
        <w:tab/>
        <w:t xml:space="preserve">The remuneration of the chief executive officer of a corporation who is an executive officer, as defined in the </w:t>
      </w:r>
      <w:r>
        <w:rPr>
          <w:i/>
        </w:rPr>
        <w:t>Salaries and Allowances Act 1975</w:t>
      </w:r>
      <w:r>
        <w:t xml:space="preserve"> section 7C(1), is to be set by the board within the range determined by the Salaries and Allowances Tribunal under section 7C(2) of that Act.</w:t>
      </w:r>
    </w:p>
    <w:p>
      <w:pPr>
        <w:pStyle w:val="Subsection"/>
      </w:pPr>
      <w:r>
        <w:lastRenderedPageBreak/>
        <w:tab/>
        <w:t>(4)</w:t>
      </w:r>
      <w:r>
        <w:tab/>
        <w:t xml:space="preserve">Any variation to the remuneration of the chief executive officer of a corporation who, because of the </w:t>
      </w:r>
      <w:r>
        <w:rPr>
          <w:i/>
        </w:rPr>
        <w:t>Salaries and Allowances Act 1975</w:t>
      </w:r>
      <w:r>
        <w:t xml:space="preserve"> section 7C(4) is not an executive officer as defined in section 7C(1) of that Act, is to be determined by the board on the recommendation of the Minister.</w:t>
      </w:r>
    </w:p>
    <w:p>
      <w:pPr>
        <w:pStyle w:val="Footnotesection"/>
      </w:pPr>
      <w:r>
        <w:tab/>
        <w:t>[Section 14B inserted: No. 46 of 2016 s. 30.]</w:t>
      </w:r>
    </w:p>
    <w:p>
      <w:pPr>
        <w:pStyle w:val="Heading5"/>
        <w:rPr>
          <w:snapToGrid w:val="0"/>
        </w:rPr>
      </w:pPr>
      <w:bookmarkStart w:id="35" w:name="_Toc138412151"/>
      <w:r>
        <w:rPr>
          <w:rStyle w:val="CharSectno"/>
        </w:rPr>
        <w:t>14</w:t>
      </w:r>
      <w:r>
        <w:rPr>
          <w:snapToGrid w:val="0"/>
        </w:rPr>
        <w:t>.</w:t>
      </w:r>
      <w:r>
        <w:rPr>
          <w:snapToGrid w:val="0"/>
        </w:rPr>
        <w:tab/>
        <w:t>Role of chief executive officer</w:t>
      </w:r>
      <w:bookmarkEnd w:id="35"/>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No. 25 of 2012 s. 190.]</w:t>
      </w:r>
    </w:p>
    <w:p>
      <w:pPr>
        <w:pStyle w:val="Heading5"/>
        <w:keepNext w:val="0"/>
        <w:keepLines w:val="0"/>
        <w:rPr>
          <w:snapToGrid w:val="0"/>
        </w:rPr>
      </w:pPr>
      <w:bookmarkStart w:id="36" w:name="_Toc138412152"/>
      <w:r>
        <w:rPr>
          <w:rStyle w:val="CharSectno"/>
        </w:rPr>
        <w:t>15</w:t>
      </w:r>
      <w:r>
        <w:rPr>
          <w:snapToGrid w:val="0"/>
        </w:rPr>
        <w:t>.</w:t>
      </w:r>
      <w:r>
        <w:rPr>
          <w:snapToGrid w:val="0"/>
        </w:rPr>
        <w:tab/>
        <w:t>Staff</w:t>
      </w:r>
      <w:bookmarkEnd w:id="36"/>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No. 20 of 2002 s. 27; Gazette 15 Aug 2003 p. 3692; No. 25 of 2012 s. 121 and 190.]</w:t>
      </w:r>
    </w:p>
    <w:p>
      <w:pPr>
        <w:pStyle w:val="Heading5"/>
        <w:spacing w:before="260"/>
        <w:rPr>
          <w:snapToGrid w:val="0"/>
        </w:rPr>
      </w:pPr>
      <w:bookmarkStart w:id="37" w:name="_Toc138412153"/>
      <w:r>
        <w:rPr>
          <w:rStyle w:val="CharSectno"/>
        </w:rPr>
        <w:lastRenderedPageBreak/>
        <w:t>16</w:t>
      </w:r>
      <w:r>
        <w:rPr>
          <w:snapToGrid w:val="0"/>
        </w:rPr>
        <w:t>.</w:t>
      </w:r>
      <w:r>
        <w:rPr>
          <w:snapToGrid w:val="0"/>
        </w:rPr>
        <w:tab/>
        <w:t>Minimum standards for staff management</w:t>
      </w:r>
      <w:bookmarkEnd w:id="37"/>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No. 39 of 2010 s. 87(3); No. 25 of 2012 s. 190.]</w:t>
      </w:r>
    </w:p>
    <w:p>
      <w:pPr>
        <w:pStyle w:val="Heading5"/>
        <w:rPr>
          <w:snapToGrid w:val="0"/>
        </w:rPr>
      </w:pPr>
      <w:bookmarkStart w:id="38" w:name="_Toc138412154"/>
      <w:r>
        <w:rPr>
          <w:rStyle w:val="CharSectno"/>
        </w:rPr>
        <w:t>17</w:t>
      </w:r>
      <w:r>
        <w:rPr>
          <w:snapToGrid w:val="0"/>
        </w:rPr>
        <w:t>.</w:t>
      </w:r>
      <w:r>
        <w:rPr>
          <w:snapToGrid w:val="0"/>
        </w:rPr>
        <w:tab/>
        <w:t>Reports to Public Sector Commissioner</w:t>
      </w:r>
      <w:bookmarkEnd w:id="38"/>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lastRenderedPageBreak/>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No. 39 of 2010 s. 87(3); No. 25 of 2012 s. 190.]</w:t>
      </w:r>
    </w:p>
    <w:p>
      <w:pPr>
        <w:pStyle w:val="Heading5"/>
        <w:rPr>
          <w:snapToGrid w:val="0"/>
        </w:rPr>
      </w:pPr>
      <w:bookmarkStart w:id="39" w:name="_Toc138412155"/>
      <w:r>
        <w:rPr>
          <w:rStyle w:val="CharSectno"/>
        </w:rPr>
        <w:t>18</w:t>
      </w:r>
      <w:r>
        <w:rPr>
          <w:snapToGrid w:val="0"/>
        </w:rPr>
        <w:t>.</w:t>
      </w:r>
      <w:r>
        <w:rPr>
          <w:snapToGrid w:val="0"/>
        </w:rPr>
        <w:tab/>
        <w:t>Designation of executive officers</w:t>
      </w:r>
      <w:bookmarkEnd w:id="39"/>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No. 25 of 2012 s. 190.]</w:t>
      </w:r>
    </w:p>
    <w:p>
      <w:pPr>
        <w:pStyle w:val="Heading5"/>
        <w:rPr>
          <w:snapToGrid w:val="0"/>
        </w:rPr>
      </w:pPr>
      <w:bookmarkStart w:id="40" w:name="_Toc138412156"/>
      <w:r>
        <w:rPr>
          <w:rStyle w:val="CharSectno"/>
        </w:rPr>
        <w:t>19</w:t>
      </w:r>
      <w:r>
        <w:rPr>
          <w:snapToGrid w:val="0"/>
        </w:rPr>
        <w:t>.</w:t>
      </w:r>
      <w:r>
        <w:rPr>
          <w:snapToGrid w:val="0"/>
        </w:rPr>
        <w:tab/>
        <w:t>Superannuation</w:t>
      </w:r>
      <w:bookmarkEnd w:id="4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lastRenderedPageBreak/>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No. 43 of 2000 s. 70; No. 25 of 2012 s. 190.]</w:t>
      </w:r>
    </w:p>
    <w:p>
      <w:pPr>
        <w:pStyle w:val="Heading3"/>
        <w:rPr>
          <w:snapToGrid w:val="0"/>
        </w:rPr>
      </w:pPr>
      <w:bookmarkStart w:id="41" w:name="_Toc138409332"/>
      <w:bookmarkStart w:id="42" w:name="_Toc138409699"/>
      <w:bookmarkStart w:id="43" w:name="_Toc138412157"/>
      <w:r>
        <w:rPr>
          <w:rStyle w:val="CharDivNo"/>
        </w:rPr>
        <w:t>Division 4</w:t>
      </w:r>
      <w:r>
        <w:rPr>
          <w:snapToGrid w:val="0"/>
        </w:rPr>
        <w:t> — </w:t>
      </w:r>
      <w:r>
        <w:rPr>
          <w:rStyle w:val="CharDivText"/>
        </w:rPr>
        <w:t>Duties of, and relating to, directors and staff</w:t>
      </w:r>
      <w:bookmarkEnd w:id="41"/>
      <w:bookmarkEnd w:id="42"/>
      <w:bookmarkEnd w:id="43"/>
    </w:p>
    <w:p>
      <w:pPr>
        <w:pStyle w:val="Heading5"/>
        <w:rPr>
          <w:snapToGrid w:val="0"/>
        </w:rPr>
      </w:pPr>
      <w:bookmarkStart w:id="44" w:name="_Toc138412158"/>
      <w:r>
        <w:rPr>
          <w:rStyle w:val="CharSectno"/>
        </w:rPr>
        <w:t>20</w:t>
      </w:r>
      <w:r>
        <w:rPr>
          <w:snapToGrid w:val="0"/>
        </w:rPr>
        <w:t>.</w:t>
      </w:r>
      <w:r>
        <w:rPr>
          <w:snapToGrid w:val="0"/>
        </w:rPr>
        <w:tab/>
        <w:t>Directors, duties of, and relating to (Sch. 2)</w:t>
      </w:r>
      <w:bookmarkEnd w:id="44"/>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No. 25 of 2012 s. 122.]</w:t>
      </w:r>
    </w:p>
    <w:p>
      <w:pPr>
        <w:pStyle w:val="Heading5"/>
        <w:rPr>
          <w:snapToGrid w:val="0"/>
        </w:rPr>
      </w:pPr>
      <w:bookmarkStart w:id="45" w:name="_Toc138412159"/>
      <w:r>
        <w:rPr>
          <w:rStyle w:val="CharSectno"/>
        </w:rPr>
        <w:t>21</w:t>
      </w:r>
      <w:r>
        <w:rPr>
          <w:snapToGrid w:val="0"/>
        </w:rPr>
        <w:t>.</w:t>
      </w:r>
      <w:r>
        <w:rPr>
          <w:snapToGrid w:val="0"/>
        </w:rPr>
        <w:tab/>
        <w:t>Chief executive officer, duties imposed</w:t>
      </w:r>
      <w:bookmarkEnd w:id="45"/>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 xml:space="preserve">The application of the clauses referred to in subsections (1) and (2) to the chief executive officer and a former chief executive </w:t>
      </w:r>
      <w:r>
        <w:lastRenderedPageBreak/>
        <w:t>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No. 25 of 2012 s. 123.]</w:t>
      </w:r>
    </w:p>
    <w:p>
      <w:pPr>
        <w:pStyle w:val="Heading5"/>
        <w:rPr>
          <w:snapToGrid w:val="0"/>
        </w:rPr>
      </w:pPr>
      <w:bookmarkStart w:id="46" w:name="_Toc138412160"/>
      <w:r>
        <w:rPr>
          <w:rStyle w:val="CharSectno"/>
        </w:rPr>
        <w:t>22</w:t>
      </w:r>
      <w:r>
        <w:rPr>
          <w:snapToGrid w:val="0"/>
        </w:rPr>
        <w:t>.</w:t>
      </w:r>
      <w:r>
        <w:rPr>
          <w:snapToGrid w:val="0"/>
        </w:rPr>
        <w:tab/>
        <w:t>Executive officers, duties imposed</w:t>
      </w:r>
      <w:bookmarkEnd w:id="46"/>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No. 25 of 2012 s. 124.]</w:t>
      </w:r>
    </w:p>
    <w:p>
      <w:pPr>
        <w:pStyle w:val="Heading5"/>
      </w:pPr>
      <w:bookmarkStart w:id="47" w:name="_Toc138412161"/>
      <w:r>
        <w:rPr>
          <w:rStyle w:val="CharSectno"/>
        </w:rPr>
        <w:t>23</w:t>
      </w:r>
      <w:r>
        <w:t>.</w:t>
      </w:r>
      <w:r>
        <w:tab/>
        <w:t>Members of staff, duties imposed</w:t>
      </w:r>
      <w:bookmarkEnd w:id="47"/>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No. 25 of 2012 s. 125.]</w:t>
      </w:r>
    </w:p>
    <w:p>
      <w:pPr>
        <w:pStyle w:val="Heading5"/>
        <w:rPr>
          <w:snapToGrid w:val="0"/>
        </w:rPr>
      </w:pPr>
      <w:bookmarkStart w:id="48" w:name="_Toc138412162"/>
      <w:r>
        <w:rPr>
          <w:rStyle w:val="CharSectno"/>
        </w:rPr>
        <w:lastRenderedPageBreak/>
        <w:t>24</w:t>
      </w:r>
      <w:r>
        <w:rPr>
          <w:snapToGrid w:val="0"/>
        </w:rPr>
        <w:t>.</w:t>
      </w:r>
      <w:r>
        <w:rPr>
          <w:snapToGrid w:val="0"/>
        </w:rPr>
        <w:tab/>
        <w:t>Codes of conduct for staff</w:t>
      </w:r>
      <w:bookmarkEnd w:id="48"/>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No. 39 of 2010 s. 87(3); No. 25 of 2012 s. 190.]</w:t>
      </w:r>
    </w:p>
    <w:p>
      <w:pPr>
        <w:pStyle w:val="Heading5"/>
        <w:rPr>
          <w:snapToGrid w:val="0"/>
        </w:rPr>
      </w:pPr>
      <w:bookmarkStart w:id="49" w:name="_Toc138412163"/>
      <w:r>
        <w:rPr>
          <w:rStyle w:val="CharSectno"/>
        </w:rPr>
        <w:t>25</w:t>
      </w:r>
      <w:r>
        <w:rPr>
          <w:snapToGrid w:val="0"/>
        </w:rPr>
        <w:t>.</w:t>
      </w:r>
      <w:r>
        <w:rPr>
          <w:snapToGrid w:val="0"/>
        </w:rPr>
        <w:tab/>
        <w:t>Reports to Public Sector Commissioner</w:t>
      </w:r>
      <w:bookmarkEnd w:id="49"/>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 xml:space="preserve">of a code of conduct in force under </w:t>
      </w:r>
      <w:r>
        <w:rPr>
          <w:snapToGrid w:val="0"/>
        </w:rPr>
        <w:lastRenderedPageBreak/>
        <w:t>section 24 that the Commissioner thinks should be brought to the Minister’s attention.</w:t>
      </w:r>
    </w:p>
    <w:p>
      <w:pPr>
        <w:pStyle w:val="Footnotesection"/>
      </w:pPr>
      <w:r>
        <w:tab/>
        <w:t>[Section 25 amended: No. 39 of 2010 s. 87(3); No. 25 of 2012 s. 190.]</w:t>
      </w:r>
    </w:p>
    <w:p>
      <w:pPr>
        <w:pStyle w:val="Heading5"/>
        <w:rPr>
          <w:snapToGrid w:val="0"/>
        </w:rPr>
      </w:pPr>
      <w:bookmarkStart w:id="50" w:name="_Toc138412164"/>
      <w:r>
        <w:rPr>
          <w:rStyle w:val="CharSectno"/>
        </w:rPr>
        <w:t>26</w:t>
      </w:r>
      <w:r>
        <w:rPr>
          <w:snapToGrid w:val="0"/>
        </w:rPr>
        <w:t>.</w:t>
      </w:r>
      <w:r>
        <w:rPr>
          <w:snapToGrid w:val="0"/>
        </w:rPr>
        <w:tab/>
        <w:t>Reports to Minister</w:t>
      </w:r>
      <w:bookmarkEnd w:id="5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No. 39 of 2010 s. 87(3); No. 25 of 2012 s. 190.]</w:t>
      </w:r>
    </w:p>
    <w:p>
      <w:pPr>
        <w:pStyle w:val="Heading2"/>
      </w:pPr>
      <w:bookmarkStart w:id="51" w:name="_Toc138409340"/>
      <w:bookmarkStart w:id="52" w:name="_Toc138409707"/>
      <w:bookmarkStart w:id="53" w:name="_Toc138412165"/>
      <w:r>
        <w:rPr>
          <w:rStyle w:val="CharPartNo"/>
        </w:rPr>
        <w:lastRenderedPageBreak/>
        <w:t>Part 3</w:t>
      </w:r>
      <w:r>
        <w:t> — </w:t>
      </w:r>
      <w:r>
        <w:rPr>
          <w:rStyle w:val="CharPartText"/>
        </w:rPr>
        <w:t>Functions and powers of corporations</w:t>
      </w:r>
      <w:bookmarkEnd w:id="51"/>
      <w:bookmarkEnd w:id="52"/>
      <w:bookmarkEnd w:id="53"/>
    </w:p>
    <w:p>
      <w:pPr>
        <w:pStyle w:val="Footnoteheading"/>
      </w:pPr>
      <w:r>
        <w:tab/>
        <w:t>[Heading amended: No. 25 of 2012 s. 190.]</w:t>
      </w:r>
    </w:p>
    <w:p>
      <w:pPr>
        <w:pStyle w:val="Heading3"/>
        <w:rPr>
          <w:snapToGrid w:val="0"/>
        </w:rPr>
      </w:pPr>
      <w:bookmarkStart w:id="54" w:name="_Toc138409341"/>
      <w:bookmarkStart w:id="55" w:name="_Toc138409708"/>
      <w:bookmarkStart w:id="56" w:name="_Toc138412166"/>
      <w:r>
        <w:rPr>
          <w:rStyle w:val="CharDivNo"/>
        </w:rPr>
        <w:t>Division 1</w:t>
      </w:r>
      <w:r>
        <w:rPr>
          <w:snapToGrid w:val="0"/>
        </w:rPr>
        <w:t> — </w:t>
      </w:r>
      <w:r>
        <w:rPr>
          <w:rStyle w:val="CharDivText"/>
        </w:rPr>
        <w:t>Functions, powers and related provisions</w:t>
      </w:r>
      <w:bookmarkEnd w:id="54"/>
      <w:bookmarkEnd w:id="55"/>
      <w:bookmarkEnd w:id="56"/>
      <w:r>
        <w:rPr>
          <w:rStyle w:val="CharDivText"/>
        </w:rPr>
        <w:t xml:space="preserve"> </w:t>
      </w:r>
    </w:p>
    <w:p>
      <w:pPr>
        <w:pStyle w:val="Heading5"/>
        <w:rPr>
          <w:snapToGrid w:val="0"/>
        </w:rPr>
      </w:pPr>
      <w:bookmarkStart w:id="57" w:name="_Toc138412167"/>
      <w:r>
        <w:rPr>
          <w:rStyle w:val="CharSectno"/>
        </w:rPr>
        <w:t>27</w:t>
      </w:r>
      <w:r>
        <w:rPr>
          <w:snapToGrid w:val="0"/>
        </w:rPr>
        <w:t>.</w:t>
      </w:r>
      <w:r>
        <w:rPr>
          <w:snapToGrid w:val="0"/>
        </w:rPr>
        <w:tab/>
        <w:t>Functions of corporation</w:t>
      </w:r>
      <w:bookmarkEnd w:id="57"/>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lastRenderedPageBreak/>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No. 67 of 2003 Sch. 2 cl. 86; No. 25 of 2012 s. 126 and 190.]</w:t>
      </w:r>
    </w:p>
    <w:p>
      <w:pPr>
        <w:pStyle w:val="Heading5"/>
      </w:pPr>
      <w:bookmarkStart w:id="58" w:name="_Toc138412168"/>
      <w:r>
        <w:rPr>
          <w:rStyle w:val="CharSectno"/>
        </w:rPr>
        <w:t>28A</w:t>
      </w:r>
      <w:r>
        <w:t>.</w:t>
      </w:r>
      <w:r>
        <w:tab/>
        <w:t>Corporations may act at their discretion</w:t>
      </w:r>
      <w:bookmarkEnd w:id="58"/>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No. 25 of 2012 s. 127.]</w:t>
      </w:r>
    </w:p>
    <w:p>
      <w:pPr>
        <w:pStyle w:val="Heading5"/>
        <w:rPr>
          <w:snapToGrid w:val="0"/>
        </w:rPr>
      </w:pPr>
      <w:bookmarkStart w:id="59" w:name="_Toc138412169"/>
      <w:r>
        <w:rPr>
          <w:rStyle w:val="CharSectno"/>
        </w:rPr>
        <w:t>28</w:t>
      </w:r>
      <w:r>
        <w:rPr>
          <w:snapToGrid w:val="0"/>
        </w:rPr>
        <w:t>.</w:t>
      </w:r>
      <w:r>
        <w:rPr>
          <w:snapToGrid w:val="0"/>
        </w:rPr>
        <w:tab/>
        <w:t>Corporation to act in accordance with policy instruments</w:t>
      </w:r>
      <w:bookmarkEnd w:id="59"/>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No. 25 of 2012 s. 190.]</w:t>
      </w:r>
    </w:p>
    <w:p>
      <w:pPr>
        <w:pStyle w:val="Heading5"/>
        <w:rPr>
          <w:snapToGrid w:val="0"/>
        </w:rPr>
      </w:pPr>
      <w:bookmarkStart w:id="60" w:name="_Toc138412170"/>
      <w:r>
        <w:rPr>
          <w:rStyle w:val="CharSectno"/>
        </w:rPr>
        <w:lastRenderedPageBreak/>
        <w:t>29</w:t>
      </w:r>
      <w:r>
        <w:rPr>
          <w:snapToGrid w:val="0"/>
        </w:rPr>
        <w:t>.</w:t>
      </w:r>
      <w:r>
        <w:rPr>
          <w:snapToGrid w:val="0"/>
        </w:rPr>
        <w:tab/>
        <w:t>Powers of corporation</w:t>
      </w:r>
      <w:bookmarkEnd w:id="6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 xml:space="preserve">subject to sections 31 and 32, participate in any business arrangement and acquire, hold and dispose of shares, </w:t>
      </w:r>
      <w:r>
        <w:rPr>
          <w:snapToGrid w:val="0"/>
        </w:rPr>
        <w:lastRenderedPageBreak/>
        <w:t>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No. 10 of 1998 s. 73(2); No. 25 of 2012 s. 128 and 190.]</w:t>
      </w:r>
    </w:p>
    <w:p>
      <w:pPr>
        <w:pStyle w:val="Heading5"/>
        <w:spacing w:before="400"/>
        <w:rPr>
          <w:snapToGrid w:val="0"/>
        </w:rPr>
      </w:pPr>
      <w:bookmarkStart w:id="61" w:name="_Toc138412171"/>
      <w:r>
        <w:rPr>
          <w:rStyle w:val="CharSectno"/>
        </w:rPr>
        <w:lastRenderedPageBreak/>
        <w:t>30</w:t>
      </w:r>
      <w:r>
        <w:rPr>
          <w:snapToGrid w:val="0"/>
        </w:rPr>
        <w:t>.</w:t>
      </w:r>
      <w:r>
        <w:rPr>
          <w:snapToGrid w:val="0"/>
        </w:rPr>
        <w:tab/>
        <w:t>Corporation to act on commercial principles</w:t>
      </w:r>
      <w:bookmarkEnd w:id="6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No. 25 of 2012 s. 190.]</w:t>
      </w:r>
    </w:p>
    <w:p>
      <w:pPr>
        <w:pStyle w:val="Heading5"/>
        <w:rPr>
          <w:snapToGrid w:val="0"/>
        </w:rPr>
      </w:pPr>
      <w:bookmarkStart w:id="62" w:name="_Toc138412172"/>
      <w:r>
        <w:rPr>
          <w:rStyle w:val="CharSectno"/>
        </w:rPr>
        <w:t>31</w:t>
      </w:r>
      <w:r>
        <w:rPr>
          <w:snapToGrid w:val="0"/>
        </w:rPr>
        <w:t>.</w:t>
      </w:r>
      <w:r>
        <w:rPr>
          <w:snapToGrid w:val="0"/>
        </w:rPr>
        <w:tab/>
        <w:t>Subsidiaries, acquisition of etc. (Sch. 4)</w:t>
      </w:r>
      <w:bookmarkEnd w:id="6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lastRenderedPageBreak/>
        <w:tab/>
        <w:t>(5)</w:t>
      </w:r>
      <w:r>
        <w:tab/>
        <w:t xml:space="preserve">A director, the chief executive officer or a member of staff of a corporation may, with the approval of the board of the corporation, become — </w:t>
      </w:r>
    </w:p>
    <w:p>
      <w:pPr>
        <w:pStyle w:val="Indenta"/>
      </w:pPr>
      <w:r>
        <w:tab/>
        <w:t>(a)</w:t>
      </w:r>
      <w:r>
        <w:tab/>
        <w:t>a member of the management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No. 25 of 2012 s. 129 and 190; No. 30 of 2015 s. 231.]</w:t>
      </w:r>
    </w:p>
    <w:p>
      <w:pPr>
        <w:pStyle w:val="Heading5"/>
        <w:rPr>
          <w:snapToGrid w:val="0"/>
        </w:rPr>
      </w:pPr>
      <w:bookmarkStart w:id="63" w:name="_Toc138412173"/>
      <w:r>
        <w:rPr>
          <w:rStyle w:val="CharSectno"/>
        </w:rPr>
        <w:t>32</w:t>
      </w:r>
      <w:r>
        <w:rPr>
          <w:snapToGrid w:val="0"/>
        </w:rPr>
        <w:t>.</w:t>
      </w:r>
      <w:r>
        <w:rPr>
          <w:snapToGrid w:val="0"/>
        </w:rPr>
        <w:tab/>
        <w:t>Transactions which require Ministerial approval</w:t>
      </w:r>
      <w:bookmarkEnd w:id="63"/>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lastRenderedPageBreak/>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No. 25 of 2012 s. 130 and 190.]</w:t>
      </w:r>
    </w:p>
    <w:p>
      <w:pPr>
        <w:pStyle w:val="Heading5"/>
        <w:rPr>
          <w:snapToGrid w:val="0"/>
        </w:rPr>
      </w:pPr>
      <w:bookmarkStart w:id="64" w:name="_Toc138412174"/>
      <w:r>
        <w:rPr>
          <w:rStyle w:val="CharSectno"/>
        </w:rPr>
        <w:t>33</w:t>
      </w:r>
      <w:r>
        <w:rPr>
          <w:snapToGrid w:val="0"/>
        </w:rPr>
        <w:t>.</w:t>
      </w:r>
      <w:r>
        <w:rPr>
          <w:snapToGrid w:val="0"/>
        </w:rPr>
        <w:tab/>
        <w:t>Exemptions from s. 32</w:t>
      </w:r>
      <w:bookmarkEnd w:id="64"/>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lastRenderedPageBreak/>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65" w:name="_Toc138412175"/>
      <w:r>
        <w:rPr>
          <w:rStyle w:val="CharSectno"/>
        </w:rPr>
        <w:t>34</w:t>
      </w:r>
      <w:r>
        <w:rPr>
          <w:snapToGrid w:val="0"/>
        </w:rPr>
        <w:t>.</w:t>
      </w:r>
      <w:r>
        <w:rPr>
          <w:snapToGrid w:val="0"/>
        </w:rPr>
        <w:tab/>
        <w:t>Minister to be consulted on major initiatives</w:t>
      </w:r>
      <w:bookmarkEnd w:id="65"/>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No. 25 of 2012 s. 131.]</w:t>
      </w:r>
    </w:p>
    <w:p>
      <w:pPr>
        <w:pStyle w:val="Heading5"/>
        <w:rPr>
          <w:snapToGrid w:val="0"/>
        </w:rPr>
      </w:pPr>
      <w:bookmarkStart w:id="66" w:name="_Toc138412176"/>
      <w:r>
        <w:rPr>
          <w:rStyle w:val="CharSectno"/>
        </w:rPr>
        <w:t>35</w:t>
      </w:r>
      <w:r>
        <w:rPr>
          <w:snapToGrid w:val="0"/>
        </w:rPr>
        <w:t>.</w:t>
      </w:r>
      <w:r>
        <w:rPr>
          <w:snapToGrid w:val="0"/>
        </w:rPr>
        <w:tab/>
        <w:t>Delegation by corporation</w:t>
      </w:r>
      <w:bookmarkEnd w:id="6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lastRenderedPageBreak/>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No. 25 of 2012 s. 132 and 190.]</w:t>
      </w:r>
    </w:p>
    <w:p>
      <w:pPr>
        <w:pStyle w:val="Heading3"/>
        <w:rPr>
          <w:snapToGrid w:val="0"/>
        </w:rPr>
      </w:pPr>
      <w:bookmarkStart w:id="67" w:name="_Toc138409352"/>
      <w:bookmarkStart w:id="68" w:name="_Toc138409719"/>
      <w:bookmarkStart w:id="69" w:name="_Toc138412177"/>
      <w:r>
        <w:rPr>
          <w:rStyle w:val="CharDivNo"/>
        </w:rPr>
        <w:t>Division 2</w:t>
      </w:r>
      <w:r>
        <w:rPr>
          <w:snapToGrid w:val="0"/>
        </w:rPr>
        <w:t> — </w:t>
      </w:r>
      <w:r>
        <w:rPr>
          <w:rStyle w:val="CharDivText"/>
        </w:rPr>
        <w:t>Arrangements authorised or approved by Governor</w:t>
      </w:r>
      <w:bookmarkEnd w:id="67"/>
      <w:bookmarkEnd w:id="68"/>
      <w:bookmarkEnd w:id="69"/>
    </w:p>
    <w:p>
      <w:pPr>
        <w:pStyle w:val="Heading5"/>
        <w:spacing w:before="180"/>
        <w:rPr>
          <w:snapToGrid w:val="0"/>
        </w:rPr>
      </w:pPr>
      <w:bookmarkStart w:id="70" w:name="_Toc138412178"/>
      <w:r>
        <w:rPr>
          <w:rStyle w:val="CharSectno"/>
        </w:rPr>
        <w:t>36</w:t>
      </w:r>
      <w:r>
        <w:rPr>
          <w:snapToGrid w:val="0"/>
        </w:rPr>
        <w:t>.</w:t>
      </w:r>
      <w:r>
        <w:rPr>
          <w:snapToGrid w:val="0"/>
        </w:rPr>
        <w:tab/>
        <w:t>Governor may make certain regulations</w:t>
      </w:r>
      <w:bookmarkEnd w:id="70"/>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No. 25 of 2012 s. 133.]</w:t>
      </w:r>
    </w:p>
    <w:p>
      <w:pPr>
        <w:pStyle w:val="Heading3"/>
        <w:rPr>
          <w:snapToGrid w:val="0"/>
        </w:rPr>
      </w:pPr>
      <w:bookmarkStart w:id="71" w:name="_Toc138409354"/>
      <w:bookmarkStart w:id="72" w:name="_Toc138409721"/>
      <w:bookmarkStart w:id="73" w:name="_Toc138412179"/>
      <w:r>
        <w:rPr>
          <w:rStyle w:val="CharDivNo"/>
        </w:rPr>
        <w:t>Division 3</w:t>
      </w:r>
      <w:r>
        <w:rPr>
          <w:snapToGrid w:val="0"/>
        </w:rPr>
        <w:t> — </w:t>
      </w:r>
      <w:r>
        <w:rPr>
          <w:rStyle w:val="CharDivText"/>
        </w:rPr>
        <w:t>Protection of persons dealing with a corporation</w:t>
      </w:r>
      <w:bookmarkEnd w:id="71"/>
      <w:bookmarkEnd w:id="72"/>
      <w:bookmarkEnd w:id="73"/>
      <w:r>
        <w:rPr>
          <w:rStyle w:val="CharDivText"/>
        </w:rPr>
        <w:t xml:space="preserve"> </w:t>
      </w:r>
    </w:p>
    <w:p>
      <w:pPr>
        <w:pStyle w:val="Footnoteheading"/>
      </w:pPr>
      <w:r>
        <w:tab/>
        <w:t>[Heading amended: No. 25 of 2012 s. 134.]</w:t>
      </w:r>
    </w:p>
    <w:p>
      <w:pPr>
        <w:pStyle w:val="Heading5"/>
        <w:spacing w:before="200"/>
        <w:rPr>
          <w:snapToGrid w:val="0"/>
        </w:rPr>
      </w:pPr>
      <w:bookmarkStart w:id="74" w:name="_Toc138412180"/>
      <w:r>
        <w:rPr>
          <w:rStyle w:val="CharSectno"/>
        </w:rPr>
        <w:lastRenderedPageBreak/>
        <w:t>37</w:t>
      </w:r>
      <w:r>
        <w:rPr>
          <w:snapToGrid w:val="0"/>
        </w:rPr>
        <w:t>.</w:t>
      </w:r>
      <w:r>
        <w:rPr>
          <w:snapToGrid w:val="0"/>
        </w:rPr>
        <w:tab/>
        <w:t>Person dealing with corporation may make assumptions</w:t>
      </w:r>
      <w:bookmarkEnd w:id="74"/>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No. 25 of 2012 s. 190.]</w:t>
      </w:r>
    </w:p>
    <w:p>
      <w:pPr>
        <w:pStyle w:val="Heading5"/>
        <w:keepNext w:val="0"/>
        <w:keepLines w:val="0"/>
        <w:rPr>
          <w:snapToGrid w:val="0"/>
        </w:rPr>
      </w:pPr>
      <w:bookmarkStart w:id="75" w:name="_Toc138412181"/>
      <w:r>
        <w:rPr>
          <w:rStyle w:val="CharSectno"/>
        </w:rPr>
        <w:t>38</w:t>
      </w:r>
      <w:r>
        <w:rPr>
          <w:snapToGrid w:val="0"/>
        </w:rPr>
        <w:t>.</w:t>
      </w:r>
      <w:r>
        <w:rPr>
          <w:snapToGrid w:val="0"/>
        </w:rPr>
        <w:tab/>
        <w:t>Third party may make assumptions</w:t>
      </w:r>
      <w:bookmarkEnd w:id="75"/>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No. 25 of 2012 s. 135.]</w:t>
      </w:r>
    </w:p>
    <w:p>
      <w:pPr>
        <w:pStyle w:val="Heading5"/>
        <w:rPr>
          <w:snapToGrid w:val="0"/>
        </w:rPr>
      </w:pPr>
      <w:bookmarkStart w:id="76" w:name="_Toc138412182"/>
      <w:r>
        <w:rPr>
          <w:rStyle w:val="CharSectno"/>
        </w:rPr>
        <w:t>39</w:t>
      </w:r>
      <w:r>
        <w:rPr>
          <w:snapToGrid w:val="0"/>
        </w:rPr>
        <w:t>.</w:t>
      </w:r>
      <w:r>
        <w:rPr>
          <w:snapToGrid w:val="0"/>
        </w:rPr>
        <w:tab/>
        <w:t>Assumptions that may be made</w:t>
      </w:r>
      <w:bookmarkEnd w:id="7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 xml:space="preserve">has authority to perform the functions customarily performed by a director, the chief executive officer, an executive officer, a member </w:t>
      </w:r>
      <w:r>
        <w:rPr>
          <w:snapToGrid w:val="0"/>
        </w:rPr>
        <w:lastRenderedPageBreak/>
        <w:t>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77" w:name="_Toc138412183"/>
      <w:r>
        <w:rPr>
          <w:rStyle w:val="CharSectno"/>
        </w:rPr>
        <w:t>40</w:t>
      </w:r>
      <w:r>
        <w:rPr>
          <w:snapToGrid w:val="0"/>
        </w:rPr>
        <w:t>.</w:t>
      </w:r>
      <w:r>
        <w:rPr>
          <w:snapToGrid w:val="0"/>
        </w:rPr>
        <w:tab/>
        <w:t>Exception to s. 37 and 38</w:t>
      </w:r>
      <w:bookmarkEnd w:id="77"/>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lastRenderedPageBreak/>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No. 25 of 2012 s. 136.]</w:t>
      </w:r>
    </w:p>
    <w:p>
      <w:pPr>
        <w:pStyle w:val="Heading2"/>
      </w:pPr>
      <w:bookmarkStart w:id="78" w:name="_Toc138409359"/>
      <w:bookmarkStart w:id="79" w:name="_Toc138409726"/>
      <w:bookmarkStart w:id="80" w:name="_Toc138412184"/>
      <w:r>
        <w:rPr>
          <w:rStyle w:val="CharPartNo"/>
        </w:rPr>
        <w:lastRenderedPageBreak/>
        <w:t>Part 4</w:t>
      </w:r>
      <w:r>
        <w:t> — </w:t>
      </w:r>
      <w:r>
        <w:rPr>
          <w:rStyle w:val="CharPartText"/>
        </w:rPr>
        <w:t>Provisions as to accountability</w:t>
      </w:r>
      <w:bookmarkEnd w:id="78"/>
      <w:bookmarkEnd w:id="79"/>
      <w:bookmarkEnd w:id="80"/>
      <w:r>
        <w:rPr>
          <w:rStyle w:val="CharPartText"/>
        </w:rPr>
        <w:t xml:space="preserve"> </w:t>
      </w:r>
    </w:p>
    <w:p>
      <w:pPr>
        <w:pStyle w:val="Heading3"/>
        <w:rPr>
          <w:snapToGrid w:val="0"/>
        </w:rPr>
      </w:pPr>
      <w:bookmarkStart w:id="81" w:name="_Toc138409360"/>
      <w:bookmarkStart w:id="82" w:name="_Toc138409727"/>
      <w:bookmarkStart w:id="83" w:name="_Toc138412185"/>
      <w:r>
        <w:rPr>
          <w:rStyle w:val="CharDivNo"/>
        </w:rPr>
        <w:t>Division 1</w:t>
      </w:r>
      <w:r>
        <w:rPr>
          <w:snapToGrid w:val="0"/>
        </w:rPr>
        <w:t> — </w:t>
      </w:r>
      <w:r>
        <w:rPr>
          <w:rStyle w:val="CharDivText"/>
        </w:rPr>
        <w:t>Strategic development plans</w:t>
      </w:r>
      <w:bookmarkEnd w:id="81"/>
      <w:bookmarkEnd w:id="82"/>
      <w:bookmarkEnd w:id="83"/>
      <w:r>
        <w:rPr>
          <w:rStyle w:val="CharDivText"/>
        </w:rPr>
        <w:t xml:space="preserve"> </w:t>
      </w:r>
    </w:p>
    <w:p>
      <w:pPr>
        <w:pStyle w:val="Heading5"/>
        <w:rPr>
          <w:snapToGrid w:val="0"/>
        </w:rPr>
      </w:pPr>
      <w:bookmarkStart w:id="84" w:name="_Toc138412186"/>
      <w:r>
        <w:rPr>
          <w:rStyle w:val="CharSectno"/>
        </w:rPr>
        <w:t>41</w:t>
      </w:r>
      <w:r>
        <w:rPr>
          <w:snapToGrid w:val="0"/>
        </w:rPr>
        <w:t>.</w:t>
      </w:r>
      <w:r>
        <w:rPr>
          <w:snapToGrid w:val="0"/>
        </w:rPr>
        <w:tab/>
        <w:t>Draft plan to be submitted to Minister</w:t>
      </w:r>
      <w:bookmarkEnd w:id="84"/>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No. 74 of 2003 s. 127(3); No. 77 of 2006 s. 14(2); No. 25 of 2012 s. 190.]</w:t>
      </w:r>
    </w:p>
    <w:p>
      <w:pPr>
        <w:pStyle w:val="Heading5"/>
      </w:pPr>
      <w:bookmarkStart w:id="85" w:name="_Toc138412187"/>
      <w:r>
        <w:rPr>
          <w:rStyle w:val="CharSectno"/>
        </w:rPr>
        <w:t>42</w:t>
      </w:r>
      <w:r>
        <w:t>.</w:t>
      </w:r>
      <w:r>
        <w:tab/>
        <w:t>Corporations established by Governor — first strategic development plan</w:t>
      </w:r>
      <w:bookmarkEnd w:id="85"/>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No. 25 of 2012 s. 137.]</w:t>
      </w:r>
    </w:p>
    <w:p>
      <w:pPr>
        <w:pStyle w:val="Heading5"/>
        <w:rPr>
          <w:bCs/>
          <w:snapToGrid w:val="0"/>
        </w:rPr>
      </w:pPr>
      <w:bookmarkStart w:id="86" w:name="_Toc138412188"/>
      <w:r>
        <w:rPr>
          <w:rStyle w:val="CharSectno"/>
          <w:bCs/>
        </w:rPr>
        <w:lastRenderedPageBreak/>
        <w:t>43</w:t>
      </w:r>
      <w:r>
        <w:t>.</w:t>
      </w:r>
      <w:r>
        <w:rPr>
          <w:rStyle w:val="CharSectno"/>
          <w:bCs/>
        </w:rPr>
        <w:tab/>
      </w:r>
      <w:r>
        <w:rPr>
          <w:bCs/>
          <w:snapToGrid w:val="0"/>
        </w:rPr>
        <w:t>Matters to be included in plan</w:t>
      </w:r>
      <w:bookmarkEnd w:id="86"/>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No. 25 of 2012 s. 138.]</w:t>
      </w:r>
    </w:p>
    <w:p>
      <w:pPr>
        <w:pStyle w:val="Heading5"/>
        <w:rPr>
          <w:snapToGrid w:val="0"/>
        </w:rPr>
      </w:pPr>
      <w:bookmarkStart w:id="87" w:name="_Toc138412189"/>
      <w:r>
        <w:rPr>
          <w:rStyle w:val="CharSectno"/>
        </w:rPr>
        <w:t>44</w:t>
      </w:r>
      <w:r>
        <w:rPr>
          <w:snapToGrid w:val="0"/>
        </w:rPr>
        <w:t>.</w:t>
      </w:r>
      <w:r>
        <w:rPr>
          <w:snapToGrid w:val="0"/>
        </w:rPr>
        <w:tab/>
        <w:t>Board and Minister to agree on plan if possible</w:t>
      </w:r>
      <w:bookmarkEnd w:id="87"/>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No. 25 of 2012 s. 190.]</w:t>
      </w:r>
    </w:p>
    <w:p>
      <w:pPr>
        <w:pStyle w:val="Heading5"/>
        <w:rPr>
          <w:snapToGrid w:val="0"/>
        </w:rPr>
      </w:pPr>
      <w:bookmarkStart w:id="88" w:name="_Toc138412190"/>
      <w:r>
        <w:rPr>
          <w:rStyle w:val="CharSectno"/>
        </w:rPr>
        <w:t>45</w:t>
      </w:r>
      <w:r>
        <w:rPr>
          <w:snapToGrid w:val="0"/>
        </w:rPr>
        <w:t>.</w:t>
      </w:r>
      <w:r>
        <w:rPr>
          <w:snapToGrid w:val="0"/>
        </w:rPr>
        <w:tab/>
        <w:t>Minister’s powers in relation to draft plan</w:t>
      </w:r>
      <w:bookmarkEnd w:id="88"/>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w:t>
      </w:r>
      <w:r>
        <w:rPr>
          <w:snapToGrid w:val="0"/>
        </w:rPr>
        <w:lastRenderedPageBreak/>
        <w:t>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No. 25 of 2012 s. 139.]</w:t>
      </w:r>
    </w:p>
    <w:p>
      <w:pPr>
        <w:pStyle w:val="Heading5"/>
        <w:rPr>
          <w:snapToGrid w:val="0"/>
        </w:rPr>
      </w:pPr>
      <w:bookmarkStart w:id="89" w:name="_Toc138412191"/>
      <w:r>
        <w:rPr>
          <w:rStyle w:val="CharSectno"/>
        </w:rPr>
        <w:t>46</w:t>
      </w:r>
      <w:r>
        <w:rPr>
          <w:snapToGrid w:val="0"/>
        </w:rPr>
        <w:t>.</w:t>
      </w:r>
      <w:r>
        <w:rPr>
          <w:snapToGrid w:val="0"/>
        </w:rPr>
        <w:tab/>
        <w:t>Strategic development plan pending agreed plan</w:t>
      </w:r>
      <w:bookmarkEnd w:id="89"/>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No. 25 of 2012 s. 140.]</w:t>
      </w:r>
    </w:p>
    <w:p>
      <w:pPr>
        <w:pStyle w:val="Heading5"/>
        <w:rPr>
          <w:snapToGrid w:val="0"/>
        </w:rPr>
      </w:pPr>
      <w:bookmarkStart w:id="90" w:name="_Toc138412192"/>
      <w:r>
        <w:rPr>
          <w:rStyle w:val="CharSectno"/>
        </w:rPr>
        <w:t>47</w:t>
      </w:r>
      <w:r>
        <w:rPr>
          <w:snapToGrid w:val="0"/>
        </w:rPr>
        <w:t>.</w:t>
      </w:r>
      <w:r>
        <w:rPr>
          <w:snapToGrid w:val="0"/>
        </w:rPr>
        <w:tab/>
        <w:t>Agreed plan, effect of</w:t>
      </w:r>
      <w:bookmarkEnd w:id="90"/>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No. 25 of 2012 s. 141.]</w:t>
      </w:r>
    </w:p>
    <w:p>
      <w:pPr>
        <w:pStyle w:val="Heading5"/>
        <w:rPr>
          <w:snapToGrid w:val="0"/>
        </w:rPr>
      </w:pPr>
      <w:bookmarkStart w:id="91" w:name="_Toc138412193"/>
      <w:r>
        <w:rPr>
          <w:rStyle w:val="CharSectno"/>
        </w:rPr>
        <w:lastRenderedPageBreak/>
        <w:t>48</w:t>
      </w:r>
      <w:r>
        <w:rPr>
          <w:snapToGrid w:val="0"/>
        </w:rPr>
        <w:t>.</w:t>
      </w:r>
      <w:r>
        <w:rPr>
          <w:snapToGrid w:val="0"/>
        </w:rPr>
        <w:tab/>
        <w:t>Modifying strategic development plan</w:t>
      </w:r>
      <w:bookmarkEnd w:id="91"/>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No. 25 of 2012 s. 142 and 190.]</w:t>
      </w:r>
    </w:p>
    <w:p>
      <w:pPr>
        <w:pStyle w:val="Heading5"/>
        <w:rPr>
          <w:snapToGrid w:val="0"/>
        </w:rPr>
      </w:pPr>
      <w:bookmarkStart w:id="92" w:name="_Toc138412194"/>
      <w:r>
        <w:rPr>
          <w:rStyle w:val="CharSectno"/>
        </w:rPr>
        <w:t>49</w:t>
      </w:r>
      <w:r>
        <w:rPr>
          <w:snapToGrid w:val="0"/>
        </w:rPr>
        <w:t>.</w:t>
      </w:r>
      <w:r>
        <w:rPr>
          <w:snapToGrid w:val="0"/>
        </w:rPr>
        <w:tab/>
        <w:t>Concurrence of Treasurer</w:t>
      </w:r>
      <w:bookmarkEnd w:id="92"/>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No. 38 of 2007 s. 138.]</w:t>
      </w:r>
    </w:p>
    <w:p>
      <w:pPr>
        <w:pStyle w:val="Heading3"/>
        <w:rPr>
          <w:snapToGrid w:val="0"/>
        </w:rPr>
      </w:pPr>
      <w:bookmarkStart w:id="93" w:name="_Toc138409370"/>
      <w:bookmarkStart w:id="94" w:name="_Toc138409737"/>
      <w:bookmarkStart w:id="95" w:name="_Toc138412195"/>
      <w:r>
        <w:rPr>
          <w:rStyle w:val="CharDivNo"/>
        </w:rPr>
        <w:t>Division 2</w:t>
      </w:r>
      <w:r>
        <w:rPr>
          <w:snapToGrid w:val="0"/>
        </w:rPr>
        <w:t> — </w:t>
      </w:r>
      <w:r>
        <w:rPr>
          <w:rStyle w:val="CharDivText"/>
        </w:rPr>
        <w:t>Statement of corporate intent</w:t>
      </w:r>
      <w:bookmarkEnd w:id="93"/>
      <w:bookmarkEnd w:id="94"/>
      <w:bookmarkEnd w:id="95"/>
      <w:r>
        <w:rPr>
          <w:rStyle w:val="CharDivText"/>
        </w:rPr>
        <w:t xml:space="preserve"> </w:t>
      </w:r>
    </w:p>
    <w:p>
      <w:pPr>
        <w:pStyle w:val="Heading5"/>
        <w:rPr>
          <w:snapToGrid w:val="0"/>
        </w:rPr>
      </w:pPr>
      <w:bookmarkStart w:id="96" w:name="_Toc138412196"/>
      <w:r>
        <w:rPr>
          <w:rStyle w:val="CharSectno"/>
        </w:rPr>
        <w:t>50</w:t>
      </w:r>
      <w:r>
        <w:rPr>
          <w:snapToGrid w:val="0"/>
        </w:rPr>
        <w:t>.</w:t>
      </w:r>
      <w:r>
        <w:rPr>
          <w:snapToGrid w:val="0"/>
        </w:rPr>
        <w:tab/>
        <w:t>Draft statement to be submitted to Minister</w:t>
      </w:r>
      <w:bookmarkEnd w:id="9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w:t>
      </w:r>
      <w:r>
        <w:rPr>
          <w:snapToGrid w:val="0"/>
        </w:rPr>
        <w:lastRenderedPageBreak/>
        <w:t xml:space="preserve">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No. 74 of 2003 s. 127(4); No. 77 of 2006 s. 14(3); No. 25 of 2012 s. 190.]</w:t>
      </w:r>
    </w:p>
    <w:p>
      <w:pPr>
        <w:pStyle w:val="Heading5"/>
        <w:spacing w:before="260"/>
      </w:pPr>
      <w:bookmarkStart w:id="97" w:name="_Toc138412197"/>
      <w:r>
        <w:rPr>
          <w:rStyle w:val="CharSectno"/>
        </w:rPr>
        <w:t>51</w:t>
      </w:r>
      <w:r>
        <w:t>.</w:t>
      </w:r>
      <w:r>
        <w:tab/>
        <w:t>Corporations established by Governor — first statement of corporate intent</w:t>
      </w:r>
      <w:bookmarkEnd w:id="97"/>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No. 25 of 2012 s. 143.]</w:t>
      </w:r>
    </w:p>
    <w:p>
      <w:pPr>
        <w:pStyle w:val="Heading5"/>
        <w:keepLines w:val="0"/>
        <w:spacing w:before="260"/>
        <w:rPr>
          <w:snapToGrid w:val="0"/>
        </w:rPr>
      </w:pPr>
      <w:bookmarkStart w:id="98" w:name="_Toc138412198"/>
      <w:r>
        <w:rPr>
          <w:rStyle w:val="CharSectno"/>
        </w:rPr>
        <w:t>52</w:t>
      </w:r>
      <w:r>
        <w:rPr>
          <w:snapToGrid w:val="0"/>
        </w:rPr>
        <w:t>.</w:t>
      </w:r>
      <w:r>
        <w:rPr>
          <w:snapToGrid w:val="0"/>
        </w:rPr>
        <w:tab/>
        <w:t>Matters to be included in statement</w:t>
      </w:r>
      <w:bookmarkEnd w:id="98"/>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lastRenderedPageBreak/>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lastRenderedPageBreak/>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No. 25 of 2012 s. 144.]</w:t>
      </w:r>
    </w:p>
    <w:p>
      <w:pPr>
        <w:pStyle w:val="Heading5"/>
        <w:rPr>
          <w:snapToGrid w:val="0"/>
        </w:rPr>
      </w:pPr>
      <w:bookmarkStart w:id="99" w:name="_Toc138412199"/>
      <w:r>
        <w:rPr>
          <w:rStyle w:val="CharSectno"/>
        </w:rPr>
        <w:t>53</w:t>
      </w:r>
      <w:r>
        <w:rPr>
          <w:snapToGrid w:val="0"/>
        </w:rPr>
        <w:t>.</w:t>
      </w:r>
      <w:r>
        <w:rPr>
          <w:snapToGrid w:val="0"/>
        </w:rPr>
        <w:tab/>
        <w:t>Board and Minister to agree on statement if possible</w:t>
      </w:r>
      <w:bookmarkEnd w:id="9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No. 25 of 2012 s. 190.]</w:t>
      </w:r>
    </w:p>
    <w:p>
      <w:pPr>
        <w:pStyle w:val="Heading5"/>
        <w:rPr>
          <w:snapToGrid w:val="0"/>
        </w:rPr>
      </w:pPr>
      <w:bookmarkStart w:id="100" w:name="_Toc138412200"/>
      <w:r>
        <w:rPr>
          <w:rStyle w:val="CharSectno"/>
        </w:rPr>
        <w:t>54</w:t>
      </w:r>
      <w:r>
        <w:rPr>
          <w:snapToGrid w:val="0"/>
        </w:rPr>
        <w:t>.</w:t>
      </w:r>
      <w:r>
        <w:rPr>
          <w:snapToGrid w:val="0"/>
        </w:rPr>
        <w:tab/>
        <w:t>Minister’s powers in relation to draft statement</w:t>
      </w:r>
      <w:bookmarkEnd w:id="100"/>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lastRenderedPageBreak/>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No. 25 of 2012 s. 145.]</w:t>
      </w:r>
    </w:p>
    <w:p>
      <w:pPr>
        <w:pStyle w:val="Heading5"/>
        <w:rPr>
          <w:snapToGrid w:val="0"/>
        </w:rPr>
      </w:pPr>
      <w:bookmarkStart w:id="101" w:name="_Toc138412201"/>
      <w:r>
        <w:rPr>
          <w:rStyle w:val="CharSectno"/>
        </w:rPr>
        <w:t>55</w:t>
      </w:r>
      <w:r>
        <w:rPr>
          <w:snapToGrid w:val="0"/>
        </w:rPr>
        <w:t>.</w:t>
      </w:r>
      <w:r>
        <w:rPr>
          <w:snapToGrid w:val="0"/>
        </w:rPr>
        <w:tab/>
        <w:t>Statement of corporate intent pending agreed statement</w:t>
      </w:r>
      <w:bookmarkEnd w:id="101"/>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No. 25 of 2012 s. 146.]</w:t>
      </w:r>
    </w:p>
    <w:p>
      <w:pPr>
        <w:pStyle w:val="Heading5"/>
        <w:rPr>
          <w:snapToGrid w:val="0"/>
        </w:rPr>
      </w:pPr>
      <w:bookmarkStart w:id="102" w:name="_Toc138412202"/>
      <w:r>
        <w:rPr>
          <w:rStyle w:val="CharSectno"/>
        </w:rPr>
        <w:t>56</w:t>
      </w:r>
      <w:r>
        <w:rPr>
          <w:snapToGrid w:val="0"/>
        </w:rPr>
        <w:t>.</w:t>
      </w:r>
      <w:r>
        <w:rPr>
          <w:snapToGrid w:val="0"/>
        </w:rPr>
        <w:tab/>
        <w:t>Agreed statement, effect of, to be given to Parliament</w:t>
      </w:r>
      <w:bookmarkEnd w:id="10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 xml:space="preserve">it becomes </w:t>
      </w:r>
      <w:r>
        <w:rPr>
          <w:snapToGrid w:val="0"/>
        </w:rPr>
        <w:lastRenderedPageBreak/>
        <w:t>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No. 25 of 2012 s. 147 and 190.]</w:t>
      </w:r>
    </w:p>
    <w:p>
      <w:pPr>
        <w:pStyle w:val="Heading5"/>
        <w:rPr>
          <w:snapToGrid w:val="0"/>
        </w:rPr>
      </w:pPr>
      <w:bookmarkStart w:id="103" w:name="_Toc138412203"/>
      <w:r>
        <w:rPr>
          <w:rStyle w:val="CharSectno"/>
        </w:rPr>
        <w:t>57</w:t>
      </w:r>
      <w:r>
        <w:rPr>
          <w:snapToGrid w:val="0"/>
        </w:rPr>
        <w:t>.</w:t>
      </w:r>
      <w:r>
        <w:rPr>
          <w:snapToGrid w:val="0"/>
        </w:rPr>
        <w:tab/>
        <w:t>Modifying statement of corporate intent</w:t>
      </w:r>
      <w:bookmarkEnd w:id="103"/>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No. 25 of 2012 s. 148 and 190.]</w:t>
      </w:r>
    </w:p>
    <w:p>
      <w:pPr>
        <w:pStyle w:val="Heading5"/>
        <w:rPr>
          <w:snapToGrid w:val="0"/>
        </w:rPr>
      </w:pPr>
      <w:bookmarkStart w:id="104" w:name="_Toc138412204"/>
      <w:r>
        <w:rPr>
          <w:rStyle w:val="CharSectno"/>
        </w:rPr>
        <w:t>58</w:t>
      </w:r>
      <w:r>
        <w:rPr>
          <w:snapToGrid w:val="0"/>
        </w:rPr>
        <w:t>.</w:t>
      </w:r>
      <w:r>
        <w:rPr>
          <w:snapToGrid w:val="0"/>
        </w:rPr>
        <w:tab/>
        <w:t>Concurrence of Treasurer</w:t>
      </w:r>
      <w:bookmarkEnd w:id="104"/>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lastRenderedPageBreak/>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No. 38 of 2007 s. 139; No. 25 of 2012 s. 149.]</w:t>
      </w:r>
    </w:p>
    <w:p>
      <w:pPr>
        <w:pStyle w:val="Heading3"/>
        <w:rPr>
          <w:snapToGrid w:val="0"/>
        </w:rPr>
      </w:pPr>
      <w:bookmarkStart w:id="105" w:name="_Toc138409380"/>
      <w:bookmarkStart w:id="106" w:name="_Toc138409747"/>
      <w:bookmarkStart w:id="107" w:name="_Toc138412205"/>
      <w:r>
        <w:rPr>
          <w:rStyle w:val="CharDivNo"/>
        </w:rPr>
        <w:t>Division 3</w:t>
      </w:r>
      <w:r>
        <w:rPr>
          <w:snapToGrid w:val="0"/>
        </w:rPr>
        <w:t> — </w:t>
      </w:r>
      <w:r>
        <w:rPr>
          <w:rStyle w:val="CharDivText"/>
        </w:rPr>
        <w:t>Quarterly and annual reports</w:t>
      </w:r>
      <w:bookmarkEnd w:id="105"/>
      <w:bookmarkEnd w:id="106"/>
      <w:bookmarkEnd w:id="107"/>
      <w:r>
        <w:rPr>
          <w:rStyle w:val="CharDivText"/>
        </w:rPr>
        <w:t xml:space="preserve"> </w:t>
      </w:r>
    </w:p>
    <w:p>
      <w:pPr>
        <w:pStyle w:val="Heading5"/>
        <w:rPr>
          <w:snapToGrid w:val="0"/>
        </w:rPr>
      </w:pPr>
      <w:bookmarkStart w:id="108" w:name="_Toc138412206"/>
      <w:r>
        <w:rPr>
          <w:rStyle w:val="CharSectno"/>
        </w:rPr>
        <w:t>59</w:t>
      </w:r>
      <w:r>
        <w:rPr>
          <w:snapToGrid w:val="0"/>
        </w:rPr>
        <w:t>.</w:t>
      </w:r>
      <w:r>
        <w:rPr>
          <w:snapToGrid w:val="0"/>
        </w:rPr>
        <w:tab/>
        <w:t>Quarterly reports</w:t>
      </w:r>
      <w:bookmarkEnd w:id="108"/>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No. 25 of 2012 s. 150.]</w:t>
      </w:r>
    </w:p>
    <w:p>
      <w:pPr>
        <w:pStyle w:val="Heading5"/>
        <w:rPr>
          <w:snapToGrid w:val="0"/>
        </w:rPr>
      </w:pPr>
      <w:bookmarkStart w:id="109" w:name="_Toc138412207"/>
      <w:r>
        <w:rPr>
          <w:rStyle w:val="CharSectno"/>
        </w:rPr>
        <w:lastRenderedPageBreak/>
        <w:t>60</w:t>
      </w:r>
      <w:r>
        <w:rPr>
          <w:snapToGrid w:val="0"/>
        </w:rPr>
        <w:t>.</w:t>
      </w:r>
      <w:r>
        <w:rPr>
          <w:snapToGrid w:val="0"/>
        </w:rPr>
        <w:tab/>
        <w:t>Annual reports</w:t>
      </w:r>
      <w:bookmarkEnd w:id="109"/>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No. 25 of 2012 s. 151 and 190.]</w:t>
      </w:r>
    </w:p>
    <w:p>
      <w:pPr>
        <w:pStyle w:val="Heading5"/>
        <w:spacing w:before="180"/>
        <w:rPr>
          <w:snapToGrid w:val="0"/>
        </w:rPr>
      </w:pPr>
      <w:bookmarkStart w:id="110" w:name="_Toc138412208"/>
      <w:r>
        <w:rPr>
          <w:rStyle w:val="CharSectno"/>
        </w:rPr>
        <w:t>61</w:t>
      </w:r>
      <w:r>
        <w:rPr>
          <w:snapToGrid w:val="0"/>
        </w:rPr>
        <w:t>.</w:t>
      </w:r>
      <w:r>
        <w:rPr>
          <w:snapToGrid w:val="0"/>
        </w:rPr>
        <w:tab/>
        <w:t>Contents of annual reports</w:t>
      </w:r>
      <w:bookmarkEnd w:id="110"/>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lastRenderedPageBreak/>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No. 25 of 2012 s. 190.]</w:t>
      </w:r>
    </w:p>
    <w:p>
      <w:pPr>
        <w:pStyle w:val="Heading5"/>
        <w:rPr>
          <w:snapToGrid w:val="0"/>
        </w:rPr>
      </w:pPr>
      <w:bookmarkStart w:id="111" w:name="_Toc138412209"/>
      <w:r>
        <w:rPr>
          <w:rStyle w:val="CharSectno"/>
        </w:rPr>
        <w:t>62</w:t>
      </w:r>
      <w:r>
        <w:rPr>
          <w:snapToGrid w:val="0"/>
        </w:rPr>
        <w:t>.</w:t>
      </w:r>
      <w:r>
        <w:rPr>
          <w:snapToGrid w:val="0"/>
        </w:rPr>
        <w:tab/>
        <w:t>Deletion of commercially sensitive matters from reports</w:t>
      </w:r>
      <w:bookmarkEnd w:id="111"/>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No. 25 of 2012 s. 190.]</w:t>
      </w:r>
    </w:p>
    <w:p>
      <w:pPr>
        <w:pStyle w:val="Heading3"/>
        <w:spacing w:before="280"/>
        <w:rPr>
          <w:snapToGrid w:val="0"/>
        </w:rPr>
      </w:pPr>
      <w:bookmarkStart w:id="112" w:name="_Toc138409385"/>
      <w:bookmarkStart w:id="113" w:name="_Toc138409752"/>
      <w:bookmarkStart w:id="114" w:name="_Toc138412210"/>
      <w:r>
        <w:rPr>
          <w:rStyle w:val="CharDivNo"/>
        </w:rPr>
        <w:t>Division 4</w:t>
      </w:r>
      <w:r>
        <w:rPr>
          <w:snapToGrid w:val="0"/>
        </w:rPr>
        <w:t> — </w:t>
      </w:r>
      <w:r>
        <w:rPr>
          <w:rStyle w:val="CharDivText"/>
        </w:rPr>
        <w:t>Ministerial directions, general provisions</w:t>
      </w:r>
      <w:bookmarkEnd w:id="112"/>
      <w:bookmarkEnd w:id="113"/>
      <w:bookmarkEnd w:id="114"/>
      <w:r>
        <w:rPr>
          <w:rStyle w:val="CharDivText"/>
        </w:rPr>
        <w:t xml:space="preserve"> </w:t>
      </w:r>
    </w:p>
    <w:p>
      <w:pPr>
        <w:pStyle w:val="Heading5"/>
        <w:rPr>
          <w:snapToGrid w:val="0"/>
        </w:rPr>
      </w:pPr>
      <w:bookmarkStart w:id="115" w:name="_Toc138412211"/>
      <w:r>
        <w:rPr>
          <w:rStyle w:val="CharSectno"/>
        </w:rPr>
        <w:t>63</w:t>
      </w:r>
      <w:r>
        <w:rPr>
          <w:snapToGrid w:val="0"/>
        </w:rPr>
        <w:t>.</w:t>
      </w:r>
      <w:r>
        <w:rPr>
          <w:snapToGrid w:val="0"/>
        </w:rPr>
        <w:tab/>
        <w:t>Directions to corporation</w:t>
      </w:r>
      <w:bookmarkEnd w:id="115"/>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w:t>
      </w:r>
      <w:r>
        <w:rPr>
          <w:snapToGrid w:val="0"/>
        </w:rPr>
        <w:lastRenderedPageBreak/>
        <w:t>administrative request given or made by or on behalf of the Government.</w:t>
      </w:r>
    </w:p>
    <w:p>
      <w:pPr>
        <w:pStyle w:val="Footnotesection"/>
      </w:pPr>
      <w:r>
        <w:tab/>
        <w:t>[Section 63 amended: No. 25 of 2012 s. 190.]</w:t>
      </w:r>
    </w:p>
    <w:p>
      <w:pPr>
        <w:pStyle w:val="Heading5"/>
        <w:rPr>
          <w:snapToGrid w:val="0"/>
        </w:rPr>
      </w:pPr>
      <w:bookmarkStart w:id="116" w:name="_Toc138412212"/>
      <w:r>
        <w:rPr>
          <w:rStyle w:val="CharSectno"/>
        </w:rPr>
        <w:t>64</w:t>
      </w:r>
      <w:r>
        <w:rPr>
          <w:snapToGrid w:val="0"/>
        </w:rPr>
        <w:t>.</w:t>
      </w:r>
      <w:r>
        <w:rPr>
          <w:snapToGrid w:val="0"/>
        </w:rPr>
        <w:tab/>
        <w:t>Minister may give directions</w:t>
      </w:r>
      <w:bookmarkEnd w:id="116"/>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No. 25 of 2012 s. 190.]</w:t>
      </w:r>
    </w:p>
    <w:p>
      <w:pPr>
        <w:pStyle w:val="Heading5"/>
        <w:rPr>
          <w:snapToGrid w:val="0"/>
        </w:rPr>
      </w:pPr>
      <w:bookmarkStart w:id="117" w:name="_Toc138412213"/>
      <w:r>
        <w:rPr>
          <w:rStyle w:val="CharSectno"/>
        </w:rPr>
        <w:t>65</w:t>
      </w:r>
      <w:r>
        <w:rPr>
          <w:snapToGrid w:val="0"/>
        </w:rPr>
        <w:t>.</w:t>
      </w:r>
      <w:r>
        <w:rPr>
          <w:snapToGrid w:val="0"/>
        </w:rPr>
        <w:tab/>
        <w:t>Directions contrary to commercial interest</w:t>
      </w:r>
      <w:bookmarkEnd w:id="117"/>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lastRenderedPageBreak/>
        <w:tab/>
        <w:t>(b)</w:t>
      </w:r>
      <w:r>
        <w:rPr>
          <w:snapToGrid w:val="0"/>
        </w:rPr>
        <w:tab/>
        <w:t>the corporation is not required to give effect to the direction unless it is so confirmed.</w:t>
      </w:r>
    </w:p>
    <w:p>
      <w:pPr>
        <w:pStyle w:val="Footnotesection"/>
      </w:pPr>
      <w:r>
        <w:tab/>
        <w:t>[Section 65 amended: No. 25 of 2012 s. 152.]</w:t>
      </w:r>
    </w:p>
    <w:p>
      <w:pPr>
        <w:pStyle w:val="Heading5"/>
        <w:rPr>
          <w:snapToGrid w:val="0"/>
        </w:rPr>
      </w:pPr>
      <w:bookmarkStart w:id="118" w:name="_Toc138412214"/>
      <w:r>
        <w:rPr>
          <w:rStyle w:val="CharSectno"/>
        </w:rPr>
        <w:t>66</w:t>
      </w:r>
      <w:r>
        <w:rPr>
          <w:snapToGrid w:val="0"/>
        </w:rPr>
        <w:t>.</w:t>
      </w:r>
      <w:r>
        <w:rPr>
          <w:snapToGrid w:val="0"/>
        </w:rPr>
        <w:tab/>
        <w:t>When directions take effect</w:t>
      </w:r>
      <w:bookmarkEnd w:id="118"/>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No. 25 of 2012 s. 190.]</w:t>
      </w:r>
    </w:p>
    <w:p>
      <w:pPr>
        <w:pStyle w:val="Heading3"/>
        <w:keepLines/>
        <w:rPr>
          <w:snapToGrid w:val="0"/>
        </w:rPr>
      </w:pPr>
      <w:bookmarkStart w:id="119" w:name="_Toc138409390"/>
      <w:bookmarkStart w:id="120" w:name="_Toc138409757"/>
      <w:bookmarkStart w:id="121" w:name="_Toc138412215"/>
      <w:r>
        <w:rPr>
          <w:rStyle w:val="CharDivNo"/>
        </w:rPr>
        <w:t>Division 5</w:t>
      </w:r>
      <w:r>
        <w:rPr>
          <w:snapToGrid w:val="0"/>
        </w:rPr>
        <w:t> — </w:t>
      </w:r>
      <w:r>
        <w:rPr>
          <w:rStyle w:val="CharDivText"/>
        </w:rPr>
        <w:t>Consultation and provision of information</w:t>
      </w:r>
      <w:bookmarkEnd w:id="119"/>
      <w:bookmarkEnd w:id="120"/>
      <w:bookmarkEnd w:id="121"/>
      <w:r>
        <w:rPr>
          <w:rStyle w:val="CharDivText"/>
        </w:rPr>
        <w:t xml:space="preserve"> </w:t>
      </w:r>
    </w:p>
    <w:p>
      <w:pPr>
        <w:pStyle w:val="Heading5"/>
        <w:rPr>
          <w:snapToGrid w:val="0"/>
        </w:rPr>
      </w:pPr>
      <w:bookmarkStart w:id="122" w:name="_Toc138412216"/>
      <w:r>
        <w:rPr>
          <w:rStyle w:val="CharSectno"/>
        </w:rPr>
        <w:t>67</w:t>
      </w:r>
      <w:r>
        <w:rPr>
          <w:snapToGrid w:val="0"/>
        </w:rPr>
        <w:t>.</w:t>
      </w:r>
      <w:r>
        <w:rPr>
          <w:snapToGrid w:val="0"/>
        </w:rPr>
        <w:tab/>
        <w:t>Consultation</w:t>
      </w:r>
      <w:bookmarkEnd w:id="122"/>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No. 25 of 2012 s. 190.]</w:t>
      </w:r>
    </w:p>
    <w:p>
      <w:pPr>
        <w:pStyle w:val="Heading5"/>
        <w:rPr>
          <w:snapToGrid w:val="0"/>
        </w:rPr>
      </w:pPr>
      <w:bookmarkStart w:id="123" w:name="_Toc138412217"/>
      <w:r>
        <w:rPr>
          <w:rStyle w:val="CharSectno"/>
        </w:rPr>
        <w:t>68</w:t>
      </w:r>
      <w:r>
        <w:rPr>
          <w:snapToGrid w:val="0"/>
        </w:rPr>
        <w:t>.</w:t>
      </w:r>
      <w:r>
        <w:rPr>
          <w:snapToGrid w:val="0"/>
        </w:rPr>
        <w:tab/>
        <w:t>Minister to have access to information</w:t>
      </w:r>
      <w:bookmarkEnd w:id="123"/>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lastRenderedPageBreak/>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No. 25 of 2012 s. 153 and 190.]</w:t>
      </w:r>
    </w:p>
    <w:p>
      <w:pPr>
        <w:pStyle w:val="Heading5"/>
        <w:rPr>
          <w:snapToGrid w:val="0"/>
        </w:rPr>
      </w:pPr>
      <w:bookmarkStart w:id="124" w:name="_Toc138412218"/>
      <w:r>
        <w:rPr>
          <w:rStyle w:val="CharSectno"/>
        </w:rPr>
        <w:t>69</w:t>
      </w:r>
      <w:r>
        <w:rPr>
          <w:snapToGrid w:val="0"/>
        </w:rPr>
        <w:t>.</w:t>
      </w:r>
      <w:r>
        <w:rPr>
          <w:snapToGrid w:val="0"/>
        </w:rPr>
        <w:tab/>
        <w:t>Minister to be kept informed</w:t>
      </w:r>
      <w:bookmarkEnd w:id="124"/>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 xml:space="preserve">keep the Minister reasonably informed of the operations, financial performance and financial position of the corporation and its subsidiaries, including the assets and </w:t>
      </w:r>
      <w:r>
        <w:rPr>
          <w:snapToGrid w:val="0"/>
        </w:rPr>
        <w:lastRenderedPageBreak/>
        <w:t>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No. 25 of 2012 s. 154.]</w:t>
      </w:r>
    </w:p>
    <w:p>
      <w:pPr>
        <w:pStyle w:val="Heading5"/>
        <w:rPr>
          <w:snapToGrid w:val="0"/>
        </w:rPr>
      </w:pPr>
      <w:bookmarkStart w:id="125" w:name="_Toc138412219"/>
      <w:r>
        <w:rPr>
          <w:rStyle w:val="CharSectno"/>
        </w:rPr>
        <w:t>70</w:t>
      </w:r>
      <w:r>
        <w:rPr>
          <w:snapToGrid w:val="0"/>
        </w:rPr>
        <w:t>.</w:t>
      </w:r>
      <w:r>
        <w:rPr>
          <w:snapToGrid w:val="0"/>
        </w:rPr>
        <w:tab/>
        <w:t>Notice of financial difficulty</w:t>
      </w:r>
      <w:bookmarkEnd w:id="125"/>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 xml:space="preserve">confer with the Treasurer and the board for the purpose of determining what action is required to ensure that the </w:t>
      </w:r>
      <w:r>
        <w:rPr>
          <w:snapToGrid w:val="0"/>
        </w:rPr>
        <w:lastRenderedPageBreak/>
        <w:t>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No. 25 of 2012 s. 190.]</w:t>
      </w:r>
    </w:p>
    <w:p>
      <w:pPr>
        <w:pStyle w:val="Heading3"/>
        <w:rPr>
          <w:snapToGrid w:val="0"/>
        </w:rPr>
      </w:pPr>
      <w:bookmarkStart w:id="126" w:name="_Toc138409395"/>
      <w:bookmarkStart w:id="127" w:name="_Toc138409762"/>
      <w:bookmarkStart w:id="128" w:name="_Toc138412220"/>
      <w:r>
        <w:rPr>
          <w:rStyle w:val="CharDivNo"/>
        </w:rPr>
        <w:t>Division 6</w:t>
      </w:r>
      <w:r>
        <w:rPr>
          <w:snapToGrid w:val="0"/>
        </w:rPr>
        <w:t> — </w:t>
      </w:r>
      <w:r>
        <w:rPr>
          <w:rStyle w:val="CharDivText"/>
        </w:rPr>
        <w:t>General</w:t>
      </w:r>
      <w:bookmarkEnd w:id="126"/>
      <w:bookmarkEnd w:id="127"/>
      <w:bookmarkEnd w:id="128"/>
      <w:r>
        <w:rPr>
          <w:rStyle w:val="CharDivText"/>
        </w:rPr>
        <w:t xml:space="preserve"> </w:t>
      </w:r>
    </w:p>
    <w:p>
      <w:pPr>
        <w:pStyle w:val="Heading5"/>
        <w:rPr>
          <w:snapToGrid w:val="0"/>
        </w:rPr>
      </w:pPr>
      <w:bookmarkStart w:id="129" w:name="_Toc138412221"/>
      <w:r>
        <w:rPr>
          <w:rStyle w:val="CharSectno"/>
        </w:rPr>
        <w:t>71</w:t>
      </w:r>
      <w:r>
        <w:rPr>
          <w:snapToGrid w:val="0"/>
        </w:rPr>
        <w:t>.</w:t>
      </w:r>
      <w:r>
        <w:rPr>
          <w:snapToGrid w:val="0"/>
        </w:rPr>
        <w:tab/>
        <w:t>Protection from liability</w:t>
      </w:r>
      <w:bookmarkEnd w:id="129"/>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lastRenderedPageBreak/>
        <w:tab/>
        <w:t>(2)</w:t>
      </w:r>
      <w:r>
        <w:rPr>
          <w:snapToGrid w:val="0"/>
        </w:rPr>
        <w:tab/>
        <w:t>Subsection (1) does not extend to the manner in which any thing is done or omitted if it is done or omitted contrary to clause 2 or 3 of Schedule 2.</w:t>
      </w:r>
    </w:p>
    <w:p>
      <w:pPr>
        <w:pStyle w:val="Footnotesection"/>
      </w:pPr>
      <w:r>
        <w:tab/>
        <w:t>[Section 71 amended: No. 25 of 2012 s. 190.]</w:t>
      </w:r>
    </w:p>
    <w:p>
      <w:pPr>
        <w:pStyle w:val="Heading2"/>
      </w:pPr>
      <w:bookmarkStart w:id="130" w:name="_Toc138409397"/>
      <w:bookmarkStart w:id="131" w:name="_Toc138409764"/>
      <w:bookmarkStart w:id="132" w:name="_Toc138412222"/>
      <w:r>
        <w:rPr>
          <w:rStyle w:val="CharPartNo"/>
        </w:rPr>
        <w:lastRenderedPageBreak/>
        <w:t>Part 5</w:t>
      </w:r>
      <w:r>
        <w:t> — </w:t>
      </w:r>
      <w:r>
        <w:rPr>
          <w:rStyle w:val="CharPartText"/>
        </w:rPr>
        <w:t>Financial provisions</w:t>
      </w:r>
      <w:bookmarkEnd w:id="130"/>
      <w:bookmarkEnd w:id="131"/>
      <w:bookmarkEnd w:id="132"/>
      <w:r>
        <w:rPr>
          <w:rStyle w:val="CharPartText"/>
        </w:rPr>
        <w:t xml:space="preserve"> </w:t>
      </w:r>
    </w:p>
    <w:p>
      <w:pPr>
        <w:pStyle w:val="Heading3"/>
        <w:rPr>
          <w:snapToGrid w:val="0"/>
        </w:rPr>
      </w:pPr>
      <w:bookmarkStart w:id="133" w:name="_Toc138409398"/>
      <w:bookmarkStart w:id="134" w:name="_Toc138409765"/>
      <w:bookmarkStart w:id="135" w:name="_Toc138412223"/>
      <w:r>
        <w:rPr>
          <w:rStyle w:val="CharDivNo"/>
        </w:rPr>
        <w:t>Division 1</w:t>
      </w:r>
      <w:r>
        <w:rPr>
          <w:snapToGrid w:val="0"/>
        </w:rPr>
        <w:t> — </w:t>
      </w:r>
      <w:r>
        <w:rPr>
          <w:rStyle w:val="CharDivText"/>
        </w:rPr>
        <w:t>General</w:t>
      </w:r>
      <w:bookmarkEnd w:id="133"/>
      <w:bookmarkEnd w:id="134"/>
      <w:bookmarkEnd w:id="135"/>
      <w:r>
        <w:rPr>
          <w:rStyle w:val="CharDivText"/>
        </w:rPr>
        <w:t xml:space="preserve"> </w:t>
      </w:r>
    </w:p>
    <w:p>
      <w:pPr>
        <w:pStyle w:val="Ednotesection"/>
      </w:pPr>
      <w:r>
        <w:t>[</w:t>
      </w:r>
      <w:r>
        <w:rPr>
          <w:b/>
        </w:rPr>
        <w:t>72.</w:t>
      </w:r>
      <w:r>
        <w:tab/>
        <w:t>Deleted: No. 25 of 2012 s. 155.]</w:t>
      </w:r>
    </w:p>
    <w:p>
      <w:pPr>
        <w:pStyle w:val="Heading5"/>
        <w:rPr>
          <w:snapToGrid w:val="0"/>
        </w:rPr>
      </w:pPr>
      <w:bookmarkStart w:id="136" w:name="_Toc138412224"/>
      <w:r>
        <w:rPr>
          <w:rStyle w:val="CharSectno"/>
        </w:rPr>
        <w:t>73</w:t>
      </w:r>
      <w:r>
        <w:rPr>
          <w:snapToGrid w:val="0"/>
        </w:rPr>
        <w:t>.</w:t>
      </w:r>
      <w:r>
        <w:rPr>
          <w:snapToGrid w:val="0"/>
        </w:rPr>
        <w:tab/>
        <w:t>Bank account</w:t>
      </w:r>
      <w:bookmarkEnd w:id="136"/>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No. 28 of 2006 s. 400; No. 77 of 2006 Sch. 1 cl. 177(1); No. 25 of 2012 s. 156.]</w:t>
      </w:r>
    </w:p>
    <w:p>
      <w:pPr>
        <w:pStyle w:val="Heading5"/>
        <w:keepLines w:val="0"/>
        <w:rPr>
          <w:snapToGrid w:val="0"/>
        </w:rPr>
      </w:pPr>
      <w:bookmarkStart w:id="137" w:name="_Toc138412225"/>
      <w:r>
        <w:rPr>
          <w:rStyle w:val="CharSectno"/>
        </w:rPr>
        <w:t>74</w:t>
      </w:r>
      <w:r>
        <w:rPr>
          <w:snapToGrid w:val="0"/>
        </w:rPr>
        <w:t>.</w:t>
      </w:r>
      <w:r>
        <w:rPr>
          <w:snapToGrid w:val="0"/>
        </w:rPr>
        <w:tab/>
        <w:t>Investment</w:t>
      </w:r>
      <w:bookmarkEnd w:id="137"/>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No. 25 of 2012 s. 190.]</w:t>
      </w:r>
    </w:p>
    <w:p>
      <w:pPr>
        <w:pStyle w:val="Heading5"/>
        <w:rPr>
          <w:snapToGrid w:val="0"/>
        </w:rPr>
      </w:pPr>
      <w:bookmarkStart w:id="138" w:name="_Toc138412226"/>
      <w:r>
        <w:rPr>
          <w:rStyle w:val="CharSectno"/>
        </w:rPr>
        <w:t>75</w:t>
      </w:r>
      <w:r>
        <w:rPr>
          <w:snapToGrid w:val="0"/>
        </w:rPr>
        <w:t>.</w:t>
      </w:r>
      <w:r>
        <w:rPr>
          <w:snapToGrid w:val="0"/>
        </w:rPr>
        <w:tab/>
        <w:t>Exemption from rates</w:t>
      </w:r>
      <w:bookmarkEnd w:id="138"/>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lastRenderedPageBreak/>
        <w:tab/>
        <w:t>[Section 75 amended: No. 25 of 2012 s. 190.]</w:t>
      </w:r>
    </w:p>
    <w:p>
      <w:pPr>
        <w:pStyle w:val="Heading3"/>
        <w:rPr>
          <w:snapToGrid w:val="0"/>
        </w:rPr>
      </w:pPr>
      <w:bookmarkStart w:id="139" w:name="_Toc138409402"/>
      <w:bookmarkStart w:id="140" w:name="_Toc138409769"/>
      <w:bookmarkStart w:id="141" w:name="_Toc138412227"/>
      <w:r>
        <w:rPr>
          <w:rStyle w:val="CharDivNo"/>
        </w:rPr>
        <w:t>Division 2</w:t>
      </w:r>
      <w:r>
        <w:rPr>
          <w:snapToGrid w:val="0"/>
        </w:rPr>
        <w:t> — </w:t>
      </w:r>
      <w:r>
        <w:rPr>
          <w:rStyle w:val="CharDivText"/>
        </w:rPr>
        <w:t>Payments to State</w:t>
      </w:r>
      <w:bookmarkEnd w:id="139"/>
      <w:bookmarkEnd w:id="140"/>
      <w:bookmarkEnd w:id="141"/>
      <w:r>
        <w:rPr>
          <w:rStyle w:val="CharDivText"/>
        </w:rPr>
        <w:t xml:space="preserve"> </w:t>
      </w:r>
    </w:p>
    <w:p>
      <w:pPr>
        <w:pStyle w:val="Heading5"/>
        <w:rPr>
          <w:snapToGrid w:val="0"/>
        </w:rPr>
      </w:pPr>
      <w:bookmarkStart w:id="142" w:name="_Toc138412228"/>
      <w:r>
        <w:rPr>
          <w:rStyle w:val="CharSectno"/>
        </w:rPr>
        <w:t>76</w:t>
      </w:r>
      <w:r>
        <w:rPr>
          <w:snapToGrid w:val="0"/>
        </w:rPr>
        <w:t>.</w:t>
      </w:r>
      <w:r>
        <w:rPr>
          <w:snapToGrid w:val="0"/>
        </w:rPr>
        <w:tab/>
        <w:t>Payment of amount in lieu of rates</w:t>
      </w:r>
      <w:bookmarkEnd w:id="142"/>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No. 25 of 2012 s. 157.]</w:t>
      </w:r>
    </w:p>
    <w:p>
      <w:pPr>
        <w:pStyle w:val="Ednotesection"/>
      </w:pPr>
      <w:r>
        <w:t>[</w:t>
      </w:r>
      <w:r>
        <w:rPr>
          <w:b/>
        </w:rPr>
        <w:t>77.</w:t>
      </w:r>
      <w:r>
        <w:tab/>
        <w:t xml:space="preserve">Deleted: No. 55 of 1996 s. 10(4).] </w:t>
      </w:r>
    </w:p>
    <w:p>
      <w:pPr>
        <w:pStyle w:val="Heading5"/>
        <w:rPr>
          <w:snapToGrid w:val="0"/>
        </w:rPr>
      </w:pPr>
      <w:bookmarkStart w:id="143" w:name="_Toc138412229"/>
      <w:r>
        <w:rPr>
          <w:rStyle w:val="CharSectno"/>
        </w:rPr>
        <w:t>78</w:t>
      </w:r>
      <w:r>
        <w:rPr>
          <w:snapToGrid w:val="0"/>
        </w:rPr>
        <w:t>.</w:t>
      </w:r>
      <w:r>
        <w:rPr>
          <w:snapToGrid w:val="0"/>
        </w:rPr>
        <w:tab/>
        <w:t>Determination of amounts under s. 76</w:t>
      </w:r>
      <w:bookmarkEnd w:id="143"/>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No. 55 of 1996 s. 10(4).] </w:t>
      </w:r>
    </w:p>
    <w:p>
      <w:pPr>
        <w:pStyle w:val="Heading5"/>
        <w:rPr>
          <w:snapToGrid w:val="0"/>
        </w:rPr>
      </w:pPr>
      <w:bookmarkStart w:id="144" w:name="_Toc138412230"/>
      <w:r>
        <w:rPr>
          <w:rStyle w:val="CharSectno"/>
        </w:rPr>
        <w:t>79</w:t>
      </w:r>
      <w:r>
        <w:rPr>
          <w:snapToGrid w:val="0"/>
        </w:rPr>
        <w:t>.</w:t>
      </w:r>
      <w:r>
        <w:rPr>
          <w:snapToGrid w:val="0"/>
        </w:rPr>
        <w:tab/>
        <w:t>Dividends</w:t>
      </w:r>
      <w:bookmarkEnd w:id="144"/>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lastRenderedPageBreak/>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lastRenderedPageBreak/>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No. 55 of 1996 s. 10(4); No. 25 of 2012 s. 190.]</w:t>
      </w:r>
    </w:p>
    <w:p>
      <w:pPr>
        <w:pStyle w:val="Heading3"/>
        <w:rPr>
          <w:snapToGrid w:val="0"/>
        </w:rPr>
      </w:pPr>
      <w:bookmarkStart w:id="145" w:name="_Toc138409406"/>
      <w:bookmarkStart w:id="146" w:name="_Toc138409773"/>
      <w:bookmarkStart w:id="147" w:name="_Toc138412231"/>
      <w:r>
        <w:rPr>
          <w:rStyle w:val="CharDivNo"/>
        </w:rPr>
        <w:t>Division 3</w:t>
      </w:r>
      <w:r>
        <w:rPr>
          <w:snapToGrid w:val="0"/>
        </w:rPr>
        <w:t> — </w:t>
      </w:r>
      <w:r>
        <w:rPr>
          <w:rStyle w:val="CharDivText"/>
        </w:rPr>
        <w:t>Borrowing</w:t>
      </w:r>
      <w:bookmarkEnd w:id="145"/>
      <w:bookmarkEnd w:id="146"/>
      <w:bookmarkEnd w:id="147"/>
      <w:r>
        <w:rPr>
          <w:rStyle w:val="CharDivText"/>
        </w:rPr>
        <w:t xml:space="preserve"> </w:t>
      </w:r>
    </w:p>
    <w:p>
      <w:pPr>
        <w:pStyle w:val="Heading5"/>
        <w:rPr>
          <w:snapToGrid w:val="0"/>
        </w:rPr>
      </w:pPr>
      <w:bookmarkStart w:id="148" w:name="_Toc138412232"/>
      <w:r>
        <w:rPr>
          <w:rStyle w:val="CharSectno"/>
        </w:rPr>
        <w:t>80</w:t>
      </w:r>
      <w:r>
        <w:rPr>
          <w:snapToGrid w:val="0"/>
        </w:rPr>
        <w:t>.</w:t>
      </w:r>
      <w:r>
        <w:rPr>
          <w:snapToGrid w:val="0"/>
        </w:rPr>
        <w:tab/>
        <w:t>Corporation may borrow etc.</w:t>
      </w:r>
      <w:bookmarkEnd w:id="14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No. 25 of 2012 s. 190.]</w:t>
      </w:r>
    </w:p>
    <w:p>
      <w:pPr>
        <w:pStyle w:val="Heading5"/>
        <w:rPr>
          <w:snapToGrid w:val="0"/>
        </w:rPr>
      </w:pPr>
      <w:bookmarkStart w:id="149" w:name="_Toc138412233"/>
      <w:r>
        <w:rPr>
          <w:rStyle w:val="CharSectno"/>
        </w:rPr>
        <w:lastRenderedPageBreak/>
        <w:t>81</w:t>
      </w:r>
      <w:r>
        <w:rPr>
          <w:snapToGrid w:val="0"/>
        </w:rPr>
        <w:t>.</w:t>
      </w:r>
      <w:r>
        <w:rPr>
          <w:snapToGrid w:val="0"/>
        </w:rPr>
        <w:tab/>
        <w:t>Borrowing limits</w:t>
      </w:r>
      <w:bookmarkEnd w:id="149"/>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lastRenderedPageBreak/>
        <w:tab/>
        <w:t>[Section 81 amended: No. 25 of 2012 s. 158 and 190.]</w:t>
      </w:r>
    </w:p>
    <w:p>
      <w:pPr>
        <w:pStyle w:val="Heading5"/>
        <w:rPr>
          <w:snapToGrid w:val="0"/>
        </w:rPr>
      </w:pPr>
      <w:bookmarkStart w:id="150" w:name="_Toc138412234"/>
      <w:r>
        <w:rPr>
          <w:rStyle w:val="CharSectno"/>
        </w:rPr>
        <w:t>82</w:t>
      </w:r>
      <w:r>
        <w:rPr>
          <w:snapToGrid w:val="0"/>
        </w:rPr>
        <w:t>.</w:t>
      </w:r>
      <w:r>
        <w:rPr>
          <w:snapToGrid w:val="0"/>
        </w:rPr>
        <w:tab/>
        <w:t>Hedging transactions</w:t>
      </w:r>
      <w:bookmarkEnd w:id="15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lastRenderedPageBreak/>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No. 10 of 2001 s. 206; No. 21 of 2003 s. 35; No. 25 of 2012 s. 190.]</w:t>
      </w:r>
    </w:p>
    <w:p>
      <w:pPr>
        <w:pStyle w:val="Heading3"/>
        <w:spacing w:before="280"/>
        <w:rPr>
          <w:snapToGrid w:val="0"/>
        </w:rPr>
      </w:pPr>
      <w:bookmarkStart w:id="151" w:name="_Toc138409410"/>
      <w:bookmarkStart w:id="152" w:name="_Toc138409777"/>
      <w:bookmarkStart w:id="153" w:name="_Toc138412235"/>
      <w:r>
        <w:rPr>
          <w:rStyle w:val="CharDivNo"/>
        </w:rPr>
        <w:t>Division 4</w:t>
      </w:r>
      <w:r>
        <w:rPr>
          <w:snapToGrid w:val="0"/>
        </w:rPr>
        <w:t> — </w:t>
      </w:r>
      <w:r>
        <w:rPr>
          <w:rStyle w:val="CharDivText"/>
        </w:rPr>
        <w:t>Guarantees</w:t>
      </w:r>
      <w:bookmarkEnd w:id="151"/>
      <w:bookmarkEnd w:id="152"/>
      <w:bookmarkEnd w:id="153"/>
      <w:r>
        <w:rPr>
          <w:rStyle w:val="CharDivText"/>
        </w:rPr>
        <w:t xml:space="preserve"> </w:t>
      </w:r>
    </w:p>
    <w:p>
      <w:pPr>
        <w:pStyle w:val="Heading5"/>
        <w:rPr>
          <w:snapToGrid w:val="0"/>
        </w:rPr>
      </w:pPr>
      <w:bookmarkStart w:id="154" w:name="_Toc138412236"/>
      <w:r>
        <w:rPr>
          <w:rStyle w:val="CharSectno"/>
        </w:rPr>
        <w:t>83</w:t>
      </w:r>
      <w:r>
        <w:rPr>
          <w:snapToGrid w:val="0"/>
        </w:rPr>
        <w:t>.</w:t>
      </w:r>
      <w:r>
        <w:rPr>
          <w:snapToGrid w:val="0"/>
        </w:rPr>
        <w:tab/>
        <w:t>Guarantees for corporation by Crown</w:t>
      </w:r>
      <w:bookmarkEnd w:id="154"/>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No. 77 of 2006 s. 4 and 5(1); No. 25 of 2012 s. 190.]</w:t>
      </w:r>
    </w:p>
    <w:p>
      <w:pPr>
        <w:pStyle w:val="Heading5"/>
        <w:rPr>
          <w:snapToGrid w:val="0"/>
        </w:rPr>
      </w:pPr>
      <w:bookmarkStart w:id="155" w:name="_Toc138412237"/>
      <w:r>
        <w:rPr>
          <w:rStyle w:val="CharSectno"/>
        </w:rPr>
        <w:lastRenderedPageBreak/>
        <w:t>84</w:t>
      </w:r>
      <w:r>
        <w:rPr>
          <w:snapToGrid w:val="0"/>
        </w:rPr>
        <w:t>.</w:t>
      </w:r>
      <w:r>
        <w:rPr>
          <w:snapToGrid w:val="0"/>
        </w:rPr>
        <w:tab/>
        <w:t>Charges for guarantee</w:t>
      </w:r>
      <w:bookmarkEnd w:id="155"/>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No. 77 of 2006 s. 4; No. 25 of 2012 s. 190.]</w:t>
      </w:r>
    </w:p>
    <w:p>
      <w:pPr>
        <w:pStyle w:val="Heading3"/>
        <w:rPr>
          <w:snapToGrid w:val="0"/>
        </w:rPr>
      </w:pPr>
      <w:bookmarkStart w:id="156" w:name="_Toc138409413"/>
      <w:bookmarkStart w:id="157" w:name="_Toc138409780"/>
      <w:bookmarkStart w:id="158" w:name="_Toc138412238"/>
      <w:r>
        <w:rPr>
          <w:rStyle w:val="CharDivNo"/>
        </w:rPr>
        <w:t>Division 5</w:t>
      </w:r>
      <w:r>
        <w:rPr>
          <w:snapToGrid w:val="0"/>
        </w:rPr>
        <w:t> — </w:t>
      </w:r>
      <w:r>
        <w:rPr>
          <w:rStyle w:val="CharDivText"/>
        </w:rPr>
        <w:t>Financial administration and audit</w:t>
      </w:r>
      <w:bookmarkEnd w:id="156"/>
      <w:bookmarkEnd w:id="157"/>
      <w:bookmarkEnd w:id="158"/>
      <w:r>
        <w:rPr>
          <w:rStyle w:val="CharDivText"/>
        </w:rPr>
        <w:t xml:space="preserve"> </w:t>
      </w:r>
    </w:p>
    <w:p>
      <w:pPr>
        <w:pStyle w:val="Heading5"/>
      </w:pPr>
      <w:bookmarkStart w:id="159" w:name="_Toc138412239"/>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159"/>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No. 77 of 2006 Sch. 1 cl. 177(2); No. 25 of 2012 s. 159.]</w:t>
      </w:r>
    </w:p>
    <w:p>
      <w:pPr>
        <w:pStyle w:val="Heading5"/>
        <w:rPr>
          <w:snapToGrid w:val="0"/>
        </w:rPr>
      </w:pPr>
      <w:bookmarkStart w:id="160" w:name="_Toc138412240"/>
      <w:r>
        <w:rPr>
          <w:rStyle w:val="CharSectno"/>
        </w:rPr>
        <w:t>86</w:t>
      </w:r>
      <w:r>
        <w:rPr>
          <w:snapToGrid w:val="0"/>
        </w:rPr>
        <w:t>.</w:t>
      </w:r>
      <w:r>
        <w:rPr>
          <w:snapToGrid w:val="0"/>
        </w:rPr>
        <w:tab/>
        <w:t>Financial administration and audit (Sch. 3)</w:t>
      </w:r>
      <w:bookmarkEnd w:id="160"/>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lastRenderedPageBreak/>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No. 10 of 2001 s. 207; No. 25 of 2012 s. 190.]</w:t>
      </w:r>
    </w:p>
    <w:p>
      <w:pPr>
        <w:pStyle w:val="Heading2"/>
      </w:pPr>
      <w:bookmarkStart w:id="161" w:name="_Toc138409416"/>
      <w:bookmarkStart w:id="162" w:name="_Toc138409783"/>
      <w:bookmarkStart w:id="163" w:name="_Toc138412241"/>
      <w:r>
        <w:rPr>
          <w:rStyle w:val="CharPartNo"/>
        </w:rPr>
        <w:lastRenderedPageBreak/>
        <w:t>Part 6</w:t>
      </w:r>
      <w:r>
        <w:rPr>
          <w:rStyle w:val="CharDivNo"/>
        </w:rPr>
        <w:t> </w:t>
      </w:r>
      <w:r>
        <w:t>—</w:t>
      </w:r>
      <w:r>
        <w:rPr>
          <w:rStyle w:val="CharDivText"/>
        </w:rPr>
        <w:t> </w:t>
      </w:r>
      <w:r>
        <w:rPr>
          <w:rStyle w:val="CharPartText"/>
        </w:rPr>
        <w:t>Miscellaneous</w:t>
      </w:r>
      <w:bookmarkEnd w:id="161"/>
      <w:bookmarkEnd w:id="162"/>
      <w:bookmarkEnd w:id="163"/>
      <w:r>
        <w:rPr>
          <w:rStyle w:val="CharPartText"/>
        </w:rPr>
        <w:t xml:space="preserve"> </w:t>
      </w:r>
    </w:p>
    <w:p>
      <w:pPr>
        <w:pStyle w:val="Heading5"/>
        <w:rPr>
          <w:snapToGrid w:val="0"/>
        </w:rPr>
      </w:pPr>
      <w:bookmarkStart w:id="164" w:name="_Toc138412242"/>
      <w:r>
        <w:rPr>
          <w:rStyle w:val="CharSectno"/>
        </w:rPr>
        <w:t>87</w:t>
      </w:r>
      <w:r>
        <w:rPr>
          <w:snapToGrid w:val="0"/>
        </w:rPr>
        <w:t>.</w:t>
      </w:r>
      <w:r>
        <w:rPr>
          <w:snapToGrid w:val="0"/>
        </w:rPr>
        <w:tab/>
        <w:t>Laying documents before Parliament</w:t>
      </w:r>
      <w:bookmarkEnd w:id="16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No. 8 of 2009 s. 132(4) and (5).]</w:t>
      </w:r>
    </w:p>
    <w:p>
      <w:pPr>
        <w:pStyle w:val="Heading5"/>
        <w:rPr>
          <w:snapToGrid w:val="0"/>
        </w:rPr>
      </w:pPr>
      <w:bookmarkStart w:id="165" w:name="_Toc138412243"/>
      <w:r>
        <w:rPr>
          <w:rStyle w:val="CharSectno"/>
        </w:rPr>
        <w:t>88</w:t>
      </w:r>
      <w:r>
        <w:rPr>
          <w:snapToGrid w:val="0"/>
        </w:rPr>
        <w:t>.</w:t>
      </w:r>
      <w:r>
        <w:rPr>
          <w:snapToGrid w:val="0"/>
        </w:rPr>
        <w:tab/>
        <w:t>Execution of documents by corporation</w:t>
      </w:r>
      <w:bookmarkEnd w:id="165"/>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lastRenderedPageBreak/>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No. 25 of 2012 s. 160 and 190.]</w:t>
      </w:r>
    </w:p>
    <w:p>
      <w:pPr>
        <w:pStyle w:val="Heading5"/>
        <w:rPr>
          <w:snapToGrid w:val="0"/>
        </w:rPr>
      </w:pPr>
      <w:bookmarkStart w:id="166" w:name="_Toc138412244"/>
      <w:r>
        <w:rPr>
          <w:rStyle w:val="CharSectno"/>
        </w:rPr>
        <w:t>89</w:t>
      </w:r>
      <w:r>
        <w:rPr>
          <w:snapToGrid w:val="0"/>
        </w:rPr>
        <w:t>.</w:t>
      </w:r>
      <w:r>
        <w:rPr>
          <w:snapToGrid w:val="0"/>
        </w:rPr>
        <w:tab/>
        <w:t>Contract formalities</w:t>
      </w:r>
      <w:bookmarkEnd w:id="166"/>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lastRenderedPageBreak/>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No. 25 of 2012 s. 161 and 190.]</w:t>
      </w:r>
    </w:p>
    <w:p>
      <w:pPr>
        <w:pStyle w:val="Heading5"/>
        <w:rPr>
          <w:snapToGrid w:val="0"/>
        </w:rPr>
      </w:pPr>
      <w:bookmarkStart w:id="167" w:name="_Toc138412245"/>
      <w:r>
        <w:rPr>
          <w:rStyle w:val="CharSectno"/>
        </w:rPr>
        <w:t>90</w:t>
      </w:r>
      <w:r>
        <w:rPr>
          <w:snapToGrid w:val="0"/>
        </w:rPr>
        <w:t>.</w:t>
      </w:r>
      <w:r>
        <w:rPr>
          <w:snapToGrid w:val="0"/>
        </w:rPr>
        <w:tab/>
        <w:t>Delegation by Treasurer</w:t>
      </w:r>
      <w:bookmarkEnd w:id="167"/>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68" w:name="_Toc138412246"/>
      <w:r>
        <w:rPr>
          <w:rStyle w:val="CharSectno"/>
        </w:rPr>
        <w:t>91</w:t>
      </w:r>
      <w:r>
        <w:rPr>
          <w:snapToGrid w:val="0"/>
        </w:rPr>
        <w:t>.</w:t>
      </w:r>
      <w:r>
        <w:rPr>
          <w:snapToGrid w:val="0"/>
        </w:rPr>
        <w:tab/>
        <w:t>Regulations</w:t>
      </w:r>
      <w:bookmarkEnd w:id="16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No. 67 of 2003 Sch. 2 cl. 87; No. 25 of 2012 s. 162.]</w:t>
      </w:r>
    </w:p>
    <w:p>
      <w:pPr>
        <w:pStyle w:val="Heading5"/>
      </w:pPr>
      <w:bookmarkStart w:id="169" w:name="_Toc138412247"/>
      <w:r>
        <w:rPr>
          <w:rStyle w:val="CharSectno"/>
        </w:rPr>
        <w:lastRenderedPageBreak/>
        <w:t>92</w:t>
      </w:r>
      <w:r>
        <w:t>.</w:t>
      </w:r>
      <w:r>
        <w:tab/>
        <w:t>Minister may vest certain land in Water Corporation and make orders in respect of certain reserves</w:t>
      </w:r>
      <w:bookmarkEnd w:id="169"/>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lastRenderedPageBreak/>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No. 25 of 2012 s. 163.]</w:t>
      </w:r>
    </w:p>
    <w:p>
      <w:pPr>
        <w:pStyle w:val="Heading5"/>
      </w:pPr>
      <w:bookmarkStart w:id="170" w:name="_Toc138412248"/>
      <w:r>
        <w:rPr>
          <w:rStyle w:val="CharSectno"/>
        </w:rPr>
        <w:t>93</w:t>
      </w:r>
      <w:r>
        <w:t>.</w:t>
      </w:r>
      <w:r>
        <w:tab/>
        <w:t>Review of Act</w:t>
      </w:r>
      <w:bookmarkEnd w:id="170"/>
    </w:p>
    <w:p>
      <w:pPr>
        <w:pStyle w:val="Subsection"/>
      </w:pPr>
      <w:r>
        <w:tab/>
        <w:t>(1)</w:t>
      </w:r>
      <w:r>
        <w:tab/>
        <w:t xml:space="preserve">The Minister must carry out a review of the operation and effectiveness of this Act as soon as practicable after every fifth </w:t>
      </w:r>
      <w:r>
        <w:lastRenderedPageBreak/>
        <w:t xml:space="preserve">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No. 25 of 2012 s. 163.]</w:t>
      </w:r>
    </w:p>
    <w:p>
      <w:pPr>
        <w:pStyle w:val="Heading5"/>
      </w:pPr>
      <w:bookmarkStart w:id="171" w:name="_Toc138412249"/>
      <w:r>
        <w:rPr>
          <w:rStyle w:val="CharSectno"/>
        </w:rPr>
        <w:t>94</w:t>
      </w:r>
      <w:r>
        <w:t>.</w:t>
      </w:r>
      <w:r>
        <w:tab/>
        <w:t>Transitional provisions</w:t>
      </w:r>
      <w:bookmarkEnd w:id="171"/>
    </w:p>
    <w:p>
      <w:pPr>
        <w:pStyle w:val="Subsection"/>
      </w:pPr>
      <w:r>
        <w:tab/>
      </w:r>
      <w:r>
        <w:tab/>
        <w:t>Schedule 5 sets out transitional provisions.</w:t>
      </w:r>
    </w:p>
    <w:p>
      <w:pPr>
        <w:pStyle w:val="Footnotesection"/>
      </w:pPr>
      <w:r>
        <w:tab/>
        <w:t>[Section 94 inserted: No. 25 of 2012 s. 163.]</w:t>
      </w:r>
    </w:p>
    <w:p>
      <w:pPr>
        <w:rPr>
          <w:rStyle w:val="CharDivText"/>
        </w:rPr>
        <w:sectPr>
          <w:headerReference w:type="even" r:id="rId21"/>
          <w:headerReference w:type="default" r:id="rId22"/>
          <w:footerReference w:type="even" r:id="rId23"/>
          <w:headerReference w:type="first" r:id="rId24"/>
          <w:pgSz w:w="11907" w:h="16840" w:code="9"/>
          <w:pgMar w:top="2381" w:right="2409" w:bottom="3543" w:left="2409" w:header="720" w:footer="3544" w:gutter="0"/>
          <w:pgNumType w:start="1"/>
          <w:cols w:space="720"/>
          <w:noEndnote/>
          <w:titlePg/>
          <w:docGrid w:linePitch="326"/>
        </w:sectPr>
      </w:pPr>
    </w:p>
    <w:p>
      <w:pPr>
        <w:pStyle w:val="yScheduleHeading"/>
      </w:pPr>
      <w:bookmarkStart w:id="172" w:name="_Toc138409425"/>
      <w:bookmarkStart w:id="173" w:name="_Toc138409792"/>
      <w:bookmarkStart w:id="174" w:name="_Toc138412250"/>
      <w:r>
        <w:rPr>
          <w:rStyle w:val="CharSchNo"/>
        </w:rPr>
        <w:lastRenderedPageBreak/>
        <w:t>Schedule 1</w:t>
      </w:r>
      <w:r>
        <w:t> — </w:t>
      </w:r>
      <w:r>
        <w:rPr>
          <w:rStyle w:val="CharSchText"/>
        </w:rPr>
        <w:t>Provisions as to constitution and proceedings of board</w:t>
      </w:r>
      <w:bookmarkEnd w:id="172"/>
      <w:bookmarkEnd w:id="173"/>
      <w:bookmarkEnd w:id="174"/>
    </w:p>
    <w:p>
      <w:pPr>
        <w:pStyle w:val="yShoulderClause"/>
        <w:rPr>
          <w:snapToGrid w:val="0"/>
        </w:rPr>
      </w:pPr>
      <w:r>
        <w:rPr>
          <w:snapToGrid w:val="0"/>
        </w:rPr>
        <w:t>[s. 9]</w:t>
      </w:r>
    </w:p>
    <w:p>
      <w:pPr>
        <w:pStyle w:val="yFootnoteheading"/>
      </w:pPr>
      <w:r>
        <w:tab/>
        <w:t>[Heading amended: No. 19 of 2010 s. 4.]</w:t>
      </w:r>
    </w:p>
    <w:p>
      <w:pPr>
        <w:pStyle w:val="yHeading5"/>
        <w:outlineLvl w:val="9"/>
        <w:rPr>
          <w:snapToGrid w:val="0"/>
        </w:rPr>
      </w:pPr>
      <w:bookmarkStart w:id="175" w:name="_Toc138412251"/>
      <w:r>
        <w:rPr>
          <w:rStyle w:val="CharSClsNo"/>
        </w:rPr>
        <w:t>1</w:t>
      </w:r>
      <w:r>
        <w:rPr>
          <w:snapToGrid w:val="0"/>
        </w:rPr>
        <w:t>.</w:t>
      </w:r>
      <w:r>
        <w:rPr>
          <w:snapToGrid w:val="0"/>
        </w:rPr>
        <w:tab/>
        <w:t>Term used: director</w:t>
      </w:r>
      <w:bookmarkEnd w:id="175"/>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No. 25 of 2012 s. 164.]</w:t>
      </w:r>
    </w:p>
    <w:p>
      <w:pPr>
        <w:pStyle w:val="yHeading5"/>
        <w:outlineLvl w:val="9"/>
        <w:rPr>
          <w:snapToGrid w:val="0"/>
        </w:rPr>
      </w:pPr>
      <w:bookmarkStart w:id="176" w:name="_Toc138412252"/>
      <w:r>
        <w:rPr>
          <w:rStyle w:val="CharSClsNo"/>
        </w:rPr>
        <w:t>2</w:t>
      </w:r>
      <w:r>
        <w:rPr>
          <w:snapToGrid w:val="0"/>
        </w:rPr>
        <w:t>.</w:t>
      </w:r>
      <w:r>
        <w:rPr>
          <w:snapToGrid w:val="0"/>
        </w:rPr>
        <w:tab/>
        <w:t>Term of office</w:t>
      </w:r>
      <w:bookmarkEnd w:id="176"/>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No. 25 of 2012 s. 165 and 190.]</w:t>
      </w:r>
    </w:p>
    <w:p>
      <w:pPr>
        <w:pStyle w:val="yHeading5"/>
        <w:outlineLvl w:val="9"/>
        <w:rPr>
          <w:snapToGrid w:val="0"/>
        </w:rPr>
      </w:pPr>
      <w:bookmarkStart w:id="177" w:name="_Toc138412253"/>
      <w:r>
        <w:rPr>
          <w:rStyle w:val="CharSClsNo"/>
        </w:rPr>
        <w:t>3</w:t>
      </w:r>
      <w:r>
        <w:rPr>
          <w:snapToGrid w:val="0"/>
        </w:rPr>
        <w:t>.</w:t>
      </w:r>
      <w:r>
        <w:rPr>
          <w:snapToGrid w:val="0"/>
        </w:rPr>
        <w:tab/>
        <w:t>Resignation and removal</w:t>
      </w:r>
      <w:bookmarkEnd w:id="177"/>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No. 25 of 2012 s. 190.]</w:t>
      </w:r>
    </w:p>
    <w:p>
      <w:pPr>
        <w:pStyle w:val="yHeading5"/>
        <w:outlineLvl w:val="9"/>
        <w:rPr>
          <w:snapToGrid w:val="0"/>
        </w:rPr>
      </w:pPr>
      <w:bookmarkStart w:id="178" w:name="_Toc138412254"/>
      <w:r>
        <w:rPr>
          <w:rStyle w:val="CharSClsNo"/>
        </w:rPr>
        <w:lastRenderedPageBreak/>
        <w:t>4</w:t>
      </w:r>
      <w:r>
        <w:rPr>
          <w:snapToGrid w:val="0"/>
        </w:rPr>
        <w:t>.</w:t>
      </w:r>
      <w:r>
        <w:rPr>
          <w:snapToGrid w:val="0"/>
        </w:rPr>
        <w:tab/>
        <w:t>Chairperson and deputy chairperson</w:t>
      </w:r>
      <w:bookmarkEnd w:id="178"/>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No. 25 of 2012 s. 166.]</w:t>
      </w:r>
    </w:p>
    <w:p>
      <w:pPr>
        <w:pStyle w:val="yHeading5"/>
        <w:outlineLvl w:val="9"/>
        <w:rPr>
          <w:snapToGrid w:val="0"/>
        </w:rPr>
      </w:pPr>
      <w:bookmarkStart w:id="179" w:name="_Toc138412255"/>
      <w:r>
        <w:rPr>
          <w:rStyle w:val="CharSClsNo"/>
        </w:rPr>
        <w:t>5</w:t>
      </w:r>
      <w:r>
        <w:rPr>
          <w:snapToGrid w:val="0"/>
        </w:rPr>
        <w:t>.</w:t>
      </w:r>
      <w:r>
        <w:rPr>
          <w:snapToGrid w:val="0"/>
        </w:rPr>
        <w:tab/>
        <w:t>Alternate directors</w:t>
      </w:r>
      <w:bookmarkEnd w:id="179"/>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No. 25 of 2012 s. 167.]</w:t>
      </w:r>
    </w:p>
    <w:p>
      <w:pPr>
        <w:pStyle w:val="yHeading5"/>
        <w:outlineLvl w:val="9"/>
        <w:rPr>
          <w:snapToGrid w:val="0"/>
        </w:rPr>
      </w:pPr>
      <w:bookmarkStart w:id="180" w:name="_Toc138412256"/>
      <w:r>
        <w:rPr>
          <w:rStyle w:val="CharSClsNo"/>
        </w:rPr>
        <w:lastRenderedPageBreak/>
        <w:t>6</w:t>
      </w:r>
      <w:r>
        <w:rPr>
          <w:snapToGrid w:val="0"/>
        </w:rPr>
        <w:t>.</w:t>
      </w:r>
      <w:r>
        <w:rPr>
          <w:snapToGrid w:val="0"/>
        </w:rPr>
        <w:tab/>
        <w:t>Meetings</w:t>
      </w:r>
      <w:bookmarkEnd w:id="180"/>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No. 25 of 2012 s. 190.]</w:t>
      </w:r>
    </w:p>
    <w:p>
      <w:pPr>
        <w:pStyle w:val="yHeading5"/>
        <w:outlineLvl w:val="9"/>
        <w:rPr>
          <w:snapToGrid w:val="0"/>
        </w:rPr>
      </w:pPr>
      <w:bookmarkStart w:id="181" w:name="_Toc138412257"/>
      <w:r>
        <w:rPr>
          <w:rStyle w:val="CharSClsNo"/>
        </w:rPr>
        <w:t>7</w:t>
      </w:r>
      <w:r>
        <w:t>.</w:t>
      </w:r>
      <w:r>
        <w:tab/>
        <w:t>Telephone and video meetings</w:t>
      </w:r>
      <w:bookmarkEnd w:id="181"/>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182" w:name="_Toc138412258"/>
      <w:r>
        <w:rPr>
          <w:rStyle w:val="CharSClsNo"/>
        </w:rPr>
        <w:t>8</w:t>
      </w:r>
      <w:r>
        <w:rPr>
          <w:snapToGrid w:val="0"/>
        </w:rPr>
        <w:t>.</w:t>
      </w:r>
      <w:r>
        <w:rPr>
          <w:snapToGrid w:val="0"/>
        </w:rPr>
        <w:tab/>
        <w:t>Resolution may be passed without meeting</w:t>
      </w:r>
      <w:bookmarkEnd w:id="182"/>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lastRenderedPageBreak/>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No. 25 of 2012 s. 190.]</w:t>
      </w:r>
    </w:p>
    <w:p>
      <w:pPr>
        <w:pStyle w:val="yHeading5"/>
        <w:outlineLvl w:val="9"/>
        <w:rPr>
          <w:snapToGrid w:val="0"/>
        </w:rPr>
      </w:pPr>
      <w:bookmarkStart w:id="183" w:name="_Toc138412259"/>
      <w:r>
        <w:rPr>
          <w:rStyle w:val="CharSClsNo"/>
        </w:rPr>
        <w:t>9</w:t>
      </w:r>
      <w:r>
        <w:rPr>
          <w:snapToGrid w:val="0"/>
        </w:rPr>
        <w:t>.</w:t>
      </w:r>
      <w:r>
        <w:rPr>
          <w:snapToGrid w:val="0"/>
        </w:rPr>
        <w:tab/>
        <w:t>Minutes of meetings etc.</w:t>
      </w:r>
      <w:bookmarkEnd w:id="183"/>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No. 25 of 2012 s. 190.]</w:t>
      </w:r>
    </w:p>
    <w:p>
      <w:pPr>
        <w:pStyle w:val="yHeading5"/>
        <w:outlineLvl w:val="9"/>
        <w:rPr>
          <w:snapToGrid w:val="0"/>
        </w:rPr>
      </w:pPr>
      <w:bookmarkStart w:id="184" w:name="_Toc138412260"/>
      <w:r>
        <w:rPr>
          <w:rStyle w:val="CharSClsNo"/>
        </w:rPr>
        <w:lastRenderedPageBreak/>
        <w:t>10</w:t>
      </w:r>
      <w:r>
        <w:rPr>
          <w:snapToGrid w:val="0"/>
        </w:rPr>
        <w:t>.</w:t>
      </w:r>
      <w:r>
        <w:rPr>
          <w:snapToGrid w:val="0"/>
        </w:rPr>
        <w:tab/>
        <w:t>Leave of absence</w:t>
      </w:r>
      <w:bookmarkEnd w:id="184"/>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No. 25 of 2012 s. 190.]</w:t>
      </w:r>
    </w:p>
    <w:p>
      <w:pPr>
        <w:pStyle w:val="yHeading5"/>
        <w:outlineLvl w:val="9"/>
        <w:rPr>
          <w:snapToGrid w:val="0"/>
        </w:rPr>
      </w:pPr>
      <w:bookmarkStart w:id="185" w:name="_Toc138412261"/>
      <w:r>
        <w:rPr>
          <w:rStyle w:val="CharSClsNo"/>
        </w:rPr>
        <w:t>11</w:t>
      </w:r>
      <w:r>
        <w:rPr>
          <w:snapToGrid w:val="0"/>
        </w:rPr>
        <w:t>.</w:t>
      </w:r>
      <w:r>
        <w:rPr>
          <w:snapToGrid w:val="0"/>
        </w:rPr>
        <w:tab/>
        <w:t>Board to determine own procedures</w:t>
      </w:r>
      <w:bookmarkEnd w:id="185"/>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No. 25 of 2012 s. 190.]</w:t>
      </w:r>
    </w:p>
    <w:p>
      <w:pPr>
        <w:pStyle w:val="yScheduleHeading"/>
        <w:sectPr>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pPr>
        <w:pStyle w:val="yScheduleHeading"/>
      </w:pPr>
      <w:bookmarkStart w:id="187" w:name="_Toc138409437"/>
      <w:bookmarkStart w:id="188" w:name="_Toc138409804"/>
      <w:bookmarkStart w:id="189" w:name="_Toc138412262"/>
      <w:r>
        <w:rPr>
          <w:rStyle w:val="CharSchNo"/>
        </w:rPr>
        <w:lastRenderedPageBreak/>
        <w:t>Schedule 2</w:t>
      </w:r>
      <w:r>
        <w:t> — </w:t>
      </w:r>
      <w:r>
        <w:rPr>
          <w:rStyle w:val="CharSchText"/>
        </w:rPr>
        <w:t>Provisions as to duties of directors and related provisions</w:t>
      </w:r>
      <w:bookmarkEnd w:id="187"/>
      <w:bookmarkEnd w:id="188"/>
      <w:bookmarkEnd w:id="189"/>
    </w:p>
    <w:p>
      <w:pPr>
        <w:pStyle w:val="yShoulderClause"/>
        <w:rPr>
          <w:snapToGrid w:val="0"/>
        </w:rPr>
      </w:pPr>
      <w:r>
        <w:rPr>
          <w:snapToGrid w:val="0"/>
        </w:rPr>
        <w:t>[s. 20, 21, 22 and 23]</w:t>
      </w:r>
    </w:p>
    <w:p>
      <w:pPr>
        <w:pStyle w:val="yFootnoteheading"/>
      </w:pPr>
      <w:r>
        <w:tab/>
        <w:t>[Heading amended: No. 19 of 2010 s. 4.]</w:t>
      </w:r>
    </w:p>
    <w:p>
      <w:pPr>
        <w:pStyle w:val="yHeading3"/>
        <w:outlineLvl w:val="9"/>
        <w:rPr>
          <w:snapToGrid w:val="0"/>
        </w:rPr>
      </w:pPr>
      <w:bookmarkStart w:id="190" w:name="_Toc138409438"/>
      <w:bookmarkStart w:id="191" w:name="_Toc138409805"/>
      <w:bookmarkStart w:id="192" w:name="_Toc138412263"/>
      <w:r>
        <w:rPr>
          <w:rStyle w:val="CharSDivNo"/>
        </w:rPr>
        <w:t>Division 1</w:t>
      </w:r>
      <w:r>
        <w:rPr>
          <w:snapToGrid w:val="0"/>
        </w:rPr>
        <w:t> — </w:t>
      </w:r>
      <w:r>
        <w:rPr>
          <w:rStyle w:val="CharSDivText"/>
        </w:rPr>
        <w:t>Preliminary</w:t>
      </w:r>
      <w:bookmarkEnd w:id="190"/>
      <w:bookmarkEnd w:id="191"/>
      <w:bookmarkEnd w:id="192"/>
      <w:r>
        <w:rPr>
          <w:snapToGrid w:val="0"/>
        </w:rPr>
        <w:t xml:space="preserve"> </w:t>
      </w:r>
    </w:p>
    <w:p>
      <w:pPr>
        <w:pStyle w:val="yHeading5"/>
        <w:outlineLvl w:val="9"/>
        <w:rPr>
          <w:snapToGrid w:val="0"/>
        </w:rPr>
      </w:pPr>
      <w:bookmarkStart w:id="193" w:name="_Toc138412264"/>
      <w:r>
        <w:rPr>
          <w:rStyle w:val="CharSClsNo"/>
        </w:rPr>
        <w:t>1</w:t>
      </w:r>
      <w:r>
        <w:rPr>
          <w:snapToGrid w:val="0"/>
        </w:rPr>
        <w:t>.</w:t>
      </w:r>
      <w:r>
        <w:rPr>
          <w:snapToGrid w:val="0"/>
        </w:rPr>
        <w:tab/>
        <w:t>Interpretation</w:t>
      </w:r>
      <w:bookmarkEnd w:id="193"/>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194" w:name="_Toc138409440"/>
      <w:bookmarkStart w:id="195" w:name="_Toc138409807"/>
      <w:bookmarkStart w:id="196" w:name="_Toc138412265"/>
      <w:r>
        <w:rPr>
          <w:rStyle w:val="CharSDivNo"/>
        </w:rPr>
        <w:t>Division 2</w:t>
      </w:r>
      <w:r>
        <w:rPr>
          <w:snapToGrid w:val="0"/>
        </w:rPr>
        <w:t> — </w:t>
      </w:r>
      <w:r>
        <w:rPr>
          <w:rStyle w:val="CharSDivText"/>
        </w:rPr>
        <w:t>Certain duties stated</w:t>
      </w:r>
      <w:bookmarkEnd w:id="194"/>
      <w:bookmarkEnd w:id="195"/>
      <w:bookmarkEnd w:id="196"/>
      <w:r>
        <w:rPr>
          <w:snapToGrid w:val="0"/>
        </w:rPr>
        <w:t xml:space="preserve"> </w:t>
      </w:r>
    </w:p>
    <w:p>
      <w:pPr>
        <w:pStyle w:val="yHeading5"/>
        <w:outlineLvl w:val="9"/>
        <w:rPr>
          <w:snapToGrid w:val="0"/>
        </w:rPr>
      </w:pPr>
      <w:bookmarkStart w:id="197" w:name="_Toc138412266"/>
      <w:r>
        <w:rPr>
          <w:rStyle w:val="CharSClsNo"/>
        </w:rPr>
        <w:t>2</w:t>
      </w:r>
      <w:r>
        <w:rPr>
          <w:snapToGrid w:val="0"/>
        </w:rPr>
        <w:t>.</w:t>
      </w:r>
      <w:r>
        <w:rPr>
          <w:snapToGrid w:val="0"/>
        </w:rPr>
        <w:tab/>
        <w:t>Duty to act honestly</w:t>
      </w:r>
      <w:bookmarkEnd w:id="197"/>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No. 25 of 2012 s. 168.]</w:t>
      </w:r>
    </w:p>
    <w:p>
      <w:pPr>
        <w:pStyle w:val="yHeading5"/>
        <w:outlineLvl w:val="9"/>
        <w:rPr>
          <w:snapToGrid w:val="0"/>
        </w:rPr>
      </w:pPr>
      <w:bookmarkStart w:id="198" w:name="_Toc138412267"/>
      <w:r>
        <w:rPr>
          <w:rStyle w:val="CharSClsNo"/>
        </w:rPr>
        <w:lastRenderedPageBreak/>
        <w:t>3</w:t>
      </w:r>
      <w:r>
        <w:rPr>
          <w:snapToGrid w:val="0"/>
        </w:rPr>
        <w:t>.</w:t>
      </w:r>
      <w:r>
        <w:rPr>
          <w:snapToGrid w:val="0"/>
        </w:rPr>
        <w:tab/>
        <w:t>Duty to exercise reasonable care and diligence</w:t>
      </w:r>
      <w:bookmarkEnd w:id="198"/>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No. 25 of 2012 s. 190.]</w:t>
      </w:r>
    </w:p>
    <w:p>
      <w:pPr>
        <w:pStyle w:val="yHeading5"/>
        <w:outlineLvl w:val="9"/>
        <w:rPr>
          <w:snapToGrid w:val="0"/>
        </w:rPr>
      </w:pPr>
      <w:bookmarkStart w:id="199" w:name="_Toc138412268"/>
      <w:r>
        <w:rPr>
          <w:rStyle w:val="CharSClsNo"/>
        </w:rPr>
        <w:t>4</w:t>
      </w:r>
      <w:r>
        <w:rPr>
          <w:snapToGrid w:val="0"/>
        </w:rPr>
        <w:t>.</w:t>
      </w:r>
      <w:r>
        <w:rPr>
          <w:snapToGrid w:val="0"/>
        </w:rPr>
        <w:tab/>
        <w:t>Duty not to make improper use of information</w:t>
      </w:r>
      <w:bookmarkEnd w:id="199"/>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No. 25 of 2012 s. 169.]</w:t>
      </w:r>
    </w:p>
    <w:p>
      <w:pPr>
        <w:pStyle w:val="yHeading5"/>
        <w:outlineLvl w:val="9"/>
        <w:rPr>
          <w:snapToGrid w:val="0"/>
        </w:rPr>
      </w:pPr>
      <w:bookmarkStart w:id="200" w:name="_Toc138412269"/>
      <w:r>
        <w:rPr>
          <w:rStyle w:val="CharSClsNo"/>
        </w:rPr>
        <w:t>5</w:t>
      </w:r>
      <w:r>
        <w:rPr>
          <w:snapToGrid w:val="0"/>
        </w:rPr>
        <w:t>.</w:t>
      </w:r>
      <w:r>
        <w:rPr>
          <w:snapToGrid w:val="0"/>
        </w:rPr>
        <w:tab/>
        <w:t>Duty not to make improper use of position</w:t>
      </w:r>
      <w:bookmarkEnd w:id="200"/>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No. 25 of 2012 s. 170.]</w:t>
      </w:r>
    </w:p>
    <w:p>
      <w:pPr>
        <w:pStyle w:val="yHeading5"/>
        <w:outlineLvl w:val="9"/>
        <w:rPr>
          <w:snapToGrid w:val="0"/>
        </w:rPr>
      </w:pPr>
      <w:bookmarkStart w:id="201" w:name="_Toc138412270"/>
      <w:r>
        <w:rPr>
          <w:rStyle w:val="CharSClsNo"/>
        </w:rPr>
        <w:lastRenderedPageBreak/>
        <w:t>6</w:t>
      </w:r>
      <w:r>
        <w:rPr>
          <w:snapToGrid w:val="0"/>
        </w:rPr>
        <w:t>.</w:t>
      </w:r>
      <w:r>
        <w:rPr>
          <w:snapToGrid w:val="0"/>
        </w:rPr>
        <w:tab/>
        <w:t>Fiduciary duty</w:t>
      </w:r>
      <w:bookmarkEnd w:id="201"/>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No. 10 of 2001 s. 208; No. 25 of 2012 s. 190.]</w:t>
      </w:r>
    </w:p>
    <w:p>
      <w:pPr>
        <w:pStyle w:val="yHeading3"/>
        <w:outlineLvl w:val="9"/>
        <w:rPr>
          <w:snapToGrid w:val="0"/>
        </w:rPr>
      </w:pPr>
      <w:bookmarkStart w:id="202" w:name="_Toc138409446"/>
      <w:bookmarkStart w:id="203" w:name="_Toc138409813"/>
      <w:bookmarkStart w:id="204" w:name="_Toc138412271"/>
      <w:r>
        <w:rPr>
          <w:rStyle w:val="CharSDivNo"/>
        </w:rPr>
        <w:t>Division 3</w:t>
      </w:r>
      <w:r>
        <w:rPr>
          <w:snapToGrid w:val="0"/>
        </w:rPr>
        <w:t> — </w:t>
      </w:r>
      <w:r>
        <w:rPr>
          <w:rStyle w:val="CharSDivText"/>
        </w:rPr>
        <w:t>Recovery from director</w:t>
      </w:r>
      <w:bookmarkEnd w:id="202"/>
      <w:bookmarkEnd w:id="203"/>
      <w:bookmarkEnd w:id="204"/>
      <w:r>
        <w:rPr>
          <w:snapToGrid w:val="0"/>
        </w:rPr>
        <w:t xml:space="preserve"> </w:t>
      </w:r>
    </w:p>
    <w:p>
      <w:pPr>
        <w:pStyle w:val="yHeading5"/>
        <w:outlineLvl w:val="9"/>
        <w:rPr>
          <w:snapToGrid w:val="0"/>
        </w:rPr>
      </w:pPr>
      <w:bookmarkStart w:id="205" w:name="_Toc138412272"/>
      <w:r>
        <w:rPr>
          <w:rStyle w:val="CharSClsNo"/>
        </w:rPr>
        <w:t>7</w:t>
      </w:r>
      <w:r>
        <w:rPr>
          <w:snapToGrid w:val="0"/>
        </w:rPr>
        <w:t>.</w:t>
      </w:r>
      <w:r>
        <w:rPr>
          <w:snapToGrid w:val="0"/>
        </w:rPr>
        <w:tab/>
        <w:t>Payment of compensation may be ordered</w:t>
      </w:r>
      <w:bookmarkEnd w:id="20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No. 25 of 2012 s. 171.]</w:t>
      </w:r>
    </w:p>
    <w:p>
      <w:pPr>
        <w:pStyle w:val="yHeading5"/>
        <w:outlineLvl w:val="9"/>
        <w:rPr>
          <w:snapToGrid w:val="0"/>
        </w:rPr>
      </w:pPr>
      <w:bookmarkStart w:id="206" w:name="_Toc138412273"/>
      <w:r>
        <w:rPr>
          <w:rStyle w:val="CharSClsNo"/>
        </w:rPr>
        <w:t>8</w:t>
      </w:r>
      <w:r>
        <w:rPr>
          <w:snapToGrid w:val="0"/>
        </w:rPr>
        <w:t>.</w:t>
      </w:r>
      <w:r>
        <w:rPr>
          <w:snapToGrid w:val="0"/>
        </w:rPr>
        <w:tab/>
        <w:t>Civil proceedings for recovery from director</w:t>
      </w:r>
      <w:bookmarkEnd w:id="206"/>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lastRenderedPageBreak/>
        <w:tab/>
        <w:t>(b)</w:t>
      </w:r>
      <w:r>
        <w:rPr>
          <w:snapToGrid w:val="0"/>
        </w:rPr>
        <w:tab/>
        <w:t>if the corporation has suffered loss or damage as a result of the contravention, an amount equal to that loss or damage.</w:t>
      </w:r>
    </w:p>
    <w:p>
      <w:pPr>
        <w:pStyle w:val="yFootnotesection"/>
      </w:pPr>
      <w:r>
        <w:tab/>
        <w:t>[Clause 8 amended: No. 25 of 2012 s. 172.]</w:t>
      </w:r>
    </w:p>
    <w:p>
      <w:pPr>
        <w:pStyle w:val="yHeading3"/>
        <w:outlineLvl w:val="9"/>
        <w:rPr>
          <w:snapToGrid w:val="0"/>
        </w:rPr>
      </w:pPr>
      <w:bookmarkStart w:id="207" w:name="_Toc138409449"/>
      <w:bookmarkStart w:id="208" w:name="_Toc138409816"/>
      <w:bookmarkStart w:id="209" w:name="_Toc138412274"/>
      <w:r>
        <w:rPr>
          <w:rStyle w:val="CharSDivNo"/>
        </w:rPr>
        <w:t>Division 4</w:t>
      </w:r>
      <w:r>
        <w:rPr>
          <w:snapToGrid w:val="0"/>
        </w:rPr>
        <w:t> — </w:t>
      </w:r>
      <w:r>
        <w:rPr>
          <w:rStyle w:val="CharSDivText"/>
        </w:rPr>
        <w:t>Relief of director</w:t>
      </w:r>
      <w:bookmarkEnd w:id="207"/>
      <w:bookmarkEnd w:id="208"/>
      <w:bookmarkEnd w:id="209"/>
      <w:r>
        <w:rPr>
          <w:snapToGrid w:val="0"/>
        </w:rPr>
        <w:t xml:space="preserve"> </w:t>
      </w:r>
    </w:p>
    <w:p>
      <w:pPr>
        <w:pStyle w:val="yHeading5"/>
        <w:outlineLvl w:val="9"/>
        <w:rPr>
          <w:snapToGrid w:val="0"/>
        </w:rPr>
      </w:pPr>
      <w:bookmarkStart w:id="210" w:name="_Toc138412275"/>
      <w:r>
        <w:rPr>
          <w:rStyle w:val="CharSClsNo"/>
        </w:rPr>
        <w:t>9</w:t>
      </w:r>
      <w:r>
        <w:rPr>
          <w:snapToGrid w:val="0"/>
        </w:rPr>
        <w:t>.</w:t>
      </w:r>
      <w:r>
        <w:rPr>
          <w:snapToGrid w:val="0"/>
        </w:rPr>
        <w:tab/>
        <w:t>Director etc. may be relieved from liability</w:t>
      </w:r>
      <w:bookmarkEnd w:id="210"/>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11" w:name="_Toc138412276"/>
      <w:r>
        <w:rPr>
          <w:rStyle w:val="CharSClsNo"/>
        </w:rPr>
        <w:t>10</w:t>
      </w:r>
      <w:r>
        <w:rPr>
          <w:snapToGrid w:val="0"/>
        </w:rPr>
        <w:t>.</w:t>
      </w:r>
      <w:r>
        <w:rPr>
          <w:snapToGrid w:val="0"/>
        </w:rPr>
        <w:tab/>
        <w:t>Director etc. may apply for relief</w:t>
      </w:r>
      <w:bookmarkEnd w:id="211"/>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12" w:name="_Toc138412277"/>
      <w:r>
        <w:rPr>
          <w:rStyle w:val="CharSClsNo"/>
        </w:rPr>
        <w:t>11</w:t>
      </w:r>
      <w:r>
        <w:rPr>
          <w:snapToGrid w:val="0"/>
        </w:rPr>
        <w:t>.</w:t>
      </w:r>
      <w:r>
        <w:rPr>
          <w:snapToGrid w:val="0"/>
        </w:rPr>
        <w:tab/>
        <w:t>Case may be withdrawn from jury</w:t>
      </w:r>
      <w:bookmarkEnd w:id="212"/>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13" w:name="_Toc138409453"/>
      <w:bookmarkStart w:id="214" w:name="_Toc138409820"/>
      <w:bookmarkStart w:id="215" w:name="_Toc138412278"/>
      <w:r>
        <w:rPr>
          <w:rStyle w:val="CharSDivNo"/>
        </w:rPr>
        <w:lastRenderedPageBreak/>
        <w:t>Division 5</w:t>
      </w:r>
      <w:r>
        <w:rPr>
          <w:snapToGrid w:val="0"/>
        </w:rPr>
        <w:t> — </w:t>
      </w:r>
      <w:r>
        <w:rPr>
          <w:rStyle w:val="CharSDivText"/>
        </w:rPr>
        <w:t>Disclosure etc. of personal interests</w:t>
      </w:r>
      <w:bookmarkEnd w:id="213"/>
      <w:bookmarkEnd w:id="214"/>
      <w:bookmarkEnd w:id="215"/>
      <w:r>
        <w:rPr>
          <w:snapToGrid w:val="0"/>
        </w:rPr>
        <w:t xml:space="preserve"> </w:t>
      </w:r>
    </w:p>
    <w:p>
      <w:pPr>
        <w:pStyle w:val="yHeading5"/>
        <w:outlineLvl w:val="9"/>
        <w:rPr>
          <w:snapToGrid w:val="0"/>
        </w:rPr>
      </w:pPr>
      <w:bookmarkStart w:id="216" w:name="_Toc138412279"/>
      <w:r>
        <w:rPr>
          <w:rStyle w:val="CharSClsNo"/>
        </w:rPr>
        <w:t>12</w:t>
      </w:r>
      <w:r>
        <w:rPr>
          <w:snapToGrid w:val="0"/>
        </w:rPr>
        <w:t>.</w:t>
      </w:r>
      <w:r>
        <w:rPr>
          <w:snapToGrid w:val="0"/>
        </w:rPr>
        <w:tab/>
        <w:t>Disclosure of interests in contracts</w:t>
      </w:r>
      <w:bookmarkEnd w:id="216"/>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No. 10 of 1998 s. 73(3); No. 50 of 2003 s. 103; No. 25 of 2012 s. 173.]</w:t>
      </w:r>
    </w:p>
    <w:p>
      <w:pPr>
        <w:pStyle w:val="yHeading5"/>
        <w:outlineLvl w:val="9"/>
        <w:rPr>
          <w:snapToGrid w:val="0"/>
        </w:rPr>
      </w:pPr>
      <w:bookmarkStart w:id="217" w:name="_Toc138412280"/>
      <w:r>
        <w:rPr>
          <w:rStyle w:val="CharSClsNo"/>
        </w:rPr>
        <w:t>13</w:t>
      </w:r>
      <w:r>
        <w:rPr>
          <w:snapToGrid w:val="0"/>
        </w:rPr>
        <w:t>.</w:t>
      </w:r>
      <w:r>
        <w:rPr>
          <w:snapToGrid w:val="0"/>
        </w:rPr>
        <w:tab/>
        <w:t>Voting by interested directors</w:t>
      </w:r>
      <w:bookmarkEnd w:id="217"/>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lastRenderedPageBreak/>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No. 25 of 2012 s. 190.]</w:t>
      </w:r>
    </w:p>
    <w:p>
      <w:pPr>
        <w:pStyle w:val="yHeading3"/>
        <w:outlineLvl w:val="9"/>
        <w:rPr>
          <w:snapToGrid w:val="0"/>
        </w:rPr>
      </w:pPr>
      <w:bookmarkStart w:id="218" w:name="_Toc138409456"/>
      <w:bookmarkStart w:id="219" w:name="_Toc138409823"/>
      <w:bookmarkStart w:id="220" w:name="_Toc138412281"/>
      <w:r>
        <w:rPr>
          <w:rStyle w:val="CharSDivNo"/>
        </w:rPr>
        <w:t>Division 6</w:t>
      </w:r>
      <w:r>
        <w:rPr>
          <w:snapToGrid w:val="0"/>
        </w:rPr>
        <w:t> — </w:t>
      </w:r>
      <w:r>
        <w:rPr>
          <w:rStyle w:val="CharSDivText"/>
        </w:rPr>
        <w:t>Other prohibited conduct</w:t>
      </w:r>
      <w:bookmarkEnd w:id="218"/>
      <w:bookmarkEnd w:id="219"/>
      <w:bookmarkEnd w:id="220"/>
      <w:r>
        <w:rPr>
          <w:snapToGrid w:val="0"/>
        </w:rPr>
        <w:t xml:space="preserve"> </w:t>
      </w:r>
    </w:p>
    <w:p>
      <w:pPr>
        <w:pStyle w:val="yHeading5"/>
        <w:outlineLvl w:val="9"/>
      </w:pPr>
      <w:bookmarkStart w:id="221" w:name="_Toc138412282"/>
      <w:r>
        <w:rPr>
          <w:rStyle w:val="CharSClsNo"/>
        </w:rPr>
        <w:t>14</w:t>
      </w:r>
      <w:r>
        <w:t>.</w:t>
      </w:r>
      <w:r>
        <w:tab/>
        <w:t>Prohibition on loans to directors and related person</w:t>
      </w:r>
      <w:bookmarkEnd w:id="221"/>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lastRenderedPageBreak/>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No. 28 of 2003 s. 204; No. 25 of 2012 s. 174 and 190.]</w:t>
      </w:r>
    </w:p>
    <w:p>
      <w:pPr>
        <w:pStyle w:val="yHeading5"/>
        <w:outlineLvl w:val="9"/>
        <w:rPr>
          <w:snapToGrid w:val="0"/>
        </w:rPr>
      </w:pPr>
      <w:bookmarkStart w:id="222" w:name="_Toc138412283"/>
      <w:r>
        <w:rPr>
          <w:rStyle w:val="CharSClsNo"/>
        </w:rPr>
        <w:t>15</w:t>
      </w:r>
      <w:r>
        <w:rPr>
          <w:snapToGrid w:val="0"/>
        </w:rPr>
        <w:t>.</w:t>
      </w:r>
      <w:r>
        <w:rPr>
          <w:snapToGrid w:val="0"/>
        </w:rPr>
        <w:tab/>
        <w:t>Directors or auditor not to be indemnified for certain matters</w:t>
      </w:r>
      <w:bookmarkEnd w:id="222"/>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lastRenderedPageBreak/>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No. 25 of 2012 s. 190.]</w:t>
      </w:r>
    </w:p>
    <w:p>
      <w:pPr>
        <w:pStyle w:val="yHeading5"/>
        <w:spacing w:before="600"/>
        <w:outlineLvl w:val="9"/>
        <w:rPr>
          <w:snapToGrid w:val="0"/>
        </w:rPr>
      </w:pPr>
      <w:bookmarkStart w:id="223" w:name="_Toc138412284"/>
      <w:r>
        <w:rPr>
          <w:rStyle w:val="CharSClsNo"/>
        </w:rPr>
        <w:lastRenderedPageBreak/>
        <w:t>16</w:t>
      </w:r>
      <w:r>
        <w:rPr>
          <w:snapToGrid w:val="0"/>
        </w:rPr>
        <w:t>.</w:t>
      </w:r>
      <w:r>
        <w:rPr>
          <w:snapToGrid w:val="0"/>
        </w:rPr>
        <w:tab/>
        <w:t>False information etc.</w:t>
      </w:r>
      <w:bookmarkEnd w:id="223"/>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lastRenderedPageBreak/>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No. 25 of 2012 s. 190.]</w:t>
      </w:r>
    </w:p>
    <w:p>
      <w:pPr>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yScheduleHeading"/>
      </w:pPr>
      <w:bookmarkStart w:id="224" w:name="_Toc138409460"/>
      <w:bookmarkStart w:id="225" w:name="_Toc138409827"/>
      <w:bookmarkStart w:id="226" w:name="_Toc138412285"/>
      <w:r>
        <w:rPr>
          <w:rStyle w:val="CharSchNo"/>
        </w:rPr>
        <w:lastRenderedPageBreak/>
        <w:t>Schedule 3</w:t>
      </w:r>
      <w:r>
        <w:t xml:space="preserve"> — </w:t>
      </w:r>
      <w:r>
        <w:rPr>
          <w:rStyle w:val="CharSchText"/>
        </w:rPr>
        <w:t>Financial administration and audit</w:t>
      </w:r>
      <w:bookmarkEnd w:id="224"/>
      <w:bookmarkEnd w:id="225"/>
      <w:bookmarkEnd w:id="226"/>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Gazette 24 May 2002 p. 2605.]</w:t>
      </w:r>
    </w:p>
    <w:p>
      <w:pPr>
        <w:pStyle w:val="yHeading3"/>
        <w:keepNext w:val="0"/>
        <w:outlineLvl w:val="9"/>
      </w:pPr>
      <w:bookmarkStart w:id="227" w:name="_Toc138409461"/>
      <w:bookmarkStart w:id="228" w:name="_Toc138409828"/>
      <w:bookmarkStart w:id="229" w:name="_Toc138412286"/>
      <w:r>
        <w:rPr>
          <w:rStyle w:val="CharSDivNo"/>
        </w:rPr>
        <w:t>Division 1</w:t>
      </w:r>
      <w:r>
        <w:t xml:space="preserve"> — </w:t>
      </w:r>
      <w:r>
        <w:rPr>
          <w:rStyle w:val="CharSDivText"/>
        </w:rPr>
        <w:t>Preliminary</w:t>
      </w:r>
      <w:bookmarkEnd w:id="227"/>
      <w:bookmarkEnd w:id="228"/>
      <w:bookmarkEnd w:id="229"/>
    </w:p>
    <w:p>
      <w:pPr>
        <w:pStyle w:val="yFootnotesection"/>
        <w:rPr>
          <w:snapToGrid w:val="0"/>
        </w:rPr>
      </w:pPr>
      <w:r>
        <w:tab/>
      </w:r>
      <w:r>
        <w:rPr>
          <w:snapToGrid w:val="0"/>
        </w:rPr>
        <w:t>[</w:t>
      </w:r>
      <w:r>
        <w:t>Heading</w:t>
      </w:r>
      <w:r>
        <w:rPr>
          <w:snapToGrid w:val="0"/>
        </w:rPr>
        <w:t xml:space="preserve"> inserted: Gazette 24 May 2002 p. 2605.]</w:t>
      </w:r>
    </w:p>
    <w:p>
      <w:pPr>
        <w:pStyle w:val="yHeading5"/>
        <w:outlineLvl w:val="9"/>
      </w:pPr>
      <w:bookmarkStart w:id="230" w:name="_Toc138412287"/>
      <w:r>
        <w:rPr>
          <w:rStyle w:val="CharSClsNo"/>
        </w:rPr>
        <w:t>1</w:t>
      </w:r>
      <w:r>
        <w:t>.</w:t>
      </w:r>
      <w:r>
        <w:tab/>
        <w:t>Terms used</w:t>
      </w:r>
      <w:bookmarkEnd w:id="230"/>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Gazette 24 May 2002 p. 2605.]</w:t>
      </w:r>
    </w:p>
    <w:p>
      <w:pPr>
        <w:pStyle w:val="yHeading3"/>
        <w:outlineLvl w:val="9"/>
      </w:pPr>
      <w:bookmarkStart w:id="231" w:name="_Toc138409463"/>
      <w:bookmarkStart w:id="232" w:name="_Toc138409830"/>
      <w:bookmarkStart w:id="233" w:name="_Toc138412288"/>
      <w:r>
        <w:rPr>
          <w:rStyle w:val="CharSDivNo"/>
        </w:rPr>
        <w:t>Division 2</w:t>
      </w:r>
      <w:r>
        <w:t xml:space="preserve"> — </w:t>
      </w:r>
      <w:r>
        <w:rPr>
          <w:rStyle w:val="CharSDivText"/>
        </w:rPr>
        <w:t>Financial records</w:t>
      </w:r>
      <w:bookmarkEnd w:id="231"/>
      <w:bookmarkEnd w:id="232"/>
      <w:bookmarkEnd w:id="233"/>
    </w:p>
    <w:p>
      <w:pPr>
        <w:pStyle w:val="yFootnotesection"/>
      </w:pPr>
      <w:r>
        <w:rPr>
          <w:snapToGrid w:val="0"/>
        </w:rPr>
        <w:tab/>
        <w:t>[Heading inserted: Gazette 24 May 2002 p. 2606.]</w:t>
      </w:r>
    </w:p>
    <w:p>
      <w:pPr>
        <w:pStyle w:val="yHeading5"/>
        <w:outlineLvl w:val="9"/>
      </w:pPr>
      <w:bookmarkStart w:id="234" w:name="_Toc138412289"/>
      <w:r>
        <w:rPr>
          <w:rStyle w:val="CharSClsNo"/>
        </w:rPr>
        <w:t>2</w:t>
      </w:r>
      <w:r>
        <w:t>.</w:t>
      </w:r>
      <w:r>
        <w:tab/>
        <w:t xml:space="preserve">Duty to keep financial records </w:t>
      </w:r>
      <w:r>
        <w:rPr>
          <w:i/>
        </w:rPr>
        <w:t>(cf. Corporations Act s. 286)</w:t>
      </w:r>
      <w:bookmarkEnd w:id="234"/>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Gazette 24 May 2002 p. 2606; amended: No. 25 of 2012 s. 175.]</w:t>
      </w:r>
    </w:p>
    <w:p>
      <w:pPr>
        <w:pStyle w:val="yHeading5"/>
        <w:outlineLvl w:val="9"/>
      </w:pPr>
      <w:bookmarkStart w:id="235" w:name="_Toc138412290"/>
      <w:r>
        <w:rPr>
          <w:rStyle w:val="CharSClsNo"/>
        </w:rPr>
        <w:lastRenderedPageBreak/>
        <w:t>3</w:t>
      </w:r>
      <w:r>
        <w:t>.</w:t>
      </w:r>
      <w:r>
        <w:tab/>
        <w:t xml:space="preserve">Physical format </w:t>
      </w:r>
      <w:r>
        <w:rPr>
          <w:i/>
        </w:rPr>
        <w:t>(cf. Corporations Act s. 288)</w:t>
      </w:r>
      <w:bookmarkEnd w:id="235"/>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Gazette 24 May 2002 p. 2606.]</w:t>
      </w:r>
    </w:p>
    <w:p>
      <w:pPr>
        <w:pStyle w:val="yHeading5"/>
        <w:outlineLvl w:val="9"/>
      </w:pPr>
      <w:bookmarkStart w:id="236" w:name="_Toc138412291"/>
      <w:r>
        <w:rPr>
          <w:rStyle w:val="CharSClsNo"/>
        </w:rPr>
        <w:t>4</w:t>
      </w:r>
      <w:r>
        <w:t>.</w:t>
      </w:r>
      <w:r>
        <w:tab/>
        <w:t xml:space="preserve">Place where records are kept </w:t>
      </w:r>
      <w:r>
        <w:rPr>
          <w:i/>
        </w:rPr>
        <w:t>(cf. Corporations Act s. 289)</w:t>
      </w:r>
      <w:bookmarkEnd w:id="236"/>
    </w:p>
    <w:p>
      <w:pPr>
        <w:pStyle w:val="ySubsection"/>
      </w:pPr>
      <w:r>
        <w:tab/>
        <w:t>(1)</w:t>
      </w:r>
      <w:r>
        <w:tab/>
        <w:t>A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a corporation to produce specified financial records that are kept outside Australia.</w:t>
      </w:r>
    </w:p>
    <w:p>
      <w:pPr>
        <w:pStyle w:val="ySubsection"/>
      </w:pPr>
      <w:r>
        <w:tab/>
        <w:t>(5)</w:t>
      </w:r>
      <w:r>
        <w:tab/>
        <w:t xml:space="preserve">The direction must — </w:t>
      </w:r>
    </w:p>
    <w:p>
      <w:pPr>
        <w:pStyle w:val="yIndenta"/>
      </w:pPr>
      <w:r>
        <w:tab/>
        <w:t>(a)</w:t>
      </w:r>
      <w:r>
        <w:tab/>
        <w:t>be in writing; and</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Gazette 24 May 2002 p. 2606; amended: No. 25 of 2012 s. 190.]</w:t>
      </w:r>
    </w:p>
    <w:p>
      <w:pPr>
        <w:pStyle w:val="yHeading5"/>
        <w:outlineLvl w:val="9"/>
      </w:pPr>
      <w:bookmarkStart w:id="237" w:name="_Toc138412292"/>
      <w:r>
        <w:rPr>
          <w:rStyle w:val="CharSClsNo"/>
        </w:rPr>
        <w:t>5</w:t>
      </w:r>
      <w:r>
        <w:t>.</w:t>
      </w:r>
      <w:r>
        <w:tab/>
        <w:t xml:space="preserve">Director’s right of access </w:t>
      </w:r>
      <w:r>
        <w:rPr>
          <w:i/>
        </w:rPr>
        <w:t>(cf. Corporations Act s. 290)</w:t>
      </w:r>
      <w:bookmarkEnd w:id="237"/>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lastRenderedPageBreak/>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Gazette 24 May 2002 p. 2606-7; amended: No. 25 of 2012 s. 190.]</w:t>
      </w:r>
    </w:p>
    <w:p>
      <w:pPr>
        <w:pStyle w:val="yHeading3"/>
        <w:outlineLvl w:val="9"/>
      </w:pPr>
      <w:bookmarkStart w:id="238" w:name="_Toc138409468"/>
      <w:bookmarkStart w:id="239" w:name="_Toc138409835"/>
      <w:bookmarkStart w:id="240" w:name="_Toc138412293"/>
      <w:r>
        <w:rPr>
          <w:rStyle w:val="CharSDivNo"/>
        </w:rPr>
        <w:t>Division 3</w:t>
      </w:r>
      <w:r>
        <w:t xml:space="preserve"> — </w:t>
      </w:r>
      <w:r>
        <w:rPr>
          <w:rStyle w:val="CharSDivText"/>
        </w:rPr>
        <w:t>Financial reporting</w:t>
      </w:r>
      <w:bookmarkEnd w:id="238"/>
      <w:bookmarkEnd w:id="239"/>
      <w:bookmarkEnd w:id="240"/>
    </w:p>
    <w:p>
      <w:pPr>
        <w:pStyle w:val="yFootnoteheading"/>
      </w:pPr>
      <w:r>
        <w:rPr>
          <w:snapToGrid w:val="0"/>
        </w:rPr>
        <w:tab/>
        <w:t>[Heading inserted: Gazette 24 May 2002 p. 2607.]</w:t>
      </w:r>
    </w:p>
    <w:p>
      <w:pPr>
        <w:pStyle w:val="yHeading4"/>
        <w:outlineLvl w:val="9"/>
      </w:pPr>
      <w:bookmarkStart w:id="241" w:name="_Toc138409469"/>
      <w:bookmarkStart w:id="242" w:name="_Toc138409836"/>
      <w:bookmarkStart w:id="243" w:name="_Toc138412294"/>
      <w:r>
        <w:t>Subdivision 1 — Annual financial reports and directors’ reports</w:t>
      </w:r>
      <w:bookmarkEnd w:id="241"/>
      <w:bookmarkEnd w:id="242"/>
      <w:bookmarkEnd w:id="243"/>
    </w:p>
    <w:p>
      <w:pPr>
        <w:pStyle w:val="yFootnoteheading"/>
      </w:pPr>
      <w:r>
        <w:rPr>
          <w:snapToGrid w:val="0"/>
        </w:rPr>
        <w:tab/>
        <w:t>[Heading inserted: Gazette 24 May 2002 p. 2607.]</w:t>
      </w:r>
    </w:p>
    <w:p>
      <w:pPr>
        <w:pStyle w:val="yHeading5"/>
        <w:outlineLvl w:val="9"/>
      </w:pPr>
      <w:bookmarkStart w:id="244" w:name="_Toc138412295"/>
      <w:r>
        <w:rPr>
          <w:rStyle w:val="CharSClsNo"/>
        </w:rPr>
        <w:t>6</w:t>
      </w:r>
      <w:r>
        <w:t>.</w:t>
      </w:r>
      <w:r>
        <w:tab/>
        <w:t>Preparation of annual financial reports and directors’ reports</w:t>
      </w:r>
      <w:r>
        <w:br/>
      </w:r>
      <w:r>
        <w:rPr>
          <w:i/>
        </w:rPr>
        <w:t>(cf. Corporations Act s. 292)</w:t>
      </w:r>
      <w:bookmarkEnd w:id="244"/>
    </w:p>
    <w:p>
      <w:pPr>
        <w:pStyle w:val="ySubsection"/>
      </w:pPr>
      <w:r>
        <w:tab/>
      </w:r>
      <w:r>
        <w:tab/>
        <w:t>A financial report and a directors’ report must be prepared for each financial year by each corporation before 30 September.</w:t>
      </w:r>
    </w:p>
    <w:p>
      <w:pPr>
        <w:pStyle w:val="yFootnotesection"/>
      </w:pPr>
      <w:r>
        <w:tab/>
        <w:t>[Clause 6 inserted: Gazette 24 May 2002 p. 2607; amended: No. 25 of 2012 s. 176.]</w:t>
      </w:r>
    </w:p>
    <w:p>
      <w:pPr>
        <w:pStyle w:val="yHeading5"/>
        <w:outlineLvl w:val="9"/>
      </w:pPr>
      <w:bookmarkStart w:id="245" w:name="_Toc138412296"/>
      <w:r>
        <w:rPr>
          <w:rStyle w:val="CharSClsNo"/>
        </w:rPr>
        <w:t>7</w:t>
      </w:r>
      <w:r>
        <w:t>.</w:t>
      </w:r>
      <w:r>
        <w:tab/>
        <w:t xml:space="preserve">Contents of annual financial report </w:t>
      </w:r>
      <w:r>
        <w:rPr>
          <w:i/>
        </w:rPr>
        <w:t>(cf. Corporations Act s. 295)</w:t>
      </w:r>
      <w:bookmarkEnd w:id="245"/>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lastRenderedPageBreak/>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Gazette 24 May 2002 p. 2607-8; amended: No. 25 of 2012 s. 177.]</w:t>
      </w:r>
    </w:p>
    <w:p>
      <w:pPr>
        <w:pStyle w:val="yHeading5"/>
        <w:outlineLvl w:val="9"/>
        <w:rPr>
          <w:i/>
        </w:rPr>
      </w:pPr>
      <w:bookmarkStart w:id="246" w:name="_Toc138412297"/>
      <w:r>
        <w:rPr>
          <w:rStyle w:val="CharSClsNo"/>
        </w:rPr>
        <w:t>8</w:t>
      </w:r>
      <w:r>
        <w:t>.</w:t>
      </w:r>
      <w:r>
        <w:tab/>
        <w:t>Compliance with accounting standards and regulations</w:t>
      </w:r>
      <w:r>
        <w:br/>
      </w:r>
      <w:r>
        <w:rPr>
          <w:i/>
        </w:rPr>
        <w:t>(cf. Corporations Act s. 296)</w:t>
      </w:r>
      <w:bookmarkEnd w:id="24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Gazette 24 May 2002 p. 2608.]</w:t>
      </w:r>
    </w:p>
    <w:p>
      <w:pPr>
        <w:pStyle w:val="yHeading5"/>
        <w:outlineLvl w:val="9"/>
      </w:pPr>
      <w:bookmarkStart w:id="247" w:name="_Toc138412298"/>
      <w:r>
        <w:rPr>
          <w:rStyle w:val="CharSClsNo"/>
        </w:rPr>
        <w:t>9</w:t>
      </w:r>
      <w:r>
        <w:t>.</w:t>
      </w:r>
      <w:r>
        <w:tab/>
        <w:t xml:space="preserve">True and fair view </w:t>
      </w:r>
      <w:r>
        <w:rPr>
          <w:i/>
        </w:rPr>
        <w:t>(cf. Corporations Act s. 297)</w:t>
      </w:r>
      <w:bookmarkEnd w:id="247"/>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lastRenderedPageBreak/>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Gazette 24 May 2002 p. 2608.]</w:t>
      </w:r>
    </w:p>
    <w:p>
      <w:pPr>
        <w:pStyle w:val="yHeading5"/>
        <w:spacing w:before="260"/>
        <w:outlineLvl w:val="9"/>
      </w:pPr>
      <w:bookmarkStart w:id="248" w:name="_Toc138412299"/>
      <w:r>
        <w:rPr>
          <w:rStyle w:val="CharSClsNo"/>
        </w:rPr>
        <w:t>10</w:t>
      </w:r>
      <w:r>
        <w:t>.</w:t>
      </w:r>
      <w:r>
        <w:tab/>
        <w:t xml:space="preserve">Annual directors’ report </w:t>
      </w:r>
      <w:r>
        <w:rPr>
          <w:i/>
        </w:rPr>
        <w:t>(cf. Corporations Act s. 298)</w:t>
      </w:r>
      <w:bookmarkEnd w:id="248"/>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Gazette 24 May 2002 p. 2608; amended: No. 25 of 2012 s. 178.]</w:t>
      </w:r>
    </w:p>
    <w:p>
      <w:pPr>
        <w:pStyle w:val="yHeading5"/>
        <w:spacing w:before="260"/>
        <w:outlineLvl w:val="9"/>
      </w:pPr>
      <w:bookmarkStart w:id="249" w:name="_Toc138412300"/>
      <w:r>
        <w:rPr>
          <w:rStyle w:val="CharSClsNo"/>
        </w:rPr>
        <w:t>11</w:t>
      </w:r>
      <w:r>
        <w:t>.</w:t>
      </w:r>
      <w:r>
        <w:tab/>
        <w:t xml:space="preserve">Annual directors’ report, general matters </w:t>
      </w:r>
      <w:r>
        <w:rPr>
          <w:i/>
        </w:rPr>
        <w:t>(cf. Corporations</w:t>
      </w:r>
      <w:r>
        <w:rPr>
          <w:i/>
        </w:rPr>
        <w:br/>
        <w:t>Act s. 299)</w:t>
      </w:r>
      <w:bookmarkEnd w:id="249"/>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lastRenderedPageBreak/>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Gazette 24 May 2002 p. 2608-9.]</w:t>
      </w:r>
    </w:p>
    <w:p>
      <w:pPr>
        <w:pStyle w:val="yHeading5"/>
        <w:outlineLvl w:val="9"/>
      </w:pPr>
      <w:bookmarkStart w:id="250" w:name="_Toc138412301"/>
      <w:r>
        <w:rPr>
          <w:rStyle w:val="CharSClsNo"/>
        </w:rPr>
        <w:t>12</w:t>
      </w:r>
      <w:r>
        <w:t>.</w:t>
      </w:r>
      <w:r>
        <w:tab/>
        <w:t xml:space="preserve">Annual directors’ report, specific matters </w:t>
      </w:r>
      <w:r>
        <w:rPr>
          <w:i/>
        </w:rPr>
        <w:t>(cf. Corporations Act s. 300)</w:t>
      </w:r>
      <w:bookmarkEnd w:id="250"/>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lastRenderedPageBreak/>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lastRenderedPageBreak/>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Gazette 24 May 2002 p. 2609-11.]</w:t>
      </w:r>
    </w:p>
    <w:p>
      <w:pPr>
        <w:pStyle w:val="yHeading5"/>
        <w:outlineLvl w:val="9"/>
      </w:pPr>
      <w:bookmarkStart w:id="251" w:name="_Toc138412302"/>
      <w:r>
        <w:rPr>
          <w:rStyle w:val="CharSClsNo"/>
        </w:rPr>
        <w:t>13</w:t>
      </w:r>
      <w:r>
        <w:t>.</w:t>
      </w:r>
      <w:r>
        <w:tab/>
        <w:t xml:space="preserve">Annual directors’ report, other specific matters </w:t>
      </w:r>
      <w:r>
        <w:rPr>
          <w:i/>
        </w:rPr>
        <w:t>(cf. Corporations Act s. 300A)</w:t>
      </w:r>
      <w:bookmarkEnd w:id="251"/>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lastRenderedPageBreak/>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Gazette 24 May 2002 p. 2611; amended: No. 25 of 2012 s. 179.]</w:t>
      </w:r>
    </w:p>
    <w:p>
      <w:pPr>
        <w:pStyle w:val="yHeading5"/>
        <w:outlineLvl w:val="9"/>
      </w:pPr>
      <w:bookmarkStart w:id="252" w:name="_Toc138412303"/>
      <w:r>
        <w:rPr>
          <w:rStyle w:val="CharSClsNo"/>
        </w:rPr>
        <w:t>14</w:t>
      </w:r>
      <w:r>
        <w:t>.</w:t>
      </w:r>
      <w:r>
        <w:tab/>
        <w:t>Audit of annual financial report</w:t>
      </w:r>
      <w:r>
        <w:rPr>
          <w:i/>
        </w:rPr>
        <w:t xml:space="preserve"> (cf. Corporations Act s. 301)</w:t>
      </w:r>
      <w:bookmarkEnd w:id="252"/>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Gazette 24 May 2002 p. 2611.]</w:t>
      </w:r>
    </w:p>
    <w:p>
      <w:pPr>
        <w:pStyle w:val="yHeading4"/>
        <w:outlineLvl w:val="9"/>
      </w:pPr>
      <w:bookmarkStart w:id="253" w:name="_Toc138409479"/>
      <w:bookmarkStart w:id="254" w:name="_Toc138409846"/>
      <w:bookmarkStart w:id="255" w:name="_Toc138412304"/>
      <w:r>
        <w:t>Subdivision 2 — Audit and auditor’s report</w:t>
      </w:r>
      <w:bookmarkEnd w:id="253"/>
      <w:bookmarkEnd w:id="254"/>
      <w:bookmarkEnd w:id="255"/>
    </w:p>
    <w:p>
      <w:pPr>
        <w:pStyle w:val="yFootnoteheading"/>
      </w:pPr>
      <w:r>
        <w:tab/>
        <w:t>[Heading inserted: Gazette 24 May 2002 p. 2611.]</w:t>
      </w:r>
    </w:p>
    <w:p>
      <w:pPr>
        <w:pStyle w:val="yHeading5"/>
        <w:outlineLvl w:val="9"/>
      </w:pPr>
      <w:bookmarkStart w:id="256" w:name="_Toc138412305"/>
      <w:r>
        <w:rPr>
          <w:rStyle w:val="CharSClsNo"/>
        </w:rPr>
        <w:t>15</w:t>
      </w:r>
      <w:r>
        <w:t>.</w:t>
      </w:r>
      <w:r>
        <w:tab/>
        <w:t>Auditor General to form opinion</w:t>
      </w:r>
      <w:r>
        <w:rPr>
          <w:i/>
        </w:rPr>
        <w:t xml:space="preserve"> (cf. Corporations Act s. 307)</w:t>
      </w:r>
      <w:bookmarkEnd w:id="256"/>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Gazette 24 May 2002 p. 2611; amended: No. 25 of 2012 s. 180.]</w:t>
      </w:r>
    </w:p>
    <w:p>
      <w:pPr>
        <w:pStyle w:val="yHeading5"/>
        <w:outlineLvl w:val="9"/>
      </w:pPr>
      <w:bookmarkStart w:id="257" w:name="_Toc138412306"/>
      <w:r>
        <w:rPr>
          <w:rStyle w:val="CharSClsNo"/>
        </w:rPr>
        <w:lastRenderedPageBreak/>
        <w:t>16</w:t>
      </w:r>
      <w:r>
        <w:t>.</w:t>
      </w:r>
      <w:r>
        <w:tab/>
        <w:t xml:space="preserve">Auditor General to report on annual financial report </w:t>
      </w:r>
      <w:r>
        <w:rPr>
          <w:i/>
        </w:rPr>
        <w:t>(cf. Corporations Act s. 308)</w:t>
      </w:r>
      <w:bookmarkEnd w:id="257"/>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Gazette 24 May 2002 p. 2611-12; amended: No. 25 of 2012 s. 181.]</w:t>
      </w:r>
    </w:p>
    <w:p>
      <w:pPr>
        <w:pStyle w:val="yHeading5"/>
        <w:outlineLvl w:val="9"/>
      </w:pPr>
      <w:bookmarkStart w:id="258" w:name="_Toc138412307"/>
      <w:r>
        <w:rPr>
          <w:rStyle w:val="CharSClsNo"/>
        </w:rPr>
        <w:t>17</w:t>
      </w:r>
      <w:r>
        <w:t>.</w:t>
      </w:r>
      <w:r>
        <w:tab/>
        <w:t xml:space="preserve">Auditor General’s power to obtain information </w:t>
      </w:r>
      <w:r>
        <w:rPr>
          <w:i/>
        </w:rPr>
        <w:t>(cf. Corporations Act s. 310)</w:t>
      </w:r>
      <w:bookmarkEnd w:id="258"/>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lastRenderedPageBreak/>
        <w:tab/>
        <w:t>[Clause 17 inserted: Gazette 24 May 2002 p. 2612; amended: No. 25 of 2012 s. 190.]</w:t>
      </w:r>
    </w:p>
    <w:p>
      <w:pPr>
        <w:pStyle w:val="yHeading5"/>
        <w:outlineLvl w:val="9"/>
      </w:pPr>
      <w:bookmarkStart w:id="259" w:name="_Toc138412308"/>
      <w:r>
        <w:rPr>
          <w:rStyle w:val="CharSClsNo"/>
        </w:rPr>
        <w:t>18</w:t>
      </w:r>
      <w:r>
        <w:t>.</w:t>
      </w:r>
      <w:r>
        <w:tab/>
        <w:t xml:space="preserve">Corporation’s officers to assist Auditor General </w:t>
      </w:r>
      <w:r>
        <w:rPr>
          <w:i/>
        </w:rPr>
        <w:t>(cf. Corporations Act s. 312)</w:t>
      </w:r>
      <w:bookmarkEnd w:id="259"/>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Gazette 24 May 2002 p. 2612.]</w:t>
      </w:r>
    </w:p>
    <w:p>
      <w:pPr>
        <w:pStyle w:val="yHeading4"/>
        <w:outlineLvl w:val="9"/>
      </w:pPr>
      <w:bookmarkStart w:id="260" w:name="_Toc138409484"/>
      <w:bookmarkStart w:id="261" w:name="_Toc138409851"/>
      <w:bookmarkStart w:id="262" w:name="_Toc138412309"/>
      <w:r>
        <w:t>Subdivision 3 — Special provisions about consolidated financial statements</w:t>
      </w:r>
      <w:bookmarkEnd w:id="260"/>
      <w:bookmarkEnd w:id="261"/>
      <w:bookmarkEnd w:id="262"/>
    </w:p>
    <w:p>
      <w:pPr>
        <w:pStyle w:val="yFootnoteheading"/>
        <w:spacing w:before="100"/>
      </w:pPr>
      <w:r>
        <w:rPr>
          <w:snapToGrid w:val="0"/>
        </w:rPr>
        <w:tab/>
        <w:t>[Heading inserted: Gazette 24 May 2002 p. 2612.]</w:t>
      </w:r>
    </w:p>
    <w:p>
      <w:pPr>
        <w:pStyle w:val="yHeading5"/>
        <w:outlineLvl w:val="9"/>
      </w:pPr>
      <w:bookmarkStart w:id="263" w:name="_Toc138412310"/>
      <w:r>
        <w:rPr>
          <w:rStyle w:val="CharSClsNo"/>
        </w:rPr>
        <w:t>19</w:t>
      </w:r>
      <w:r>
        <w:t>.</w:t>
      </w:r>
      <w:r>
        <w:tab/>
        <w:t xml:space="preserve">Directors and officers of controlled entity to give information </w:t>
      </w:r>
      <w:r>
        <w:rPr>
          <w:i/>
        </w:rPr>
        <w:t>(cf. Corporations Act s. 323)</w:t>
      </w:r>
      <w:bookmarkEnd w:id="263"/>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Gazette 24 May 2002 p. 2612; amended: No. 25 of 2012 s. 190.]</w:t>
      </w:r>
    </w:p>
    <w:p>
      <w:pPr>
        <w:pStyle w:val="yHeading5"/>
        <w:outlineLvl w:val="9"/>
      </w:pPr>
      <w:bookmarkStart w:id="264" w:name="_Toc138412311"/>
      <w:r>
        <w:rPr>
          <w:rStyle w:val="CharSClsNo"/>
        </w:rPr>
        <w:t>20</w:t>
      </w:r>
      <w:r>
        <w:t>.</w:t>
      </w:r>
      <w:r>
        <w:tab/>
        <w:t xml:space="preserve">Auditor General’s power to obtain information from controlled entity </w:t>
      </w:r>
      <w:r>
        <w:rPr>
          <w:i/>
        </w:rPr>
        <w:t>(cf. Corporations Act s. 323A)</w:t>
      </w:r>
      <w:bookmarkEnd w:id="264"/>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lastRenderedPageBreak/>
        <w:tab/>
        <w:t>[Clause 20 inserted: Gazette 24 May 2002 p. 2613; amended: No. 25 of 2012 s. 182.]</w:t>
      </w:r>
    </w:p>
    <w:p>
      <w:pPr>
        <w:pStyle w:val="yHeading5"/>
        <w:outlineLvl w:val="9"/>
      </w:pPr>
      <w:bookmarkStart w:id="265" w:name="_Toc138412312"/>
      <w:r>
        <w:rPr>
          <w:rStyle w:val="CharSClsNo"/>
        </w:rPr>
        <w:t>21</w:t>
      </w:r>
      <w:r>
        <w:t>.</w:t>
      </w:r>
      <w:r>
        <w:tab/>
        <w:t xml:space="preserve">Controlled entity to assist the Auditor General </w:t>
      </w:r>
      <w:r>
        <w:rPr>
          <w:i/>
        </w:rPr>
        <w:t>(cf. Corporations Act s. 323B)</w:t>
      </w:r>
      <w:bookmarkEnd w:id="265"/>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Gazette 24 May 2002 p. 2613; amended: No. 25 of 2012 s. 190.]</w:t>
      </w:r>
    </w:p>
    <w:p>
      <w:pPr>
        <w:pStyle w:val="yHeading5"/>
        <w:outlineLvl w:val="9"/>
      </w:pPr>
      <w:bookmarkStart w:id="266" w:name="_Toc138412313"/>
      <w:r>
        <w:rPr>
          <w:rStyle w:val="CharSClsNo"/>
        </w:rPr>
        <w:t>22</w:t>
      </w:r>
      <w:r>
        <w:t>.</w:t>
      </w:r>
      <w:r>
        <w:tab/>
        <w:t xml:space="preserve">Application of subdivision to entity that has ceased to be controlled </w:t>
      </w:r>
      <w:r>
        <w:rPr>
          <w:i/>
        </w:rPr>
        <w:t>(cf. Corporations Act s. 323C)</w:t>
      </w:r>
      <w:bookmarkEnd w:id="266"/>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Gazette 24 May 2002 p. 2613.]</w:t>
      </w:r>
    </w:p>
    <w:p>
      <w:pPr>
        <w:pStyle w:val="yHeading4"/>
        <w:outlineLvl w:val="9"/>
      </w:pPr>
      <w:bookmarkStart w:id="267" w:name="_Toc138409489"/>
      <w:bookmarkStart w:id="268" w:name="_Toc138409856"/>
      <w:bookmarkStart w:id="269" w:name="_Toc138412314"/>
      <w:r>
        <w:t>Subdivision 4 — Financial years of the corporation and the entities it controls</w:t>
      </w:r>
      <w:bookmarkEnd w:id="267"/>
      <w:bookmarkEnd w:id="268"/>
      <w:bookmarkEnd w:id="269"/>
    </w:p>
    <w:p>
      <w:pPr>
        <w:pStyle w:val="yFootnoteheading"/>
      </w:pPr>
      <w:r>
        <w:rPr>
          <w:snapToGrid w:val="0"/>
        </w:rPr>
        <w:tab/>
        <w:t>[Heading inserted: Gazette 24 May 2002 p. 2613.]</w:t>
      </w:r>
    </w:p>
    <w:p>
      <w:pPr>
        <w:pStyle w:val="yHeading5"/>
        <w:outlineLvl w:val="9"/>
      </w:pPr>
      <w:bookmarkStart w:id="270" w:name="_Toc138412315"/>
      <w:r>
        <w:rPr>
          <w:rStyle w:val="CharSClsNo"/>
        </w:rPr>
        <w:t>23</w:t>
      </w:r>
      <w:r>
        <w:t>.</w:t>
      </w:r>
      <w:r>
        <w:tab/>
        <w:t xml:space="preserve">Financial years </w:t>
      </w:r>
      <w:r>
        <w:rPr>
          <w:i/>
        </w:rPr>
        <w:t>(cf. Corporations Act s. 323D)</w:t>
      </w:r>
      <w:bookmarkEnd w:id="270"/>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lastRenderedPageBreak/>
        <w:tab/>
        <w:t>[Clause 23 inserted: Gazette 24 May 2002 p. 2613; amended: No. 25 of 2012 s. 183 and 190.]</w:t>
      </w:r>
    </w:p>
    <w:p>
      <w:pPr>
        <w:pStyle w:val="yHeading3"/>
        <w:outlineLvl w:val="9"/>
      </w:pPr>
      <w:bookmarkStart w:id="271" w:name="_Toc138409491"/>
      <w:bookmarkStart w:id="272" w:name="_Toc138409858"/>
      <w:bookmarkStart w:id="273" w:name="_Toc138412316"/>
      <w:r>
        <w:rPr>
          <w:rStyle w:val="CharSDivNo"/>
        </w:rPr>
        <w:t>Division 4</w:t>
      </w:r>
      <w:r>
        <w:t xml:space="preserve"> — </w:t>
      </w:r>
      <w:r>
        <w:rPr>
          <w:rStyle w:val="CharSDivText"/>
        </w:rPr>
        <w:t>Accounting standards</w:t>
      </w:r>
      <w:bookmarkEnd w:id="271"/>
      <w:bookmarkEnd w:id="272"/>
      <w:bookmarkEnd w:id="273"/>
    </w:p>
    <w:p>
      <w:pPr>
        <w:pStyle w:val="yFootnoteheading"/>
      </w:pPr>
      <w:r>
        <w:rPr>
          <w:snapToGrid w:val="0"/>
        </w:rPr>
        <w:tab/>
        <w:t>[Heading inserted: Gazette 24 May 2002 p. 2613.]</w:t>
      </w:r>
    </w:p>
    <w:p>
      <w:pPr>
        <w:pStyle w:val="yHeading5"/>
        <w:outlineLvl w:val="9"/>
      </w:pPr>
      <w:bookmarkStart w:id="274" w:name="_Toc138412317"/>
      <w:r>
        <w:rPr>
          <w:rStyle w:val="CharSClsNo"/>
        </w:rPr>
        <w:t>24</w:t>
      </w:r>
      <w:r>
        <w:t>.</w:t>
      </w:r>
      <w:r>
        <w:tab/>
        <w:t xml:space="preserve">Accounting standards </w:t>
      </w:r>
      <w:r>
        <w:rPr>
          <w:i/>
        </w:rPr>
        <w:t>(cf. Corporations Act s. 334)</w:t>
      </w:r>
      <w:bookmarkEnd w:id="274"/>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Gazette 24 May 2002 p. 2613-14; amended: No. 25 of 2012 s. 190.]</w:t>
      </w:r>
    </w:p>
    <w:p>
      <w:pPr>
        <w:pStyle w:val="yHeading5"/>
        <w:outlineLvl w:val="9"/>
      </w:pPr>
      <w:bookmarkStart w:id="275" w:name="_Toc138412318"/>
      <w:r>
        <w:rPr>
          <w:rStyle w:val="CharSClsNo"/>
        </w:rPr>
        <w:t>25</w:t>
      </w:r>
      <w:r>
        <w:t>.</w:t>
      </w:r>
      <w:r>
        <w:tab/>
        <w:t xml:space="preserve">Equity accounting </w:t>
      </w:r>
      <w:r>
        <w:rPr>
          <w:i/>
        </w:rPr>
        <w:t>(cf. Corporations Act s. 335)</w:t>
      </w:r>
      <w:bookmarkEnd w:id="275"/>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Gazette 24 May 2002 p. 2614.]</w:t>
      </w:r>
    </w:p>
    <w:p>
      <w:pPr>
        <w:pStyle w:val="yHeading5"/>
        <w:outlineLvl w:val="9"/>
      </w:pPr>
      <w:bookmarkStart w:id="276" w:name="_Toc138412319"/>
      <w:r>
        <w:rPr>
          <w:rStyle w:val="CharSClsNo"/>
        </w:rPr>
        <w:t>26</w:t>
      </w:r>
      <w:r>
        <w:t>.</w:t>
      </w:r>
      <w:r>
        <w:tab/>
        <w:t xml:space="preserve">Interpretation of accounting standards </w:t>
      </w:r>
      <w:r>
        <w:rPr>
          <w:i/>
        </w:rPr>
        <w:t>(cf. Corporations Act s. 337)</w:t>
      </w:r>
      <w:bookmarkEnd w:id="27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Gazette 24 May 2002 p. 2614.]</w:t>
      </w:r>
    </w:p>
    <w:p>
      <w:pPr>
        <w:pStyle w:val="yHeading5"/>
        <w:outlineLvl w:val="9"/>
      </w:pPr>
      <w:bookmarkStart w:id="277" w:name="_Toc138412320"/>
      <w:r>
        <w:rPr>
          <w:rStyle w:val="CharSClsNo"/>
        </w:rPr>
        <w:lastRenderedPageBreak/>
        <w:t>27</w:t>
      </w:r>
      <w:r>
        <w:t>.</w:t>
      </w:r>
      <w:r>
        <w:tab/>
        <w:t xml:space="preserve">Evidence of text of accounting standard </w:t>
      </w:r>
      <w:r>
        <w:rPr>
          <w:i/>
        </w:rPr>
        <w:t>(cf. Corporations Act s. 339)</w:t>
      </w:r>
      <w:bookmarkEnd w:id="277"/>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Gazette 24 May 2002 p. 2614.]</w:t>
      </w:r>
    </w:p>
    <w:p>
      <w:pPr>
        <w:pStyle w:val="yHeading3"/>
        <w:outlineLvl w:val="9"/>
      </w:pPr>
      <w:bookmarkStart w:id="278" w:name="_Toc138409496"/>
      <w:bookmarkStart w:id="279" w:name="_Toc138409863"/>
      <w:bookmarkStart w:id="280" w:name="_Toc138412321"/>
      <w:r>
        <w:rPr>
          <w:rStyle w:val="CharSDivNo"/>
        </w:rPr>
        <w:t>Division 5</w:t>
      </w:r>
      <w:r>
        <w:t xml:space="preserve"> — </w:t>
      </w:r>
      <w:r>
        <w:rPr>
          <w:rStyle w:val="CharSDivText"/>
        </w:rPr>
        <w:t>Exemptions and modifications</w:t>
      </w:r>
      <w:bookmarkEnd w:id="278"/>
      <w:bookmarkEnd w:id="279"/>
      <w:bookmarkEnd w:id="280"/>
    </w:p>
    <w:p>
      <w:pPr>
        <w:pStyle w:val="yFootnoteheading"/>
      </w:pPr>
      <w:r>
        <w:rPr>
          <w:snapToGrid w:val="0"/>
        </w:rPr>
        <w:tab/>
        <w:t>[Heading inserted: Gazette 24 May 2002 p. 2614.]</w:t>
      </w:r>
    </w:p>
    <w:p>
      <w:pPr>
        <w:pStyle w:val="yHeading5"/>
        <w:outlineLvl w:val="9"/>
      </w:pPr>
      <w:bookmarkStart w:id="281" w:name="_Toc138412322"/>
      <w:r>
        <w:rPr>
          <w:rStyle w:val="CharSClsNo"/>
        </w:rPr>
        <w:t>28</w:t>
      </w:r>
      <w:r>
        <w:t>.</w:t>
      </w:r>
      <w:r>
        <w:tab/>
        <w:t xml:space="preserve">Treasurer’s power to exempt directors etc. from Div. 2 and 3 </w:t>
      </w:r>
      <w:r>
        <w:rPr>
          <w:i/>
        </w:rPr>
        <w:t>(cf. Corporations Act s. 340)</w:t>
      </w:r>
      <w:bookmarkEnd w:id="281"/>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lastRenderedPageBreak/>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Gazette 24 May 2002 p. 2614-15; amended: No. 8 of 2009 s. 132(6) and (7); No. 25 of 2012 s. 184.]</w:t>
      </w:r>
    </w:p>
    <w:p>
      <w:pPr>
        <w:pStyle w:val="yHeading5"/>
        <w:outlineLvl w:val="9"/>
      </w:pPr>
      <w:bookmarkStart w:id="282" w:name="_Toc138412323"/>
      <w:r>
        <w:rPr>
          <w:rStyle w:val="CharSClsNo"/>
        </w:rPr>
        <w:t>29</w:t>
      </w:r>
      <w:r>
        <w:t>.</w:t>
      </w:r>
      <w:r>
        <w:tab/>
        <w:t xml:space="preserve">Criteria for exemption under cl. 28 </w:t>
      </w:r>
      <w:r>
        <w:rPr>
          <w:i/>
        </w:rPr>
        <w:t>(cf. Corporations Act s. 342)</w:t>
      </w:r>
      <w:bookmarkEnd w:id="282"/>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Gazette 24 May 2002 p. 2615.]</w:t>
      </w:r>
    </w:p>
    <w:p>
      <w:pPr>
        <w:pStyle w:val="yHeading5"/>
        <w:outlineLvl w:val="9"/>
      </w:pPr>
      <w:bookmarkStart w:id="283" w:name="_Toc138412324"/>
      <w:r>
        <w:rPr>
          <w:rStyle w:val="CharSClsNo"/>
        </w:rPr>
        <w:t>30</w:t>
      </w:r>
      <w:r>
        <w:t>.</w:t>
      </w:r>
      <w:r>
        <w:tab/>
        <w:t>Extension of time</w:t>
      </w:r>
      <w:bookmarkEnd w:id="283"/>
    </w:p>
    <w:p>
      <w:pPr>
        <w:pStyle w:val="ySubsection"/>
      </w:pPr>
      <w:r>
        <w:tab/>
        <w:t>(1)</w:t>
      </w:r>
      <w:r>
        <w:tab/>
        <w:t xml:space="preserve">Where any provision of this Schedule requires any act or thing to be observed or performed by a certain date or within a specified time by </w:t>
      </w:r>
      <w:r>
        <w:lastRenderedPageBreak/>
        <w:t>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Gazette 24 May 2002 p. 2615-16.]</w:t>
      </w:r>
    </w:p>
    <w:p>
      <w:pPr>
        <w:pStyle w:val="yHeading3"/>
        <w:keepLines/>
        <w:outlineLvl w:val="9"/>
      </w:pPr>
      <w:bookmarkStart w:id="284" w:name="_Toc138409500"/>
      <w:bookmarkStart w:id="285" w:name="_Toc138409867"/>
      <w:bookmarkStart w:id="286" w:name="_Toc138412325"/>
      <w:r>
        <w:rPr>
          <w:rStyle w:val="CharSDivNo"/>
        </w:rPr>
        <w:t>Division 6</w:t>
      </w:r>
      <w:r>
        <w:t xml:space="preserve"> — </w:t>
      </w:r>
      <w:r>
        <w:rPr>
          <w:rStyle w:val="CharSDivText"/>
        </w:rPr>
        <w:t>Sanctions for contraventions of this Schedule</w:t>
      </w:r>
      <w:bookmarkEnd w:id="284"/>
      <w:bookmarkEnd w:id="285"/>
      <w:bookmarkEnd w:id="286"/>
    </w:p>
    <w:p>
      <w:pPr>
        <w:pStyle w:val="yFootnoteheading"/>
        <w:keepNext/>
        <w:keepLines/>
      </w:pPr>
      <w:r>
        <w:rPr>
          <w:snapToGrid w:val="0"/>
        </w:rPr>
        <w:tab/>
        <w:t>[Heading inserted: Gazette 24 May 2002 p. 2616.]</w:t>
      </w:r>
    </w:p>
    <w:p>
      <w:pPr>
        <w:pStyle w:val="yHeading5"/>
        <w:outlineLvl w:val="9"/>
      </w:pPr>
      <w:bookmarkStart w:id="287" w:name="_Toc138412326"/>
      <w:r>
        <w:rPr>
          <w:rStyle w:val="CharSClsNo"/>
        </w:rPr>
        <w:t>31</w:t>
      </w:r>
      <w:r>
        <w:t>.</w:t>
      </w:r>
      <w:r>
        <w:tab/>
        <w:t xml:space="preserve">Contravention of Div. 2 or 3 </w:t>
      </w:r>
      <w:r>
        <w:rPr>
          <w:i/>
        </w:rPr>
        <w:t>(cf. Corporations Act s. 344)</w:t>
      </w:r>
      <w:bookmarkEnd w:id="287"/>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Gazette 24 May 2002 p. 2616; amended: No. 25 of 2012 s. 185.]</w:t>
      </w:r>
    </w:p>
    <w:p>
      <w:pPr>
        <w:pStyle w:val="yHeading3"/>
        <w:outlineLvl w:val="9"/>
      </w:pPr>
      <w:bookmarkStart w:id="288" w:name="_Toc138409502"/>
      <w:bookmarkStart w:id="289" w:name="_Toc138409869"/>
      <w:bookmarkStart w:id="290" w:name="_Toc138412327"/>
      <w:r>
        <w:rPr>
          <w:rStyle w:val="CharSDivNo"/>
        </w:rPr>
        <w:t>Division 7</w:t>
      </w:r>
      <w:r>
        <w:t xml:space="preserve"> — </w:t>
      </w:r>
      <w:r>
        <w:rPr>
          <w:rStyle w:val="CharSDivText"/>
        </w:rPr>
        <w:t>Miscellaneous</w:t>
      </w:r>
      <w:bookmarkEnd w:id="288"/>
      <w:bookmarkEnd w:id="289"/>
      <w:bookmarkEnd w:id="290"/>
    </w:p>
    <w:p>
      <w:pPr>
        <w:pStyle w:val="yFootnoteheading"/>
      </w:pPr>
      <w:r>
        <w:rPr>
          <w:snapToGrid w:val="0"/>
        </w:rPr>
        <w:tab/>
        <w:t>[Heading inserted: Gazette 24 May 2002 p. 2616.]</w:t>
      </w:r>
    </w:p>
    <w:p>
      <w:pPr>
        <w:pStyle w:val="yHeading5"/>
        <w:outlineLvl w:val="9"/>
      </w:pPr>
      <w:bookmarkStart w:id="291" w:name="_Toc138412328"/>
      <w:r>
        <w:rPr>
          <w:rStyle w:val="CharSClsNo"/>
        </w:rPr>
        <w:t>35</w:t>
      </w:r>
      <w:r>
        <w:t>.</w:t>
      </w:r>
      <w:r>
        <w:tab/>
        <w:t xml:space="preserve">Deadline for reporting to the Minister </w:t>
      </w:r>
      <w:r>
        <w:rPr>
          <w:i/>
        </w:rPr>
        <w:t>(cf. Corporations Act s. 315)</w:t>
      </w:r>
      <w:bookmarkEnd w:id="291"/>
    </w:p>
    <w:p>
      <w:pPr>
        <w:pStyle w:val="ySubsection"/>
      </w:pPr>
      <w:r>
        <w:tab/>
        <w:t>(1)</w:t>
      </w:r>
      <w:r>
        <w:tab/>
        <w:t xml:space="preserve">In subclause (2) — </w:t>
      </w:r>
    </w:p>
    <w:p>
      <w:pPr>
        <w:pStyle w:val="yDefstart"/>
      </w:pPr>
      <w:r>
        <w:lastRenderedPageBreak/>
        <w:tab/>
      </w:r>
      <w:r>
        <w:rPr>
          <w:rStyle w:val="CharDefText"/>
        </w:rPr>
        <w:t>prescribed day</w:t>
      </w:r>
      <w:r>
        <w:fldChar w:fldCharType="begin"/>
      </w:r>
      <w:r>
        <w:instrText xml:space="preserve"> LISTNUM DefinitionNumbers \l1 </w:instrText>
      </w:r>
      <w:r>
        <w:fldChar w:fldCharType="end">
          <w:numberingChange w:id="292" w:author="Jessica Caddy" w:date="2023-06-23T10:41:00Z" w:original=""/>
        </w:fldChar>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Gazette 24 May 2002 p. 2616; amended: No. 25 of 2012 s. 186.]</w:t>
      </w:r>
    </w:p>
    <w:p>
      <w:pPr>
        <w:pStyle w:val="yHeading5"/>
        <w:outlineLvl w:val="9"/>
      </w:pPr>
      <w:bookmarkStart w:id="293" w:name="_Toc138412329"/>
      <w:r>
        <w:rPr>
          <w:rStyle w:val="CharSClsNo"/>
        </w:rPr>
        <w:t>36</w:t>
      </w:r>
      <w:r>
        <w:t>.</w:t>
      </w:r>
      <w:r>
        <w:tab/>
        <w:t xml:space="preserve">Annual financial reporting to the Minister </w:t>
      </w:r>
      <w:r>
        <w:rPr>
          <w:i/>
        </w:rPr>
        <w:t>(cf. Corporations Act s. 314)</w:t>
      </w:r>
      <w:bookmarkEnd w:id="293"/>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Gazette 24 May 2002 p. 2616; amended: No. 25 of 2012 s. 190.]</w:t>
      </w:r>
    </w:p>
    <w:p>
      <w:pPr>
        <w:pStyle w:val="yHeading5"/>
        <w:outlineLvl w:val="9"/>
      </w:pPr>
      <w:bookmarkStart w:id="294" w:name="_Toc138412330"/>
      <w:r>
        <w:rPr>
          <w:rStyle w:val="CharSClsNo"/>
        </w:rPr>
        <w:t>38</w:t>
      </w:r>
      <w:r>
        <w:t>.</w:t>
      </w:r>
      <w:r>
        <w:tab/>
        <w:t>Auditor General may submit interim report</w:t>
      </w:r>
      <w:bookmarkEnd w:id="294"/>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Gazette 24 May 2002 p. 2616-17; amended: No. 77 of 2006 Sch. 1 cl. 177(3); No. 25 of 2012 s. 190.]</w:t>
      </w:r>
    </w:p>
    <w:p>
      <w:pPr>
        <w:pStyle w:val="yHeading5"/>
        <w:outlineLvl w:val="9"/>
      </w:pPr>
      <w:bookmarkStart w:id="295" w:name="_Toc138412331"/>
      <w:r>
        <w:rPr>
          <w:rStyle w:val="CharSClsNo"/>
        </w:rPr>
        <w:lastRenderedPageBreak/>
        <w:t>45</w:t>
      </w:r>
      <w:r>
        <w:t>.</w:t>
      </w:r>
      <w:r>
        <w:tab/>
        <w:t>Auditor General’s duty to report breach of Sch. 3 and powers</w:t>
      </w:r>
      <w:bookmarkEnd w:id="295"/>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Gazette 24 May 2002 p. 2617; amended: No. 77 of 2006 Sch. 1 cl. 177(4); No. 25 of 2012 s. 190.]</w:t>
      </w:r>
    </w:p>
    <w:p>
      <w:pPr>
        <w:pStyle w:val="yScheduleHeading"/>
        <w:sectPr>
          <w:headerReference w:type="even" r:id="rId30"/>
          <w:headerReference w:type="default" r:id="rId31"/>
          <w:pgSz w:w="11907" w:h="16840" w:code="9"/>
          <w:pgMar w:top="2381" w:right="2409" w:bottom="3543" w:left="2409" w:header="720" w:footer="3544" w:gutter="0"/>
          <w:cols w:space="720"/>
          <w:noEndnote/>
          <w:docGrid w:linePitch="326"/>
        </w:sectPr>
      </w:pPr>
    </w:p>
    <w:p>
      <w:pPr>
        <w:pStyle w:val="yScheduleHeading"/>
      </w:pPr>
      <w:bookmarkStart w:id="296" w:name="_Toc138409507"/>
      <w:bookmarkStart w:id="297" w:name="_Toc138409874"/>
      <w:bookmarkStart w:id="298" w:name="_Toc138412332"/>
      <w:r>
        <w:rPr>
          <w:rStyle w:val="CharSchNo"/>
        </w:rPr>
        <w:lastRenderedPageBreak/>
        <w:t>Schedule 4</w:t>
      </w:r>
      <w:r>
        <w:rPr>
          <w:rStyle w:val="CharSDivNo"/>
        </w:rPr>
        <w:t> </w:t>
      </w:r>
      <w:r>
        <w:t>—</w:t>
      </w:r>
      <w:r>
        <w:rPr>
          <w:rStyle w:val="CharSDivText"/>
        </w:rPr>
        <w:t> </w:t>
      </w:r>
      <w:r>
        <w:rPr>
          <w:rStyle w:val="CharSchText"/>
        </w:rPr>
        <w:t>Provisions to be included in articles of association of subsidiaries</w:t>
      </w:r>
      <w:bookmarkEnd w:id="296"/>
      <w:bookmarkEnd w:id="297"/>
      <w:bookmarkEnd w:id="298"/>
    </w:p>
    <w:p>
      <w:pPr>
        <w:pStyle w:val="yShoulderClause"/>
        <w:rPr>
          <w:snapToGrid w:val="0"/>
        </w:rPr>
      </w:pPr>
      <w:r>
        <w:rPr>
          <w:snapToGrid w:val="0"/>
        </w:rPr>
        <w:t>[s. 31]</w:t>
      </w:r>
    </w:p>
    <w:p>
      <w:pPr>
        <w:pStyle w:val="yFootnoteheading"/>
      </w:pPr>
      <w:r>
        <w:tab/>
        <w:t>[Heading amended: No. 19 of 2010 s. 4.]</w:t>
      </w:r>
    </w:p>
    <w:p>
      <w:pPr>
        <w:pStyle w:val="yHeading5"/>
        <w:outlineLvl w:val="9"/>
        <w:rPr>
          <w:snapToGrid w:val="0"/>
        </w:rPr>
      </w:pPr>
      <w:bookmarkStart w:id="299" w:name="_Toc138412333"/>
      <w:r>
        <w:rPr>
          <w:rStyle w:val="CharSClsNo"/>
        </w:rPr>
        <w:t>1</w:t>
      </w:r>
      <w:r>
        <w:rPr>
          <w:snapToGrid w:val="0"/>
        </w:rPr>
        <w:t>.</w:t>
      </w:r>
      <w:r>
        <w:rPr>
          <w:snapToGrid w:val="0"/>
        </w:rPr>
        <w:tab/>
        <w:t>Disposal of shares</w:t>
      </w:r>
      <w:bookmarkEnd w:id="299"/>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00" w:name="_Toc138412334"/>
      <w:r>
        <w:rPr>
          <w:rStyle w:val="CharSClsNo"/>
        </w:rPr>
        <w:t>2</w:t>
      </w:r>
      <w:r>
        <w:rPr>
          <w:snapToGrid w:val="0"/>
        </w:rPr>
        <w:t>.</w:t>
      </w:r>
      <w:r>
        <w:rPr>
          <w:snapToGrid w:val="0"/>
        </w:rPr>
        <w:tab/>
        <w:t>Directors</w:t>
      </w:r>
      <w:bookmarkEnd w:id="300"/>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No. 25 of 2012 s. 187.]</w:t>
      </w:r>
    </w:p>
    <w:p>
      <w:pPr>
        <w:pStyle w:val="yHeading5"/>
        <w:outlineLvl w:val="9"/>
        <w:rPr>
          <w:snapToGrid w:val="0"/>
        </w:rPr>
      </w:pPr>
      <w:bookmarkStart w:id="301" w:name="_Toc138412335"/>
      <w:r>
        <w:rPr>
          <w:rStyle w:val="CharSClsNo"/>
        </w:rPr>
        <w:t>3</w:t>
      </w:r>
      <w:r>
        <w:rPr>
          <w:snapToGrid w:val="0"/>
        </w:rPr>
        <w:t>.</w:t>
      </w:r>
      <w:r>
        <w:rPr>
          <w:snapToGrid w:val="0"/>
        </w:rPr>
        <w:tab/>
        <w:t>Further shares</w:t>
      </w:r>
      <w:bookmarkEnd w:id="301"/>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02" w:name="_Toc138412336"/>
      <w:r>
        <w:rPr>
          <w:rStyle w:val="CharSClsNo"/>
        </w:rPr>
        <w:t>4</w:t>
      </w:r>
      <w:r>
        <w:rPr>
          <w:snapToGrid w:val="0"/>
        </w:rPr>
        <w:t>.</w:t>
      </w:r>
      <w:r>
        <w:rPr>
          <w:snapToGrid w:val="0"/>
        </w:rPr>
        <w:tab/>
        <w:t>Subsidiaries of subsidiary</w:t>
      </w:r>
      <w:bookmarkEnd w:id="302"/>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lastRenderedPageBreak/>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No. 25 of 2012 s. 188.]</w:t>
      </w:r>
    </w:p>
    <w:p>
      <w:pPr>
        <w:pStyle w:val="yScheduleHeading"/>
      </w:pPr>
      <w:bookmarkStart w:id="303" w:name="_Toc138409512"/>
      <w:bookmarkStart w:id="304" w:name="_Toc138409879"/>
      <w:bookmarkStart w:id="305" w:name="_Toc138412337"/>
      <w:r>
        <w:rPr>
          <w:rStyle w:val="CharSchNo"/>
        </w:rPr>
        <w:lastRenderedPageBreak/>
        <w:t>Schedule 5</w:t>
      </w:r>
      <w:r>
        <w:t> — </w:t>
      </w:r>
      <w:r>
        <w:rPr>
          <w:rStyle w:val="CharSchText"/>
        </w:rPr>
        <w:t>Transitional provisions</w:t>
      </w:r>
      <w:bookmarkEnd w:id="303"/>
      <w:bookmarkEnd w:id="304"/>
      <w:bookmarkEnd w:id="305"/>
    </w:p>
    <w:p>
      <w:pPr>
        <w:pStyle w:val="yShoulderClause"/>
      </w:pPr>
      <w:r>
        <w:t>[s. 94]</w:t>
      </w:r>
    </w:p>
    <w:p>
      <w:pPr>
        <w:pStyle w:val="yFootnoteheading"/>
      </w:pPr>
      <w:r>
        <w:tab/>
        <w:t>[Heading inserted: No. 25 of 2012 s. 189.]</w:t>
      </w:r>
    </w:p>
    <w:p>
      <w:pPr>
        <w:pStyle w:val="yHeading3"/>
      </w:pPr>
      <w:bookmarkStart w:id="306" w:name="_Toc138409513"/>
      <w:bookmarkStart w:id="307" w:name="_Toc138409880"/>
      <w:bookmarkStart w:id="308" w:name="_Toc138412338"/>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306"/>
      <w:bookmarkEnd w:id="307"/>
      <w:bookmarkEnd w:id="308"/>
    </w:p>
    <w:p>
      <w:pPr>
        <w:pStyle w:val="yFootnoteheading"/>
      </w:pPr>
      <w:r>
        <w:tab/>
        <w:t>[Heading inserted: No. 25 of 2012 s. 189.]</w:t>
      </w:r>
    </w:p>
    <w:p>
      <w:pPr>
        <w:pStyle w:val="Heading4"/>
      </w:pPr>
      <w:bookmarkStart w:id="309" w:name="_Toc138409514"/>
      <w:bookmarkStart w:id="310" w:name="_Toc138409881"/>
      <w:bookmarkStart w:id="311" w:name="_Toc138412339"/>
      <w:r>
        <w:t>Subdivision 1 — Preliminary</w:t>
      </w:r>
      <w:bookmarkEnd w:id="309"/>
      <w:bookmarkEnd w:id="310"/>
      <w:bookmarkEnd w:id="311"/>
    </w:p>
    <w:p>
      <w:pPr>
        <w:pStyle w:val="yFootnoteheading"/>
      </w:pPr>
      <w:r>
        <w:tab/>
        <w:t>[Heading inserted: No. 25 of 2012 s. 189.]</w:t>
      </w:r>
    </w:p>
    <w:p>
      <w:pPr>
        <w:pStyle w:val="yHeading5"/>
      </w:pPr>
      <w:bookmarkStart w:id="312" w:name="_Toc138412340"/>
      <w:r>
        <w:rPr>
          <w:rStyle w:val="CharSClsNo"/>
        </w:rPr>
        <w:t>1</w:t>
      </w:r>
      <w:r>
        <w:t>.</w:t>
      </w:r>
      <w:r>
        <w:tab/>
        <w:t>Terms used</w:t>
      </w:r>
      <w:bookmarkEnd w:id="312"/>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No. 25 of 2012 s. 189.]</w:t>
      </w:r>
    </w:p>
    <w:p>
      <w:pPr>
        <w:pStyle w:val="yHeading5"/>
      </w:pPr>
      <w:bookmarkStart w:id="313" w:name="_Toc138412341"/>
      <w:r>
        <w:rPr>
          <w:rStyle w:val="CharSClsNo"/>
        </w:rPr>
        <w:lastRenderedPageBreak/>
        <w:t>2</w:t>
      </w:r>
      <w:r>
        <w:t>.</w:t>
      </w:r>
      <w:r>
        <w:tab/>
        <w:t xml:space="preserve">Application of </w:t>
      </w:r>
      <w:r>
        <w:rPr>
          <w:i/>
          <w:iCs/>
        </w:rPr>
        <w:t>Interpretation Act 1984</w:t>
      </w:r>
      <w:bookmarkEnd w:id="313"/>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No. 25 of 2012 s. 189.]</w:t>
      </w:r>
    </w:p>
    <w:p>
      <w:pPr>
        <w:pStyle w:val="yHeading4"/>
      </w:pPr>
      <w:bookmarkStart w:id="314" w:name="_Toc138409517"/>
      <w:bookmarkStart w:id="315" w:name="_Toc138409884"/>
      <w:bookmarkStart w:id="316" w:name="_Toc138412342"/>
      <w:r>
        <w:t>Subdivision 2 — Continuation of former Boards</w:t>
      </w:r>
      <w:bookmarkEnd w:id="314"/>
      <w:bookmarkEnd w:id="315"/>
      <w:bookmarkEnd w:id="316"/>
    </w:p>
    <w:p>
      <w:pPr>
        <w:pStyle w:val="yFootnotesection"/>
      </w:pPr>
      <w:r>
        <w:tab/>
        <w:t>[Heading inserted: No. 25 of 2012 s. 189.]</w:t>
      </w:r>
    </w:p>
    <w:p>
      <w:pPr>
        <w:pStyle w:val="yHeading5"/>
      </w:pPr>
      <w:bookmarkStart w:id="317" w:name="_Toc138412343"/>
      <w:r>
        <w:rPr>
          <w:rStyle w:val="CharSClsNo"/>
        </w:rPr>
        <w:t>3</w:t>
      </w:r>
      <w:r>
        <w:t>.</w:t>
      </w:r>
      <w:r>
        <w:tab/>
        <w:t>Bunbury Water Board continues</w:t>
      </w:r>
      <w:bookmarkEnd w:id="317"/>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No. 25 of 2012 s. 189.]</w:t>
      </w:r>
    </w:p>
    <w:p>
      <w:pPr>
        <w:pStyle w:val="yHeading5"/>
      </w:pPr>
      <w:bookmarkStart w:id="318" w:name="_Toc138412344"/>
      <w:r>
        <w:rPr>
          <w:rStyle w:val="CharSClsNo"/>
        </w:rPr>
        <w:lastRenderedPageBreak/>
        <w:t>4</w:t>
      </w:r>
      <w:r>
        <w:t>.</w:t>
      </w:r>
      <w:r>
        <w:tab/>
        <w:t>Busselton Water Board continues</w:t>
      </w:r>
      <w:bookmarkEnd w:id="318"/>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No. 25 of 2012 s. 189.]</w:t>
      </w:r>
    </w:p>
    <w:p>
      <w:pPr>
        <w:pStyle w:val="yHeading5"/>
        <w:spacing w:before="190"/>
      </w:pPr>
      <w:bookmarkStart w:id="319" w:name="_Toc138412345"/>
      <w:r>
        <w:rPr>
          <w:rStyle w:val="CharSClsNo"/>
        </w:rPr>
        <w:t>5</w:t>
      </w:r>
      <w:r>
        <w:t>.</w:t>
      </w:r>
      <w:r>
        <w:tab/>
        <w:t>Members of former Boards</w:t>
      </w:r>
      <w:bookmarkEnd w:id="319"/>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No. 25 of 2012 s. 189.]</w:t>
      </w:r>
    </w:p>
    <w:p>
      <w:pPr>
        <w:pStyle w:val="yHeading5"/>
        <w:spacing w:before="200"/>
      </w:pPr>
      <w:bookmarkStart w:id="320" w:name="_Toc138412346"/>
      <w:r>
        <w:rPr>
          <w:rStyle w:val="CharSClsNo"/>
        </w:rPr>
        <w:t>6</w:t>
      </w:r>
      <w:r>
        <w:t>.</w:t>
      </w:r>
      <w:r>
        <w:tab/>
        <w:t>Operating licences of former Boards</w:t>
      </w:r>
      <w:bookmarkEnd w:id="320"/>
    </w:p>
    <w:p>
      <w:pPr>
        <w:pStyle w:val="ySubsection"/>
        <w:spacing w:before="120"/>
      </w:pPr>
      <w:r>
        <w:tab/>
        <w:t>(1)</w:t>
      </w:r>
      <w:r>
        <w:tab/>
        <w:t xml:space="preserve">An operating licence held by a former Board under the </w:t>
      </w:r>
      <w:r>
        <w:rPr>
          <w:i/>
          <w:iCs/>
        </w:rPr>
        <w:t>Water Services Licensing Act 1995</w:t>
      </w:r>
      <w:r>
        <w:rPr>
          <w:iCs/>
          <w:vertAlign w:val="superscript"/>
        </w:rPr>
        <w:t> 1</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lastRenderedPageBreak/>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No. 25 of 2012 s. 189.]</w:t>
      </w:r>
    </w:p>
    <w:p>
      <w:pPr>
        <w:pStyle w:val="yHeading5"/>
      </w:pPr>
      <w:bookmarkStart w:id="321" w:name="_Toc138412347"/>
      <w:r>
        <w:rPr>
          <w:rStyle w:val="CharSClsNo"/>
        </w:rPr>
        <w:t>7</w:t>
      </w:r>
      <w:r>
        <w:t>.</w:t>
      </w:r>
      <w:r>
        <w:tab/>
        <w:t xml:space="preserve">Supply of water to Water Corporation under </w:t>
      </w:r>
      <w:r>
        <w:rPr>
          <w:i/>
          <w:iCs/>
        </w:rPr>
        <w:t>Busselton Water Board (Supply of Water to Dunsborough) Act 2009</w:t>
      </w:r>
      <w:bookmarkEnd w:id="321"/>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No. 25 of 2012 s. 189.]</w:t>
      </w:r>
    </w:p>
    <w:p>
      <w:pPr>
        <w:pStyle w:val="yHeading4"/>
      </w:pPr>
      <w:bookmarkStart w:id="322" w:name="_Toc138409523"/>
      <w:bookmarkStart w:id="323" w:name="_Toc138409890"/>
      <w:bookmarkStart w:id="324" w:name="_Toc138412348"/>
      <w:r>
        <w:lastRenderedPageBreak/>
        <w:t>Subdivision 3 — Staff of former Boards</w:t>
      </w:r>
      <w:bookmarkEnd w:id="322"/>
      <w:bookmarkEnd w:id="323"/>
      <w:bookmarkEnd w:id="324"/>
    </w:p>
    <w:p>
      <w:pPr>
        <w:pStyle w:val="yFootnotesection"/>
        <w:keepNext/>
      </w:pPr>
      <w:r>
        <w:tab/>
        <w:t>[Heading inserted: No. 25 of 2012 s. 189.]</w:t>
      </w:r>
    </w:p>
    <w:p>
      <w:pPr>
        <w:pStyle w:val="yHeading5"/>
      </w:pPr>
      <w:bookmarkStart w:id="325" w:name="_Toc138412349"/>
      <w:r>
        <w:rPr>
          <w:rStyle w:val="CharSClsNo"/>
        </w:rPr>
        <w:t>8</w:t>
      </w:r>
      <w:r>
        <w:t>.</w:t>
      </w:r>
      <w:r>
        <w:tab/>
        <w:t>Term used: PSM Act</w:t>
      </w:r>
      <w:bookmarkEnd w:id="325"/>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No. 25 of 2012 s. 189.]</w:t>
      </w:r>
    </w:p>
    <w:p>
      <w:pPr>
        <w:pStyle w:val="yHeading5"/>
      </w:pPr>
      <w:bookmarkStart w:id="326" w:name="_Toc138412350"/>
      <w:r>
        <w:rPr>
          <w:rStyle w:val="CharSClsNo"/>
        </w:rPr>
        <w:t>9</w:t>
      </w:r>
      <w:r>
        <w:t>.</w:t>
      </w:r>
      <w:r>
        <w:tab/>
        <w:t>Transition of employment</w:t>
      </w:r>
      <w:bookmarkEnd w:id="326"/>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lastRenderedPageBreak/>
        <w:tab/>
        <w:t>(4)</w:t>
      </w:r>
      <w:r>
        <w:tab/>
        <w:t>Except as provided by clause 11, the PSM Act Part 6 does not apply in relation to the transition of the employment of a person by this clause.</w:t>
      </w:r>
    </w:p>
    <w:p>
      <w:pPr>
        <w:pStyle w:val="yFootnotesection"/>
      </w:pPr>
      <w:r>
        <w:tab/>
        <w:t>[Clause 9 inserted: No. 25 of 2012 s. 189.]</w:t>
      </w:r>
    </w:p>
    <w:p>
      <w:pPr>
        <w:pStyle w:val="yHeading5"/>
      </w:pPr>
      <w:bookmarkStart w:id="327" w:name="_Toc138412351"/>
      <w:r>
        <w:rPr>
          <w:rStyle w:val="CharSClsNo"/>
        </w:rPr>
        <w:t>10</w:t>
      </w:r>
      <w:r>
        <w:t>.</w:t>
      </w:r>
      <w:r>
        <w:tab/>
        <w:t>Election as to employment</w:t>
      </w:r>
      <w:bookmarkEnd w:id="327"/>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No. 25 of 2012 s. 189.]</w:t>
      </w:r>
    </w:p>
    <w:p>
      <w:pPr>
        <w:pStyle w:val="yHeading5"/>
        <w:spacing w:before="200"/>
      </w:pPr>
      <w:bookmarkStart w:id="328" w:name="_Toc138412352"/>
      <w:r>
        <w:rPr>
          <w:rStyle w:val="CharSClsNo"/>
        </w:rPr>
        <w:t>11</w:t>
      </w:r>
      <w:r>
        <w:t>.</w:t>
      </w:r>
      <w:r>
        <w:tab/>
      </w:r>
      <w:r>
        <w:rPr>
          <w:bCs/>
        </w:rPr>
        <w:t xml:space="preserve">Application of </w:t>
      </w:r>
      <w:r>
        <w:t>PSM Act Part 6 to persons who make an election</w:t>
      </w:r>
      <w:bookmarkEnd w:id="328"/>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lastRenderedPageBreak/>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No. 25 of 2012 s. 189.]</w:t>
      </w:r>
    </w:p>
    <w:p>
      <w:pPr>
        <w:pStyle w:val="yHeading5"/>
      </w:pPr>
      <w:bookmarkStart w:id="329" w:name="_Toc138412353"/>
      <w:r>
        <w:rPr>
          <w:rStyle w:val="CharSClsNo"/>
        </w:rPr>
        <w:t>12</w:t>
      </w:r>
      <w:r>
        <w:t>.</w:t>
      </w:r>
      <w:r>
        <w:tab/>
        <w:t>Arrangements for return to Public Sector</w:t>
      </w:r>
      <w:bookmarkEnd w:id="329"/>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lastRenderedPageBreak/>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No. 25 of 2012 s. 189.]</w:t>
      </w:r>
    </w:p>
    <w:p>
      <w:pPr>
        <w:pStyle w:val="yHeading5"/>
      </w:pPr>
      <w:bookmarkStart w:id="330" w:name="_Toc138412354"/>
      <w:r>
        <w:rPr>
          <w:rStyle w:val="CharSClsNo"/>
        </w:rPr>
        <w:t>13</w:t>
      </w:r>
      <w:r>
        <w:t>.</w:t>
      </w:r>
      <w:r>
        <w:tab/>
        <w:t>Contracts for services</w:t>
      </w:r>
      <w:bookmarkEnd w:id="330"/>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No. 25 of 2012 s. 189.]</w:t>
      </w:r>
    </w:p>
    <w:p>
      <w:pPr>
        <w:pStyle w:val="yHeading4"/>
      </w:pPr>
      <w:bookmarkStart w:id="331" w:name="_Toc138409530"/>
      <w:bookmarkStart w:id="332" w:name="_Toc138409897"/>
      <w:bookmarkStart w:id="333" w:name="_Toc138412355"/>
      <w:r>
        <w:t>Subdivision 4 — Provisions as to accountability and financial provisions</w:t>
      </w:r>
      <w:bookmarkEnd w:id="331"/>
      <w:bookmarkEnd w:id="332"/>
      <w:bookmarkEnd w:id="333"/>
    </w:p>
    <w:p>
      <w:pPr>
        <w:pStyle w:val="yFootnotesection"/>
      </w:pPr>
      <w:r>
        <w:tab/>
        <w:t>[Heading inserted: No. 25 of 2012 s. 189.]</w:t>
      </w:r>
    </w:p>
    <w:p>
      <w:pPr>
        <w:pStyle w:val="yHeading5"/>
      </w:pPr>
      <w:bookmarkStart w:id="334" w:name="_Toc138412356"/>
      <w:r>
        <w:rPr>
          <w:rStyle w:val="CharSClsNo"/>
        </w:rPr>
        <w:t>14</w:t>
      </w:r>
      <w:r>
        <w:t>.</w:t>
      </w:r>
      <w:r>
        <w:tab/>
        <w:t>Strategic development plans</w:t>
      </w:r>
      <w:bookmarkEnd w:id="334"/>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No. 25 of 2012 s. 189.]</w:t>
      </w:r>
    </w:p>
    <w:p>
      <w:pPr>
        <w:pStyle w:val="yHeading5"/>
      </w:pPr>
      <w:bookmarkStart w:id="335" w:name="_Toc138412357"/>
      <w:r>
        <w:rPr>
          <w:rStyle w:val="CharSClsNo"/>
        </w:rPr>
        <w:t>15</w:t>
      </w:r>
      <w:r>
        <w:t>.</w:t>
      </w:r>
      <w:r>
        <w:tab/>
        <w:t>Statements of corporate intent</w:t>
      </w:r>
      <w:bookmarkEnd w:id="335"/>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No. 25 of 2012 s. 189.]</w:t>
      </w:r>
    </w:p>
    <w:p>
      <w:pPr>
        <w:pStyle w:val="yHeading5"/>
      </w:pPr>
      <w:bookmarkStart w:id="336" w:name="_Toc138412358"/>
      <w:r>
        <w:rPr>
          <w:rStyle w:val="CharSClsNo"/>
        </w:rPr>
        <w:t>16</w:t>
      </w:r>
      <w:r>
        <w:t>.</w:t>
      </w:r>
      <w:r>
        <w:tab/>
        <w:t>Financial reporting</w:t>
      </w:r>
      <w:bookmarkEnd w:id="336"/>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lastRenderedPageBreak/>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No. 25 of 2012 s. 189.]</w:t>
      </w:r>
    </w:p>
    <w:p>
      <w:pPr>
        <w:pStyle w:val="yHeading5"/>
      </w:pPr>
      <w:bookmarkStart w:id="337" w:name="_Toc138412359"/>
      <w:r>
        <w:rPr>
          <w:rStyle w:val="CharSClsNo"/>
        </w:rPr>
        <w:t>17</w:t>
      </w:r>
      <w:r>
        <w:t>.</w:t>
      </w:r>
      <w:r>
        <w:tab/>
        <w:t>Water funds</w:t>
      </w:r>
      <w:bookmarkEnd w:id="337"/>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No. 25 of 2012 s. 189.]</w:t>
      </w:r>
    </w:p>
    <w:p>
      <w:pPr>
        <w:pStyle w:val="yHeading5"/>
      </w:pPr>
      <w:bookmarkStart w:id="338" w:name="_Toc138412360"/>
      <w:r>
        <w:rPr>
          <w:rStyle w:val="CharSClsNo"/>
        </w:rPr>
        <w:t>18</w:t>
      </w:r>
      <w:r>
        <w:t>.</w:t>
      </w:r>
      <w:r>
        <w:tab/>
        <w:t>Payments to State under Part 5 Div. 2</w:t>
      </w:r>
      <w:bookmarkEnd w:id="338"/>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No. 25 of 2012 s. 189.]</w:t>
      </w:r>
    </w:p>
    <w:p>
      <w:pPr>
        <w:pStyle w:val="yHeading4"/>
      </w:pPr>
      <w:bookmarkStart w:id="339" w:name="_Toc138409536"/>
      <w:bookmarkStart w:id="340" w:name="_Toc138409903"/>
      <w:bookmarkStart w:id="341" w:name="_Toc138412361"/>
      <w:r>
        <w:t>Subdivision 5 — Miscellaneous</w:t>
      </w:r>
      <w:bookmarkEnd w:id="339"/>
      <w:bookmarkEnd w:id="340"/>
      <w:bookmarkEnd w:id="341"/>
    </w:p>
    <w:p>
      <w:pPr>
        <w:pStyle w:val="yFootnotesection"/>
      </w:pPr>
      <w:r>
        <w:tab/>
        <w:t>[Heading inserted: No. 25 of 2012 s. 189.]</w:t>
      </w:r>
    </w:p>
    <w:p>
      <w:pPr>
        <w:pStyle w:val="yHeading5"/>
      </w:pPr>
      <w:bookmarkStart w:id="342" w:name="_Toc138412362"/>
      <w:r>
        <w:rPr>
          <w:rStyle w:val="CharSClsNo"/>
        </w:rPr>
        <w:t>19</w:t>
      </w:r>
      <w:r>
        <w:t>.</w:t>
      </w:r>
      <w:r>
        <w:tab/>
        <w:t>References to former Boards</w:t>
      </w:r>
      <w:bookmarkEnd w:id="342"/>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lastRenderedPageBreak/>
        <w:tab/>
        <w:t>[Clause 19 inserted: No. 25 of 2012 s. 189.]</w:t>
      </w:r>
    </w:p>
    <w:p>
      <w:pPr>
        <w:pStyle w:val="yHeading5"/>
      </w:pPr>
      <w:bookmarkStart w:id="343" w:name="_Toc138412363"/>
      <w:r>
        <w:rPr>
          <w:rStyle w:val="CharSClsNo"/>
        </w:rPr>
        <w:t>20</w:t>
      </w:r>
      <w:r>
        <w:t>.</w:t>
      </w:r>
      <w:r>
        <w:tab/>
        <w:t>References to repealed Act</w:t>
      </w:r>
      <w:bookmarkEnd w:id="343"/>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No. 25 of 2012 s. 189.]</w:t>
      </w:r>
    </w:p>
    <w:p>
      <w:pPr>
        <w:pStyle w:val="yHeading5"/>
      </w:pPr>
      <w:bookmarkStart w:id="344" w:name="_Toc138412364"/>
      <w:r>
        <w:rPr>
          <w:rStyle w:val="CharSClsNo"/>
        </w:rPr>
        <w:t>21</w:t>
      </w:r>
      <w:r>
        <w:t>.</w:t>
      </w:r>
      <w:r>
        <w:tab/>
        <w:t>Transitional regulations</w:t>
      </w:r>
      <w:bookmarkEnd w:id="344"/>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w:t>
      </w:r>
      <w:r>
        <w:lastRenderedPageBreak/>
        <w:t xml:space="preserve">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No. 25 of 2012 s. 189.]</w:t>
      </w:r>
    </w:p>
    <w:p>
      <w:pPr>
        <w:pStyle w:val="yHeading5"/>
      </w:pPr>
      <w:bookmarkStart w:id="345" w:name="_Toc138412365"/>
      <w:r>
        <w:rPr>
          <w:rStyle w:val="CharSClsNo"/>
        </w:rPr>
        <w:t>22</w:t>
      </w:r>
      <w:r>
        <w:t>.</w:t>
      </w:r>
      <w:r>
        <w:tab/>
        <w:t>Relationship of provisions of this Division to transitional regulations</w:t>
      </w:r>
      <w:bookmarkEnd w:id="345"/>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544" w:gutter="0"/>
          <w:cols w:space="720"/>
          <w:noEndnote/>
          <w:docGrid w:linePitch="326"/>
        </w:sectPr>
      </w:pPr>
    </w:p>
    <w:p>
      <w:pPr>
        <w:pStyle w:val="nHeading2"/>
      </w:pPr>
      <w:bookmarkStart w:id="346" w:name="_Toc138409908"/>
      <w:bookmarkStart w:id="347" w:name="_Toc138412366"/>
      <w:bookmarkStart w:id="348" w:name="_Toc138409543"/>
      <w:r>
        <w:lastRenderedPageBreak/>
        <w:t>Notes</w:t>
      </w:r>
      <w:bookmarkEnd w:id="346"/>
      <w:bookmarkEnd w:id="347"/>
    </w:p>
    <w:p>
      <w:pPr>
        <w:pStyle w:val="nStatement"/>
      </w:pPr>
      <w:r>
        <w:t xml:space="preserve">This is a compilation of the </w:t>
      </w:r>
      <w:r>
        <w:rPr>
          <w:i/>
          <w:noProof/>
        </w:rPr>
        <w:t>Water Corporations Act 1995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49" w:name="_Toc138412367"/>
      <w:r>
        <w:t>Compilation table</w:t>
      </w:r>
      <w:bookmarkEnd w:id="349"/>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80"/>
        <w:gridCol w:w="1080"/>
        <w:gridCol w:w="1200"/>
        <w:gridCol w:w="2520"/>
      </w:tblGrid>
      <w:tr>
        <w:trPr>
          <w:tblHeader/>
        </w:trPr>
        <w:tc>
          <w:tcPr>
            <w:tcW w:w="2280" w:type="dxa"/>
          </w:tcPr>
          <w:p>
            <w:pPr>
              <w:pStyle w:val="nTable"/>
              <w:spacing w:after="40"/>
              <w:rPr>
                <w:b/>
              </w:rPr>
            </w:pPr>
            <w:r>
              <w:rPr>
                <w:b/>
              </w:rPr>
              <w:t>Short title</w:t>
            </w:r>
          </w:p>
        </w:tc>
        <w:tc>
          <w:tcPr>
            <w:tcW w:w="1080" w:type="dxa"/>
          </w:tcPr>
          <w:p>
            <w:pPr>
              <w:pStyle w:val="nTable"/>
              <w:spacing w:after="40"/>
              <w:rPr>
                <w:b/>
              </w:rPr>
            </w:pPr>
            <w:r>
              <w:rPr>
                <w:b/>
              </w:rPr>
              <w:t>Number and year</w:t>
            </w:r>
          </w:p>
        </w:tc>
        <w:tc>
          <w:tcPr>
            <w:tcW w:w="1200" w:type="dxa"/>
          </w:tcPr>
          <w:p>
            <w:pPr>
              <w:pStyle w:val="nTable"/>
              <w:spacing w:after="40"/>
              <w:rPr>
                <w:b/>
              </w:rPr>
            </w:pPr>
            <w:r>
              <w:rPr>
                <w:b/>
              </w:rPr>
              <w:t>Assent</w:t>
            </w:r>
          </w:p>
        </w:tc>
        <w:tc>
          <w:tcPr>
            <w:tcW w:w="252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Water Corporation Act 1995</w:t>
            </w:r>
            <w:r>
              <w:rPr>
                <w:vertAlign w:val="superscript"/>
              </w:rPr>
              <w:t> 2</w:t>
            </w:r>
          </w:p>
        </w:tc>
        <w:tc>
          <w:tcPr>
            <w:tcW w:w="1080" w:type="dxa"/>
          </w:tcPr>
          <w:p>
            <w:pPr>
              <w:pStyle w:val="nTable"/>
              <w:spacing w:before="60" w:after="60"/>
            </w:pPr>
            <w:r>
              <w:t>70 of 1995</w:t>
            </w:r>
          </w:p>
        </w:tc>
        <w:tc>
          <w:tcPr>
            <w:tcW w:w="1200" w:type="dxa"/>
          </w:tcPr>
          <w:p>
            <w:pPr>
              <w:pStyle w:val="nTable"/>
              <w:spacing w:before="60" w:after="60"/>
            </w:pPr>
            <w:r>
              <w:t>27 Dec 1995</w:t>
            </w:r>
          </w:p>
        </w:tc>
        <w:tc>
          <w:tcPr>
            <w:tcW w:w="2520" w:type="dxa"/>
          </w:tcPr>
          <w:p>
            <w:pPr>
              <w:pStyle w:val="nTable"/>
              <w:spacing w:before="60" w:after="60"/>
            </w:pPr>
            <w:r>
              <w:t xml:space="preserve">1 Jan 1996 (see s. 2 and </w:t>
            </w:r>
            <w:r>
              <w:rPr>
                <w:i/>
              </w:rPr>
              <w:t>Gazette</w:t>
            </w:r>
            <w:r>
              <w:t xml:space="preserve"> 29 Dec 1995 p. 6291)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State Enterprises (Commonwealth Tax Equivalents) Act 1996</w:t>
            </w:r>
            <w:r>
              <w:t xml:space="preserve"> s. 10(4)</w:t>
            </w:r>
          </w:p>
        </w:tc>
        <w:tc>
          <w:tcPr>
            <w:tcW w:w="1080" w:type="dxa"/>
          </w:tcPr>
          <w:p>
            <w:pPr>
              <w:pStyle w:val="nTable"/>
              <w:spacing w:before="60" w:after="60"/>
            </w:pPr>
            <w:r>
              <w:t>55 of 1996</w:t>
            </w:r>
          </w:p>
        </w:tc>
        <w:tc>
          <w:tcPr>
            <w:tcW w:w="1200" w:type="dxa"/>
          </w:tcPr>
          <w:p>
            <w:pPr>
              <w:pStyle w:val="nTable"/>
              <w:spacing w:before="60" w:after="60"/>
            </w:pPr>
            <w:r>
              <w:t>11 Nov 1996</w:t>
            </w:r>
          </w:p>
        </w:tc>
        <w:tc>
          <w:tcPr>
            <w:tcW w:w="2520" w:type="dxa"/>
          </w:tcPr>
          <w:p>
            <w:pPr>
              <w:pStyle w:val="nTable"/>
              <w:spacing w:before="60" w:after="60"/>
            </w:pPr>
            <w:r>
              <w:t>1 Jul 1996 (see s. 2 and 3(3))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Statutes (Repeals and Minor Amendments) Act (No. 2) 1998</w:t>
            </w:r>
            <w:r>
              <w:t xml:space="preserve"> s. 73</w:t>
            </w:r>
          </w:p>
        </w:tc>
        <w:tc>
          <w:tcPr>
            <w:tcW w:w="1080" w:type="dxa"/>
          </w:tcPr>
          <w:p>
            <w:pPr>
              <w:pStyle w:val="nTable"/>
              <w:spacing w:before="60" w:after="60"/>
            </w:pPr>
            <w:r>
              <w:t>10 of 1998</w:t>
            </w:r>
          </w:p>
        </w:tc>
        <w:tc>
          <w:tcPr>
            <w:tcW w:w="1200" w:type="dxa"/>
          </w:tcPr>
          <w:p>
            <w:pPr>
              <w:pStyle w:val="nTable"/>
              <w:spacing w:before="60" w:after="60"/>
            </w:pPr>
            <w:r>
              <w:t>30 Apr 1998</w:t>
            </w:r>
          </w:p>
        </w:tc>
        <w:tc>
          <w:tcPr>
            <w:tcW w:w="2520" w:type="dxa"/>
          </w:tcPr>
          <w:p>
            <w:pPr>
              <w:pStyle w:val="nTable"/>
              <w:spacing w:before="60" w:after="60"/>
            </w:pPr>
            <w:r>
              <w:t>30 Apr 1998 (see s. 2(1))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Acts Amendment and Repeal (Financial Sector Reform) Act 1999</w:t>
            </w:r>
            <w:r>
              <w:t xml:space="preserve"> s. 110</w:t>
            </w:r>
          </w:p>
        </w:tc>
        <w:tc>
          <w:tcPr>
            <w:tcW w:w="1080" w:type="dxa"/>
          </w:tcPr>
          <w:p>
            <w:pPr>
              <w:pStyle w:val="nTable"/>
              <w:spacing w:before="60" w:after="60"/>
            </w:pPr>
            <w:r>
              <w:t>26 of 1999</w:t>
            </w:r>
          </w:p>
        </w:tc>
        <w:tc>
          <w:tcPr>
            <w:tcW w:w="1200" w:type="dxa"/>
          </w:tcPr>
          <w:p>
            <w:pPr>
              <w:pStyle w:val="nTable"/>
              <w:spacing w:before="60" w:after="60"/>
            </w:pPr>
            <w:r>
              <w:t>29 Jun 1999</w:t>
            </w:r>
          </w:p>
        </w:tc>
        <w:tc>
          <w:tcPr>
            <w:tcW w:w="2520" w:type="dxa"/>
          </w:tcPr>
          <w:p>
            <w:pPr>
              <w:pStyle w:val="nTable"/>
              <w:spacing w:before="60" w:after="6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State Superannuation (Transitional and Consequential Provisions) Act 2000</w:t>
            </w:r>
            <w:r>
              <w:t xml:space="preserve"> s. 70</w:t>
            </w:r>
          </w:p>
        </w:tc>
        <w:tc>
          <w:tcPr>
            <w:tcW w:w="1080" w:type="dxa"/>
          </w:tcPr>
          <w:p>
            <w:pPr>
              <w:pStyle w:val="nTable"/>
              <w:spacing w:before="60" w:after="60"/>
            </w:pPr>
            <w:r>
              <w:t>43 of 2000</w:t>
            </w:r>
          </w:p>
        </w:tc>
        <w:tc>
          <w:tcPr>
            <w:tcW w:w="1200" w:type="dxa"/>
          </w:tcPr>
          <w:p>
            <w:pPr>
              <w:pStyle w:val="nTable"/>
              <w:spacing w:before="60" w:after="60"/>
            </w:pPr>
            <w:r>
              <w:t>2 Nov 2000</w:t>
            </w:r>
          </w:p>
        </w:tc>
        <w:tc>
          <w:tcPr>
            <w:tcW w:w="2520" w:type="dxa"/>
          </w:tcPr>
          <w:p>
            <w:pPr>
              <w:pStyle w:val="nTable"/>
              <w:spacing w:before="60" w:after="60"/>
            </w:pPr>
            <w:r>
              <w:t xml:space="preserve">17 Feb 2001 (see s. 2(1)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rPr>
            </w:pPr>
            <w:r>
              <w:rPr>
                <w:i/>
              </w:rPr>
              <w:t>Corporations (Consequential Amendments) Act 2001</w:t>
            </w:r>
            <w:r>
              <w:t xml:space="preserve"> Pt. 54</w:t>
            </w:r>
          </w:p>
        </w:tc>
        <w:tc>
          <w:tcPr>
            <w:tcW w:w="1080" w:type="dxa"/>
          </w:tcPr>
          <w:p>
            <w:pPr>
              <w:pStyle w:val="nTable"/>
              <w:spacing w:before="60" w:after="60"/>
            </w:pPr>
            <w:r>
              <w:t>10 of 2001</w:t>
            </w:r>
          </w:p>
        </w:tc>
        <w:tc>
          <w:tcPr>
            <w:tcW w:w="1200" w:type="dxa"/>
          </w:tcPr>
          <w:p>
            <w:pPr>
              <w:pStyle w:val="nTable"/>
              <w:spacing w:before="60" w:after="60"/>
            </w:pPr>
            <w:r>
              <w:t>28 Jun 2001</w:t>
            </w:r>
          </w:p>
        </w:tc>
        <w:tc>
          <w:tcPr>
            <w:tcW w:w="2520"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20" w:type="dxa"/>
          </w:tcPr>
          <w:p>
            <w:pPr>
              <w:pStyle w:val="nTable"/>
              <w:spacing w:before="60" w:after="60"/>
            </w:pPr>
            <w:r>
              <w:t>1 Jul 2002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Labour Relations Reform Act 2002</w:t>
            </w:r>
            <w:r>
              <w:t xml:space="preserve"> s. 27</w:t>
            </w:r>
          </w:p>
        </w:tc>
        <w:tc>
          <w:tcPr>
            <w:tcW w:w="1080" w:type="dxa"/>
          </w:tcPr>
          <w:p>
            <w:pPr>
              <w:pStyle w:val="nTable"/>
              <w:spacing w:before="60" w:after="60"/>
            </w:pPr>
            <w:r>
              <w:t>20 of 2002</w:t>
            </w:r>
          </w:p>
        </w:tc>
        <w:tc>
          <w:tcPr>
            <w:tcW w:w="1200" w:type="dxa"/>
          </w:tcPr>
          <w:p>
            <w:pPr>
              <w:pStyle w:val="nTable"/>
              <w:spacing w:before="60" w:after="60"/>
            </w:pPr>
            <w:r>
              <w:t>8 Jul 2002</w:t>
            </w:r>
          </w:p>
        </w:tc>
        <w:tc>
          <w:tcPr>
            <w:tcW w:w="2520" w:type="dxa"/>
          </w:tcPr>
          <w:p>
            <w:pPr>
              <w:pStyle w:val="nTable"/>
              <w:spacing w:before="60" w:after="60"/>
            </w:pPr>
            <w:r>
              <w:t xml:space="preserve">15 Sep 2002 (see s. 2(1) and </w:t>
            </w:r>
            <w:r>
              <w:rPr>
                <w:i/>
              </w:rPr>
              <w:t>Gazette</w:t>
            </w:r>
            <w:r>
              <w:t xml:space="preserve"> 6 Sep 2002 p. 4487)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rPr>
            </w:pPr>
            <w:r>
              <w:rPr>
                <w:i/>
              </w:rPr>
              <w:t>Corporations (Consequential Amendments) Act (No. 3) 2003</w:t>
            </w:r>
            <w:r>
              <w:t xml:space="preserve"> Pt. 16</w:t>
            </w:r>
            <w:r>
              <w:rPr>
                <w:vertAlign w:val="superscript"/>
              </w:rPr>
              <w:t xml:space="preserve"> 3</w:t>
            </w:r>
          </w:p>
        </w:tc>
        <w:tc>
          <w:tcPr>
            <w:tcW w:w="1080" w:type="dxa"/>
          </w:tcPr>
          <w:p>
            <w:pPr>
              <w:pStyle w:val="nTable"/>
              <w:spacing w:before="60" w:after="60"/>
            </w:pPr>
            <w:r>
              <w:t>21 of 2003</w:t>
            </w:r>
          </w:p>
        </w:tc>
        <w:tc>
          <w:tcPr>
            <w:tcW w:w="1200" w:type="dxa"/>
          </w:tcPr>
          <w:p>
            <w:pPr>
              <w:pStyle w:val="nTable"/>
              <w:spacing w:before="60" w:after="60"/>
            </w:pPr>
            <w:r>
              <w:t>23 Apr 2003</w:t>
            </w:r>
          </w:p>
        </w:tc>
        <w:tc>
          <w:tcPr>
            <w:tcW w:w="2520" w:type="dxa"/>
          </w:tcPr>
          <w:p>
            <w:pPr>
              <w:pStyle w:val="nTable"/>
              <w:spacing w:before="60" w:after="60"/>
            </w:pPr>
            <w:r>
              <w:t xml:space="preserve">11 Mar 2002 (see s. 2 and Cwlth. </w:t>
            </w:r>
            <w:r>
              <w:rPr>
                <w:i/>
              </w:rPr>
              <w:t>Gazette</w:t>
            </w:r>
            <w:r>
              <w:t xml:space="preserve"> 24 Oct 2001 No. GN42)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lastRenderedPageBreak/>
              <w:t>Acts Amendment (Equality of Status) Act 2003</w:t>
            </w:r>
            <w:r>
              <w:t xml:space="preserve"> Pt. 59</w:t>
            </w:r>
          </w:p>
        </w:tc>
        <w:tc>
          <w:tcPr>
            <w:tcW w:w="1080" w:type="dxa"/>
          </w:tcPr>
          <w:p>
            <w:pPr>
              <w:pStyle w:val="nTable"/>
              <w:spacing w:before="60" w:after="60"/>
            </w:pPr>
            <w:r>
              <w:t>28 of 2003</w:t>
            </w:r>
          </w:p>
        </w:tc>
        <w:tc>
          <w:tcPr>
            <w:tcW w:w="1200" w:type="dxa"/>
          </w:tcPr>
          <w:p>
            <w:pPr>
              <w:pStyle w:val="nTable"/>
              <w:spacing w:before="60" w:after="60"/>
            </w:pPr>
            <w:r>
              <w:t>22 May 2003</w:t>
            </w:r>
          </w:p>
        </w:tc>
        <w:tc>
          <w:tcPr>
            <w:tcW w:w="2520" w:type="dxa"/>
          </w:tcPr>
          <w:p>
            <w:pPr>
              <w:pStyle w:val="nTable"/>
              <w:spacing w:before="60" w:after="6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Sentencing Legislation Amendment and Repeal Act 2003 </w:t>
            </w:r>
            <w:r>
              <w:t>s. 103</w:t>
            </w:r>
          </w:p>
        </w:tc>
        <w:tc>
          <w:tcPr>
            <w:tcW w:w="1080" w:type="dxa"/>
          </w:tcPr>
          <w:p>
            <w:pPr>
              <w:pStyle w:val="nTable"/>
              <w:spacing w:before="60" w:after="60"/>
            </w:pPr>
            <w:r>
              <w:t>50 of 2003</w:t>
            </w:r>
          </w:p>
        </w:tc>
        <w:tc>
          <w:tcPr>
            <w:tcW w:w="1200" w:type="dxa"/>
          </w:tcPr>
          <w:p>
            <w:pPr>
              <w:pStyle w:val="nTable"/>
              <w:spacing w:before="60" w:after="60"/>
            </w:pPr>
            <w:r>
              <w:t>9 Jul 2003</w:t>
            </w:r>
          </w:p>
        </w:tc>
        <w:tc>
          <w:tcPr>
            <w:tcW w:w="2520" w:type="dxa"/>
          </w:tcPr>
          <w:p>
            <w:pPr>
              <w:pStyle w:val="nTable"/>
              <w:spacing w:before="60" w:after="60"/>
            </w:pPr>
            <w:r>
              <w:t>15 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4560"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20" w:type="dxa"/>
          </w:tcPr>
          <w:p>
            <w:pPr>
              <w:pStyle w:val="nTable"/>
              <w:spacing w:before="60" w:after="60"/>
            </w:pPr>
            <w:r>
              <w:t>15 Sep 2003 (see r. 2)</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pPr>
            <w:r>
              <w:rPr>
                <w:i/>
              </w:rPr>
              <w:t xml:space="preserve">Economic Regulation Authority Act 2003 </w:t>
            </w:r>
            <w:r>
              <w:t>Sch. 2 Div. 17</w:t>
            </w:r>
          </w:p>
        </w:tc>
        <w:tc>
          <w:tcPr>
            <w:tcW w:w="1080" w:type="dxa"/>
          </w:tcPr>
          <w:p>
            <w:pPr>
              <w:pStyle w:val="nTable"/>
              <w:spacing w:before="60" w:after="60"/>
            </w:pPr>
            <w:r>
              <w:t>67 of 2003</w:t>
            </w:r>
          </w:p>
        </w:tc>
        <w:tc>
          <w:tcPr>
            <w:tcW w:w="1200" w:type="dxa"/>
          </w:tcPr>
          <w:p>
            <w:pPr>
              <w:pStyle w:val="nTable"/>
              <w:spacing w:before="60" w:after="60"/>
            </w:pPr>
            <w:r>
              <w:t>5 Dec 2003</w:t>
            </w:r>
          </w:p>
        </w:tc>
        <w:tc>
          <w:tcPr>
            <w:tcW w:w="2520" w:type="dxa"/>
          </w:tcPr>
          <w:p>
            <w:pPr>
              <w:pStyle w:val="nTable"/>
              <w:spacing w:before="60" w:after="60"/>
            </w:pPr>
            <w:r>
              <w:t xml:space="preserve">1 Jan 2004 (see s. 2 and </w:t>
            </w:r>
            <w:r>
              <w:rPr>
                <w:i/>
              </w:rPr>
              <w:t>Gazette</w:t>
            </w:r>
            <w:r>
              <w:t xml:space="preserve"> 30 Dec 2003 p. 5723)</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vertAlign w:val="superscript"/>
              </w:rPr>
            </w:pPr>
            <w:r>
              <w:rPr>
                <w:i/>
              </w:rPr>
              <w:t>Statutes (Repeals and Minor Amendments) Act 2003</w:t>
            </w:r>
            <w:r>
              <w:t xml:space="preserve"> s. 127</w:t>
            </w:r>
            <w:r>
              <w:rPr>
                <w:vertAlign w:val="superscript"/>
              </w:rPr>
              <w:t xml:space="preserve"> 4</w:t>
            </w:r>
          </w:p>
        </w:tc>
        <w:tc>
          <w:tcPr>
            <w:tcW w:w="1080" w:type="dxa"/>
          </w:tcPr>
          <w:p>
            <w:pPr>
              <w:pStyle w:val="nTable"/>
              <w:spacing w:before="60" w:after="60"/>
            </w:pPr>
            <w:r>
              <w:t>74 of 2003</w:t>
            </w:r>
          </w:p>
        </w:tc>
        <w:tc>
          <w:tcPr>
            <w:tcW w:w="1200" w:type="dxa"/>
          </w:tcPr>
          <w:p>
            <w:pPr>
              <w:pStyle w:val="nTable"/>
              <w:spacing w:before="60" w:after="60"/>
            </w:pPr>
            <w:r>
              <w:t>15 Dec 2003</w:t>
            </w:r>
          </w:p>
        </w:tc>
        <w:tc>
          <w:tcPr>
            <w:tcW w:w="2520" w:type="dxa"/>
          </w:tcPr>
          <w:p>
            <w:pPr>
              <w:pStyle w:val="nTable"/>
              <w:spacing w:before="60" w:after="60"/>
            </w:pPr>
            <w:r>
              <w:t>15 Dec 2003 (see s. 2)</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080" w:type="dxa"/>
          </w:tcPr>
          <w:p>
            <w:pPr>
              <w:pStyle w:val="nTable"/>
              <w:spacing w:before="60" w:after="60"/>
            </w:pPr>
            <w:r>
              <w:rPr>
                <w:snapToGrid w:val="0"/>
              </w:rPr>
              <w:t>28 of 2006</w:t>
            </w:r>
          </w:p>
        </w:tc>
        <w:tc>
          <w:tcPr>
            <w:tcW w:w="1200" w:type="dxa"/>
          </w:tcPr>
          <w:p>
            <w:pPr>
              <w:pStyle w:val="nTable"/>
              <w:spacing w:before="60" w:after="60"/>
            </w:pPr>
            <w:r>
              <w:t>26 Jun 2006</w:t>
            </w:r>
          </w:p>
        </w:tc>
        <w:tc>
          <w:tcPr>
            <w:tcW w:w="2520" w:type="dxa"/>
          </w:tcPr>
          <w:p>
            <w:pPr>
              <w:pStyle w:val="nTable"/>
              <w:spacing w:before="60" w:after="6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snapToGrid w:val="0"/>
              </w:rPr>
            </w:pPr>
            <w:r>
              <w:rPr>
                <w:i/>
              </w:rPr>
              <w:t>Financial Legislation Amendment and Repeal Act 2006</w:t>
            </w:r>
            <w:r>
              <w:rPr>
                <w:iCs/>
              </w:rPr>
              <w:t xml:space="preserve"> s. 4, 5(1), 14 and Sch. 1 cl. 177</w:t>
            </w:r>
          </w:p>
        </w:tc>
        <w:tc>
          <w:tcPr>
            <w:tcW w:w="1080" w:type="dxa"/>
          </w:tcPr>
          <w:p>
            <w:pPr>
              <w:pStyle w:val="nTable"/>
              <w:spacing w:before="60" w:after="60"/>
              <w:rPr>
                <w:snapToGrid w:val="0"/>
              </w:rPr>
            </w:pPr>
            <w:r>
              <w:t>77 of 2006</w:t>
            </w:r>
          </w:p>
        </w:tc>
        <w:tc>
          <w:tcPr>
            <w:tcW w:w="1200" w:type="dxa"/>
          </w:tcPr>
          <w:p>
            <w:pPr>
              <w:pStyle w:val="nTable"/>
              <w:spacing w:before="60" w:after="60"/>
            </w:pPr>
            <w:r>
              <w:t>21 Dec 2006</w:t>
            </w:r>
          </w:p>
        </w:tc>
        <w:tc>
          <w:tcPr>
            <w:tcW w:w="2520" w:type="dxa"/>
          </w:tcPr>
          <w:p>
            <w:pPr>
              <w:pStyle w:val="nTable"/>
              <w:spacing w:before="60" w:after="6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b/>
                <w:i/>
              </w:rPr>
            </w:pPr>
            <w:r>
              <w:rPr>
                <w:i/>
                <w:snapToGrid w:val="0"/>
              </w:rPr>
              <w:t>Water Resources Legislation Amendment Act 2007</w:t>
            </w:r>
            <w:r>
              <w:rPr>
                <w:iCs/>
                <w:snapToGrid w:val="0"/>
              </w:rPr>
              <w:t xml:space="preserve"> Pt. 7</w:t>
            </w:r>
            <w:r>
              <w:rPr>
                <w:iCs/>
                <w:snapToGrid w:val="0"/>
                <w:vertAlign w:val="superscript"/>
              </w:rPr>
              <w:t> 5</w:t>
            </w:r>
          </w:p>
        </w:tc>
        <w:tc>
          <w:tcPr>
            <w:tcW w:w="1080" w:type="dxa"/>
          </w:tcPr>
          <w:p>
            <w:pPr>
              <w:pStyle w:val="nTable"/>
              <w:spacing w:before="60" w:after="60"/>
            </w:pPr>
            <w:r>
              <w:rPr>
                <w:snapToGrid w:val="0"/>
              </w:rPr>
              <w:t>38 of 2007</w:t>
            </w:r>
          </w:p>
        </w:tc>
        <w:tc>
          <w:tcPr>
            <w:tcW w:w="1200" w:type="dxa"/>
          </w:tcPr>
          <w:p>
            <w:pPr>
              <w:pStyle w:val="nTable"/>
              <w:spacing w:before="60" w:after="60"/>
            </w:pPr>
            <w:r>
              <w:t>21 Dec 2007</w:t>
            </w:r>
          </w:p>
        </w:tc>
        <w:tc>
          <w:tcPr>
            <w:tcW w:w="2520" w:type="dxa"/>
          </w:tcPr>
          <w:p>
            <w:pPr>
              <w:pStyle w:val="nTable"/>
              <w:spacing w:before="60" w:after="60"/>
            </w:pPr>
            <w:r>
              <w:t xml:space="preserve">1 Feb 2008 (see s. 2(2) and </w:t>
            </w:r>
            <w:r>
              <w:rPr>
                <w:i/>
                <w:iCs/>
              </w:rPr>
              <w:t>Gazette</w:t>
            </w:r>
            <w:r>
              <w:t xml:space="preserve"> 31 Jan 2008 p. 251)</w:t>
            </w:r>
          </w:p>
        </w:tc>
      </w:tr>
      <w:tr>
        <w:tblPrEx>
          <w:tblBorders>
            <w:top w:val="none" w:sz="0" w:space="0" w:color="auto"/>
            <w:bottom w:val="none" w:sz="0" w:space="0" w:color="auto"/>
            <w:insideH w:val="none" w:sz="0" w:space="0" w:color="auto"/>
          </w:tblBorders>
        </w:tblPrEx>
        <w:trPr>
          <w:cantSplit/>
        </w:trPr>
        <w:tc>
          <w:tcPr>
            <w:tcW w:w="7080"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rPr>
            </w:pPr>
            <w:r>
              <w:rPr>
                <w:i/>
              </w:rPr>
              <w:t>Statutes (Repeals and Miscellaneous Amendments) Act 2009</w:t>
            </w:r>
            <w:r>
              <w:rPr>
                <w:iCs/>
              </w:rPr>
              <w:t xml:space="preserve"> s. 132</w:t>
            </w:r>
          </w:p>
        </w:tc>
        <w:tc>
          <w:tcPr>
            <w:tcW w:w="1080" w:type="dxa"/>
          </w:tcPr>
          <w:p>
            <w:pPr>
              <w:pStyle w:val="nTable"/>
              <w:spacing w:before="60" w:after="60"/>
            </w:pPr>
            <w:r>
              <w:t xml:space="preserve">8 of 2009 </w:t>
            </w:r>
          </w:p>
        </w:tc>
        <w:tc>
          <w:tcPr>
            <w:tcW w:w="1200" w:type="dxa"/>
          </w:tcPr>
          <w:p>
            <w:pPr>
              <w:pStyle w:val="nTable"/>
              <w:spacing w:before="60" w:after="60"/>
            </w:pPr>
            <w:r>
              <w:t>21 May 2009</w:t>
            </w:r>
          </w:p>
        </w:tc>
        <w:tc>
          <w:tcPr>
            <w:tcW w:w="2520" w:type="dxa"/>
          </w:tcPr>
          <w:p>
            <w:pPr>
              <w:pStyle w:val="nTable"/>
              <w:spacing w:before="60" w:after="60"/>
            </w:pPr>
            <w:r>
              <w:t>22 May 2009 (see s. 2(b))</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080" w:type="dxa"/>
          </w:tcPr>
          <w:p>
            <w:pPr>
              <w:pStyle w:val="nTable"/>
              <w:spacing w:before="60" w:after="60"/>
              <w:rPr>
                <w:snapToGrid w:val="0"/>
              </w:rPr>
            </w:pPr>
            <w:r>
              <w:rPr>
                <w:snapToGrid w:val="0"/>
              </w:rPr>
              <w:t>19 of 2010</w:t>
            </w:r>
          </w:p>
        </w:tc>
        <w:tc>
          <w:tcPr>
            <w:tcW w:w="1200" w:type="dxa"/>
          </w:tcPr>
          <w:p>
            <w:pPr>
              <w:pStyle w:val="nTable"/>
              <w:spacing w:before="60" w:after="60"/>
              <w:rPr>
                <w:snapToGrid w:val="0"/>
              </w:rPr>
            </w:pPr>
            <w:r>
              <w:rPr>
                <w:snapToGrid w:val="0"/>
              </w:rPr>
              <w:t>28 Jun 2010</w:t>
            </w:r>
          </w:p>
        </w:tc>
        <w:tc>
          <w:tcPr>
            <w:tcW w:w="2520"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80"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080" w:type="dxa"/>
          </w:tcPr>
          <w:p>
            <w:pPr>
              <w:pStyle w:val="nTable"/>
              <w:spacing w:before="60" w:after="60"/>
              <w:rPr>
                <w:snapToGrid w:val="0"/>
              </w:rPr>
            </w:pPr>
            <w:r>
              <w:rPr>
                <w:snapToGrid w:val="0"/>
              </w:rPr>
              <w:t>39 of 2010</w:t>
            </w:r>
          </w:p>
        </w:tc>
        <w:tc>
          <w:tcPr>
            <w:tcW w:w="1200" w:type="dxa"/>
          </w:tcPr>
          <w:p>
            <w:pPr>
              <w:pStyle w:val="nTable"/>
              <w:spacing w:before="60" w:after="60"/>
              <w:rPr>
                <w:snapToGrid w:val="0"/>
              </w:rPr>
            </w:pPr>
            <w:r>
              <w:t>1 Oct 2010</w:t>
            </w:r>
          </w:p>
        </w:tc>
        <w:tc>
          <w:tcPr>
            <w:tcW w:w="2520"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snapToGrid w:val="0"/>
              </w:rPr>
              <w:lastRenderedPageBreak/>
              <w:t>Water Services Legislation Amendment and Repeal Act 2012</w:t>
            </w:r>
            <w:r>
              <w:rPr>
                <w:snapToGrid w:val="0"/>
              </w:rPr>
              <w:t xml:space="preserve"> Pt. 7</w:t>
            </w:r>
          </w:p>
        </w:tc>
        <w:tc>
          <w:tcPr>
            <w:tcW w:w="1080" w:type="dxa"/>
            <w:shd w:val="clear" w:color="auto" w:fill="auto"/>
          </w:tcPr>
          <w:p>
            <w:pPr>
              <w:pStyle w:val="nTable"/>
              <w:spacing w:before="60" w:after="60"/>
              <w:rPr>
                <w:snapToGrid w:val="0"/>
              </w:rPr>
            </w:pPr>
            <w:r>
              <w:rPr>
                <w:snapToGrid w:val="0"/>
              </w:rPr>
              <w:t>25 of 2012</w:t>
            </w:r>
          </w:p>
        </w:tc>
        <w:tc>
          <w:tcPr>
            <w:tcW w:w="1200" w:type="dxa"/>
            <w:shd w:val="clear" w:color="auto" w:fill="auto"/>
          </w:tcPr>
          <w:p>
            <w:pPr>
              <w:pStyle w:val="nTable"/>
              <w:spacing w:before="60" w:after="60"/>
              <w:rPr>
                <w:snapToGrid w:val="0"/>
              </w:rPr>
            </w:pPr>
            <w:r>
              <w:t>3 Sep 2012</w:t>
            </w:r>
          </w:p>
        </w:tc>
        <w:tc>
          <w:tcPr>
            <w:tcW w:w="2520"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none" w:sz="0" w:space="0" w:color="auto"/>
            <w:bottom w:val="none" w:sz="0" w:space="0" w:color="auto"/>
            <w:insideH w:val="none" w:sz="0" w:space="0" w:color="auto"/>
          </w:tblBorders>
        </w:tblPrEx>
        <w:trPr>
          <w:cantSplit/>
        </w:trPr>
        <w:tc>
          <w:tcPr>
            <w:tcW w:w="7080" w:type="dxa"/>
            <w:gridSpan w:val="4"/>
            <w:shd w:val="clear" w:color="auto" w:fill="auto"/>
          </w:tcPr>
          <w:p>
            <w:pPr>
              <w:pStyle w:val="nTable"/>
              <w:spacing w:before="60" w:after="60"/>
              <w:rPr>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blPrEx>
          <w:tblBorders>
            <w:top w:val="none" w:sz="0" w:space="0" w:color="auto"/>
            <w:bottom w:val="none" w:sz="0" w:space="0" w:color="auto"/>
            <w:insideH w:val="none" w:sz="0" w:space="0" w:color="auto"/>
          </w:tblBorders>
        </w:tblPrEx>
        <w:trPr>
          <w:cantSplit/>
        </w:trPr>
        <w:tc>
          <w:tcPr>
            <w:tcW w:w="2280" w:type="dxa"/>
            <w:shd w:val="clear" w:color="auto" w:fill="auto"/>
          </w:tcPr>
          <w:p>
            <w:pPr>
              <w:pStyle w:val="nTable"/>
              <w:spacing w:before="60" w:after="60"/>
              <w:rPr>
                <w:snapToGrid w:val="0"/>
              </w:rPr>
            </w:pPr>
            <w:r>
              <w:rPr>
                <w:i/>
                <w:noProof/>
              </w:rPr>
              <w:t xml:space="preserve">Associations Incorporation Act 2015 </w:t>
            </w:r>
            <w:r>
              <w:rPr>
                <w:noProof/>
              </w:rPr>
              <w:t>s. 231</w:t>
            </w:r>
          </w:p>
        </w:tc>
        <w:tc>
          <w:tcPr>
            <w:tcW w:w="1080" w:type="dxa"/>
            <w:shd w:val="clear" w:color="auto" w:fill="auto"/>
          </w:tcPr>
          <w:p>
            <w:pPr>
              <w:pStyle w:val="nTable"/>
              <w:spacing w:before="60" w:after="60"/>
              <w:rPr>
                <w:snapToGrid w:val="0"/>
              </w:rPr>
            </w:pPr>
            <w:r>
              <w:t>30 of 2015</w:t>
            </w:r>
          </w:p>
        </w:tc>
        <w:tc>
          <w:tcPr>
            <w:tcW w:w="1200" w:type="dxa"/>
            <w:shd w:val="clear" w:color="auto" w:fill="auto"/>
          </w:tcPr>
          <w:p>
            <w:pPr>
              <w:pStyle w:val="nTable"/>
              <w:spacing w:before="60" w:after="60"/>
              <w:rPr>
                <w:snapToGrid w:val="0"/>
              </w:rPr>
            </w:pPr>
            <w:r>
              <w:t>2 Nov 2015</w:t>
            </w:r>
          </w:p>
        </w:tc>
        <w:tc>
          <w:tcPr>
            <w:tcW w:w="2520" w:type="dxa"/>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r>
        <w:tblPrEx>
          <w:tblBorders>
            <w:top w:val="none" w:sz="0" w:space="0" w:color="auto"/>
            <w:bottom w:val="none" w:sz="0" w:space="0" w:color="auto"/>
            <w:insideH w:val="none" w:sz="0" w:space="0" w:color="auto"/>
          </w:tblBorders>
        </w:tblPrEx>
        <w:trPr>
          <w:cantSplit/>
        </w:trPr>
        <w:tc>
          <w:tcPr>
            <w:tcW w:w="2280" w:type="dxa"/>
            <w:tcBorders>
              <w:bottom w:val="single" w:sz="4" w:space="0" w:color="auto"/>
            </w:tcBorders>
            <w:shd w:val="clear" w:color="auto" w:fill="auto"/>
          </w:tcPr>
          <w:p>
            <w:pPr>
              <w:pStyle w:val="nTable"/>
              <w:spacing w:before="60" w:after="60"/>
              <w:rPr>
                <w:i/>
                <w:noProof/>
              </w:rPr>
            </w:pPr>
            <w:r>
              <w:rPr>
                <w:i/>
                <w:noProof/>
              </w:rPr>
              <w:t>Executive Officer Remuneration (Government Entities) Legislation Amendment Act 2016</w:t>
            </w:r>
            <w:r>
              <w:rPr>
                <w:noProof/>
              </w:rPr>
              <w:t xml:space="preserve"> Pt. 3 Div. 6</w:t>
            </w:r>
          </w:p>
        </w:tc>
        <w:tc>
          <w:tcPr>
            <w:tcW w:w="1080" w:type="dxa"/>
            <w:tcBorders>
              <w:bottom w:val="single" w:sz="4" w:space="0" w:color="auto"/>
            </w:tcBorders>
            <w:shd w:val="clear" w:color="auto" w:fill="auto"/>
          </w:tcPr>
          <w:p>
            <w:pPr>
              <w:pStyle w:val="nTable"/>
              <w:spacing w:before="60" w:after="60"/>
            </w:pPr>
            <w:r>
              <w:t>46 of 2016</w:t>
            </w:r>
          </w:p>
        </w:tc>
        <w:tc>
          <w:tcPr>
            <w:tcW w:w="1200" w:type="dxa"/>
            <w:tcBorders>
              <w:bottom w:val="single" w:sz="4" w:space="0" w:color="auto"/>
            </w:tcBorders>
            <w:shd w:val="clear" w:color="auto" w:fill="auto"/>
          </w:tcPr>
          <w:p>
            <w:pPr>
              <w:pStyle w:val="nTable"/>
              <w:spacing w:before="60" w:after="60"/>
            </w:pPr>
            <w:r>
              <w:t>7 Dec 2016</w:t>
            </w:r>
          </w:p>
        </w:tc>
        <w:tc>
          <w:tcPr>
            <w:tcW w:w="2520" w:type="dxa"/>
            <w:tcBorders>
              <w:bottom w:val="single" w:sz="4" w:space="0" w:color="auto"/>
            </w:tcBorders>
            <w:shd w:val="clear" w:color="auto" w:fill="auto"/>
          </w:tcPr>
          <w:p>
            <w:pPr>
              <w:pStyle w:val="nTable"/>
              <w:spacing w:before="60" w:after="60"/>
              <w:rPr>
                <w:snapToGrid w:val="0"/>
              </w:rPr>
            </w:pPr>
            <w:r>
              <w:rPr>
                <w:snapToGrid w:val="0"/>
              </w:rPr>
              <w:t>8 Dec 2016 (see s. 2(b))</w:t>
            </w:r>
          </w:p>
        </w:tc>
      </w:tr>
    </w:tbl>
    <w:p>
      <w:pPr>
        <w:pStyle w:val="nHeading3"/>
      </w:pPr>
      <w:bookmarkStart w:id="350" w:name="_Toc138412368"/>
      <w:r>
        <w:t>Uncommenced provisions table</w:t>
      </w:r>
      <w:bookmarkEnd w:id="350"/>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Government Trading Enterprises Act 2023</w:t>
            </w:r>
            <w:r>
              <w:t xml:space="preserve"> Pt. 12 Div. 9</w:t>
            </w:r>
          </w:p>
        </w:tc>
        <w:tc>
          <w:tcPr>
            <w:tcW w:w="1134" w:type="dxa"/>
          </w:tcPr>
          <w:p>
            <w:pPr>
              <w:pStyle w:val="nTable"/>
              <w:spacing w:after="40"/>
            </w:pPr>
            <w:r>
              <w:t>13 of 2023</w:t>
            </w:r>
          </w:p>
        </w:tc>
        <w:tc>
          <w:tcPr>
            <w:tcW w:w="1134" w:type="dxa"/>
          </w:tcPr>
          <w:p>
            <w:pPr>
              <w:pStyle w:val="nTable"/>
              <w:spacing w:after="40"/>
            </w:pPr>
            <w:r>
              <w:t>22 Jun 2023</w:t>
            </w:r>
          </w:p>
        </w:tc>
        <w:tc>
          <w:tcPr>
            <w:tcW w:w="2552" w:type="dxa"/>
          </w:tcPr>
          <w:p>
            <w:pPr>
              <w:pStyle w:val="nTable"/>
              <w:spacing w:after="40"/>
            </w:pPr>
            <w:r>
              <w:t>To be proclaimed (see s. 2(b))</w:t>
            </w:r>
          </w:p>
        </w:tc>
      </w:tr>
    </w:tbl>
    <w:p>
      <w:pPr>
        <w:pStyle w:val="nHeading3"/>
      </w:pPr>
      <w:bookmarkStart w:id="351" w:name="_Toc138412369"/>
      <w:r>
        <w:t>Other notes</w:t>
      </w:r>
      <w:bookmarkEnd w:id="351"/>
    </w:p>
    <w:p>
      <w:pPr>
        <w:pStyle w:val="nNote"/>
        <w:keepNext/>
        <w:keepLines/>
        <w:spacing w:before="120"/>
      </w:pPr>
      <w:r>
        <w:rPr>
          <w:vertAlign w:val="superscript"/>
        </w:rPr>
        <w:t>1</w:t>
      </w:r>
      <w:r>
        <w:tab/>
        <w:t xml:space="preserve">Now known as the </w:t>
      </w:r>
      <w:r>
        <w:rPr>
          <w:i/>
        </w:rPr>
        <w:t>Plumbers Licensing Act 1995</w:t>
      </w:r>
      <w:r>
        <w:t>.</w:t>
      </w:r>
    </w:p>
    <w:p>
      <w:pPr>
        <w:pStyle w:val="nNote"/>
        <w:keepNext/>
        <w:spacing w:before="120"/>
        <w:rPr>
          <w:snapToGrid w:val="0"/>
        </w:rPr>
      </w:pPr>
      <w:r>
        <w:rPr>
          <w:snapToGrid w:val="0"/>
          <w:vertAlign w:val="superscript"/>
        </w:rPr>
        <w:t>2</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Note"/>
        <w:keepNext/>
        <w:keepLines/>
        <w:spacing w:before="120"/>
      </w:pPr>
      <w:r>
        <w:rPr>
          <w:vertAlign w:val="superscript"/>
        </w:rPr>
        <w:t>3</w:t>
      </w:r>
      <w:r>
        <w:tab/>
        <w:t xml:space="preserve">The </w:t>
      </w:r>
      <w:r>
        <w:rPr>
          <w:i/>
        </w:rPr>
        <w:t>Corporations (Consequential Amendments) Act (No. 3) 2003</w:t>
      </w:r>
      <w:r>
        <w:t xml:space="preserve"> s. 4 is a validation provision.</w:t>
      </w:r>
    </w:p>
    <w:p>
      <w:pPr>
        <w:pStyle w:val="nNote"/>
        <w:spacing w:before="120"/>
        <w:rPr>
          <w:snapToGrid w:val="0"/>
        </w:rPr>
      </w:pPr>
      <w:r>
        <w:rPr>
          <w:snapToGrid w:val="0"/>
          <w:vertAlign w:val="superscript"/>
        </w:rPr>
        <w:t>4</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Note"/>
        <w:keepNext/>
        <w:spacing w:before="120"/>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rPr>
          <w:sz w:val="28"/>
        </w:rPr>
      </w:pPr>
      <w:bookmarkStart w:id="353" w:name="_Toc138409912"/>
      <w:bookmarkStart w:id="354" w:name="_Toc138412370"/>
      <w:r>
        <w:rPr>
          <w:sz w:val="28"/>
        </w:rPr>
        <w:lastRenderedPageBreak/>
        <w:t>Defined terms</w:t>
      </w:r>
      <w:bookmarkEnd w:id="348"/>
      <w:bookmarkEnd w:id="353"/>
      <w:bookmarkEnd w:id="3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lastRenderedPageBreak/>
        <w:t>order</w:t>
      </w:r>
      <w:r>
        <w:tab/>
        <w:t>92(1)</w:t>
      </w:r>
    </w:p>
    <w:p>
      <w:pPr>
        <w:pStyle w:val="DefinedTerms"/>
      </w:pPr>
      <w:r>
        <w:t>participate</w:t>
      </w:r>
      <w:r>
        <w:tab/>
        <w:t>29(5)</w:t>
      </w:r>
    </w:p>
    <w:p>
      <w:pPr>
        <w:pStyle w:val="DefinedTerms"/>
      </w:pPr>
      <w:r>
        <w:t>pay</w:t>
      </w:r>
      <w:r>
        <w:tab/>
        <w:t>Sch. 2 cl. 15(6)</w:t>
      </w:r>
    </w:p>
    <w:p>
      <w:pPr>
        <w:pStyle w:val="DefinedTerms"/>
      </w:pPr>
      <w:r>
        <w:t>prescribed day</w:t>
      </w:r>
      <w:r>
        <w:tab/>
        <w:t>Sch. 3 cl. 35(1)</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pPr>
    </w:p>
    <w:p>
      <w:pPr>
        <w:sectPr>
          <w:headerReference w:type="even" r:id="rId37"/>
          <w:headerReference w:type="default" r:id="rId38"/>
          <w:pgSz w:w="11907" w:h="16840" w:code="9"/>
          <w:pgMar w:top="2381" w:right="2409" w:bottom="3543" w:left="2409" w:header="720" w:footer="3544"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90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Jun 2023</w:t>
    </w:r>
    <w:r>
      <w:rPr>
        <w:rFonts w:ascii="Arial" w:hAnsi="Arial" w:cs="Arial"/>
        <w:sz w:val="20"/>
      </w:rPr>
      <w:fldChar w:fldCharType="end"/>
    </w:r>
    <w:r>
      <w:rPr>
        <w:rFonts w:ascii="Arial" w:hAnsi="Arial" w:cs="Arial"/>
        <w:sz w:val="20"/>
      </w:rPr>
      <w:t xml:space="preserve"> </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6" w:name="Schedule"/>
    <w:bookmarkEnd w:id="18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52" w:name="Compilation"/>
    <w:bookmarkEnd w:id="352"/>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5" w:name="DefinedTerms"/>
    <w:bookmarkEnd w:id="35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6" w:name="Coversheet"/>
    <w:bookmarkEnd w:id="35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703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FC7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CE1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06AE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E82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ssica Caddy">
    <w15:presenceInfo w15:providerId="None" w15:userId="Jessica Cadd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23103417"/>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 w:name="WAFER_202306231034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3103417_GUID" w:val="efa66b74-8d12-4069-a69a-d02b5f87ae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9C39231A-1D7E-420F-A646-68CE5D50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3.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microsoft.com/office/2011/relationships/people" Target="people.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39783-9E9B-4CAA-8BEF-3A6682F0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30237</Words>
  <Characters>144841</Characters>
  <Application>Microsoft Office Word</Application>
  <DocSecurity>0</DocSecurity>
  <Lines>3914</Lines>
  <Paragraphs>2501</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172577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1995 - 04-e0-00</dc:title>
  <dc:subject/>
  <dc:creator/>
  <cp:keywords/>
  <dc:description/>
  <cp:lastModifiedBy>Master Repository Process</cp:lastModifiedBy>
  <cp:revision>4</cp:revision>
  <cp:lastPrinted>2014-02-14T03:23:00Z</cp:lastPrinted>
  <dcterms:created xsi:type="dcterms:W3CDTF">2023-06-23T03:39:00Z</dcterms:created>
  <dcterms:modified xsi:type="dcterms:W3CDTF">2023-06-23T03:39:00Z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AsAtDate">
    <vt:lpwstr>22 Jun 2023</vt:lpwstr>
  </property>
  <property fmtid="{D5CDD505-2E9C-101B-9397-08002B2CF9AE}" pid="8" name="Suffix">
    <vt:lpwstr>04-e0-00</vt:lpwstr>
  </property>
  <property fmtid="{D5CDD505-2E9C-101B-9397-08002B2CF9AE}" pid="9" name="CommencementDate">
    <vt:lpwstr>20230622</vt:lpwstr>
  </property>
</Properties>
</file>