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_Toc199509114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_Toc199509115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_Toc199509116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_Toc199509117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_Toc199509118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_Toc199509119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_Toc199509120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_Toc199509121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_Toc199509122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_Toc199509123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_Toc199509124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_Toc199509126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_Toc199509127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 — low/medium voltage tariff)</w:t>
      </w:r>
      <w:r>
        <w:tab/>
      </w:r>
      <w:r>
        <w:fldChar w:fldCharType="begin"/>
      </w:r>
      <w:r>
        <w:instrText xml:space="preserve"> PAGEREF _Toc199509128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 — low/medium voltage tariff)</w:t>
      </w:r>
      <w:r>
        <w:tab/>
      </w:r>
      <w:r>
        <w:fldChar w:fldCharType="begin"/>
      </w:r>
      <w:r>
        <w:instrText xml:space="preserve"> PAGEREF _Toc199509129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_Toc199509130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_Toc199509131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_Toc199509132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_Toc199509133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_Toc199509134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10.</w:t>
      </w:r>
      <w:r>
        <w:tab/>
        <w:t>Tariff K1 (general supply with residential tariff)</w:t>
      </w:r>
      <w:r>
        <w:tab/>
      </w:r>
      <w:r>
        <w:fldChar w:fldCharType="begin"/>
      </w:r>
      <w:r>
        <w:instrText xml:space="preserve"> PAGEREF _Toc199509135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Schedule 2 — Unmetered supply</w:t>
      </w:r>
    </w:p>
    <w:p>
      <w:pPr>
        <w:pStyle w:val="TOC4"/>
        <w:tabs>
          <w:tab w:val="righ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_Toc199509139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_Toc199509140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_Toc199509141 \h </w:instrText>
      </w:r>
      <w:r>
        <w:fldChar w:fldCharType="separate"/>
      </w:r>
      <w:r>
        <w:t>13</w:t>
      </w:r>
      <w:r>
        <w:fldChar w:fldCharType="end"/>
      </w:r>
    </w:p>
    <w:p>
      <w:pPr>
        <w:pStyle w:val="TOC2"/>
        <w:tabs>
          <w:tab w:val="right" w:pos="7077"/>
        </w:tabs>
        <w:rPr>
          <w:rFonts w:asciiTheme="minorHAnsi" w:eastAsiaTheme="minorEastAsia" w:hAnsiTheme="minorHAnsi" w:cstheme="minorBidi"/>
          <w:b w:val="0"/>
          <w:sz w:val="22"/>
          <w:szCs w:val="22"/>
        </w:rPr>
      </w:pPr>
      <w:r>
        <w:t>Schedule 3 — Meter rental</w:t>
      </w:r>
    </w:p>
    <w:p>
      <w:pPr>
        <w:pStyle w:val="TOC2"/>
        <w:tabs>
          <w:tab w:val="right" w:pos="7077"/>
        </w:tabs>
        <w:rPr>
          <w:rFonts w:asciiTheme="minorHAnsi" w:eastAsiaTheme="minorEastAsia" w:hAnsiTheme="minorHAnsi" w:cstheme="minorBidi"/>
          <w:b w:val="0"/>
          <w:sz w:val="22"/>
          <w:szCs w:val="22"/>
        </w:rPr>
      </w:pPr>
      <w:r>
        <w:t>Schedule 4 —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_Toc199509145 \h </w:instrText>
      </w:r>
      <w:r>
        <w:fldChar w:fldCharType="separate"/>
      </w:r>
      <w:r>
        <w:t>17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_Toc199509146 \h </w:instrText>
      </w:r>
      <w:r>
        <w:fldChar w:fldCharType="separate"/>
      </w:r>
      <w:r>
        <w:t>19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2" w:name="_Toc199509114"/>
      <w:r>
        <w:rPr>
          <w:rStyle w:val="CharSectno"/>
        </w:rPr>
        <w:t>1</w:t>
      </w:r>
      <w:r>
        <w:t>.</w:t>
      </w:r>
      <w:r>
        <w:tab/>
        <w:t>Citation</w:t>
      </w:r>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199509115"/>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199509116"/>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5" w:name="_Toc199509117"/>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6" w:name="_Toc199509118"/>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199509119"/>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199509120"/>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199509121"/>
      <w:r>
        <w:rPr>
          <w:rStyle w:val="CharSectno"/>
        </w:rPr>
        <w:lastRenderedPageBreak/>
        <w:t>8</w:t>
      </w:r>
      <w:r>
        <w:t>.</w:t>
      </w:r>
      <w:r>
        <w:tab/>
        <w:t>When charges payable; interest on unpaid charges</w:t>
      </w:r>
      <w:bookmarkEnd w:id="9"/>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0" w:name="_Toc199509122"/>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1" w:name="_Toc199509123"/>
      <w:r>
        <w:rPr>
          <w:rStyle w:val="CharSectno"/>
        </w:rPr>
        <w:lastRenderedPageBreak/>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199509124"/>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 w:name="_Toc199509125"/>
      <w:r>
        <w:rPr>
          <w:rStyle w:val="CharSchNo"/>
        </w:rPr>
        <w:lastRenderedPageBreak/>
        <w:t>Schedule 1</w:t>
      </w:r>
      <w:r>
        <w:t> — </w:t>
      </w:r>
      <w:r>
        <w:rPr>
          <w:rStyle w:val="CharSchText"/>
        </w:rPr>
        <w:t>Supply charges</w:t>
      </w:r>
      <w:bookmarkEnd w:id="13"/>
    </w:p>
    <w:p>
      <w:pPr>
        <w:pStyle w:val="yShoulderClause"/>
      </w:pPr>
      <w:r>
        <w:t>[bl. 3, 4(1) and 10(1)]</w:t>
      </w:r>
    </w:p>
    <w:p>
      <w:pPr>
        <w:pStyle w:val="yFootnoteheading"/>
      </w:pPr>
      <w:r>
        <w:tab/>
        <w:t>[Heading inserted: SL 2023/85 bl. 4.]</w:t>
      </w:r>
    </w:p>
    <w:p>
      <w:pPr>
        <w:pStyle w:val="yHeading5"/>
      </w:pPr>
      <w:bookmarkStart w:id="14" w:name="_Toc199509126"/>
      <w:r>
        <w:rPr>
          <w:rStyle w:val="CharSClsNo"/>
        </w:rPr>
        <w:t>1</w:t>
      </w:r>
      <w:r>
        <w:t>.</w:t>
      </w:r>
      <w:r>
        <w:tab/>
        <w:t>Tariff L1 (general supply — low/medium voltage tariff)</w:t>
      </w:r>
      <w:bookmarkEnd w:id="1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$1.9720 per day; and</w:t>
      </w:r>
    </w:p>
    <w:p>
      <w:pPr>
        <w:pStyle w:val="yIndenta"/>
      </w:pPr>
      <w:r>
        <w:tab/>
        <w:t>(b)</w:t>
      </w:r>
      <w:r>
        <w:tab/>
        <w:t xml:space="preserve">a charge for metered consumption at the rate of — </w:t>
      </w:r>
    </w:p>
    <w:p>
      <w:pPr>
        <w:pStyle w:val="yIndenti0"/>
      </w:pPr>
      <w:r>
        <w:tab/>
        <w:t>(i)</w:t>
      </w:r>
      <w:r>
        <w:tab/>
        <w:t>30.6876 cents per unit for the first 1 650 units per day; and</w:t>
      </w:r>
    </w:p>
    <w:p>
      <w:pPr>
        <w:pStyle w:val="yIndenti0"/>
      </w:pPr>
      <w:r>
        <w:tab/>
        <w:t>(ii)</w:t>
      </w:r>
      <w:r>
        <w:tab/>
        <w:t>34.5992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2023/85 bl. 4.]</w:t>
      </w:r>
    </w:p>
    <w:p>
      <w:pPr>
        <w:pStyle w:val="yHeading5"/>
      </w:pPr>
      <w:bookmarkStart w:id="15" w:name="_Toc199509127"/>
      <w:r>
        <w:rPr>
          <w:rStyle w:val="CharSClsNo"/>
        </w:rPr>
        <w:t>2</w:t>
      </w:r>
      <w:r>
        <w:t>.</w:t>
      </w:r>
      <w:r>
        <w:tab/>
        <w:t>Tariff L3 (general supply — low/medium voltage tariff)</w:t>
      </w:r>
      <w:bookmarkEnd w:id="1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$1.7797 per day; and</w:t>
      </w:r>
    </w:p>
    <w:p>
      <w:pPr>
        <w:pStyle w:val="yIndenta"/>
      </w:pPr>
      <w:r>
        <w:tab/>
        <w:t>(b)</w:t>
      </w:r>
      <w:r>
        <w:tab/>
        <w:t xml:space="preserve">a charge for metered consumption at the rate of — </w:t>
      </w:r>
    </w:p>
    <w:p>
      <w:pPr>
        <w:pStyle w:val="yIndenti0"/>
      </w:pPr>
      <w:r>
        <w:tab/>
        <w:t>(i)</w:t>
      </w:r>
      <w:r>
        <w:tab/>
        <w:t>36.1484</w:t>
      </w:r>
      <w:r>
        <w:rPr>
          <w:szCs w:val="22"/>
        </w:rPr>
        <w:t xml:space="preserve"> </w:t>
      </w:r>
      <w:r>
        <w:t>cents per unit for the first 1 650 units per day; and</w:t>
      </w:r>
    </w:p>
    <w:p>
      <w:pPr>
        <w:pStyle w:val="yIndenti0"/>
      </w:pPr>
      <w:r>
        <w:tab/>
        <w:t>(ii)</w:t>
      </w:r>
      <w:r>
        <w:tab/>
        <w:t>30.6731</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2023/85 bl. 4.]</w:t>
      </w:r>
    </w:p>
    <w:p>
      <w:pPr>
        <w:pStyle w:val="yHeading5"/>
      </w:pPr>
      <w:bookmarkStart w:id="16" w:name="_Toc199509128"/>
      <w:r>
        <w:rPr>
          <w:rStyle w:val="CharSClsNo"/>
        </w:rPr>
        <w:lastRenderedPageBreak/>
        <w:t>3</w:t>
      </w:r>
      <w:r>
        <w:t>.</w:t>
      </w:r>
      <w:r>
        <w:tab/>
        <w:t>Tariff R1 (time</w:t>
      </w:r>
      <w:r>
        <w:noBreakHyphen/>
        <w:t>of</w:t>
      </w:r>
      <w:r>
        <w:noBreakHyphen/>
        <w:t>use tariff — low/medium voltage tariff)</w:t>
      </w:r>
      <w:bookmarkEnd w:id="16"/>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$3.6874 per day; and</w:t>
      </w:r>
    </w:p>
    <w:p>
      <w:pPr>
        <w:pStyle w:val="yIndenta"/>
      </w:pPr>
      <w:r>
        <w:tab/>
        <w:t>(b)</w:t>
      </w:r>
      <w:r>
        <w:tab/>
        <w:t>an energy charge consisting of — </w:t>
      </w:r>
    </w:p>
    <w:p>
      <w:pPr>
        <w:pStyle w:val="yIndenti0"/>
      </w:pPr>
      <w:r>
        <w:tab/>
        <w:t>(i)</w:t>
      </w:r>
      <w:r>
        <w:tab/>
        <w:t>an on peak energy charge at the rate of 39.9932 cents per unit; and</w:t>
      </w:r>
    </w:p>
    <w:p>
      <w:pPr>
        <w:pStyle w:val="yIndenti0"/>
      </w:pPr>
      <w:r>
        <w:tab/>
        <w:t>(ii)</w:t>
      </w:r>
      <w:r>
        <w:tab/>
        <w:t>an off peak energy charge at the rate of 11.9979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2023/85 bl. 4.]</w:t>
      </w:r>
    </w:p>
    <w:p>
      <w:pPr>
        <w:pStyle w:val="yHeading5"/>
      </w:pPr>
      <w:bookmarkStart w:id="17" w:name="_Toc199509129"/>
      <w:r>
        <w:rPr>
          <w:rStyle w:val="CharSClsNo"/>
        </w:rPr>
        <w:t>4</w:t>
      </w:r>
      <w:r>
        <w:t>.</w:t>
      </w:r>
      <w:r>
        <w:tab/>
        <w:t>Tariff R3 (time</w:t>
      </w:r>
      <w:r>
        <w:noBreakHyphen/>
        <w:t>of</w:t>
      </w:r>
      <w:r>
        <w:noBreakHyphen/>
        <w:t>use tariff — low/medium voltage tariff)</w:t>
      </w:r>
      <w:bookmarkEnd w:id="17"/>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$3.6220</w:t>
      </w:r>
      <w:r>
        <w:t xml:space="preserve"> per day; and</w:t>
      </w:r>
    </w:p>
    <w:p>
      <w:pPr>
        <w:pStyle w:val="yIndenta"/>
      </w:pPr>
      <w:r>
        <w:tab/>
        <w:t>(b)</w:t>
      </w:r>
      <w:r>
        <w:tab/>
        <w:t>an energy charge consisting of — </w:t>
      </w:r>
    </w:p>
    <w:p>
      <w:pPr>
        <w:pStyle w:val="yIndenti0"/>
      </w:pPr>
      <w:r>
        <w:tab/>
        <w:t>(i)</w:t>
      </w:r>
      <w:r>
        <w:tab/>
        <w:t>an on peak energy charge at the rate of 52.8330</w:t>
      </w:r>
      <w:r>
        <w:rPr>
          <w:szCs w:val="22"/>
        </w:rPr>
        <w:t xml:space="preserve"> </w:t>
      </w:r>
      <w:r>
        <w:t>cents per unit; and</w:t>
      </w:r>
    </w:p>
    <w:p>
      <w:pPr>
        <w:pStyle w:val="yIndenti0"/>
      </w:pPr>
      <w:r>
        <w:tab/>
        <w:t>(ii)</w:t>
      </w:r>
      <w:r>
        <w:tab/>
        <w:t>an off peak energy charge at the rate of 15.8711</w:t>
      </w:r>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lastRenderedPageBreak/>
        <w:tab/>
        <w:t>(c)</w:t>
      </w:r>
      <w:r>
        <w:tab/>
        <w:t>the consumer satisfies the corporation that the amount of electricity supplied to the consumer’s premises will be 50 MW hours or more per annum.</w:t>
      </w:r>
    </w:p>
    <w:p>
      <w:pPr>
        <w:pStyle w:val="yFootnotesection"/>
      </w:pPr>
      <w:r>
        <w:tab/>
        <w:t>[Clause 4 inserted: SL 2023/85 bl. 4.]</w:t>
      </w:r>
    </w:p>
    <w:p>
      <w:pPr>
        <w:pStyle w:val="yHeading5"/>
      </w:pPr>
      <w:bookmarkStart w:id="18" w:name="_Toc199509130"/>
      <w:r>
        <w:rPr>
          <w:rStyle w:val="CharSClsNo"/>
        </w:rPr>
        <w:t>5</w:t>
      </w:r>
      <w:r>
        <w:t>.</w:t>
      </w:r>
      <w:r>
        <w:tab/>
        <w:t>Standby charges</w:t>
      </w:r>
      <w:bookmarkEnd w:id="18"/>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lastRenderedPageBreak/>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2023/85 bl. 4.]</w:t>
      </w:r>
    </w:p>
    <w:p>
      <w:pPr>
        <w:pStyle w:val="yHeading5"/>
      </w:pPr>
      <w:bookmarkStart w:id="19" w:name="_Toc199509131"/>
      <w:r>
        <w:rPr>
          <w:rStyle w:val="CharSClsNo"/>
        </w:rPr>
        <w:t>6</w:t>
      </w:r>
      <w:r>
        <w:t>.</w:t>
      </w:r>
      <w:r>
        <w:tab/>
        <w:t>Tariff A1 (residential tariff)</w:t>
      </w:r>
      <w:bookmarkEnd w:id="19"/>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$1.1046 per day or, for multiple dwellings supplied through 1 metered supply point, a fixed charge at the rate of —</w:t>
      </w:r>
    </w:p>
    <w:p>
      <w:pPr>
        <w:pStyle w:val="yIndenti0"/>
      </w:pPr>
      <w:r>
        <w:tab/>
        <w:t>(i)</w:t>
      </w:r>
      <w:r>
        <w:tab/>
        <w:t>$1.1046 per day for the first dwelling; and</w:t>
      </w:r>
    </w:p>
    <w:p>
      <w:pPr>
        <w:pStyle w:val="yIndenti0"/>
      </w:pPr>
      <w:r>
        <w:tab/>
        <w:t>(ii)</w:t>
      </w:r>
      <w:r>
        <w:tab/>
        <w:t>43.9179 cents per day for each additional dwelling;</w:t>
      </w:r>
    </w:p>
    <w:p>
      <w:pPr>
        <w:pStyle w:val="yIndenta"/>
      </w:pPr>
      <w:r>
        <w:tab/>
      </w:r>
      <w:r>
        <w:tab/>
        <w:t>and</w:t>
      </w:r>
    </w:p>
    <w:p>
      <w:pPr>
        <w:pStyle w:val="yIndenta"/>
      </w:pPr>
      <w:r>
        <w:tab/>
        <w:t>(b)</w:t>
      </w:r>
      <w:r>
        <w:tab/>
        <w:t>a charge for metered consumption at the rate of 30.8120 cents per unit.</w:t>
      </w:r>
    </w:p>
    <w:p>
      <w:pPr>
        <w:pStyle w:val="yFootnotesection"/>
      </w:pPr>
      <w:r>
        <w:tab/>
        <w:t>[Clause 6 inserted: SL 2023/85 bl. 4.]</w:t>
      </w:r>
    </w:p>
    <w:p>
      <w:pPr>
        <w:pStyle w:val="yHeading5"/>
      </w:pPr>
      <w:bookmarkStart w:id="20" w:name="_Toc199509132"/>
      <w:r>
        <w:rPr>
          <w:rStyle w:val="CharSClsNo"/>
        </w:rPr>
        <w:t>7</w:t>
      </w:r>
      <w:r>
        <w:t>.</w:t>
      </w:r>
      <w:r>
        <w:tab/>
        <w:t>Tariff B1 (residential water heating tariff)</w:t>
      </w:r>
      <w:bookmarkEnd w:id="20"/>
    </w:p>
    <w:p>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23.2729 cents per day or, for multiple dwellings supplied through 1 metered supply point, a fixed charge at the rate of 23.2729 cents per day for each dwelling; and</w:t>
      </w:r>
    </w:p>
    <w:p>
      <w:pPr>
        <w:pStyle w:val="yIndenta"/>
      </w:pPr>
      <w:r>
        <w:tab/>
        <w:t>(b)</w:t>
      </w:r>
      <w:r>
        <w:tab/>
        <w:t>a charge for metered consumption at the rate of 12.8569 cents per unit.</w:t>
      </w:r>
    </w:p>
    <w:p>
      <w:pPr>
        <w:pStyle w:val="yFootnotesection"/>
      </w:pPr>
      <w:r>
        <w:tab/>
        <w:t>[Clause 7 inserted: SL 2023/85 bl. 4.]</w:t>
      </w:r>
    </w:p>
    <w:p>
      <w:pPr>
        <w:pStyle w:val="yHeading5"/>
      </w:pPr>
      <w:bookmarkStart w:id="21" w:name="_Toc199509133"/>
      <w:r>
        <w:rPr>
          <w:rStyle w:val="CharSClsNo"/>
        </w:rPr>
        <w:lastRenderedPageBreak/>
        <w:t>8</w:t>
      </w:r>
      <w:r>
        <w:t>.</w:t>
      </w:r>
      <w:r>
        <w:tab/>
        <w:t>Tariff C1 (special community service tariff)</w:t>
      </w:r>
      <w:bookmarkEnd w:id="21"/>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$1.0660 per day; and</w:t>
      </w:r>
    </w:p>
    <w:p>
      <w:pPr>
        <w:pStyle w:val="yIndenta"/>
      </w:pPr>
      <w:r>
        <w:tab/>
        <w:t>(b)</w:t>
      </w:r>
      <w:r>
        <w:tab/>
        <w:t xml:space="preserve">a charge for metered consumption at the rate of — </w:t>
      </w:r>
    </w:p>
    <w:p>
      <w:pPr>
        <w:pStyle w:val="yIndenti0"/>
      </w:pPr>
      <w:r>
        <w:tab/>
        <w:t>(i)</w:t>
      </w:r>
      <w:r>
        <w:tab/>
        <w:t>24.9035 cents per unit for the first 20 units per day; and</w:t>
      </w:r>
    </w:p>
    <w:p>
      <w:pPr>
        <w:pStyle w:val="yIndenti0"/>
      </w:pPr>
      <w:r>
        <w:tab/>
        <w:t>(ii)</w:t>
      </w:r>
      <w:r>
        <w:tab/>
        <w:t>26.5704 cents per unit for the next 1 630 units per day; and</w:t>
      </w:r>
    </w:p>
    <w:p>
      <w:pPr>
        <w:pStyle w:val="yIndenti0"/>
      </w:pPr>
      <w:r>
        <w:tab/>
        <w:t>(iii)</w:t>
      </w:r>
      <w:r>
        <w:tab/>
        <w:t>25.3443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2023/85 bl. 4.]</w:t>
      </w:r>
    </w:p>
    <w:p>
      <w:pPr>
        <w:pStyle w:val="yHeading5"/>
      </w:pPr>
      <w:bookmarkStart w:id="22" w:name="_Toc199509134"/>
      <w:r>
        <w:rPr>
          <w:rStyle w:val="CharSClsNo"/>
        </w:rPr>
        <w:lastRenderedPageBreak/>
        <w:t>9</w:t>
      </w:r>
      <w:r>
        <w:t>.</w:t>
      </w:r>
      <w:r>
        <w:tab/>
        <w:t>Tariff D1 (special tariff for certain premises)</w:t>
      </w:r>
      <w:bookmarkEnd w:id="22"/>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$1.0513 per day; and</w:t>
      </w:r>
    </w:p>
    <w:p>
      <w:pPr>
        <w:pStyle w:val="yIndenta"/>
      </w:pPr>
      <w:r>
        <w:tab/>
        <w:t>(b)</w:t>
      </w:r>
      <w:r>
        <w:tab/>
        <w:t>if under subclause (3) there is taken to be more than 1 equivalent domestic residence in the premises, a charge of 38.9791 cents per day for each equivalent domestic residence except the first that is taken to be in the premises; and</w:t>
      </w:r>
    </w:p>
    <w:p>
      <w:pPr>
        <w:pStyle w:val="yIndenta"/>
      </w:pPr>
      <w:r>
        <w:tab/>
        <w:t>(c)</w:t>
      </w:r>
      <w:r>
        <w:tab/>
        <w:t>a charge for metered consumption at the rate of 26.7120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r>
        <w:tab/>
        <w:t>[Clause 9 inserted: SL 2023/85 bl. 4.]</w:t>
      </w:r>
    </w:p>
    <w:p>
      <w:pPr>
        <w:pStyle w:val="yHeading5"/>
      </w:pPr>
      <w:bookmarkStart w:id="23" w:name="_Toc199509135"/>
      <w:r>
        <w:rPr>
          <w:rStyle w:val="CharSClsNo"/>
        </w:rPr>
        <w:t>10</w:t>
      </w:r>
      <w:r>
        <w:t>.</w:t>
      </w:r>
      <w:r>
        <w:tab/>
        <w:t>Tariff K1 (general supply with residential tariff)</w:t>
      </w:r>
      <w:bookmarkEnd w:id="23"/>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$1.9492 per day; and</w:t>
      </w:r>
    </w:p>
    <w:p>
      <w:pPr>
        <w:pStyle w:val="yIndenta"/>
      </w:pPr>
      <w:r>
        <w:tab/>
        <w:t>(b)</w:t>
      </w:r>
      <w:r>
        <w:tab/>
        <w:t>a charge for metered consumption at the rate of —</w:t>
      </w:r>
    </w:p>
    <w:p>
      <w:pPr>
        <w:pStyle w:val="yIndenti0"/>
      </w:pPr>
      <w:r>
        <w:tab/>
        <w:t>(i)</w:t>
      </w:r>
      <w:r>
        <w:tab/>
        <w:t>32.1886 cents per unit for the first 20 units per day; and</w:t>
      </w:r>
    </w:p>
    <w:p>
      <w:pPr>
        <w:pStyle w:val="yIndenti0"/>
      </w:pPr>
      <w:r>
        <w:tab/>
        <w:t>(ii)</w:t>
      </w:r>
      <w:r>
        <w:tab/>
        <w:t>30.3335 cents per unit for the next 1 630 units per day; and</w:t>
      </w:r>
    </w:p>
    <w:p>
      <w:pPr>
        <w:pStyle w:val="yIndenti0"/>
      </w:pPr>
      <w:r>
        <w:tab/>
        <w:t>(iii)</w:t>
      </w:r>
      <w:r>
        <w:tab/>
        <w:t>34.1999 cents per unit for all units exceeding 1 650 units per day.</w:t>
      </w:r>
    </w:p>
    <w:p>
      <w:pPr>
        <w:pStyle w:val="yFootnotesection"/>
      </w:pPr>
      <w:r>
        <w:tab/>
        <w:t>[Clause 10 inserted: SL 2023/85 bl.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4" w:name="_Toc199509136"/>
      <w:r>
        <w:rPr>
          <w:rStyle w:val="CharSchNo"/>
        </w:rPr>
        <w:lastRenderedPageBreak/>
        <w:t>Schedule 2</w:t>
      </w:r>
      <w:r>
        <w:t> — </w:t>
      </w:r>
      <w:r>
        <w:rPr>
          <w:rStyle w:val="CharSchText"/>
        </w:rPr>
        <w:t>Unmetered supply</w:t>
      </w:r>
      <w:bookmarkEnd w:id="24"/>
    </w:p>
    <w:p>
      <w:pPr>
        <w:pStyle w:val="yShoulderClause"/>
      </w:pPr>
      <w:r>
        <w:t>[bl. 4(2) and (3)]</w:t>
      </w:r>
    </w:p>
    <w:p>
      <w:pPr>
        <w:pStyle w:val="yFootnoteheading"/>
      </w:pPr>
      <w:r>
        <w:tab/>
        <w:t>[Heading inserted: SL 2023/85 bl. 4.]</w:t>
      </w:r>
    </w:p>
    <w:p>
      <w:pPr>
        <w:pStyle w:val="yHeading3"/>
      </w:pPr>
      <w:bookmarkStart w:id="25" w:name="_Toc199509137"/>
      <w:r>
        <w:rPr>
          <w:rStyle w:val="CharSDivNo"/>
        </w:rPr>
        <w:t>Division 1</w:t>
      </w:r>
      <w:r>
        <w:rPr>
          <w:b w:val="0"/>
        </w:rPr>
        <w:t> — </w:t>
      </w:r>
      <w:r>
        <w:rPr>
          <w:rStyle w:val="CharSDivText"/>
        </w:rPr>
        <w:t>Street lighting</w:t>
      </w:r>
      <w:bookmarkEnd w:id="25"/>
    </w:p>
    <w:p>
      <w:pPr>
        <w:pStyle w:val="yFootnoteheading"/>
        <w:spacing w:after="60"/>
      </w:pPr>
      <w:r>
        <w:tab/>
        <w:t>[Heading inserted: SL 2023/85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33.9919</w:t>
            </w:r>
          </w:p>
        </w:tc>
        <w:tc>
          <w:tcPr>
            <w:tcW w:w="1512" w:type="dxa"/>
          </w:tcPr>
          <w:p>
            <w:pPr>
              <w:pStyle w:val="yTableNAm"/>
              <w:jc w:val="right"/>
              <w:rPr>
                <w:sz w:val="18"/>
                <w:szCs w:val="18"/>
              </w:rPr>
            </w:pPr>
            <w:r>
              <w:rPr>
                <w:sz w:val="18"/>
                <w:szCs w:val="18"/>
              </w:rPr>
              <w:t>35.1303</w:t>
            </w:r>
          </w:p>
        </w:tc>
        <w:tc>
          <w:tcPr>
            <w:tcW w:w="1370" w:type="dxa"/>
          </w:tcPr>
          <w:p>
            <w:pPr>
              <w:pStyle w:val="yTableNAm"/>
              <w:jc w:val="right"/>
              <w:rPr>
                <w:sz w:val="18"/>
                <w:szCs w:val="18"/>
              </w:rPr>
            </w:pPr>
            <w:r>
              <w:rPr>
                <w:sz w:val="18"/>
                <w:szCs w:val="18"/>
              </w:rPr>
              <w:t>39.4564</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43.9112</w:t>
            </w:r>
          </w:p>
        </w:tc>
        <w:tc>
          <w:tcPr>
            <w:tcW w:w="1512" w:type="dxa"/>
          </w:tcPr>
          <w:p>
            <w:pPr>
              <w:pStyle w:val="yTableNAm"/>
              <w:jc w:val="right"/>
              <w:rPr>
                <w:sz w:val="18"/>
                <w:szCs w:val="18"/>
              </w:rPr>
            </w:pPr>
            <w:r>
              <w:rPr>
                <w:sz w:val="18"/>
                <w:szCs w:val="18"/>
              </w:rPr>
              <w:t>45.7327</w:t>
            </w:r>
          </w:p>
        </w:tc>
        <w:tc>
          <w:tcPr>
            <w:tcW w:w="1370" w:type="dxa"/>
          </w:tcPr>
          <w:p>
            <w:pPr>
              <w:pStyle w:val="yTableNAm"/>
              <w:jc w:val="right"/>
              <w:rPr>
                <w:sz w:val="18"/>
                <w:szCs w:val="18"/>
              </w:rPr>
            </w:pPr>
            <w:r>
              <w:rPr>
                <w:sz w:val="18"/>
                <w:szCs w:val="18"/>
              </w:rPr>
              <w:t>52.6543</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53.9443</w:t>
            </w:r>
          </w:p>
        </w:tc>
        <w:tc>
          <w:tcPr>
            <w:tcW w:w="1512" w:type="dxa"/>
          </w:tcPr>
          <w:p>
            <w:pPr>
              <w:pStyle w:val="yTableNAm"/>
              <w:jc w:val="right"/>
              <w:rPr>
                <w:sz w:val="18"/>
                <w:szCs w:val="18"/>
              </w:rPr>
            </w:pPr>
            <w:r>
              <w:rPr>
                <w:sz w:val="18"/>
                <w:szCs w:val="18"/>
              </w:rPr>
              <w:t>56.7903</w:t>
            </w:r>
          </w:p>
        </w:tc>
        <w:tc>
          <w:tcPr>
            <w:tcW w:w="1370" w:type="dxa"/>
          </w:tcPr>
          <w:p>
            <w:pPr>
              <w:pStyle w:val="yTableNAm"/>
              <w:jc w:val="right"/>
              <w:rPr>
                <w:sz w:val="18"/>
                <w:szCs w:val="18"/>
              </w:rPr>
            </w:pPr>
            <w:r>
              <w:rPr>
                <w:sz w:val="18"/>
                <w:szCs w:val="18"/>
              </w:rPr>
              <w:t>67.6054</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77.3317</w:t>
            </w:r>
          </w:p>
        </w:tc>
        <w:tc>
          <w:tcPr>
            <w:tcW w:w="1512" w:type="dxa"/>
          </w:tcPr>
          <w:p>
            <w:pPr>
              <w:pStyle w:val="yTableNAm"/>
              <w:jc w:val="right"/>
              <w:rPr>
                <w:sz w:val="18"/>
                <w:szCs w:val="18"/>
              </w:rPr>
            </w:pPr>
            <w:r>
              <w:rPr>
                <w:sz w:val="18"/>
                <w:szCs w:val="18"/>
              </w:rPr>
              <w:t>83.0239</w:t>
            </w:r>
          </w:p>
        </w:tc>
        <w:tc>
          <w:tcPr>
            <w:tcW w:w="1370" w:type="dxa"/>
          </w:tcPr>
          <w:p>
            <w:pPr>
              <w:pStyle w:val="yTableNAm"/>
              <w:jc w:val="right"/>
              <w:rPr>
                <w:sz w:val="18"/>
                <w:szCs w:val="18"/>
              </w:rPr>
            </w:pPr>
            <w:r>
              <w:rPr>
                <w:sz w:val="18"/>
                <w:szCs w:val="18"/>
              </w:rPr>
              <w:t>104.6540</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89.6566</w:t>
            </w:r>
          </w:p>
        </w:tc>
        <w:tc>
          <w:tcPr>
            <w:tcW w:w="1512" w:type="dxa"/>
          </w:tcPr>
          <w:p>
            <w:pPr>
              <w:pStyle w:val="yTableNAm"/>
              <w:jc w:val="right"/>
              <w:rPr>
                <w:sz w:val="18"/>
                <w:szCs w:val="18"/>
              </w:rPr>
            </w:pPr>
            <w:r>
              <w:rPr>
                <w:sz w:val="18"/>
                <w:szCs w:val="18"/>
              </w:rPr>
              <w:t>93.3162</w:t>
            </w:r>
          </w:p>
        </w:tc>
        <w:tc>
          <w:tcPr>
            <w:tcW w:w="1370" w:type="dxa"/>
          </w:tcPr>
          <w:p>
            <w:pPr>
              <w:pStyle w:val="yTableNAm"/>
              <w:jc w:val="right"/>
              <w:rPr>
                <w:sz w:val="18"/>
                <w:szCs w:val="18"/>
              </w:rPr>
            </w:pPr>
            <w:r>
              <w:rPr>
                <w:sz w:val="18"/>
                <w:szCs w:val="18"/>
              </w:rPr>
              <w:t>137.7670</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r>
              <w:rPr>
                <w:sz w:val="18"/>
                <w:szCs w:val="18"/>
              </w:rPr>
              <w:t>59.2251</w:t>
            </w:r>
          </w:p>
        </w:tc>
        <w:tc>
          <w:tcPr>
            <w:tcW w:w="1512" w:type="dxa"/>
          </w:tcPr>
          <w:p>
            <w:pPr>
              <w:pStyle w:val="yTableNAm"/>
              <w:jc w:val="right"/>
              <w:rPr>
                <w:sz w:val="18"/>
                <w:szCs w:val="18"/>
              </w:rPr>
            </w:pPr>
            <w:r>
              <w:rPr>
                <w:sz w:val="18"/>
                <w:szCs w:val="18"/>
              </w:rPr>
              <w:t>62.6405</w:t>
            </w:r>
          </w:p>
        </w:tc>
        <w:tc>
          <w:tcPr>
            <w:tcW w:w="1370" w:type="dxa"/>
          </w:tcPr>
          <w:p>
            <w:pPr>
              <w:pStyle w:val="yTableNAm"/>
              <w:jc w:val="right"/>
              <w:rPr>
                <w:sz w:val="18"/>
                <w:szCs w:val="18"/>
              </w:rPr>
            </w:pPr>
            <w:r>
              <w:rPr>
                <w:sz w:val="18"/>
                <w:szCs w:val="18"/>
              </w:rPr>
              <w:t>75.6184</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r>
              <w:rPr>
                <w:sz w:val="18"/>
                <w:szCs w:val="18"/>
              </w:rPr>
              <w:t>68.8972</w:t>
            </w:r>
          </w:p>
        </w:tc>
        <w:tc>
          <w:tcPr>
            <w:tcW w:w="1512" w:type="dxa"/>
          </w:tcPr>
          <w:p>
            <w:pPr>
              <w:pStyle w:val="yTableNAm"/>
              <w:jc w:val="right"/>
              <w:rPr>
                <w:sz w:val="18"/>
                <w:szCs w:val="18"/>
              </w:rPr>
            </w:pPr>
            <w:r>
              <w:rPr>
                <w:sz w:val="18"/>
                <w:szCs w:val="18"/>
              </w:rPr>
              <w:t>74.5894</w:t>
            </w:r>
          </w:p>
        </w:tc>
        <w:tc>
          <w:tcPr>
            <w:tcW w:w="1370" w:type="dxa"/>
          </w:tcPr>
          <w:p>
            <w:pPr>
              <w:pStyle w:val="yTableNAm"/>
              <w:jc w:val="right"/>
              <w:rPr>
                <w:sz w:val="18"/>
                <w:szCs w:val="18"/>
              </w:rPr>
            </w:pPr>
            <w:r>
              <w:rPr>
                <w:sz w:val="18"/>
                <w:szCs w:val="18"/>
              </w:rPr>
              <w:t>96.2195</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jc w:val="right"/>
              <w:rPr>
                <w:sz w:val="18"/>
                <w:szCs w:val="18"/>
              </w:rPr>
            </w:pPr>
            <w:r>
              <w:rPr>
                <w:sz w:val="18"/>
                <w:szCs w:val="18"/>
              </w:rPr>
              <w:t>Not applicable</w:t>
            </w:r>
          </w:p>
        </w:tc>
        <w:tc>
          <w:tcPr>
            <w:tcW w:w="1512" w:type="dxa"/>
          </w:tcPr>
          <w:p>
            <w:pPr>
              <w:pStyle w:val="yTableNAm"/>
              <w:jc w:val="right"/>
              <w:rPr>
                <w:sz w:val="18"/>
                <w:szCs w:val="18"/>
              </w:rPr>
            </w:pPr>
            <w:r>
              <w:rPr>
                <w:sz w:val="18"/>
                <w:szCs w:val="18"/>
              </w:rPr>
              <w:t>Not applicable</w:t>
            </w:r>
          </w:p>
        </w:tc>
        <w:tc>
          <w:tcPr>
            <w:tcW w:w="1370" w:type="dxa"/>
          </w:tcPr>
          <w:p>
            <w:pPr>
              <w:pStyle w:val="yTableNAm"/>
              <w:jc w:val="right"/>
              <w:rPr>
                <w:sz w:val="18"/>
                <w:szCs w:val="18"/>
              </w:rPr>
            </w:pPr>
            <w:r>
              <w:rPr>
                <w:sz w:val="18"/>
                <w:szCs w:val="18"/>
              </w:rPr>
              <w:t>301.4838</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jc w:val="right"/>
              <w:rPr>
                <w:sz w:val="18"/>
                <w:szCs w:val="18"/>
              </w:rPr>
            </w:pPr>
            <w:r>
              <w:rPr>
                <w:sz w:val="18"/>
                <w:szCs w:val="18"/>
              </w:rPr>
              <w:t>38.8279</w:t>
            </w:r>
          </w:p>
        </w:tc>
        <w:tc>
          <w:tcPr>
            <w:tcW w:w="1512" w:type="dxa"/>
          </w:tcPr>
          <w:p>
            <w:pPr>
              <w:pStyle w:val="yTableNAm"/>
              <w:jc w:val="right"/>
              <w:rPr>
                <w:sz w:val="18"/>
                <w:szCs w:val="18"/>
              </w:rPr>
            </w:pPr>
            <w:r>
              <w:rPr>
                <w:sz w:val="18"/>
                <w:szCs w:val="18"/>
              </w:rPr>
              <w:t>40.4445</w:t>
            </w:r>
          </w:p>
        </w:tc>
        <w:tc>
          <w:tcPr>
            <w:tcW w:w="1370" w:type="dxa"/>
          </w:tcPr>
          <w:p>
            <w:pPr>
              <w:pStyle w:val="yTableNAm"/>
              <w:jc w:val="right"/>
              <w:rPr>
                <w:sz w:val="18"/>
                <w:szCs w:val="18"/>
              </w:rPr>
            </w:pPr>
            <w:r>
              <w:rPr>
                <w:sz w:val="18"/>
                <w:szCs w:val="18"/>
              </w:rPr>
              <w:t>44.9598</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jc w:val="right"/>
              <w:rPr>
                <w:sz w:val="18"/>
                <w:szCs w:val="18"/>
              </w:rPr>
            </w:pPr>
            <w:r>
              <w:rPr>
                <w:sz w:val="18"/>
                <w:szCs w:val="18"/>
              </w:rPr>
              <w:t>33.0247</w:t>
            </w:r>
          </w:p>
        </w:tc>
        <w:tc>
          <w:tcPr>
            <w:tcW w:w="1512" w:type="dxa"/>
            <w:tcBorders>
              <w:bottom w:val="single" w:sz="4" w:space="0" w:color="auto"/>
            </w:tcBorders>
          </w:tcPr>
          <w:p>
            <w:pPr>
              <w:pStyle w:val="yTableNAm"/>
              <w:jc w:val="right"/>
              <w:rPr>
                <w:sz w:val="18"/>
                <w:szCs w:val="18"/>
              </w:rPr>
            </w:pPr>
            <w:r>
              <w:rPr>
                <w:sz w:val="18"/>
                <w:szCs w:val="18"/>
              </w:rPr>
              <w:t>33.9354</w:t>
            </w:r>
          </w:p>
        </w:tc>
        <w:tc>
          <w:tcPr>
            <w:tcW w:w="1370" w:type="dxa"/>
            <w:tcBorders>
              <w:bottom w:val="single" w:sz="4" w:space="0" w:color="auto"/>
            </w:tcBorders>
          </w:tcPr>
          <w:p>
            <w:pPr>
              <w:pStyle w:val="yTableNAm"/>
              <w:jc w:val="right"/>
              <w:rPr>
                <w:sz w:val="18"/>
                <w:szCs w:val="18"/>
              </w:rPr>
            </w:pPr>
            <w:r>
              <w:rPr>
                <w:sz w:val="18"/>
                <w:szCs w:val="18"/>
              </w:rPr>
              <w:t>37.3962</w:t>
            </w:r>
          </w:p>
        </w:tc>
      </w:tr>
    </w:tbl>
    <w:p>
      <w:pPr>
        <w:pStyle w:val="yFootnotesection"/>
      </w:pPr>
      <w:r>
        <w:tab/>
        <w:t>[Division 1 inserted: SL 2023/85 bl. 4.]</w:t>
      </w:r>
    </w:p>
    <w:p>
      <w:pPr>
        <w:pStyle w:val="yHeading3"/>
      </w:pPr>
      <w:bookmarkStart w:id="26" w:name="_Toc199509138"/>
      <w:r>
        <w:rPr>
          <w:rStyle w:val="CharSDivNo"/>
        </w:rPr>
        <w:lastRenderedPageBreak/>
        <w:t>Division 2</w:t>
      </w:r>
      <w:r>
        <w:rPr>
          <w:b w:val="0"/>
        </w:rPr>
        <w:t> — </w:t>
      </w:r>
      <w:r>
        <w:rPr>
          <w:rStyle w:val="CharSDivText"/>
        </w:rPr>
        <w:t>Miscellaneous</w:t>
      </w:r>
      <w:bookmarkEnd w:id="26"/>
    </w:p>
    <w:p>
      <w:pPr>
        <w:pStyle w:val="yFootnoteheading"/>
        <w:keepNext/>
      </w:pPr>
      <w:r>
        <w:tab/>
        <w:t>[Heading inserted: SL 2023/85 bl. 4.]</w:t>
      </w:r>
    </w:p>
    <w:p>
      <w:pPr>
        <w:pStyle w:val="yHeading5"/>
      </w:pPr>
      <w:bookmarkStart w:id="27" w:name="_Toc199509139"/>
      <w:r>
        <w:rPr>
          <w:rStyle w:val="CharSClsNo"/>
        </w:rPr>
        <w:t>1</w:t>
      </w:r>
      <w:r>
        <w:t>.</w:t>
      </w:r>
      <w:r>
        <w:tab/>
        <w:t>Traffic light installation</w:t>
      </w:r>
      <w:bookmarkEnd w:id="27"/>
    </w:p>
    <w:p>
      <w:pPr>
        <w:pStyle w:val="ySubsection"/>
        <w:keepNext/>
      </w:pPr>
      <w:r>
        <w:tab/>
      </w:r>
      <w:r>
        <w:tab/>
        <w:t xml:space="preserve">Supply of electricity to traffic light installations comprises a charge of </w:t>
      </w:r>
      <w:r>
        <w:rPr>
          <w:szCs w:val="22"/>
        </w:rPr>
        <w:t xml:space="preserve">$8.4605 </w:t>
      </w:r>
      <w:r>
        <w:t>per day per kW of installed wattage.</w:t>
      </w:r>
    </w:p>
    <w:p>
      <w:pPr>
        <w:pStyle w:val="yFootnotesection"/>
      </w:pPr>
      <w:r>
        <w:tab/>
        <w:t>[Clause 1 inserted: SL 2023/85 bl. 4.]</w:t>
      </w:r>
    </w:p>
    <w:p>
      <w:pPr>
        <w:pStyle w:val="yHeading5"/>
      </w:pPr>
      <w:bookmarkStart w:id="28" w:name="_Toc199509140"/>
      <w:r>
        <w:rPr>
          <w:rStyle w:val="CharSClsNo"/>
        </w:rPr>
        <w:t>2</w:t>
      </w:r>
      <w:r>
        <w:t>.</w:t>
      </w:r>
      <w:r>
        <w:tab/>
        <w:t>Public telephone facility</w:t>
      </w:r>
      <w:bookmarkEnd w:id="28"/>
    </w:p>
    <w:p>
      <w:pPr>
        <w:pStyle w:val="ySubsection"/>
      </w:pPr>
      <w:r>
        <w:tab/>
      </w:r>
      <w:r>
        <w:tab/>
        <w:t>Supply of electricity to a standard public telephone facility where supply is not independently metered comprises a charge of 72.0146 cents per day.</w:t>
      </w:r>
    </w:p>
    <w:p>
      <w:pPr>
        <w:pStyle w:val="yFootnotesection"/>
      </w:pPr>
      <w:r>
        <w:tab/>
        <w:t>[Clause 2 inserted: SL 2023/85 bl. 4.]</w:t>
      </w:r>
    </w:p>
    <w:p>
      <w:pPr>
        <w:pStyle w:val="yHeading5"/>
      </w:pPr>
      <w:bookmarkStart w:id="29" w:name="_Toc199509141"/>
      <w:r>
        <w:rPr>
          <w:rStyle w:val="CharSClsNo"/>
        </w:rPr>
        <w:t>3</w:t>
      </w:r>
      <w:r>
        <w:t>.</w:t>
      </w:r>
      <w:r>
        <w:tab/>
        <w:t>Railway crossing</w:t>
      </w:r>
      <w:bookmarkEnd w:id="29"/>
    </w:p>
    <w:p>
      <w:pPr>
        <w:pStyle w:val="ySubsection"/>
      </w:pPr>
      <w:r>
        <w:tab/>
      </w:r>
      <w:r>
        <w:tab/>
        <w:t xml:space="preserve">Supply of electricity to standard railway crossing lights comprises a charge of </w:t>
      </w:r>
      <w:r>
        <w:rPr>
          <w:szCs w:val="22"/>
        </w:rPr>
        <w:t xml:space="preserve">92.0299 </w:t>
      </w:r>
      <w:r>
        <w:t>cents per day.</w:t>
      </w:r>
    </w:p>
    <w:p>
      <w:pPr>
        <w:pStyle w:val="yFootnotesection"/>
      </w:pPr>
      <w:r>
        <w:tab/>
        <w:t>[Clause 3 inserted: SL 2023/85 bl. 4.]</w:t>
      </w:r>
    </w:p>
    <w:p>
      <w:pPr>
        <w:sectPr>
          <w:headerReference w:type="even" r:id="rId25"/>
          <w:headerReference w:type="default" r:id="rId26"/>
          <w:pgSz w:w="11907" w:h="16840" w:code="9"/>
          <w:pgMar w:top="2381" w:right="2410" w:bottom="3544" w:left="2410" w:header="720" w:footer="3544" w:gutter="0"/>
          <w:cols w:space="720"/>
          <w:titlePg/>
        </w:sectPr>
      </w:pPr>
    </w:p>
    <w:p>
      <w:pPr>
        <w:pStyle w:val="yScheduleHeading"/>
      </w:pPr>
      <w:bookmarkStart w:id="30" w:name="_Toc199509142"/>
      <w:r>
        <w:rPr>
          <w:rStyle w:val="CharSchNo"/>
        </w:rPr>
        <w:lastRenderedPageBreak/>
        <w:t>Schedule 3</w:t>
      </w:r>
      <w:r>
        <w:rPr>
          <w:rStyle w:val="CharSDivNo"/>
        </w:rPr>
        <w:t> </w:t>
      </w:r>
      <w:r>
        <w:t>—</w:t>
      </w:r>
      <w:r>
        <w:rPr>
          <w:rStyle w:val="CharSDivText"/>
        </w:rPr>
        <w:t> </w:t>
      </w:r>
      <w:r>
        <w:rPr>
          <w:rStyle w:val="CharSchText"/>
        </w:rPr>
        <w:t>Meter rental</w:t>
      </w:r>
      <w:bookmarkEnd w:id="30"/>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1" w:name="_Toc199509143"/>
      <w:r>
        <w:rPr>
          <w:rStyle w:val="CharSchNo"/>
        </w:rPr>
        <w:lastRenderedPageBreak/>
        <w:t>Schedule 4</w:t>
      </w:r>
      <w:r>
        <w:t> — </w:t>
      </w:r>
      <w:r>
        <w:rPr>
          <w:rStyle w:val="CharSchText"/>
        </w:rPr>
        <w:t>Fees</w:t>
      </w:r>
      <w:bookmarkEnd w:id="31"/>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$30.95</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$193.80</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$101.30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$15.80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rPr>
                <w:szCs w:val="22"/>
              </w:rPr>
              <w:t>$1.30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 SL 2023/85 bl.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footerReference w:type="default" r:id="rId30"/>
          <w:pgSz w:w="11907" w:h="16840" w:code="9"/>
          <w:pgMar w:top="2381" w:right="2410" w:bottom="3544" w:left="2410" w:header="720" w:footer="3544" w:gutter="0"/>
          <w:cols w:space="720"/>
        </w:sectPr>
      </w:pPr>
    </w:p>
    <w:p>
      <w:pPr>
        <w:pStyle w:val="nHeading2"/>
      </w:pPr>
      <w:bookmarkStart w:id="32" w:name="_Toc199509144"/>
      <w:r>
        <w:lastRenderedPageBreak/>
        <w:t>Notes</w:t>
      </w:r>
      <w:bookmarkEnd w:id="32"/>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33" w:name="_Toc199509145"/>
      <w:r>
        <w:t>Compilation table</w:t>
      </w:r>
      <w:bookmarkEnd w:id="33"/>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lastRenderedPageBreak/>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bottom w:val="single" w:sz="4" w:space="0" w:color="auto"/>
            </w:tcBorders>
            <w:shd w:val="clear" w:color="auto" w:fill="auto"/>
          </w:tcPr>
          <w:p>
            <w:pPr>
              <w:pStyle w:val="nTable"/>
              <w:spacing w:after="40"/>
            </w:pPr>
            <w:r>
              <w:t>SL 2023/85 27 Jun 2023</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bl>
    <w:p>
      <w:pPr>
        <w:pStyle w:val="nHeading3"/>
      </w:pPr>
      <w:bookmarkStart w:id="34" w:name="_Toc199509146"/>
      <w:r>
        <w:t>Other notes</w:t>
      </w:r>
      <w:bookmarkEnd w:id="34"/>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lastRenderedPageBreak/>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36" w:name="_Toc199509147"/>
      <w:r>
        <w:rPr>
          <w:sz w:val="28"/>
        </w:rPr>
        <w:lastRenderedPageBreak/>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361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2.xml"/><Relationship Id="rId21" Type="http://schemas.openxmlformats.org/officeDocument/2006/relationships/header" Target="header8.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footer" Target="footer7.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4790</Words>
  <Characters>23522</Characters>
  <Application>Microsoft Office Word</Application>
  <DocSecurity>0</DocSecurity>
  <Lines>871</Lines>
  <Paragraphs>566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2006 - 04-k0-01</dc:title>
  <dc:subject/>
  <dc:creator/>
  <cp:keywords/>
  <dc:description/>
  <cp:lastModifiedBy>Master Repository Process</cp:lastModifiedBy>
  <cp:revision>4</cp:revision>
  <cp:lastPrinted>2019-06-24T07:01:00Z</cp:lastPrinted>
  <dcterms:created xsi:type="dcterms:W3CDTF">2025-05-30T06:51:00Z</dcterms:created>
  <dcterms:modified xsi:type="dcterms:W3CDTF">2025-05-30T06:51:00Z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Jul 2023</vt:lpwstr>
  </property>
  <property fmtid="{D5CDD505-2E9C-101B-9397-08002B2CF9AE}" pid="8" name="Suffix">
    <vt:lpwstr>04-k0-01</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