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Misuse of Drugs Act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_Toc138751027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_Toc138751028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_Toc138751029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 xml:space="preserve">. </w:t>
      </w:r>
      <w:r>
        <w:rPr>
          <w:snapToGrid w:val="0"/>
        </w:rPr>
        <w:tab/>
        <w:t>Approved analysts and botanists</w:t>
      </w:r>
      <w:r>
        <w:tab/>
      </w:r>
      <w:r>
        <w:fldChar w:fldCharType="begin"/>
      </w:r>
      <w:r>
        <w:instrText xml:space="preserve"> PAGEREF _Toc138751030 \h </w:instrText>
      </w:r>
      <w:r>
        <w:fldChar w:fldCharType="separate"/>
      </w:r>
      <w:r>
        <w:t>6</w:t>
      </w:r>
      <w:r>
        <w:fldChar w:fldCharType="end"/>
      </w:r>
    </w:p>
    <w:p>
      <w:pPr>
        <w:pStyle w:val="TOC8"/>
        <w:rPr>
          <w:rFonts w:asciiTheme="minorHAnsi" w:eastAsiaTheme="minorEastAsia" w:hAnsiTheme="minorHAnsi" w:cstheme="minorBidi"/>
          <w:szCs w:val="22"/>
        </w:rPr>
      </w:pPr>
      <w:r>
        <w:t>3B.</w:t>
      </w:r>
      <w:r>
        <w:tab/>
      </w:r>
      <w:r>
        <w:rPr>
          <w:snapToGrid w:val="0"/>
        </w:rPr>
        <w:t>Specified</w:t>
      </w:r>
      <w:r>
        <w:t xml:space="preserve"> drugs</w:t>
      </w:r>
      <w:r>
        <w:tab/>
      </w:r>
      <w:r>
        <w:fldChar w:fldCharType="begin"/>
      </w:r>
      <w:r>
        <w:instrText xml:space="preserve"> PAGEREF _Toc138751031 \h </w:instrText>
      </w:r>
      <w:r>
        <w:fldChar w:fldCharType="separate"/>
      </w:r>
      <w:r>
        <w:t>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Drugs and plants to which Act applies</w:t>
      </w:r>
      <w:r>
        <w:tab/>
      </w:r>
      <w:r>
        <w:fldChar w:fldCharType="begin"/>
      </w:r>
      <w:r>
        <w:instrText xml:space="preserve"> PAGEREF _Toc138751032 \h </w:instrText>
      </w:r>
      <w:r>
        <w:fldChar w:fldCharType="separate"/>
      </w:r>
      <w:r>
        <w:t>7</w:t>
      </w:r>
      <w:r>
        <w:fldChar w:fldCharType="end"/>
      </w:r>
    </w:p>
    <w:p>
      <w:pPr>
        <w:pStyle w:val="TOC8"/>
        <w:rPr>
          <w:rFonts w:asciiTheme="minorHAnsi" w:eastAsiaTheme="minorEastAsia" w:hAnsiTheme="minorHAnsi" w:cstheme="minorBidi"/>
          <w:szCs w:val="22"/>
        </w:rPr>
      </w:pPr>
      <w:r>
        <w:t>5A.</w:t>
      </w:r>
      <w:r>
        <w:tab/>
        <w:t xml:space="preserve">Authority </w:t>
      </w:r>
      <w:r>
        <w:rPr>
          <w:snapToGrid w:val="0"/>
        </w:rPr>
        <w:t>required</w:t>
      </w:r>
      <w:r>
        <w:t xml:space="preserve"> for some investigations</w:t>
      </w:r>
      <w:r>
        <w:tab/>
      </w:r>
      <w:r>
        <w:fldChar w:fldCharType="begin"/>
      </w:r>
      <w:r>
        <w:instrText xml:space="preserve"> PAGEREF _Toc138751033 \h </w:instrText>
      </w:r>
      <w:r>
        <w:fldChar w:fldCharType="separate"/>
      </w:r>
      <w:r>
        <w:t>7</w:t>
      </w:r>
      <w:r>
        <w:fldChar w:fldCharType="end"/>
      </w:r>
    </w:p>
    <w:p>
      <w:pPr>
        <w:pStyle w:val="TOC8"/>
        <w:rPr>
          <w:rFonts w:asciiTheme="minorHAnsi" w:eastAsiaTheme="minorEastAsia" w:hAnsiTheme="minorHAnsi" w:cstheme="minorBidi"/>
          <w:szCs w:val="22"/>
        </w:rPr>
      </w:pPr>
      <w:r>
        <w:t>5B.</w:t>
      </w:r>
      <w:r>
        <w:tab/>
        <w:t xml:space="preserve">Authorisation under </w:t>
      </w:r>
      <w:r>
        <w:rPr>
          <w:i/>
        </w:rPr>
        <w:t>Medicines and Poisons Act 2014</w:t>
      </w:r>
      <w:r>
        <w:tab/>
      </w:r>
      <w:r>
        <w:fldChar w:fldCharType="begin"/>
      </w:r>
      <w:r>
        <w:instrText xml:space="preserve"> PAGEREF _Toc138751034 \h </w:instrText>
      </w:r>
      <w:r>
        <w:fldChar w:fldCharType="separate"/>
      </w:r>
      <w:r>
        <w:t>8</w:t>
      </w:r>
      <w:r>
        <w:fldChar w:fldCharType="end"/>
      </w:r>
    </w:p>
    <w:p>
      <w:pPr>
        <w:pStyle w:val="TOC8"/>
        <w:rPr>
          <w:rFonts w:asciiTheme="minorHAnsi" w:eastAsiaTheme="minorEastAsia" w:hAnsiTheme="minorHAnsi" w:cstheme="minorBidi"/>
          <w:szCs w:val="22"/>
        </w:rPr>
      </w:pPr>
      <w:r>
        <w:t>5C.</w:t>
      </w:r>
      <w:r>
        <w:tab/>
        <w:t xml:space="preserve">Authorisation under </w:t>
      </w:r>
      <w:r>
        <w:rPr>
          <w:i/>
        </w:rPr>
        <w:t>Voluntary Assisted Dying Act 2019</w:t>
      </w:r>
      <w:r>
        <w:tab/>
      </w:r>
      <w:r>
        <w:fldChar w:fldCharType="begin"/>
      </w:r>
      <w:r>
        <w:instrText xml:space="preserve"> PAGEREF _Toc138751035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relating to prohibited drugs and prohibited plants</w:t>
      </w:r>
    </w:p>
    <w:p>
      <w:pPr>
        <w:pStyle w:val="TOC8"/>
        <w:rPr>
          <w:rFonts w:asciiTheme="minorHAnsi" w:eastAsiaTheme="minorEastAsia" w:hAnsiTheme="minorHAnsi" w:cstheme="minorBidi"/>
          <w:szCs w:val="22"/>
        </w:rPr>
      </w:pPr>
      <w:r>
        <w:t>5</w:t>
      </w:r>
      <w:r>
        <w:rPr>
          <w:snapToGrid w:val="0"/>
        </w:rPr>
        <w:t>.</w:t>
      </w:r>
      <w:r>
        <w:rPr>
          <w:snapToGrid w:val="0"/>
        </w:rPr>
        <w:tab/>
        <w:t>Offences concerned with prohibited drugs and prohibited plants in relation to premises and utensils</w:t>
      </w:r>
      <w:r>
        <w:tab/>
      </w:r>
      <w:r>
        <w:fldChar w:fldCharType="begin"/>
      </w:r>
      <w:r>
        <w:instrText xml:space="preserve"> PAGEREF _Toc138751037 \h </w:instrText>
      </w:r>
      <w:r>
        <w:fldChar w:fldCharType="separate"/>
      </w:r>
      <w:r>
        <w:t>11</w:t>
      </w:r>
      <w:r>
        <w:fldChar w:fldCharType="end"/>
      </w:r>
    </w:p>
    <w:p>
      <w:pPr>
        <w:pStyle w:val="TOC8"/>
        <w:rPr>
          <w:rFonts w:asciiTheme="minorHAnsi" w:eastAsiaTheme="minorEastAsia" w:hAnsiTheme="minorHAnsi" w:cstheme="minorBidi"/>
          <w:szCs w:val="22"/>
        </w:rPr>
      </w:pPr>
      <w:r>
        <w:t>6.</w:t>
      </w:r>
      <w:r>
        <w:tab/>
        <w:t>Offences concerned with prohibited drugs generally</w:t>
      </w:r>
      <w:r>
        <w:tab/>
      </w:r>
      <w:r>
        <w:fldChar w:fldCharType="begin"/>
      </w:r>
      <w:r>
        <w:instrText xml:space="preserve"> PAGEREF _Toc138751038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Offences concerned with prohibited plants generally</w:t>
      </w:r>
      <w:r>
        <w:tab/>
      </w:r>
      <w:r>
        <w:fldChar w:fldCharType="begin"/>
      </w:r>
      <w:r>
        <w:instrText xml:space="preserve"> PAGEREF _Toc138751039 \h </w:instrText>
      </w:r>
      <w:r>
        <w:fldChar w:fldCharType="separate"/>
      </w:r>
      <w:r>
        <w:t>13</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Selling or supplying a thing knowing it will be used in hydroponic cultivation of prohibited plants</w:t>
      </w:r>
      <w:r>
        <w:tab/>
      </w:r>
      <w:r>
        <w:fldChar w:fldCharType="begin"/>
      </w:r>
      <w:r>
        <w:instrText xml:space="preserve"> PAGEREF _Toc138751040 \h </w:instrText>
      </w:r>
      <w:r>
        <w:fldChar w:fldCharType="separate"/>
      </w:r>
      <w:r>
        <w:t>14</w:t>
      </w:r>
      <w:r>
        <w:fldChar w:fldCharType="end"/>
      </w:r>
    </w:p>
    <w:p>
      <w:pPr>
        <w:pStyle w:val="TOC8"/>
        <w:rPr>
          <w:rFonts w:asciiTheme="minorHAnsi" w:eastAsiaTheme="minorEastAsia" w:hAnsiTheme="minorHAnsi" w:cstheme="minorBidi"/>
          <w:szCs w:val="22"/>
        </w:rPr>
      </w:pPr>
      <w:r>
        <w:t>7B.</w:t>
      </w:r>
      <w:r>
        <w:tab/>
        <w:t>Drug paraphernalia, offences as to</w:t>
      </w:r>
      <w:r>
        <w:tab/>
      </w:r>
      <w:r>
        <w:fldChar w:fldCharType="begin"/>
      </w:r>
      <w:r>
        <w:instrText xml:space="preserve"> PAGEREF _Toc138751041 \h </w:instrText>
      </w:r>
      <w:r>
        <w:fldChar w:fldCharType="separate"/>
      </w:r>
      <w:r>
        <w:t>15</w:t>
      </w:r>
      <w:r>
        <w:fldChar w:fldCharType="end"/>
      </w:r>
    </w:p>
    <w:p>
      <w:pPr>
        <w:pStyle w:val="TOC8"/>
        <w:rPr>
          <w:rFonts w:asciiTheme="minorHAnsi" w:eastAsiaTheme="minorEastAsia" w:hAnsiTheme="minorHAnsi" w:cstheme="minorBidi"/>
          <w:szCs w:val="22"/>
        </w:rPr>
      </w:pPr>
      <w:r>
        <w:lastRenderedPageBreak/>
        <w:t>8A.</w:t>
      </w:r>
      <w:r>
        <w:tab/>
        <w:t>Defences relating to industrial hemp or industrial hemp seed</w:t>
      </w:r>
      <w:r>
        <w:tab/>
      </w:r>
      <w:r>
        <w:fldChar w:fldCharType="begin"/>
      </w:r>
      <w:r>
        <w:instrText xml:space="preserve"> PAGEREF _Toc138751042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IIIA</w:t>
      </w:r>
      <w:r>
        <w:rPr>
          <w:b w:val="0"/>
        </w:rPr>
        <w:t> </w:t>
      </w:r>
      <w:r>
        <w:t>—</w:t>
      </w:r>
      <w:r>
        <w:rPr>
          <w:b w:val="0"/>
        </w:rPr>
        <w:t> </w:t>
      </w:r>
      <w:r>
        <w:t>Cannabis intervention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8B.</w:t>
      </w:r>
      <w:r>
        <w:tab/>
        <w:t>Terms used</w:t>
      </w:r>
      <w:r>
        <w:tab/>
      </w:r>
      <w:r>
        <w:fldChar w:fldCharType="begin"/>
      </w:r>
      <w:r>
        <w:instrText xml:space="preserve"> PAGEREF _Toc138751045 \h </w:instrText>
      </w:r>
      <w:r>
        <w:fldChar w:fldCharType="separate"/>
      </w:r>
      <w:r>
        <w:t>21</w:t>
      </w:r>
      <w:r>
        <w:fldChar w:fldCharType="end"/>
      </w:r>
    </w:p>
    <w:p>
      <w:pPr>
        <w:pStyle w:val="TOC8"/>
        <w:rPr>
          <w:rFonts w:asciiTheme="minorHAnsi" w:eastAsiaTheme="minorEastAsia" w:hAnsiTheme="minorHAnsi" w:cstheme="minorBidi"/>
          <w:szCs w:val="22"/>
        </w:rPr>
      </w:pPr>
      <w:r>
        <w:t>8C.</w:t>
      </w:r>
      <w:r>
        <w:tab/>
        <w:t xml:space="preserve">Operation of </w:t>
      </w:r>
      <w:r>
        <w:rPr>
          <w:i/>
          <w:iCs/>
        </w:rPr>
        <w:t>Young Offenders Act 1994</w:t>
      </w:r>
      <w:r>
        <w:t xml:space="preserve"> unaffected</w:t>
      </w:r>
      <w:r>
        <w:tab/>
      </w:r>
      <w:r>
        <w:fldChar w:fldCharType="begin"/>
      </w:r>
      <w:r>
        <w:instrText xml:space="preserve"> PAGEREF _Toc138751046 \h </w:instrText>
      </w:r>
      <w:r>
        <w:fldChar w:fldCharType="separate"/>
      </w:r>
      <w:r>
        <w:t>22</w:t>
      </w:r>
      <w:r>
        <w:fldChar w:fldCharType="end"/>
      </w:r>
    </w:p>
    <w:p>
      <w:pPr>
        <w:pStyle w:val="TOC8"/>
        <w:rPr>
          <w:rFonts w:asciiTheme="minorHAnsi" w:eastAsiaTheme="minorEastAsia" w:hAnsiTheme="minorHAnsi" w:cstheme="minorBidi"/>
          <w:szCs w:val="22"/>
        </w:rPr>
      </w:pPr>
      <w:r>
        <w:t>8D.</w:t>
      </w:r>
      <w:r>
        <w:tab/>
        <w:t>Appointment of authorised persons</w:t>
      </w:r>
      <w:r>
        <w:tab/>
      </w:r>
      <w:r>
        <w:fldChar w:fldCharType="begin"/>
      </w:r>
      <w:r>
        <w:instrText xml:space="preserve"> PAGEREF _Toc138751047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Cannabis intervention requirements</w:t>
      </w:r>
    </w:p>
    <w:p>
      <w:pPr>
        <w:pStyle w:val="TOC8"/>
        <w:rPr>
          <w:rFonts w:asciiTheme="minorHAnsi" w:eastAsiaTheme="minorEastAsia" w:hAnsiTheme="minorHAnsi" w:cstheme="minorBidi"/>
          <w:szCs w:val="22"/>
        </w:rPr>
      </w:pPr>
      <w:r>
        <w:t>8E.</w:t>
      </w:r>
      <w:r>
        <w:tab/>
        <w:t>CIR may be given for minor cannabis related offence</w:t>
      </w:r>
      <w:r>
        <w:tab/>
      </w:r>
      <w:r>
        <w:fldChar w:fldCharType="begin"/>
      </w:r>
      <w:r>
        <w:instrText xml:space="preserve"> PAGEREF _Toc138751049 \h </w:instrText>
      </w:r>
      <w:r>
        <w:fldChar w:fldCharType="separate"/>
      </w:r>
      <w:r>
        <w:t>22</w:t>
      </w:r>
      <w:r>
        <w:fldChar w:fldCharType="end"/>
      </w:r>
    </w:p>
    <w:p>
      <w:pPr>
        <w:pStyle w:val="TOC8"/>
        <w:rPr>
          <w:rFonts w:asciiTheme="minorHAnsi" w:eastAsiaTheme="minorEastAsia" w:hAnsiTheme="minorHAnsi" w:cstheme="minorBidi"/>
          <w:szCs w:val="22"/>
        </w:rPr>
      </w:pPr>
      <w:r>
        <w:t>8F.</w:t>
      </w:r>
      <w:r>
        <w:tab/>
        <w:t>Cannabis intervention requirement</w:t>
      </w:r>
      <w:r>
        <w:tab/>
      </w:r>
      <w:r>
        <w:fldChar w:fldCharType="begin"/>
      </w:r>
      <w:r>
        <w:instrText xml:space="preserve"> PAGEREF _Toc138751050 \h </w:instrText>
      </w:r>
      <w:r>
        <w:fldChar w:fldCharType="separate"/>
      </w:r>
      <w:r>
        <w:t>23</w:t>
      </w:r>
      <w:r>
        <w:fldChar w:fldCharType="end"/>
      </w:r>
    </w:p>
    <w:p>
      <w:pPr>
        <w:pStyle w:val="TOC8"/>
        <w:rPr>
          <w:rFonts w:asciiTheme="minorHAnsi" w:eastAsiaTheme="minorEastAsia" w:hAnsiTheme="minorHAnsi" w:cstheme="minorBidi"/>
          <w:szCs w:val="22"/>
        </w:rPr>
      </w:pPr>
      <w:r>
        <w:t>8G.</w:t>
      </w:r>
      <w:r>
        <w:tab/>
        <w:t>Young persons — special requirements about CIRs</w:t>
      </w:r>
      <w:r>
        <w:tab/>
      </w:r>
      <w:r>
        <w:fldChar w:fldCharType="begin"/>
      </w:r>
      <w:r>
        <w:instrText xml:space="preserve"> PAGEREF _Toc138751051 \h </w:instrText>
      </w:r>
      <w:r>
        <w:fldChar w:fldCharType="separate"/>
      </w:r>
      <w:r>
        <w:t>24</w:t>
      </w:r>
      <w:r>
        <w:fldChar w:fldCharType="end"/>
      </w:r>
    </w:p>
    <w:p>
      <w:pPr>
        <w:pStyle w:val="TOC8"/>
        <w:rPr>
          <w:rFonts w:asciiTheme="minorHAnsi" w:eastAsiaTheme="minorEastAsia" w:hAnsiTheme="minorHAnsi" w:cstheme="minorBidi"/>
          <w:szCs w:val="22"/>
        </w:rPr>
      </w:pPr>
      <w:r>
        <w:t>8H.</w:t>
      </w:r>
      <w:r>
        <w:tab/>
        <w:t>Referral of young persons at risk to juvenile justice teams</w:t>
      </w:r>
      <w:r>
        <w:tab/>
      </w:r>
      <w:r>
        <w:fldChar w:fldCharType="begin"/>
      </w:r>
      <w:r>
        <w:instrText xml:space="preserve"> PAGEREF _Toc138751052 \h </w:instrText>
      </w:r>
      <w:r>
        <w:fldChar w:fldCharType="separate"/>
      </w:r>
      <w:r>
        <w:t>25</w:t>
      </w:r>
      <w:r>
        <w:fldChar w:fldCharType="end"/>
      </w:r>
    </w:p>
    <w:p>
      <w:pPr>
        <w:pStyle w:val="TOC8"/>
        <w:rPr>
          <w:rFonts w:asciiTheme="minorHAnsi" w:eastAsiaTheme="minorEastAsia" w:hAnsiTheme="minorHAnsi" w:cstheme="minorBidi"/>
          <w:szCs w:val="22"/>
        </w:rPr>
      </w:pPr>
      <w:r>
        <w:t>8I.</w:t>
      </w:r>
      <w:r>
        <w:tab/>
        <w:t>Withdrawal of CIR</w:t>
      </w:r>
      <w:r>
        <w:tab/>
      </w:r>
      <w:r>
        <w:fldChar w:fldCharType="begin"/>
      </w:r>
      <w:r>
        <w:instrText xml:space="preserve"> PAGEREF _Toc138751053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Cannabis intervention sessions</w:t>
      </w:r>
    </w:p>
    <w:p>
      <w:pPr>
        <w:pStyle w:val="TOC8"/>
        <w:rPr>
          <w:rFonts w:asciiTheme="minorHAnsi" w:eastAsiaTheme="minorEastAsia" w:hAnsiTheme="minorHAnsi" w:cstheme="minorBidi"/>
          <w:szCs w:val="22"/>
        </w:rPr>
      </w:pPr>
      <w:r>
        <w:t>8J.</w:t>
      </w:r>
      <w:r>
        <w:tab/>
        <w:t>Cannabis intervention session</w:t>
      </w:r>
      <w:r>
        <w:tab/>
      </w:r>
      <w:r>
        <w:fldChar w:fldCharType="begin"/>
      </w:r>
      <w:r>
        <w:instrText xml:space="preserve"> PAGEREF _Toc138751055 \h </w:instrText>
      </w:r>
      <w:r>
        <w:fldChar w:fldCharType="separate"/>
      </w:r>
      <w:r>
        <w:t>26</w:t>
      </w:r>
      <w:r>
        <w:fldChar w:fldCharType="end"/>
      </w:r>
    </w:p>
    <w:p>
      <w:pPr>
        <w:pStyle w:val="TOC8"/>
        <w:rPr>
          <w:rFonts w:asciiTheme="minorHAnsi" w:eastAsiaTheme="minorEastAsia" w:hAnsiTheme="minorHAnsi" w:cstheme="minorBidi"/>
          <w:szCs w:val="22"/>
        </w:rPr>
      </w:pPr>
      <w:r>
        <w:t>8K.</w:t>
      </w:r>
      <w:r>
        <w:tab/>
        <w:t>Benefit of completing CIS</w:t>
      </w:r>
      <w:r>
        <w:tab/>
      </w:r>
      <w:r>
        <w:fldChar w:fldCharType="begin"/>
      </w:r>
      <w:r>
        <w:instrText xml:space="preserve"> PAGEREF _Toc138751056 \h </w:instrText>
      </w:r>
      <w:r>
        <w:fldChar w:fldCharType="separate"/>
      </w:r>
      <w:r>
        <w:t>26</w:t>
      </w:r>
      <w:r>
        <w:fldChar w:fldCharType="end"/>
      </w:r>
    </w:p>
    <w:p>
      <w:pPr>
        <w:pStyle w:val="TOC8"/>
        <w:rPr>
          <w:rFonts w:asciiTheme="minorHAnsi" w:eastAsiaTheme="minorEastAsia" w:hAnsiTheme="minorHAnsi" w:cstheme="minorBidi"/>
          <w:szCs w:val="22"/>
        </w:rPr>
      </w:pPr>
      <w:r>
        <w:t>8L.</w:t>
      </w:r>
      <w:r>
        <w:tab/>
        <w:t>Extension of time to complete CIS</w:t>
      </w:r>
      <w:r>
        <w:tab/>
      </w:r>
      <w:r>
        <w:fldChar w:fldCharType="begin"/>
      </w:r>
      <w:r>
        <w:instrText xml:space="preserve"> PAGEREF _Toc138751057 \h </w:instrText>
      </w:r>
      <w:r>
        <w:fldChar w:fldCharType="separate"/>
      </w:r>
      <w:r>
        <w:t>27</w:t>
      </w:r>
      <w:r>
        <w:fldChar w:fldCharType="end"/>
      </w:r>
    </w:p>
    <w:p>
      <w:pPr>
        <w:pStyle w:val="TOC8"/>
        <w:rPr>
          <w:rFonts w:asciiTheme="minorHAnsi" w:eastAsiaTheme="minorEastAsia" w:hAnsiTheme="minorHAnsi" w:cstheme="minorBidi"/>
          <w:szCs w:val="22"/>
        </w:rPr>
      </w:pPr>
      <w:r>
        <w:t>8M.</w:t>
      </w:r>
      <w:r>
        <w:tab/>
        <w:t>Certificate of completion of CIS</w:t>
      </w:r>
      <w:r>
        <w:tab/>
      </w:r>
      <w:r>
        <w:fldChar w:fldCharType="begin"/>
      </w:r>
      <w:r>
        <w:instrText xml:space="preserve"> PAGEREF _Toc138751058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IIIB — Psychoactive substances</w:t>
      </w:r>
    </w:p>
    <w:p>
      <w:pPr>
        <w:pStyle w:val="TOC8"/>
        <w:rPr>
          <w:rFonts w:asciiTheme="minorHAnsi" w:eastAsiaTheme="minorEastAsia" w:hAnsiTheme="minorHAnsi" w:cstheme="minorBidi"/>
          <w:szCs w:val="22"/>
        </w:rPr>
      </w:pPr>
      <w:r>
        <w:t>8N.</w:t>
      </w:r>
      <w:r>
        <w:tab/>
        <w:t>Terms used</w:t>
      </w:r>
      <w:r>
        <w:tab/>
      </w:r>
      <w:r>
        <w:fldChar w:fldCharType="begin"/>
      </w:r>
      <w:r>
        <w:instrText xml:space="preserve"> PAGEREF _Toc138751060 \h </w:instrText>
      </w:r>
      <w:r>
        <w:fldChar w:fldCharType="separate"/>
      </w:r>
      <w:r>
        <w:t>28</w:t>
      </w:r>
      <w:r>
        <w:fldChar w:fldCharType="end"/>
      </w:r>
    </w:p>
    <w:p>
      <w:pPr>
        <w:pStyle w:val="TOC8"/>
        <w:rPr>
          <w:rFonts w:asciiTheme="minorHAnsi" w:eastAsiaTheme="minorEastAsia" w:hAnsiTheme="minorHAnsi" w:cstheme="minorBidi"/>
          <w:szCs w:val="22"/>
        </w:rPr>
      </w:pPr>
      <w:r>
        <w:t>8O.</w:t>
      </w:r>
      <w:r>
        <w:tab/>
        <w:t>Application of this Part to particular substances</w:t>
      </w:r>
      <w:r>
        <w:tab/>
      </w:r>
      <w:r>
        <w:fldChar w:fldCharType="begin"/>
      </w:r>
      <w:r>
        <w:instrText xml:space="preserve"> PAGEREF _Toc138751061 \h </w:instrText>
      </w:r>
      <w:r>
        <w:fldChar w:fldCharType="separate"/>
      </w:r>
      <w:r>
        <w:t>29</w:t>
      </w:r>
      <w:r>
        <w:fldChar w:fldCharType="end"/>
      </w:r>
    </w:p>
    <w:p>
      <w:pPr>
        <w:pStyle w:val="TOC8"/>
        <w:rPr>
          <w:rFonts w:asciiTheme="minorHAnsi" w:eastAsiaTheme="minorEastAsia" w:hAnsiTheme="minorHAnsi" w:cstheme="minorBidi"/>
          <w:szCs w:val="22"/>
        </w:rPr>
      </w:pPr>
      <w:r>
        <w:t>8P.</w:t>
      </w:r>
      <w:r>
        <w:tab/>
        <w:t>Effect of representing substance as psychoactive substance</w:t>
      </w:r>
      <w:r>
        <w:tab/>
      </w:r>
      <w:r>
        <w:fldChar w:fldCharType="begin"/>
      </w:r>
      <w:r>
        <w:instrText xml:space="preserve"> PAGEREF _Toc138751062 \h </w:instrText>
      </w:r>
      <w:r>
        <w:fldChar w:fldCharType="separate"/>
      </w:r>
      <w:r>
        <w:t>30</w:t>
      </w:r>
      <w:r>
        <w:fldChar w:fldCharType="end"/>
      </w:r>
    </w:p>
    <w:p>
      <w:pPr>
        <w:pStyle w:val="TOC8"/>
        <w:rPr>
          <w:rFonts w:asciiTheme="minorHAnsi" w:eastAsiaTheme="minorEastAsia" w:hAnsiTheme="minorHAnsi" w:cstheme="minorBidi"/>
          <w:szCs w:val="22"/>
        </w:rPr>
      </w:pPr>
      <w:r>
        <w:t>8Q.</w:t>
      </w:r>
      <w:r>
        <w:tab/>
        <w:t>Manufacture, sale or supply of psychoactive substances</w:t>
      </w:r>
      <w:r>
        <w:tab/>
      </w:r>
      <w:r>
        <w:fldChar w:fldCharType="begin"/>
      </w:r>
      <w:r>
        <w:instrText xml:space="preserve"> PAGEREF _Toc138751063 \h </w:instrText>
      </w:r>
      <w:r>
        <w:fldChar w:fldCharType="separate"/>
      </w:r>
      <w:r>
        <w:t>30</w:t>
      </w:r>
      <w:r>
        <w:fldChar w:fldCharType="end"/>
      </w:r>
    </w:p>
    <w:p>
      <w:pPr>
        <w:pStyle w:val="TOC8"/>
        <w:rPr>
          <w:rFonts w:asciiTheme="minorHAnsi" w:eastAsiaTheme="minorEastAsia" w:hAnsiTheme="minorHAnsi" w:cstheme="minorBidi"/>
          <w:szCs w:val="22"/>
        </w:rPr>
      </w:pPr>
      <w:r>
        <w:t>8R.</w:t>
      </w:r>
      <w:r>
        <w:tab/>
        <w:t>Promoting psychoactive substances</w:t>
      </w:r>
      <w:r>
        <w:tab/>
      </w:r>
      <w:r>
        <w:fldChar w:fldCharType="begin"/>
      </w:r>
      <w:r>
        <w:instrText xml:space="preserve"> PAGEREF _Toc138751064 \h </w:instrText>
      </w:r>
      <w:r>
        <w:fldChar w:fldCharType="separate"/>
      </w:r>
      <w:r>
        <w:t>31</w:t>
      </w:r>
      <w:r>
        <w:fldChar w:fldCharType="end"/>
      </w:r>
    </w:p>
    <w:p>
      <w:pPr>
        <w:pStyle w:val="TOC8"/>
        <w:rPr>
          <w:rFonts w:asciiTheme="minorHAnsi" w:eastAsiaTheme="minorEastAsia" w:hAnsiTheme="minorHAnsi" w:cstheme="minorBidi"/>
          <w:szCs w:val="22"/>
        </w:rPr>
      </w:pPr>
      <w:r>
        <w:t>8S.</w:t>
      </w:r>
      <w:r>
        <w:tab/>
        <w:t>Powers of police officers for purposes of this Part</w:t>
      </w:r>
      <w:r>
        <w:tab/>
      </w:r>
      <w:r>
        <w:fldChar w:fldCharType="begin"/>
      </w:r>
      <w:r>
        <w:instrText xml:space="preserve"> PAGEREF _Toc138751065 \h </w:instrText>
      </w:r>
      <w:r>
        <w:fldChar w:fldCharType="separate"/>
      </w:r>
      <w:r>
        <w:t>31</w:t>
      </w:r>
      <w:r>
        <w:fldChar w:fldCharType="end"/>
      </w:r>
    </w:p>
    <w:p>
      <w:pPr>
        <w:pStyle w:val="TOC8"/>
        <w:rPr>
          <w:rFonts w:asciiTheme="minorHAnsi" w:eastAsiaTheme="minorEastAsia" w:hAnsiTheme="minorHAnsi" w:cstheme="minorBidi"/>
          <w:szCs w:val="22"/>
        </w:rPr>
      </w:pPr>
      <w:r>
        <w:t>8T.</w:t>
      </w:r>
      <w:r>
        <w:tab/>
        <w:t>Powers to seize and dispose of thing suspected of being psychoactive substance</w:t>
      </w:r>
      <w:r>
        <w:tab/>
      </w:r>
      <w:r>
        <w:fldChar w:fldCharType="begin"/>
      </w:r>
      <w:r>
        <w:instrText xml:space="preserve"> PAGEREF _Toc138751066 \h </w:instrText>
      </w:r>
      <w:r>
        <w:fldChar w:fldCharType="separate"/>
      </w:r>
      <w:r>
        <w:t>32</w:t>
      </w:r>
      <w:r>
        <w:fldChar w:fldCharType="end"/>
      </w:r>
    </w:p>
    <w:p>
      <w:pPr>
        <w:pStyle w:val="TOC8"/>
        <w:rPr>
          <w:rFonts w:asciiTheme="minorHAnsi" w:eastAsiaTheme="minorEastAsia" w:hAnsiTheme="minorHAnsi" w:cstheme="minorBidi"/>
          <w:szCs w:val="22"/>
        </w:rPr>
      </w:pPr>
      <w:r>
        <w:t>8U.</w:t>
      </w:r>
      <w:r>
        <w:tab/>
        <w:t>Analysis of seized thing may be requested</w:t>
      </w:r>
      <w:r>
        <w:tab/>
      </w:r>
      <w:r>
        <w:fldChar w:fldCharType="begin"/>
      </w:r>
      <w:r>
        <w:instrText xml:space="preserve"> PAGEREF _Toc138751067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III — Procedure</w:t>
      </w:r>
    </w:p>
    <w:p>
      <w:pPr>
        <w:pStyle w:val="TOC8"/>
        <w:rPr>
          <w:rFonts w:asciiTheme="minorHAnsi" w:eastAsiaTheme="minorEastAsia" w:hAnsiTheme="minorHAnsi" w:cstheme="minorBidi"/>
          <w:szCs w:val="22"/>
        </w:rPr>
      </w:pPr>
      <w:r>
        <w:t>9.</w:t>
      </w:r>
      <w:r>
        <w:tab/>
        <w:t>Summary trial of some indictable offences</w:t>
      </w:r>
      <w:r>
        <w:tab/>
      </w:r>
      <w:r>
        <w:fldChar w:fldCharType="begin"/>
      </w:r>
      <w:r>
        <w:instrText xml:space="preserve"> PAGEREF _Toc138751069 \h </w:instrText>
      </w:r>
      <w:r>
        <w:fldChar w:fldCharType="separate"/>
      </w:r>
      <w:r>
        <w:t>35</w:t>
      </w:r>
      <w:r>
        <w:fldChar w:fldCharType="end"/>
      </w:r>
    </w:p>
    <w:p>
      <w:pPr>
        <w:pStyle w:val="TOC8"/>
        <w:rPr>
          <w:rFonts w:asciiTheme="minorHAnsi" w:eastAsiaTheme="minorEastAsia" w:hAnsiTheme="minorHAnsi" w:cstheme="minorBidi"/>
          <w:szCs w:val="22"/>
        </w:rPr>
      </w:pPr>
      <w:r>
        <w:t>10.</w:t>
      </w:r>
      <w:r>
        <w:tab/>
        <w:t>Alternative verdicts</w:t>
      </w:r>
      <w:r>
        <w:tab/>
      </w:r>
      <w:r>
        <w:fldChar w:fldCharType="begin"/>
      </w:r>
      <w:r>
        <w:instrText xml:space="preserve"> PAGEREF _Toc138751070 \h </w:instrText>
      </w:r>
      <w:r>
        <w:fldChar w:fldCharType="separate"/>
      </w:r>
      <w:r>
        <w:t>36</w:t>
      </w:r>
      <w:r>
        <w:fldChar w:fldCharType="end"/>
      </w:r>
    </w:p>
    <w:p>
      <w:pPr>
        <w:pStyle w:val="TOC8"/>
        <w:rPr>
          <w:rFonts w:asciiTheme="minorHAnsi" w:eastAsiaTheme="minorEastAsia" w:hAnsiTheme="minorHAnsi" w:cstheme="minorBidi"/>
          <w:szCs w:val="22"/>
        </w:rPr>
      </w:pPr>
      <w:r>
        <w:lastRenderedPageBreak/>
        <w:t>11</w:t>
      </w:r>
      <w:r>
        <w:rPr>
          <w:snapToGrid w:val="0"/>
        </w:rPr>
        <w:t>.</w:t>
      </w:r>
      <w:r>
        <w:rPr>
          <w:snapToGrid w:val="0"/>
        </w:rPr>
        <w:tab/>
        <w:t>Presumption of intent to sell or supply</w:t>
      </w:r>
      <w:r>
        <w:tab/>
      </w:r>
      <w:r>
        <w:fldChar w:fldCharType="begin"/>
      </w:r>
      <w:r>
        <w:instrText xml:space="preserve"> PAGEREF _Toc138751071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IV</w:t>
      </w:r>
      <w:r>
        <w:rPr>
          <w:b w:val="0"/>
        </w:rPr>
        <w:t> </w:t>
      </w:r>
      <w:r>
        <w:t>—</w:t>
      </w:r>
      <w:r>
        <w:rPr>
          <w:b w:val="0"/>
        </w:rPr>
        <w:t> </w:t>
      </w:r>
      <w:r>
        <w:t>Controls relating to possession, sale, supply and storage of certain substances and things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_Toc138751073 \h </w:instrText>
      </w:r>
      <w:r>
        <w:fldChar w:fldCharType="separate"/>
      </w:r>
      <w:r>
        <w:t>38</w:t>
      </w:r>
      <w:r>
        <w:fldChar w:fldCharType="end"/>
      </w:r>
    </w:p>
    <w:p>
      <w:pPr>
        <w:pStyle w:val="TOC8"/>
        <w:rPr>
          <w:rFonts w:asciiTheme="minorHAnsi" w:eastAsiaTheme="minorEastAsia" w:hAnsiTheme="minorHAnsi" w:cstheme="minorBidi"/>
          <w:szCs w:val="22"/>
        </w:rPr>
      </w:pPr>
      <w:r>
        <w:t>13.</w:t>
      </w:r>
      <w:r>
        <w:tab/>
        <w:t>Part not applicable to possession, sale or supply of certain substances or things</w:t>
      </w:r>
      <w:r>
        <w:tab/>
      </w:r>
      <w:r>
        <w:fldChar w:fldCharType="begin"/>
      </w:r>
      <w:r>
        <w:instrText xml:space="preserve"> PAGEREF _Toc138751074 \h </w:instrText>
      </w:r>
      <w:r>
        <w:fldChar w:fldCharType="separate"/>
      </w:r>
      <w:r>
        <w:t>38</w:t>
      </w:r>
      <w:r>
        <w:fldChar w:fldCharType="end"/>
      </w:r>
    </w:p>
    <w:p>
      <w:pPr>
        <w:pStyle w:val="TOC8"/>
        <w:rPr>
          <w:rFonts w:asciiTheme="minorHAnsi" w:eastAsiaTheme="minorEastAsia" w:hAnsiTheme="minorHAnsi" w:cstheme="minorBidi"/>
          <w:szCs w:val="22"/>
        </w:rPr>
      </w:pPr>
      <w:r>
        <w:t>14.</w:t>
      </w:r>
      <w:r>
        <w:tab/>
        <w:t>Possession of certain substances or things</w:t>
      </w:r>
      <w:r>
        <w:tab/>
      </w:r>
      <w:r>
        <w:fldChar w:fldCharType="begin"/>
      </w:r>
      <w:r>
        <w:instrText xml:space="preserve"> PAGEREF _Toc138751075 \h </w:instrText>
      </w:r>
      <w:r>
        <w:fldChar w:fldCharType="separate"/>
      </w:r>
      <w:r>
        <w:t>39</w:t>
      </w:r>
      <w:r>
        <w:fldChar w:fldCharType="end"/>
      </w:r>
    </w:p>
    <w:p>
      <w:pPr>
        <w:pStyle w:val="TOC8"/>
        <w:rPr>
          <w:rFonts w:asciiTheme="minorHAnsi" w:eastAsiaTheme="minorEastAsia" w:hAnsiTheme="minorHAnsi" w:cstheme="minorBidi"/>
          <w:szCs w:val="22"/>
        </w:rPr>
      </w:pPr>
      <w:r>
        <w:t>15.</w:t>
      </w:r>
      <w:r>
        <w:tab/>
        <w:t>Sale or supply of category 1 items</w:t>
      </w:r>
      <w:r>
        <w:tab/>
      </w:r>
      <w:r>
        <w:fldChar w:fldCharType="begin"/>
      </w:r>
      <w:r>
        <w:instrText xml:space="preserve"> PAGEREF _Toc138751076 \h </w:instrText>
      </w:r>
      <w:r>
        <w:fldChar w:fldCharType="separate"/>
      </w:r>
      <w:r>
        <w:t>40</w:t>
      </w:r>
      <w:r>
        <w:fldChar w:fldCharType="end"/>
      </w:r>
    </w:p>
    <w:p>
      <w:pPr>
        <w:pStyle w:val="TOC8"/>
        <w:rPr>
          <w:rFonts w:asciiTheme="minorHAnsi" w:eastAsiaTheme="minorEastAsia" w:hAnsiTheme="minorHAnsi" w:cstheme="minorBidi"/>
          <w:szCs w:val="22"/>
        </w:rPr>
      </w:pPr>
      <w:r>
        <w:t>16.</w:t>
      </w:r>
      <w:r>
        <w:tab/>
        <w:t>Storage of category 1 items</w:t>
      </w:r>
      <w:r>
        <w:tab/>
      </w:r>
      <w:r>
        <w:fldChar w:fldCharType="begin"/>
      </w:r>
      <w:r>
        <w:instrText xml:space="preserve"> PAGEREF _Toc138751077 \h </w:instrText>
      </w:r>
      <w:r>
        <w:fldChar w:fldCharType="separate"/>
      </w:r>
      <w:r>
        <w:t>41</w:t>
      </w:r>
      <w:r>
        <w:fldChar w:fldCharType="end"/>
      </w:r>
    </w:p>
    <w:p>
      <w:pPr>
        <w:pStyle w:val="TOC8"/>
        <w:rPr>
          <w:rFonts w:asciiTheme="minorHAnsi" w:eastAsiaTheme="minorEastAsia" w:hAnsiTheme="minorHAnsi" w:cstheme="minorBidi"/>
          <w:szCs w:val="22"/>
        </w:rPr>
      </w:pPr>
      <w:r>
        <w:t>17.</w:t>
      </w:r>
      <w:r>
        <w:tab/>
        <w:t>Sale or supply of category 2 items</w:t>
      </w:r>
      <w:r>
        <w:tab/>
      </w:r>
      <w:r>
        <w:fldChar w:fldCharType="begin"/>
      </w:r>
      <w:r>
        <w:instrText xml:space="preserve"> PAGEREF _Toc138751078 \h </w:instrText>
      </w:r>
      <w:r>
        <w:fldChar w:fldCharType="separate"/>
      </w:r>
      <w:r>
        <w:t>41</w:t>
      </w:r>
      <w:r>
        <w:fldChar w:fldCharType="end"/>
      </w:r>
    </w:p>
    <w:p>
      <w:pPr>
        <w:pStyle w:val="TOC8"/>
        <w:rPr>
          <w:rFonts w:asciiTheme="minorHAnsi" w:eastAsiaTheme="minorEastAsia" w:hAnsiTheme="minorHAnsi" w:cstheme="minorBidi"/>
          <w:szCs w:val="22"/>
        </w:rPr>
      </w:pPr>
      <w:r>
        <w:t>18.</w:t>
      </w:r>
      <w:r>
        <w:tab/>
        <w:t>Offences relating to declarations under s. 15(1)(c) or 17(1)(b)</w:t>
      </w:r>
      <w:r>
        <w:tab/>
      </w:r>
      <w:r>
        <w:fldChar w:fldCharType="begin"/>
      </w:r>
      <w:r>
        <w:instrText xml:space="preserve"> PAGEREF _Toc138751079 \h </w:instrText>
      </w:r>
      <w:r>
        <w:fldChar w:fldCharType="separate"/>
      </w:r>
      <w:r>
        <w:t>42</w:t>
      </w:r>
      <w:r>
        <w:fldChar w:fldCharType="end"/>
      </w:r>
    </w:p>
    <w:p>
      <w:pPr>
        <w:pStyle w:val="TOC8"/>
        <w:rPr>
          <w:rFonts w:asciiTheme="minorHAnsi" w:eastAsiaTheme="minorEastAsia" w:hAnsiTheme="minorHAnsi" w:cstheme="minorBidi"/>
          <w:szCs w:val="22"/>
        </w:rPr>
      </w:pPr>
      <w:r>
        <w:t>19.</w:t>
      </w:r>
      <w:r>
        <w:tab/>
        <w:t>Powers of police officers for purposes of this Part</w:t>
      </w:r>
      <w:r>
        <w:tab/>
      </w:r>
      <w:r>
        <w:fldChar w:fldCharType="begin"/>
      </w:r>
      <w:r>
        <w:instrText xml:space="preserve"> PAGEREF _Toc138751080 \h </w:instrText>
      </w:r>
      <w:r>
        <w:fldChar w:fldCharType="separate"/>
      </w:r>
      <w:r>
        <w:t>42</w:t>
      </w:r>
      <w:r>
        <w:fldChar w:fldCharType="end"/>
      </w:r>
    </w:p>
    <w:p>
      <w:pPr>
        <w:pStyle w:val="TOC8"/>
        <w:rPr>
          <w:rFonts w:asciiTheme="minorHAnsi" w:eastAsiaTheme="minorEastAsia" w:hAnsiTheme="minorHAnsi" w:cstheme="minorBidi"/>
          <w:szCs w:val="22"/>
        </w:rPr>
      </w:pPr>
      <w:r>
        <w:t>20.</w:t>
      </w:r>
      <w:r>
        <w:tab/>
        <w:t>Regulations as to category 1 items and category 2 items</w:t>
      </w:r>
      <w:r>
        <w:tab/>
      </w:r>
      <w:r>
        <w:fldChar w:fldCharType="begin"/>
      </w:r>
      <w:r>
        <w:instrText xml:space="preserve"> PAGEREF _Toc138751081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4A — Targeted searches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20A.</w:t>
      </w:r>
      <w:r>
        <w:tab/>
        <w:t>Terms used</w:t>
      </w:r>
      <w:r>
        <w:tab/>
      </w:r>
      <w:r>
        <w:fldChar w:fldCharType="begin"/>
      </w:r>
      <w:r>
        <w:instrText xml:space="preserve"> PAGEREF _Toc138751084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Authorisations</w:t>
      </w:r>
    </w:p>
    <w:p>
      <w:pPr>
        <w:pStyle w:val="TOC8"/>
        <w:rPr>
          <w:rFonts w:asciiTheme="minorHAnsi" w:eastAsiaTheme="minorEastAsia" w:hAnsiTheme="minorHAnsi" w:cstheme="minorBidi"/>
          <w:szCs w:val="22"/>
        </w:rPr>
      </w:pPr>
      <w:r>
        <w:t>20B.</w:t>
      </w:r>
      <w:r>
        <w:tab/>
        <w:t>Authorisation to exercise powers to search a vehicle or a person</w:t>
      </w:r>
      <w:r>
        <w:tab/>
      </w:r>
      <w:r>
        <w:fldChar w:fldCharType="begin"/>
      </w:r>
      <w:r>
        <w:instrText xml:space="preserve"> PAGEREF _Toc138751086 \h </w:instrText>
      </w:r>
      <w:r>
        <w:fldChar w:fldCharType="separate"/>
      </w:r>
      <w:r>
        <w:t>46</w:t>
      </w:r>
      <w:r>
        <w:fldChar w:fldCharType="end"/>
      </w:r>
    </w:p>
    <w:p>
      <w:pPr>
        <w:pStyle w:val="TOC8"/>
        <w:rPr>
          <w:rFonts w:asciiTheme="minorHAnsi" w:eastAsiaTheme="minorEastAsia" w:hAnsiTheme="minorHAnsi" w:cstheme="minorBidi"/>
          <w:szCs w:val="22"/>
        </w:rPr>
      </w:pPr>
      <w:r>
        <w:t>20C.</w:t>
      </w:r>
      <w:r>
        <w:tab/>
        <w:t>Authorisation to exercise powers to search premises</w:t>
      </w:r>
      <w:r>
        <w:tab/>
      </w:r>
      <w:r>
        <w:fldChar w:fldCharType="begin"/>
      </w:r>
      <w:r>
        <w:instrText xml:space="preserve"> PAGEREF _Toc138751087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Ancillary provisions in relation to exercising powers</w:t>
      </w:r>
    </w:p>
    <w:p>
      <w:pPr>
        <w:pStyle w:val="TOC8"/>
        <w:rPr>
          <w:rFonts w:asciiTheme="minorHAnsi" w:eastAsiaTheme="minorEastAsia" w:hAnsiTheme="minorHAnsi" w:cstheme="minorBidi"/>
          <w:szCs w:val="22"/>
        </w:rPr>
      </w:pPr>
      <w:r>
        <w:t>20D.</w:t>
      </w:r>
      <w:r>
        <w:tab/>
        <w:t>Other written laws</w:t>
      </w:r>
      <w:r>
        <w:tab/>
      </w:r>
      <w:r>
        <w:fldChar w:fldCharType="begin"/>
      </w:r>
      <w:r>
        <w:instrText xml:space="preserve"> PAGEREF _Toc138751089 \h </w:instrText>
      </w:r>
      <w:r>
        <w:fldChar w:fldCharType="separate"/>
      </w:r>
      <w:r>
        <w:t>48</w:t>
      </w:r>
      <w:r>
        <w:fldChar w:fldCharType="end"/>
      </w:r>
    </w:p>
    <w:p>
      <w:pPr>
        <w:pStyle w:val="TOC8"/>
        <w:rPr>
          <w:rFonts w:asciiTheme="minorHAnsi" w:eastAsiaTheme="minorEastAsia" w:hAnsiTheme="minorHAnsi" w:cstheme="minorBidi"/>
          <w:szCs w:val="22"/>
        </w:rPr>
      </w:pPr>
      <w:r>
        <w:t>20E.</w:t>
      </w:r>
      <w:r>
        <w:tab/>
        <w:t>Assistance when exercising powers under this Part</w:t>
      </w:r>
      <w:r>
        <w:tab/>
      </w:r>
      <w:r>
        <w:fldChar w:fldCharType="begin"/>
      </w:r>
      <w:r>
        <w:instrText xml:space="preserve"> PAGEREF _Toc138751090 \h </w:instrText>
      </w:r>
      <w:r>
        <w:fldChar w:fldCharType="separate"/>
      </w:r>
      <w:r>
        <w:t>48</w:t>
      </w:r>
      <w:r>
        <w:fldChar w:fldCharType="end"/>
      </w:r>
    </w:p>
    <w:p>
      <w:pPr>
        <w:pStyle w:val="TOC8"/>
        <w:rPr>
          <w:rFonts w:asciiTheme="minorHAnsi" w:eastAsiaTheme="minorEastAsia" w:hAnsiTheme="minorHAnsi" w:cstheme="minorBidi"/>
          <w:szCs w:val="22"/>
        </w:rPr>
      </w:pPr>
      <w:r>
        <w:t>20F.</w:t>
      </w:r>
      <w:r>
        <w:tab/>
        <w:t>Use of force</w:t>
      </w:r>
      <w:r>
        <w:tab/>
      </w:r>
      <w:r>
        <w:fldChar w:fldCharType="begin"/>
      </w:r>
      <w:r>
        <w:instrText xml:space="preserve"> PAGEREF _Toc138751091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 — Vehicle searches</w:t>
      </w:r>
    </w:p>
    <w:p>
      <w:pPr>
        <w:pStyle w:val="TOC8"/>
        <w:rPr>
          <w:rFonts w:asciiTheme="minorHAnsi" w:eastAsiaTheme="minorEastAsia" w:hAnsiTheme="minorHAnsi" w:cstheme="minorBidi"/>
          <w:szCs w:val="22"/>
        </w:rPr>
      </w:pPr>
      <w:r>
        <w:t>20G.</w:t>
      </w:r>
      <w:r>
        <w:tab/>
        <w:t>Powers of police officers in relation to searching vehicle in drug detection area</w:t>
      </w:r>
      <w:r>
        <w:tab/>
      </w:r>
      <w:r>
        <w:fldChar w:fldCharType="begin"/>
      </w:r>
      <w:r>
        <w:instrText xml:space="preserve"> PAGEREF _Toc138751093 \h </w:instrText>
      </w:r>
      <w:r>
        <w:fldChar w:fldCharType="separate"/>
      </w:r>
      <w:r>
        <w:t>49</w:t>
      </w:r>
      <w:r>
        <w:fldChar w:fldCharType="end"/>
      </w:r>
    </w:p>
    <w:p>
      <w:pPr>
        <w:pStyle w:val="TOC8"/>
        <w:rPr>
          <w:rFonts w:asciiTheme="minorHAnsi" w:eastAsiaTheme="minorEastAsia" w:hAnsiTheme="minorHAnsi" w:cstheme="minorBidi"/>
          <w:szCs w:val="22"/>
        </w:rPr>
      </w:pPr>
      <w:r>
        <w:t>20H.</w:t>
      </w:r>
      <w:r>
        <w:tab/>
        <w:t>Powers of police officers in relation to searching persons in a drug detection area</w:t>
      </w:r>
      <w:r>
        <w:tab/>
      </w:r>
      <w:r>
        <w:fldChar w:fldCharType="begin"/>
      </w:r>
      <w:r>
        <w:instrText xml:space="preserve"> PAGEREF _Toc138751094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Searches of delivery business premises</w:t>
      </w:r>
    </w:p>
    <w:p>
      <w:pPr>
        <w:pStyle w:val="TOC8"/>
        <w:rPr>
          <w:rFonts w:asciiTheme="minorHAnsi" w:eastAsiaTheme="minorEastAsia" w:hAnsiTheme="minorHAnsi" w:cstheme="minorBidi"/>
          <w:szCs w:val="22"/>
        </w:rPr>
      </w:pPr>
      <w:r>
        <w:t>20I.</w:t>
      </w:r>
      <w:r>
        <w:tab/>
        <w:t>Powers of police officers in relation to premises</w:t>
      </w:r>
      <w:r>
        <w:tab/>
      </w:r>
      <w:r>
        <w:fldChar w:fldCharType="begin"/>
      </w:r>
      <w:r>
        <w:instrText xml:space="preserve"> PAGEREF _Toc138751096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6 — Offences</w:t>
      </w:r>
    </w:p>
    <w:p>
      <w:pPr>
        <w:pStyle w:val="TOC8"/>
        <w:rPr>
          <w:rFonts w:asciiTheme="minorHAnsi" w:eastAsiaTheme="minorEastAsia" w:hAnsiTheme="minorHAnsi" w:cstheme="minorBidi"/>
          <w:szCs w:val="22"/>
        </w:rPr>
      </w:pPr>
      <w:r>
        <w:t>20J.</w:t>
      </w:r>
      <w:r>
        <w:tab/>
        <w:t>Failure to comply with requirement of police officer</w:t>
      </w:r>
      <w:r>
        <w:tab/>
      </w:r>
      <w:r>
        <w:fldChar w:fldCharType="begin"/>
      </w:r>
      <w:r>
        <w:instrText xml:space="preserve"> PAGEREF _Toc138751098 \h </w:instrText>
      </w:r>
      <w:r>
        <w:fldChar w:fldCharType="separate"/>
      </w:r>
      <w:r>
        <w:t>53</w:t>
      </w:r>
      <w:r>
        <w:fldChar w:fldCharType="end"/>
      </w:r>
    </w:p>
    <w:p>
      <w:pPr>
        <w:pStyle w:val="TOC8"/>
        <w:rPr>
          <w:rFonts w:asciiTheme="minorHAnsi" w:eastAsiaTheme="minorEastAsia" w:hAnsiTheme="minorHAnsi" w:cstheme="minorBidi"/>
          <w:szCs w:val="22"/>
        </w:rPr>
      </w:pPr>
      <w:r>
        <w:t>20K.</w:t>
      </w:r>
      <w:r>
        <w:tab/>
        <w:t>Application of section 29 to exercise of powers conferred by or under this Part</w:t>
      </w:r>
      <w:r>
        <w:tab/>
      </w:r>
      <w:r>
        <w:fldChar w:fldCharType="begin"/>
      </w:r>
      <w:r>
        <w:instrText xml:space="preserve"> PAGEREF _Toc138751099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7 — Prescribed procedures</w:t>
      </w:r>
    </w:p>
    <w:p>
      <w:pPr>
        <w:pStyle w:val="TOC8"/>
        <w:rPr>
          <w:rFonts w:asciiTheme="minorHAnsi" w:eastAsiaTheme="minorEastAsia" w:hAnsiTheme="minorHAnsi" w:cstheme="minorBidi"/>
          <w:szCs w:val="22"/>
        </w:rPr>
      </w:pPr>
      <w:r>
        <w:t>20L.</w:t>
      </w:r>
      <w:r>
        <w:tab/>
        <w:t>Regulations as to the exercise of powers under this Part</w:t>
      </w:r>
      <w:r>
        <w:tab/>
      </w:r>
      <w:r>
        <w:fldChar w:fldCharType="begin"/>
      </w:r>
      <w:r>
        <w:instrText xml:space="preserve"> PAGEREF _Toc138751101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4B — Border Search Areas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20M.</w:t>
      </w:r>
      <w:r>
        <w:tab/>
        <w:t>Terms used</w:t>
      </w:r>
      <w:r>
        <w:tab/>
      </w:r>
      <w:r>
        <w:fldChar w:fldCharType="begin"/>
      </w:r>
      <w:r>
        <w:instrText xml:space="preserve"> PAGEREF _Toc138751104 \h </w:instrText>
      </w:r>
      <w:r>
        <w:fldChar w:fldCharType="separate"/>
      </w:r>
      <w:r>
        <w:t>55</w:t>
      </w:r>
      <w:r>
        <w:fldChar w:fldCharType="end"/>
      </w:r>
    </w:p>
    <w:p>
      <w:pPr>
        <w:pStyle w:val="TOC8"/>
        <w:rPr>
          <w:rFonts w:asciiTheme="minorHAnsi" w:eastAsiaTheme="minorEastAsia" w:hAnsiTheme="minorHAnsi" w:cstheme="minorBidi"/>
          <w:szCs w:val="22"/>
        </w:rPr>
      </w:pPr>
      <w:r>
        <w:t>20N.</w:t>
      </w:r>
      <w:r>
        <w:tab/>
        <w:t>Border Search Area (BSA)</w:t>
      </w:r>
      <w:r>
        <w:tab/>
      </w:r>
      <w:r>
        <w:fldChar w:fldCharType="begin"/>
      </w:r>
      <w:r>
        <w:instrText xml:space="preserve"> PAGEREF _Toc138751105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Ancillary provisions in relation to exercising powers in Division 3</w:t>
      </w:r>
    </w:p>
    <w:p>
      <w:pPr>
        <w:pStyle w:val="TOC8"/>
        <w:rPr>
          <w:rFonts w:asciiTheme="minorHAnsi" w:eastAsiaTheme="minorEastAsia" w:hAnsiTheme="minorHAnsi" w:cstheme="minorBidi"/>
          <w:szCs w:val="22"/>
        </w:rPr>
      </w:pPr>
      <w:r>
        <w:t>20O.</w:t>
      </w:r>
      <w:r>
        <w:tab/>
        <w:t>Other written laws</w:t>
      </w:r>
      <w:r>
        <w:tab/>
      </w:r>
      <w:r>
        <w:fldChar w:fldCharType="begin"/>
      </w:r>
      <w:r>
        <w:instrText xml:space="preserve"> PAGEREF _Toc138751107 \h </w:instrText>
      </w:r>
      <w:r>
        <w:fldChar w:fldCharType="separate"/>
      </w:r>
      <w:r>
        <w:t>58</w:t>
      </w:r>
      <w:r>
        <w:fldChar w:fldCharType="end"/>
      </w:r>
    </w:p>
    <w:p>
      <w:pPr>
        <w:pStyle w:val="TOC8"/>
        <w:rPr>
          <w:rFonts w:asciiTheme="minorHAnsi" w:eastAsiaTheme="minorEastAsia" w:hAnsiTheme="minorHAnsi" w:cstheme="minorBidi"/>
          <w:szCs w:val="22"/>
        </w:rPr>
      </w:pPr>
      <w:r>
        <w:t>20P.</w:t>
      </w:r>
      <w:r>
        <w:tab/>
        <w:t>Assistance when exercising powers under Division 3</w:t>
      </w:r>
      <w:r>
        <w:tab/>
      </w:r>
      <w:r>
        <w:fldChar w:fldCharType="begin"/>
      </w:r>
      <w:r>
        <w:instrText xml:space="preserve"> PAGEREF _Toc138751108 \h </w:instrText>
      </w:r>
      <w:r>
        <w:fldChar w:fldCharType="separate"/>
      </w:r>
      <w:r>
        <w:t>58</w:t>
      </w:r>
      <w:r>
        <w:fldChar w:fldCharType="end"/>
      </w:r>
    </w:p>
    <w:p>
      <w:pPr>
        <w:pStyle w:val="TOC8"/>
        <w:rPr>
          <w:rFonts w:asciiTheme="minorHAnsi" w:eastAsiaTheme="minorEastAsia" w:hAnsiTheme="minorHAnsi" w:cstheme="minorBidi"/>
          <w:szCs w:val="22"/>
        </w:rPr>
      </w:pPr>
      <w:r>
        <w:t>20Q.</w:t>
      </w:r>
      <w:r>
        <w:tab/>
        <w:t>Use of force</w:t>
      </w:r>
      <w:r>
        <w:tab/>
      </w:r>
      <w:r>
        <w:fldChar w:fldCharType="begin"/>
      </w:r>
      <w:r>
        <w:instrText xml:space="preserve"> PAGEREF _Toc138751109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Powers of authorised officers in public place in BSA</w:t>
      </w:r>
    </w:p>
    <w:p>
      <w:pPr>
        <w:pStyle w:val="TOC8"/>
        <w:rPr>
          <w:rFonts w:asciiTheme="minorHAnsi" w:eastAsiaTheme="minorEastAsia" w:hAnsiTheme="minorHAnsi" w:cstheme="minorBidi"/>
          <w:szCs w:val="22"/>
        </w:rPr>
      </w:pPr>
      <w:r>
        <w:t>20R.</w:t>
      </w:r>
      <w:r>
        <w:tab/>
        <w:t>Authorised officers and BSA authorisations</w:t>
      </w:r>
      <w:r>
        <w:tab/>
      </w:r>
      <w:r>
        <w:fldChar w:fldCharType="begin"/>
      </w:r>
      <w:r>
        <w:instrText xml:space="preserve"> PAGEREF _Toc138751111 \h </w:instrText>
      </w:r>
      <w:r>
        <w:fldChar w:fldCharType="separate"/>
      </w:r>
      <w:r>
        <w:t>59</w:t>
      </w:r>
      <w:r>
        <w:fldChar w:fldCharType="end"/>
      </w:r>
    </w:p>
    <w:p>
      <w:pPr>
        <w:pStyle w:val="TOC8"/>
        <w:rPr>
          <w:rFonts w:asciiTheme="minorHAnsi" w:eastAsiaTheme="minorEastAsia" w:hAnsiTheme="minorHAnsi" w:cstheme="minorBidi"/>
          <w:szCs w:val="22"/>
        </w:rPr>
      </w:pPr>
      <w:r>
        <w:t>20S.</w:t>
      </w:r>
      <w:r>
        <w:tab/>
        <w:t>Exercise of powers under Division</w:t>
      </w:r>
      <w:r>
        <w:tab/>
      </w:r>
      <w:r>
        <w:fldChar w:fldCharType="begin"/>
      </w:r>
      <w:r>
        <w:instrText xml:space="preserve"> PAGEREF _Toc138751112 \h </w:instrText>
      </w:r>
      <w:r>
        <w:fldChar w:fldCharType="separate"/>
      </w:r>
      <w:r>
        <w:t>60</w:t>
      </w:r>
      <w:r>
        <w:fldChar w:fldCharType="end"/>
      </w:r>
    </w:p>
    <w:p>
      <w:pPr>
        <w:pStyle w:val="TOC8"/>
        <w:rPr>
          <w:rFonts w:asciiTheme="minorHAnsi" w:eastAsiaTheme="minorEastAsia" w:hAnsiTheme="minorHAnsi" w:cstheme="minorBidi"/>
          <w:szCs w:val="22"/>
        </w:rPr>
      </w:pPr>
      <w:r>
        <w:t>20T.</w:t>
      </w:r>
      <w:r>
        <w:tab/>
        <w:t>Powers of authorised officers in relation to persons</w:t>
      </w:r>
      <w:r>
        <w:tab/>
      </w:r>
      <w:r>
        <w:fldChar w:fldCharType="begin"/>
      </w:r>
      <w:r>
        <w:instrText xml:space="preserve"> PAGEREF _Toc138751113 \h </w:instrText>
      </w:r>
      <w:r>
        <w:fldChar w:fldCharType="separate"/>
      </w:r>
      <w:r>
        <w:t>60</w:t>
      </w:r>
      <w:r>
        <w:fldChar w:fldCharType="end"/>
      </w:r>
    </w:p>
    <w:p>
      <w:pPr>
        <w:pStyle w:val="TOC8"/>
        <w:rPr>
          <w:rFonts w:asciiTheme="minorHAnsi" w:eastAsiaTheme="minorEastAsia" w:hAnsiTheme="minorHAnsi" w:cstheme="minorBidi"/>
          <w:szCs w:val="22"/>
        </w:rPr>
      </w:pPr>
      <w:r>
        <w:t>20U.</w:t>
      </w:r>
      <w:r>
        <w:tab/>
        <w:t>Powers of authorised officers in relation to vehicles</w:t>
      </w:r>
      <w:r>
        <w:tab/>
      </w:r>
      <w:r>
        <w:fldChar w:fldCharType="begin"/>
      </w:r>
      <w:r>
        <w:instrText xml:space="preserve"> PAGEREF _Toc138751114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4 — Offences</w:t>
      </w:r>
    </w:p>
    <w:p>
      <w:pPr>
        <w:pStyle w:val="TOC8"/>
        <w:rPr>
          <w:rFonts w:asciiTheme="minorHAnsi" w:eastAsiaTheme="minorEastAsia" w:hAnsiTheme="minorHAnsi" w:cstheme="minorBidi"/>
          <w:szCs w:val="22"/>
        </w:rPr>
      </w:pPr>
      <w:r>
        <w:t>20V.</w:t>
      </w:r>
      <w:r>
        <w:tab/>
        <w:t>Application of section 29 to exercise of powers conferred by or under this Part</w:t>
      </w:r>
      <w:r>
        <w:tab/>
      </w:r>
      <w:r>
        <w:fldChar w:fldCharType="begin"/>
      </w:r>
      <w:r>
        <w:instrText xml:space="preserve"> PAGEREF _Toc138751116 \h </w:instrText>
      </w:r>
      <w:r>
        <w:fldChar w:fldCharType="separate"/>
      </w:r>
      <w:r>
        <w:t>63</w:t>
      </w:r>
      <w:r>
        <w:fldChar w:fldCharType="end"/>
      </w:r>
    </w:p>
    <w:p>
      <w:pPr>
        <w:pStyle w:val="TOC8"/>
        <w:rPr>
          <w:rFonts w:asciiTheme="minorHAnsi" w:eastAsiaTheme="minorEastAsia" w:hAnsiTheme="minorHAnsi" w:cstheme="minorBidi"/>
          <w:szCs w:val="22"/>
        </w:rPr>
      </w:pPr>
      <w:r>
        <w:t>20W.</w:t>
      </w:r>
      <w:r>
        <w:tab/>
        <w:t>Failure to comply with requirement of authorised officer</w:t>
      </w:r>
      <w:r>
        <w:tab/>
      </w:r>
      <w:r>
        <w:fldChar w:fldCharType="begin"/>
      </w:r>
      <w:r>
        <w:instrText xml:space="preserve"> PAGEREF _Toc138751117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5 — Reporting, oversight and review</w:t>
      </w:r>
    </w:p>
    <w:p>
      <w:pPr>
        <w:pStyle w:val="TOC8"/>
        <w:rPr>
          <w:rFonts w:asciiTheme="minorHAnsi" w:eastAsiaTheme="minorEastAsia" w:hAnsiTheme="minorHAnsi" w:cstheme="minorBidi"/>
          <w:szCs w:val="22"/>
        </w:rPr>
      </w:pPr>
      <w:r>
        <w:t>20X.</w:t>
      </w:r>
      <w:r>
        <w:tab/>
        <w:t>Commissioner’s reports</w:t>
      </w:r>
      <w:r>
        <w:tab/>
      </w:r>
      <w:r>
        <w:fldChar w:fldCharType="begin"/>
      </w:r>
      <w:r>
        <w:instrText xml:space="preserve"> PAGEREF _Toc138751119 \h </w:instrText>
      </w:r>
      <w:r>
        <w:fldChar w:fldCharType="separate"/>
      </w:r>
      <w:r>
        <w:t>63</w:t>
      </w:r>
      <w:r>
        <w:fldChar w:fldCharType="end"/>
      </w:r>
    </w:p>
    <w:p>
      <w:pPr>
        <w:pStyle w:val="TOC8"/>
        <w:rPr>
          <w:rFonts w:asciiTheme="minorHAnsi" w:eastAsiaTheme="minorEastAsia" w:hAnsiTheme="minorHAnsi" w:cstheme="minorBidi"/>
          <w:szCs w:val="22"/>
        </w:rPr>
      </w:pPr>
      <w:r>
        <w:t>20Y.</w:t>
      </w:r>
      <w:r>
        <w:tab/>
        <w:t>Annual report by Corruption and Crime Commission</w:t>
      </w:r>
      <w:r>
        <w:tab/>
      </w:r>
      <w:r>
        <w:fldChar w:fldCharType="begin"/>
      </w:r>
      <w:r>
        <w:instrText xml:space="preserve"> PAGEREF _Toc138751120 \h </w:instrText>
      </w:r>
      <w:r>
        <w:fldChar w:fldCharType="separate"/>
      </w:r>
      <w:r>
        <w:t>64</w:t>
      </w:r>
      <w:r>
        <w:fldChar w:fldCharType="end"/>
      </w:r>
    </w:p>
    <w:p>
      <w:pPr>
        <w:pStyle w:val="TOC8"/>
        <w:rPr>
          <w:rFonts w:asciiTheme="minorHAnsi" w:eastAsiaTheme="minorEastAsia" w:hAnsiTheme="minorHAnsi" w:cstheme="minorBidi"/>
          <w:szCs w:val="22"/>
        </w:rPr>
      </w:pPr>
      <w:r>
        <w:lastRenderedPageBreak/>
        <w:t>20Z.</w:t>
      </w:r>
      <w:r>
        <w:tab/>
        <w:t>Inspection of records by Corruption and Crime Commission</w:t>
      </w:r>
      <w:r>
        <w:tab/>
      </w:r>
      <w:r>
        <w:fldChar w:fldCharType="begin"/>
      </w:r>
      <w:r>
        <w:instrText xml:space="preserve"> PAGEREF _Toc138751121 \h </w:instrText>
      </w:r>
      <w:r>
        <w:fldChar w:fldCharType="separate"/>
      </w:r>
      <w:r>
        <w:t>65</w:t>
      </w:r>
      <w:r>
        <w:fldChar w:fldCharType="end"/>
      </w:r>
    </w:p>
    <w:p>
      <w:pPr>
        <w:pStyle w:val="TOC8"/>
        <w:rPr>
          <w:rFonts w:asciiTheme="minorHAnsi" w:eastAsiaTheme="minorEastAsia" w:hAnsiTheme="minorHAnsi" w:cstheme="minorBidi"/>
          <w:szCs w:val="22"/>
        </w:rPr>
      </w:pPr>
      <w:r>
        <w:t>20ZA.</w:t>
      </w:r>
      <w:r>
        <w:tab/>
        <w:t>Review of Part</w:t>
      </w:r>
      <w:r>
        <w:tab/>
      </w:r>
      <w:r>
        <w:fldChar w:fldCharType="begin"/>
      </w:r>
      <w:r>
        <w:instrText xml:space="preserve"> PAGEREF _Toc138751122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V — Location, seizure, detention and disposal of things used in commission of offences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_Toc138751124 \h </w:instrText>
      </w:r>
      <w:r>
        <w:fldChar w:fldCharType="separate"/>
      </w:r>
      <w:r>
        <w:t>67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_Toc138751125 \h </w:instrText>
      </w:r>
      <w:r>
        <w:fldChar w:fldCharType="separate"/>
      </w:r>
      <w:r>
        <w:t>67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Powers of police officers when things suspected of being used in commission of offences</w:t>
      </w:r>
      <w:r>
        <w:tab/>
      </w:r>
      <w:r>
        <w:fldChar w:fldCharType="begin"/>
      </w:r>
      <w:r>
        <w:instrText xml:space="preserve"> PAGEREF _Toc138751126 \h </w:instrText>
      </w:r>
      <w:r>
        <w:fldChar w:fldCharType="separate"/>
      </w:r>
      <w:r>
        <w:t>68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Granting of search warrants in connection with prevention or detection of offences</w:t>
      </w:r>
      <w:r>
        <w:tab/>
      </w:r>
      <w:r>
        <w:fldChar w:fldCharType="begin"/>
      </w:r>
      <w:r>
        <w:instrText xml:space="preserve"> PAGEREF _Toc138751127 \h </w:instrText>
      </w:r>
      <w:r>
        <w:fldChar w:fldCharType="separate"/>
      </w:r>
      <w:r>
        <w:t>69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Powers ancillary to power of search</w:t>
      </w:r>
      <w:r>
        <w:tab/>
      </w:r>
      <w:r>
        <w:fldChar w:fldCharType="begin"/>
      </w:r>
      <w:r>
        <w:instrText xml:space="preserve"> PAGEREF _Toc138751128 \h </w:instrText>
      </w:r>
      <w:r>
        <w:fldChar w:fldCharType="separate"/>
      </w:r>
      <w:r>
        <w:t>70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Powers of police officers and others when things suspected of being used in commission of offences found, received or acquired</w:t>
      </w:r>
      <w:r>
        <w:tab/>
      </w:r>
      <w:r>
        <w:fldChar w:fldCharType="begin"/>
      </w:r>
      <w:r>
        <w:instrText xml:space="preserve"> PAGEREF _Toc138751129 \h </w:instrText>
      </w:r>
      <w:r>
        <w:fldChar w:fldCharType="separate"/>
      </w:r>
      <w:r>
        <w:t>71</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Powers of approved analyst or approved botanist</w:t>
      </w:r>
      <w:r>
        <w:tab/>
      </w:r>
      <w:r>
        <w:fldChar w:fldCharType="begin"/>
      </w:r>
      <w:r>
        <w:instrText xml:space="preserve"> PAGEREF _Toc138751130 \h </w:instrText>
      </w:r>
      <w:r>
        <w:fldChar w:fldCharType="separate"/>
      </w:r>
      <w:r>
        <w:t>72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Disposal of prohibited drugs and prohibited plants</w:t>
      </w:r>
      <w:r>
        <w:tab/>
      </w:r>
      <w:r>
        <w:fldChar w:fldCharType="begin"/>
      </w:r>
      <w:r>
        <w:instrText xml:space="preserve"> PAGEREF _Toc138751131 \h </w:instrText>
      </w:r>
      <w:r>
        <w:fldChar w:fldCharType="separate"/>
      </w:r>
      <w:r>
        <w:t>72</w:t>
      </w:r>
      <w:r>
        <w:fldChar w:fldCharType="end"/>
      </w:r>
    </w:p>
    <w:p>
      <w:pPr>
        <w:pStyle w:val="TOC8"/>
        <w:rPr>
          <w:rFonts w:asciiTheme="minorHAnsi" w:eastAsiaTheme="minorEastAsia" w:hAnsiTheme="minorHAnsi" w:cstheme="minorBidi"/>
          <w:szCs w:val="22"/>
        </w:rPr>
      </w:pPr>
      <w:r>
        <w:t>27A</w:t>
      </w:r>
      <w:r>
        <w:rPr>
          <w:snapToGrid w:val="0"/>
        </w:rPr>
        <w:t xml:space="preserve">. </w:t>
      </w:r>
      <w:r>
        <w:rPr>
          <w:snapToGrid w:val="0"/>
        </w:rPr>
        <w:tab/>
        <w:t>Analysis at request of accused</w:t>
      </w:r>
      <w:r>
        <w:tab/>
      </w:r>
      <w:r>
        <w:fldChar w:fldCharType="begin"/>
      </w:r>
      <w:r>
        <w:instrText xml:space="preserve"> PAGEREF _Toc138751132 \h </w:instrText>
      </w:r>
      <w:r>
        <w:fldChar w:fldCharType="separate"/>
      </w:r>
      <w:r>
        <w:t>75</w:t>
      </w:r>
      <w:r>
        <w:fldChar w:fldCharType="end"/>
      </w:r>
    </w:p>
    <w:p>
      <w:pPr>
        <w:pStyle w:val="TOC8"/>
        <w:rPr>
          <w:rFonts w:asciiTheme="minorHAnsi" w:eastAsiaTheme="minorEastAsia" w:hAnsiTheme="minorHAnsi" w:cstheme="minorBidi"/>
          <w:szCs w:val="22"/>
        </w:rPr>
      </w:pPr>
      <w:r>
        <w:t>27B</w:t>
      </w:r>
      <w:r>
        <w:rPr>
          <w:snapToGrid w:val="0"/>
        </w:rPr>
        <w:t xml:space="preserve">. </w:t>
      </w:r>
      <w:r>
        <w:rPr>
          <w:snapToGrid w:val="0"/>
        </w:rPr>
        <w:tab/>
        <w:t>Confidentiality</w:t>
      </w:r>
      <w:r>
        <w:tab/>
      </w:r>
      <w:r>
        <w:fldChar w:fldCharType="begin"/>
      </w:r>
      <w:r>
        <w:instrText xml:space="preserve"> PAGEREF _Toc138751133 \h </w:instrText>
      </w:r>
      <w:r>
        <w:fldChar w:fldCharType="separate"/>
      </w:r>
      <w:r>
        <w:t>75</w:t>
      </w:r>
      <w:r>
        <w:fldChar w:fldCharType="end"/>
      </w:r>
    </w:p>
    <w:p>
      <w:pPr>
        <w:pStyle w:val="TOC8"/>
        <w:rPr>
          <w:rFonts w:asciiTheme="minorHAnsi" w:eastAsiaTheme="minorEastAsia" w:hAnsiTheme="minorHAnsi" w:cstheme="minorBidi"/>
          <w:szCs w:val="22"/>
        </w:rPr>
      </w:pPr>
      <w:r>
        <w:t>28.</w:t>
      </w:r>
      <w:r>
        <w:tab/>
        <w:t>Compensation for destroyed seized property</w:t>
      </w:r>
      <w:r>
        <w:tab/>
      </w:r>
      <w:r>
        <w:fldChar w:fldCharType="begin"/>
      </w:r>
      <w:r>
        <w:instrText xml:space="preserve"> PAGEREF _Toc138751134 \h </w:instrText>
      </w:r>
      <w:r>
        <w:fldChar w:fldCharType="separate"/>
      </w:r>
      <w:r>
        <w:t>76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Hindering police officers and approved persons in exercise of powers conferred by or under this Part</w:t>
      </w:r>
      <w:r>
        <w:tab/>
      </w:r>
      <w:r>
        <w:fldChar w:fldCharType="begin"/>
      </w:r>
      <w:r>
        <w:instrText xml:space="preserve"> PAGEREF _Toc138751135 \h </w:instrText>
      </w:r>
      <w:r>
        <w:fldChar w:fldCharType="separate"/>
      </w:r>
      <w:r>
        <w:t>77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Approved persons</w:t>
      </w:r>
      <w:r>
        <w:tab/>
      </w:r>
      <w:r>
        <w:fldChar w:fldCharType="begin"/>
      </w:r>
      <w:r>
        <w:instrText xml:space="preserve"> PAGEREF _Toc138751136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31.</w:t>
      </w:r>
      <w:r>
        <w:tab/>
        <w:t>Undercover officers</w:t>
      </w:r>
      <w:r>
        <w:tab/>
      </w:r>
      <w:r>
        <w:fldChar w:fldCharType="begin"/>
      </w:r>
      <w:r>
        <w:instrText xml:space="preserve"> PAGEREF _Toc138751138 \h </w:instrText>
      </w:r>
      <w:r>
        <w:fldChar w:fldCharType="separate"/>
      </w:r>
      <w:r>
        <w:t>79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 limitation</w:t>
      </w:r>
      <w:r>
        <w:tab/>
      </w:r>
      <w:r>
        <w:fldChar w:fldCharType="begin"/>
      </w:r>
      <w:r>
        <w:instrText xml:space="preserve"> PAGEREF _Toc138751139 \h </w:instrText>
      </w:r>
      <w:r>
        <w:fldChar w:fldCharType="separate"/>
      </w:r>
      <w:r>
        <w:t>79</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Drug trafficking</w:t>
      </w:r>
      <w:r>
        <w:tab/>
      </w:r>
      <w:r>
        <w:fldChar w:fldCharType="begin"/>
      </w:r>
      <w:r>
        <w:instrText xml:space="preserve"> PAGEREF _Toc138751140 \h </w:instrText>
      </w:r>
      <w:r>
        <w:fldChar w:fldCharType="separate"/>
      </w:r>
      <w:r>
        <w:t>79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Attempts, conspiracies, incitements and accessories after the fact</w:t>
      </w:r>
      <w:r>
        <w:tab/>
      </w:r>
      <w:r>
        <w:fldChar w:fldCharType="begin"/>
      </w:r>
      <w:r>
        <w:instrText xml:space="preserve"> PAGEREF _Toc138751141 \h </w:instrText>
      </w:r>
      <w:r>
        <w:fldChar w:fldCharType="separate"/>
      </w:r>
      <w:r>
        <w:t>82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Penalties</w:t>
      </w:r>
      <w:r>
        <w:tab/>
      </w:r>
      <w:r>
        <w:fldChar w:fldCharType="begin"/>
      </w:r>
      <w:r>
        <w:instrText xml:space="preserve"> PAGEREF _Toc138751142 \h </w:instrText>
      </w:r>
      <w:r>
        <w:fldChar w:fldCharType="separate"/>
      </w:r>
      <w:r>
        <w:t>83</w:t>
      </w:r>
      <w:r>
        <w:fldChar w:fldCharType="end"/>
      </w:r>
    </w:p>
    <w:p>
      <w:pPr>
        <w:pStyle w:val="TOC8"/>
        <w:rPr>
          <w:rFonts w:asciiTheme="minorHAnsi" w:eastAsiaTheme="minorEastAsia" w:hAnsiTheme="minorHAnsi" w:cstheme="minorBidi"/>
          <w:szCs w:val="22"/>
        </w:rPr>
      </w:pPr>
      <w:r>
        <w:t>35.</w:t>
      </w:r>
      <w:r>
        <w:tab/>
        <w:t>Liability of officers for offence by body corporate</w:t>
      </w:r>
      <w:r>
        <w:tab/>
      </w:r>
      <w:r>
        <w:fldChar w:fldCharType="begin"/>
      </w:r>
      <w:r>
        <w:instrText xml:space="preserve"> PAGEREF _Toc138751143 \h </w:instrText>
      </w:r>
      <w:r>
        <w:fldChar w:fldCharType="separate"/>
      </w:r>
      <w:r>
        <w:t>87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Proof of exceptions</w:t>
      </w:r>
      <w:r>
        <w:tab/>
      </w:r>
      <w:r>
        <w:fldChar w:fldCharType="begin"/>
      </w:r>
      <w:r>
        <w:instrText xml:space="preserve"> PAGEREF _Toc138751144 \h </w:instrText>
      </w:r>
      <w:r>
        <w:fldChar w:fldCharType="separate"/>
      </w:r>
      <w:r>
        <w:t>87</w:t>
      </w:r>
      <w:r>
        <w:fldChar w:fldCharType="end"/>
      </w:r>
    </w:p>
    <w:p>
      <w:pPr>
        <w:pStyle w:val="TOC8"/>
        <w:rPr>
          <w:rFonts w:asciiTheme="minorHAnsi" w:eastAsiaTheme="minorEastAsia" w:hAnsiTheme="minorHAnsi" w:cstheme="minorBidi"/>
          <w:szCs w:val="22"/>
        </w:rPr>
      </w:pPr>
      <w:r>
        <w:lastRenderedPageBreak/>
        <w:t>38</w:t>
      </w:r>
      <w:r>
        <w:rPr>
          <w:snapToGrid w:val="0"/>
        </w:rPr>
        <w:t>.</w:t>
      </w:r>
      <w:r>
        <w:rPr>
          <w:snapToGrid w:val="0"/>
        </w:rPr>
        <w:tab/>
        <w:t>Certificate of approved analyst or approved botanist</w:t>
      </w:r>
      <w:r>
        <w:tab/>
      </w:r>
      <w:r>
        <w:fldChar w:fldCharType="begin"/>
      </w:r>
      <w:r>
        <w:instrText xml:space="preserve"> PAGEREF _Toc138751145 \h </w:instrText>
      </w:r>
      <w:r>
        <w:fldChar w:fldCharType="separate"/>
      </w:r>
      <w:r>
        <w:t>88</w:t>
      </w:r>
      <w:r>
        <w:fldChar w:fldCharType="end"/>
      </w:r>
    </w:p>
    <w:p>
      <w:pPr>
        <w:pStyle w:val="TOC8"/>
        <w:rPr>
          <w:rFonts w:asciiTheme="minorHAnsi" w:eastAsiaTheme="minorEastAsia" w:hAnsiTheme="minorHAnsi" w:cstheme="minorBidi"/>
          <w:szCs w:val="22"/>
        </w:rPr>
      </w:pPr>
      <w:r>
        <w:t>38A</w:t>
      </w:r>
      <w:r>
        <w:rPr>
          <w:snapToGrid w:val="0"/>
        </w:rPr>
        <w:t xml:space="preserve">. </w:t>
      </w:r>
      <w:r>
        <w:rPr>
          <w:snapToGrid w:val="0"/>
        </w:rPr>
        <w:tab/>
        <w:t>Accused may obtain copy of certificate</w:t>
      </w:r>
      <w:r>
        <w:tab/>
      </w:r>
      <w:r>
        <w:fldChar w:fldCharType="begin"/>
      </w:r>
      <w:r>
        <w:instrText xml:space="preserve"> PAGEREF _Toc138751146 \h </w:instrText>
      </w:r>
      <w:r>
        <w:fldChar w:fldCharType="separate"/>
      </w:r>
      <w:r>
        <w:t>88</w:t>
      </w:r>
      <w:r>
        <w:fldChar w:fldCharType="end"/>
      </w:r>
    </w:p>
    <w:p>
      <w:pPr>
        <w:pStyle w:val="TOC8"/>
        <w:rPr>
          <w:rFonts w:asciiTheme="minorHAnsi" w:eastAsiaTheme="minorEastAsia" w:hAnsiTheme="minorHAnsi" w:cstheme="minorBidi"/>
          <w:szCs w:val="22"/>
        </w:rPr>
      </w:pPr>
      <w:r>
        <w:t>38B</w:t>
      </w:r>
      <w:r>
        <w:rPr>
          <w:snapToGrid w:val="0"/>
        </w:rPr>
        <w:t xml:space="preserve">. </w:t>
      </w:r>
      <w:r>
        <w:rPr>
          <w:snapToGrid w:val="0"/>
        </w:rPr>
        <w:tab/>
        <w:t>Accused may object to use of certificate</w:t>
      </w:r>
      <w:r>
        <w:tab/>
      </w:r>
      <w:r>
        <w:fldChar w:fldCharType="begin"/>
      </w:r>
      <w:r>
        <w:instrText xml:space="preserve"> PAGEREF _Toc138751147 \h </w:instrText>
      </w:r>
      <w:r>
        <w:fldChar w:fldCharType="separate"/>
      </w:r>
      <w:r>
        <w:t>89</w:t>
      </w:r>
      <w:r>
        <w:fldChar w:fldCharType="end"/>
      </w:r>
    </w:p>
    <w:p>
      <w:pPr>
        <w:pStyle w:val="TOC8"/>
        <w:rPr>
          <w:rFonts w:asciiTheme="minorHAnsi" w:eastAsiaTheme="minorEastAsia" w:hAnsiTheme="minorHAnsi" w:cstheme="minorBidi"/>
          <w:szCs w:val="22"/>
        </w:rPr>
      </w:pPr>
      <w:r>
        <w:t>38C</w:t>
      </w:r>
      <w:r>
        <w:rPr>
          <w:snapToGrid w:val="0"/>
        </w:rPr>
        <w:t xml:space="preserve">. </w:t>
      </w:r>
      <w:r>
        <w:rPr>
          <w:snapToGrid w:val="0"/>
        </w:rPr>
        <w:tab/>
        <w:t>Order for costs of approved analyst or approved botanist</w:t>
      </w:r>
      <w:r>
        <w:tab/>
      </w:r>
      <w:r>
        <w:fldChar w:fldCharType="begin"/>
      </w:r>
      <w:r>
        <w:instrText xml:space="preserve"> PAGEREF _Toc138751148 \h </w:instrText>
      </w:r>
      <w:r>
        <w:fldChar w:fldCharType="separate"/>
      </w:r>
      <w:r>
        <w:t>89</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Evidence of contents of standard</w:t>
      </w:r>
      <w:r>
        <w:tab/>
      </w:r>
      <w:r>
        <w:fldChar w:fldCharType="begin"/>
      </w:r>
      <w:r>
        <w:instrText xml:space="preserve"> PAGEREF _Toc138751149 \h </w:instrText>
      </w:r>
      <w:r>
        <w:fldChar w:fldCharType="separate"/>
      </w:r>
      <w:r>
        <w:t>90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Delegation by Commissioner</w:t>
      </w:r>
      <w:r>
        <w:tab/>
      </w:r>
      <w:r>
        <w:fldChar w:fldCharType="begin"/>
      </w:r>
      <w:r>
        <w:instrText xml:space="preserve"> PAGEREF _Toc138751150 \h </w:instrText>
      </w:r>
      <w:r>
        <w:fldChar w:fldCharType="separate"/>
      </w:r>
      <w:r>
        <w:t>90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Civil liability of persons acting under this Act</w:t>
      </w:r>
      <w:r>
        <w:tab/>
      </w:r>
      <w:r>
        <w:fldChar w:fldCharType="begin"/>
      </w:r>
      <w:r>
        <w:instrText xml:space="preserve"> PAGEREF _Toc138751151 \h </w:instrText>
      </w:r>
      <w:r>
        <w:fldChar w:fldCharType="separate"/>
      </w:r>
      <w:r>
        <w:t>91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Regulations</w:t>
      </w:r>
      <w:r>
        <w:tab/>
      </w:r>
      <w:r>
        <w:fldChar w:fldCharType="begin"/>
      </w:r>
      <w:r>
        <w:instrText xml:space="preserve"> PAGEREF _Toc138751152 \h </w:instrText>
      </w:r>
      <w:r>
        <w:fldChar w:fldCharType="separate"/>
      </w:r>
      <w:r>
        <w:t>91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Amendment of certain schedules</w:t>
      </w:r>
      <w:r>
        <w:tab/>
      </w:r>
      <w:r>
        <w:fldChar w:fldCharType="begin"/>
      </w:r>
      <w:r>
        <w:instrText xml:space="preserve"> PAGEREF _Toc138751153 \h </w:instrText>
      </w:r>
      <w:r>
        <w:fldChar w:fldCharType="separate"/>
      </w:r>
      <w:r>
        <w:t>92</w:t>
      </w:r>
      <w:r>
        <w:fldChar w:fldCharType="end"/>
      </w:r>
    </w:p>
    <w:p>
      <w:pPr>
        <w:pStyle w:val="TOC8"/>
        <w:rPr>
          <w:rFonts w:asciiTheme="minorHAnsi" w:eastAsiaTheme="minorEastAsia" w:hAnsiTheme="minorHAnsi" w:cstheme="minorBidi"/>
          <w:szCs w:val="22"/>
        </w:rPr>
      </w:pPr>
      <w:r>
        <w:t>42A.</w:t>
      </w:r>
      <w:r>
        <w:tab/>
        <w:t>Annual report to Minister on Part 4A</w:t>
      </w:r>
      <w:r>
        <w:tab/>
      </w:r>
      <w:r>
        <w:fldChar w:fldCharType="begin"/>
      </w:r>
      <w:r>
        <w:instrText xml:space="preserve"> PAGEREF _Toc138751154 \h </w:instrText>
      </w:r>
      <w:r>
        <w:fldChar w:fldCharType="separate"/>
      </w:r>
      <w:r>
        <w:t>94</w:t>
      </w:r>
      <w:r>
        <w:fldChar w:fldCharType="end"/>
      </w:r>
    </w:p>
    <w:p>
      <w:pPr>
        <w:pStyle w:val="TOC8"/>
        <w:rPr>
          <w:rFonts w:asciiTheme="minorHAnsi" w:eastAsiaTheme="minorEastAsia" w:hAnsiTheme="minorHAnsi" w:cstheme="minorBidi"/>
          <w:szCs w:val="22"/>
        </w:rPr>
      </w:pPr>
      <w:r>
        <w:t>42B.</w:t>
      </w:r>
      <w:r>
        <w:tab/>
        <w:t>Review of Part 4A</w:t>
      </w:r>
      <w:r>
        <w:tab/>
      </w:r>
      <w:r>
        <w:fldChar w:fldCharType="begin"/>
      </w:r>
      <w:r>
        <w:instrText xml:space="preserve"> PAGEREF _Toc138751155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43.</w:t>
      </w:r>
      <w:r>
        <w:tab/>
      </w:r>
      <w:r>
        <w:rPr>
          <w:i/>
          <w:iCs/>
        </w:rPr>
        <w:t>Interpretation Act 1984</w:t>
      </w:r>
      <w:r>
        <w:t xml:space="preserve"> not limited</w:t>
      </w:r>
      <w:r>
        <w:tab/>
      </w:r>
      <w:r>
        <w:fldChar w:fldCharType="begin"/>
      </w:r>
      <w:r>
        <w:instrText xml:space="preserve"> PAGEREF _Toc138751158 \h </w:instrText>
      </w:r>
      <w:r>
        <w:fldChar w:fldCharType="separate"/>
      </w:r>
      <w:r>
        <w:t>96</w:t>
      </w:r>
      <w:r>
        <w:fldChar w:fldCharType="end"/>
      </w:r>
    </w:p>
    <w:p>
      <w:pPr>
        <w:pStyle w:val="TOC8"/>
        <w:rPr>
          <w:rFonts w:asciiTheme="minorHAnsi" w:eastAsiaTheme="minorEastAsia" w:hAnsiTheme="minorHAnsi" w:cstheme="minorBidi"/>
          <w:szCs w:val="22"/>
        </w:rPr>
      </w:pPr>
      <w:r>
        <w:t>44.</w:t>
      </w:r>
      <w:r>
        <w:tab/>
        <w:t>Transitional regulations</w:t>
      </w:r>
      <w:r>
        <w:tab/>
      </w:r>
      <w:r>
        <w:fldChar w:fldCharType="begin"/>
      </w:r>
      <w:r>
        <w:instrText xml:space="preserve"> PAGEREF _Toc138751159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w:t>
      </w:r>
      <w:r>
        <w:rPr>
          <w:i/>
        </w:rPr>
        <w:t>Cannabis Law Reform Act 2010</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_Toc138751161 \h </w:instrText>
      </w:r>
      <w:r>
        <w:fldChar w:fldCharType="separate"/>
      </w:r>
      <w:r>
        <w:t>97</w:t>
      </w:r>
      <w:r>
        <w:fldChar w:fldCharType="end"/>
      </w:r>
    </w:p>
    <w:p>
      <w:pPr>
        <w:pStyle w:val="TOC8"/>
        <w:rPr>
          <w:rFonts w:asciiTheme="minorHAnsi" w:eastAsiaTheme="minorEastAsia" w:hAnsiTheme="minorHAnsi" w:cstheme="minorBidi"/>
          <w:szCs w:val="22"/>
        </w:rPr>
      </w:pPr>
      <w:r>
        <w:t>46.</w:t>
      </w:r>
      <w:r>
        <w:tab/>
        <w:t>CINs continue in force</w:t>
      </w:r>
      <w:r>
        <w:tab/>
      </w:r>
      <w:r>
        <w:fldChar w:fldCharType="begin"/>
      </w:r>
      <w:r>
        <w:instrText xml:space="preserve"> PAGEREF _Toc138751162 \h </w:instrText>
      </w:r>
      <w:r>
        <w:fldChar w:fldCharType="separate"/>
      </w:r>
      <w:r>
        <w:t>97</w:t>
      </w:r>
      <w:r>
        <w:fldChar w:fldCharType="end"/>
      </w:r>
    </w:p>
    <w:p>
      <w:pPr>
        <w:pStyle w:val="TOC8"/>
        <w:rPr>
          <w:rFonts w:asciiTheme="minorHAnsi" w:eastAsiaTheme="minorEastAsia" w:hAnsiTheme="minorHAnsi" w:cstheme="minorBidi"/>
          <w:szCs w:val="22"/>
        </w:rPr>
      </w:pPr>
      <w:r>
        <w:t>47.</w:t>
      </w:r>
      <w:r>
        <w:tab/>
        <w:t>Amounts outstanding in 12 months time under a CIN are to be taken to be paid</w:t>
      </w:r>
      <w:r>
        <w:tab/>
      </w:r>
      <w:r>
        <w:fldChar w:fldCharType="begin"/>
      </w:r>
      <w:r>
        <w:instrText xml:space="preserve"> PAGEREF _Toc138751163 \h </w:instrText>
      </w:r>
      <w:r>
        <w:fldChar w:fldCharType="separate"/>
      </w:r>
      <w:r>
        <w:t>97</w:t>
      </w:r>
      <w:r>
        <w:fldChar w:fldCharType="end"/>
      </w:r>
    </w:p>
    <w:p>
      <w:pPr>
        <w:pStyle w:val="TOC8"/>
        <w:rPr>
          <w:rFonts w:asciiTheme="minorHAnsi" w:eastAsiaTheme="minorEastAsia" w:hAnsiTheme="minorHAnsi" w:cstheme="minorBidi"/>
          <w:szCs w:val="22"/>
        </w:rPr>
      </w:pPr>
      <w:r>
        <w:t>48.</w:t>
      </w:r>
      <w:r>
        <w:tab/>
        <w:t>Transitional provisions (Sch. IX)</w:t>
      </w:r>
      <w:r>
        <w:tab/>
      </w:r>
      <w:r>
        <w:fldChar w:fldCharType="begin"/>
      </w:r>
      <w:r>
        <w:instrText xml:space="preserve"> PAGEREF _Toc138751164 \h </w:instrText>
      </w:r>
      <w:r>
        <w:fldChar w:fldCharType="separate"/>
      </w:r>
      <w:r>
        <w:t>98</w:t>
      </w:r>
      <w:r>
        <w:fldChar w:fldCharType="end"/>
      </w:r>
    </w:p>
    <w:p>
      <w:pPr>
        <w:pStyle w:val="TOC2"/>
        <w:keepNext w:val="0"/>
        <w:tabs>
          <w:tab w:val="right" w:leader="dot" w:pos="7077"/>
        </w:tabs>
        <w:rPr>
          <w:rFonts w:asciiTheme="minorHAnsi" w:eastAsiaTheme="minorEastAsia" w:hAnsiTheme="minorHAnsi" w:cstheme="minorBidi"/>
          <w:b w:val="0"/>
          <w:sz w:val="22"/>
          <w:szCs w:val="22"/>
        </w:rPr>
      </w:pPr>
      <w:r>
        <w:t xml:space="preserve">Schedule I — Drugs to which Act applies, notwithstanding anything in </w:t>
      </w:r>
      <w:r>
        <w:rPr>
          <w:i/>
        </w:rPr>
        <w:t>Medicines and Poisons Act 2014</w:t>
      </w:r>
    </w:p>
    <w:p>
      <w:pPr>
        <w:pStyle w:val="TOC2"/>
        <w:keepNext w:val="0"/>
        <w:tabs>
          <w:tab w:val="right" w:leader="dot" w:pos="7077"/>
        </w:tabs>
        <w:rPr>
          <w:rFonts w:asciiTheme="minorHAnsi" w:eastAsiaTheme="minorEastAsia" w:hAnsiTheme="minorHAnsi" w:cstheme="minorBidi"/>
          <w:b w:val="0"/>
          <w:sz w:val="22"/>
          <w:szCs w:val="22"/>
        </w:rPr>
      </w:pPr>
      <w:r>
        <w:t>Schedule II — Plants to which this Act applies</w:t>
      </w:r>
    </w:p>
    <w:p>
      <w:pPr>
        <w:pStyle w:val="TOC2"/>
        <w:tabs>
          <w:tab w:val="right" w:leader="dot" w:pos="7077"/>
        </w:tabs>
        <w:rPr>
          <w:rFonts w:asciiTheme="minorHAnsi" w:eastAsiaTheme="minorEastAsia" w:hAnsiTheme="minorHAnsi" w:cstheme="minorBidi"/>
          <w:b w:val="0"/>
          <w:sz w:val="22"/>
          <w:szCs w:val="22"/>
        </w:rPr>
      </w:pPr>
      <w:r>
        <w:lastRenderedPageBreak/>
        <w:t>Schedule III — Amounts of prohibited drugs determining court of trial</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w:t>
      </w:r>
    </w:p>
    <w:p>
      <w:pPr>
        <w:pStyle w:val="TOC4"/>
        <w:keepNext w:val="0"/>
        <w:tabs>
          <w:tab w:val="right" w:leader="dot" w:pos="7077"/>
        </w:tabs>
        <w:rPr>
          <w:rFonts w:asciiTheme="minorHAnsi" w:eastAsiaTheme="minorEastAsia" w:hAnsiTheme="minorHAnsi" w:cstheme="minorBidi"/>
          <w:b w:val="0"/>
          <w:szCs w:val="22"/>
        </w:rPr>
      </w:pPr>
      <w:r>
        <w:t>Division 2</w:t>
      </w:r>
      <w:r>
        <w:rPr>
          <w:b w:val="0"/>
        </w:rPr>
        <w:t> — </w:t>
      </w:r>
      <w:r>
        <w:t>Steroids</w:t>
      </w:r>
    </w:p>
    <w:p>
      <w:pPr>
        <w:pStyle w:val="TOC2"/>
        <w:tabs>
          <w:tab w:val="right" w:leader="dot" w:pos="7077"/>
        </w:tabs>
        <w:rPr>
          <w:rFonts w:asciiTheme="minorHAnsi" w:eastAsiaTheme="minorEastAsia" w:hAnsiTheme="minorHAnsi" w:cstheme="minorBidi"/>
          <w:b w:val="0"/>
          <w:sz w:val="22"/>
          <w:szCs w:val="22"/>
        </w:rPr>
      </w:pPr>
      <w:r>
        <w:t>Schedule IV — Numbers of prohibited plants determining court of trial</w:t>
      </w:r>
    </w:p>
    <w:p>
      <w:pPr>
        <w:pStyle w:val="TOC2"/>
        <w:tabs>
          <w:tab w:val="right" w:leader="dot" w:pos="7077"/>
        </w:tabs>
        <w:rPr>
          <w:rFonts w:asciiTheme="minorHAnsi" w:eastAsiaTheme="minorEastAsia" w:hAnsiTheme="minorHAnsi" w:cstheme="minorBidi"/>
          <w:b w:val="0"/>
          <w:sz w:val="22"/>
          <w:szCs w:val="22"/>
        </w:rPr>
      </w:pPr>
      <w:r>
        <w:t>Schedule V — Amounts of prohibited drugs giving rise to presumption of intention to sell or supply same</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w:t>
      </w:r>
    </w:p>
    <w:p>
      <w:pPr>
        <w:pStyle w:val="TOC4"/>
        <w:tabs>
          <w:tab w:val="right" w:leader="dot" w:pos="7077"/>
        </w:tabs>
        <w:rPr>
          <w:rFonts w:asciiTheme="minorHAnsi" w:eastAsiaTheme="minorEastAsia" w:hAnsiTheme="minorHAnsi" w:cstheme="minorBidi"/>
          <w:b w:val="0"/>
          <w:szCs w:val="22"/>
        </w:rPr>
      </w:pPr>
      <w:r>
        <w:t>Division 2</w:t>
      </w:r>
      <w:r>
        <w:rPr>
          <w:b w:val="0"/>
        </w:rPr>
        <w:t> — </w:t>
      </w:r>
      <w:r>
        <w:t>Steroids</w:t>
      </w:r>
    </w:p>
    <w:p>
      <w:pPr>
        <w:pStyle w:val="TOC2"/>
        <w:tabs>
          <w:tab w:val="right" w:leader="dot" w:pos="7077"/>
        </w:tabs>
        <w:rPr>
          <w:rFonts w:asciiTheme="minorHAnsi" w:eastAsiaTheme="minorEastAsia" w:hAnsiTheme="minorHAnsi" w:cstheme="minorBidi"/>
          <w:b w:val="0"/>
          <w:sz w:val="22"/>
          <w:szCs w:val="22"/>
        </w:rPr>
      </w:pPr>
      <w:r>
        <w:t>Schedule VI — Numbers of prohibited plants giving rise to presumption of intention to sell or supply same or prohibited drugs obtainable from same</w:t>
      </w:r>
    </w:p>
    <w:p>
      <w:pPr>
        <w:pStyle w:val="TOC2"/>
        <w:tabs>
          <w:tab w:val="right" w:leader="dot" w:pos="7077"/>
        </w:tabs>
        <w:rPr>
          <w:rFonts w:asciiTheme="minorHAnsi" w:eastAsiaTheme="minorEastAsia" w:hAnsiTheme="minorHAnsi" w:cstheme="minorBidi"/>
          <w:b w:val="0"/>
          <w:sz w:val="22"/>
          <w:szCs w:val="22"/>
        </w:rPr>
      </w:pPr>
      <w:r>
        <w:t>Schedule 6A — Border Search Areas</w:t>
      </w:r>
    </w:p>
    <w:p>
      <w:pPr>
        <w:pStyle w:val="TOC4"/>
        <w:tabs>
          <w:tab w:val="right" w:leader="dot" w:pos="7077"/>
        </w:tabs>
        <w:rPr>
          <w:rFonts w:asciiTheme="minorHAnsi" w:eastAsiaTheme="minorEastAsia" w:hAnsiTheme="minorHAnsi" w:cstheme="minorBidi"/>
          <w:b w:val="0"/>
          <w:szCs w:val="22"/>
        </w:rPr>
      </w:pPr>
      <w:r>
        <w:t>Division 1</w:t>
      </w:r>
      <w:r>
        <w:rPr>
          <w:b w:val="0"/>
        </w:rPr>
        <w:t> — </w:t>
      </w:r>
      <w:r>
        <w:t>Descriptions of BSAs</w:t>
      </w:r>
    </w:p>
    <w:p>
      <w:pPr>
        <w:pStyle w:val="TOC4"/>
        <w:tabs>
          <w:tab w:val="right" w:leader="dot" w:pos="7077"/>
        </w:tabs>
        <w:rPr>
          <w:rFonts w:asciiTheme="minorHAnsi" w:eastAsiaTheme="minorEastAsia" w:hAnsiTheme="minorHAnsi" w:cstheme="minorBidi"/>
          <w:b w:val="0"/>
          <w:szCs w:val="22"/>
        </w:rPr>
      </w:pPr>
      <w:r>
        <w:t>Division 2</w:t>
      </w:r>
      <w:r>
        <w:rPr>
          <w:b w:val="0"/>
        </w:rPr>
        <w:t> — </w:t>
      </w:r>
      <w:r>
        <w:t>Plans of BSAs</w:t>
      </w:r>
    </w:p>
    <w:p>
      <w:pPr>
        <w:pStyle w:val="TOC8"/>
        <w:rPr>
          <w:rFonts w:asciiTheme="minorHAnsi" w:eastAsiaTheme="minorEastAsia" w:hAnsiTheme="minorHAnsi" w:cstheme="minorBidi"/>
          <w:szCs w:val="22"/>
        </w:rPr>
      </w:pPr>
      <w:r>
        <w:t>1.</w:t>
      </w:r>
      <w:r>
        <w:tab/>
        <w:t>Broome Port</w:t>
      </w:r>
      <w:r>
        <w:tab/>
      </w:r>
      <w:r>
        <w:fldChar w:fldCharType="begin"/>
      </w:r>
      <w:r>
        <w:instrText xml:space="preserve"> PAGEREF _Toc138751178 \h </w:instrText>
      </w:r>
      <w:r>
        <w:fldChar w:fldCharType="separate"/>
      </w:r>
      <w:r>
        <w:t>174</w:t>
      </w:r>
      <w:r>
        <w:fldChar w:fldCharType="end"/>
      </w:r>
    </w:p>
    <w:p>
      <w:pPr>
        <w:pStyle w:val="TOC8"/>
        <w:rPr>
          <w:rFonts w:asciiTheme="minorHAnsi" w:eastAsiaTheme="minorEastAsia" w:hAnsiTheme="minorHAnsi" w:cstheme="minorBidi"/>
          <w:szCs w:val="22"/>
        </w:rPr>
      </w:pPr>
      <w:r>
        <w:t>2.</w:t>
      </w:r>
      <w:r>
        <w:tab/>
        <w:t>Broome Airport</w:t>
      </w:r>
      <w:r>
        <w:tab/>
      </w:r>
      <w:r>
        <w:fldChar w:fldCharType="begin"/>
      </w:r>
      <w:r>
        <w:instrText xml:space="preserve"> PAGEREF _Toc138751179 \h </w:instrText>
      </w:r>
      <w:r>
        <w:fldChar w:fldCharType="separate"/>
      </w:r>
      <w:r>
        <w:t>174</w:t>
      </w:r>
      <w:r>
        <w:fldChar w:fldCharType="end"/>
      </w:r>
    </w:p>
    <w:p>
      <w:pPr>
        <w:pStyle w:val="TOC8"/>
        <w:rPr>
          <w:rFonts w:asciiTheme="minorHAnsi" w:eastAsiaTheme="minorEastAsia" w:hAnsiTheme="minorHAnsi" w:cstheme="minorBidi"/>
          <w:szCs w:val="22"/>
        </w:rPr>
      </w:pPr>
      <w:r>
        <w:t>3.</w:t>
      </w:r>
      <w:r>
        <w:tab/>
        <w:t>Port of Port Hedland</w:t>
      </w:r>
      <w:r>
        <w:tab/>
      </w:r>
      <w:r>
        <w:fldChar w:fldCharType="begin"/>
      </w:r>
      <w:r>
        <w:instrText xml:space="preserve"> PAGEREF _Toc138751180 \h </w:instrText>
      </w:r>
      <w:r>
        <w:fldChar w:fldCharType="separate"/>
      </w:r>
      <w:r>
        <w:t>175</w:t>
      </w:r>
      <w:r>
        <w:fldChar w:fldCharType="end"/>
      </w:r>
    </w:p>
    <w:p>
      <w:pPr>
        <w:pStyle w:val="TOC8"/>
        <w:rPr>
          <w:rFonts w:asciiTheme="minorHAnsi" w:eastAsiaTheme="minorEastAsia" w:hAnsiTheme="minorHAnsi" w:cstheme="minorBidi"/>
          <w:szCs w:val="22"/>
        </w:rPr>
      </w:pPr>
      <w:r>
        <w:t>4.</w:t>
      </w:r>
      <w:r>
        <w:tab/>
        <w:t>Port Hedland International Airport</w:t>
      </w:r>
      <w:r>
        <w:tab/>
      </w:r>
      <w:r>
        <w:fldChar w:fldCharType="begin"/>
      </w:r>
      <w:r>
        <w:instrText xml:space="preserve"> PAGEREF _Toc138751181 \h </w:instrText>
      </w:r>
      <w:r>
        <w:fldChar w:fldCharType="separate"/>
      </w:r>
      <w:r>
        <w:t>176</w:t>
      </w:r>
      <w:r>
        <w:fldChar w:fldCharType="end"/>
      </w:r>
    </w:p>
    <w:p>
      <w:pPr>
        <w:pStyle w:val="TOC8"/>
        <w:rPr>
          <w:rFonts w:asciiTheme="minorHAnsi" w:eastAsiaTheme="minorEastAsia" w:hAnsiTheme="minorHAnsi" w:cstheme="minorBidi"/>
          <w:szCs w:val="22"/>
        </w:rPr>
      </w:pPr>
      <w:r>
        <w:t>5.</w:t>
      </w:r>
      <w:r>
        <w:tab/>
        <w:t>Port of Dampier</w:t>
      </w:r>
      <w:r>
        <w:tab/>
      </w:r>
      <w:r>
        <w:fldChar w:fldCharType="begin"/>
      </w:r>
      <w:r>
        <w:instrText xml:space="preserve"> PAGEREF _Toc138751182 \h </w:instrText>
      </w:r>
      <w:r>
        <w:fldChar w:fldCharType="separate"/>
      </w:r>
      <w:r>
        <w:t>177</w:t>
      </w:r>
      <w:r>
        <w:fldChar w:fldCharType="end"/>
      </w:r>
    </w:p>
    <w:p>
      <w:pPr>
        <w:pStyle w:val="TOC8"/>
        <w:rPr>
          <w:rFonts w:asciiTheme="minorHAnsi" w:eastAsiaTheme="minorEastAsia" w:hAnsiTheme="minorHAnsi" w:cstheme="minorBidi"/>
          <w:szCs w:val="22"/>
        </w:rPr>
      </w:pPr>
      <w:r>
        <w:t>6.</w:t>
      </w:r>
      <w:r>
        <w:tab/>
        <w:t>Port of Ashburton (Onslow)</w:t>
      </w:r>
      <w:r>
        <w:tab/>
      </w:r>
      <w:r>
        <w:fldChar w:fldCharType="begin"/>
      </w:r>
      <w:r>
        <w:instrText xml:space="preserve"> PAGEREF _Toc138751183 \h </w:instrText>
      </w:r>
      <w:r>
        <w:fldChar w:fldCharType="separate"/>
      </w:r>
      <w:r>
        <w:t>177</w:t>
      </w:r>
      <w:r>
        <w:fldChar w:fldCharType="end"/>
      </w:r>
    </w:p>
    <w:p>
      <w:pPr>
        <w:pStyle w:val="TOC8"/>
        <w:rPr>
          <w:rFonts w:asciiTheme="minorHAnsi" w:eastAsiaTheme="minorEastAsia" w:hAnsiTheme="minorHAnsi" w:cstheme="minorBidi"/>
          <w:szCs w:val="22"/>
        </w:rPr>
      </w:pPr>
      <w:r>
        <w:t>7.</w:t>
      </w:r>
      <w:r>
        <w:tab/>
        <w:t>Port of Geraldton</w:t>
      </w:r>
      <w:r>
        <w:tab/>
      </w:r>
      <w:r>
        <w:fldChar w:fldCharType="begin"/>
      </w:r>
      <w:r>
        <w:instrText xml:space="preserve"> PAGEREF _Toc138751184 \h </w:instrText>
      </w:r>
      <w:r>
        <w:fldChar w:fldCharType="separate"/>
      </w:r>
      <w:r>
        <w:t>178</w:t>
      </w:r>
      <w:r>
        <w:fldChar w:fldCharType="end"/>
      </w:r>
    </w:p>
    <w:p>
      <w:pPr>
        <w:pStyle w:val="TOC8"/>
        <w:rPr>
          <w:rFonts w:asciiTheme="minorHAnsi" w:eastAsiaTheme="minorEastAsia" w:hAnsiTheme="minorHAnsi" w:cstheme="minorBidi"/>
          <w:szCs w:val="22"/>
        </w:rPr>
      </w:pPr>
      <w:r>
        <w:t>8.</w:t>
      </w:r>
      <w:r>
        <w:tab/>
        <w:t>Perth Airport</w:t>
      </w:r>
      <w:r>
        <w:tab/>
      </w:r>
      <w:r>
        <w:fldChar w:fldCharType="begin"/>
      </w:r>
      <w:r>
        <w:instrText xml:space="preserve"> PAGEREF _Toc138751185 \h </w:instrText>
      </w:r>
      <w:r>
        <w:fldChar w:fldCharType="separate"/>
      </w:r>
      <w:r>
        <w:t>179</w:t>
      </w:r>
      <w:r>
        <w:fldChar w:fldCharType="end"/>
      </w:r>
    </w:p>
    <w:p>
      <w:pPr>
        <w:pStyle w:val="TOC8"/>
        <w:rPr>
          <w:rFonts w:asciiTheme="minorHAnsi" w:eastAsiaTheme="minorEastAsia" w:hAnsiTheme="minorHAnsi" w:cstheme="minorBidi"/>
          <w:szCs w:val="22"/>
        </w:rPr>
      </w:pPr>
      <w:r>
        <w:t>9.</w:t>
      </w:r>
      <w:r>
        <w:tab/>
        <w:t>Fremantle Port (Inner Harbour)</w:t>
      </w:r>
      <w:r>
        <w:tab/>
      </w:r>
      <w:r>
        <w:fldChar w:fldCharType="begin"/>
      </w:r>
      <w:r>
        <w:instrText xml:space="preserve"> PAGEREF _Toc138751186 \h </w:instrText>
      </w:r>
      <w:r>
        <w:fldChar w:fldCharType="separate"/>
      </w:r>
      <w:r>
        <w:t>180</w:t>
      </w:r>
      <w:r>
        <w:fldChar w:fldCharType="end"/>
      </w:r>
    </w:p>
    <w:p>
      <w:pPr>
        <w:pStyle w:val="TOC8"/>
        <w:rPr>
          <w:rFonts w:asciiTheme="minorHAnsi" w:eastAsiaTheme="minorEastAsia" w:hAnsiTheme="minorHAnsi" w:cstheme="minorBidi"/>
          <w:szCs w:val="22"/>
        </w:rPr>
      </w:pPr>
      <w:r>
        <w:t>10.</w:t>
      </w:r>
      <w:r>
        <w:tab/>
        <w:t>Fremantle Port (Outer Harbour)</w:t>
      </w:r>
      <w:r>
        <w:tab/>
      </w:r>
      <w:r>
        <w:fldChar w:fldCharType="begin"/>
      </w:r>
      <w:r>
        <w:instrText xml:space="preserve"> PAGEREF _Toc138751187 \h </w:instrText>
      </w:r>
      <w:r>
        <w:fldChar w:fldCharType="separate"/>
      </w:r>
      <w:r>
        <w:t>182</w:t>
      </w:r>
      <w:r>
        <w:fldChar w:fldCharType="end"/>
      </w:r>
    </w:p>
    <w:p>
      <w:pPr>
        <w:pStyle w:val="TOC8"/>
        <w:rPr>
          <w:rFonts w:asciiTheme="minorHAnsi" w:eastAsiaTheme="minorEastAsia" w:hAnsiTheme="minorHAnsi" w:cstheme="minorBidi"/>
          <w:szCs w:val="22"/>
        </w:rPr>
      </w:pPr>
      <w:r>
        <w:lastRenderedPageBreak/>
        <w:t>11.</w:t>
      </w:r>
      <w:r>
        <w:tab/>
        <w:t>Jandakot Airport</w:t>
      </w:r>
      <w:r>
        <w:tab/>
      </w:r>
      <w:r>
        <w:fldChar w:fldCharType="begin"/>
      </w:r>
      <w:r>
        <w:instrText xml:space="preserve"> PAGEREF _Toc138751188 \h </w:instrText>
      </w:r>
      <w:r>
        <w:fldChar w:fldCharType="separate"/>
      </w:r>
      <w:r>
        <w:t>186</w:t>
      </w:r>
      <w:r>
        <w:fldChar w:fldCharType="end"/>
      </w:r>
    </w:p>
    <w:p>
      <w:pPr>
        <w:pStyle w:val="TOC8"/>
        <w:rPr>
          <w:rFonts w:asciiTheme="minorHAnsi" w:eastAsiaTheme="minorEastAsia" w:hAnsiTheme="minorHAnsi" w:cstheme="minorBidi"/>
          <w:szCs w:val="22"/>
        </w:rPr>
      </w:pPr>
      <w:r>
        <w:t>12.</w:t>
      </w:r>
      <w:r>
        <w:tab/>
        <w:t>Wyndham Port</w:t>
      </w:r>
      <w:r>
        <w:tab/>
      </w:r>
      <w:r>
        <w:fldChar w:fldCharType="begin"/>
      </w:r>
      <w:r>
        <w:instrText xml:space="preserve"> PAGEREF _Toc138751189 \h </w:instrText>
      </w:r>
      <w:r>
        <w:fldChar w:fldCharType="separate"/>
      </w:r>
      <w:r>
        <w:t>186</w:t>
      </w:r>
      <w:r>
        <w:fldChar w:fldCharType="end"/>
      </w:r>
    </w:p>
    <w:p>
      <w:pPr>
        <w:pStyle w:val="TOC8"/>
        <w:rPr>
          <w:rFonts w:asciiTheme="minorHAnsi" w:eastAsiaTheme="minorEastAsia" w:hAnsiTheme="minorHAnsi" w:cstheme="minorBidi"/>
          <w:szCs w:val="22"/>
        </w:rPr>
      </w:pPr>
      <w:r>
        <w:t>13.</w:t>
      </w:r>
      <w:r>
        <w:tab/>
        <w:t>Bunbury Port</w:t>
      </w:r>
      <w:r>
        <w:tab/>
      </w:r>
      <w:r>
        <w:fldChar w:fldCharType="begin"/>
      </w:r>
      <w:r>
        <w:instrText xml:space="preserve"> PAGEREF _Toc138751190 \h </w:instrText>
      </w:r>
      <w:r>
        <w:fldChar w:fldCharType="separate"/>
      </w:r>
      <w:r>
        <w:t>187</w:t>
      </w:r>
      <w:r>
        <w:fldChar w:fldCharType="end"/>
      </w:r>
    </w:p>
    <w:p>
      <w:pPr>
        <w:pStyle w:val="TOC8"/>
        <w:rPr>
          <w:rFonts w:asciiTheme="minorHAnsi" w:eastAsiaTheme="minorEastAsia" w:hAnsiTheme="minorHAnsi" w:cstheme="minorBidi"/>
          <w:szCs w:val="22"/>
        </w:rPr>
      </w:pPr>
      <w:r>
        <w:t>14.</w:t>
      </w:r>
      <w:r>
        <w:tab/>
        <w:t>Busselton Airport</w:t>
      </w:r>
      <w:r>
        <w:tab/>
      </w:r>
      <w:r>
        <w:fldChar w:fldCharType="begin"/>
      </w:r>
      <w:r>
        <w:instrText xml:space="preserve"> PAGEREF _Toc138751191 \h </w:instrText>
      </w:r>
      <w:r>
        <w:fldChar w:fldCharType="separate"/>
      </w:r>
      <w:r>
        <w:t>188</w:t>
      </w:r>
      <w:r>
        <w:fldChar w:fldCharType="end"/>
      </w:r>
    </w:p>
    <w:p>
      <w:pPr>
        <w:pStyle w:val="TOC8"/>
        <w:rPr>
          <w:rFonts w:asciiTheme="minorHAnsi" w:eastAsiaTheme="minorEastAsia" w:hAnsiTheme="minorHAnsi" w:cstheme="minorBidi"/>
          <w:szCs w:val="22"/>
        </w:rPr>
      </w:pPr>
      <w:r>
        <w:t>15.</w:t>
      </w:r>
      <w:r>
        <w:tab/>
        <w:t>Albany Port</w:t>
      </w:r>
      <w:r>
        <w:tab/>
      </w:r>
      <w:r>
        <w:fldChar w:fldCharType="begin"/>
      </w:r>
      <w:r>
        <w:instrText xml:space="preserve"> PAGEREF _Toc138751192 \h </w:instrText>
      </w:r>
      <w:r>
        <w:fldChar w:fldCharType="separate"/>
      </w:r>
      <w:r>
        <w:t>189</w:t>
      </w:r>
      <w:r>
        <w:fldChar w:fldCharType="end"/>
      </w:r>
    </w:p>
    <w:p>
      <w:pPr>
        <w:pStyle w:val="TOC8"/>
        <w:rPr>
          <w:rFonts w:asciiTheme="minorHAnsi" w:eastAsiaTheme="minorEastAsia" w:hAnsiTheme="minorHAnsi" w:cstheme="minorBidi"/>
          <w:szCs w:val="22"/>
        </w:rPr>
      </w:pPr>
      <w:r>
        <w:t>16.</w:t>
      </w:r>
      <w:r>
        <w:tab/>
        <w:t>Esperance Port</w:t>
      </w:r>
      <w:r>
        <w:tab/>
      </w:r>
      <w:r>
        <w:fldChar w:fldCharType="begin"/>
      </w:r>
      <w:r>
        <w:instrText xml:space="preserve"> PAGEREF _Toc138751193 \h </w:instrText>
      </w:r>
      <w:r>
        <w:fldChar w:fldCharType="separate"/>
      </w:r>
      <w:r>
        <w:t>189</w:t>
      </w:r>
      <w:r>
        <w:fldChar w:fldCharType="end"/>
      </w:r>
    </w:p>
    <w:p>
      <w:pPr>
        <w:pStyle w:val="TOC8"/>
        <w:rPr>
          <w:rFonts w:asciiTheme="minorHAnsi" w:eastAsiaTheme="minorEastAsia" w:hAnsiTheme="minorHAnsi" w:cstheme="minorBidi"/>
          <w:szCs w:val="22"/>
        </w:rPr>
      </w:pPr>
      <w:r>
        <w:t>17.</w:t>
      </w:r>
      <w:r>
        <w:tab/>
        <w:t>Eyre Highway, Eucla (WA/SA border)</w:t>
      </w:r>
      <w:r>
        <w:tab/>
      </w:r>
      <w:r>
        <w:fldChar w:fldCharType="begin"/>
      </w:r>
      <w:r>
        <w:instrText xml:space="preserve"> PAGEREF _Toc138751194 \h </w:instrText>
      </w:r>
      <w:r>
        <w:fldChar w:fldCharType="separate"/>
      </w:r>
      <w:r>
        <w:t>190</w:t>
      </w:r>
      <w:r>
        <w:fldChar w:fldCharType="end"/>
      </w:r>
    </w:p>
    <w:p>
      <w:pPr>
        <w:pStyle w:val="TOC8"/>
        <w:rPr>
          <w:rFonts w:asciiTheme="minorHAnsi" w:eastAsiaTheme="minorEastAsia" w:hAnsiTheme="minorHAnsi" w:cstheme="minorBidi"/>
          <w:szCs w:val="22"/>
        </w:rPr>
      </w:pPr>
      <w:r>
        <w:t>18.</w:t>
      </w:r>
      <w:r>
        <w:tab/>
        <w:t>Victoria Highway near Kununurra (WA/NT border)</w:t>
      </w:r>
      <w:r>
        <w:tab/>
      </w:r>
      <w:r>
        <w:fldChar w:fldCharType="begin"/>
      </w:r>
      <w:r>
        <w:instrText xml:space="preserve"> PAGEREF _Toc138751195 \h </w:instrText>
      </w:r>
      <w:r>
        <w:fldChar w:fldCharType="separate"/>
      </w:r>
      <w:r>
        <w:t>191</w:t>
      </w:r>
      <w:r>
        <w:fldChar w:fldCharType="end"/>
      </w:r>
    </w:p>
    <w:p>
      <w:pPr>
        <w:pStyle w:val="TOC8"/>
        <w:rPr>
          <w:rFonts w:asciiTheme="minorHAnsi" w:eastAsiaTheme="minorEastAsia" w:hAnsiTheme="minorHAnsi" w:cstheme="minorBidi"/>
          <w:szCs w:val="22"/>
        </w:rPr>
      </w:pPr>
      <w:r>
        <w:t>19.</w:t>
      </w:r>
      <w:r>
        <w:tab/>
        <w:t>Tanami Road (WA/NT border)</w:t>
      </w:r>
      <w:r>
        <w:tab/>
      </w:r>
      <w:r>
        <w:fldChar w:fldCharType="begin"/>
      </w:r>
      <w:r>
        <w:instrText xml:space="preserve"> PAGEREF _Toc138751196 \h </w:instrText>
      </w:r>
      <w:r>
        <w:fldChar w:fldCharType="separate"/>
      </w:r>
      <w:r>
        <w:t>191</w:t>
      </w:r>
      <w:r>
        <w:fldChar w:fldCharType="end"/>
      </w:r>
    </w:p>
    <w:p>
      <w:pPr>
        <w:pStyle w:val="TOC8"/>
        <w:rPr>
          <w:rFonts w:asciiTheme="minorHAnsi" w:eastAsiaTheme="minorEastAsia" w:hAnsiTheme="minorHAnsi" w:cstheme="minorBidi"/>
          <w:szCs w:val="22"/>
        </w:rPr>
      </w:pPr>
      <w:r>
        <w:t>20.</w:t>
      </w:r>
      <w:r>
        <w:tab/>
        <w:t>Duncan Road (WA/NT border)</w:t>
      </w:r>
      <w:r>
        <w:tab/>
      </w:r>
      <w:r>
        <w:fldChar w:fldCharType="begin"/>
      </w:r>
      <w:r>
        <w:instrText xml:space="preserve"> PAGEREF _Toc138751197 \h </w:instrText>
      </w:r>
      <w:r>
        <w:fldChar w:fldCharType="separate"/>
      </w:r>
      <w:r>
        <w:t>192</w:t>
      </w:r>
      <w:r>
        <w:fldChar w:fldCharType="end"/>
      </w:r>
    </w:p>
    <w:p>
      <w:pPr>
        <w:pStyle w:val="TOC8"/>
        <w:rPr>
          <w:rFonts w:asciiTheme="minorHAnsi" w:eastAsiaTheme="minorEastAsia" w:hAnsiTheme="minorHAnsi" w:cstheme="minorBidi"/>
          <w:szCs w:val="22"/>
        </w:rPr>
      </w:pPr>
      <w:r>
        <w:t>21.</w:t>
      </w:r>
      <w:r>
        <w:tab/>
        <w:t>Great Central Road (WA/NT border)</w:t>
      </w:r>
      <w:r>
        <w:tab/>
      </w:r>
      <w:r>
        <w:fldChar w:fldCharType="begin"/>
      </w:r>
      <w:r>
        <w:instrText xml:space="preserve"> PAGEREF _Toc138751198 \h </w:instrText>
      </w:r>
      <w:r>
        <w:fldChar w:fldCharType="separate"/>
      </w:r>
      <w:r>
        <w:t>192</w:t>
      </w:r>
      <w:r>
        <w:fldChar w:fldCharType="end"/>
      </w:r>
    </w:p>
    <w:p>
      <w:pPr>
        <w:pStyle w:val="TOC8"/>
        <w:rPr>
          <w:rFonts w:asciiTheme="minorHAnsi" w:eastAsiaTheme="minorEastAsia" w:hAnsiTheme="minorHAnsi" w:cstheme="minorBidi"/>
          <w:szCs w:val="22"/>
        </w:rPr>
      </w:pPr>
      <w:r>
        <w:t>22.</w:t>
      </w:r>
      <w:r>
        <w:tab/>
        <w:t>Rawlinna Rail Siding</w:t>
      </w:r>
      <w:r>
        <w:tab/>
      </w:r>
      <w:r>
        <w:fldChar w:fldCharType="begin"/>
      </w:r>
      <w:r>
        <w:instrText xml:space="preserve"> PAGEREF _Toc138751199 \h </w:instrText>
      </w:r>
      <w:r>
        <w:fldChar w:fldCharType="separate"/>
      </w:r>
      <w:r>
        <w:t>193</w:t>
      </w:r>
      <w:r>
        <w:fldChar w:fldCharType="end"/>
      </w:r>
    </w:p>
    <w:p>
      <w:pPr>
        <w:pStyle w:val="TOC2"/>
        <w:tabs>
          <w:tab w:val="right" w:leader="dot" w:pos="7077"/>
        </w:tabs>
        <w:rPr>
          <w:rFonts w:asciiTheme="minorHAnsi" w:eastAsiaTheme="minorEastAsia" w:hAnsiTheme="minorHAnsi" w:cstheme="minorBidi"/>
          <w:b w:val="0"/>
          <w:sz w:val="22"/>
          <w:szCs w:val="22"/>
        </w:rPr>
      </w:pPr>
      <w:r>
        <w:t>Schedule VII — </w:t>
      </w:r>
      <w:r>
        <w:rPr>
          <w:bCs/>
        </w:rPr>
        <w:t>Amounts of prohibited drugs for purposes of drug trafficking</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w:t>
      </w:r>
    </w:p>
    <w:p>
      <w:pPr>
        <w:pStyle w:val="TOC4"/>
        <w:tabs>
          <w:tab w:val="right" w:leader="dot" w:pos="7077"/>
        </w:tabs>
        <w:rPr>
          <w:rFonts w:asciiTheme="minorHAnsi" w:eastAsiaTheme="minorEastAsia" w:hAnsiTheme="minorHAnsi" w:cstheme="minorBidi"/>
          <w:b w:val="0"/>
          <w:szCs w:val="22"/>
        </w:rPr>
      </w:pPr>
      <w:r>
        <w:t>Division 2</w:t>
      </w:r>
      <w:r>
        <w:rPr>
          <w:b w:val="0"/>
        </w:rPr>
        <w:t> — </w:t>
      </w:r>
      <w:r>
        <w:t>Steroids</w:t>
      </w:r>
    </w:p>
    <w:p>
      <w:pPr>
        <w:pStyle w:val="TOC2"/>
        <w:tabs>
          <w:tab w:val="right" w:leader="dot" w:pos="7077"/>
        </w:tabs>
        <w:rPr>
          <w:rFonts w:asciiTheme="minorHAnsi" w:eastAsiaTheme="minorEastAsia" w:hAnsiTheme="minorHAnsi" w:cstheme="minorBidi"/>
          <w:b w:val="0"/>
          <w:sz w:val="22"/>
          <w:szCs w:val="22"/>
        </w:rPr>
      </w:pPr>
      <w:r>
        <w:t>Schedule VIII — </w:t>
      </w:r>
      <w:r>
        <w:rPr>
          <w:bCs/>
        </w:rPr>
        <w:t>Numbers of prohibited plants for purposes of drug trafficking</w:t>
      </w:r>
    </w:p>
    <w:p>
      <w:pPr>
        <w:pStyle w:val="TOC2"/>
        <w:tabs>
          <w:tab w:val="right" w:leader="dot" w:pos="7077"/>
        </w:tabs>
        <w:rPr>
          <w:rFonts w:asciiTheme="minorHAnsi" w:eastAsiaTheme="minorEastAsia" w:hAnsiTheme="minorHAnsi" w:cstheme="minorBidi"/>
          <w:b w:val="0"/>
          <w:sz w:val="22"/>
          <w:szCs w:val="22"/>
        </w:rPr>
      </w:pPr>
      <w:r>
        <w:t>Schedule IX — </w:t>
      </w:r>
      <w:r>
        <w:rPr>
          <w:bCs/>
        </w:rPr>
        <w:t>Transitional provisions</w:t>
      </w:r>
    </w:p>
    <w:p>
      <w:pPr>
        <w:pStyle w:val="TOC8"/>
        <w:rPr>
          <w:rFonts w:asciiTheme="minorHAnsi" w:eastAsiaTheme="minorEastAsia" w:hAnsiTheme="minorHAnsi" w:cstheme="minorBidi"/>
          <w:szCs w:val="22"/>
        </w:rPr>
      </w:pPr>
      <w:r>
        <w:t>1.</w:t>
      </w:r>
      <w:r>
        <w:tab/>
        <w:t>Property subject to holding orders under repealed s. 28</w:t>
      </w:r>
      <w:r>
        <w:tab/>
      </w:r>
      <w:r>
        <w:fldChar w:fldCharType="begin"/>
      </w:r>
      <w:r>
        <w:instrText xml:space="preserve"> PAGEREF _Toc138751205 \h </w:instrText>
      </w:r>
      <w:r>
        <w:fldChar w:fldCharType="separate"/>
      </w:r>
      <w:r>
        <w:t>211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_Toc138751207 \h </w:instrText>
      </w:r>
      <w:r>
        <w:fldChar w:fldCharType="separate"/>
      </w:r>
      <w:r>
        <w:t>212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_Toc138751208 \h </w:instrText>
      </w:r>
      <w:r>
        <w:fldChar w:fldCharType="separate"/>
      </w:r>
      <w:r>
        <w:t>217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_Toc138751209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4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2" w:name="_Toc138689086"/>
      <w:bookmarkStart w:id="3" w:name="_Toc138691463"/>
      <w:bookmarkStart w:id="4" w:name="_Toc138751026"/>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38751027"/>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w:t>
      </w:r>
    </w:p>
    <w:p>
      <w:pPr>
        <w:pStyle w:val="Heading5"/>
        <w:rPr>
          <w:snapToGrid w:val="0"/>
        </w:rPr>
      </w:pPr>
      <w:bookmarkStart w:id="6" w:name="_Toc138751028"/>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7" w:name="_Toc138751029"/>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(Miscellaneous Provisions) Act 1911</w:t>
      </w:r>
      <w:r>
        <w:t>;</w:t>
      </w:r>
    </w:p>
    <w:p>
      <w:pPr>
        <w:pStyle w:val="Defstart"/>
      </w:pPr>
      <w:r>
        <w:rPr>
          <w:b/>
        </w:rPr>
        <w:tab/>
      </w:r>
      <w:r>
        <w:rPr>
          <w:rStyle w:val="CharDefText"/>
        </w:rPr>
        <w:t>approved analyst</w:t>
      </w:r>
      <w:r>
        <w:t xml:space="preserve"> means — </w:t>
      </w:r>
    </w:p>
    <w:p>
      <w:pPr>
        <w:pStyle w:val="Defpara"/>
        <w:spacing w:before="70"/>
      </w:pPr>
      <w:r>
        <w:tab/>
        <w:t>(a)</w:t>
      </w:r>
      <w:r>
        <w:tab/>
        <w:t>a person declared under section 3A to be an approved analyst; or</w:t>
      </w:r>
    </w:p>
    <w:p>
      <w:pPr>
        <w:pStyle w:val="Defpara"/>
        <w:spacing w:before="70"/>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Defstart"/>
      </w:pPr>
      <w:r>
        <w:tab/>
      </w:r>
      <w:r>
        <w:rPr>
          <w:rStyle w:val="CharDefText"/>
        </w:rPr>
        <w:t>Border Search Area</w:t>
      </w:r>
      <w:r>
        <w:t xml:space="preserve"> (</w:t>
      </w:r>
      <w:r>
        <w:rPr>
          <w:rStyle w:val="CharDefText"/>
        </w:rPr>
        <w:t>BSA</w:t>
      </w:r>
      <w:r>
        <w:t>) has the meaning given in section 20N(1);</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pPr>
      <w:r>
        <w:tab/>
        <w:t>(i)</w:t>
      </w:r>
      <w:r>
        <w:tab/>
        <w:t>a university in Australia; or</w:t>
      </w:r>
    </w:p>
    <w:p>
      <w:pPr>
        <w:pStyle w:val="Defsubpara"/>
      </w:pPr>
      <w:r>
        <w:tab/>
        <w:t>(ii)</w:t>
      </w:r>
      <w:r>
        <w:tab/>
        <w:t>a prescribed university;</w:t>
      </w:r>
    </w:p>
    <w:p>
      <w:pPr>
        <w:pStyle w:val="Defpara"/>
        <w:keepNext/>
      </w:pPr>
      <w:r>
        <w:lastRenderedPageBreak/>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category 1 item</w:t>
      </w:r>
      <w:r>
        <w:t xml:space="preserve"> has the meaning given in section 12;</w:t>
      </w:r>
    </w:p>
    <w:p>
      <w:pPr>
        <w:pStyle w:val="Defstart"/>
      </w:pPr>
      <w:r>
        <w:rPr>
          <w:b/>
        </w:rPr>
        <w:tab/>
      </w:r>
      <w:r>
        <w:rPr>
          <w:rStyle w:val="CharDefText"/>
        </w:rPr>
        <w:t>category 2 item</w:t>
      </w:r>
      <w:r>
        <w:t xml:space="preserve"> has the meaning given in section 12;</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tab/>
      </w:r>
      <w:r>
        <w:rPr>
          <w:rStyle w:val="CharDefText"/>
        </w:rPr>
        <w:t>controlled precursor</w:t>
      </w:r>
      <w:r>
        <w:t xml:space="preserve"> means a category 1 item or a category 2 item;</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drug detection device</w:t>
      </w:r>
      <w:r>
        <w:t xml:space="preserve"> means an electronic device, or a system that uses or involves an electronic device, of a type approved by the Commissioner for the purpose of detecting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drug detection dog</w:t>
      </w:r>
      <w:r>
        <w:t xml:space="preserve"> means a dog trained to detect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drug of addiction</w:t>
      </w:r>
      <w:r>
        <w:t xml:space="preserve"> means — </w:t>
      </w:r>
    </w:p>
    <w:p>
      <w:pPr>
        <w:pStyle w:val="Defpara"/>
      </w:pPr>
      <w:r>
        <w:tab/>
        <w:t>(a)</w:t>
      </w:r>
      <w:r>
        <w:tab/>
        <w:t xml:space="preserve">a Schedule 8 poison as defined in the </w:t>
      </w:r>
      <w:r>
        <w:rPr>
          <w:i/>
        </w:rPr>
        <w:t xml:space="preserve">Medicines and Poisons Act 2014 </w:t>
      </w:r>
      <w:r>
        <w:t>section 3; or</w:t>
      </w:r>
    </w:p>
    <w:p>
      <w:pPr>
        <w:pStyle w:val="Defpara"/>
      </w:pPr>
      <w:r>
        <w:lastRenderedPageBreak/>
        <w:tab/>
        <w:t>(b)</w:t>
      </w:r>
      <w:r>
        <w:tab/>
        <w:t xml:space="preserve">a Schedule 9 poison as defined in the </w:t>
      </w:r>
      <w:r>
        <w:rPr>
          <w:i/>
        </w:rPr>
        <w:t xml:space="preserve">Medicines and Poisons Act 2014 </w:t>
      </w:r>
      <w:r>
        <w:t>section 3;</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methylamphetamine</w:t>
      </w:r>
      <w:r>
        <w:t xml:space="preserve"> means the prohibited drug referred to in Schedule VII item 8;</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tab/>
      </w:r>
      <w:r>
        <w:rPr>
          <w:rStyle w:val="CharDefText"/>
        </w:rPr>
        <w:t>preliminary drug detection test</w:t>
      </w:r>
      <w:r>
        <w:t xml:space="preserve"> means — </w:t>
      </w:r>
    </w:p>
    <w:p>
      <w:pPr>
        <w:pStyle w:val="Defpara"/>
      </w:pPr>
      <w:r>
        <w:tab/>
        <w:t>(a)</w:t>
      </w:r>
      <w:r>
        <w:tab/>
        <w:t>leading or otherwise placing a drug detection dog in the vicinity of a person or property; or</w:t>
      </w:r>
    </w:p>
    <w:p>
      <w:pPr>
        <w:pStyle w:val="Defpara"/>
      </w:pPr>
      <w:r>
        <w:tab/>
        <w:t>(b)</w:t>
      </w:r>
      <w:r>
        <w:tab/>
        <w:t>using a drug detection device in relation to a person or property;</w:t>
      </w:r>
    </w:p>
    <w:p>
      <w:pPr>
        <w:pStyle w:val="Defstart"/>
        <w:keepNex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1%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lastRenderedPageBreak/>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tab/>
      </w:r>
      <w:r>
        <w:rPr>
          <w:rStyle w:val="CharDefText"/>
        </w:rPr>
        <w:t>specified drug</w:t>
      </w:r>
      <w:r>
        <w:t xml:space="preserve"> means a substance that is prescribed to be a specified drug by regulations made under section 3B;</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Defstart"/>
      </w:pPr>
      <w:r>
        <w:tab/>
      </w:r>
      <w:r>
        <w:rPr>
          <w:rStyle w:val="CharDefText"/>
        </w:rPr>
        <w:t>vehicle</w:t>
      </w:r>
      <w:r>
        <w:t xml:space="preserve"> includes aircraft, hovercraft, vessel and any other means of transportation.</w:t>
      </w:r>
    </w:p>
    <w:p>
      <w:pPr>
        <w:pStyle w:val="Subsection"/>
        <w:keepNext/>
        <w:rPr>
          <w:snapToGrid w:val="0"/>
        </w:rPr>
      </w:pPr>
      <w:r>
        <w:rPr>
          <w:snapToGrid w:val="0"/>
        </w:rPr>
        <w:tab/>
        <w:t>(2)</w:t>
      </w:r>
      <w:r>
        <w:rPr>
          <w:snapToGrid w:val="0"/>
        </w:rPr>
        <w:tab/>
        <w:t xml:space="preserve">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w:t>
      </w:r>
      <w:r>
        <w:rPr>
          <w:snapToGrid w:val="0"/>
        </w:rPr>
        <w:lastRenderedPageBreak/>
        <w:t>every 100 ml of the preparation, and so in proportion for any greater or lesser percentage.</w:t>
      </w:r>
    </w:p>
    <w:p>
      <w:pPr>
        <w:pStyle w:val="Footnotesection"/>
      </w:pPr>
      <w:r>
        <w:tab/>
        <w:t>[Section 3 amended: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 No. 13 of 2014 s. 166; No. 19 of 2016 s. 101; No. 47 of 2016 s. 4; No. 3 of 2017 s. 4; No. 15 of 2018 s. 6; No. 16 of 2023 s. 4.]</w:t>
      </w:r>
    </w:p>
    <w:p>
      <w:pPr>
        <w:pStyle w:val="Heading5"/>
        <w:rPr>
          <w:snapToGrid w:val="0"/>
        </w:rPr>
      </w:pPr>
      <w:bookmarkStart w:id="8" w:name="_Toc138751030"/>
      <w:r>
        <w:rPr>
          <w:rStyle w:val="CharSectno"/>
        </w:rPr>
        <w:t>3A</w:t>
      </w:r>
      <w:r>
        <w:rPr>
          <w:snapToGrid w:val="0"/>
        </w:rPr>
        <w:t xml:space="preserve">. </w:t>
      </w:r>
      <w:r>
        <w:rPr>
          <w:snapToGrid w:val="0"/>
        </w:rPr>
        <w:tab/>
        <w:t>Approved analysts and botanists</w:t>
      </w:r>
      <w:bookmarkEnd w:id="8"/>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keepNext/>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No. 44 of 1995 s. 5.]</w:t>
      </w:r>
    </w:p>
    <w:p>
      <w:pPr>
        <w:pStyle w:val="Heading5"/>
      </w:pPr>
      <w:bookmarkStart w:id="9" w:name="_Toc138751031"/>
      <w:r>
        <w:rPr>
          <w:rStyle w:val="CharSectno"/>
        </w:rPr>
        <w:t>3B</w:t>
      </w:r>
      <w:r>
        <w:t>.</w:t>
      </w:r>
      <w:r>
        <w:tab/>
      </w:r>
      <w:r>
        <w:rPr>
          <w:snapToGrid w:val="0"/>
        </w:rPr>
        <w:t>Specified</w:t>
      </w:r>
      <w:r>
        <w:t xml:space="preserve"> drugs</w:t>
      </w:r>
      <w:bookmarkEnd w:id="9"/>
    </w:p>
    <w:p>
      <w:pPr>
        <w:pStyle w:val="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Subsection"/>
      </w:pPr>
      <w:r>
        <w:tab/>
        <w:t>(2)</w:t>
      </w:r>
      <w:r>
        <w:tab/>
        <w:t xml:space="preserve">A recommendation that a substance be prescribed to be a specified drug may only be made if the relevant Minister is satisfied that there is high propensity for the substance to be misused, abused, used illicitly or diverted for the manufacture of </w:t>
      </w:r>
      <w:r>
        <w:lastRenderedPageBreak/>
        <w:t>a substance with a high propensity for misuse, abuse or illicit use.</w:t>
      </w:r>
    </w:p>
    <w:p>
      <w:pPr>
        <w:pStyle w:val="Footnotesection"/>
      </w:pPr>
      <w:r>
        <w:tab/>
        <w:t>[Section 3B inserted: No. 13 of 2014 s. 167.]</w:t>
      </w:r>
    </w:p>
    <w:p>
      <w:pPr>
        <w:pStyle w:val="Heading5"/>
        <w:rPr>
          <w:snapToGrid w:val="0"/>
        </w:rPr>
      </w:pPr>
      <w:bookmarkStart w:id="10" w:name="_Toc138751032"/>
      <w:r>
        <w:rPr>
          <w:rStyle w:val="CharSectno"/>
        </w:rPr>
        <w:t>4</w:t>
      </w:r>
      <w:r>
        <w:rPr>
          <w:snapToGrid w:val="0"/>
        </w:rPr>
        <w:t>.</w:t>
      </w:r>
      <w:r>
        <w:rPr>
          <w:snapToGrid w:val="0"/>
        </w:rPr>
        <w:tab/>
        <w:t>Drugs and plants to which Act applies</w:t>
      </w:r>
      <w:bookmarkEnd w:id="10"/>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plants from which a drug of addiction may be obtained, derived or manufactured; and</w:t>
      </w:r>
    </w:p>
    <w:p>
      <w:pPr>
        <w:pStyle w:val="Indenta"/>
        <w:rPr>
          <w:snapToGrid w:val="0"/>
        </w:rPr>
      </w:pPr>
      <w:r>
        <w:rPr>
          <w:snapToGrid w:val="0"/>
        </w:rPr>
        <w:tab/>
        <w:t>(b)</w:t>
      </w:r>
      <w:r>
        <w:rPr>
          <w:snapToGrid w:val="0"/>
        </w:rPr>
        <w:tab/>
        <w:t>whether or not they are also plants referred to in paragraph (a),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No. 1 of 2004 s. 51; No. 13 of 2014 s. 168.]</w:t>
      </w:r>
    </w:p>
    <w:p>
      <w:pPr>
        <w:pStyle w:val="Heading5"/>
      </w:pPr>
      <w:bookmarkStart w:id="11" w:name="_Toc138751033"/>
      <w:r>
        <w:rPr>
          <w:rStyle w:val="CharSectno"/>
        </w:rPr>
        <w:t>5A</w:t>
      </w:r>
      <w:r>
        <w:t>.</w:t>
      </w:r>
      <w:r>
        <w:tab/>
        <w:t xml:space="preserve">Authority </w:t>
      </w:r>
      <w:r>
        <w:rPr>
          <w:snapToGrid w:val="0"/>
        </w:rPr>
        <w:t>required</w:t>
      </w:r>
      <w:r>
        <w:t xml:space="preserve"> for some investigations</w:t>
      </w:r>
      <w:bookmarkEnd w:id="11"/>
    </w:p>
    <w:p>
      <w:pPr>
        <w:pStyle w:val="Subsection"/>
        <w:spacing w:before="120"/>
      </w:pPr>
      <w:r>
        <w:tab/>
      </w:r>
      <w:r>
        <w:tab/>
        <w:t xml:space="preserve">This Act is subject to the </w:t>
      </w:r>
      <w:r>
        <w:rPr>
          <w:i/>
        </w:rPr>
        <w:t>Criminal Appeals Act 2004</w:t>
      </w:r>
      <w:r>
        <w:t xml:space="preserve"> section 46C.</w:t>
      </w:r>
    </w:p>
    <w:p>
      <w:pPr>
        <w:pStyle w:val="Footnotesection"/>
      </w:pPr>
      <w:r>
        <w:tab/>
        <w:t>[Section 5A inserted: No. 9 of 2012 s. 10.]</w:t>
      </w:r>
    </w:p>
    <w:p>
      <w:pPr>
        <w:pStyle w:val="Heading5"/>
      </w:pPr>
      <w:bookmarkStart w:id="12" w:name="_Toc138751034"/>
      <w:r>
        <w:rPr>
          <w:rStyle w:val="CharSectno"/>
        </w:rPr>
        <w:lastRenderedPageBreak/>
        <w:t>5B</w:t>
      </w:r>
      <w:r>
        <w:t>.</w:t>
      </w:r>
      <w:r>
        <w:tab/>
        <w:t xml:space="preserve">Authorisation under </w:t>
      </w:r>
      <w:r>
        <w:rPr>
          <w:i/>
        </w:rPr>
        <w:t>Medicines and Poisons Act 2014</w:t>
      </w:r>
      <w:bookmarkEnd w:id="12"/>
    </w:p>
    <w:p>
      <w:pPr>
        <w:pStyle w:val="Subsection"/>
        <w:keepNext/>
      </w:pPr>
      <w:r>
        <w:tab/>
        <w:t>(1)</w:t>
      </w:r>
      <w:r>
        <w:tab/>
        <w:t xml:space="preserve">In this section — </w:t>
      </w:r>
    </w:p>
    <w:p>
      <w:pPr>
        <w:pStyle w:val="Defstart"/>
      </w:pPr>
      <w:r>
        <w:tab/>
      </w:r>
      <w:r>
        <w:rPr>
          <w:rStyle w:val="CharDefText"/>
        </w:rPr>
        <w:t>appropriate licence</w:t>
      </w:r>
      <w:r>
        <w:t xml:space="preserve"> has the meaning given in the </w:t>
      </w:r>
      <w:r>
        <w:rPr>
          <w:i/>
        </w:rPr>
        <w:t xml:space="preserve">Medicines and Poisons Act 2014 </w:t>
      </w:r>
      <w:r>
        <w:t>section 12;</w:t>
      </w:r>
    </w:p>
    <w:p>
      <w:pPr>
        <w:pStyle w:val="Defstart"/>
      </w:pPr>
      <w:r>
        <w:tab/>
      </w:r>
      <w:r>
        <w:rPr>
          <w:rStyle w:val="CharDefText"/>
        </w:rPr>
        <w:t>appropriate permit</w:t>
      </w:r>
      <w:r>
        <w:t xml:space="preserve"> has the meaning given in the </w:t>
      </w:r>
      <w:r>
        <w:rPr>
          <w:i/>
        </w:rPr>
        <w:t xml:space="preserve">Medicines and Poisons Act 2014 </w:t>
      </w:r>
      <w:r>
        <w:t>section 12;</w:t>
      </w:r>
    </w:p>
    <w:p>
      <w:pPr>
        <w:pStyle w:val="Defstart"/>
      </w:pPr>
      <w:r>
        <w:tab/>
      </w:r>
      <w:r>
        <w:rPr>
          <w:rStyle w:val="CharDefText"/>
        </w:rPr>
        <w:t>professional authority</w:t>
      </w:r>
      <w:r>
        <w:t xml:space="preserve"> has the meaning given in the </w:t>
      </w:r>
      <w:r>
        <w:rPr>
          <w:i/>
        </w:rPr>
        <w:t xml:space="preserve">Medicines and Poisons Act 2014 </w:t>
      </w:r>
      <w:r>
        <w:t>section 3.</w:t>
      </w:r>
    </w:p>
    <w:p>
      <w:pPr>
        <w:pStyle w:val="Subsection"/>
        <w:spacing w:before="120"/>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Indenta"/>
      </w:pPr>
      <w:r>
        <w:tab/>
        <w:t>(a)</w:t>
      </w:r>
      <w:r>
        <w:tab/>
        <w:t>under an appropriate licence or a professional authority; and</w:t>
      </w:r>
    </w:p>
    <w:p>
      <w:pPr>
        <w:pStyle w:val="Indenta"/>
      </w:pPr>
      <w:r>
        <w:tab/>
        <w:t>(b)</w:t>
      </w:r>
      <w:r>
        <w:tab/>
        <w:t>in accordance with regulations made under that Act.</w:t>
      </w:r>
    </w:p>
    <w:p>
      <w:pPr>
        <w:pStyle w:val="Subsection"/>
        <w:spacing w:before="120"/>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Indenta"/>
      </w:pPr>
      <w:r>
        <w:tab/>
        <w:t>(a)</w:t>
      </w:r>
      <w:r>
        <w:tab/>
        <w:t>under an appropriate licence, an appropriate permit or a professional authority; and</w:t>
      </w:r>
    </w:p>
    <w:p>
      <w:pPr>
        <w:pStyle w:val="Indenta"/>
      </w:pPr>
      <w:r>
        <w:tab/>
        <w:t>(b)</w:t>
      </w:r>
      <w:r>
        <w:tab/>
        <w:t>in accordance with regulations made under that Act.</w:t>
      </w:r>
    </w:p>
    <w:p>
      <w:pPr>
        <w:pStyle w:val="Subsection"/>
        <w:spacing w:before="120"/>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Indenta"/>
      </w:pPr>
      <w:r>
        <w:tab/>
        <w:t>(a)</w:t>
      </w:r>
      <w:r>
        <w:tab/>
        <w:t xml:space="preserve">the person — </w:t>
      </w:r>
    </w:p>
    <w:p>
      <w:pPr>
        <w:pStyle w:val="Indenti"/>
      </w:pPr>
      <w:r>
        <w:tab/>
        <w:t>(i)</w:t>
      </w:r>
      <w:r>
        <w:tab/>
        <w:t>holds an appropriate licence or an appropriate permit that authorises the manufacture or supply of the drug; or</w:t>
      </w:r>
    </w:p>
    <w:p>
      <w:pPr>
        <w:pStyle w:val="Indenti"/>
      </w:pPr>
      <w:r>
        <w:tab/>
        <w:t>(ii)</w:t>
      </w:r>
      <w:r>
        <w:tab/>
        <w:t>is authorised by a professional authority to manufacture or supply the drug; or</w:t>
      </w:r>
    </w:p>
    <w:p>
      <w:pPr>
        <w:pStyle w:val="Indenti"/>
        <w:keepNext/>
      </w:pPr>
      <w:r>
        <w:lastRenderedPageBreak/>
        <w:tab/>
        <w:t>(iii)</w:t>
      </w:r>
      <w:r>
        <w:tab/>
        <w:t>is an employee or agent of a person referred to in subparagraph (i) or (ii);</w:t>
      </w:r>
    </w:p>
    <w:p>
      <w:pPr>
        <w:pStyle w:val="Indenta"/>
      </w:pPr>
      <w:r>
        <w:tab/>
      </w:r>
      <w:r>
        <w:tab/>
        <w:t>and</w:t>
      </w:r>
    </w:p>
    <w:p>
      <w:pPr>
        <w:pStyle w:val="Indenta"/>
      </w:pPr>
      <w:r>
        <w:tab/>
        <w:t>(b)</w:t>
      </w:r>
      <w:r>
        <w:tab/>
        <w:t>the manufacture, preparation, sale or supply is in accordance with the licence, permit or authority.</w:t>
      </w:r>
    </w:p>
    <w:p>
      <w:pPr>
        <w:pStyle w:val="Subsection"/>
      </w:pPr>
      <w:r>
        <w:tab/>
        <w:t>(5)</w:t>
      </w:r>
      <w:r>
        <w:tab/>
        <w:t xml:space="preserve">For the purposes of this Act, a person is authorised under the </w:t>
      </w:r>
      <w:r>
        <w:rPr>
          <w:i/>
        </w:rPr>
        <w:t>Medicines and Poisons Act 2014</w:t>
      </w:r>
      <w:r>
        <w:t xml:space="preserve"> to possess a prohibited drug if — </w:t>
      </w:r>
    </w:p>
    <w:p>
      <w:pPr>
        <w:pStyle w:val="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Footnotesection"/>
      </w:pPr>
      <w:r>
        <w:tab/>
        <w:t>[Section 5B inserted: No. 13 of 2014 s. 169.]</w:t>
      </w:r>
    </w:p>
    <w:p>
      <w:pPr>
        <w:pStyle w:val="Heading5"/>
      </w:pPr>
      <w:bookmarkStart w:id="13" w:name="_Toc138751035"/>
      <w:r>
        <w:rPr>
          <w:rStyle w:val="CharSectno"/>
        </w:rPr>
        <w:lastRenderedPageBreak/>
        <w:t>5C</w:t>
      </w:r>
      <w:r>
        <w:t>.</w:t>
      </w:r>
      <w:r>
        <w:tab/>
        <w:t xml:space="preserve">Authorisation under </w:t>
      </w:r>
      <w:r>
        <w:rPr>
          <w:i/>
        </w:rPr>
        <w:t>Voluntary Assisted Dying Act 2019</w:t>
      </w:r>
      <w:bookmarkEnd w:id="13"/>
    </w:p>
    <w:p>
      <w:pPr>
        <w:pStyle w:val="Subsection"/>
      </w:pPr>
      <w:r>
        <w:tab/>
        <w:t>(1)</w:t>
      </w:r>
      <w:r>
        <w:tab/>
        <w:t xml:space="preserve">For the purposes of this Act, a person is authorised under the </w:t>
      </w:r>
      <w:r>
        <w:rPr>
          <w:i/>
        </w:rPr>
        <w:t>Voluntary Assisted Dying Act 2019</w:t>
      </w:r>
      <w:r>
        <w:t xml:space="preserve"> to prepare, sell or supply a prohibited drug if — </w:t>
      </w:r>
    </w:p>
    <w:p>
      <w:pPr>
        <w:pStyle w:val="Indenta"/>
      </w:pPr>
      <w:r>
        <w:tab/>
        <w:t>(a)</w:t>
      </w:r>
      <w:r>
        <w:tab/>
        <w:t>the person is authorised by section 58, 59, 63 or 67 of that Act to prepare or supply the drug; and</w:t>
      </w:r>
    </w:p>
    <w:p>
      <w:pPr>
        <w:pStyle w:val="Indenta"/>
      </w:pPr>
      <w:r>
        <w:tab/>
        <w:t>(b)</w:t>
      </w:r>
      <w:r>
        <w:tab/>
        <w:t>the preparation or supply is in accordance with that Act.</w:t>
      </w:r>
    </w:p>
    <w:p>
      <w:pPr>
        <w:pStyle w:val="Subsection"/>
      </w:pPr>
      <w:r>
        <w:tab/>
        <w:t>(2)</w:t>
      </w:r>
      <w:r>
        <w:tab/>
        <w:t xml:space="preserve">For the purposes of this Act, a person is authorised under the </w:t>
      </w:r>
      <w:r>
        <w:rPr>
          <w:i/>
        </w:rPr>
        <w:t>Voluntary Assisted Dying Act 2019</w:t>
      </w:r>
      <w:r>
        <w:t xml:space="preserve"> to possess a prohibited drug if — </w:t>
      </w:r>
    </w:p>
    <w:p>
      <w:pPr>
        <w:pStyle w:val="Indenta"/>
      </w:pPr>
      <w:r>
        <w:tab/>
        <w:t>(a)</w:t>
      </w:r>
      <w:r>
        <w:tab/>
        <w:t>the person is authorised by section 58, 59, 63, 67, 75 or 77 of that Act to receive or possess the drug; and</w:t>
      </w:r>
    </w:p>
    <w:p>
      <w:pPr>
        <w:pStyle w:val="Indenta"/>
      </w:pPr>
      <w:r>
        <w:tab/>
        <w:t>(b)</w:t>
      </w:r>
      <w:r>
        <w:tab/>
        <w:t>the receipt or possession is in accordance with that Act.</w:t>
      </w:r>
    </w:p>
    <w:p>
      <w:pPr>
        <w:pStyle w:val="Subsection"/>
      </w:pPr>
      <w:r>
        <w:tab/>
        <w:t>(3)</w:t>
      </w:r>
      <w:r>
        <w:tab/>
        <w:t xml:space="preserve">For the purposes of this Act, a person is authorised under the </w:t>
      </w:r>
      <w:r>
        <w:rPr>
          <w:i/>
        </w:rPr>
        <w:t>Voluntary Assisted Dying Act 2019</w:t>
      </w:r>
      <w:r>
        <w:t xml:space="preserve"> to use a prohibited drug if — </w:t>
      </w:r>
    </w:p>
    <w:p>
      <w:pPr>
        <w:pStyle w:val="Indenta"/>
      </w:pPr>
      <w:r>
        <w:tab/>
        <w:t>(a)</w:t>
      </w:r>
      <w:r>
        <w:tab/>
        <w:t>the person is authorised by section 58 or 59 of that Act to prepare, self</w:t>
      </w:r>
      <w:r>
        <w:noBreakHyphen/>
        <w:t>administer or administer the drug; and</w:t>
      </w:r>
    </w:p>
    <w:p>
      <w:pPr>
        <w:pStyle w:val="Indenta"/>
      </w:pPr>
      <w:r>
        <w:tab/>
        <w:t>(b)</w:t>
      </w:r>
      <w:r>
        <w:tab/>
        <w:t>the preparation, self</w:t>
      </w:r>
      <w:r>
        <w:noBreakHyphen/>
        <w:t>administration or administration is in accordance with that Act.</w:t>
      </w:r>
    </w:p>
    <w:p>
      <w:pPr>
        <w:pStyle w:val="Footnotesection"/>
      </w:pPr>
      <w:r>
        <w:tab/>
        <w:t>[Section 5C inserted: No. 27 of 2019 s. 181.]</w:t>
      </w:r>
    </w:p>
    <w:p>
      <w:pPr>
        <w:pStyle w:val="Heading2"/>
      </w:pPr>
      <w:bookmarkStart w:id="14" w:name="_Toc138689096"/>
      <w:bookmarkStart w:id="15" w:name="_Toc138691473"/>
      <w:bookmarkStart w:id="16" w:name="_Toc138751036"/>
      <w:r>
        <w:rPr>
          <w:rStyle w:val="CharPartNo"/>
        </w:rPr>
        <w:lastRenderedPageBreak/>
        <w:t>Part II</w:t>
      </w:r>
      <w:r>
        <w:rPr>
          <w:rStyle w:val="CharDivNo"/>
        </w:rPr>
        <w:t> </w:t>
      </w:r>
      <w:r>
        <w:t>—</w:t>
      </w:r>
      <w:r>
        <w:rPr>
          <w:rStyle w:val="CharDivText"/>
        </w:rPr>
        <w:t> </w:t>
      </w:r>
      <w:r>
        <w:rPr>
          <w:rStyle w:val="CharPartText"/>
        </w:rPr>
        <w:t>Offences relating to prohibited drugs and prohibited plants</w:t>
      </w:r>
      <w:bookmarkEnd w:id="14"/>
      <w:bookmarkEnd w:id="15"/>
      <w:bookmarkEnd w:id="16"/>
    </w:p>
    <w:p>
      <w:pPr>
        <w:pStyle w:val="Heading5"/>
        <w:rPr>
          <w:snapToGrid w:val="0"/>
        </w:rPr>
      </w:pPr>
      <w:bookmarkStart w:id="17" w:name="_Toc138751037"/>
      <w:r>
        <w:rPr>
          <w:rStyle w:val="CharSectno"/>
        </w:rPr>
        <w:t>5</w:t>
      </w:r>
      <w:r>
        <w:rPr>
          <w:snapToGrid w:val="0"/>
        </w:rPr>
        <w:t>.</w:t>
      </w:r>
      <w:r>
        <w:rPr>
          <w:snapToGrid w:val="0"/>
        </w:rPr>
        <w:tab/>
        <w:t>Offences concerned with prohibited drugs and prohibited plants in relation to premises and utensils</w:t>
      </w:r>
      <w:bookmarkEnd w:id="17"/>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pPr>
      <w:r>
        <w:tab/>
        <w:t>(3)</w:t>
      </w:r>
      <w:r>
        <w:tab/>
        <w:t xml:space="preserve">A person does not commit a simple offence under subsection (1)(a), (b) or (c) by reason only that premises are being used for the purpose of the manufacture, preparation, sale, </w:t>
      </w:r>
      <w:r>
        <w:lastRenderedPageBreak/>
        <w:t xml:space="preserve">supply or use of a prohibited drug or prohibited plant if the person proves — </w:t>
      </w:r>
    </w:p>
    <w:p>
      <w:pPr>
        <w:pStyle w:val="Indenta"/>
      </w:pPr>
      <w:r>
        <w:tab/>
        <w:t>(a)</w:t>
      </w:r>
      <w:r>
        <w:tab/>
        <w:t xml:space="preserve">that the manufacture, preparation, sale or supply of the drug or plant was authorised under this Act or the </w:t>
      </w:r>
      <w:r>
        <w:rPr>
          <w:i/>
        </w:rPr>
        <w:t>Medicines and Poisons Act 2014</w:t>
      </w:r>
      <w:r>
        <w:t>; or</w:t>
      </w:r>
    </w:p>
    <w:p>
      <w:pPr>
        <w:pStyle w:val="Indenta"/>
      </w:pPr>
      <w:r>
        <w:tab/>
        <w:t>(aa)</w:t>
      </w:r>
      <w:r>
        <w:tab/>
        <w:t xml:space="preserve">that the preparation, sale or supply of the drug was by a person authorised under the </w:t>
      </w:r>
      <w:r>
        <w:rPr>
          <w:i/>
        </w:rPr>
        <w:t>Voluntary Assisted Dying Act 2019</w:t>
      </w:r>
      <w:r>
        <w:t xml:space="preserve"> to prepare, sell or supply the drug; or</w:t>
      </w:r>
    </w:p>
    <w:p>
      <w:pPr>
        <w:pStyle w:val="Indenta"/>
      </w:pPr>
      <w:r>
        <w:tab/>
        <w:t>(b)</w:t>
      </w:r>
      <w:r>
        <w:tab/>
        <w:t xml:space="preserve">that the use of the drug or plant was by a person authorised under this Act, the </w:t>
      </w:r>
      <w:r>
        <w:rPr>
          <w:i/>
        </w:rPr>
        <w:t>Medicines and Poisons Act 2014</w:t>
      </w:r>
      <w:r>
        <w:t xml:space="preserve"> or the </w:t>
      </w:r>
      <w:r>
        <w:rPr>
          <w:i/>
        </w:rPr>
        <w:t>Voluntary Assisted Dying Act 2019</w:t>
      </w:r>
      <w:r>
        <w:t xml:space="preserve"> to use the drug or plant.</w:t>
      </w:r>
    </w:p>
    <w:p>
      <w:pPr>
        <w:pStyle w:val="Footnotesection"/>
      </w:pPr>
      <w:r>
        <w:tab/>
        <w:t>[Section 5 amended: No. 52 of 2003 s. 28; No. 44 of 2010 s. 4; No. 56 of 2011 s. 5; No. 13 of 2014 s. 170; No. 27 of 2019 s. 182.]</w:t>
      </w:r>
    </w:p>
    <w:p>
      <w:pPr>
        <w:pStyle w:val="Heading5"/>
      </w:pPr>
      <w:bookmarkStart w:id="18" w:name="_Toc138751038"/>
      <w:r>
        <w:rPr>
          <w:rStyle w:val="CharSectno"/>
        </w:rPr>
        <w:t>6</w:t>
      </w:r>
      <w:r>
        <w:t>.</w:t>
      </w:r>
      <w:r>
        <w:tab/>
        <w:t>Offences concerned with prohibited drugs generally</w:t>
      </w:r>
      <w:bookmarkEnd w:id="18"/>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it to another, has in his or her possession a prohibited drug; or</w:t>
      </w:r>
    </w:p>
    <w:p>
      <w:pPr>
        <w:pStyle w:val="Indenta"/>
        <w:rPr>
          <w:snapToGrid w:val="0"/>
        </w:rPr>
      </w:pPr>
      <w:r>
        <w:rPr>
          <w:snapToGrid w:val="0"/>
        </w:rPr>
        <w:tab/>
        <w:t>(b)</w:t>
      </w:r>
      <w:r>
        <w:rPr>
          <w:snapToGrid w:val="0"/>
        </w:rPr>
        <w:tab/>
        <w:t>manufactures or prepares a prohibited drug; or</w:t>
      </w:r>
    </w:p>
    <w:p>
      <w:pPr>
        <w:pStyle w:val="Indenta"/>
        <w:rPr>
          <w:snapToGrid w:val="0"/>
        </w:rPr>
      </w:pPr>
      <w:r>
        <w:rPr>
          <w:snapToGrid w:val="0"/>
        </w:rPr>
        <w:tab/>
        <w:t>(c)</w:t>
      </w:r>
      <w:r>
        <w:rPr>
          <w:snapToGrid w:val="0"/>
        </w:rPr>
        <w:tab/>
        <w:t>sells or supplies, or offers to sell or supply, a prohibited drug to another person.</w:t>
      </w:r>
    </w:p>
    <w:p>
      <w:pPr>
        <w:pStyle w:val="Subsection"/>
      </w:pPr>
      <w:r>
        <w:tab/>
        <w:t>(2)</w:t>
      </w:r>
      <w:r>
        <w:tab/>
        <w:t>A person who has in his or her possession or uses a prohibited drug commits a simple offence.</w:t>
      </w:r>
    </w:p>
    <w:p>
      <w:pPr>
        <w:pStyle w:val="Subsection"/>
      </w:pPr>
      <w:r>
        <w:tab/>
        <w:t>(3)</w:t>
      </w:r>
      <w:r>
        <w:tab/>
        <w:t xml:space="preserve">A person does not commit a crime under subsection (1) or a simple offence under subsection (2) by reason only of the person having in his or her possession a prohibited drug if the person proves that — </w:t>
      </w:r>
    </w:p>
    <w:p>
      <w:pPr>
        <w:pStyle w:val="Indenta"/>
      </w:pPr>
      <w:r>
        <w:tab/>
        <w:t>(a)</w:t>
      </w:r>
      <w:r>
        <w:tab/>
        <w:t xml:space="preserve">he or she was authorised by or </w:t>
      </w:r>
      <w:r>
        <w:rPr>
          <w:snapToGrid w:val="0"/>
        </w:rPr>
        <w:t xml:space="preserve">under this </w:t>
      </w:r>
      <w:r>
        <w:t xml:space="preserve">Act, the </w:t>
      </w:r>
      <w:r>
        <w:rPr>
          <w:i/>
        </w:rPr>
        <w:t>Medicines and Poisons Act 2014</w:t>
      </w:r>
      <w:r>
        <w:t xml:space="preserve"> or the </w:t>
      </w:r>
      <w:r>
        <w:rPr>
          <w:i/>
        </w:rPr>
        <w:t>Voluntary Assisted Dying Act 2019</w:t>
      </w:r>
      <w:r>
        <w:t xml:space="preserve"> to have possession of the drug; or</w:t>
      </w:r>
    </w:p>
    <w:p>
      <w:pPr>
        <w:pStyle w:val="Indenta"/>
      </w:pPr>
      <w:r>
        <w:lastRenderedPageBreak/>
        <w:tab/>
        <w:t>(b)</w:t>
      </w:r>
      <w:r>
        <w:tab/>
        <w:t xml:space="preserve">he or she had possession of the drug only for the purpose of delivering it to a person authorised to possess the drug under this Act, the </w:t>
      </w:r>
      <w:r>
        <w:rPr>
          <w:i/>
        </w:rPr>
        <w:t>Medicines and Poisons Act 2014</w:t>
      </w:r>
      <w:r>
        <w:t xml:space="preserve"> or the </w:t>
      </w:r>
      <w:r>
        <w:rPr>
          <w:i/>
        </w:rPr>
        <w:t>Voluntary Assisted Dying Act 2019</w:t>
      </w:r>
      <w:r>
        <w:t xml:space="preserve"> and he or she took all reasonable steps to deliver the drug to the person; or</w:t>
      </w:r>
    </w:p>
    <w:p>
      <w:pPr>
        <w:pStyle w:val="Indenta"/>
      </w:pPr>
      <w:r>
        <w:tab/>
        <w:t>(c)</w:t>
      </w:r>
      <w:r>
        <w:tab/>
        <w:t>he or she had possession of the drug for the purpose of analysing, examining or otherwise dealing with it for the purposes of this Act in his or her capacity as an analyst, botanist or other expert.</w:t>
      </w:r>
    </w:p>
    <w:p>
      <w:pPr>
        <w:pStyle w:val="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the </w:t>
      </w:r>
      <w:r>
        <w:rPr>
          <w:i/>
        </w:rPr>
        <w:t>Medicines and Poisons Act 2014</w:t>
      </w:r>
      <w:r>
        <w:t xml:space="preserve"> or the </w:t>
      </w:r>
      <w:r>
        <w:rPr>
          <w:i/>
        </w:rPr>
        <w:t>Voluntary Assisted Dying Act 2019</w:t>
      </w:r>
      <w:r>
        <w:t>.</w:t>
      </w:r>
    </w:p>
    <w:p>
      <w:pPr>
        <w:pStyle w:val="Subsection"/>
      </w:pPr>
      <w:r>
        <w:tab/>
        <w:t>(5)</w:t>
      </w:r>
      <w:r>
        <w:tab/>
        <w:t xml:space="preserve">A person does not commit a simple offence under subsection (2) by reason only of using a prohibited drug if the person proves that he or she was a person authorised under this Act, the </w:t>
      </w:r>
      <w:r>
        <w:rPr>
          <w:i/>
        </w:rPr>
        <w:t>Medicines and Poisons Act 2014</w:t>
      </w:r>
      <w:r>
        <w:t xml:space="preserve"> or the </w:t>
      </w:r>
      <w:r>
        <w:rPr>
          <w:i/>
        </w:rPr>
        <w:t>Voluntary Assisted Dying Act 2019</w:t>
      </w:r>
      <w:r>
        <w:t>.</w:t>
      </w:r>
    </w:p>
    <w:p>
      <w:pPr>
        <w:pStyle w:val="Footnotesection"/>
      </w:pPr>
      <w:r>
        <w:tab/>
        <w:t>[Section 6 inserted: No. 13 of 2014 s. 171; amended: No. 27 of 2019 s. 183.]</w:t>
      </w:r>
    </w:p>
    <w:p>
      <w:pPr>
        <w:pStyle w:val="Heading5"/>
        <w:rPr>
          <w:snapToGrid w:val="0"/>
        </w:rPr>
      </w:pPr>
      <w:bookmarkStart w:id="19" w:name="_Toc138751039"/>
      <w:r>
        <w:rPr>
          <w:rStyle w:val="CharSectno"/>
        </w:rPr>
        <w:t>7</w:t>
      </w:r>
      <w:r>
        <w:rPr>
          <w:snapToGrid w:val="0"/>
        </w:rPr>
        <w:t>.</w:t>
      </w:r>
      <w:r>
        <w:rPr>
          <w:snapToGrid w:val="0"/>
        </w:rPr>
        <w:tab/>
        <w:t>Offences concerned with prohibited plants generally</w:t>
      </w:r>
      <w:bookmarkEnd w:id="19"/>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Indenta"/>
        <w:rPr>
          <w:snapToGrid w:val="0"/>
        </w:rPr>
      </w:pPr>
      <w:r>
        <w:rPr>
          <w:snapToGrid w:val="0"/>
        </w:rPr>
        <w:tab/>
        <w:t>(b)</w:t>
      </w:r>
      <w:r>
        <w:rPr>
          <w:snapToGrid w:val="0"/>
        </w:rPr>
        <w:tab/>
        <w:t>sells or supplies, or offers to sell or supply, a prohibited plant to another person.</w:t>
      </w:r>
    </w:p>
    <w:p>
      <w:pPr>
        <w:pStyle w:val="Subsection"/>
        <w:rPr>
          <w:snapToGrid w:val="0"/>
        </w:rPr>
      </w:pPr>
      <w:r>
        <w:rPr>
          <w:snapToGrid w:val="0"/>
        </w:rPr>
        <w:lastRenderedPageBreak/>
        <w:tab/>
        <w:t>(2)</w:t>
      </w:r>
      <w:r>
        <w:rPr>
          <w:snapToGrid w:val="0"/>
        </w:rPr>
        <w:tab/>
        <w:t xml:space="preserve">A person who has in his or her possession or cultivates a prohibited plant commits a simple offence. </w:t>
      </w:r>
    </w:p>
    <w:p>
      <w:pPr>
        <w:pStyle w:val="Subsection"/>
      </w:pPr>
      <w:r>
        <w:tab/>
        <w:t>(3)</w:t>
      </w:r>
      <w:r>
        <w:tab/>
        <w:t xml:space="preserve">A person does not commit a crime under subsection (1) or a simple offence under subsection (2) by reason only of the person having in his or her possession a prohibited plant if the person proves that — </w:t>
      </w:r>
    </w:p>
    <w:p>
      <w:pPr>
        <w:pStyle w:val="Indenta"/>
      </w:pPr>
      <w:r>
        <w:tab/>
        <w:t>(a)</w:t>
      </w:r>
      <w:r>
        <w:tab/>
        <w:t xml:space="preserve">he or she was authorised by or </w:t>
      </w:r>
      <w:r>
        <w:rPr>
          <w:snapToGrid w:val="0"/>
        </w:rPr>
        <w:t xml:space="preserve">under this </w:t>
      </w:r>
      <w:r>
        <w:t xml:space="preserve">Act, the </w:t>
      </w:r>
      <w:r>
        <w:rPr>
          <w:i/>
        </w:rPr>
        <w:t>Medicines and Poisons Act 2014</w:t>
      </w:r>
      <w:r>
        <w:t xml:space="preserve"> or the </w:t>
      </w:r>
      <w:r>
        <w:rPr>
          <w:i/>
        </w:rPr>
        <w:t>Voluntary Assisted Dying Act 2019</w:t>
      </w:r>
      <w:r>
        <w:t xml:space="preserve"> to have possession of a prohibited drug obtainable from the plant; or</w:t>
      </w:r>
    </w:p>
    <w:p>
      <w:pPr>
        <w:pStyle w:val="Indenta"/>
      </w:pPr>
      <w:r>
        <w:tab/>
        <w:t>(b)</w:t>
      </w:r>
      <w:r>
        <w:tab/>
        <w:t xml:space="preserve">he or she had possession of the plant only for the purpose of delivering it to a person authorised to have possession of a drug obtainable from the plant under this Act, the </w:t>
      </w:r>
      <w:r>
        <w:rPr>
          <w:i/>
        </w:rPr>
        <w:t>Medicines and Poisons Act 2014</w:t>
      </w:r>
      <w:r>
        <w:t xml:space="preserve"> or the </w:t>
      </w:r>
      <w:r>
        <w:rPr>
          <w:i/>
        </w:rPr>
        <w:t>Voluntary Assisted Dying Act 2019</w:t>
      </w:r>
      <w:r>
        <w:t xml:space="preserve"> and he or she took all reasonable steps to deliver the drug to the person; or</w:t>
      </w:r>
    </w:p>
    <w:p>
      <w:pPr>
        <w:pStyle w:val="Indenta"/>
      </w:pPr>
      <w:r>
        <w:tab/>
        <w:t>(c)</w:t>
      </w:r>
      <w:r>
        <w:tab/>
        <w:t>he or she had possession of the plant for the purpose of analysing, examining or otherwise dealing with it for the purposes of this Act in his or her capacity as an analyst, botanist or other expert.</w:t>
      </w:r>
    </w:p>
    <w:p>
      <w:pPr>
        <w:pStyle w:val="Footnotesection"/>
      </w:pPr>
      <w:r>
        <w:tab/>
        <w:t>[Section 7 inserted: No. 13 of 2014 s. 171; amended: No. 27 of 2019 s. 184.]</w:t>
      </w:r>
    </w:p>
    <w:p>
      <w:pPr>
        <w:pStyle w:val="Heading5"/>
        <w:rPr>
          <w:snapToGrid w:val="0"/>
        </w:rPr>
      </w:pPr>
      <w:bookmarkStart w:id="20" w:name="_Toc138751040"/>
      <w:r>
        <w:rPr>
          <w:rStyle w:val="CharSectno"/>
        </w:rPr>
        <w:t>7A</w:t>
      </w:r>
      <w:r>
        <w:rPr>
          <w:snapToGrid w:val="0"/>
        </w:rPr>
        <w:t>.</w:t>
      </w:r>
      <w:r>
        <w:rPr>
          <w:snapToGrid w:val="0"/>
        </w:rPr>
        <w:tab/>
        <w:t>Selling or supplying a thing knowing it will be used in hydroponic cultivation of prohibited plants</w:t>
      </w:r>
      <w:bookmarkEnd w:id="20"/>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 xml:space="preserve">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w:t>
      </w:r>
      <w:r>
        <w:rPr>
          <w:snapToGrid w:val="0"/>
        </w:rPr>
        <w:lastRenderedPageBreak/>
        <w:t>to another, any thing that may be used to cultivate plants by hydroponic means.</w:t>
      </w:r>
    </w:p>
    <w:p>
      <w:pPr>
        <w:pStyle w:val="Subsection"/>
        <w:spacing w:before="140"/>
        <w:rPr>
          <w:snapToGrid w:val="0"/>
        </w:rPr>
      </w:pPr>
      <w:r>
        <w:rPr>
          <w:snapToGrid w:val="0"/>
        </w:rPr>
        <w:tab/>
        <w:t>(3)</w:t>
      </w:r>
      <w:r>
        <w:rPr>
          <w:snapToGrid w:val="0"/>
        </w:rPr>
        <w:tab/>
        <w:t>A person who contravenes an order under subsection (2) is guilty of a simple offence.</w:t>
      </w:r>
    </w:p>
    <w:p>
      <w:pPr>
        <w:pStyle w:val="Footnotesection"/>
        <w:spacing w:before="100"/>
        <w:rPr>
          <w:snapToGrid/>
        </w:rPr>
      </w:pPr>
      <w:r>
        <w:rPr>
          <w:snapToGrid/>
        </w:rPr>
        <w:tab/>
        <w:t>[Section 7A inserted: No. 52 of 2003 s. 29.]</w:t>
      </w:r>
    </w:p>
    <w:p>
      <w:pPr>
        <w:pStyle w:val="Heading5"/>
      </w:pPr>
      <w:bookmarkStart w:id="21" w:name="_Toc138751041"/>
      <w:r>
        <w:rPr>
          <w:rStyle w:val="CharSectno"/>
        </w:rPr>
        <w:t>7B</w:t>
      </w:r>
      <w:r>
        <w:t>.</w:t>
      </w:r>
      <w:r>
        <w:tab/>
        <w:t>Drug paraphernalia, offences as to</w:t>
      </w:r>
      <w:bookmarkEnd w:id="21"/>
    </w:p>
    <w:p>
      <w:pPr>
        <w:pStyle w:val="Subsection"/>
        <w:spacing w:before="140"/>
      </w:pPr>
      <w:r>
        <w:tab/>
        <w:t>(1)</w:t>
      </w:r>
      <w:r>
        <w:tab/>
        <w:t>In this section —</w:t>
      </w:r>
    </w:p>
    <w:p>
      <w:pPr>
        <w:pStyle w:val="Defstart"/>
      </w:pPr>
      <w:r>
        <w:tab/>
      </w:r>
      <w:r>
        <w:rPr>
          <w:rStyle w:val="CharDefText"/>
        </w:rPr>
        <w:t>display</w:t>
      </w:r>
      <w:r>
        <w:t>, in relation to drug paraphernalia, includes to authorise or allow drug paraphernalia to be displayed;</w:t>
      </w:r>
    </w:p>
    <w:p>
      <w:pPr>
        <w:pStyle w:val="Defstart"/>
        <w:keepNext/>
      </w:pPr>
      <w:r>
        <w:tab/>
      </w:r>
      <w:r>
        <w:rPr>
          <w:rStyle w:val="CharDefText"/>
        </w:rPr>
        <w:t>drug paraphernalia</w:t>
      </w:r>
      <w:r>
        <w:t xml:space="preserve"> means —</w:t>
      </w:r>
    </w:p>
    <w:p>
      <w:pPr>
        <w:pStyle w:val="Defpara"/>
        <w:spacing w:before="60"/>
      </w:pPr>
      <w:r>
        <w:tab/>
        <w:t>(a)</w:t>
      </w:r>
      <w:r>
        <w:tab/>
        <w:t>any thing made or modified to be used in connection with manufacturing or preparing a prohibited drug or a prohibited plant —</w:t>
      </w:r>
    </w:p>
    <w:p>
      <w:pPr>
        <w:pStyle w:val="Defsubpara"/>
        <w:spacing w:before="60"/>
      </w:pPr>
      <w:r>
        <w:tab/>
        <w:t>(i)</w:t>
      </w:r>
      <w:r>
        <w:tab/>
        <w:t>for administration to a person; or</w:t>
      </w:r>
    </w:p>
    <w:p>
      <w:pPr>
        <w:pStyle w:val="Defsubpara"/>
        <w:spacing w:before="60"/>
      </w:pPr>
      <w:r>
        <w:tab/>
        <w:t>(ii)</w:t>
      </w:r>
      <w:r>
        <w:tab/>
        <w:t>for smoking, inhaling or ingesting by a person; or</w:t>
      </w:r>
    </w:p>
    <w:p>
      <w:pPr>
        <w:pStyle w:val="Defsubpara"/>
        <w:spacing w:before="60"/>
      </w:pPr>
      <w:r>
        <w:tab/>
        <w:t>(iii)</w:t>
      </w:r>
      <w:r>
        <w:tab/>
        <w:t>to be burned or heated so its smoke or fumes can be smoked or inhaled by a person;</w:t>
      </w:r>
    </w:p>
    <w:p>
      <w:pPr>
        <w:pStyle w:val="Defpara"/>
        <w:spacing w:before="60"/>
      </w:pPr>
      <w:r>
        <w:tab/>
      </w:r>
      <w:r>
        <w:tab/>
        <w:t>or</w:t>
      </w:r>
    </w:p>
    <w:p>
      <w:pPr>
        <w:pStyle w:val="Defpara"/>
        <w:spacing w:before="60"/>
      </w:pPr>
      <w:r>
        <w:tab/>
        <w:t>(b)</w:t>
      </w:r>
      <w:r>
        <w:tab/>
        <w:t>any thing made or modified to be used by a person —</w:t>
      </w:r>
    </w:p>
    <w:p>
      <w:pPr>
        <w:pStyle w:val="Defsubpara"/>
        <w:spacing w:before="60"/>
      </w:pPr>
      <w:r>
        <w:tab/>
        <w:t>(i)</w:t>
      </w:r>
      <w:r>
        <w:tab/>
        <w:t>to administer a prohibited drug or a prohibited plant to a person; or</w:t>
      </w:r>
    </w:p>
    <w:p>
      <w:pPr>
        <w:pStyle w:val="Defsubpara"/>
        <w:spacing w:before="60"/>
      </w:pPr>
      <w:r>
        <w:tab/>
        <w:t>(ii)</w:t>
      </w:r>
      <w:r>
        <w:tab/>
        <w:t>to smoke, inhale or ingest a prohibited drug or a prohibited plant; or</w:t>
      </w:r>
    </w:p>
    <w:p>
      <w:pPr>
        <w:pStyle w:val="Defsubpara"/>
        <w:spacing w:before="60"/>
      </w:pPr>
      <w:r>
        <w:tab/>
        <w:t>(iii)</w:t>
      </w:r>
      <w:r>
        <w:tab/>
        <w:t>to smoke or inhale the smoke or fumes resulting from burning or heating a prohibited drug or a prohibited plant.</w:t>
      </w:r>
    </w:p>
    <w:p>
      <w:pPr>
        <w:pStyle w:val="Subsection"/>
        <w:spacing w:before="140"/>
      </w:pPr>
      <w:r>
        <w:tab/>
        <w:t>(2)</w:t>
      </w:r>
      <w:r>
        <w:tab/>
        <w:t>A person who displays any drug paraphernalia for sale in a retail outlet commits a simple offence.</w:t>
      </w:r>
    </w:p>
    <w:p>
      <w:pPr>
        <w:pStyle w:val="Penstart"/>
      </w:pPr>
      <w:r>
        <w:tab/>
        <w:t>Penalty: a fine of $10 000.</w:t>
      </w:r>
    </w:p>
    <w:p>
      <w:pPr>
        <w:pStyle w:val="Subsection"/>
      </w:pPr>
      <w:r>
        <w:lastRenderedPageBreak/>
        <w:tab/>
        <w:t>(3)</w:t>
      </w:r>
      <w:r>
        <w:tab/>
        <w:t>A person who sells any drug paraphernalia to an adult commits a simple offence.</w:t>
      </w:r>
    </w:p>
    <w:p>
      <w:pPr>
        <w:pStyle w:val="Penstart"/>
      </w:pPr>
      <w:r>
        <w:tab/>
        <w:t>Penalty: a fine of $10 000.</w:t>
      </w:r>
    </w:p>
    <w:p>
      <w:pPr>
        <w:pStyle w:val="Subsection"/>
      </w:pPr>
      <w:r>
        <w:tab/>
        <w:t>(4)</w:t>
      </w:r>
      <w:r>
        <w:tab/>
        <w:t>A person who sells any drug paraphernalia to a child commits a simple offence.</w:t>
      </w:r>
    </w:p>
    <w:p>
      <w:pPr>
        <w:pStyle w:val="Penstart"/>
      </w:pPr>
      <w:r>
        <w:tab/>
        <w:t>Penalty: a fine of $24 000 or imprisonment for 2 years or both.</w:t>
      </w:r>
    </w:p>
    <w:p>
      <w:pPr>
        <w:pStyle w:val="Subsection"/>
      </w:pPr>
      <w:r>
        <w:tab/>
        <w:t>(5)</w:t>
      </w:r>
      <w:r>
        <w:tab/>
        <w:t>It is a defence to a charge of an offence under subsection (2), (3) or (4) to prove —</w:t>
      </w:r>
    </w:p>
    <w:p>
      <w:pPr>
        <w:pStyle w:val="Indenta"/>
      </w:pPr>
      <w:r>
        <w:tab/>
        <w:t>(a)</w:t>
      </w:r>
      <w:r>
        <w:tab/>
        <w:t>the accused was a person prescribed; or</w:t>
      </w:r>
    </w:p>
    <w:p>
      <w:pPr>
        <w:pStyle w:val="Indenta"/>
      </w:pPr>
      <w:r>
        <w:tab/>
        <w:t>(b)</w:t>
      </w:r>
      <w:r>
        <w:tab/>
        <w:t>the drug paraphernalia displayed or sold was a thing prescribed or of a class prescribed; or</w:t>
      </w:r>
    </w:p>
    <w:p>
      <w:pPr>
        <w:pStyle w:val="Indenta"/>
      </w:pPr>
      <w:r>
        <w:tab/>
        <w:t>(c)</w:t>
      </w:r>
      <w:r>
        <w:tab/>
        <w:t>the display or sale occurred in circumstances prescribed,</w:t>
      </w:r>
    </w:p>
    <w:p>
      <w:pPr>
        <w:pStyle w:val="Subsection"/>
      </w:pPr>
      <w:r>
        <w:tab/>
      </w:r>
      <w:r>
        <w:tab/>
        <w:t>for the purposes of that subsection.</w:t>
      </w:r>
    </w:p>
    <w:p>
      <w:pPr>
        <w:pStyle w:val="Subsection"/>
      </w:pPr>
      <w:r>
        <w:tab/>
        <w:t>(6)</w:t>
      </w:r>
      <w:r>
        <w:tab/>
        <w:t>A person who is in possession of any drug paraphernalia in or on which there is a prohibited drug or a prohibited plant commits a simple offence.</w:t>
      </w:r>
    </w:p>
    <w:p>
      <w:pPr>
        <w:pStyle w:val="Penstart"/>
      </w:pPr>
      <w:r>
        <w:tab/>
        <w:t>Penalty: a fine of $36 000 or imprisonment for 3 years or both.</w:t>
      </w:r>
    </w:p>
    <w:p>
      <w:pPr>
        <w:pStyle w:val="Subsection"/>
      </w:pPr>
      <w:r>
        <w:tab/>
        <w:t>(7)</w:t>
      </w:r>
      <w:r>
        <w:tab/>
        <w:t>It is a defence to a charge of an offence under subsection (6) to prove —</w:t>
      </w:r>
    </w:p>
    <w:p>
      <w:pPr>
        <w:pStyle w:val="Indenta"/>
      </w:pPr>
      <w:r>
        <w:tab/>
        <w:t>(a)</w:t>
      </w:r>
      <w:r>
        <w:tab/>
        <w:t xml:space="preserve">the accused was authorised by or under this Act, the </w:t>
      </w:r>
      <w:r>
        <w:rPr>
          <w:i/>
        </w:rPr>
        <w:t>Medicines and Poisons Act 2014</w:t>
      </w:r>
      <w:r>
        <w:t xml:space="preserve"> or the </w:t>
      </w:r>
      <w:r>
        <w:rPr>
          <w:i/>
        </w:rPr>
        <w:t>Voluntary Assisted Dying Act 2019</w:t>
      </w:r>
      <w:r>
        <w:t xml:space="preserve"> to possess the prohibited drug or prohibited plant; or</w:t>
      </w:r>
    </w:p>
    <w:p>
      <w:pPr>
        <w:pStyle w:val="Indenta"/>
      </w:pPr>
      <w:r>
        <w:tab/>
        <w:t>(b)</w:t>
      </w:r>
      <w:r>
        <w:tab/>
        <w:t>the accused had possession of the drug paraphernalia —</w:t>
      </w:r>
    </w:p>
    <w:p>
      <w:pPr>
        <w:pStyle w:val="Indenti"/>
      </w:pPr>
      <w:r>
        <w:tab/>
        <w:t>(i)</w:t>
      </w:r>
      <w:r>
        <w:tab/>
        <w:t xml:space="preserve">only for the purpose of delivering it to a person authorised under this Act, the </w:t>
      </w:r>
      <w:r>
        <w:rPr>
          <w:i/>
        </w:rPr>
        <w:t>Medicines and Poisons Act 2014</w:t>
      </w:r>
      <w:r>
        <w:t xml:space="preserve"> or the </w:t>
      </w:r>
      <w:r>
        <w:rPr>
          <w:i/>
        </w:rPr>
        <w:t>Voluntary Assisted Dying Act 2019</w:t>
      </w:r>
      <w:r>
        <w:t xml:space="preserve"> to have possession of any prohibited drug or prohibited plant in or on it; and</w:t>
      </w:r>
    </w:p>
    <w:p>
      <w:pPr>
        <w:pStyle w:val="Indenti"/>
      </w:pPr>
      <w:r>
        <w:lastRenderedPageBreak/>
        <w:tab/>
        <w:t>(ii)</w:t>
      </w:r>
      <w:r>
        <w:tab/>
        <w:t>in accordance with the authority in writing of the person so authorised,</w:t>
      </w:r>
    </w:p>
    <w:p>
      <w:pPr>
        <w:pStyle w:val="Indenta"/>
      </w:pPr>
      <w:r>
        <w:tab/>
      </w:r>
      <w:r>
        <w:tab/>
        <w:t>and that, after taking possession of the drug paraphernalia, the accused took all such steps as were reasonably open to the accused to deliver it into the possession of that person; or</w:t>
      </w:r>
    </w:p>
    <w:p>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Footnotesection"/>
        <w:rPr>
          <w:snapToGrid/>
        </w:rPr>
      </w:pPr>
      <w:r>
        <w:rPr>
          <w:snapToGrid/>
        </w:rPr>
        <w:tab/>
        <w:t>[Section 7B inserted: No. 56 of 2011 s. 6; amended: No. 13 of 2014 s.172; No. 27 of 2019 s. 185.]</w:t>
      </w:r>
    </w:p>
    <w:p>
      <w:pPr>
        <w:pStyle w:val="Ednotesection"/>
      </w:pPr>
      <w:r>
        <w:t>[</w:t>
      </w:r>
      <w:r>
        <w:rPr>
          <w:b/>
        </w:rPr>
        <w:t>8.</w:t>
      </w:r>
      <w:r>
        <w:tab/>
        <w:t xml:space="preserve">Deleted: No. 13 of 2014 s. 173.] </w:t>
      </w:r>
    </w:p>
    <w:p>
      <w:pPr>
        <w:pStyle w:val="Heading5"/>
        <w:spacing w:before="240"/>
      </w:pPr>
      <w:bookmarkStart w:id="22" w:name="_Toc138751042"/>
      <w:r>
        <w:rPr>
          <w:rStyle w:val="CharSectno"/>
        </w:rPr>
        <w:t>8A</w:t>
      </w:r>
      <w:r>
        <w:t>.</w:t>
      </w:r>
      <w:r>
        <w:tab/>
        <w:t>Defences relating to industrial hemp or industrial hemp seed</w:t>
      </w:r>
      <w:bookmarkEnd w:id="22"/>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lastRenderedPageBreak/>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keepNext/>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lastRenderedPageBreak/>
        <w:tab/>
      </w:r>
      <w:r>
        <w:tab/>
        <w:t>for an offence against section 6(1)(b) involving manufacturing or preparing a prohibited drug, it is a defence for the person to prove that the prohibited drug is industrial hemp or industrial hemp seed.</w:t>
      </w:r>
    </w:p>
    <w:p>
      <w:pPr>
        <w:pStyle w:val="Subsection"/>
        <w:keepNext/>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keepNext/>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keepNext/>
      </w:pPr>
      <w:r>
        <w:lastRenderedPageBreak/>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No. 1 of 2004 s. 54.]</w:t>
      </w:r>
    </w:p>
    <w:p>
      <w:pPr>
        <w:pStyle w:val="Heading2"/>
      </w:pPr>
      <w:bookmarkStart w:id="23" w:name="_Toc138689103"/>
      <w:bookmarkStart w:id="24" w:name="_Toc138691480"/>
      <w:bookmarkStart w:id="25" w:name="_Toc138751043"/>
      <w:r>
        <w:rPr>
          <w:rStyle w:val="CharPartNo"/>
        </w:rPr>
        <w:lastRenderedPageBreak/>
        <w:t>Part IIIA</w:t>
      </w:r>
      <w:r>
        <w:rPr>
          <w:b w:val="0"/>
        </w:rPr>
        <w:t> </w:t>
      </w:r>
      <w:r>
        <w:t>—</w:t>
      </w:r>
      <w:r>
        <w:rPr>
          <w:b w:val="0"/>
        </w:rPr>
        <w:t> </w:t>
      </w:r>
      <w:r>
        <w:rPr>
          <w:rStyle w:val="CharPartText"/>
        </w:rPr>
        <w:t>Cannabis intervention</w:t>
      </w:r>
      <w:bookmarkEnd w:id="23"/>
      <w:bookmarkEnd w:id="24"/>
      <w:bookmarkEnd w:id="25"/>
    </w:p>
    <w:p>
      <w:pPr>
        <w:pStyle w:val="Footnoteheading"/>
      </w:pPr>
      <w:r>
        <w:tab/>
        <w:t>[Heading inserted: No. 45 of 2010 s. 6.]</w:t>
      </w:r>
    </w:p>
    <w:p>
      <w:pPr>
        <w:pStyle w:val="Heading3"/>
      </w:pPr>
      <w:bookmarkStart w:id="26" w:name="_Toc138689104"/>
      <w:bookmarkStart w:id="27" w:name="_Toc138691481"/>
      <w:bookmarkStart w:id="28" w:name="_Toc138751044"/>
      <w:r>
        <w:rPr>
          <w:rStyle w:val="CharDivNo"/>
        </w:rPr>
        <w:t>Division 1</w:t>
      </w:r>
      <w:r>
        <w:t> — </w:t>
      </w:r>
      <w:r>
        <w:rPr>
          <w:rStyle w:val="CharDivText"/>
        </w:rPr>
        <w:t>Preliminary</w:t>
      </w:r>
      <w:bookmarkEnd w:id="26"/>
      <w:bookmarkEnd w:id="27"/>
      <w:bookmarkEnd w:id="28"/>
    </w:p>
    <w:p>
      <w:pPr>
        <w:pStyle w:val="Footnoteheading"/>
      </w:pPr>
      <w:r>
        <w:tab/>
        <w:t>[Heading inserted: No. 45 of 2010 s. 6.]</w:t>
      </w:r>
    </w:p>
    <w:p>
      <w:pPr>
        <w:pStyle w:val="Heading5"/>
      </w:pPr>
      <w:bookmarkStart w:id="29" w:name="_Toc138751045"/>
      <w:r>
        <w:rPr>
          <w:rStyle w:val="CharSectno"/>
        </w:rPr>
        <w:t>8B</w:t>
      </w:r>
      <w:r>
        <w:t>.</w:t>
      </w:r>
      <w:r>
        <w:tab/>
        <w:t>Terms used</w:t>
      </w:r>
      <w:bookmarkEnd w:id="29"/>
    </w:p>
    <w:p>
      <w:pPr>
        <w:pStyle w:val="Subsection"/>
      </w:pPr>
      <w:r>
        <w:tab/>
        <w:t>(1)</w:t>
      </w:r>
      <w:r>
        <w:tab/>
        <w:t xml:space="preserve">In this Part — </w:t>
      </w:r>
    </w:p>
    <w:p>
      <w:pPr>
        <w:pStyle w:val="Defstart"/>
        <w:spacing w:before="60"/>
      </w:pPr>
      <w:r>
        <w:tab/>
      </w:r>
      <w:r>
        <w:rPr>
          <w:rStyle w:val="CharDefText"/>
        </w:rPr>
        <w:t>adult</w:t>
      </w:r>
      <w:r>
        <w:rPr>
          <w:szCs w:val="22"/>
        </w:rPr>
        <w:t xml:space="preserve"> means a person who is not a young person;</w:t>
      </w:r>
    </w:p>
    <w:p>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pPr>
        <w:pStyle w:val="Defstart"/>
        <w:spacing w:before="60"/>
      </w:pPr>
      <w:r>
        <w:tab/>
      </w:r>
      <w:r>
        <w:rPr>
          <w:rStyle w:val="CharDefText"/>
        </w:rPr>
        <w:t>cannabis intervention requirement</w:t>
      </w:r>
      <w:r>
        <w:t xml:space="preserve"> means a notice referred to in section 8F;</w:t>
      </w:r>
    </w:p>
    <w:p>
      <w:pPr>
        <w:pStyle w:val="Defstart"/>
        <w:spacing w:before="60"/>
      </w:pPr>
      <w:r>
        <w:tab/>
      </w:r>
      <w:r>
        <w:rPr>
          <w:rStyle w:val="CharDefText"/>
        </w:rPr>
        <w:t>cannabis intervention session</w:t>
      </w:r>
      <w:r>
        <w:t xml:space="preserve"> means a cannabis intervention session — </w:t>
      </w:r>
    </w:p>
    <w:p>
      <w:pPr>
        <w:pStyle w:val="Defpara"/>
        <w:spacing w:before="60"/>
      </w:pPr>
      <w:r>
        <w:tab/>
        <w:t>(a)</w:t>
      </w:r>
      <w:r>
        <w:tab/>
        <w:t>provided by a treatment provider approved under section 8J(2)(b); and</w:t>
      </w:r>
    </w:p>
    <w:p>
      <w:pPr>
        <w:pStyle w:val="Defpara"/>
        <w:spacing w:before="60"/>
      </w:pPr>
      <w:r>
        <w:tab/>
        <w:t>(b)</w:t>
      </w:r>
      <w:r>
        <w:tab/>
        <w:t>the content of which is approved under section 8J(2)(a);</w:t>
      </w:r>
    </w:p>
    <w:p>
      <w:pPr>
        <w:pStyle w:val="Defstart"/>
        <w:spacing w:before="60"/>
      </w:pPr>
      <w:r>
        <w:tab/>
      </w:r>
      <w:r>
        <w:rPr>
          <w:rStyle w:val="CharDefText"/>
        </w:rPr>
        <w:t>CEO (Health)</w:t>
      </w:r>
      <w:r>
        <w:t xml:space="preserve"> has the meaning given in section 38D(1);</w:t>
      </w:r>
    </w:p>
    <w:p>
      <w:pPr>
        <w:pStyle w:val="Defstart"/>
        <w:spacing w:before="60"/>
      </w:pPr>
      <w:r>
        <w:tab/>
      </w:r>
      <w:r>
        <w:rPr>
          <w:rStyle w:val="CharDefText"/>
        </w:rPr>
        <w:t>minor cannabis related offence</w:t>
      </w:r>
      <w:r>
        <w:t xml:space="preserve"> means — </w:t>
      </w:r>
    </w:p>
    <w:p>
      <w:pPr>
        <w:pStyle w:val="Defpara"/>
        <w:spacing w:before="60"/>
      </w:pPr>
      <w:r>
        <w:tab/>
        <w:t>(a)</w:t>
      </w:r>
      <w:r>
        <w:tab/>
        <w:t>an offence under section 5(1)(d)(i) or 7B(6) that involves cannabis; and</w:t>
      </w:r>
    </w:p>
    <w:p>
      <w:pPr>
        <w:pStyle w:val="Defpara"/>
        <w:spacing w:before="60"/>
      </w:pPr>
      <w:r>
        <w:tab/>
        <w:t>(b)</w:t>
      </w:r>
      <w:r>
        <w:tab/>
        <w:t>an offence under section 6(2) that involves cannabis —</w:t>
      </w:r>
    </w:p>
    <w:p>
      <w:pPr>
        <w:pStyle w:val="Defsubpara"/>
        <w:spacing w:before="60"/>
      </w:pPr>
      <w:r>
        <w:tab/>
        <w:t>(i)</w:t>
      </w:r>
      <w:r>
        <w:tab/>
        <w:t>if the amount is not more than 10 g, or such other amount as is prescribed by the regulations; and</w:t>
      </w:r>
    </w:p>
    <w:p>
      <w:pPr>
        <w:pStyle w:val="Defsubpara"/>
        <w:spacing w:before="60"/>
      </w:pPr>
      <w:r>
        <w:tab/>
        <w:t>(ii)</w:t>
      </w:r>
      <w:r>
        <w:tab/>
        <w:t>if the offence does not involve a cannabis plant under cultivation, cannabis resin or any other cannabis derivative;</w:t>
      </w:r>
    </w:p>
    <w:p>
      <w:pPr>
        <w:pStyle w:val="Defstart"/>
        <w:spacing w:before="60"/>
      </w:pPr>
      <w:r>
        <w:tab/>
      </w:r>
      <w:r>
        <w:rPr>
          <w:rStyle w:val="CharDefText"/>
        </w:rPr>
        <w:t>police officer</w:t>
      </w:r>
      <w:r>
        <w:t xml:space="preserve"> does not include a person appointed by the Commissioner as an authorised person under section 8D;</w:t>
      </w:r>
    </w:p>
    <w:p>
      <w:pPr>
        <w:pStyle w:val="Defstart"/>
        <w:spacing w:before="60"/>
      </w:pPr>
      <w:r>
        <w:rPr>
          <w:b/>
        </w:rPr>
        <w:lastRenderedPageBreak/>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No. 45 of 2010 s. 6; amended: No. 56 of 2011 s. 7.]</w:t>
      </w:r>
    </w:p>
    <w:p>
      <w:pPr>
        <w:pStyle w:val="Heading5"/>
      </w:pPr>
      <w:bookmarkStart w:id="30" w:name="_Toc138751046"/>
      <w:r>
        <w:rPr>
          <w:rStyle w:val="CharSectno"/>
        </w:rPr>
        <w:t>8C</w:t>
      </w:r>
      <w:r>
        <w:t>.</w:t>
      </w:r>
      <w:r>
        <w:tab/>
        <w:t xml:space="preserve">Operation of </w:t>
      </w:r>
      <w:r>
        <w:rPr>
          <w:i/>
          <w:iCs/>
        </w:rPr>
        <w:t>Young Offenders Act 1994</w:t>
      </w:r>
      <w:r>
        <w:t xml:space="preserve"> unaffected</w:t>
      </w:r>
      <w:bookmarkEnd w:id="30"/>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r>
        <w:tab/>
        <w:t>[Section 8C inserted: No. 45 of 2010 s. 6.]</w:t>
      </w:r>
    </w:p>
    <w:p>
      <w:pPr>
        <w:pStyle w:val="Heading5"/>
      </w:pPr>
      <w:bookmarkStart w:id="31" w:name="_Toc138751047"/>
      <w:r>
        <w:rPr>
          <w:rStyle w:val="CharSectno"/>
        </w:rPr>
        <w:t>8D</w:t>
      </w:r>
      <w:r>
        <w:t>.</w:t>
      </w:r>
      <w:r>
        <w:tab/>
        <w:t>Appointment of authorised persons</w:t>
      </w:r>
      <w:bookmarkEnd w:id="31"/>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r>
        <w:tab/>
        <w:t>[Section 8D inserted: No. 45 of 2010 s. 6.]</w:t>
      </w:r>
    </w:p>
    <w:p>
      <w:pPr>
        <w:pStyle w:val="Heading3"/>
      </w:pPr>
      <w:bookmarkStart w:id="32" w:name="_Toc138689108"/>
      <w:bookmarkStart w:id="33" w:name="_Toc138691485"/>
      <w:bookmarkStart w:id="34" w:name="_Toc138751048"/>
      <w:r>
        <w:rPr>
          <w:rStyle w:val="CharDivNo"/>
        </w:rPr>
        <w:t>Division 2</w:t>
      </w:r>
      <w:r>
        <w:t> — </w:t>
      </w:r>
      <w:r>
        <w:rPr>
          <w:rStyle w:val="CharDivText"/>
        </w:rPr>
        <w:t>Cannabis intervention requirements</w:t>
      </w:r>
      <w:bookmarkEnd w:id="32"/>
      <w:bookmarkEnd w:id="33"/>
      <w:bookmarkEnd w:id="34"/>
    </w:p>
    <w:p>
      <w:pPr>
        <w:pStyle w:val="Footnoteheading"/>
      </w:pPr>
      <w:r>
        <w:tab/>
        <w:t>[Heading inserted: No. 45 of 2010 s. 6.]</w:t>
      </w:r>
    </w:p>
    <w:p>
      <w:pPr>
        <w:pStyle w:val="Heading5"/>
      </w:pPr>
      <w:bookmarkStart w:id="35" w:name="_Toc138751049"/>
      <w:r>
        <w:rPr>
          <w:rStyle w:val="CharSectno"/>
        </w:rPr>
        <w:t>8E</w:t>
      </w:r>
      <w:r>
        <w:t>.</w:t>
      </w:r>
      <w:r>
        <w:tab/>
        <w:t>CIR may be given for minor cannabis related offence</w:t>
      </w:r>
      <w:bookmarkEnd w:id="35"/>
    </w:p>
    <w:p>
      <w:pPr>
        <w:pStyle w:val="Subsection"/>
      </w:pPr>
      <w:r>
        <w:tab/>
        <w:t>(1)</w:t>
      </w:r>
      <w:r>
        <w:tab/>
        <w:t xml:space="preserve">A police officer who has reason to believe that a person has committed a minor cannabis related offence may give a </w:t>
      </w:r>
      <w:r>
        <w:lastRenderedPageBreak/>
        <w:t>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r>
        <w:tab/>
        <w:t>[Section 8E inserted: No. 45 of 2010 s. 6.]</w:t>
      </w:r>
    </w:p>
    <w:p>
      <w:pPr>
        <w:pStyle w:val="Heading5"/>
      </w:pPr>
      <w:bookmarkStart w:id="36" w:name="_Toc138751050"/>
      <w:r>
        <w:rPr>
          <w:rStyle w:val="CharSectno"/>
        </w:rPr>
        <w:t>8F</w:t>
      </w:r>
      <w:r>
        <w:t>.</w:t>
      </w:r>
      <w:r>
        <w:tab/>
        <w:t>Cannabis intervention requirement</w:t>
      </w:r>
      <w:bookmarkEnd w:id="36"/>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 xml:space="preserve">if he or she does not wish to be prosecuted for the alleged offence, or offences, in a court, the </w:t>
      </w:r>
      <w:r>
        <w:lastRenderedPageBreak/>
        <w:t>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spacing w:before="140"/>
      </w:pPr>
      <w:r>
        <w:tab/>
        <w:t>(2)</w:t>
      </w:r>
      <w:r>
        <w:tab/>
        <w:t>A person need only complete a single CIS for each CIR given to the person, even if the CIR is given in respect of more than one alleged offence.</w:t>
      </w:r>
    </w:p>
    <w:p>
      <w:pPr>
        <w:pStyle w:val="Footnotesection"/>
        <w:spacing w:before="100"/>
      </w:pPr>
      <w:r>
        <w:tab/>
        <w:t>[Section 8F inserted: No. 45 of 2010 s. 6.]</w:t>
      </w:r>
    </w:p>
    <w:p>
      <w:pPr>
        <w:pStyle w:val="Heading5"/>
        <w:spacing w:before="200"/>
      </w:pPr>
      <w:bookmarkStart w:id="37" w:name="_Toc138751051"/>
      <w:r>
        <w:rPr>
          <w:rStyle w:val="CharSectno"/>
        </w:rPr>
        <w:t>8G</w:t>
      </w:r>
      <w:r>
        <w:t>.</w:t>
      </w:r>
      <w:r>
        <w:tab/>
        <w:t>Young persons — special requirements about CIRs</w:t>
      </w:r>
      <w:bookmarkEnd w:id="37"/>
    </w:p>
    <w:p>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spacing w:before="60"/>
      </w:pPr>
      <w:r>
        <w:tab/>
        <w:t>(a)</w:t>
      </w:r>
      <w:r>
        <w:tab/>
        <w:t>is a young person who, before the new offence was allegedly committed, had been convicted of, or given a CIR in respect of, 2 or more minor cannabis related offences; and</w:t>
      </w:r>
    </w:p>
    <w:p>
      <w:pPr>
        <w:pStyle w:val="Indenta"/>
        <w:spacing w:before="60"/>
      </w:pPr>
      <w:r>
        <w:tab/>
        <w:t>(b)</w:t>
      </w:r>
      <w:r>
        <w:tab/>
        <w:t>at least 2 of those offences arose out of separate incidents, or are alleged to have done so.</w:t>
      </w:r>
    </w:p>
    <w:p>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spacing w:before="60"/>
      </w:pPr>
      <w:r>
        <w:tab/>
        <w:t>(a)</w:t>
      </w:r>
      <w:r>
        <w:tab/>
        <w:t>after reasonable enquiry, neither the whereabouts nor the address of a responsible adult can be ascertained; or</w:t>
      </w:r>
    </w:p>
    <w:p>
      <w:pPr>
        <w:pStyle w:val="Indenta"/>
        <w:spacing w:before="60"/>
      </w:pPr>
      <w:r>
        <w:tab/>
        <w:t>(b)</w:t>
      </w:r>
      <w:r>
        <w:tab/>
        <w:t>in the circumstances it would be inappropriate to give a responsible adult a copy of the CIR.</w:t>
      </w:r>
    </w:p>
    <w:p>
      <w:pPr>
        <w:pStyle w:val="Subsection"/>
        <w:spacing w:before="140"/>
      </w:pPr>
      <w:r>
        <w:tab/>
        <w:t>(3)</w:t>
      </w:r>
      <w:r>
        <w:tab/>
        <w:t>A young person who has been given 2 CIRs need only complete a single CIS in respect of the CIRs if both CIRs were given before the completion of the CIS.</w:t>
      </w:r>
    </w:p>
    <w:p>
      <w:pPr>
        <w:pStyle w:val="Footnotesection"/>
        <w:spacing w:before="100"/>
      </w:pPr>
      <w:r>
        <w:tab/>
        <w:t>[Section 8G inserted: No. 45 of 2010 s. 6.]</w:t>
      </w:r>
    </w:p>
    <w:p>
      <w:pPr>
        <w:pStyle w:val="Heading5"/>
        <w:spacing w:before="200"/>
      </w:pPr>
      <w:bookmarkStart w:id="38" w:name="_Toc138751052"/>
      <w:r>
        <w:rPr>
          <w:rStyle w:val="CharSectno"/>
        </w:rPr>
        <w:lastRenderedPageBreak/>
        <w:t>8H</w:t>
      </w:r>
      <w:r>
        <w:t>.</w:t>
      </w:r>
      <w:r>
        <w:tab/>
        <w:t>Referral of young persons at risk to juvenile justice teams</w:t>
      </w:r>
      <w:bookmarkEnd w:id="38"/>
    </w:p>
    <w:p>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spacing w:before="120"/>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r>
        <w:tab/>
        <w:t>[Section 8H inserted: No. 45 of 2010 s. 6.]</w:t>
      </w:r>
    </w:p>
    <w:p>
      <w:pPr>
        <w:pStyle w:val="Heading5"/>
        <w:spacing w:before="180"/>
      </w:pPr>
      <w:bookmarkStart w:id="39" w:name="_Toc138751053"/>
      <w:r>
        <w:rPr>
          <w:rStyle w:val="CharSectno"/>
        </w:rPr>
        <w:t>8I</w:t>
      </w:r>
      <w:r>
        <w:t>.</w:t>
      </w:r>
      <w:r>
        <w:tab/>
        <w:t>Withdrawal of CIR</w:t>
      </w:r>
      <w:bookmarkEnd w:id="39"/>
    </w:p>
    <w:p>
      <w:pPr>
        <w:pStyle w:val="Subsection"/>
        <w:spacing w:before="120"/>
      </w:pPr>
      <w:r>
        <w:tab/>
        <w:t>(1)</w:t>
      </w:r>
      <w:r>
        <w:tab/>
        <w:t>An authorised person may withdraw a CIR by sending to the alleged offender a notice in a form prescribed by the regulations stating that the CIR has been withdrawn.</w:t>
      </w:r>
    </w:p>
    <w:p>
      <w:pPr>
        <w:pStyle w:val="Subsection"/>
        <w:spacing w:before="120"/>
      </w:pPr>
      <w:r>
        <w:tab/>
        <w:t>(2)</w:t>
      </w:r>
      <w:r>
        <w:tab/>
        <w:t>A CIR cannot be withdrawn if the alleged offender has completed a CIS in relation to the CIR.</w:t>
      </w:r>
    </w:p>
    <w:p>
      <w:pPr>
        <w:pStyle w:val="Subsection"/>
        <w:spacing w:before="120"/>
      </w:pPr>
      <w:r>
        <w:tab/>
        <w:t>(3)</w:t>
      </w:r>
      <w:r>
        <w:tab/>
        <w:t>A CIR that is withdrawn is taken not to have been given to an alleged offender for the purposes of sections 8E(4) and 8G(1).</w:t>
      </w:r>
    </w:p>
    <w:p>
      <w:pPr>
        <w:pStyle w:val="Footnotesection"/>
      </w:pPr>
      <w:r>
        <w:tab/>
        <w:t>[Section 8I inserted: No. 45 of 2010 s. 6.]</w:t>
      </w:r>
    </w:p>
    <w:p>
      <w:pPr>
        <w:pStyle w:val="Heading3"/>
        <w:keepLines/>
      </w:pPr>
      <w:bookmarkStart w:id="40" w:name="_Toc138689114"/>
      <w:bookmarkStart w:id="41" w:name="_Toc138691491"/>
      <w:bookmarkStart w:id="42" w:name="_Toc138751054"/>
      <w:r>
        <w:rPr>
          <w:rStyle w:val="CharDivNo"/>
        </w:rPr>
        <w:lastRenderedPageBreak/>
        <w:t>Division 3</w:t>
      </w:r>
      <w:r>
        <w:t> — </w:t>
      </w:r>
      <w:r>
        <w:rPr>
          <w:rStyle w:val="CharDivText"/>
        </w:rPr>
        <w:t>Cannabis intervention sessions</w:t>
      </w:r>
      <w:bookmarkEnd w:id="40"/>
      <w:bookmarkEnd w:id="41"/>
      <w:bookmarkEnd w:id="42"/>
    </w:p>
    <w:p>
      <w:pPr>
        <w:pStyle w:val="Footnoteheading"/>
        <w:keepNext/>
        <w:keepLines/>
      </w:pPr>
      <w:r>
        <w:tab/>
        <w:t>[Heading inserted: No. 45 of 2010 s. 6.]</w:t>
      </w:r>
    </w:p>
    <w:p>
      <w:pPr>
        <w:pStyle w:val="Heading5"/>
        <w:spacing w:before="180"/>
      </w:pPr>
      <w:bookmarkStart w:id="43" w:name="_Toc138751055"/>
      <w:r>
        <w:rPr>
          <w:rStyle w:val="CharSectno"/>
        </w:rPr>
        <w:t>8J</w:t>
      </w:r>
      <w:r>
        <w:t>.</w:t>
      </w:r>
      <w:r>
        <w:tab/>
        <w:t>Cannabis intervention session</w:t>
      </w:r>
      <w:bookmarkEnd w:id="43"/>
    </w:p>
    <w:p>
      <w:pPr>
        <w:pStyle w:val="Subsection"/>
        <w:spacing w:before="120"/>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spacing w:before="60"/>
      </w:pPr>
      <w:r>
        <w:tab/>
        <w:t>(b)</w:t>
      </w:r>
      <w:r>
        <w:tab/>
        <w:t>the laws relating to the use, possession and cultivation of cannabis; and</w:t>
      </w:r>
    </w:p>
    <w:p>
      <w:pPr>
        <w:pStyle w:val="Indenta"/>
        <w:spacing w:before="60"/>
      </w:pPr>
      <w:r>
        <w:tab/>
        <w:t>(c)</w:t>
      </w:r>
      <w:r>
        <w:tab/>
        <w:t>effective strategies to address cannabis using behaviour.</w:t>
      </w:r>
    </w:p>
    <w:p>
      <w:pPr>
        <w:pStyle w:val="Subsection"/>
      </w:pPr>
      <w:r>
        <w:tab/>
        <w:t>(2)</w:t>
      </w:r>
      <w:r>
        <w:tab/>
        <w:t>The CEO (Health) may, in writing, do any of the following —</w:t>
      </w:r>
    </w:p>
    <w:p>
      <w:pPr>
        <w:pStyle w:val="Indenta"/>
        <w:spacing w:before="60"/>
      </w:pPr>
      <w:r>
        <w:tab/>
        <w:t>(a)</w:t>
      </w:r>
      <w:r>
        <w:tab/>
        <w:t>having regard to subsection (1), approve the content of a cannabis intervention session;</w:t>
      </w:r>
    </w:p>
    <w:p>
      <w:pPr>
        <w:pStyle w:val="Indenta"/>
        <w:spacing w:before="60"/>
      </w:pPr>
      <w:r>
        <w:tab/>
        <w:t>(b)</w:t>
      </w:r>
      <w:r>
        <w:tab/>
        <w:t>approve treatment providers to provide cannabis intervention sessions;</w:t>
      </w:r>
    </w:p>
    <w:p>
      <w:pPr>
        <w:pStyle w:val="Indenta"/>
        <w:spacing w:before="60"/>
      </w:pPr>
      <w:r>
        <w:tab/>
        <w:t>(c)</w:t>
      </w:r>
      <w:r>
        <w:tab/>
        <w:t>give an approval under paragraph (b) subject to conditions to be obeyed by the treatment provider approved;</w:t>
      </w:r>
    </w:p>
    <w:p>
      <w:pPr>
        <w:pStyle w:val="Indenta"/>
        <w:spacing w:before="60"/>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No. 45 of 2010 s. 6.]</w:t>
      </w:r>
    </w:p>
    <w:p>
      <w:pPr>
        <w:pStyle w:val="Heading5"/>
      </w:pPr>
      <w:bookmarkStart w:id="44" w:name="_Toc138751056"/>
      <w:r>
        <w:rPr>
          <w:rStyle w:val="CharSectno"/>
        </w:rPr>
        <w:t>8K</w:t>
      </w:r>
      <w:r>
        <w:t>.</w:t>
      </w:r>
      <w:r>
        <w:tab/>
        <w:t>Benefit of completing CIS</w:t>
      </w:r>
      <w:bookmarkEnd w:id="44"/>
    </w:p>
    <w:p>
      <w:pPr>
        <w:pStyle w:val="Subsection"/>
      </w:pPr>
      <w:r>
        <w:tab/>
        <w:t>(1)</w:t>
      </w:r>
      <w:r>
        <w:tab/>
        <w:t xml:space="preserve">If the alleged offender has completed a CIS in respect of a CIR within 28 days or such further time as is allowed under section 8L, the bringing of proceedings and the imposition of penalties are prevented to the same extent that they would be </w:t>
      </w:r>
      <w:r>
        <w:lastRenderedPageBreak/>
        <w:t>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No. 45 of 2010 s. 6.]</w:t>
      </w:r>
    </w:p>
    <w:p>
      <w:pPr>
        <w:pStyle w:val="Heading5"/>
      </w:pPr>
      <w:bookmarkStart w:id="45" w:name="_Toc138751057"/>
      <w:r>
        <w:rPr>
          <w:rStyle w:val="CharSectno"/>
        </w:rPr>
        <w:t>8L</w:t>
      </w:r>
      <w:r>
        <w:t>.</w:t>
      </w:r>
      <w:r>
        <w:tab/>
        <w:t>Extension of time to complete CIS</w:t>
      </w:r>
      <w:bookmarkEnd w:id="45"/>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r>
        <w:tab/>
        <w:t>[Section 8L inserted: No. 45 of 2010 s. 6.]</w:t>
      </w:r>
    </w:p>
    <w:p>
      <w:pPr>
        <w:pStyle w:val="Heading5"/>
      </w:pPr>
      <w:bookmarkStart w:id="46" w:name="_Toc138751058"/>
      <w:r>
        <w:rPr>
          <w:rStyle w:val="CharSectno"/>
        </w:rPr>
        <w:t>8M</w:t>
      </w:r>
      <w:r>
        <w:t>.</w:t>
      </w:r>
      <w:r>
        <w:tab/>
        <w:t>Certificate of completion of CIS</w:t>
      </w:r>
      <w:bookmarkEnd w:id="46"/>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No. 45 of 2010 s. 6.]</w:t>
      </w:r>
    </w:p>
    <w:p>
      <w:pPr>
        <w:pStyle w:val="Heading2"/>
      </w:pPr>
      <w:bookmarkStart w:id="47" w:name="_Toc138689119"/>
      <w:bookmarkStart w:id="48" w:name="_Toc138691496"/>
      <w:bookmarkStart w:id="49" w:name="_Toc138751059"/>
      <w:r>
        <w:rPr>
          <w:rStyle w:val="CharPartNo"/>
        </w:rPr>
        <w:lastRenderedPageBreak/>
        <w:t>Part IIIB</w:t>
      </w:r>
      <w:r>
        <w:rPr>
          <w:rStyle w:val="CharDivNo"/>
        </w:rPr>
        <w:t> </w:t>
      </w:r>
      <w:r>
        <w:t>—</w:t>
      </w:r>
      <w:r>
        <w:rPr>
          <w:rStyle w:val="CharDivText"/>
        </w:rPr>
        <w:t> </w:t>
      </w:r>
      <w:r>
        <w:rPr>
          <w:rStyle w:val="CharPartText"/>
        </w:rPr>
        <w:t>Psychoactive substances</w:t>
      </w:r>
      <w:bookmarkEnd w:id="47"/>
      <w:bookmarkEnd w:id="48"/>
      <w:bookmarkEnd w:id="49"/>
    </w:p>
    <w:p>
      <w:pPr>
        <w:pStyle w:val="Footnoteheading"/>
      </w:pPr>
      <w:r>
        <w:tab/>
        <w:t>[Heading inserted: No. 29 of 2015 s. 4.]</w:t>
      </w:r>
    </w:p>
    <w:p>
      <w:pPr>
        <w:pStyle w:val="Heading5"/>
      </w:pPr>
      <w:bookmarkStart w:id="50" w:name="_Toc138751060"/>
      <w:r>
        <w:rPr>
          <w:rStyle w:val="CharSectno"/>
        </w:rPr>
        <w:t>8N</w:t>
      </w:r>
      <w:r>
        <w:t>.</w:t>
      </w:r>
      <w:r>
        <w:tab/>
        <w:t>Terms used</w:t>
      </w:r>
      <w:bookmarkEnd w:id="50"/>
    </w:p>
    <w:p>
      <w:pPr>
        <w:pStyle w:val="Subsection"/>
      </w:pPr>
      <w:r>
        <w:tab/>
        <w:t>(1)</w:t>
      </w:r>
      <w:r>
        <w:tab/>
        <w:t xml:space="preserve">In this Part — </w:t>
      </w:r>
    </w:p>
    <w:p>
      <w:pPr>
        <w:pStyle w:val="Defstart"/>
      </w:pPr>
      <w:r>
        <w:tab/>
      </w:r>
      <w:r>
        <w:rPr>
          <w:rStyle w:val="CharDefText"/>
        </w:rPr>
        <w:t>Agvet Code of Western Australia</w:t>
      </w:r>
      <w:r>
        <w:t xml:space="preserve"> has the meaning given in the </w:t>
      </w:r>
      <w:r>
        <w:rPr>
          <w:i/>
        </w:rPr>
        <w:t>Agricultural and Veterinary Chemicals (Western Australia) Act 1995</w:t>
      </w:r>
      <w:r>
        <w:t>;</w:t>
      </w:r>
    </w:p>
    <w:p>
      <w:pPr>
        <w:pStyle w:val="Defstart"/>
      </w:pPr>
      <w:r>
        <w:tab/>
      </w:r>
      <w:r>
        <w:rPr>
          <w:rStyle w:val="CharDefText"/>
        </w:rPr>
        <w:t>consume</w:t>
      </w:r>
      <w:r>
        <w:t xml:space="preserve"> has the meaning given in subsection (2);</w:t>
      </w:r>
    </w:p>
    <w:p>
      <w:pPr>
        <w:pStyle w:val="Defstart"/>
      </w:pPr>
      <w:r>
        <w:tab/>
      </w:r>
      <w:r>
        <w:rPr>
          <w:rStyle w:val="CharDefText"/>
        </w:rPr>
        <w:t>manufacture</w:t>
      </w:r>
      <w:r>
        <w:t>, in relation to a psychoactive substance, means to make, prepare, produce, process (including by extracting or refining), package or label the psychoactive substance;</w:t>
      </w:r>
    </w:p>
    <w:p>
      <w:pPr>
        <w:pStyle w:val="Defstart"/>
      </w:pPr>
      <w:r>
        <w:tab/>
      </w:r>
      <w:r>
        <w:rPr>
          <w:rStyle w:val="CharDefText"/>
        </w:rPr>
        <w:t>psychoactive effect</w:t>
      </w:r>
      <w:r>
        <w:t xml:space="preserve">, in relation to a person who consumes a substance, means — </w:t>
      </w:r>
    </w:p>
    <w:p>
      <w:pPr>
        <w:pStyle w:val="Defpara"/>
      </w:pPr>
      <w:r>
        <w:tab/>
        <w:t>(a)</w:t>
      </w:r>
      <w:r>
        <w:tab/>
        <w:t>the effect of stimulating or depressing the central nervous system of the person, resulting in hallucinations or a significant disturbance in, or significant change to, motor function, thinking, behaviour, perception, awareness or mood; or</w:t>
      </w:r>
    </w:p>
    <w:p>
      <w:pPr>
        <w:pStyle w:val="Defpara"/>
      </w:pPr>
      <w:r>
        <w:tab/>
        <w:t>(b)</w:t>
      </w:r>
      <w:r>
        <w:tab/>
        <w:t>the effect of causing a state of dependence, including physical or psychological addiction;</w:t>
      </w:r>
    </w:p>
    <w:p>
      <w:pPr>
        <w:pStyle w:val="Defstart"/>
      </w:pPr>
      <w:r>
        <w:tab/>
      </w:r>
      <w:r>
        <w:rPr>
          <w:rStyle w:val="CharDefText"/>
        </w:rPr>
        <w:t>psychoactive substance</w:t>
      </w:r>
      <w:r>
        <w:t xml:space="preserve"> means any substance that, when consumed by a person, has the capacity to induce a psychoactive effect on the person;</w:t>
      </w:r>
    </w:p>
    <w:p>
      <w:pPr>
        <w:pStyle w:val="Defstart"/>
      </w:pPr>
      <w:r>
        <w:tab/>
      </w:r>
      <w:r>
        <w:rPr>
          <w:rStyle w:val="CharDefText"/>
        </w:rPr>
        <w:t>substance</w:t>
      </w:r>
      <w:r>
        <w:t xml:space="preserve"> includes a natural organism.</w:t>
      </w:r>
    </w:p>
    <w:p>
      <w:pPr>
        <w:pStyle w:val="Subsection"/>
      </w:pPr>
      <w:r>
        <w:tab/>
        <w:t>(2)</w:t>
      </w:r>
      <w:r>
        <w:tab/>
        <w:t xml:space="preserve">For this Part, a person consumes a substance if — </w:t>
      </w:r>
    </w:p>
    <w:p>
      <w:pPr>
        <w:pStyle w:val="Indenta"/>
      </w:pPr>
      <w:r>
        <w:tab/>
        <w:t>(a)</w:t>
      </w:r>
      <w:r>
        <w:tab/>
        <w:t>the substance is administered to the person, whether the person self</w:t>
      </w:r>
      <w:r>
        <w:noBreakHyphen/>
        <w:t>administers it or it is administered by another person; or</w:t>
      </w:r>
    </w:p>
    <w:p>
      <w:pPr>
        <w:pStyle w:val="Indenta"/>
      </w:pPr>
      <w:r>
        <w:tab/>
        <w:t>(b)</w:t>
      </w:r>
      <w:r>
        <w:tab/>
        <w:t>the person smokes, inhales or ingests the substance.</w:t>
      </w:r>
    </w:p>
    <w:p>
      <w:pPr>
        <w:pStyle w:val="Footnotesection"/>
      </w:pPr>
      <w:r>
        <w:tab/>
        <w:t>[Section 8N inserted: No. 29 of 2015 s. 4.]</w:t>
      </w:r>
    </w:p>
    <w:p>
      <w:pPr>
        <w:pStyle w:val="Heading5"/>
        <w:pageBreakBefore/>
        <w:spacing w:before="0"/>
      </w:pPr>
      <w:bookmarkStart w:id="51" w:name="_Toc138751061"/>
      <w:r>
        <w:rPr>
          <w:rStyle w:val="CharSectno"/>
        </w:rPr>
        <w:lastRenderedPageBreak/>
        <w:t>8O</w:t>
      </w:r>
      <w:r>
        <w:t>.</w:t>
      </w:r>
      <w:r>
        <w:tab/>
        <w:t>Application of this Part to particular substances</w:t>
      </w:r>
      <w:bookmarkEnd w:id="51"/>
    </w:p>
    <w:p>
      <w:pPr>
        <w:pStyle w:val="Subsection"/>
      </w:pPr>
      <w:r>
        <w:tab/>
        <w:t>(1)</w:t>
      </w:r>
      <w:r>
        <w:tab/>
        <w:t xml:space="preserve">This Part does not apply to any of the following — </w:t>
      </w:r>
    </w:p>
    <w:p>
      <w:pPr>
        <w:pStyle w:val="Indenta"/>
      </w:pPr>
      <w:r>
        <w:tab/>
        <w:t>(a)</w:t>
      </w:r>
      <w:r>
        <w:tab/>
        <w:t xml:space="preserve">either — </w:t>
      </w:r>
    </w:p>
    <w:p>
      <w:pPr>
        <w:pStyle w:val="Indenti"/>
      </w:pPr>
      <w:r>
        <w:tab/>
        <w:t>(i)</w:t>
      </w:r>
      <w:r>
        <w:tab/>
        <w:t xml:space="preserve">a medicine or a Schedule 9 poison as those terms are defined in the </w:t>
      </w:r>
      <w:r>
        <w:rPr>
          <w:i/>
        </w:rPr>
        <w:t>Medicines and Poisons Act 2014</w:t>
      </w:r>
      <w:r>
        <w:t xml:space="preserve"> section 3; or</w:t>
      </w:r>
    </w:p>
    <w:p>
      <w:pPr>
        <w:pStyle w:val="Indenti"/>
      </w:pPr>
      <w:r>
        <w:tab/>
        <w:t>(ii)</w:t>
      </w:r>
      <w:r>
        <w:tab/>
        <w:t xml:space="preserve">if the </w:t>
      </w:r>
      <w:r>
        <w:rPr>
          <w:i/>
        </w:rPr>
        <w:t>Medicines and Poisons Act 2014</w:t>
      </w:r>
      <w:r>
        <w:t xml:space="preserve"> section 137 has not commenced — a medicine as defined in the </w:t>
      </w:r>
      <w:r>
        <w:rPr>
          <w:i/>
        </w:rPr>
        <w:t>Poisons Act 1964</w:t>
      </w:r>
      <w:r>
        <w:t xml:space="preserve"> section 5(1) or included in Schedule 9 under the </w:t>
      </w:r>
      <w:r>
        <w:rPr>
          <w:i/>
        </w:rPr>
        <w:t>Poisons Act 1964 </w:t>
      </w:r>
      <w:r>
        <w:rPr>
          <w:vertAlign w:val="superscript"/>
        </w:rPr>
        <w:t>1</w:t>
      </w:r>
      <w:r>
        <w:t>;</w:t>
      </w:r>
    </w:p>
    <w:p>
      <w:pPr>
        <w:pStyle w:val="Indenta"/>
      </w:pPr>
      <w:r>
        <w:tab/>
        <w:t>(b)</w:t>
      </w:r>
      <w:r>
        <w:tab/>
        <w:t xml:space="preserve">a therapeutic good included in the Register as defined in the </w:t>
      </w:r>
      <w:r>
        <w:rPr>
          <w:i/>
        </w:rPr>
        <w:t>Therapeutic Goods Act 1989</w:t>
      </w:r>
      <w:r>
        <w:t xml:space="preserve"> (Commonwealth) section 3(1) or that is exempted from the operation of Part 3</w:t>
      </w:r>
      <w:r>
        <w:noBreakHyphen/>
        <w:t>2 of that Act by regulations made under section 18 of that Act;</w:t>
      </w:r>
    </w:p>
    <w:p>
      <w:pPr>
        <w:pStyle w:val="Indenta"/>
      </w:pPr>
      <w:r>
        <w:tab/>
        <w:t>(c)</w:t>
      </w:r>
      <w:r>
        <w:tab/>
        <w:t xml:space="preserve">a tobacco product as defined in the </w:t>
      </w:r>
      <w:r>
        <w:rPr>
          <w:i/>
        </w:rPr>
        <w:t xml:space="preserve">Tobacco Products Control Act 2006 </w:t>
      </w:r>
      <w:r>
        <w:t>Glossary;</w:t>
      </w:r>
    </w:p>
    <w:p>
      <w:pPr>
        <w:pStyle w:val="Indenta"/>
      </w:pPr>
      <w:r>
        <w:tab/>
        <w:t>(d)</w:t>
      </w:r>
      <w:r>
        <w:tab/>
        <w:t xml:space="preserve">a substance referred to in paragraph (a) or (b) of the definition of </w:t>
      </w:r>
      <w:r>
        <w:rPr>
          <w:b/>
          <w:i/>
        </w:rPr>
        <w:t>liquor</w:t>
      </w:r>
      <w:r>
        <w:t xml:space="preserve"> in the </w:t>
      </w:r>
      <w:r>
        <w:rPr>
          <w:i/>
        </w:rPr>
        <w:t xml:space="preserve">Liquor Control Act 1988 </w:t>
      </w:r>
      <w:r>
        <w:t>section 3(1);</w:t>
      </w:r>
    </w:p>
    <w:p>
      <w:pPr>
        <w:pStyle w:val="Indenta"/>
      </w:pPr>
      <w:r>
        <w:tab/>
        <w:t>(e)</w:t>
      </w:r>
      <w:r>
        <w:tab/>
        <w:t xml:space="preserve">a food as defined in the </w:t>
      </w:r>
      <w:r>
        <w:rPr>
          <w:i/>
        </w:rPr>
        <w:t>Food Act 2008</w:t>
      </w:r>
      <w:r>
        <w:t xml:space="preserve"> section 8;</w:t>
      </w:r>
    </w:p>
    <w:p>
      <w:pPr>
        <w:pStyle w:val="Indenta"/>
      </w:pPr>
      <w:r>
        <w:tab/>
        <w:t>(f)</w:t>
      </w:r>
      <w:r>
        <w:tab/>
        <w:t xml:space="preserve">a substance that is a chemical product as defined in the Agvet Code of Western Australia if — </w:t>
      </w:r>
    </w:p>
    <w:p>
      <w:pPr>
        <w:pStyle w:val="Indenti"/>
      </w:pPr>
      <w:r>
        <w:tab/>
        <w:t>(i)</w:t>
      </w:r>
      <w:r>
        <w:tab/>
        <w:t>the active constituents for the chemical product are approved under the Agvet Code of Western Australia Part 2; or</w:t>
      </w:r>
    </w:p>
    <w:p>
      <w:pPr>
        <w:pStyle w:val="Indenti"/>
      </w:pPr>
      <w:r>
        <w:tab/>
        <w:t>(ii)</w:t>
      </w:r>
      <w:r>
        <w:tab/>
        <w:t xml:space="preserve">the chemical product is registered under the Agvet Code of Western Australia Part 2; </w:t>
      </w:r>
    </w:p>
    <w:p>
      <w:pPr>
        <w:pStyle w:val="Indenta"/>
      </w:pPr>
      <w:r>
        <w:tab/>
        <w:t>(g)</w:t>
      </w:r>
      <w:r>
        <w:tab/>
        <w:t>a plant or fungus, or an extract from a plant or fungus;</w:t>
      </w:r>
    </w:p>
    <w:p>
      <w:pPr>
        <w:pStyle w:val="Indenta"/>
      </w:pPr>
      <w:r>
        <w:tab/>
        <w:t>(h)</w:t>
      </w:r>
      <w:r>
        <w:tab/>
        <w:t>a substance of a class prescribed by the regulations.</w:t>
      </w:r>
    </w:p>
    <w:p>
      <w:pPr>
        <w:pStyle w:val="Subsection"/>
      </w:pPr>
      <w:r>
        <w:lastRenderedPageBreak/>
        <w:tab/>
        <w:t>(2)</w:t>
      </w:r>
      <w:r>
        <w:tab/>
        <w:t>Despite subsection (1), this Part applies to a substance listed in subsection (1) if the substance contains, or has added to it, a substance that is not listed in subsection (1).</w:t>
      </w:r>
    </w:p>
    <w:p>
      <w:pPr>
        <w:pStyle w:val="Footnotesection"/>
      </w:pPr>
      <w:r>
        <w:tab/>
        <w:t>[Section 8O inserted: No. 29 of 2015 s. 4.]</w:t>
      </w:r>
    </w:p>
    <w:p>
      <w:pPr>
        <w:pStyle w:val="Heading5"/>
      </w:pPr>
      <w:bookmarkStart w:id="52" w:name="_Toc138751062"/>
      <w:r>
        <w:rPr>
          <w:rStyle w:val="CharSectno"/>
        </w:rPr>
        <w:t>8P</w:t>
      </w:r>
      <w:r>
        <w:t>.</w:t>
      </w:r>
      <w:r>
        <w:tab/>
        <w:t>Effect of representing substance as psychoactive substance</w:t>
      </w:r>
      <w:bookmarkEnd w:id="52"/>
    </w:p>
    <w:p>
      <w:pPr>
        <w:pStyle w:val="Subsection"/>
      </w:pPr>
      <w:r>
        <w:tab/>
        <w:t>(1)</w:t>
      </w:r>
      <w:r>
        <w:tab/>
        <w:t>For the purposes of this Part, a substance that is represented in any way as being a psychoactive substance is to be taken to be a psychoactive substance.</w:t>
      </w:r>
    </w:p>
    <w:p>
      <w:pPr>
        <w:pStyle w:val="Subsection"/>
      </w:pPr>
      <w:r>
        <w:tab/>
        <w:t>(2)</w:t>
      </w:r>
      <w:r>
        <w:tab/>
        <w:t>For the purposes of this Part, a substance that is represented in any way as being a specified psychoactive substance is to be taken to be the specified psychoactive substance.</w:t>
      </w:r>
    </w:p>
    <w:p>
      <w:pPr>
        <w:pStyle w:val="Footnotesection"/>
      </w:pPr>
      <w:r>
        <w:tab/>
        <w:t>[Section 8P inserted: No. 29 of 2015 s. 4.]</w:t>
      </w:r>
    </w:p>
    <w:p>
      <w:pPr>
        <w:pStyle w:val="Heading5"/>
      </w:pPr>
      <w:bookmarkStart w:id="53" w:name="_Toc138751063"/>
      <w:r>
        <w:rPr>
          <w:rStyle w:val="CharSectno"/>
        </w:rPr>
        <w:t>8Q</w:t>
      </w:r>
      <w:r>
        <w:t>.</w:t>
      </w:r>
      <w:r>
        <w:tab/>
        <w:t>Manufacture, sale or supply of psychoactive substances</w:t>
      </w:r>
      <w:bookmarkEnd w:id="53"/>
    </w:p>
    <w:p>
      <w:pPr>
        <w:pStyle w:val="Subsection"/>
      </w:pPr>
      <w:r>
        <w:tab/>
        <w:t>(1)</w:t>
      </w:r>
      <w:r>
        <w:tab/>
        <w:t>A person commits a simple offence if the person manufactures a psychoactive substance.</w:t>
      </w:r>
    </w:p>
    <w:p>
      <w:pPr>
        <w:pStyle w:val="Penstart"/>
      </w:pPr>
      <w:r>
        <w:tab/>
        <w:t>Penalty: a fine of $48 000 or imprisonment for 4 years or both.</w:t>
      </w:r>
    </w:p>
    <w:p>
      <w:pPr>
        <w:pStyle w:val="Subsection"/>
      </w:pPr>
      <w:r>
        <w:tab/>
        <w:t>(2)</w:t>
      </w:r>
      <w:r>
        <w:tab/>
        <w:t>A person commits a simple offence if the person sells or supplies a psychoactive substance.</w:t>
      </w:r>
    </w:p>
    <w:p>
      <w:pPr>
        <w:pStyle w:val="Penstart"/>
      </w:pPr>
      <w:r>
        <w:tab/>
        <w:t>Penalty: a fine of $48 000 or imprisonment for 4 years or both.</w:t>
      </w:r>
    </w:p>
    <w:p>
      <w:pPr>
        <w:pStyle w:val="Subsection"/>
      </w:pPr>
      <w:r>
        <w:tab/>
        <w:t>(3)</w:t>
      </w:r>
      <w:r>
        <w:tab/>
        <w:t>For the purpose of deciding whether or not a person has committed an offence under subsection (1) or (2) in relation to a substance, it is irrelevant that usage instructions concerning the substance given in any manner or form indicate that the substance is not a psychoactive substance or that it is not intended for human consumption.</w:t>
      </w:r>
    </w:p>
    <w:p>
      <w:pPr>
        <w:pStyle w:val="Footnotesection"/>
      </w:pPr>
      <w:r>
        <w:tab/>
        <w:t>[Section 8Q inserted: No. 29 of 2015 s. 4.]</w:t>
      </w:r>
    </w:p>
    <w:p>
      <w:pPr>
        <w:pStyle w:val="Heading5"/>
        <w:pageBreakBefore/>
        <w:spacing w:before="0"/>
      </w:pPr>
      <w:bookmarkStart w:id="54" w:name="_Toc138751064"/>
      <w:r>
        <w:rPr>
          <w:rStyle w:val="CharSectno"/>
        </w:rPr>
        <w:lastRenderedPageBreak/>
        <w:t>8R</w:t>
      </w:r>
      <w:r>
        <w:t>.</w:t>
      </w:r>
      <w:r>
        <w:tab/>
        <w:t>Promoting psychoactive substances</w:t>
      </w:r>
      <w:bookmarkEnd w:id="54"/>
    </w:p>
    <w:p>
      <w:pPr>
        <w:pStyle w:val="Subsection"/>
        <w:keepNext/>
      </w:pPr>
      <w:r>
        <w:tab/>
        <w:t>(1)</w:t>
      </w:r>
      <w:r>
        <w:tab/>
        <w:t xml:space="preserve">A person commits a simple offence if the person — </w:t>
      </w:r>
    </w:p>
    <w:p>
      <w:pPr>
        <w:pStyle w:val="Indenta"/>
      </w:pPr>
      <w:r>
        <w:tab/>
        <w:t>(a)</w:t>
      </w:r>
      <w:r>
        <w:tab/>
        <w:t>promotes a substance as having a psychoactive effect on a person who consumes the substance; or</w:t>
      </w:r>
    </w:p>
    <w:p>
      <w:pPr>
        <w:pStyle w:val="Indenta"/>
      </w:pPr>
      <w:r>
        <w:tab/>
        <w:t>(b)</w:t>
      </w:r>
      <w:r>
        <w:tab/>
        <w:t>provides information in any form on how or where a psychoactive substance may be acquired.</w:t>
      </w:r>
    </w:p>
    <w:p>
      <w:pPr>
        <w:pStyle w:val="Penstart"/>
      </w:pPr>
      <w:r>
        <w:tab/>
        <w:t>Penalty: a fine of $24 000 or imprisonment for 2 years or both.</w:t>
      </w:r>
    </w:p>
    <w:p>
      <w:pPr>
        <w:pStyle w:val="Subsection"/>
      </w:pPr>
      <w:r>
        <w:tab/>
        <w:t>(2)</w:t>
      </w:r>
      <w:r>
        <w:tab/>
        <w:t>For the purposes of subsection (1)(a), a person promotes a substance if the person takes any action that is intended or apparently intended to publicise or promote the substance, whether visual or auditory means are employed and whether the substance is directly depicted or referred to or symbolism of some kind is employed, including action of a kind prescribed by the regulations.</w:t>
      </w:r>
    </w:p>
    <w:p>
      <w:pPr>
        <w:pStyle w:val="Footnotesection"/>
      </w:pPr>
      <w:r>
        <w:tab/>
        <w:t>[Section 8R inserted: No. 29 of 2015 s. 4.]</w:t>
      </w:r>
    </w:p>
    <w:p>
      <w:pPr>
        <w:pStyle w:val="Heading5"/>
      </w:pPr>
      <w:bookmarkStart w:id="55" w:name="_Toc138751065"/>
      <w:r>
        <w:rPr>
          <w:rStyle w:val="CharSectno"/>
        </w:rPr>
        <w:t>8S</w:t>
      </w:r>
      <w:r>
        <w:t>.</w:t>
      </w:r>
      <w:r>
        <w:tab/>
        <w:t>Powers of police officers for purposes of this Part</w:t>
      </w:r>
      <w:bookmarkEnd w:id="55"/>
    </w:p>
    <w:p>
      <w:pPr>
        <w:pStyle w:val="Subsection"/>
      </w:pPr>
      <w:r>
        <w:tab/>
        <w:t>(1)</w:t>
      </w:r>
      <w:r>
        <w:tab/>
        <w:t xml:space="preserve">A police officer may, for the purposes of this Part, with such assistance as the police officer considers necessary — </w:t>
      </w:r>
    </w:p>
    <w:p>
      <w:pPr>
        <w:pStyle w:val="Indenta"/>
      </w:pPr>
      <w:r>
        <w:tab/>
        <w:t>(a)</w:t>
      </w:r>
      <w:r>
        <w:tab/>
        <w:t xml:space="preserve">enter the premises (other than residential premises) of a person who is suspected on reasonable grounds of — </w:t>
      </w:r>
    </w:p>
    <w:p>
      <w:pPr>
        <w:pStyle w:val="Indenti"/>
      </w:pPr>
      <w:r>
        <w:tab/>
        <w:t>(i)</w:t>
      </w:r>
      <w:r>
        <w:tab/>
        <w:t xml:space="preserve">manufacturing, selling or supplying a psychoactive substance; or </w:t>
      </w:r>
    </w:p>
    <w:p>
      <w:pPr>
        <w:pStyle w:val="Indenti"/>
      </w:pPr>
      <w:r>
        <w:tab/>
        <w:t>(ii)</w:t>
      </w:r>
      <w:r>
        <w:tab/>
        <w:t>promoting a substance as having a psychoactive effect on a person who consumes the substance; or</w:t>
      </w:r>
    </w:p>
    <w:p>
      <w:pPr>
        <w:pStyle w:val="Indenti"/>
      </w:pPr>
      <w:r>
        <w:tab/>
        <w:t>(iii)</w:t>
      </w:r>
      <w:r>
        <w:tab/>
        <w:t>providing information on how or where a psychoactive substance may be acquired; or</w:t>
      </w:r>
    </w:p>
    <w:p>
      <w:pPr>
        <w:pStyle w:val="Indenti"/>
      </w:pPr>
      <w:r>
        <w:tab/>
        <w:t>(iv)</w:t>
      </w:r>
      <w:r>
        <w:tab/>
        <w:t>having done any of the things mentioned in subparagraph (i) to (iii);</w:t>
      </w:r>
    </w:p>
    <w:p>
      <w:pPr>
        <w:pStyle w:val="Indenta"/>
      </w:pPr>
      <w:r>
        <w:tab/>
      </w:r>
      <w:r>
        <w:tab/>
        <w:t>and</w:t>
      </w:r>
    </w:p>
    <w:p>
      <w:pPr>
        <w:pStyle w:val="Indenta"/>
      </w:pPr>
      <w:r>
        <w:lastRenderedPageBreak/>
        <w:tab/>
        <w:t>(b)</w:t>
      </w:r>
      <w:r>
        <w:tab/>
        <w:t>demand the production of, and inspect, any books, papers or documents relating to any of the things mentioned in paragraph (a)(i) to (iii); and</w:t>
      </w:r>
    </w:p>
    <w:p>
      <w:pPr>
        <w:pStyle w:val="Indenta"/>
      </w:pPr>
      <w:r>
        <w:tab/>
        <w:t>(c)</w:t>
      </w:r>
      <w:r>
        <w:tab/>
        <w:t>inspect any substances.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information or stocks referred to in section 22 included a reference to books, papers, documents or substances referred to in subsection (1).</w:t>
      </w:r>
    </w:p>
    <w:p>
      <w:pPr>
        <w:pStyle w:val="Subsection"/>
      </w:pPr>
      <w:r>
        <w:tab/>
        <w:t>(4)</w:t>
      </w:r>
      <w:r>
        <w:tab/>
        <w:t>The powers in subsection (1) are in addition to, and not in derogation of, the powers conferred on police officers by Part V.</w:t>
      </w:r>
    </w:p>
    <w:p>
      <w:pPr>
        <w:pStyle w:val="Footnotesection"/>
      </w:pPr>
      <w:r>
        <w:tab/>
        <w:t>[Section 8S inserted: No. 29 of 2015 s. 4.]</w:t>
      </w:r>
    </w:p>
    <w:p>
      <w:pPr>
        <w:pStyle w:val="Heading5"/>
      </w:pPr>
      <w:bookmarkStart w:id="56" w:name="_Toc138751066"/>
      <w:r>
        <w:rPr>
          <w:rStyle w:val="CharSectno"/>
        </w:rPr>
        <w:t>8T</w:t>
      </w:r>
      <w:r>
        <w:t>.</w:t>
      </w:r>
      <w:r>
        <w:tab/>
        <w:t>Powers to seize and dispose of thing suspected of being psychoactive substance</w:t>
      </w:r>
      <w:bookmarkEnd w:id="56"/>
    </w:p>
    <w:p>
      <w:pPr>
        <w:pStyle w:val="Subsection"/>
      </w:pPr>
      <w:r>
        <w:tab/>
        <w:t>(1)</w:t>
      </w:r>
      <w:r>
        <w:tab/>
        <w:t xml:space="preserve">In this section and section 8U — </w:t>
      </w:r>
    </w:p>
    <w:p>
      <w:pPr>
        <w:pStyle w:val="Defstart"/>
      </w:pPr>
      <w:r>
        <w:tab/>
      </w:r>
      <w:r>
        <w:rPr>
          <w:rStyle w:val="CharDefText"/>
        </w:rPr>
        <w:t>destruction notice</w:t>
      </w:r>
      <w:r>
        <w:t xml:space="preserve"> means a notice that complies with subsections (4) and (5).</w:t>
      </w:r>
    </w:p>
    <w:p>
      <w:pPr>
        <w:pStyle w:val="Subsection"/>
      </w:pPr>
      <w:r>
        <w:tab/>
        <w:t>(2)</w:t>
      </w:r>
      <w:r>
        <w:tab/>
        <w:t xml:space="preserve">If there are reasonable grounds to suspect that any thing found or received during the exercise of the powers conferred by </w:t>
      </w:r>
      <w:r>
        <w:lastRenderedPageBreak/>
        <w:t>section 8S or by a search warrant is a psychoactive substance, a police officer may seize and detain the thing until it is dealt with under this section or section 8U.</w:t>
      </w:r>
    </w:p>
    <w:p>
      <w:pPr>
        <w:pStyle w:val="Subsection"/>
      </w:pPr>
      <w:r>
        <w:tab/>
        <w:t>(3)</w:t>
      </w:r>
      <w:r>
        <w:tab/>
        <w:t xml:space="preserve">A police officer must give to a person from whom a thing is seized under subsection (2) a destruction notice if — </w:t>
      </w:r>
    </w:p>
    <w:p>
      <w:pPr>
        <w:pStyle w:val="Indenta"/>
      </w:pPr>
      <w:r>
        <w:tab/>
        <w:t>(a)</w:t>
      </w:r>
      <w:r>
        <w:tab/>
        <w:t>the police officer is satisfied that no person will be tried with the commission of an offence in relation to the thing; or</w:t>
      </w:r>
    </w:p>
    <w:p>
      <w:pPr>
        <w:pStyle w:val="Indenta"/>
      </w:pPr>
      <w:r>
        <w:tab/>
        <w:t>(b)</w:t>
      </w:r>
      <w:r>
        <w:tab/>
        <w:t>a person is tried with the commission of an offence in relation to the thing and the person is not convicted of that offence.</w:t>
      </w:r>
    </w:p>
    <w:p>
      <w:pPr>
        <w:pStyle w:val="Subsection"/>
      </w:pPr>
      <w:r>
        <w:tab/>
        <w:t>(4)</w:t>
      </w:r>
      <w:r>
        <w:tab/>
        <w:t xml:space="preserve">A destruction notice must — </w:t>
      </w:r>
    </w:p>
    <w:p>
      <w:pPr>
        <w:pStyle w:val="Indenta"/>
      </w:pPr>
      <w:r>
        <w:tab/>
        <w:t>(a)</w:t>
      </w:r>
      <w:r>
        <w:tab/>
        <w:t>be in writing in the prescribed form; and</w:t>
      </w:r>
    </w:p>
    <w:p>
      <w:pPr>
        <w:pStyle w:val="Indenta"/>
      </w:pPr>
      <w:r>
        <w:tab/>
        <w:t>(b)</w:t>
      </w:r>
      <w:r>
        <w:tab/>
        <w:t>identify the thing to which it relates; and</w:t>
      </w:r>
    </w:p>
    <w:p>
      <w:pPr>
        <w:pStyle w:val="Indenta"/>
      </w:pPr>
      <w:r>
        <w:tab/>
        <w:t>(c)</w:t>
      </w:r>
      <w:r>
        <w:tab/>
        <w:t>advise that the thing will be destroyed on or after a day specified in the notice unless, before that day, an application is made under section 8U(1) to have a sample of the thing analysed.</w:t>
      </w:r>
    </w:p>
    <w:p>
      <w:pPr>
        <w:pStyle w:val="Subsection"/>
      </w:pPr>
      <w:r>
        <w:tab/>
        <w:t>(5)</w:t>
      </w:r>
      <w:r>
        <w:tab/>
        <w:t>The day referred to in subsection (4)(c) cannot be a day that is sooner than 21 days after the day the notice is given.</w:t>
      </w:r>
    </w:p>
    <w:p>
      <w:pPr>
        <w:pStyle w:val="Subsection"/>
      </w:pPr>
      <w:r>
        <w:tab/>
        <w:t>(6)</w:t>
      </w:r>
      <w:r>
        <w:tab/>
        <w:t>Subject to section 8U, a police officer may destroy a thing seized under subsection (2) on or after the day specified in a destruction notice given in relation to the thing.</w:t>
      </w:r>
    </w:p>
    <w:p>
      <w:pPr>
        <w:pStyle w:val="Footnotesection"/>
      </w:pPr>
      <w:r>
        <w:tab/>
        <w:t>[Section 8T inserted: No. 29 of 2015 s. 4.]</w:t>
      </w:r>
    </w:p>
    <w:p>
      <w:pPr>
        <w:pStyle w:val="Heading5"/>
      </w:pPr>
      <w:bookmarkStart w:id="57" w:name="_Toc138751067"/>
      <w:r>
        <w:rPr>
          <w:rStyle w:val="CharSectno"/>
        </w:rPr>
        <w:t>8U</w:t>
      </w:r>
      <w:r>
        <w:t>.</w:t>
      </w:r>
      <w:r>
        <w:tab/>
        <w:t>Analysis of seized thing may be requested</w:t>
      </w:r>
      <w:bookmarkEnd w:id="57"/>
      <w:r>
        <w:t xml:space="preserve"> </w:t>
      </w:r>
    </w:p>
    <w:p>
      <w:pPr>
        <w:pStyle w:val="Subsection"/>
      </w:pPr>
      <w:r>
        <w:tab/>
        <w:t>(1)</w:t>
      </w:r>
      <w:r>
        <w:tab/>
        <w:t xml:space="preserve">On receipt of a destruction notice, a person may apply to the Commissioner to have a sample of the thing identified in the notice analysed by an approved analyst. </w:t>
      </w:r>
    </w:p>
    <w:p>
      <w:pPr>
        <w:pStyle w:val="Subsection"/>
      </w:pPr>
      <w:r>
        <w:tab/>
        <w:t>(2)</w:t>
      </w:r>
      <w:r>
        <w:tab/>
        <w:t xml:space="preserve">An application must be — </w:t>
      </w:r>
    </w:p>
    <w:p>
      <w:pPr>
        <w:pStyle w:val="Indenta"/>
      </w:pPr>
      <w:r>
        <w:tab/>
        <w:t>(a)</w:t>
      </w:r>
      <w:r>
        <w:tab/>
        <w:t>made in the prescribed form; and</w:t>
      </w:r>
    </w:p>
    <w:p>
      <w:pPr>
        <w:pStyle w:val="Indenta"/>
        <w:keepNext/>
      </w:pPr>
      <w:r>
        <w:lastRenderedPageBreak/>
        <w:tab/>
        <w:t>(b)</w:t>
      </w:r>
      <w:r>
        <w:tab/>
        <w:t>made within 21 days of the receipt of the notice; and</w:t>
      </w:r>
    </w:p>
    <w:p>
      <w:pPr>
        <w:pStyle w:val="Indenta"/>
      </w:pPr>
      <w:r>
        <w:tab/>
        <w:t>(c)</w:t>
      </w:r>
      <w:r>
        <w:tab/>
        <w:t>accompanied by the prescribed fee.</w:t>
      </w:r>
    </w:p>
    <w:p>
      <w:pPr>
        <w:pStyle w:val="Subsection"/>
      </w:pPr>
      <w:r>
        <w:tab/>
        <w:t>(3)</w:t>
      </w:r>
      <w:r>
        <w:tab/>
        <w:t xml:space="preserve">If an application is made under subsection (1), the Commissioner must — </w:t>
      </w:r>
    </w:p>
    <w:p>
      <w:pPr>
        <w:pStyle w:val="Indenta"/>
      </w:pPr>
      <w:r>
        <w:tab/>
        <w:t>(a)</w:t>
      </w:r>
      <w:r>
        <w:tab/>
        <w:t>request an approved analyst to analyse a sample of the thing and provide the Commissioner with a report of the analysis; and</w:t>
      </w:r>
    </w:p>
    <w:p>
      <w:pPr>
        <w:pStyle w:val="Indenta"/>
      </w:pPr>
      <w:r>
        <w:tab/>
        <w:t>(b)</w:t>
      </w:r>
      <w:r>
        <w:tab/>
        <w:t>direct that the thing not be destroyed under the destruction notice.</w:t>
      </w:r>
    </w:p>
    <w:p>
      <w:pPr>
        <w:pStyle w:val="Subsection"/>
      </w:pPr>
      <w:r>
        <w:tab/>
        <w:t>(4)</w:t>
      </w:r>
      <w:r>
        <w:tab/>
        <w:t xml:space="preserve">After considering a report of the analysis of a sample of a thing provided by an approved analyst, the Commissioner must — </w:t>
      </w:r>
    </w:p>
    <w:p>
      <w:pPr>
        <w:pStyle w:val="Indenta"/>
      </w:pPr>
      <w:r>
        <w:tab/>
        <w:t>(a)</w:t>
      </w:r>
      <w:r>
        <w:tab/>
        <w:t>if the Commissioner is satisfied that the thing is a psychoactive substance — order that the thing be destroyed; or</w:t>
      </w:r>
    </w:p>
    <w:p>
      <w:pPr>
        <w:pStyle w:val="Indenta"/>
      </w:pPr>
      <w:r>
        <w:tab/>
        <w:t>(b)</w:t>
      </w:r>
      <w:r>
        <w:tab/>
        <w:t>if the Commissioner is satisfied that the thing is not a psychoactive substance but is a relevant thing as defined in section 27(6) — order that the thing be dealt with under section 27 as if it had been seized and detained under section 26; or</w:t>
      </w:r>
    </w:p>
    <w:p>
      <w:pPr>
        <w:pStyle w:val="Indenta"/>
      </w:pPr>
      <w:r>
        <w:tab/>
        <w:t>(c)</w:t>
      </w:r>
      <w:r>
        <w:tab/>
        <w:t xml:space="preserve">if the Commissioner is satisfied that the thing is not a psychoactive substance or a relevant thing — </w:t>
      </w:r>
    </w:p>
    <w:p>
      <w:pPr>
        <w:pStyle w:val="Indenti"/>
      </w:pPr>
      <w:r>
        <w:tab/>
        <w:t>(i)</w:t>
      </w:r>
      <w:r>
        <w:tab/>
        <w:t>order that the thing be released to the person from whom it was seized; and</w:t>
      </w:r>
    </w:p>
    <w:p>
      <w:pPr>
        <w:pStyle w:val="Indenti"/>
      </w:pPr>
      <w:r>
        <w:tab/>
        <w:t>(ii)</w:t>
      </w:r>
      <w:r>
        <w:tab/>
        <w:t>order that the fee paid by the applicant for a sample of the thing to be analysed be refunded to the applicant.</w:t>
      </w:r>
    </w:p>
    <w:p>
      <w:pPr>
        <w:pStyle w:val="Footnotesection"/>
      </w:pPr>
      <w:r>
        <w:tab/>
        <w:t>[Section 8U inserted: No. 29 of 2015 s. 4.]</w:t>
      </w:r>
    </w:p>
    <w:p>
      <w:pPr>
        <w:pStyle w:val="Heading2"/>
      </w:pPr>
      <w:bookmarkStart w:id="58" w:name="_Toc138689128"/>
      <w:bookmarkStart w:id="59" w:name="_Toc138691505"/>
      <w:bookmarkStart w:id="60" w:name="_Toc138751068"/>
      <w:r>
        <w:rPr>
          <w:rStyle w:val="CharPartNo"/>
        </w:rPr>
        <w:lastRenderedPageBreak/>
        <w:t>Part III</w:t>
      </w:r>
      <w:r>
        <w:rPr>
          <w:rStyle w:val="CharDivNo"/>
        </w:rPr>
        <w:t> </w:t>
      </w:r>
      <w:r>
        <w:t>—</w:t>
      </w:r>
      <w:r>
        <w:rPr>
          <w:rStyle w:val="CharDivText"/>
        </w:rPr>
        <w:t> </w:t>
      </w:r>
      <w:r>
        <w:rPr>
          <w:rStyle w:val="CharPartText"/>
        </w:rPr>
        <w:t>Procedure</w:t>
      </w:r>
      <w:bookmarkEnd w:id="58"/>
      <w:bookmarkEnd w:id="59"/>
      <w:bookmarkEnd w:id="60"/>
    </w:p>
    <w:p>
      <w:pPr>
        <w:pStyle w:val="Heading5"/>
        <w:spacing w:before="180"/>
      </w:pPr>
      <w:bookmarkStart w:id="61" w:name="_Toc138751069"/>
      <w:r>
        <w:rPr>
          <w:rStyle w:val="CharSectno"/>
        </w:rPr>
        <w:t>9</w:t>
      </w:r>
      <w:r>
        <w:t>.</w:t>
      </w:r>
      <w:r>
        <w:tab/>
        <w:t>Summary trial of some indictable offences</w:t>
      </w:r>
      <w:bookmarkEnd w:id="61"/>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spacing w:before="120"/>
      </w:pPr>
      <w:r>
        <w:tab/>
        <w:t>(2)</w:t>
      </w:r>
      <w:r>
        <w:tab/>
        <w:t>A court of summary jurisdiction that tries a person summarily for a charge of an offence referred to in subsection (1) must be constituted by a magistrate sitting alone.</w:t>
      </w:r>
    </w:p>
    <w:p>
      <w:pPr>
        <w:pStyle w:val="Subsection"/>
        <w:spacing w:before="12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pPr>
      <w:r>
        <w:tab/>
        <w:t>(a)</w:t>
      </w:r>
      <w:r>
        <w:tab/>
        <w:t>the quantity of the prohibited drug to which the charge relates being less than the quantity specified in Schedule III in relation to that prohibited drug; or</w:t>
      </w:r>
    </w:p>
    <w:p>
      <w:pPr>
        <w:pStyle w:val="Indenta"/>
        <w:keepNext/>
      </w:pPr>
      <w:r>
        <w:tab/>
        <w:t>(b)</w:t>
      </w:r>
      <w:r>
        <w:tab/>
        <w:t xml:space="preserve">the number of prohibited plants of a particular species or genus to which the charge relates being less than the </w:t>
      </w:r>
      <w:r>
        <w:lastRenderedPageBreak/>
        <w:t>number specified in Schedule IV in relation to that species or genus.</w:t>
      </w:r>
    </w:p>
    <w:p>
      <w:pPr>
        <w:pStyle w:val="Footnotesection"/>
        <w:ind w:left="890" w:hanging="890"/>
      </w:pPr>
      <w:r>
        <w:tab/>
        <w:t>[Section 9 inserted: No. 4 of 2004 s. 58; amended: No. 84 of 2004 s. 82.]</w:t>
      </w:r>
    </w:p>
    <w:p>
      <w:pPr>
        <w:pStyle w:val="Heading5"/>
      </w:pPr>
      <w:bookmarkStart w:id="62" w:name="_Toc138751070"/>
      <w:r>
        <w:rPr>
          <w:rStyle w:val="CharSectno"/>
        </w:rPr>
        <w:t>10</w:t>
      </w:r>
      <w:r>
        <w:t>.</w:t>
      </w:r>
      <w:r>
        <w:tab/>
        <w:t>Alternative verdicts</w:t>
      </w:r>
      <w:bookmarkEnd w:id="62"/>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No. 4 of 2004 s. 58.]</w:t>
      </w:r>
    </w:p>
    <w:p>
      <w:pPr>
        <w:pStyle w:val="Heading5"/>
        <w:rPr>
          <w:snapToGrid w:val="0"/>
        </w:rPr>
      </w:pPr>
      <w:bookmarkStart w:id="63" w:name="_Toc138751071"/>
      <w:r>
        <w:rPr>
          <w:rStyle w:val="CharSectno"/>
        </w:rPr>
        <w:t>11</w:t>
      </w:r>
      <w:r>
        <w:rPr>
          <w:snapToGrid w:val="0"/>
        </w:rPr>
        <w:t>.</w:t>
      </w:r>
      <w:r>
        <w:rPr>
          <w:snapToGrid w:val="0"/>
        </w:rPr>
        <w:tab/>
        <w:t>Presumption of intent to sell or supply</w:t>
      </w:r>
      <w:bookmarkEnd w:id="63"/>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 xml:space="preserve">section 7(1)(a), a person shall, unless the contrary is proved, be deemed to have in his possession, or to cultivate, prohibited plants of a particular species or genus with intent to sell or supply those prohibited plants or any prohibited drug obtainable therefrom to </w:t>
      </w:r>
      <w:r>
        <w:rPr>
          <w:snapToGrid w:val="0"/>
        </w:rPr>
        <w:lastRenderedPageBreak/>
        <w:t>another if he has in his possession, or cultivates, a number of those prohibited plants which is not less than the number specified in Schedule VI in relation to that species or genus.</w:t>
      </w:r>
    </w:p>
    <w:p>
      <w:pPr>
        <w:pStyle w:val="Heading2"/>
      </w:pPr>
      <w:bookmarkStart w:id="64" w:name="_Toc138689132"/>
      <w:bookmarkStart w:id="65" w:name="_Toc138691509"/>
      <w:bookmarkStart w:id="66" w:name="_Toc138751072"/>
      <w:r>
        <w:rPr>
          <w:rStyle w:val="CharPartNo"/>
        </w:rPr>
        <w:lastRenderedPageBreak/>
        <w:t>Part IV</w:t>
      </w:r>
      <w:r>
        <w:rPr>
          <w:b w:val="0"/>
        </w:rPr>
        <w:t> </w:t>
      </w:r>
      <w:r>
        <w:t>—</w:t>
      </w:r>
      <w:r>
        <w:rPr>
          <w:b w:val="0"/>
        </w:rPr>
        <w:t> </w:t>
      </w:r>
      <w:r>
        <w:rPr>
          <w:rStyle w:val="CharPartText"/>
        </w:rPr>
        <w:t>Controls relating to possession, sale, supply and storage of certain substances and things</w:t>
      </w:r>
      <w:bookmarkEnd w:id="64"/>
      <w:bookmarkEnd w:id="65"/>
      <w:bookmarkEnd w:id="66"/>
    </w:p>
    <w:p>
      <w:pPr>
        <w:pStyle w:val="Footnoteheading"/>
      </w:pPr>
      <w:r>
        <w:tab/>
        <w:t>[Heading inserted: No. 62 of 2004 s. 5.]</w:t>
      </w:r>
    </w:p>
    <w:p>
      <w:pPr>
        <w:pStyle w:val="Heading5"/>
      </w:pPr>
      <w:bookmarkStart w:id="67" w:name="_Toc138751073"/>
      <w:r>
        <w:rPr>
          <w:rStyle w:val="CharSectno"/>
        </w:rPr>
        <w:t>12</w:t>
      </w:r>
      <w:r>
        <w:t>.</w:t>
      </w:r>
      <w:r>
        <w:tab/>
        <w:t>Terms used</w:t>
      </w:r>
      <w:bookmarkEnd w:id="67"/>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No. 62 of 2004 s. 5.]</w:t>
      </w:r>
    </w:p>
    <w:p>
      <w:pPr>
        <w:pStyle w:val="Heading5"/>
      </w:pPr>
      <w:bookmarkStart w:id="68" w:name="_Toc138751074"/>
      <w:r>
        <w:rPr>
          <w:rStyle w:val="CharSectno"/>
        </w:rPr>
        <w:t>13</w:t>
      </w:r>
      <w:r>
        <w:t>.</w:t>
      </w:r>
      <w:r>
        <w:tab/>
        <w:t>Part not applicable to possession, sale or supply of certain substances or things</w:t>
      </w:r>
      <w:bookmarkEnd w:id="68"/>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 xml:space="preserve">This Part does not apply to or in relation to the possession or supply of a category 1 item or category 2 item if the item is in the possession of, or the supply is by, a person employed or </w:t>
      </w:r>
      <w:r>
        <w:lastRenderedPageBreak/>
        <w:t>engaged by an education institution or a research institution acting in the ordinary course of the person’s occupation and the possession or supply is solely for educational or research purposes.</w:t>
      </w:r>
    </w:p>
    <w:p>
      <w:pPr>
        <w:pStyle w:val="Footnotesection"/>
      </w:pPr>
      <w:r>
        <w:tab/>
        <w:t>[Section 13 inserted: No. 62 of 2004 s. 5.]</w:t>
      </w:r>
    </w:p>
    <w:p>
      <w:pPr>
        <w:pStyle w:val="Heading5"/>
      </w:pPr>
      <w:bookmarkStart w:id="69" w:name="_Toc138751075"/>
      <w:r>
        <w:rPr>
          <w:rStyle w:val="CharSectno"/>
        </w:rPr>
        <w:t>14</w:t>
      </w:r>
      <w:r>
        <w:t>.</w:t>
      </w:r>
      <w:r>
        <w:tab/>
        <w:t>Possession of certain substances or things</w:t>
      </w:r>
      <w:bookmarkEnd w:id="69"/>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Medicines and Poisons Act 2014</w:t>
      </w:r>
      <w:r>
        <w:t>to possess the item or substance concerned and does so in accordance with that authority.</w:t>
      </w:r>
    </w:p>
    <w:p>
      <w:pPr>
        <w:pStyle w:val="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Indenta"/>
      </w:pPr>
      <w:r>
        <w:tab/>
        <w:t>(b)</w:t>
      </w:r>
      <w:r>
        <w:tab/>
        <w:t xml:space="preserve">he or she had possession of the item or substance only for the purpose of delivering it to a person authorised to </w:t>
      </w:r>
      <w:r>
        <w:lastRenderedPageBreak/>
        <w:t xml:space="preserve">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Indenta"/>
      </w:pPr>
      <w:r>
        <w:tab/>
        <w:t>(c)</w:t>
      </w:r>
      <w:r>
        <w:tab/>
        <w:t>he or she had possession of the item or substance for the purpose of analysing, examining or otherwise dealing with it for the purposes of this Act in his or her capacity as an analyst, botanist or other expert.</w:t>
      </w:r>
    </w:p>
    <w:p>
      <w:pPr>
        <w:pStyle w:val="Footnotesection"/>
      </w:pPr>
      <w:r>
        <w:tab/>
        <w:t>[Section 14 inserted: No. 62 of 2004 s. 5; amended:  No. 13 of 2014 s. 174 .]</w:t>
      </w:r>
    </w:p>
    <w:p>
      <w:pPr>
        <w:pStyle w:val="Heading5"/>
      </w:pPr>
      <w:bookmarkStart w:id="70" w:name="_Toc138751076"/>
      <w:r>
        <w:rPr>
          <w:rStyle w:val="CharSectno"/>
        </w:rPr>
        <w:t>15</w:t>
      </w:r>
      <w:r>
        <w:t>.</w:t>
      </w:r>
      <w:r>
        <w:tab/>
        <w:t>Sale or supply of category 1 items</w:t>
      </w:r>
      <w:bookmarkEnd w:id="70"/>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 xml:space="preserve">A supplier who sells or supplies a category 1 item commits a simple offence if the supplier fails to give a copy of the declaration under subsection (1)(c) in respect of the sale or supply to the Commissioner in the prescribed manner within </w:t>
      </w:r>
      <w:r>
        <w:lastRenderedPageBreak/>
        <w:t>24 hours after the written order for the item was given to the supplier.</w:t>
      </w:r>
    </w:p>
    <w:p>
      <w:pPr>
        <w:pStyle w:val="Footnotesection"/>
      </w:pPr>
      <w:r>
        <w:tab/>
        <w:t>[Section 15 inserted: No. 62 of 2004 s. 5.]</w:t>
      </w:r>
    </w:p>
    <w:p>
      <w:pPr>
        <w:pStyle w:val="Heading5"/>
      </w:pPr>
      <w:bookmarkStart w:id="71" w:name="_Toc138751077"/>
      <w:r>
        <w:rPr>
          <w:rStyle w:val="CharSectno"/>
        </w:rPr>
        <w:t>16</w:t>
      </w:r>
      <w:r>
        <w:t>.</w:t>
      </w:r>
      <w:r>
        <w:tab/>
        <w:t>Storage of category 1 items</w:t>
      </w:r>
      <w:bookmarkEnd w:id="71"/>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No. 62 of 2004 s. 5.]</w:t>
      </w:r>
    </w:p>
    <w:p>
      <w:pPr>
        <w:pStyle w:val="Heading5"/>
      </w:pPr>
      <w:bookmarkStart w:id="72" w:name="_Toc138751078"/>
      <w:r>
        <w:rPr>
          <w:rStyle w:val="CharSectno"/>
        </w:rPr>
        <w:t>17</w:t>
      </w:r>
      <w:r>
        <w:t>.</w:t>
      </w:r>
      <w:r>
        <w:tab/>
        <w:t>Sale or supply of category 2 items</w:t>
      </w:r>
      <w:bookmarkEnd w:id="72"/>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keepNext/>
      </w:pPr>
      <w:r>
        <w:lastRenderedPageBreak/>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No. 62 of 2004 s. 5.]</w:t>
      </w:r>
    </w:p>
    <w:p>
      <w:pPr>
        <w:pStyle w:val="Heading5"/>
      </w:pPr>
      <w:bookmarkStart w:id="73" w:name="_Toc138751079"/>
      <w:r>
        <w:rPr>
          <w:rStyle w:val="CharSectno"/>
        </w:rPr>
        <w:t>18</w:t>
      </w:r>
      <w:r>
        <w:t>.</w:t>
      </w:r>
      <w:r>
        <w:tab/>
        <w:t>Offences relating to declarations under s. 15(1)(c) or 17(1)(b)</w:t>
      </w:r>
      <w:bookmarkEnd w:id="73"/>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No. 62 of 2004 s. 5.]</w:t>
      </w:r>
    </w:p>
    <w:p>
      <w:pPr>
        <w:pStyle w:val="Ednotesection"/>
      </w:pPr>
      <w:r>
        <w:t>[</w:t>
      </w:r>
      <w:r>
        <w:rPr>
          <w:b/>
        </w:rPr>
        <w:t>19A, 19B.</w:t>
      </w:r>
      <w:r>
        <w:tab/>
        <w:t xml:space="preserve">Deleted: No. 56 of 2011 s. 8.] </w:t>
      </w:r>
    </w:p>
    <w:p>
      <w:pPr>
        <w:pStyle w:val="Heading5"/>
      </w:pPr>
      <w:bookmarkStart w:id="74" w:name="_Toc138751080"/>
      <w:r>
        <w:rPr>
          <w:rStyle w:val="CharSectno"/>
        </w:rPr>
        <w:t>19</w:t>
      </w:r>
      <w:r>
        <w:t>.</w:t>
      </w:r>
      <w:r>
        <w:tab/>
        <w:t>Powers of police officers for purposes of this Part</w:t>
      </w:r>
      <w:bookmarkEnd w:id="74"/>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 xml:space="preserve">any books, papers or documents relating to the sale or supply of category 1 items or category 2 </w:t>
      </w:r>
      <w:r>
        <w:lastRenderedPageBreak/>
        <w:t>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No. 62 of 2004 s. 5.]</w:t>
      </w:r>
    </w:p>
    <w:p>
      <w:pPr>
        <w:pStyle w:val="Heading5"/>
        <w:pageBreakBefore/>
        <w:spacing w:before="0"/>
      </w:pPr>
      <w:bookmarkStart w:id="75" w:name="_Toc138751081"/>
      <w:r>
        <w:rPr>
          <w:rStyle w:val="CharSectno"/>
        </w:rPr>
        <w:lastRenderedPageBreak/>
        <w:t>20</w:t>
      </w:r>
      <w:r>
        <w:t>.</w:t>
      </w:r>
      <w:r>
        <w:tab/>
        <w:t>Regulations as to category 1 items and category 2 items</w:t>
      </w:r>
      <w:bookmarkEnd w:id="75"/>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No. 62 of 2004 s. 5.]</w:t>
      </w:r>
    </w:p>
    <w:p>
      <w:pPr>
        <w:pStyle w:val="Heading2"/>
      </w:pPr>
      <w:bookmarkStart w:id="76" w:name="_Toc138689142"/>
      <w:bookmarkStart w:id="77" w:name="_Toc138691519"/>
      <w:bookmarkStart w:id="78" w:name="_Toc138751082"/>
      <w:r>
        <w:rPr>
          <w:rStyle w:val="CharPartNo"/>
        </w:rPr>
        <w:lastRenderedPageBreak/>
        <w:t>Part 4A</w:t>
      </w:r>
      <w:r>
        <w:t> — </w:t>
      </w:r>
      <w:r>
        <w:rPr>
          <w:rStyle w:val="CharPartText"/>
        </w:rPr>
        <w:t>Targeted searches</w:t>
      </w:r>
      <w:bookmarkEnd w:id="76"/>
      <w:bookmarkEnd w:id="77"/>
      <w:bookmarkEnd w:id="78"/>
    </w:p>
    <w:p>
      <w:pPr>
        <w:pStyle w:val="Footnoteheading"/>
      </w:pPr>
      <w:r>
        <w:tab/>
        <w:t>[Heading inserted: No. 47 of 2016 s. 5.]</w:t>
      </w:r>
    </w:p>
    <w:p>
      <w:pPr>
        <w:pStyle w:val="Heading3"/>
      </w:pPr>
      <w:bookmarkStart w:id="79" w:name="_Toc138689143"/>
      <w:bookmarkStart w:id="80" w:name="_Toc138691520"/>
      <w:bookmarkStart w:id="81" w:name="_Toc138751083"/>
      <w:r>
        <w:rPr>
          <w:rStyle w:val="CharDivNo"/>
        </w:rPr>
        <w:t>Division 1</w:t>
      </w:r>
      <w:r>
        <w:t> — </w:t>
      </w:r>
      <w:r>
        <w:rPr>
          <w:rStyle w:val="CharDivText"/>
        </w:rPr>
        <w:t>Preliminary</w:t>
      </w:r>
      <w:bookmarkEnd w:id="79"/>
      <w:bookmarkEnd w:id="80"/>
      <w:bookmarkEnd w:id="81"/>
    </w:p>
    <w:p>
      <w:pPr>
        <w:pStyle w:val="Footnoteheading"/>
      </w:pPr>
      <w:r>
        <w:tab/>
        <w:t>[Heading inserted: No. 47 of 2016 s. 5.]</w:t>
      </w:r>
    </w:p>
    <w:p>
      <w:pPr>
        <w:pStyle w:val="Heading5"/>
      </w:pPr>
      <w:bookmarkStart w:id="82" w:name="_Toc138751084"/>
      <w:r>
        <w:rPr>
          <w:rStyle w:val="CharSectno"/>
        </w:rPr>
        <w:t>20A</w:t>
      </w:r>
      <w:r>
        <w:t>.</w:t>
      </w:r>
      <w:r>
        <w:tab/>
        <w:t>Terms used</w:t>
      </w:r>
      <w:bookmarkEnd w:id="82"/>
    </w:p>
    <w:p>
      <w:pPr>
        <w:pStyle w:val="Subsection"/>
      </w:pPr>
      <w:r>
        <w:tab/>
      </w:r>
      <w:r>
        <w:tab/>
        <w:t>In this Part — </w:t>
      </w:r>
    </w:p>
    <w:p>
      <w:pPr>
        <w:pStyle w:val="Defstart"/>
      </w:pPr>
      <w:r>
        <w:tab/>
      </w:r>
      <w:r>
        <w:rPr>
          <w:rStyle w:val="CharDefText"/>
        </w:rPr>
        <w:t>Australia Post</w:t>
      </w:r>
      <w:r>
        <w:t xml:space="preserve"> has the meaning given in the </w:t>
      </w:r>
      <w:r>
        <w:rPr>
          <w:i/>
        </w:rPr>
        <w:t>Australian Postal Corporation Act 1989</w:t>
      </w:r>
      <w:r>
        <w:t xml:space="preserve"> (Commonwealth) section 3;</w:t>
      </w:r>
    </w:p>
    <w:p>
      <w:pPr>
        <w:pStyle w:val="Defstart"/>
      </w:pPr>
      <w:r>
        <w:tab/>
      </w:r>
      <w:r>
        <w:rPr>
          <w:rStyle w:val="CharDefText"/>
        </w:rPr>
        <w:t>consigned article</w:t>
      </w:r>
      <w:r>
        <w:t xml:space="preserve"> means any article, including a letter, document, envelope, packet, parcel, package, container or wrapper, consigned for delivery by a delivery business;</w:t>
      </w:r>
    </w:p>
    <w:p>
      <w:pPr>
        <w:pStyle w:val="Defstart"/>
      </w:pPr>
      <w:r>
        <w:tab/>
      </w:r>
      <w:r>
        <w:rPr>
          <w:rStyle w:val="CharDefText"/>
        </w:rPr>
        <w:t xml:space="preserve">delivery business </w:t>
      </w:r>
      <w:r>
        <w:t>means a business that delivers consigned articles but does not include Australia Post;</w:t>
      </w:r>
    </w:p>
    <w:p>
      <w:pPr>
        <w:pStyle w:val="Defstart"/>
      </w:pPr>
      <w:r>
        <w:tab/>
      </w:r>
      <w:r>
        <w:rPr>
          <w:rStyle w:val="CharDefText"/>
        </w:rPr>
        <w:t>drug detection area</w:t>
      </w:r>
      <w:r>
        <w:t xml:space="preserve"> means an area referred to in section 20B(2)(a);</w:t>
      </w:r>
    </w:p>
    <w:p>
      <w:pPr>
        <w:pStyle w:val="Defstart"/>
      </w:pPr>
      <w:r>
        <w:tab/>
      </w:r>
      <w:r>
        <w:rPr>
          <w:rStyle w:val="CharDefText"/>
        </w:rPr>
        <w:t>metropolitan region</w:t>
      </w:r>
      <w:r>
        <w:t xml:space="preserve"> has the meaning given in the </w:t>
      </w:r>
      <w:r>
        <w:rPr>
          <w:i/>
        </w:rPr>
        <w:t xml:space="preserve">Planning and Development Act 2005 </w:t>
      </w:r>
      <w:r>
        <w:t>section 4(1);</w:t>
      </w:r>
    </w:p>
    <w:p>
      <w:pPr>
        <w:pStyle w:val="Defstart"/>
        <w:keepNext/>
      </w:pPr>
      <w:r>
        <w:tab/>
      </w:r>
      <w:r>
        <w:rPr>
          <w:rStyle w:val="CharDefText"/>
        </w:rPr>
        <w:t>premises search authorisation</w:t>
      </w:r>
      <w:r>
        <w:t xml:space="preserve"> means an authorisation issued by a senior police officer under section 20C;</w:t>
      </w:r>
    </w:p>
    <w:p>
      <w:pPr>
        <w:pStyle w:val="Defstart"/>
      </w:pPr>
      <w:r>
        <w:tab/>
      </w:r>
      <w:r>
        <w:rPr>
          <w:rStyle w:val="CharDefText"/>
        </w:rPr>
        <w:t>senior police officer</w:t>
      </w:r>
      <w:r>
        <w:t xml:space="preserve"> means a police officer who is, or is acting as, a superintendent or an officer above the rank of superintendent;</w:t>
      </w:r>
    </w:p>
    <w:p>
      <w:pPr>
        <w:pStyle w:val="Defstart"/>
      </w:pPr>
      <w:r>
        <w:tab/>
      </w:r>
      <w:r>
        <w:rPr>
          <w:rStyle w:val="CharDefText"/>
        </w:rPr>
        <w:t>vehicle search authorisation</w:t>
      </w:r>
      <w:r>
        <w:t xml:space="preserve"> means an authorisation issued by a senior police officer under section 20B.</w:t>
      </w:r>
    </w:p>
    <w:p>
      <w:pPr>
        <w:pStyle w:val="Footnotesection"/>
      </w:pPr>
      <w:r>
        <w:tab/>
        <w:t>[Section 20A inserted: No. 47 of 2016 s. 5; amended: No. 16 of 2023 s. 5.]</w:t>
      </w:r>
    </w:p>
    <w:p>
      <w:pPr>
        <w:pStyle w:val="Heading3"/>
      </w:pPr>
      <w:bookmarkStart w:id="83" w:name="_Toc138689145"/>
      <w:bookmarkStart w:id="84" w:name="_Toc138691522"/>
      <w:bookmarkStart w:id="85" w:name="_Toc138751085"/>
      <w:r>
        <w:rPr>
          <w:rStyle w:val="CharDivNo"/>
        </w:rPr>
        <w:lastRenderedPageBreak/>
        <w:t>Division 2</w:t>
      </w:r>
      <w:r>
        <w:t> — </w:t>
      </w:r>
      <w:r>
        <w:rPr>
          <w:rStyle w:val="CharDivText"/>
        </w:rPr>
        <w:t>Authorisations</w:t>
      </w:r>
      <w:bookmarkEnd w:id="83"/>
      <w:bookmarkEnd w:id="84"/>
      <w:bookmarkEnd w:id="85"/>
    </w:p>
    <w:p>
      <w:pPr>
        <w:pStyle w:val="Footnoteheading"/>
        <w:keepNext/>
      </w:pPr>
      <w:r>
        <w:tab/>
        <w:t>[Heading inserted: No. 47 of 2016 s. 5.]</w:t>
      </w:r>
    </w:p>
    <w:p>
      <w:pPr>
        <w:pStyle w:val="Heading5"/>
      </w:pPr>
      <w:bookmarkStart w:id="86" w:name="_Toc138751086"/>
      <w:r>
        <w:rPr>
          <w:rStyle w:val="CharSectno"/>
        </w:rPr>
        <w:t>20B</w:t>
      </w:r>
      <w:r>
        <w:t>.</w:t>
      </w:r>
      <w:r>
        <w:tab/>
        <w:t>Authorisation to exercise powers to search a vehicle or a person</w:t>
      </w:r>
      <w:bookmarkEnd w:id="86"/>
      <w:r>
        <w:t xml:space="preserve"> </w:t>
      </w:r>
    </w:p>
    <w:p>
      <w:pPr>
        <w:pStyle w:val="Subsection"/>
      </w:pPr>
      <w:r>
        <w:tab/>
        <w:t>(1)</w:t>
      </w:r>
      <w:r>
        <w:tab/>
        <w:t xml:space="preserve">A senior police officer may issue a vehicle search authorisation under this section if the senior police officer is satisfied there are reasonable grounds to suspect that an area is being, or is likely to be, used for the transport of any of the following — </w:t>
      </w:r>
    </w:p>
    <w:p>
      <w:pPr>
        <w:pStyle w:val="Indenta"/>
      </w:pPr>
      <w:r>
        <w:tab/>
        <w:t>(a)</w:t>
      </w:r>
      <w:r>
        <w:tab/>
        <w:t>a prohibited drug;</w:t>
      </w:r>
    </w:p>
    <w:p>
      <w:pPr>
        <w:pStyle w:val="Indenta"/>
      </w:pPr>
      <w:r>
        <w:tab/>
        <w:t>(b)</w:t>
      </w:r>
      <w:r>
        <w:tab/>
        <w:t>a prohibited plant;</w:t>
      </w:r>
    </w:p>
    <w:p>
      <w:pPr>
        <w:pStyle w:val="Indenta"/>
      </w:pPr>
      <w:r>
        <w:tab/>
        <w:t>(c)</w:t>
      </w:r>
      <w:r>
        <w:tab/>
        <w:t>a controlled precursor</w:t>
      </w:r>
      <w:r>
        <w:rPr>
          <w:sz w:val="20"/>
        </w:rPr>
        <w:t>.</w:t>
      </w:r>
    </w:p>
    <w:p>
      <w:pPr>
        <w:pStyle w:val="Subsection"/>
        <w:keepNext/>
      </w:pPr>
      <w:r>
        <w:tab/>
        <w:t>(2)</w:t>
      </w:r>
      <w:r>
        <w:tab/>
        <w:t xml:space="preserve">A vehicle search authorisation must set out the following — </w:t>
      </w:r>
    </w:p>
    <w:p>
      <w:pPr>
        <w:pStyle w:val="Indenta"/>
      </w:pPr>
      <w:r>
        <w:tab/>
        <w:t>(a)</w:t>
      </w:r>
      <w:r>
        <w:tab/>
        <w:t xml:space="preserve">subject to subsection (3), the boundaries of the area to which the authorisation relates (the </w:t>
      </w:r>
      <w:r>
        <w:rPr>
          <w:rStyle w:val="CharDefText"/>
        </w:rPr>
        <w:t>drug detection area</w:t>
      </w:r>
      <w:r>
        <w:t xml:space="preserve">); </w:t>
      </w:r>
    </w:p>
    <w:p>
      <w:pPr>
        <w:pStyle w:val="Indenta"/>
      </w:pPr>
      <w:r>
        <w:tab/>
        <w:t>(b)</w:t>
      </w:r>
      <w:r>
        <w:tab/>
        <w:t xml:space="preserve">the date and time from which it is to take effect; </w:t>
      </w:r>
    </w:p>
    <w:p>
      <w:pPr>
        <w:pStyle w:val="Indenta"/>
      </w:pPr>
      <w:r>
        <w:tab/>
        <w:t>(c)</w:t>
      </w:r>
      <w:r>
        <w:tab/>
        <w:t>the period, not exceeding 14 days, for which it has effect.</w:t>
      </w:r>
    </w:p>
    <w:p>
      <w:pPr>
        <w:pStyle w:val="Subsection"/>
      </w:pPr>
      <w:r>
        <w:tab/>
        <w:t>(3)</w:t>
      </w:r>
      <w:r>
        <w:tab/>
        <w:t xml:space="preserve">A senior police officer must not specify an area under subsection (2)(a) that — </w:t>
      </w:r>
    </w:p>
    <w:p>
      <w:pPr>
        <w:pStyle w:val="Indenta"/>
      </w:pPr>
      <w:r>
        <w:tab/>
        <w:t>(a)</w:t>
      </w:r>
      <w:r>
        <w:tab/>
        <w:t>is in the metropolitan region; or</w:t>
      </w:r>
    </w:p>
    <w:p>
      <w:pPr>
        <w:pStyle w:val="Indenta"/>
      </w:pPr>
      <w:r>
        <w:tab/>
        <w:t>(b)</w:t>
      </w:r>
      <w:r>
        <w:tab/>
        <w:t>exceeds an area of 5 square kilometres.</w:t>
      </w:r>
    </w:p>
    <w:p>
      <w:pPr>
        <w:pStyle w:val="Subsection"/>
      </w:pPr>
      <w:r>
        <w:tab/>
        <w:t>(4)</w:t>
      </w:r>
      <w:r>
        <w:tab/>
        <w:t>A vehicle search authorisation may be subject to any conditions specified in the authorisation by the senior police officer issuing the authorisation.</w:t>
      </w:r>
    </w:p>
    <w:p>
      <w:pPr>
        <w:pStyle w:val="Subsection"/>
      </w:pPr>
      <w:r>
        <w:tab/>
        <w:t>(5)</w:t>
      </w:r>
      <w:r>
        <w:tab/>
        <w:t xml:space="preserve">A vehicle search authorisation — </w:t>
      </w:r>
    </w:p>
    <w:p>
      <w:pPr>
        <w:pStyle w:val="Indenta"/>
      </w:pPr>
      <w:r>
        <w:tab/>
        <w:t>(a)</w:t>
      </w:r>
      <w:r>
        <w:tab/>
        <w:t xml:space="preserve">may be renewed by a senior police officer — </w:t>
      </w:r>
    </w:p>
    <w:p>
      <w:pPr>
        <w:pStyle w:val="Indenti"/>
      </w:pPr>
      <w:r>
        <w:tab/>
        <w:t>(i)</w:t>
      </w:r>
      <w:r>
        <w:tab/>
        <w:t>before the vehicle search authorisation expires; and</w:t>
      </w:r>
    </w:p>
    <w:p>
      <w:pPr>
        <w:pStyle w:val="Indenti"/>
      </w:pPr>
      <w:r>
        <w:lastRenderedPageBreak/>
        <w:tab/>
        <w:t>(ii)</w:t>
      </w:r>
      <w:r>
        <w:tab/>
        <w:t xml:space="preserve">for a period not exceeding 14 days; and </w:t>
      </w:r>
    </w:p>
    <w:p>
      <w:pPr>
        <w:pStyle w:val="Indenti"/>
      </w:pPr>
      <w:r>
        <w:tab/>
        <w:t>(iii)</w:t>
      </w:r>
      <w:r>
        <w:tab/>
        <w:t>if the senior police officer is satisfied that the requirements set out in subsection (1) are met;</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(6)</w:t>
      </w:r>
      <w:r>
        <w:tab/>
        <w:t>A vehicle search authorisation issued when 3 authorisations are already in force has no effect.</w:t>
      </w:r>
    </w:p>
    <w:p>
      <w:pPr>
        <w:pStyle w:val="Subsection"/>
      </w:pPr>
      <w:r>
        <w:tab/>
        <w:t>(7)</w:t>
      </w:r>
      <w:r>
        <w:tab/>
        <w:t>A vehicle search authorisation, or the renewal, variation or revocation of a vehicle search authorisation, must be in writing.</w:t>
      </w:r>
    </w:p>
    <w:p>
      <w:pPr>
        <w:pStyle w:val="Footnotesection"/>
      </w:pPr>
      <w:r>
        <w:tab/>
        <w:t>[Section 20B inserted: No. 47 of 2016 s. 5.]</w:t>
      </w:r>
    </w:p>
    <w:p>
      <w:pPr>
        <w:pStyle w:val="Heading5"/>
      </w:pPr>
      <w:bookmarkStart w:id="87" w:name="_Toc138751087"/>
      <w:r>
        <w:rPr>
          <w:rStyle w:val="CharSectno"/>
        </w:rPr>
        <w:t>20C</w:t>
      </w:r>
      <w:r>
        <w:t>.</w:t>
      </w:r>
      <w:r>
        <w:tab/>
        <w:t>Authorisation to exercise powers to search premises</w:t>
      </w:r>
      <w:bookmarkEnd w:id="87"/>
    </w:p>
    <w:p>
      <w:pPr>
        <w:pStyle w:val="Subsection"/>
      </w:pPr>
      <w:r>
        <w:tab/>
        <w:t>(1)</w:t>
      </w:r>
      <w:r>
        <w:tab/>
        <w:t>A senior police officer may issue a premises search authorisation under this section in respect of premises used primarily for carrying on a delivery business.</w:t>
      </w:r>
    </w:p>
    <w:p>
      <w:pPr>
        <w:pStyle w:val="Subsection"/>
      </w:pPr>
      <w:r>
        <w:tab/>
        <w:t>(2)</w:t>
      </w:r>
      <w:r>
        <w:tab/>
        <w:t xml:space="preserve">A premises search authorisation must set out the following — </w:t>
      </w:r>
    </w:p>
    <w:p>
      <w:pPr>
        <w:pStyle w:val="Indenta"/>
      </w:pPr>
      <w:r>
        <w:tab/>
        <w:t>(a)</w:t>
      </w:r>
      <w:r>
        <w:tab/>
        <w:t xml:space="preserve">the address of the premises to which the authorisation relates; </w:t>
      </w:r>
    </w:p>
    <w:p>
      <w:pPr>
        <w:pStyle w:val="Indenta"/>
      </w:pPr>
      <w:r>
        <w:tab/>
        <w:t>(b)</w:t>
      </w:r>
      <w:r>
        <w:tab/>
        <w:t>the date and time from which it is to take effect;</w:t>
      </w:r>
    </w:p>
    <w:p>
      <w:pPr>
        <w:pStyle w:val="Indenta"/>
      </w:pPr>
      <w:r>
        <w:tab/>
        <w:t>(c)</w:t>
      </w:r>
      <w:r>
        <w:tab/>
        <w:t>the period, not exceeding 24 hours, for which it has effect.</w:t>
      </w:r>
    </w:p>
    <w:p>
      <w:pPr>
        <w:pStyle w:val="Subsection"/>
      </w:pPr>
      <w:r>
        <w:tab/>
        <w:t>(3)</w:t>
      </w:r>
      <w:r>
        <w:tab/>
        <w:t xml:space="preserve">A premises search authorisation may be subject to any conditions specified in the authorisation by the senior police officer issuing the authorisation. </w:t>
      </w:r>
    </w:p>
    <w:p>
      <w:pPr>
        <w:pStyle w:val="Subsection"/>
      </w:pPr>
      <w:r>
        <w:tab/>
        <w:t>(4)</w:t>
      </w:r>
      <w:r>
        <w:tab/>
        <w:t xml:space="preserve">A premises search authorisation — </w:t>
      </w:r>
    </w:p>
    <w:p>
      <w:pPr>
        <w:pStyle w:val="Indenta"/>
      </w:pPr>
      <w:r>
        <w:tab/>
        <w:t>(a)</w:t>
      </w:r>
      <w:r>
        <w:tab/>
        <w:t xml:space="preserve">may be renewed by a senior police officer — </w:t>
      </w:r>
    </w:p>
    <w:p>
      <w:pPr>
        <w:pStyle w:val="Indenti"/>
      </w:pPr>
      <w:r>
        <w:tab/>
        <w:t>(i)</w:t>
      </w:r>
      <w:r>
        <w:tab/>
        <w:t>before the premises search authorisation expires; and</w:t>
      </w:r>
    </w:p>
    <w:p>
      <w:pPr>
        <w:pStyle w:val="Indenti"/>
      </w:pPr>
      <w:r>
        <w:lastRenderedPageBreak/>
        <w:tab/>
        <w:t>(ii)</w:t>
      </w:r>
      <w:r>
        <w:tab/>
        <w:t xml:space="preserve">for a period not exceeding 24 hours; </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(5)</w:t>
      </w:r>
      <w:r>
        <w:tab/>
        <w:t>A premises search authorisation issued when 3 authorisations are already in force has no effect.</w:t>
      </w:r>
    </w:p>
    <w:p>
      <w:pPr>
        <w:pStyle w:val="Subsection"/>
      </w:pPr>
      <w:r>
        <w:tab/>
        <w:t>(6)</w:t>
      </w:r>
      <w:r>
        <w:tab/>
        <w:t>A premises search authorisation, or the renewal, variation or revocation of a premises search authorisation, must be in writing.</w:t>
      </w:r>
    </w:p>
    <w:p>
      <w:pPr>
        <w:pStyle w:val="Footnotesection"/>
      </w:pPr>
      <w:r>
        <w:tab/>
        <w:t>[Section 20C inserted: No. 47 of 2016 s. 5.]</w:t>
      </w:r>
    </w:p>
    <w:p>
      <w:pPr>
        <w:pStyle w:val="Heading3"/>
      </w:pPr>
      <w:bookmarkStart w:id="88" w:name="_Toc138689148"/>
      <w:bookmarkStart w:id="89" w:name="_Toc138691525"/>
      <w:bookmarkStart w:id="90" w:name="_Toc138751088"/>
      <w:r>
        <w:rPr>
          <w:rStyle w:val="CharDivNo"/>
        </w:rPr>
        <w:t>Division 3</w:t>
      </w:r>
      <w:r>
        <w:t> — </w:t>
      </w:r>
      <w:r>
        <w:rPr>
          <w:rStyle w:val="CharDivText"/>
        </w:rPr>
        <w:t>Ancillary provisions in relation to exercising powers</w:t>
      </w:r>
      <w:bookmarkEnd w:id="88"/>
      <w:bookmarkEnd w:id="89"/>
      <w:bookmarkEnd w:id="90"/>
    </w:p>
    <w:p>
      <w:pPr>
        <w:pStyle w:val="Footnoteheading"/>
        <w:keepNext/>
      </w:pPr>
      <w:r>
        <w:tab/>
        <w:t>[Heading inserted: No. 47 of 2016 s. 5.]</w:t>
      </w:r>
    </w:p>
    <w:p>
      <w:pPr>
        <w:pStyle w:val="Heading5"/>
      </w:pPr>
      <w:bookmarkStart w:id="91" w:name="_Toc138751089"/>
      <w:r>
        <w:rPr>
          <w:rStyle w:val="CharSectno"/>
        </w:rPr>
        <w:t>20D</w:t>
      </w:r>
      <w:r>
        <w:t>.</w:t>
      </w:r>
      <w:r>
        <w:tab/>
        <w:t>Other written laws</w:t>
      </w:r>
      <w:bookmarkEnd w:id="91"/>
    </w:p>
    <w:p>
      <w:pPr>
        <w:pStyle w:val="Subsection"/>
      </w:pPr>
      <w:r>
        <w:tab/>
      </w:r>
      <w:r>
        <w:tab/>
        <w:t>Unless the contrary intention appears in this Act or another written law —</w:t>
      </w:r>
    </w:p>
    <w:p>
      <w:pPr>
        <w:pStyle w:val="Indenta"/>
      </w:pPr>
      <w:r>
        <w:tab/>
        <w:t>(a)</w:t>
      </w:r>
      <w:r>
        <w:tab/>
        <w:t>this Part does not affect the operation of any other written law; and</w:t>
      </w:r>
    </w:p>
    <w:p>
      <w:pPr>
        <w:pStyle w:val="Indenta"/>
      </w:pPr>
      <w:r>
        <w:tab/>
        <w:t>(b)</w:t>
      </w:r>
      <w:r>
        <w:tab/>
        <w:t>the powers in this Part are in addition to, and not in derogation of, the powers conferred on police officers by Part V or any other written law.</w:t>
      </w:r>
    </w:p>
    <w:p>
      <w:pPr>
        <w:pStyle w:val="Footnotesection"/>
      </w:pPr>
      <w:r>
        <w:tab/>
        <w:t>[Section 20D inserted: No. 47 of 2016 s. 5.]</w:t>
      </w:r>
    </w:p>
    <w:p>
      <w:pPr>
        <w:pStyle w:val="Heading5"/>
      </w:pPr>
      <w:bookmarkStart w:id="92" w:name="_Toc138751090"/>
      <w:r>
        <w:rPr>
          <w:rStyle w:val="CharSectno"/>
        </w:rPr>
        <w:t>20E</w:t>
      </w:r>
      <w:r>
        <w:t>.</w:t>
      </w:r>
      <w:r>
        <w:tab/>
        <w:t>Assistance when exercising powers under this Part</w:t>
      </w:r>
      <w:bookmarkEnd w:id="92"/>
    </w:p>
    <w:p>
      <w:pPr>
        <w:pStyle w:val="Subsection"/>
      </w:pPr>
      <w:r>
        <w:tab/>
        <w:t>(1)</w:t>
      </w:r>
      <w:r>
        <w:tab/>
        <w:t>A police officer may authorise as many other persons to assist in exercising a power under this Part as are reasonably necessary in the circumstances.</w:t>
      </w:r>
    </w:p>
    <w:p>
      <w:pPr>
        <w:pStyle w:val="Subsection"/>
      </w:pPr>
      <w:r>
        <w:lastRenderedPageBreak/>
        <w:tab/>
        <w:t>(2)</w:t>
      </w:r>
      <w:r>
        <w:tab/>
        <w:t xml:space="preserve">If a police officer authorises other persons to assist in the exercise of powers under this Part, the </w:t>
      </w:r>
      <w:r>
        <w:rPr>
          <w:i/>
        </w:rPr>
        <w:t>Criminal Investigation Act 2006</w:t>
      </w:r>
      <w:r>
        <w:t xml:space="preserve"> section 15, with any necessary changes, applies to and in relation to the exercise of powers by, or the assistance of, that person.</w:t>
      </w:r>
    </w:p>
    <w:p>
      <w:pPr>
        <w:pStyle w:val="Footnotesection"/>
      </w:pPr>
      <w:r>
        <w:tab/>
        <w:t>[Section 20E inserted: No. 47 of 2016 s. 5.]</w:t>
      </w:r>
    </w:p>
    <w:p>
      <w:pPr>
        <w:pStyle w:val="Heading5"/>
      </w:pPr>
      <w:bookmarkStart w:id="93" w:name="_Toc138751091"/>
      <w:r>
        <w:rPr>
          <w:rStyle w:val="CharSectno"/>
        </w:rPr>
        <w:t>20F</w:t>
      </w:r>
      <w:r>
        <w:t>.</w:t>
      </w:r>
      <w:r>
        <w:tab/>
        <w:t>Use of force</w:t>
      </w:r>
      <w:bookmarkEnd w:id="93"/>
    </w:p>
    <w:p>
      <w:pPr>
        <w:pStyle w:val="Subsection"/>
      </w:pPr>
      <w:r>
        <w:tab/>
      </w:r>
      <w:r>
        <w:tab/>
        <w:t xml:space="preserve">When exercising a power under this Part, a person may use such force as is reasonably necessary and with such assistance as the person considers necessary — </w:t>
      </w:r>
    </w:p>
    <w:p>
      <w:pPr>
        <w:pStyle w:val="Indenta"/>
      </w:pPr>
      <w:r>
        <w:tab/>
        <w:t>(a)</w:t>
      </w:r>
      <w:r>
        <w:tab/>
        <w:t>to exercise the power; and</w:t>
      </w:r>
    </w:p>
    <w:p>
      <w:pPr>
        <w:pStyle w:val="Indenta"/>
        <w:keepNext/>
      </w:pPr>
      <w:r>
        <w:tab/>
        <w:t>(b)</w:t>
      </w:r>
      <w:r>
        <w:tab/>
        <w:t>to overcome any resistance to exercising the power that is offered, or that the person exercising the power reasonably suspects will be offered, by any person.</w:t>
      </w:r>
    </w:p>
    <w:p>
      <w:pPr>
        <w:pStyle w:val="Footnotesection"/>
      </w:pPr>
      <w:r>
        <w:tab/>
        <w:t>[Section 20F inserted: No. 47 of 2016 s. 5.]</w:t>
      </w:r>
    </w:p>
    <w:p>
      <w:pPr>
        <w:pStyle w:val="Heading3"/>
      </w:pPr>
      <w:bookmarkStart w:id="94" w:name="_Toc138689152"/>
      <w:bookmarkStart w:id="95" w:name="_Toc138691529"/>
      <w:bookmarkStart w:id="96" w:name="_Toc138751092"/>
      <w:r>
        <w:rPr>
          <w:rStyle w:val="CharDivNo"/>
        </w:rPr>
        <w:t>Division 4</w:t>
      </w:r>
      <w:r>
        <w:t> — </w:t>
      </w:r>
      <w:r>
        <w:rPr>
          <w:rStyle w:val="CharDivText"/>
        </w:rPr>
        <w:t>Vehicle searches</w:t>
      </w:r>
      <w:bookmarkEnd w:id="94"/>
      <w:bookmarkEnd w:id="95"/>
      <w:bookmarkEnd w:id="96"/>
    </w:p>
    <w:p>
      <w:pPr>
        <w:pStyle w:val="Footnoteheading"/>
      </w:pPr>
      <w:r>
        <w:tab/>
        <w:t>[Heading inserted: No. 47 of 2016 s. 5.]</w:t>
      </w:r>
    </w:p>
    <w:p>
      <w:pPr>
        <w:pStyle w:val="Heading5"/>
      </w:pPr>
      <w:bookmarkStart w:id="97" w:name="_Toc138751093"/>
      <w:r>
        <w:rPr>
          <w:rStyle w:val="CharSectno"/>
        </w:rPr>
        <w:t>20G</w:t>
      </w:r>
      <w:r>
        <w:t>.</w:t>
      </w:r>
      <w:r>
        <w:tab/>
        <w:t>Powers of police officers in relation to searching vehicle in drug detection area</w:t>
      </w:r>
      <w:bookmarkEnd w:id="97"/>
    </w:p>
    <w:p>
      <w:pPr>
        <w:pStyle w:val="Subsection"/>
      </w:pPr>
      <w:r>
        <w:tab/>
        <w:t>(1)</w:t>
      </w:r>
      <w:r>
        <w:tab/>
        <w:t xml:space="preserve">In this section — </w:t>
      </w:r>
    </w:p>
    <w:p>
      <w:pPr>
        <w:pStyle w:val="Defstart"/>
      </w:pPr>
      <w:r>
        <w:tab/>
      </w:r>
      <w:r>
        <w:rPr>
          <w:rStyle w:val="CharDefText"/>
        </w:rPr>
        <w:t>search</w:t>
      </w:r>
      <w:r>
        <w:t xml:space="preserve"> includes doing a preliminary drug detection test.</w:t>
      </w:r>
    </w:p>
    <w:p>
      <w:pPr>
        <w:pStyle w:val="Subsection"/>
      </w:pPr>
      <w:r>
        <w:tab/>
        <w:t>(2)</w:t>
      </w:r>
      <w:r>
        <w:tab/>
        <w:t xml:space="preserve">Under a vehicle search authorisation, a police officer may do one or more of the following in relation to a vehicle in the drug detection area set out in the authorisation — </w:t>
      </w:r>
    </w:p>
    <w:p>
      <w:pPr>
        <w:pStyle w:val="Indenta"/>
      </w:pPr>
      <w:r>
        <w:tab/>
        <w:t>(a)</w:t>
      </w:r>
      <w:r>
        <w:tab/>
        <w:t>require the driver of the vehicle to stop the vehicle;</w:t>
      </w:r>
    </w:p>
    <w:p>
      <w:pPr>
        <w:pStyle w:val="Indenta"/>
      </w:pPr>
      <w:r>
        <w:tab/>
        <w:t>(b)</w:t>
      </w:r>
      <w:r>
        <w:tab/>
        <w:t>enter and search any part of the vehicle;</w:t>
      </w:r>
    </w:p>
    <w:p>
      <w:pPr>
        <w:pStyle w:val="Indenta"/>
      </w:pPr>
      <w:r>
        <w:tab/>
        <w:t>(c)</w:t>
      </w:r>
      <w:r>
        <w:tab/>
        <w:t xml:space="preserve">detain the vehicle for a reasonable period in order to search the vehicle; </w:t>
      </w:r>
    </w:p>
    <w:p>
      <w:pPr>
        <w:pStyle w:val="Indenta"/>
      </w:pPr>
      <w:r>
        <w:lastRenderedPageBreak/>
        <w:tab/>
        <w:t>(d)</w:t>
      </w:r>
      <w:r>
        <w:tab/>
        <w:t>move the vehicle to a place suitable to search the vehicle;</w:t>
      </w:r>
    </w:p>
    <w:p>
      <w:pPr>
        <w:pStyle w:val="Indenta"/>
      </w:pPr>
      <w:r>
        <w:tab/>
        <w:t>(e)</w:t>
      </w:r>
      <w:r>
        <w:tab/>
        <w:t>require a person to open any part of the vehicle;</w:t>
      </w:r>
    </w:p>
    <w:p>
      <w:pPr>
        <w:pStyle w:val="Indenta"/>
      </w:pPr>
      <w:r>
        <w:tab/>
        <w:t>(f)</w:t>
      </w:r>
      <w:r>
        <w:tab/>
        <w:t>require the driver, or a passenger, of the vehicle not to leave, or to remain in, the vehicle;</w:t>
      </w:r>
    </w:p>
    <w:p>
      <w:pPr>
        <w:pStyle w:val="Indenta"/>
      </w:pPr>
      <w:r>
        <w:tab/>
        <w:t>(g)</w:t>
      </w:r>
      <w:r>
        <w:tab/>
        <w:t>take any action that is reasonably necessary in order to search the vehicle.</w:t>
      </w:r>
    </w:p>
    <w:p>
      <w:pPr>
        <w:pStyle w:val="Subsection"/>
      </w:pPr>
      <w:r>
        <w:tab/>
        <w:t>(3)</w:t>
      </w:r>
      <w:r>
        <w:tab/>
        <w:t xml:space="preserve">A police officer has reasonable grounds to suspect that any thing referred to in section 23(1)(a), (b) or (c) is in the possession of a person, if a preliminary drug detection test in relation to a vehicle in which the person is, or was, the driver or a passenger, indicates the detection of any of the following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20G inserted: No. 47 of 2016 s. 5.]</w:t>
      </w:r>
    </w:p>
    <w:p>
      <w:pPr>
        <w:pStyle w:val="Heading5"/>
      </w:pPr>
      <w:bookmarkStart w:id="98" w:name="_Toc138751094"/>
      <w:r>
        <w:rPr>
          <w:rStyle w:val="CharSectno"/>
        </w:rPr>
        <w:lastRenderedPageBreak/>
        <w:t>20H</w:t>
      </w:r>
      <w:r>
        <w:t>.</w:t>
      </w:r>
      <w:r>
        <w:tab/>
        <w:t>Powers of police officers in relation to searching persons in a drug detection area</w:t>
      </w:r>
      <w:bookmarkEnd w:id="98"/>
      <w:r>
        <w:t xml:space="preserve"> </w:t>
      </w:r>
    </w:p>
    <w:p>
      <w:pPr>
        <w:pStyle w:val="Subsection"/>
      </w:pPr>
      <w:r>
        <w:tab/>
        <w:t>(1)</w:t>
      </w:r>
      <w:r>
        <w:tab/>
        <w:t xml:space="preserve">Under a vehicle search authorisation, a police officer may do a preliminary drug detection test on the following persons — </w:t>
      </w:r>
    </w:p>
    <w:p>
      <w:pPr>
        <w:pStyle w:val="Indenta"/>
      </w:pPr>
      <w:r>
        <w:tab/>
        <w:t>(a)</w:t>
      </w:r>
      <w:r>
        <w:tab/>
        <w:t>the driver of a vehicle in the drug detection area; or</w:t>
      </w:r>
    </w:p>
    <w:p>
      <w:pPr>
        <w:pStyle w:val="Indenta"/>
      </w:pPr>
      <w:r>
        <w:tab/>
        <w:t>(b)</w:t>
      </w:r>
      <w:r>
        <w:tab/>
        <w:t>a passenger of a vehicle in the drug detection area; or</w:t>
      </w:r>
    </w:p>
    <w:p>
      <w:pPr>
        <w:pStyle w:val="Indenta"/>
      </w:pPr>
      <w:r>
        <w:tab/>
        <w:t>(c)</w:t>
      </w:r>
      <w:r>
        <w:tab/>
        <w:t>a person who a police officer has reasonable grounds to suspect has recently left a vehicle that is, or was, in the drug detection area.</w:t>
      </w:r>
    </w:p>
    <w:p>
      <w:pPr>
        <w:pStyle w:val="Subsection"/>
      </w:pPr>
      <w:r>
        <w:tab/>
        <w:t>(2)</w:t>
      </w:r>
      <w:r>
        <w:tab/>
        <w:t>A police officer who wishes to do a preliminary drug detection test on a person under subsection (1) may detain the person for a reasonable period in order to do the test.</w:t>
      </w:r>
    </w:p>
    <w:p>
      <w:pPr>
        <w:pStyle w:val="Subsection"/>
      </w:pPr>
      <w:r>
        <w:tab/>
        <w:t>(3)</w:t>
      </w:r>
      <w:r>
        <w:tab/>
        <w:t xml:space="preserve">A police officer has reasonable grounds to suspect that any thing referred to in section 23(1)(a), (b) or (c) is in the possession of a person, if a preliminary drug detection test indicates the detection of any of the following on the person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(1)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 xml:space="preserve">the reference in subsection (1) of that section to the exercise of the powers conferred by section 22 or 23 </w:t>
      </w:r>
      <w:r>
        <w:lastRenderedPageBreak/>
        <w:t>included a reference to the exercise of the powers conferred by subsection (1) of this section.</w:t>
      </w:r>
    </w:p>
    <w:p>
      <w:pPr>
        <w:pStyle w:val="Footnotesection"/>
      </w:pPr>
      <w:r>
        <w:tab/>
        <w:t>[Section 20H inserted: No. 47 of 2016 s. 5.]</w:t>
      </w:r>
    </w:p>
    <w:p>
      <w:pPr>
        <w:pStyle w:val="Heading3"/>
      </w:pPr>
      <w:bookmarkStart w:id="99" w:name="_Toc138689155"/>
      <w:bookmarkStart w:id="100" w:name="_Toc138691532"/>
      <w:bookmarkStart w:id="101" w:name="_Toc138751095"/>
      <w:r>
        <w:rPr>
          <w:rStyle w:val="CharDivNo"/>
        </w:rPr>
        <w:t>Division 5</w:t>
      </w:r>
      <w:r>
        <w:t> — </w:t>
      </w:r>
      <w:r>
        <w:rPr>
          <w:rStyle w:val="CharDivText"/>
        </w:rPr>
        <w:t>Searches of delivery business premises</w:t>
      </w:r>
      <w:bookmarkEnd w:id="99"/>
      <w:bookmarkEnd w:id="100"/>
      <w:bookmarkEnd w:id="101"/>
    </w:p>
    <w:p>
      <w:pPr>
        <w:pStyle w:val="Footnoteheading"/>
      </w:pPr>
      <w:r>
        <w:tab/>
        <w:t>[Heading inserted: No. 47 of 2016 s. 5.]</w:t>
      </w:r>
    </w:p>
    <w:p>
      <w:pPr>
        <w:pStyle w:val="Heading5"/>
      </w:pPr>
      <w:bookmarkStart w:id="102" w:name="_Toc138751096"/>
      <w:r>
        <w:rPr>
          <w:rStyle w:val="CharSectno"/>
        </w:rPr>
        <w:t>20I</w:t>
      </w:r>
      <w:r>
        <w:t>.</w:t>
      </w:r>
      <w:r>
        <w:tab/>
        <w:t>Powers of police officers in relation to premises</w:t>
      </w:r>
      <w:bookmarkEnd w:id="102"/>
    </w:p>
    <w:p>
      <w:pPr>
        <w:pStyle w:val="Subsection"/>
      </w:pPr>
      <w:r>
        <w:tab/>
        <w:t>(1)</w:t>
      </w:r>
      <w:r>
        <w:tab/>
        <w:t xml:space="preserve">In this section — </w:t>
      </w:r>
    </w:p>
    <w:p>
      <w:pPr>
        <w:pStyle w:val="Defstart"/>
      </w:pPr>
      <w:r>
        <w:tab/>
      </w:r>
      <w:r>
        <w:rPr>
          <w:rStyle w:val="CharDefText"/>
        </w:rPr>
        <w:t>premises</w:t>
      </w:r>
      <w:r>
        <w:t xml:space="preserve"> includes a vehicle at the premises.</w:t>
      </w:r>
    </w:p>
    <w:p>
      <w:pPr>
        <w:pStyle w:val="Subsection"/>
      </w:pPr>
      <w:r>
        <w:tab/>
        <w:t>(2)</w:t>
      </w:r>
      <w:r>
        <w:tab/>
        <w:t xml:space="preserve">Under a premises search authorisation, a police officer may do one or more of the following in respect of the premises to which the authorisation relates — </w:t>
      </w:r>
    </w:p>
    <w:p>
      <w:pPr>
        <w:pStyle w:val="Indenta"/>
      </w:pPr>
      <w:r>
        <w:tab/>
        <w:t>(a)</w:t>
      </w:r>
      <w:r>
        <w:tab/>
        <w:t>enter the premises;</w:t>
      </w:r>
    </w:p>
    <w:p>
      <w:pPr>
        <w:pStyle w:val="Indenta"/>
      </w:pPr>
      <w:r>
        <w:tab/>
        <w:t>(b)</w:t>
      </w:r>
      <w:r>
        <w:tab/>
        <w:t xml:space="preserve">subject to subsection (3), do a preliminary drug detection test on, or in relation to, any consigned article; </w:t>
      </w:r>
    </w:p>
    <w:p>
      <w:pPr>
        <w:pStyle w:val="Indenta"/>
      </w:pPr>
      <w:r>
        <w:tab/>
        <w:t>(c)</w:t>
      </w:r>
      <w:r>
        <w:tab/>
        <w:t xml:space="preserve">take into and use in the premises any equipment that is, or facilities that are, reasonably necessary in order to exercise any power under the authorisation; </w:t>
      </w:r>
    </w:p>
    <w:p>
      <w:pPr>
        <w:pStyle w:val="Indenta"/>
      </w:pPr>
      <w:r>
        <w:tab/>
        <w:t>(d)</w:t>
      </w:r>
      <w:r>
        <w:tab/>
        <w:t xml:space="preserve">make reasonable use of any equipment, facilities or services in the premises in order to exercise any power under the authorisation and for that purpose — </w:t>
      </w:r>
    </w:p>
    <w:p>
      <w:pPr>
        <w:pStyle w:val="Indenti"/>
      </w:pPr>
      <w:r>
        <w:tab/>
        <w:t>(i)</w:t>
      </w:r>
      <w:r>
        <w:tab/>
        <w:t>to operate the equipment or facilities; and</w:t>
      </w:r>
    </w:p>
    <w:p>
      <w:pPr>
        <w:pStyle w:val="Indenti"/>
      </w:pPr>
      <w:r>
        <w:tab/>
        <w:t>(ii)</w:t>
      </w:r>
      <w:r>
        <w:tab/>
        <w:t>to require an occupier of the premises to do anything that is reasonable and necessary to facilitate that use;</w:t>
      </w:r>
    </w:p>
    <w:p>
      <w:pPr>
        <w:pStyle w:val="Indenta"/>
      </w:pPr>
      <w:r>
        <w:tab/>
        <w:t>(e)</w:t>
      </w:r>
      <w:r>
        <w:tab/>
        <w:t xml:space="preserve">open and examine a consigned article if a preliminary drug detection test indicates the detection of any of the following in relation to the article — </w:t>
      </w:r>
    </w:p>
    <w:p>
      <w:pPr>
        <w:pStyle w:val="Indenti"/>
      </w:pPr>
      <w:r>
        <w:tab/>
        <w:t>(i)</w:t>
      </w:r>
      <w:r>
        <w:tab/>
        <w:t xml:space="preserve">a prohibited drug; </w:t>
      </w:r>
    </w:p>
    <w:p>
      <w:pPr>
        <w:pStyle w:val="Indenti"/>
      </w:pPr>
      <w:r>
        <w:tab/>
        <w:t>(ii)</w:t>
      </w:r>
      <w:r>
        <w:tab/>
        <w:t xml:space="preserve">a prohibited plant; </w:t>
      </w:r>
    </w:p>
    <w:p>
      <w:pPr>
        <w:pStyle w:val="Indenti"/>
      </w:pPr>
      <w:r>
        <w:tab/>
        <w:t>(iii)</w:t>
      </w:r>
      <w:r>
        <w:tab/>
        <w:t>a controlled precursor;</w:t>
      </w:r>
    </w:p>
    <w:p>
      <w:pPr>
        <w:pStyle w:val="Indenta"/>
      </w:pPr>
      <w:r>
        <w:lastRenderedPageBreak/>
        <w:tab/>
        <w:t>(f)</w:t>
      </w:r>
      <w:r>
        <w:tab/>
        <w:t>take any action that is reasonably necessary in order to search the premises.</w:t>
      </w:r>
    </w:p>
    <w:p>
      <w:pPr>
        <w:pStyle w:val="Subsection"/>
      </w:pPr>
      <w:r>
        <w:tab/>
        <w:t>(3)</w:t>
      </w:r>
      <w:r>
        <w:tab/>
        <w:t xml:space="preserve">A police officer may do a preliminary drug detection test on, or in relation to, a consigned article under subsection (2)(b) only if the consigned article is in a part of the premises used for the purpose of — </w:t>
      </w:r>
    </w:p>
    <w:p>
      <w:pPr>
        <w:pStyle w:val="Indenta"/>
      </w:pPr>
      <w:r>
        <w:tab/>
        <w:t>(a)</w:t>
      </w:r>
      <w:r>
        <w:tab/>
        <w:t>storing consigned articles prior to delivery; or</w:t>
      </w:r>
    </w:p>
    <w:p>
      <w:pPr>
        <w:pStyle w:val="Indenta"/>
      </w:pPr>
      <w:r>
        <w:tab/>
        <w:t>(b)</w:t>
      </w:r>
      <w:r>
        <w:tab/>
        <w:t>sorting consigned articles prior to delivery; or</w:t>
      </w:r>
    </w:p>
    <w:p>
      <w:pPr>
        <w:pStyle w:val="Indenta"/>
      </w:pPr>
      <w:r>
        <w:tab/>
        <w:t>(c)</w:t>
      </w:r>
      <w:r>
        <w:tab/>
        <w:t>dispatching consigned articles for delivery; or</w:t>
      </w:r>
    </w:p>
    <w:p>
      <w:pPr>
        <w:pStyle w:val="Indenta"/>
      </w:pPr>
      <w:r>
        <w:tab/>
        <w:t>(d)</w:t>
      </w:r>
      <w:r>
        <w:tab/>
        <w:t>if the consigned article is in a vehicle, parking vehicles.</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keepNext/>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20I inserted: No. 47 of 2016 s. 5.]</w:t>
      </w:r>
    </w:p>
    <w:p>
      <w:pPr>
        <w:pStyle w:val="Heading3"/>
      </w:pPr>
      <w:bookmarkStart w:id="103" w:name="_Toc138689157"/>
      <w:bookmarkStart w:id="104" w:name="_Toc138691534"/>
      <w:bookmarkStart w:id="105" w:name="_Toc138751097"/>
      <w:r>
        <w:rPr>
          <w:rStyle w:val="CharDivNo"/>
        </w:rPr>
        <w:t>Division 6</w:t>
      </w:r>
      <w:r>
        <w:t> — </w:t>
      </w:r>
      <w:r>
        <w:rPr>
          <w:rStyle w:val="CharDivText"/>
        </w:rPr>
        <w:t>Offences</w:t>
      </w:r>
      <w:bookmarkEnd w:id="103"/>
      <w:bookmarkEnd w:id="104"/>
      <w:bookmarkEnd w:id="105"/>
    </w:p>
    <w:p>
      <w:pPr>
        <w:pStyle w:val="Footnoteheading"/>
      </w:pPr>
      <w:r>
        <w:tab/>
        <w:t>[Heading inserted: No. 47 of 2016 s. 5.]</w:t>
      </w:r>
    </w:p>
    <w:p>
      <w:pPr>
        <w:pStyle w:val="Heading5"/>
      </w:pPr>
      <w:bookmarkStart w:id="106" w:name="_Toc138751098"/>
      <w:r>
        <w:rPr>
          <w:rStyle w:val="CharSectno"/>
        </w:rPr>
        <w:t>20J</w:t>
      </w:r>
      <w:r>
        <w:t>.</w:t>
      </w:r>
      <w:r>
        <w:tab/>
        <w:t>Failure to comply with requirement of police officer</w:t>
      </w:r>
      <w:bookmarkEnd w:id="106"/>
    </w:p>
    <w:p>
      <w:pPr>
        <w:pStyle w:val="Subsection"/>
      </w:pPr>
      <w:r>
        <w:tab/>
      </w:r>
      <w:r>
        <w:tab/>
        <w:t xml:space="preserve">A person who fails to comply, without reasonable excuse, with a requirement of a police officer in the exercise of powers </w:t>
      </w:r>
      <w:r>
        <w:lastRenderedPageBreak/>
        <w:t>conferred on that police officer under section 20G(2)(a), (e) or (f), or 20I(2)(d)(ii), commits a simple offence.</w:t>
      </w:r>
    </w:p>
    <w:p>
      <w:pPr>
        <w:pStyle w:val="Footnotesection"/>
      </w:pPr>
      <w:r>
        <w:tab/>
        <w:t>[Section 20J inserted: No. 47 of 2016 s. 5.]</w:t>
      </w:r>
    </w:p>
    <w:p>
      <w:pPr>
        <w:pStyle w:val="Heading5"/>
      </w:pPr>
      <w:bookmarkStart w:id="107" w:name="_Toc138751099"/>
      <w:r>
        <w:rPr>
          <w:rStyle w:val="CharSectno"/>
        </w:rPr>
        <w:t>20K</w:t>
      </w:r>
      <w:r>
        <w:t>.</w:t>
      </w:r>
      <w:r>
        <w:tab/>
        <w:t>Application of section 29 to exercise of powers conferred by or under this Part</w:t>
      </w:r>
      <w:bookmarkEnd w:id="107"/>
    </w:p>
    <w:p>
      <w:pPr>
        <w:pStyle w:val="Subsection"/>
      </w:pPr>
      <w:r>
        <w:tab/>
      </w:r>
      <w:r>
        <w:tab/>
        <w:t>Section 29 applies as if 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conferred by section 20G(2), 20H(1) or 20I(2) or a person assisting a police officer so acting.</w:t>
      </w:r>
    </w:p>
    <w:p>
      <w:pPr>
        <w:pStyle w:val="Footnotesection"/>
      </w:pPr>
      <w:r>
        <w:tab/>
        <w:t>[Section 20K inserted: No. 47 of 2016 s. 5.]</w:t>
      </w:r>
    </w:p>
    <w:p>
      <w:pPr>
        <w:pStyle w:val="Heading3"/>
      </w:pPr>
      <w:bookmarkStart w:id="108" w:name="_Toc138689160"/>
      <w:bookmarkStart w:id="109" w:name="_Toc138691537"/>
      <w:bookmarkStart w:id="110" w:name="_Toc138751100"/>
      <w:r>
        <w:rPr>
          <w:rStyle w:val="CharDivNo"/>
        </w:rPr>
        <w:t>Division 7</w:t>
      </w:r>
      <w:r>
        <w:t> — </w:t>
      </w:r>
      <w:r>
        <w:rPr>
          <w:rStyle w:val="CharDivText"/>
        </w:rPr>
        <w:t>Prescribed procedures</w:t>
      </w:r>
      <w:bookmarkEnd w:id="108"/>
      <w:bookmarkEnd w:id="109"/>
      <w:bookmarkEnd w:id="110"/>
    </w:p>
    <w:p>
      <w:pPr>
        <w:pStyle w:val="Footnoteheading"/>
        <w:keepNext/>
      </w:pPr>
      <w:r>
        <w:tab/>
        <w:t>[Heading inserted: No. 47 of 2016 s. 5.]</w:t>
      </w:r>
    </w:p>
    <w:p>
      <w:pPr>
        <w:pStyle w:val="Heading5"/>
      </w:pPr>
      <w:bookmarkStart w:id="111" w:name="_Toc138751101"/>
      <w:r>
        <w:rPr>
          <w:rStyle w:val="CharSectno"/>
        </w:rPr>
        <w:t>20L</w:t>
      </w:r>
      <w:r>
        <w:t>.</w:t>
      </w:r>
      <w:r>
        <w:tab/>
        <w:t>Regulations as to the exercise of powers under this Part</w:t>
      </w:r>
      <w:bookmarkEnd w:id="111"/>
    </w:p>
    <w:p>
      <w:pPr>
        <w:pStyle w:val="Subsection"/>
      </w:pPr>
      <w:r>
        <w:tab/>
        <w:t>(1)</w:t>
      </w:r>
      <w:r>
        <w:tab/>
        <w:t xml:space="preserve">The regulations may prescribe procedures to be followed in relation to the exercise of the powers conferred by this Part. </w:t>
      </w:r>
    </w:p>
    <w:p>
      <w:pPr>
        <w:pStyle w:val="Subsection"/>
      </w:pPr>
      <w:r>
        <w:tab/>
        <w:t>(2)</w:t>
      </w:r>
      <w:r>
        <w:tab/>
        <w:t xml:space="preserve">Without limiting the generality of subsection (1), regulations may — </w:t>
      </w:r>
    </w:p>
    <w:p>
      <w:pPr>
        <w:pStyle w:val="Indenta"/>
      </w:pPr>
      <w:r>
        <w:tab/>
        <w:t>(a)</w:t>
      </w:r>
      <w:r>
        <w:tab/>
        <w:t>provide for the manner in which vehicles may be stopped in a drug detection area, including the establishment of facilities, warnings and other devices to enable vehicles to be stopped in a safe and orderly manner; and</w:t>
      </w:r>
    </w:p>
    <w:p>
      <w:pPr>
        <w:pStyle w:val="Indenta"/>
      </w:pPr>
      <w:r>
        <w:tab/>
        <w:t>(b)</w:t>
      </w:r>
      <w:r>
        <w:tab/>
        <w:t>provide for the procedure to be followed in relation to doing a preliminary drug detection test.</w:t>
      </w:r>
    </w:p>
    <w:p>
      <w:pPr>
        <w:pStyle w:val="Footnotesection"/>
      </w:pPr>
      <w:r>
        <w:tab/>
        <w:t>[Section 20L inserted: No. 47 of 2016 s. 5.]</w:t>
      </w:r>
    </w:p>
    <w:p>
      <w:pPr>
        <w:pStyle w:val="Heading2"/>
      </w:pPr>
      <w:bookmarkStart w:id="112" w:name="_Toc129094815"/>
      <w:bookmarkStart w:id="113" w:name="_Toc129095155"/>
      <w:bookmarkStart w:id="114" w:name="_Toc129100856"/>
      <w:bookmarkStart w:id="115" w:name="_Toc138318995"/>
      <w:bookmarkStart w:id="116" w:name="_Toc138684011"/>
      <w:bookmarkStart w:id="117" w:name="_Toc138691539"/>
      <w:bookmarkStart w:id="118" w:name="_Toc138751102"/>
      <w:bookmarkStart w:id="119" w:name="_Toc138689162"/>
      <w:r>
        <w:rPr>
          <w:rStyle w:val="CharPartNo"/>
        </w:rPr>
        <w:lastRenderedPageBreak/>
        <w:t>Part 4B</w:t>
      </w:r>
      <w:r>
        <w:t> — </w:t>
      </w:r>
      <w:r>
        <w:rPr>
          <w:rStyle w:val="CharPartText"/>
        </w:rPr>
        <w:t>Border Search Areas</w:t>
      </w:r>
      <w:bookmarkEnd w:id="112"/>
      <w:bookmarkEnd w:id="113"/>
      <w:bookmarkEnd w:id="114"/>
      <w:bookmarkEnd w:id="115"/>
      <w:bookmarkEnd w:id="116"/>
      <w:bookmarkEnd w:id="117"/>
      <w:bookmarkEnd w:id="118"/>
    </w:p>
    <w:p>
      <w:pPr>
        <w:pStyle w:val="Footnoteheading"/>
      </w:pPr>
      <w:bookmarkStart w:id="120" w:name="_Toc129094816"/>
      <w:bookmarkStart w:id="121" w:name="_Toc129095156"/>
      <w:bookmarkStart w:id="122" w:name="_Toc129100857"/>
      <w:bookmarkStart w:id="123" w:name="_Toc138318996"/>
      <w:bookmarkStart w:id="124" w:name="_Toc138684012"/>
      <w:r>
        <w:tab/>
        <w:t>[Heading inserted: No. 16 of 2023 s. 6.]</w:t>
      </w:r>
    </w:p>
    <w:p>
      <w:pPr>
        <w:pStyle w:val="Heading3"/>
      </w:pPr>
      <w:bookmarkStart w:id="125" w:name="_Toc138691540"/>
      <w:bookmarkStart w:id="126" w:name="_Toc138751103"/>
      <w:r>
        <w:rPr>
          <w:rStyle w:val="CharDivNo"/>
        </w:rPr>
        <w:t>Division 1</w:t>
      </w:r>
      <w:r>
        <w:t> — </w:t>
      </w:r>
      <w:r>
        <w:rPr>
          <w:rStyle w:val="CharDivText"/>
        </w:rPr>
        <w:t>Preliminary</w:t>
      </w:r>
      <w:bookmarkEnd w:id="120"/>
      <w:bookmarkEnd w:id="121"/>
      <w:bookmarkEnd w:id="122"/>
      <w:bookmarkEnd w:id="123"/>
      <w:bookmarkEnd w:id="124"/>
      <w:bookmarkEnd w:id="125"/>
      <w:bookmarkEnd w:id="126"/>
    </w:p>
    <w:p>
      <w:pPr>
        <w:pStyle w:val="Footnoteheading"/>
      </w:pPr>
      <w:bookmarkStart w:id="127" w:name="_Toc138318997"/>
      <w:bookmarkStart w:id="128" w:name="_Toc138684013"/>
      <w:r>
        <w:tab/>
        <w:t>[Heading inserted: No. 16 of 2023 s. 6.]</w:t>
      </w:r>
    </w:p>
    <w:p>
      <w:pPr>
        <w:pStyle w:val="Heading5"/>
      </w:pPr>
      <w:bookmarkStart w:id="129" w:name="_Toc138751104"/>
      <w:r>
        <w:rPr>
          <w:rStyle w:val="CharSectno"/>
        </w:rPr>
        <w:t>20M</w:t>
      </w:r>
      <w:r>
        <w:t>.</w:t>
      </w:r>
      <w:r>
        <w:tab/>
        <w:t>Terms used</w:t>
      </w:r>
      <w:bookmarkEnd w:id="127"/>
      <w:bookmarkEnd w:id="128"/>
      <w:bookmarkEnd w:id="129"/>
    </w:p>
    <w:p>
      <w:pPr>
        <w:pStyle w:val="Subsection"/>
      </w:pPr>
      <w:r>
        <w:tab/>
      </w:r>
      <w:r>
        <w:tab/>
        <w:t xml:space="preserve">In this Part — </w:t>
      </w:r>
    </w:p>
    <w:p>
      <w:pPr>
        <w:pStyle w:val="Defstart"/>
      </w:pPr>
      <w:r>
        <w:tab/>
      </w:r>
      <w:r>
        <w:rPr>
          <w:rStyle w:val="CharDefText"/>
        </w:rPr>
        <w:t>authorised officer</w:t>
      </w:r>
      <w:r>
        <w:t xml:space="preserve"> has the meaning given in section 20R(1);</w:t>
      </w:r>
    </w:p>
    <w:p>
      <w:pPr>
        <w:pStyle w:val="Defstart"/>
      </w:pPr>
      <w:r>
        <w:tab/>
      </w:r>
      <w:r>
        <w:rPr>
          <w:rStyle w:val="CharDefText"/>
        </w:rPr>
        <w:t>Corruption and Crime Commission</w:t>
      </w:r>
      <w:r>
        <w:t xml:space="preserve"> means the Corruption and Crime Commission established under the </w:t>
      </w:r>
      <w:r>
        <w:rPr>
          <w:i/>
        </w:rPr>
        <w:t>Corruption, Crime and Misconduct Act 2003</w:t>
      </w:r>
      <w:r>
        <w:t>;</w:t>
      </w:r>
    </w:p>
    <w:p>
      <w:pPr>
        <w:pStyle w:val="Defstart"/>
      </w:pPr>
      <w:r>
        <w:tab/>
      </w:r>
      <w:r>
        <w:rPr>
          <w:rStyle w:val="CharDefText"/>
        </w:rPr>
        <w:t>public place</w:t>
      </w:r>
      <w:r>
        <w:t xml:space="preserve"> has the meaning given in the </w:t>
      </w:r>
      <w:r>
        <w:rPr>
          <w:i/>
        </w:rPr>
        <w:t>Criminal Investigation Act 2006</w:t>
      </w:r>
      <w:r>
        <w:t xml:space="preserve"> section 3(1).</w:t>
      </w:r>
    </w:p>
    <w:p>
      <w:pPr>
        <w:pStyle w:val="Footnotesection"/>
      </w:pPr>
      <w:bookmarkStart w:id="130" w:name="_Toc138318998"/>
      <w:bookmarkStart w:id="131" w:name="_Toc138684014"/>
      <w:r>
        <w:tab/>
        <w:t>[Section 20M inserted: No. 16 of 2023 s. 6.]</w:t>
      </w:r>
    </w:p>
    <w:p>
      <w:pPr>
        <w:pStyle w:val="Heading5"/>
      </w:pPr>
      <w:bookmarkStart w:id="132" w:name="_Toc138751105"/>
      <w:r>
        <w:rPr>
          <w:rStyle w:val="CharSectno"/>
        </w:rPr>
        <w:t>20N</w:t>
      </w:r>
      <w:r>
        <w:t>.</w:t>
      </w:r>
      <w:r>
        <w:tab/>
        <w:t>Border Search Area (BSA)</w:t>
      </w:r>
      <w:bookmarkEnd w:id="130"/>
      <w:bookmarkEnd w:id="131"/>
      <w:bookmarkEnd w:id="132"/>
    </w:p>
    <w:p>
      <w:pPr>
        <w:pStyle w:val="Subsection"/>
      </w:pPr>
      <w:r>
        <w:tab/>
        <w:t>(1)</w:t>
      </w:r>
      <w:r>
        <w:tab/>
        <w:t xml:space="preserve">For the purposes of this Act, a </w:t>
      </w:r>
      <w:r>
        <w:rPr>
          <w:rStyle w:val="CharDefText"/>
        </w:rPr>
        <w:t>Border Search Area</w:t>
      </w:r>
      <w:r>
        <w:t xml:space="preserve"> (</w:t>
      </w:r>
      <w:r>
        <w:rPr>
          <w:rStyle w:val="CharDefText"/>
        </w:rPr>
        <w:t>BSA</w:t>
      </w:r>
      <w:r>
        <w:t xml:space="preserve">) is an area — </w:t>
      </w:r>
    </w:p>
    <w:p>
      <w:pPr>
        <w:pStyle w:val="Indenta"/>
      </w:pPr>
      <w:r>
        <w:tab/>
        <w:t>(a)</w:t>
      </w:r>
      <w:r>
        <w:tab/>
        <w:t>described in Schedule 6A Division 1; and</w:t>
      </w:r>
    </w:p>
    <w:p>
      <w:pPr>
        <w:pStyle w:val="Indenta"/>
      </w:pPr>
      <w:r>
        <w:tab/>
        <w:t>(b)</w:t>
      </w:r>
      <w:r>
        <w:tab/>
        <w:t>shown for information purposes in a plan in Schedule 6A Division 2.</w:t>
      </w:r>
    </w:p>
    <w:p>
      <w:pPr>
        <w:pStyle w:val="Subsection"/>
      </w:pPr>
      <w:r>
        <w:tab/>
        <w:t>(2)</w:t>
      </w:r>
      <w:r>
        <w:tab/>
        <w:t>The power in section 42(1A)(a) cannot be exercised in relation to Schedule 6A to modify a BSA except on the recommendation of the Minister.</w:t>
      </w:r>
    </w:p>
    <w:p>
      <w:pPr>
        <w:pStyle w:val="Subsection"/>
      </w:pPr>
      <w:r>
        <w:tab/>
        <w:t>(3)</w:t>
      </w:r>
      <w:r>
        <w:tab/>
        <w:t xml:space="preserve">The Minister cannot make the recommendation under subsection (2) unless — </w:t>
      </w:r>
    </w:p>
    <w:p>
      <w:pPr>
        <w:pStyle w:val="Indenta"/>
      </w:pPr>
      <w:r>
        <w:tab/>
        <w:t>(a)</w:t>
      </w:r>
      <w:r>
        <w:tab/>
        <w:t xml:space="preserve">the Minister has the approval of the Attorney General to make the recommendation; and </w:t>
      </w:r>
    </w:p>
    <w:p>
      <w:pPr>
        <w:pStyle w:val="Indenta"/>
      </w:pPr>
      <w:r>
        <w:tab/>
        <w:t>(b)</w:t>
      </w:r>
      <w:r>
        <w:tab/>
        <w:t>the Minister is satisfied of the matters referred to in subsection (4).</w:t>
      </w:r>
    </w:p>
    <w:p>
      <w:pPr>
        <w:pStyle w:val="Subsection"/>
      </w:pPr>
      <w:r>
        <w:lastRenderedPageBreak/>
        <w:tab/>
        <w:t>(4)</w:t>
      </w:r>
      <w:r>
        <w:tab/>
        <w:t xml:space="preserve">The Minister must be satisfied that — </w:t>
      </w:r>
    </w:p>
    <w:p>
      <w:pPr>
        <w:pStyle w:val="Indenta"/>
      </w:pPr>
      <w:r>
        <w:tab/>
        <w:t>(a)</w:t>
      </w:r>
      <w:r>
        <w:tab/>
        <w:t xml:space="preserve">the modification is necessary for the ongoing effectiveness of the BSA in reducing the transport into the State of any of the following — </w:t>
      </w:r>
    </w:p>
    <w:p>
      <w:pPr>
        <w:pStyle w:val="Indenti"/>
      </w:pPr>
      <w:r>
        <w:tab/>
        <w:t>(i)</w:t>
      </w:r>
      <w:r>
        <w:tab/>
        <w:t>a prohibited drug;</w:t>
      </w:r>
    </w:p>
    <w:p>
      <w:pPr>
        <w:pStyle w:val="Indenti"/>
      </w:pPr>
      <w:r>
        <w:tab/>
        <w:t>(ii)</w:t>
      </w:r>
      <w:r>
        <w:tab/>
        <w:t>a prohibited plant;</w:t>
      </w:r>
    </w:p>
    <w:p>
      <w:pPr>
        <w:pStyle w:val="Indenti"/>
        <w:rPr>
          <w:sz w:val="20"/>
        </w:rPr>
      </w:pPr>
      <w:r>
        <w:tab/>
        <w:t>(iii)</w:t>
      </w:r>
      <w:r>
        <w:tab/>
        <w:t>a controlled precursor</w:t>
      </w:r>
      <w:r>
        <w:rPr>
          <w:sz w:val="20"/>
        </w:rPr>
        <w:t>;</w:t>
      </w:r>
    </w:p>
    <w:p>
      <w:pPr>
        <w:pStyle w:val="Indenta"/>
      </w:pPr>
      <w:r>
        <w:tab/>
      </w:r>
      <w:r>
        <w:tab/>
        <w:t>and</w:t>
      </w:r>
    </w:p>
    <w:p>
      <w:pPr>
        <w:pStyle w:val="Indenta"/>
      </w:pPr>
      <w:r>
        <w:tab/>
        <w:t>(b)</w:t>
      </w:r>
      <w:r>
        <w:tab/>
        <w:t xml:space="preserve">the proposed modified BSA — </w:t>
      </w:r>
    </w:p>
    <w:p>
      <w:pPr>
        <w:pStyle w:val="Indenti"/>
      </w:pPr>
      <w:r>
        <w:tab/>
        <w:t>(i)</w:t>
      </w:r>
      <w:r>
        <w:tab/>
        <w:t>is not larger than is reasonably necessary for the effective exercise of the powers in Division 3; and</w:t>
      </w:r>
    </w:p>
    <w:p>
      <w:pPr>
        <w:pStyle w:val="Indenti"/>
      </w:pPr>
      <w:r>
        <w:tab/>
        <w:t>(ii)</w:t>
      </w:r>
      <w:r>
        <w:tab/>
        <w:t>in any event, does not exceed 5 km</w:t>
      </w:r>
      <w:r>
        <w:rPr>
          <w:vertAlign w:val="superscript"/>
        </w:rPr>
        <w:t>2</w:t>
      </w:r>
      <w:r>
        <w:t xml:space="preserve"> in area.</w:t>
      </w:r>
    </w:p>
    <w:p>
      <w:pPr>
        <w:pStyle w:val="Subsection"/>
      </w:pPr>
      <w:r>
        <w:tab/>
        <w:t>(5)</w:t>
      </w:r>
      <w:r>
        <w:tab/>
        <w:t>The Minister can be satisfied of the matters referred to in subsection (4) only after consultation with each of the following —</w:t>
      </w:r>
    </w:p>
    <w:p>
      <w:pPr>
        <w:pStyle w:val="Indenta"/>
      </w:pPr>
      <w:r>
        <w:tab/>
        <w:t>(a)</w:t>
      </w:r>
      <w:r>
        <w:tab/>
        <w:t xml:space="preserve">the Minister responsible for the administration of the </w:t>
      </w:r>
      <w:r>
        <w:rPr>
          <w:i/>
        </w:rPr>
        <w:t>Local Government Act 1995</w:t>
      </w:r>
      <w:r>
        <w:t>;</w:t>
      </w:r>
    </w:p>
    <w:p>
      <w:pPr>
        <w:pStyle w:val="Indenta"/>
      </w:pPr>
      <w:r>
        <w:tab/>
        <w:t>(b)</w:t>
      </w:r>
      <w:r>
        <w:tab/>
        <w:t xml:space="preserve">the Minister responsible for the administration of the </w:t>
      </w:r>
      <w:r>
        <w:rPr>
          <w:i/>
        </w:rPr>
        <w:t>Port Authorities Act 1999</w:t>
      </w:r>
      <w:r>
        <w:t>;</w:t>
      </w:r>
    </w:p>
    <w:p>
      <w:pPr>
        <w:pStyle w:val="Indenta"/>
      </w:pPr>
      <w:r>
        <w:tab/>
        <w:t>(c)</w:t>
      </w:r>
      <w:r>
        <w:tab/>
        <w:t xml:space="preserve">the Minister responsible for the administration of the </w:t>
      </w:r>
      <w:r>
        <w:rPr>
          <w:i/>
        </w:rPr>
        <w:t>Transport Co</w:t>
      </w:r>
      <w:r>
        <w:rPr>
          <w:i/>
        </w:rPr>
        <w:noBreakHyphen/>
        <w:t>ordination Act 1966</w:t>
      </w:r>
      <w:r>
        <w:t>.</w:t>
      </w:r>
    </w:p>
    <w:p>
      <w:pPr>
        <w:pStyle w:val="Subsection"/>
      </w:pPr>
      <w:r>
        <w:tab/>
        <w:t>(6)</w:t>
      </w:r>
      <w:r>
        <w:tab/>
        <w:t>The power in section 42(1A)(b) cannot be exercised in relation to Schedule 6A to establish a new BSA except on the recommendation of the Minister.</w:t>
      </w:r>
    </w:p>
    <w:p>
      <w:pPr>
        <w:pStyle w:val="Subsection"/>
      </w:pPr>
      <w:r>
        <w:tab/>
        <w:t>(7)</w:t>
      </w:r>
      <w:r>
        <w:tab/>
        <w:t xml:space="preserve">The Minister cannot make the recommendation under subsection (6) unless — </w:t>
      </w:r>
    </w:p>
    <w:p>
      <w:pPr>
        <w:pStyle w:val="Indenta"/>
      </w:pPr>
      <w:r>
        <w:tab/>
        <w:t>(a)</w:t>
      </w:r>
      <w:r>
        <w:tab/>
        <w:t xml:space="preserve">the Minister has the approval of the Attorney General to make the recommendation; and </w:t>
      </w:r>
    </w:p>
    <w:p>
      <w:pPr>
        <w:pStyle w:val="Indenta"/>
      </w:pPr>
      <w:r>
        <w:tab/>
        <w:t>(b)</w:t>
      </w:r>
      <w:r>
        <w:tab/>
        <w:t>the Minister is satisfied of the matters referred to in subsection (8).</w:t>
      </w:r>
    </w:p>
    <w:p>
      <w:pPr>
        <w:pStyle w:val="Subsection"/>
        <w:keepNext/>
      </w:pPr>
      <w:r>
        <w:lastRenderedPageBreak/>
        <w:tab/>
        <w:t>(8)</w:t>
      </w:r>
      <w:r>
        <w:tab/>
        <w:t xml:space="preserve">The Minister must be satisfied that — </w:t>
      </w:r>
    </w:p>
    <w:p>
      <w:pPr>
        <w:pStyle w:val="Indenta"/>
      </w:pPr>
      <w:r>
        <w:tab/>
        <w:t>(a)</w:t>
      </w:r>
      <w:r>
        <w:tab/>
        <w:t xml:space="preserve">there are reasonable grounds to suspect that the area comprising the proposed new BSA is being, or is likely to be, used for the transport into the State of any of the following — </w:t>
      </w:r>
    </w:p>
    <w:p>
      <w:pPr>
        <w:pStyle w:val="Indenti"/>
      </w:pPr>
      <w:r>
        <w:tab/>
        <w:t>(i)</w:t>
      </w:r>
      <w:r>
        <w:tab/>
        <w:t>a prohibited drug;</w:t>
      </w:r>
    </w:p>
    <w:p>
      <w:pPr>
        <w:pStyle w:val="Indenti"/>
      </w:pPr>
      <w:r>
        <w:tab/>
        <w:t>(ii)</w:t>
      </w:r>
      <w:r>
        <w:tab/>
        <w:t>a prohibited plant;</w:t>
      </w:r>
    </w:p>
    <w:p>
      <w:pPr>
        <w:pStyle w:val="Indenti"/>
        <w:rPr>
          <w:sz w:val="20"/>
        </w:rPr>
      </w:pPr>
      <w:r>
        <w:tab/>
        <w:t>(iii)</w:t>
      </w:r>
      <w:r>
        <w:tab/>
        <w:t>a controlled precursor</w:t>
      </w:r>
      <w:r>
        <w:rPr>
          <w:sz w:val="20"/>
        </w:rPr>
        <w:t>;</w:t>
      </w:r>
    </w:p>
    <w:p>
      <w:pPr>
        <w:pStyle w:val="Indenta"/>
      </w:pPr>
      <w:r>
        <w:tab/>
      </w:r>
      <w:r>
        <w:tab/>
        <w:t>and</w:t>
      </w:r>
    </w:p>
    <w:p>
      <w:pPr>
        <w:pStyle w:val="Indenta"/>
      </w:pPr>
      <w:r>
        <w:tab/>
        <w:t>(b)</w:t>
      </w:r>
      <w:r>
        <w:tab/>
        <w:t xml:space="preserve">the proposed new BSA — </w:t>
      </w:r>
    </w:p>
    <w:p>
      <w:pPr>
        <w:pStyle w:val="Indenti"/>
      </w:pPr>
      <w:r>
        <w:tab/>
        <w:t>(i)</w:t>
      </w:r>
      <w:r>
        <w:tab/>
        <w:t>is not larger than is reasonably necessary for the effective exercise of the powers in Division 3; and</w:t>
      </w:r>
    </w:p>
    <w:p>
      <w:pPr>
        <w:pStyle w:val="Indenti"/>
      </w:pPr>
      <w:r>
        <w:tab/>
        <w:t>(ii)</w:t>
      </w:r>
      <w:r>
        <w:tab/>
        <w:t>in any event, does not exceed 5 km</w:t>
      </w:r>
      <w:r>
        <w:rPr>
          <w:vertAlign w:val="superscript"/>
        </w:rPr>
        <w:t>2</w:t>
      </w:r>
      <w:r>
        <w:t xml:space="preserve"> in area.</w:t>
      </w:r>
    </w:p>
    <w:p>
      <w:pPr>
        <w:pStyle w:val="Subsection"/>
      </w:pPr>
      <w:r>
        <w:tab/>
        <w:t>(9)</w:t>
      </w:r>
      <w:r>
        <w:tab/>
        <w:t xml:space="preserve">The Minister can be satisfied of the matters referred to in subsection (8) only after consultation with each of the following — </w:t>
      </w:r>
    </w:p>
    <w:p>
      <w:pPr>
        <w:pStyle w:val="Indenta"/>
      </w:pPr>
      <w:r>
        <w:tab/>
        <w:t>(a)</w:t>
      </w:r>
      <w:r>
        <w:tab/>
        <w:t xml:space="preserve">the Minister responsible for the administration of the </w:t>
      </w:r>
      <w:r>
        <w:rPr>
          <w:i/>
        </w:rPr>
        <w:t>Local Government Act 1995</w:t>
      </w:r>
      <w:r>
        <w:t>;</w:t>
      </w:r>
    </w:p>
    <w:p>
      <w:pPr>
        <w:pStyle w:val="Indenta"/>
      </w:pPr>
      <w:r>
        <w:tab/>
        <w:t>(b)</w:t>
      </w:r>
      <w:r>
        <w:tab/>
        <w:t xml:space="preserve">the Minister responsible for the administration of the </w:t>
      </w:r>
      <w:r>
        <w:rPr>
          <w:i/>
        </w:rPr>
        <w:t>Port Authorities Act 1999</w:t>
      </w:r>
      <w:r>
        <w:t>;</w:t>
      </w:r>
    </w:p>
    <w:p>
      <w:pPr>
        <w:pStyle w:val="Indenta"/>
      </w:pPr>
      <w:r>
        <w:tab/>
        <w:t>(c)</w:t>
      </w:r>
      <w:r>
        <w:tab/>
        <w:t xml:space="preserve">the Minister responsible for the administration of the </w:t>
      </w:r>
      <w:r>
        <w:rPr>
          <w:i/>
        </w:rPr>
        <w:t>Transport Co</w:t>
      </w:r>
      <w:r>
        <w:rPr>
          <w:i/>
        </w:rPr>
        <w:noBreakHyphen/>
        <w:t>ordination Act 1966</w:t>
      </w:r>
      <w:r>
        <w:t>.</w:t>
      </w:r>
    </w:p>
    <w:p>
      <w:pPr>
        <w:pStyle w:val="Footnotesection"/>
      </w:pPr>
      <w:bookmarkStart w:id="133" w:name="_Toc129094819"/>
      <w:bookmarkStart w:id="134" w:name="_Toc129095159"/>
      <w:bookmarkStart w:id="135" w:name="_Toc129100860"/>
      <w:bookmarkStart w:id="136" w:name="_Toc138318999"/>
      <w:bookmarkStart w:id="137" w:name="_Toc138684015"/>
      <w:r>
        <w:tab/>
        <w:t>[Section 20N inserted: No. 16 of 2023 s. 6.]</w:t>
      </w:r>
    </w:p>
    <w:p>
      <w:pPr>
        <w:pStyle w:val="Heading3"/>
      </w:pPr>
      <w:bookmarkStart w:id="138" w:name="_Toc138691543"/>
      <w:bookmarkStart w:id="139" w:name="_Toc138751106"/>
      <w:r>
        <w:rPr>
          <w:rStyle w:val="CharDivNo"/>
        </w:rPr>
        <w:lastRenderedPageBreak/>
        <w:t>Division 2</w:t>
      </w:r>
      <w:r>
        <w:t> — </w:t>
      </w:r>
      <w:r>
        <w:rPr>
          <w:rStyle w:val="CharDivText"/>
        </w:rPr>
        <w:t>Ancillary provisions in relation to exercising powers in Division 3</w:t>
      </w:r>
      <w:bookmarkEnd w:id="133"/>
      <w:bookmarkEnd w:id="134"/>
      <w:bookmarkEnd w:id="135"/>
      <w:bookmarkEnd w:id="136"/>
      <w:bookmarkEnd w:id="137"/>
      <w:bookmarkEnd w:id="138"/>
      <w:bookmarkEnd w:id="139"/>
    </w:p>
    <w:p>
      <w:pPr>
        <w:pStyle w:val="Footnoteheading"/>
        <w:keepNext/>
      </w:pPr>
      <w:bookmarkStart w:id="140" w:name="_Toc138319000"/>
      <w:bookmarkStart w:id="141" w:name="_Toc138684016"/>
      <w:r>
        <w:tab/>
        <w:t>[Heading inserted: No. 16 of 2023 s. 6.]</w:t>
      </w:r>
    </w:p>
    <w:p>
      <w:pPr>
        <w:pStyle w:val="Heading5"/>
      </w:pPr>
      <w:bookmarkStart w:id="142" w:name="_Toc138751107"/>
      <w:r>
        <w:rPr>
          <w:rStyle w:val="CharSectno"/>
        </w:rPr>
        <w:t>20O</w:t>
      </w:r>
      <w:r>
        <w:t>.</w:t>
      </w:r>
      <w:r>
        <w:tab/>
        <w:t>Other written laws</w:t>
      </w:r>
      <w:bookmarkEnd w:id="140"/>
      <w:bookmarkEnd w:id="141"/>
      <w:bookmarkEnd w:id="142"/>
    </w:p>
    <w:p>
      <w:pPr>
        <w:pStyle w:val="Subsection"/>
        <w:keepNext/>
      </w:pPr>
      <w:r>
        <w:tab/>
      </w:r>
      <w:r>
        <w:tab/>
        <w:t>Unless the contrary intention appears in this Act or another written law —</w:t>
      </w:r>
    </w:p>
    <w:p>
      <w:pPr>
        <w:pStyle w:val="Indenta"/>
      </w:pPr>
      <w:r>
        <w:tab/>
        <w:t>(a)</w:t>
      </w:r>
      <w:r>
        <w:tab/>
        <w:t>this Part does not affect the operation of any other written law; and</w:t>
      </w:r>
    </w:p>
    <w:p>
      <w:pPr>
        <w:pStyle w:val="Indenta"/>
      </w:pPr>
      <w:r>
        <w:tab/>
        <w:t>(b)</w:t>
      </w:r>
      <w:r>
        <w:tab/>
        <w:t>the powers in Division 3 are in addition to, and not in derogation of, the powers conferred on police officers by Part 4A or V or any other written law.</w:t>
      </w:r>
    </w:p>
    <w:p>
      <w:pPr>
        <w:pStyle w:val="Footnotesection"/>
      </w:pPr>
      <w:bookmarkStart w:id="143" w:name="_Toc138319001"/>
      <w:bookmarkStart w:id="144" w:name="_Toc138684017"/>
      <w:r>
        <w:tab/>
        <w:t>[Section 20O inserted: No. 16 of 2023 s. 6.]</w:t>
      </w:r>
    </w:p>
    <w:p>
      <w:pPr>
        <w:pStyle w:val="Heading5"/>
      </w:pPr>
      <w:bookmarkStart w:id="145" w:name="_Toc138751108"/>
      <w:r>
        <w:rPr>
          <w:rStyle w:val="CharSectno"/>
        </w:rPr>
        <w:t>20P</w:t>
      </w:r>
      <w:r>
        <w:t>.</w:t>
      </w:r>
      <w:r>
        <w:tab/>
        <w:t>Assistance when exercising powers under Division 3</w:t>
      </w:r>
      <w:bookmarkEnd w:id="143"/>
      <w:bookmarkEnd w:id="144"/>
      <w:bookmarkEnd w:id="145"/>
    </w:p>
    <w:p>
      <w:pPr>
        <w:pStyle w:val="Subsection"/>
      </w:pPr>
      <w:r>
        <w:tab/>
        <w:t>(1)</w:t>
      </w:r>
      <w:r>
        <w:tab/>
        <w:t>An authorised officer may authorise as many other persons to assist in exercising a power under Division 3 as are reasonably necessary in the circumstances.</w:t>
      </w:r>
    </w:p>
    <w:p>
      <w:pPr>
        <w:pStyle w:val="Subsection"/>
      </w:pPr>
      <w:r>
        <w:tab/>
        <w:t>(2)</w:t>
      </w:r>
      <w:r>
        <w:tab/>
        <w:t xml:space="preserve">If an authorised officer authorises other persons to assist in the exercise of powers under Division 3, the </w:t>
      </w:r>
      <w:r>
        <w:rPr>
          <w:i/>
        </w:rPr>
        <w:t>Criminal Investigation Act 2006</w:t>
      </w:r>
      <w:r>
        <w:t xml:space="preserve"> section 15, with any necessary changes, applies to and in relation to the exercise of powers by, or the assistance of, that person.</w:t>
      </w:r>
    </w:p>
    <w:p>
      <w:pPr>
        <w:pStyle w:val="Footnotesection"/>
      </w:pPr>
      <w:bookmarkStart w:id="146" w:name="_Toc138319002"/>
      <w:bookmarkStart w:id="147" w:name="_Toc138684018"/>
      <w:r>
        <w:tab/>
        <w:t>[Section 20P inserted: No. 16 of 2023 s. 6.]</w:t>
      </w:r>
    </w:p>
    <w:p>
      <w:pPr>
        <w:pStyle w:val="Heading5"/>
      </w:pPr>
      <w:bookmarkStart w:id="148" w:name="_Toc138751109"/>
      <w:r>
        <w:rPr>
          <w:rStyle w:val="CharSectno"/>
        </w:rPr>
        <w:t>20Q</w:t>
      </w:r>
      <w:r>
        <w:t>.</w:t>
      </w:r>
      <w:r>
        <w:tab/>
        <w:t>Use of force</w:t>
      </w:r>
      <w:bookmarkEnd w:id="146"/>
      <w:bookmarkEnd w:id="147"/>
      <w:bookmarkEnd w:id="148"/>
    </w:p>
    <w:p>
      <w:pPr>
        <w:pStyle w:val="Subsection"/>
      </w:pPr>
      <w:r>
        <w:tab/>
      </w:r>
      <w:r>
        <w:tab/>
        <w:t xml:space="preserve">When exercising a power under Division 3, a person may use such force as is reasonably necessary and with such assistance as the person considers necessary — </w:t>
      </w:r>
    </w:p>
    <w:p>
      <w:pPr>
        <w:pStyle w:val="Indenta"/>
      </w:pPr>
      <w:r>
        <w:tab/>
        <w:t>(a)</w:t>
      </w:r>
      <w:r>
        <w:tab/>
        <w:t>to exercise the power; and</w:t>
      </w:r>
    </w:p>
    <w:p>
      <w:pPr>
        <w:pStyle w:val="Indenta"/>
      </w:pPr>
      <w:r>
        <w:lastRenderedPageBreak/>
        <w:tab/>
        <w:t>(b)</w:t>
      </w:r>
      <w:r>
        <w:tab/>
        <w:t>to overcome any resistance to exercising the power that is offered, or that the person exercising the power reasonably suspects will be offered, by any person.</w:t>
      </w:r>
    </w:p>
    <w:p>
      <w:pPr>
        <w:pStyle w:val="Footnotesection"/>
      </w:pPr>
      <w:bookmarkStart w:id="149" w:name="_Toc129094823"/>
      <w:bookmarkStart w:id="150" w:name="_Toc129095163"/>
      <w:bookmarkStart w:id="151" w:name="_Toc129100864"/>
      <w:bookmarkStart w:id="152" w:name="_Toc138319003"/>
      <w:bookmarkStart w:id="153" w:name="_Toc138684019"/>
      <w:r>
        <w:tab/>
        <w:t>[Section 20Q inserted: No. 16 of 2023 s. 6.]</w:t>
      </w:r>
    </w:p>
    <w:p>
      <w:pPr>
        <w:pStyle w:val="Heading3"/>
      </w:pPr>
      <w:bookmarkStart w:id="154" w:name="_Toc138691547"/>
      <w:bookmarkStart w:id="155" w:name="_Toc138751110"/>
      <w:r>
        <w:rPr>
          <w:rStyle w:val="CharDivNo"/>
        </w:rPr>
        <w:t>Division 3</w:t>
      </w:r>
      <w:r>
        <w:t> — </w:t>
      </w:r>
      <w:r>
        <w:rPr>
          <w:rStyle w:val="CharDivText"/>
        </w:rPr>
        <w:t>Powers of authorised officers in public place in BSA</w:t>
      </w:r>
      <w:bookmarkEnd w:id="149"/>
      <w:bookmarkEnd w:id="150"/>
      <w:bookmarkEnd w:id="151"/>
      <w:bookmarkEnd w:id="152"/>
      <w:bookmarkEnd w:id="153"/>
      <w:bookmarkEnd w:id="154"/>
      <w:bookmarkEnd w:id="155"/>
    </w:p>
    <w:p>
      <w:pPr>
        <w:pStyle w:val="Footnoteheading"/>
        <w:keepNext/>
      </w:pPr>
      <w:bookmarkStart w:id="156" w:name="_Toc138319004"/>
      <w:bookmarkStart w:id="157" w:name="_Toc138684020"/>
      <w:r>
        <w:tab/>
        <w:t>[Heading inserted: No. 16 of 2023 s. 6.]</w:t>
      </w:r>
    </w:p>
    <w:p>
      <w:pPr>
        <w:pStyle w:val="Heading5"/>
      </w:pPr>
      <w:bookmarkStart w:id="158" w:name="_Toc138751111"/>
      <w:r>
        <w:rPr>
          <w:rStyle w:val="CharSectno"/>
        </w:rPr>
        <w:t>20R</w:t>
      </w:r>
      <w:r>
        <w:t>.</w:t>
      </w:r>
      <w:r>
        <w:tab/>
        <w:t>Authorised officers and BSA authorisations</w:t>
      </w:r>
      <w:bookmarkEnd w:id="156"/>
      <w:bookmarkEnd w:id="157"/>
      <w:bookmarkEnd w:id="158"/>
    </w:p>
    <w:p>
      <w:pPr>
        <w:pStyle w:val="Subsection"/>
      </w:pPr>
      <w:r>
        <w:tab/>
        <w:t>(1)</w:t>
      </w:r>
      <w:r>
        <w:tab/>
        <w:t xml:space="preserve">A police officer of or above the rank of inspector (an </w:t>
      </w:r>
      <w:r>
        <w:rPr>
          <w:rStyle w:val="CharDefText"/>
        </w:rPr>
        <w:t>issuing officer</w:t>
      </w:r>
      <w:r>
        <w:t xml:space="preserve">) may, by notice in writing (a </w:t>
      </w:r>
      <w:r>
        <w:rPr>
          <w:rStyle w:val="CharDefText"/>
        </w:rPr>
        <w:t>BSA authorisation</w:t>
      </w:r>
      <w:r>
        <w:t xml:space="preserve">), authorise another police officer (an </w:t>
      </w:r>
      <w:r>
        <w:rPr>
          <w:rStyle w:val="CharDefText"/>
        </w:rPr>
        <w:t>authorised officer</w:t>
      </w:r>
      <w:r>
        <w:t>) to exercise the powers under this Division.</w:t>
      </w:r>
    </w:p>
    <w:p>
      <w:pPr>
        <w:pStyle w:val="Subsection"/>
      </w:pPr>
      <w:r>
        <w:tab/>
        <w:t>(2)</w:t>
      </w:r>
      <w:r>
        <w:tab/>
        <w:t>Except as provided in subsection (4), a BSA authorisation has effect for a period stated in the notice, being a period no longer than 28 days after the notice is issued.</w:t>
      </w:r>
    </w:p>
    <w:p>
      <w:pPr>
        <w:pStyle w:val="Subsection"/>
      </w:pPr>
      <w:r>
        <w:tab/>
        <w:t>(3)</w:t>
      </w:r>
      <w:r>
        <w:tab/>
        <w:t>If the issuing officer is of the rank of inspector, the BSA authorisation must, within 24 hours after it is issued, be ratified in writing by a police officer of or above the rank of superintendent.</w:t>
      </w:r>
    </w:p>
    <w:p>
      <w:pPr>
        <w:pStyle w:val="Subsection"/>
      </w:pPr>
      <w:r>
        <w:tab/>
        <w:t>(4)</w:t>
      </w:r>
      <w:r>
        <w:tab/>
        <w:t>A BSA authorisation referred to in subsection (3) ceases to have effect 24 hours after it is issued if it is not ratified in accordance with that subsection.</w:t>
      </w:r>
    </w:p>
    <w:p>
      <w:pPr>
        <w:pStyle w:val="Subsection"/>
      </w:pPr>
      <w:r>
        <w:tab/>
        <w:t>(5)</w:t>
      </w:r>
      <w:r>
        <w:tab/>
        <w:t xml:space="preserve">A BSA authorisation must — </w:t>
      </w:r>
    </w:p>
    <w:p>
      <w:pPr>
        <w:pStyle w:val="Indenta"/>
      </w:pPr>
      <w:r>
        <w:tab/>
        <w:t>(a)</w:t>
      </w:r>
      <w:r>
        <w:tab/>
        <w:t>contain any directions approved by the Commissioner relating to the exercise of powers under this Division; and</w:t>
      </w:r>
    </w:p>
    <w:p>
      <w:pPr>
        <w:pStyle w:val="Indenta"/>
      </w:pPr>
      <w:r>
        <w:tab/>
        <w:t>(b)</w:t>
      </w:r>
      <w:r>
        <w:tab/>
        <w:t>otherwise be in a form approved by the Commissioner.</w:t>
      </w:r>
    </w:p>
    <w:p>
      <w:pPr>
        <w:pStyle w:val="Subsection"/>
        <w:keepNext/>
      </w:pPr>
      <w:r>
        <w:lastRenderedPageBreak/>
        <w:tab/>
        <w:t>(6)</w:t>
      </w:r>
      <w:r>
        <w:tab/>
        <w:t>A BSA authorisation may be revoked or varied by the issuing officer or another police officer of or above the rank of superintendent.</w:t>
      </w:r>
    </w:p>
    <w:p>
      <w:pPr>
        <w:pStyle w:val="Footnotesection"/>
      </w:pPr>
      <w:bookmarkStart w:id="159" w:name="_Toc138319005"/>
      <w:bookmarkStart w:id="160" w:name="_Toc138684021"/>
      <w:r>
        <w:tab/>
        <w:t>[Section 20R inserted: No. 16 of 2023 s. 6.]</w:t>
      </w:r>
    </w:p>
    <w:p>
      <w:pPr>
        <w:pStyle w:val="Heading5"/>
      </w:pPr>
      <w:bookmarkStart w:id="161" w:name="_Toc138751112"/>
      <w:r>
        <w:rPr>
          <w:rStyle w:val="CharSectno"/>
        </w:rPr>
        <w:t>20S</w:t>
      </w:r>
      <w:r>
        <w:t>.</w:t>
      </w:r>
      <w:r>
        <w:tab/>
        <w:t>Exercise of powers under Division</w:t>
      </w:r>
      <w:bookmarkEnd w:id="159"/>
      <w:bookmarkEnd w:id="160"/>
      <w:bookmarkEnd w:id="161"/>
    </w:p>
    <w:p>
      <w:pPr>
        <w:pStyle w:val="Subsection"/>
      </w:pPr>
      <w:r>
        <w:tab/>
        <w:t>(1)</w:t>
      </w:r>
      <w:r>
        <w:tab/>
        <w:t>Except as provided in subsection (2), the powers under this Division may be exercised in relation to a person or vehicle that is in a public place in a BSA.</w:t>
      </w:r>
    </w:p>
    <w:p>
      <w:pPr>
        <w:pStyle w:val="Subsection"/>
      </w:pPr>
      <w:r>
        <w:tab/>
        <w:t>(2)</w:t>
      </w:r>
      <w:r>
        <w:tab/>
        <w:t xml:space="preserve">The powers under this Division cannot be exercised in relation to a person participating in, or a vehicle being used primarily for, any of the following — </w:t>
      </w:r>
    </w:p>
    <w:p>
      <w:pPr>
        <w:pStyle w:val="Indenta"/>
      </w:pPr>
      <w:r>
        <w:tab/>
        <w:t>(a)</w:t>
      </w:r>
      <w:r>
        <w:tab/>
        <w:t>industrial action;</w:t>
      </w:r>
    </w:p>
    <w:p>
      <w:pPr>
        <w:pStyle w:val="Indenta"/>
      </w:pPr>
      <w:r>
        <w:tab/>
        <w:t>(b)</w:t>
      </w:r>
      <w:r>
        <w:tab/>
        <w:t>a political protest or demonstration;</w:t>
      </w:r>
    </w:p>
    <w:p>
      <w:pPr>
        <w:pStyle w:val="Indenta"/>
      </w:pPr>
      <w:r>
        <w:tab/>
        <w:t>(c)</w:t>
      </w:r>
      <w:r>
        <w:tab/>
        <w:t>a religious or cultural activity;</w:t>
      </w:r>
    </w:p>
    <w:p>
      <w:pPr>
        <w:pStyle w:val="Indenta"/>
      </w:pPr>
      <w:r>
        <w:tab/>
        <w:t>(d)</w:t>
      </w:r>
      <w:r>
        <w:tab/>
        <w:t>an educational activity;</w:t>
      </w:r>
    </w:p>
    <w:p>
      <w:pPr>
        <w:pStyle w:val="Indenta"/>
      </w:pPr>
      <w:r>
        <w:tab/>
        <w:t>(e)</w:t>
      </w:r>
      <w:r>
        <w:tab/>
        <w:t>the seeking or provision of medical or emergency services;</w:t>
      </w:r>
    </w:p>
    <w:p>
      <w:pPr>
        <w:pStyle w:val="Indenta"/>
      </w:pPr>
      <w:r>
        <w:tab/>
        <w:t>(f)</w:t>
      </w:r>
      <w:r>
        <w:tab/>
        <w:t>an activity prescribed by the regulations.</w:t>
      </w:r>
    </w:p>
    <w:p>
      <w:pPr>
        <w:pStyle w:val="Footnotesection"/>
      </w:pPr>
      <w:bookmarkStart w:id="162" w:name="_Toc138319006"/>
      <w:bookmarkStart w:id="163" w:name="_Toc138684022"/>
      <w:r>
        <w:tab/>
        <w:t>[Section 20S inserted: No. 16 of 2023 s. 6.]</w:t>
      </w:r>
    </w:p>
    <w:p>
      <w:pPr>
        <w:pStyle w:val="Heading5"/>
      </w:pPr>
      <w:bookmarkStart w:id="164" w:name="_Toc138751113"/>
      <w:r>
        <w:rPr>
          <w:rStyle w:val="CharSectno"/>
        </w:rPr>
        <w:t>20T</w:t>
      </w:r>
      <w:r>
        <w:t>.</w:t>
      </w:r>
      <w:r>
        <w:tab/>
        <w:t>Powers of authorised officers in relation to persons</w:t>
      </w:r>
      <w:bookmarkEnd w:id="162"/>
      <w:bookmarkEnd w:id="163"/>
      <w:bookmarkEnd w:id="164"/>
    </w:p>
    <w:p>
      <w:pPr>
        <w:pStyle w:val="Subsection"/>
      </w:pPr>
      <w:r>
        <w:tab/>
        <w:t>(1)</w:t>
      </w:r>
      <w:r>
        <w:tab/>
        <w:t>An authorised officer may do a preliminary drug detection test on a person.</w:t>
      </w:r>
    </w:p>
    <w:p>
      <w:pPr>
        <w:pStyle w:val="Subsection"/>
      </w:pPr>
      <w:r>
        <w:tab/>
        <w:t>(2)</w:t>
      </w:r>
      <w:r>
        <w:tab/>
        <w:t>An authorised officer who wishes to do a preliminary drug detection test on a person under subsection (1) may detain the person for a reasonable period in order to do the test.</w:t>
      </w:r>
    </w:p>
    <w:p>
      <w:pPr>
        <w:pStyle w:val="Subsection"/>
        <w:keepNext/>
      </w:pPr>
      <w:r>
        <w:tab/>
        <w:t>(3)</w:t>
      </w:r>
      <w:r>
        <w:tab/>
        <w:t xml:space="preserve">An authorised officer has reasonable grounds to suspect that any thing referred to in section 23(1)(a), (b) or (c) is in the </w:t>
      </w:r>
      <w:r>
        <w:lastRenderedPageBreak/>
        <w:t xml:space="preserve">possession of a person if a preliminary drug detection test indicates the detection of any of the following on the person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an authorised officer exercising the powers conferred by subsections (1) and (2) of this section.</w:t>
      </w:r>
    </w:p>
    <w:p>
      <w:pPr>
        <w:pStyle w:val="Subsection"/>
        <w:keepNext/>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subsections (1) and (2) of this section.</w:t>
      </w:r>
    </w:p>
    <w:p>
      <w:pPr>
        <w:pStyle w:val="Footnotesection"/>
      </w:pPr>
      <w:bookmarkStart w:id="165" w:name="_Toc138319007"/>
      <w:bookmarkStart w:id="166" w:name="_Toc138684023"/>
      <w:r>
        <w:tab/>
        <w:t>[Section 20T inserted: No. 16 of 2023 s. 6.]</w:t>
      </w:r>
    </w:p>
    <w:p>
      <w:pPr>
        <w:pStyle w:val="Heading5"/>
      </w:pPr>
      <w:bookmarkStart w:id="167" w:name="_Toc138751114"/>
      <w:r>
        <w:rPr>
          <w:rStyle w:val="CharSectno"/>
        </w:rPr>
        <w:t>20U</w:t>
      </w:r>
      <w:r>
        <w:t>.</w:t>
      </w:r>
      <w:r>
        <w:tab/>
        <w:t>Powers of authorised officers in relation to vehicles</w:t>
      </w:r>
      <w:bookmarkEnd w:id="165"/>
      <w:bookmarkEnd w:id="166"/>
      <w:bookmarkEnd w:id="167"/>
    </w:p>
    <w:p>
      <w:pPr>
        <w:pStyle w:val="Subsection"/>
      </w:pPr>
      <w:r>
        <w:tab/>
        <w:t>(1)</w:t>
      </w:r>
      <w:r>
        <w:tab/>
        <w:t xml:space="preserve">In this section — </w:t>
      </w:r>
    </w:p>
    <w:p>
      <w:pPr>
        <w:pStyle w:val="Defstart"/>
      </w:pPr>
      <w:r>
        <w:tab/>
      </w:r>
      <w:r>
        <w:rPr>
          <w:rStyle w:val="CharDefText"/>
        </w:rPr>
        <w:t>search</w:t>
      </w:r>
      <w:r>
        <w:t xml:space="preserve"> includes doing a preliminary drug detection test.</w:t>
      </w:r>
    </w:p>
    <w:p>
      <w:pPr>
        <w:pStyle w:val="Subsection"/>
      </w:pPr>
      <w:r>
        <w:tab/>
        <w:t>(2)</w:t>
      </w:r>
      <w:r>
        <w:tab/>
        <w:t xml:space="preserve">An authorised officer may do 1 or more of the following in relation to a vehicle — </w:t>
      </w:r>
    </w:p>
    <w:p>
      <w:pPr>
        <w:pStyle w:val="Indenta"/>
      </w:pPr>
      <w:r>
        <w:tab/>
        <w:t>(a)</w:t>
      </w:r>
      <w:r>
        <w:tab/>
        <w:t>require the driver of the vehicle to stop the vehicle;</w:t>
      </w:r>
    </w:p>
    <w:p>
      <w:pPr>
        <w:pStyle w:val="Indenta"/>
      </w:pPr>
      <w:r>
        <w:tab/>
        <w:t>(b)</w:t>
      </w:r>
      <w:r>
        <w:tab/>
        <w:t>enter and search any part of the vehicle;</w:t>
      </w:r>
    </w:p>
    <w:p>
      <w:pPr>
        <w:pStyle w:val="Indenta"/>
      </w:pPr>
      <w:r>
        <w:tab/>
        <w:t>(c)</w:t>
      </w:r>
      <w:r>
        <w:tab/>
        <w:t xml:space="preserve">detain the vehicle for a reasonable period in order to search the vehicle; </w:t>
      </w:r>
    </w:p>
    <w:p>
      <w:pPr>
        <w:pStyle w:val="Indenta"/>
      </w:pPr>
      <w:r>
        <w:tab/>
        <w:t>(d)</w:t>
      </w:r>
      <w:r>
        <w:tab/>
        <w:t>move the vehicle to a public place in the relevant BSA suitable to search the vehicle;</w:t>
      </w:r>
    </w:p>
    <w:p>
      <w:pPr>
        <w:pStyle w:val="Indenta"/>
      </w:pPr>
      <w:r>
        <w:lastRenderedPageBreak/>
        <w:tab/>
        <w:t>(e)</w:t>
      </w:r>
      <w:r>
        <w:tab/>
        <w:t>require the driver, or a passenger, of the vehicle to open any part of the vehicle;</w:t>
      </w:r>
    </w:p>
    <w:p>
      <w:pPr>
        <w:pStyle w:val="Indenta"/>
      </w:pPr>
      <w:r>
        <w:tab/>
        <w:t>(f)</w:t>
      </w:r>
      <w:r>
        <w:tab/>
        <w:t>require the driver, or a passenger, of the vehicle not to leave, or to remain in, the vehicle;</w:t>
      </w:r>
    </w:p>
    <w:p>
      <w:pPr>
        <w:pStyle w:val="Indenta"/>
      </w:pPr>
      <w:r>
        <w:tab/>
        <w:t>(g)</w:t>
      </w:r>
      <w:r>
        <w:tab/>
        <w:t>take any action that is reasonably necessary in order to search the vehicle.</w:t>
      </w:r>
    </w:p>
    <w:p>
      <w:pPr>
        <w:pStyle w:val="Subsection"/>
      </w:pPr>
      <w:r>
        <w:tab/>
        <w:t>(3)</w:t>
      </w:r>
      <w:r>
        <w:tab/>
        <w:t xml:space="preserve">An authorised officer has reasonable grounds to suspect that any thing referred to in section 23(1)(a), (b) or (c) is in the possession of a person if a preliminary drug detection test in relation to a vehicle in which the person is, or was, the driver or a passenger, indicates the detection of any of the following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an authorised officer exercising the powers conferred by subsection (2)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bookmarkStart w:id="168" w:name="_Toc129094828"/>
      <w:bookmarkStart w:id="169" w:name="_Toc129095168"/>
      <w:bookmarkStart w:id="170" w:name="_Toc129100869"/>
      <w:bookmarkStart w:id="171" w:name="_Toc138319008"/>
      <w:bookmarkStart w:id="172" w:name="_Toc138684024"/>
      <w:r>
        <w:tab/>
        <w:t>[Section 20U inserted: No. 16 of 2023 s. 6.]</w:t>
      </w:r>
    </w:p>
    <w:p>
      <w:pPr>
        <w:pStyle w:val="Heading3"/>
      </w:pPr>
      <w:bookmarkStart w:id="173" w:name="_Toc138691552"/>
      <w:bookmarkStart w:id="174" w:name="_Toc138751115"/>
      <w:r>
        <w:rPr>
          <w:rStyle w:val="CharDivNo"/>
        </w:rPr>
        <w:lastRenderedPageBreak/>
        <w:t>Division 4</w:t>
      </w:r>
      <w:r>
        <w:t> — </w:t>
      </w:r>
      <w:r>
        <w:rPr>
          <w:rStyle w:val="CharDivText"/>
        </w:rPr>
        <w:t>Offences</w:t>
      </w:r>
      <w:bookmarkEnd w:id="168"/>
      <w:bookmarkEnd w:id="169"/>
      <w:bookmarkEnd w:id="170"/>
      <w:bookmarkEnd w:id="171"/>
      <w:bookmarkEnd w:id="172"/>
      <w:bookmarkEnd w:id="173"/>
      <w:bookmarkEnd w:id="174"/>
    </w:p>
    <w:p>
      <w:pPr>
        <w:pStyle w:val="Footnoteheading"/>
        <w:keepNext/>
      </w:pPr>
      <w:bookmarkStart w:id="175" w:name="_Toc138319009"/>
      <w:bookmarkStart w:id="176" w:name="_Toc138684025"/>
      <w:r>
        <w:tab/>
        <w:t>[Heading inserted: No. 16 of 2023 s. 6.]</w:t>
      </w:r>
    </w:p>
    <w:p>
      <w:pPr>
        <w:pStyle w:val="Heading5"/>
      </w:pPr>
      <w:bookmarkStart w:id="177" w:name="_Toc138751116"/>
      <w:r>
        <w:rPr>
          <w:rStyle w:val="CharSectno"/>
        </w:rPr>
        <w:t>20V</w:t>
      </w:r>
      <w:r>
        <w:t>.</w:t>
      </w:r>
      <w:r>
        <w:tab/>
        <w:t>Application of section 29 to exercise of powers conferred by or under this Part</w:t>
      </w:r>
      <w:bookmarkEnd w:id="175"/>
      <w:bookmarkEnd w:id="176"/>
      <w:bookmarkEnd w:id="177"/>
    </w:p>
    <w:p>
      <w:pPr>
        <w:pStyle w:val="Subsection"/>
      </w:pPr>
      <w:r>
        <w:tab/>
      </w:r>
      <w:r>
        <w:tab/>
        <w:t>Section 29 applies as if the references in paragraphs (a) and (b) of that section to a police officer acting in the exercise of the powers conferred on the police officer by or under Part V or a person assisting a police officer so acting included a reference to an authorised officer acting in the exercise of the powers conferred by section 20T(1) or 20U(2) or a person assisting the authorised officer under section 20P.</w:t>
      </w:r>
    </w:p>
    <w:p>
      <w:pPr>
        <w:pStyle w:val="Footnotesection"/>
      </w:pPr>
      <w:bookmarkStart w:id="178" w:name="_Toc138319010"/>
      <w:bookmarkStart w:id="179" w:name="_Toc138684026"/>
      <w:r>
        <w:tab/>
        <w:t>[Section 20V inserted: No. 16 of 2023 s. 6.]</w:t>
      </w:r>
    </w:p>
    <w:p>
      <w:pPr>
        <w:pStyle w:val="Heading5"/>
      </w:pPr>
      <w:bookmarkStart w:id="180" w:name="_Toc138751117"/>
      <w:r>
        <w:rPr>
          <w:rStyle w:val="CharSectno"/>
        </w:rPr>
        <w:t>20W</w:t>
      </w:r>
      <w:r>
        <w:t>.</w:t>
      </w:r>
      <w:r>
        <w:tab/>
        <w:t>Failure to comply with requirement of authorised officer</w:t>
      </w:r>
      <w:bookmarkEnd w:id="178"/>
      <w:bookmarkEnd w:id="179"/>
      <w:bookmarkEnd w:id="180"/>
    </w:p>
    <w:p>
      <w:pPr>
        <w:pStyle w:val="Subsection"/>
      </w:pPr>
      <w:r>
        <w:tab/>
      </w:r>
      <w:r>
        <w:tab/>
        <w:t>A person who fails to comply, without reasonable excuse, with a requirement of an authorised officer in the exercise of powers conferred on that authorised officer under section 20U(2)(a), (e) or (f) commits a simple offence.</w:t>
      </w:r>
    </w:p>
    <w:p>
      <w:pPr>
        <w:pStyle w:val="Footnotesection"/>
      </w:pPr>
      <w:bookmarkStart w:id="181" w:name="_Toc129094831"/>
      <w:bookmarkStart w:id="182" w:name="_Toc129095171"/>
      <w:bookmarkStart w:id="183" w:name="_Toc129100872"/>
      <w:bookmarkStart w:id="184" w:name="_Toc138319011"/>
      <w:bookmarkStart w:id="185" w:name="_Toc138684027"/>
      <w:r>
        <w:tab/>
        <w:t>[Section 20W inserted: No. 16 of 2023 s. 6.]</w:t>
      </w:r>
    </w:p>
    <w:p>
      <w:pPr>
        <w:pStyle w:val="Heading3"/>
      </w:pPr>
      <w:bookmarkStart w:id="186" w:name="_Toc138691555"/>
      <w:bookmarkStart w:id="187" w:name="_Toc138751118"/>
      <w:r>
        <w:rPr>
          <w:rStyle w:val="CharDivNo"/>
        </w:rPr>
        <w:t>Division 5</w:t>
      </w:r>
      <w:r>
        <w:t> — </w:t>
      </w:r>
      <w:r>
        <w:rPr>
          <w:rStyle w:val="CharDivText"/>
        </w:rPr>
        <w:t>Reporting, oversight and review</w:t>
      </w:r>
      <w:bookmarkEnd w:id="181"/>
      <w:bookmarkEnd w:id="182"/>
      <w:bookmarkEnd w:id="183"/>
      <w:bookmarkEnd w:id="184"/>
      <w:bookmarkEnd w:id="185"/>
      <w:bookmarkEnd w:id="186"/>
      <w:bookmarkEnd w:id="187"/>
    </w:p>
    <w:p>
      <w:pPr>
        <w:pStyle w:val="Footnoteheading"/>
      </w:pPr>
      <w:bookmarkStart w:id="188" w:name="_Toc138319012"/>
      <w:bookmarkStart w:id="189" w:name="_Toc138684028"/>
      <w:r>
        <w:tab/>
        <w:t>[Heading inserted: No. 16 of 2023 s. 6.]</w:t>
      </w:r>
    </w:p>
    <w:p>
      <w:pPr>
        <w:pStyle w:val="Heading5"/>
      </w:pPr>
      <w:bookmarkStart w:id="190" w:name="_Toc138751119"/>
      <w:r>
        <w:rPr>
          <w:rStyle w:val="CharSectno"/>
        </w:rPr>
        <w:t>20X</w:t>
      </w:r>
      <w:r>
        <w:t>.</w:t>
      </w:r>
      <w:r>
        <w:tab/>
        <w:t>Commissioner’s reports</w:t>
      </w:r>
      <w:bookmarkEnd w:id="188"/>
      <w:bookmarkEnd w:id="189"/>
      <w:bookmarkEnd w:id="190"/>
    </w:p>
    <w:p>
      <w:pPr>
        <w:pStyle w:val="Subsection"/>
      </w:pPr>
      <w:r>
        <w:tab/>
        <w:t>(1)</w:t>
      </w:r>
      <w:r>
        <w:tab/>
        <w:t xml:space="preserve">As soon as practicable after 30 June and 31 December in each year, the Commissioner must submit a report to the Corruption and Crime Commission setting out the details required by subsection (2) in relation to the exercise of powers under Division 3 during the previous 6 months. </w:t>
      </w:r>
    </w:p>
    <w:p>
      <w:pPr>
        <w:pStyle w:val="Subsection"/>
      </w:pPr>
      <w:r>
        <w:tab/>
        <w:t>(2)</w:t>
      </w:r>
      <w:r>
        <w:tab/>
        <w:t xml:space="preserve">The report must include all of the following details — </w:t>
      </w:r>
    </w:p>
    <w:p>
      <w:pPr>
        <w:pStyle w:val="Indenta"/>
      </w:pPr>
      <w:r>
        <w:tab/>
        <w:t>(a)</w:t>
      </w:r>
      <w:r>
        <w:tab/>
        <w:t>the number of preliminary drug detection tests carried out in each BSA under section 20T(1);</w:t>
      </w:r>
    </w:p>
    <w:p>
      <w:pPr>
        <w:pStyle w:val="Indenta"/>
      </w:pPr>
      <w:r>
        <w:lastRenderedPageBreak/>
        <w:tab/>
        <w:t>(b)</w:t>
      </w:r>
      <w:r>
        <w:tab/>
        <w:t>the number and nature of seizures under section 25 by virtue of sections 20T(4) and 20U(4);</w:t>
      </w:r>
    </w:p>
    <w:p>
      <w:pPr>
        <w:pStyle w:val="Indenta"/>
      </w:pPr>
      <w:r>
        <w:tab/>
        <w:t>(c)</w:t>
      </w:r>
      <w:r>
        <w:tab/>
        <w:t>the number of searches carried out in each BSA under section 20U(2);</w:t>
      </w:r>
    </w:p>
    <w:p>
      <w:pPr>
        <w:pStyle w:val="Indenta"/>
      </w:pPr>
      <w:r>
        <w:tab/>
        <w:t>(d)</w:t>
      </w:r>
      <w:r>
        <w:tab/>
        <w:t>the number of searches carried out in each BSA under section 23(1) by virtue of sections 20T(3) and 20U(3);</w:t>
      </w:r>
    </w:p>
    <w:p>
      <w:pPr>
        <w:pStyle w:val="Indenta"/>
      </w:pPr>
      <w:r>
        <w:tab/>
        <w:t>(e)</w:t>
      </w:r>
      <w:r>
        <w:tab/>
        <w:t>the number and nature of seizures under section 26 by virtue of sections 20T(5) and 20U(5);</w:t>
      </w:r>
    </w:p>
    <w:p>
      <w:pPr>
        <w:pStyle w:val="Indenta"/>
      </w:pPr>
      <w:r>
        <w:tab/>
        <w:t>(f)</w:t>
      </w:r>
      <w:r>
        <w:tab/>
        <w:t>the number and nature of arrests and charges resulting from the exercise of the powers conferred by sections 20T and 20U and the results of prosecutions of those charges.</w:t>
      </w:r>
    </w:p>
    <w:p>
      <w:pPr>
        <w:pStyle w:val="Subsection"/>
      </w:pPr>
      <w:r>
        <w:tab/>
        <w:t>(3)</w:t>
      </w:r>
      <w:r>
        <w:tab/>
        <w:t>The Corruption and Crime Commission may require the Commissioner to provide additional information in relation to any exercise of a power under Division 3 to which a report relates.</w:t>
      </w:r>
    </w:p>
    <w:p>
      <w:pPr>
        <w:pStyle w:val="Footnotesection"/>
      </w:pPr>
      <w:bookmarkStart w:id="191" w:name="_Toc138319013"/>
      <w:bookmarkStart w:id="192" w:name="_Toc138684029"/>
      <w:r>
        <w:tab/>
        <w:t>[Section 20X inserted: No. 16 of 2023 s. 6.]</w:t>
      </w:r>
    </w:p>
    <w:p>
      <w:pPr>
        <w:pStyle w:val="Heading5"/>
      </w:pPr>
      <w:bookmarkStart w:id="193" w:name="_Toc138751120"/>
      <w:r>
        <w:rPr>
          <w:rStyle w:val="CharSectno"/>
        </w:rPr>
        <w:t>20Y</w:t>
      </w:r>
      <w:r>
        <w:t>.</w:t>
      </w:r>
      <w:r>
        <w:tab/>
        <w:t>Annual report by Corruption and Crime Commission</w:t>
      </w:r>
      <w:bookmarkEnd w:id="191"/>
      <w:bookmarkEnd w:id="192"/>
      <w:bookmarkEnd w:id="193"/>
    </w:p>
    <w:p>
      <w:pPr>
        <w:pStyle w:val="Subsection"/>
      </w:pPr>
      <w:r>
        <w:tab/>
        <w:t>(1)</w:t>
      </w:r>
      <w:r>
        <w:tab/>
        <w:t>The Corruption and Crime Commission must, as soon as practicable after 30 June in each year, prepare a report of the exercise of powers under Division 3 for the preceding 12 months and give a copy of the report to the Minister and the Commissioner.</w:t>
      </w:r>
    </w:p>
    <w:p>
      <w:pPr>
        <w:pStyle w:val="Subsection"/>
      </w:pPr>
      <w:r>
        <w:tab/>
        <w:t>(2)</w:t>
      </w:r>
      <w:r>
        <w:tab/>
        <w:t>The Commissioner must advise the Minister of any information in the report that, in the Commissioner’s opinion, should be excluded from the report before the report is laid before each House of Parliament because the information, if made public, could reasonably be expected to —</w:t>
      </w:r>
    </w:p>
    <w:p>
      <w:pPr>
        <w:pStyle w:val="Indenta"/>
      </w:pPr>
      <w:r>
        <w:tab/>
        <w:t>(a)</w:t>
      </w:r>
      <w:r>
        <w:tab/>
        <w:t>endanger a person’s safety; or</w:t>
      </w:r>
    </w:p>
    <w:p>
      <w:pPr>
        <w:pStyle w:val="Indenta"/>
      </w:pPr>
      <w:r>
        <w:tab/>
        <w:t>(b)</w:t>
      </w:r>
      <w:r>
        <w:tab/>
        <w:t>prejudice an investigation or prosecution; or</w:t>
      </w:r>
    </w:p>
    <w:p>
      <w:pPr>
        <w:pStyle w:val="Indenta"/>
      </w:pPr>
      <w:r>
        <w:tab/>
        <w:t>(c)</w:t>
      </w:r>
      <w:r>
        <w:tab/>
        <w:t>compromise any operational activities or methodologies of the Police Force.</w:t>
      </w:r>
    </w:p>
    <w:p>
      <w:pPr>
        <w:pStyle w:val="Subsection"/>
      </w:pPr>
      <w:r>
        <w:lastRenderedPageBreak/>
        <w:tab/>
        <w:t>(3)</w:t>
      </w:r>
      <w:r>
        <w:tab/>
        <w:t>The Minister must —</w:t>
      </w:r>
    </w:p>
    <w:p>
      <w:pPr>
        <w:pStyle w:val="Indenta"/>
      </w:pPr>
      <w:r>
        <w:tab/>
        <w:t>(a)</w:t>
      </w:r>
      <w:r>
        <w:tab/>
        <w:t>exclude information from the report if satisfied on the advice of the Commissioner of any of the grounds set out in subsection (2); and</w:t>
      </w:r>
    </w:p>
    <w:p>
      <w:pPr>
        <w:pStyle w:val="Indenta"/>
      </w:pPr>
      <w:r>
        <w:tab/>
        <w:t>(b)</w:t>
      </w:r>
      <w:r>
        <w:tab/>
        <w:t>insert a statement to the effect that information has been excluded from the report under paragraph (a).</w:t>
      </w:r>
    </w:p>
    <w:p>
      <w:pPr>
        <w:pStyle w:val="Subsection"/>
      </w:pPr>
      <w:r>
        <w:tab/>
        <w:t>(4)</w:t>
      </w:r>
      <w:r>
        <w:tab/>
        <w:t>The Minister is to cause a copy of the report to be laid before each House of Parliament within 15 sitting days from the day on which the report is received by the Minister.</w:t>
      </w:r>
    </w:p>
    <w:p>
      <w:pPr>
        <w:pStyle w:val="Subsection"/>
      </w:pPr>
      <w:r>
        <w:tab/>
        <w:t>(5)</w:t>
      </w:r>
      <w:r>
        <w:tab/>
        <w:t>The report must include comments on the comprehensiveness and adequacy of reports provided to the Corruption and Crime Commission by the Commissioner.</w:t>
      </w:r>
    </w:p>
    <w:p>
      <w:pPr>
        <w:pStyle w:val="Footnotesection"/>
      </w:pPr>
      <w:bookmarkStart w:id="194" w:name="_Toc138319014"/>
      <w:bookmarkStart w:id="195" w:name="_Toc138684030"/>
      <w:r>
        <w:tab/>
        <w:t>[Section 20Y inserted: No. 16 of 2023 s. 6.]</w:t>
      </w:r>
    </w:p>
    <w:p>
      <w:pPr>
        <w:pStyle w:val="Heading5"/>
      </w:pPr>
      <w:bookmarkStart w:id="196" w:name="_Toc138751121"/>
      <w:r>
        <w:rPr>
          <w:rStyle w:val="CharSectno"/>
        </w:rPr>
        <w:t>20Z</w:t>
      </w:r>
      <w:r>
        <w:t>.</w:t>
      </w:r>
      <w:r>
        <w:tab/>
        <w:t>Inspection of records by Corruption and Crime Commission</w:t>
      </w:r>
      <w:bookmarkEnd w:id="194"/>
      <w:bookmarkEnd w:id="195"/>
      <w:bookmarkEnd w:id="196"/>
    </w:p>
    <w:p>
      <w:pPr>
        <w:pStyle w:val="Subsection"/>
      </w:pPr>
      <w:r>
        <w:tab/>
        <w:t>(1)</w:t>
      </w:r>
      <w:r>
        <w:tab/>
        <w:t xml:space="preserve">In this section — </w:t>
      </w:r>
    </w:p>
    <w:p>
      <w:pPr>
        <w:pStyle w:val="Defstart"/>
      </w:pPr>
      <w:r>
        <w:tab/>
      </w:r>
      <w:r>
        <w:rPr>
          <w:rStyle w:val="CharDefText"/>
        </w:rPr>
        <w:t>Department</w:t>
      </w:r>
      <w:r>
        <w:t xml:space="preserve"> means the department of the Public Service principally assisting in the administration of the </w:t>
      </w:r>
      <w:r>
        <w:rPr>
          <w:i/>
        </w:rPr>
        <w:t>Police Act 1892</w:t>
      </w:r>
      <w:r>
        <w:t>;</w:t>
      </w:r>
    </w:p>
    <w:p>
      <w:pPr>
        <w:pStyle w:val="Defstart"/>
      </w:pPr>
      <w:r>
        <w:tab/>
      </w:r>
      <w:r>
        <w:rPr>
          <w:rStyle w:val="CharDefText"/>
        </w:rPr>
        <w:t>officer</w:t>
      </w:r>
      <w:r>
        <w:t>, of the Department, means a person employed or engaged by the Department.</w:t>
      </w:r>
    </w:p>
    <w:p>
      <w:pPr>
        <w:pStyle w:val="Subsection"/>
      </w:pPr>
      <w:r>
        <w:tab/>
        <w:t>(2)</w:t>
      </w:r>
      <w:r>
        <w:tab/>
        <w:t>The Corruption and Crime Commission must, from time to time and at least once every 12 months, inspect the records of the Commissioner to determine the extent of compliance with this Part by the Police Force and police officers.</w:t>
      </w:r>
    </w:p>
    <w:p>
      <w:pPr>
        <w:pStyle w:val="Subsection"/>
      </w:pPr>
      <w:r>
        <w:tab/>
        <w:t>(3)</w:t>
      </w:r>
      <w:r>
        <w:tab/>
        <w:t>For the purposes of an inspection under this section, the Corruption and Crime Commission —</w:t>
      </w:r>
    </w:p>
    <w:p>
      <w:pPr>
        <w:pStyle w:val="Indenta"/>
      </w:pPr>
      <w:r>
        <w:tab/>
        <w:t>(a)</w:t>
      </w:r>
      <w:r>
        <w:tab/>
        <w:t>after notifying the Commissioner, may enter at any reasonable time premises occupied by the Police Force or Department; and</w:t>
      </w:r>
    </w:p>
    <w:p>
      <w:pPr>
        <w:pStyle w:val="Indenta"/>
      </w:pPr>
      <w:r>
        <w:lastRenderedPageBreak/>
        <w:tab/>
        <w:t>(b)</w:t>
      </w:r>
      <w:r>
        <w:tab/>
        <w:t>is entitled to have full and free access at all reasonable times to all records of the Police Force and Department that are relevant to the inspection; and</w:t>
      </w:r>
    </w:p>
    <w:p>
      <w:pPr>
        <w:pStyle w:val="Indenta"/>
      </w:pPr>
      <w:r>
        <w:tab/>
        <w:t>(c)</w:t>
      </w:r>
      <w:r>
        <w:tab/>
        <w:t>may require a police officer or officer of the Department to give the Corruption and Crime Commission any information that the Corruption and Crime Commission considers necessary, being information that is in the officer’s possession, or to which the officer has access, and that is relevant to the inspection.</w:t>
      </w:r>
    </w:p>
    <w:p>
      <w:pPr>
        <w:pStyle w:val="Subsection"/>
      </w:pPr>
      <w:r>
        <w:tab/>
        <w:t>(4)</w:t>
      </w:r>
      <w:r>
        <w:tab/>
        <w:t xml:space="preserve">The Corruption and Crime Commission may delegate to an officer of the Commission (as defined in the </w:t>
      </w:r>
      <w:r>
        <w:rPr>
          <w:i/>
        </w:rPr>
        <w:t>Corruption, Crime and Misconduct Act 2003</w:t>
      </w:r>
      <w:r>
        <w:t xml:space="preserve"> section 3(1)) a power or duty of the Corruption and Crime Commission under this section and, for that purpose, the </w:t>
      </w:r>
      <w:r>
        <w:rPr>
          <w:i/>
        </w:rPr>
        <w:t>Corruption, Crime and Misconduct Act 2003</w:t>
      </w:r>
      <w:r>
        <w:t xml:space="preserve"> section 185(3) to (6) apply as if the delegation were a delegation under section 185 of that Act.</w:t>
      </w:r>
    </w:p>
    <w:p>
      <w:pPr>
        <w:pStyle w:val="Subsection"/>
      </w:pPr>
      <w:r>
        <w:tab/>
        <w:t>(5)</w:t>
      </w:r>
      <w:r>
        <w:tab/>
        <w:t>The Commissioner must ensure that police officers or officers of the Department give the Corruption and Crime Commission any assistance the Corruption and Crime Commission reasonably requires to enable the Corruption and Crime Commission to perform or exercise functions under this section.</w:t>
      </w:r>
    </w:p>
    <w:p>
      <w:pPr>
        <w:pStyle w:val="Footnotesection"/>
      </w:pPr>
      <w:bookmarkStart w:id="197" w:name="_Toc138319015"/>
      <w:bookmarkStart w:id="198" w:name="_Toc138684031"/>
      <w:r>
        <w:tab/>
        <w:t>[Section 20Z inserted: No. 16 of 2023 s. 6.]</w:t>
      </w:r>
    </w:p>
    <w:p>
      <w:pPr>
        <w:pStyle w:val="Heading5"/>
      </w:pPr>
      <w:bookmarkStart w:id="199" w:name="_Toc138751122"/>
      <w:r>
        <w:rPr>
          <w:rStyle w:val="CharSectno"/>
        </w:rPr>
        <w:t>20ZA</w:t>
      </w:r>
      <w:r>
        <w:t>.</w:t>
      </w:r>
      <w:r>
        <w:tab/>
        <w:t>Review of Part</w:t>
      </w:r>
      <w:bookmarkEnd w:id="197"/>
      <w:bookmarkEnd w:id="198"/>
      <w:bookmarkEnd w:id="199"/>
    </w:p>
    <w:p>
      <w:pPr>
        <w:pStyle w:val="Subsection"/>
      </w:pPr>
      <w:r>
        <w:tab/>
        <w:t>(1)</w:t>
      </w:r>
      <w:r>
        <w:tab/>
        <w:t>The Minister must review the operation and effectiveness of this Part, and prepare a report based on the review, as soon as practicable after the 3</w:t>
      </w:r>
      <w:r>
        <w:rPr>
          <w:vertAlign w:val="superscript"/>
        </w:rPr>
        <w:t>rd</w:t>
      </w:r>
      <w:r>
        <w:t xml:space="preserve"> anniversary of the day on which the </w:t>
      </w:r>
      <w:r>
        <w:rPr>
          <w:i/>
        </w:rPr>
        <w:t>Misuse of Drugs Amendment Act 2023</w:t>
      </w:r>
      <w:r>
        <w:t xml:space="preserve"> Part 2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20ZA inserted: No. 16 of 2023 s. 6.]</w:t>
      </w:r>
    </w:p>
    <w:p>
      <w:pPr>
        <w:pStyle w:val="Heading2"/>
      </w:pPr>
      <w:bookmarkStart w:id="200" w:name="_Toc138691560"/>
      <w:bookmarkStart w:id="201" w:name="_Toc138751123"/>
      <w:r>
        <w:rPr>
          <w:rStyle w:val="CharPartNo"/>
        </w:rPr>
        <w:lastRenderedPageBreak/>
        <w:t>Part V</w:t>
      </w:r>
      <w:r>
        <w:rPr>
          <w:rStyle w:val="CharDivNo"/>
        </w:rPr>
        <w:t> </w:t>
      </w:r>
      <w:r>
        <w:t>—</w:t>
      </w:r>
      <w:r>
        <w:rPr>
          <w:rStyle w:val="CharDivText"/>
        </w:rPr>
        <w:t> </w:t>
      </w:r>
      <w:r>
        <w:rPr>
          <w:rStyle w:val="CharPartText"/>
        </w:rPr>
        <w:t>Location, seizure, detention and disposal of things used in commission of offences</w:t>
      </w:r>
      <w:bookmarkEnd w:id="119"/>
      <w:bookmarkEnd w:id="200"/>
      <w:bookmarkEnd w:id="201"/>
    </w:p>
    <w:p>
      <w:pPr>
        <w:pStyle w:val="Heading5"/>
        <w:rPr>
          <w:snapToGrid w:val="0"/>
        </w:rPr>
      </w:pPr>
      <w:bookmarkStart w:id="202" w:name="_Toc138751124"/>
      <w:r>
        <w:rPr>
          <w:rStyle w:val="CharSectno"/>
        </w:rPr>
        <w:t>21</w:t>
      </w:r>
      <w:r>
        <w:rPr>
          <w:snapToGrid w:val="0"/>
        </w:rPr>
        <w:t>.</w:t>
      </w:r>
      <w:r>
        <w:rPr>
          <w:snapToGrid w:val="0"/>
        </w:rPr>
        <w:tab/>
        <w:t>Terms used</w:t>
      </w:r>
      <w:bookmarkEnd w:id="202"/>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Footnotesection"/>
      </w:pPr>
      <w:r>
        <w:tab/>
        <w:t>[Section 21 amended: No. 44 of 2010 s. 5; No. 47 of 2016 s. 6.]</w:t>
      </w:r>
    </w:p>
    <w:p>
      <w:pPr>
        <w:pStyle w:val="Heading5"/>
        <w:rPr>
          <w:snapToGrid w:val="0"/>
        </w:rPr>
      </w:pPr>
      <w:bookmarkStart w:id="203" w:name="_Toc138751125"/>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203"/>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pageBreakBefore/>
        <w:spacing w:before="0"/>
        <w:rPr>
          <w:snapToGrid w:val="0"/>
        </w:rPr>
      </w:pPr>
      <w:bookmarkStart w:id="204" w:name="_Toc138751126"/>
      <w:r>
        <w:rPr>
          <w:rStyle w:val="CharSectno"/>
        </w:rPr>
        <w:lastRenderedPageBreak/>
        <w:t>23</w:t>
      </w:r>
      <w:r>
        <w:rPr>
          <w:snapToGrid w:val="0"/>
        </w:rPr>
        <w:t>.</w:t>
      </w:r>
      <w:r>
        <w:rPr>
          <w:snapToGrid w:val="0"/>
        </w:rPr>
        <w:tab/>
        <w:t>Powers of police officers when things suspected of being used in commission of offences</w:t>
      </w:r>
      <w:bookmarkEnd w:id="204"/>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 xml:space="preserve">is in the possession of a person, a police officer may, using such force as is reasonably necessary and with such assistance as </w:t>
      </w:r>
      <w:r>
        <w:t>the officer</w:t>
      </w:r>
      <w:r>
        <w:rPr>
          <w:snapToGrid w:val="0"/>
        </w:rPr>
        <w:t xml:space="preserve"> considers necessary, stop and detain the person and search </w:t>
      </w:r>
      <w:r>
        <w:t>the person</w:t>
      </w:r>
      <w:r>
        <w:rPr>
          <w:snapToGrid w:val="0"/>
        </w:rPr>
        <w:t xml:space="preserve"> together with any baggage, package, vehicle or other thing of any kind whatsoever found in </w:t>
      </w:r>
      <w:r>
        <w:t>the person’s</w:t>
      </w:r>
      <w:r>
        <w:rPr>
          <w:snapToGrid w:val="0"/>
        </w:rPr>
        <w:t xml:space="preserve"> possession, and for that purpose may stop and detain any vehicle.</w:t>
      </w:r>
    </w:p>
    <w:p>
      <w:pPr>
        <w:pStyle w:val="Subsection"/>
      </w:pPr>
      <w:r>
        <w:tab/>
        <w:t>(1A)</w:t>
      </w:r>
      <w:r>
        <w:tab/>
        <w:t xml:space="preserve">In relation to a search of a person under subsection (1) conducted by a police officer exercising the powers conferred by section 20T or 20U — </w:t>
      </w:r>
    </w:p>
    <w:p>
      <w:pPr>
        <w:pStyle w:val="Indenta"/>
      </w:pPr>
      <w:r>
        <w:tab/>
        <w:t>(a)</w:t>
      </w:r>
      <w:r>
        <w:tab/>
        <w:t>subsections (2), (3) and (4) do not apply; and</w:t>
      </w:r>
    </w:p>
    <w:p>
      <w:pPr>
        <w:pStyle w:val="Indenta"/>
      </w:pPr>
      <w:r>
        <w:tab/>
        <w:t>(b)</w:t>
      </w:r>
      <w:r>
        <w:tab/>
        <w:t xml:space="preserve">the </w:t>
      </w:r>
      <w:r>
        <w:rPr>
          <w:i/>
        </w:rPr>
        <w:t>Criminal Investigation Act 2006</w:t>
      </w:r>
      <w:r>
        <w:t xml:space="preserve"> sections 70(2) and (3) and 71(2) apply as if the police officer were authorised under that Act to conduct a basic search of the person.</w:t>
      </w:r>
    </w:p>
    <w:p>
      <w:pPr>
        <w:pStyle w:val="Subsection"/>
      </w:pPr>
      <w:r>
        <w:tab/>
        <w:t>(1B)</w:t>
      </w:r>
      <w:r>
        <w:tab/>
        <w:t xml:space="preserve">Nothing in subsection (1A)(b) limits the operation of the </w:t>
      </w:r>
      <w:r>
        <w:rPr>
          <w:i/>
        </w:rPr>
        <w:t>Criminal Investigation Act 2006</w:t>
      </w:r>
      <w:r>
        <w:t xml:space="preserve"> Part 8 Division 3.</w:t>
      </w:r>
    </w:p>
    <w:p>
      <w:pPr>
        <w:pStyle w:val="Subsection"/>
        <w:rPr>
          <w:snapToGrid w:val="0"/>
        </w:rPr>
      </w:pPr>
      <w:r>
        <w:rPr>
          <w:snapToGrid w:val="0"/>
        </w:rPr>
        <w:tab/>
        <w:t>(2)</w:t>
      </w:r>
      <w:r>
        <w:rPr>
          <w:snapToGrid w:val="0"/>
        </w:rPr>
        <w:tab/>
        <w:t xml:space="preserve">A person </w:t>
      </w:r>
      <w:r>
        <w:t>must</w:t>
      </w:r>
      <w:r>
        <w:rPr>
          <w:snapToGrid w:val="0"/>
        </w:rPr>
        <w:t xml:space="preserve">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lastRenderedPageBreak/>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 xml:space="preserve">A person </w:t>
      </w:r>
      <w:r>
        <w:t>must</w:t>
      </w:r>
      <w:r>
        <w:rPr>
          <w:snapToGrid w:val="0"/>
        </w:rPr>
        <w:t xml:space="preserve"> not be detained, or detained and conveyed, under subsection (3) for longer than is reasonably necessary under the circumstances for the purpose of complying with subsection (2) in relation to the person.</w:t>
      </w:r>
    </w:p>
    <w:p>
      <w:pPr>
        <w:pStyle w:val="Footnotesection"/>
      </w:pPr>
      <w:r>
        <w:tab/>
        <w:t>[Section 23 amended: No. 16 of 2023 s. 7.]</w:t>
      </w:r>
    </w:p>
    <w:p>
      <w:pPr>
        <w:pStyle w:val="Heading5"/>
        <w:rPr>
          <w:snapToGrid w:val="0"/>
        </w:rPr>
      </w:pPr>
      <w:bookmarkStart w:id="205" w:name="_Toc138751127"/>
      <w:r>
        <w:rPr>
          <w:rStyle w:val="CharSectno"/>
        </w:rPr>
        <w:t>24</w:t>
      </w:r>
      <w:r>
        <w:rPr>
          <w:snapToGrid w:val="0"/>
        </w:rPr>
        <w:t>.</w:t>
      </w:r>
      <w:r>
        <w:rPr>
          <w:snapToGrid w:val="0"/>
        </w:rPr>
        <w:tab/>
        <w:t>Granting of search warrants in connection with prevention or detection of offences</w:t>
      </w:r>
      <w:bookmarkEnd w:id="205"/>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lastRenderedPageBreak/>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No. 50 of 1990 s. 7.]</w:t>
      </w:r>
    </w:p>
    <w:p>
      <w:pPr>
        <w:pStyle w:val="Heading5"/>
        <w:rPr>
          <w:snapToGrid w:val="0"/>
        </w:rPr>
      </w:pPr>
      <w:bookmarkStart w:id="206" w:name="_Toc138751128"/>
      <w:r>
        <w:rPr>
          <w:rStyle w:val="CharSectno"/>
        </w:rPr>
        <w:t>25</w:t>
      </w:r>
      <w:r>
        <w:rPr>
          <w:snapToGrid w:val="0"/>
        </w:rPr>
        <w:t>.</w:t>
      </w:r>
      <w:r>
        <w:rPr>
          <w:snapToGrid w:val="0"/>
        </w:rPr>
        <w:tab/>
        <w:t>Powers ancillary to power of search</w:t>
      </w:r>
      <w:bookmarkEnd w:id="206"/>
    </w:p>
    <w:p>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lastRenderedPageBreak/>
        <w:tab/>
      </w:r>
      <w:r>
        <w:rPr>
          <w:snapToGrid w:val="0"/>
        </w:rPr>
        <w:tab/>
        <w:t>commits a simple offence.</w:t>
      </w:r>
    </w:p>
    <w:p>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rPr>
          <w:snapToGrid w:val="0"/>
        </w:rPr>
      </w:pPr>
      <w:bookmarkStart w:id="207" w:name="_Toc138751129"/>
      <w:r>
        <w:rPr>
          <w:rStyle w:val="CharSectno"/>
        </w:rPr>
        <w:t>26</w:t>
      </w:r>
      <w:r>
        <w:rPr>
          <w:snapToGrid w:val="0"/>
        </w:rPr>
        <w:t>.</w:t>
      </w:r>
      <w:r>
        <w:rPr>
          <w:snapToGrid w:val="0"/>
        </w:rPr>
        <w:tab/>
        <w:t>Powers of police officers and others when things suspected of being used in commission of offences found, received or acquired</w:t>
      </w:r>
      <w:bookmarkEnd w:id="207"/>
    </w:p>
    <w:p>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 xml:space="preserve">Criminal and Found </w:t>
      </w:r>
      <w:r>
        <w:rPr>
          <w:i/>
        </w:rPr>
        <w:lastRenderedPageBreak/>
        <w:t>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pPr>
      <w:r>
        <w:tab/>
        <w:t>(a)</w:t>
      </w:r>
      <w:r>
        <w:tab/>
        <w:t xml:space="preserve">while he or she is an undercover officer acting in the course of an undercover operation, </w:t>
      </w:r>
      <w:r>
        <w:rPr>
          <w:snapToGrid w:val="0"/>
        </w:rPr>
        <w:t>acquires a prohibited drug or prohibited plant; or</w:t>
      </w:r>
    </w:p>
    <w:p>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Footnotesection"/>
        <w:ind w:left="890" w:hanging="890"/>
      </w:pPr>
      <w:r>
        <w:tab/>
        <w:t>[Section 26 amended: No. 50 of 1990 s. 7; No. 44 of 1995 s. 6; No. 44 of 2010 s. 6; No. 55 of 2012 s. 119.]</w:t>
      </w:r>
    </w:p>
    <w:p>
      <w:pPr>
        <w:pStyle w:val="Heading5"/>
        <w:spacing w:before="240"/>
        <w:rPr>
          <w:snapToGrid w:val="0"/>
        </w:rPr>
      </w:pPr>
      <w:bookmarkStart w:id="208" w:name="_Toc138751130"/>
      <w:r>
        <w:rPr>
          <w:rStyle w:val="CharSectno"/>
        </w:rPr>
        <w:t>26A</w:t>
      </w:r>
      <w:r>
        <w:rPr>
          <w:snapToGrid w:val="0"/>
        </w:rPr>
        <w:t>.</w:t>
      </w:r>
      <w:r>
        <w:rPr>
          <w:snapToGrid w:val="0"/>
        </w:rPr>
        <w:tab/>
        <w:t>Powers of approved analyst or approved botanist</w:t>
      </w:r>
      <w:bookmarkEnd w:id="208"/>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No. 44 of 1995 s. 7.] </w:t>
      </w:r>
    </w:p>
    <w:p>
      <w:pPr>
        <w:pStyle w:val="Heading5"/>
        <w:rPr>
          <w:snapToGrid w:val="0"/>
        </w:rPr>
      </w:pPr>
      <w:bookmarkStart w:id="209" w:name="_Toc138751131"/>
      <w:r>
        <w:rPr>
          <w:rStyle w:val="CharSectno"/>
        </w:rPr>
        <w:t>27</w:t>
      </w:r>
      <w:r>
        <w:rPr>
          <w:snapToGrid w:val="0"/>
        </w:rPr>
        <w:t>.</w:t>
      </w:r>
      <w:r>
        <w:rPr>
          <w:snapToGrid w:val="0"/>
        </w:rPr>
        <w:tab/>
        <w:t>Disposal of prohibited drugs and prohibited plants</w:t>
      </w:r>
      <w:bookmarkEnd w:id="209"/>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lastRenderedPageBreak/>
        <w:tab/>
        <w:t>(ii)</w:t>
      </w:r>
      <w:r>
        <w:rPr>
          <w:snapToGrid w:val="0"/>
        </w:rPr>
        <w:tab/>
        <w:t xml:space="preserve">if a person who is authorised by or under this </w:t>
      </w:r>
      <w:r>
        <w:t xml:space="preserve">Act, the </w:t>
      </w:r>
      <w:r>
        <w:rPr>
          <w:i/>
        </w:rPr>
        <w:t>Medicines and Poisons Act 2014</w:t>
      </w:r>
      <w:r>
        <w:t xml:space="preserve"> or the </w:t>
      </w:r>
      <w:r>
        <w:rPr>
          <w:i/>
        </w:rPr>
        <w:t>Voluntary Assisted Dying Act 2019</w:t>
      </w:r>
      <w:r>
        <w:t xml:space="preserve"> </w:t>
      </w:r>
      <w:r>
        <w:rPr>
          <w:snapToGrid w:val="0"/>
        </w:rPr>
        <w:t>to have possession thereof is entitled to have possession of that relevant thing, release that relevant thing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w:t>
      </w:r>
      <w:r>
        <w:t xml:space="preserve">Act, the </w:t>
      </w:r>
      <w:r>
        <w:rPr>
          <w:i/>
        </w:rPr>
        <w:t>Medicines and Poisons Act 2014</w:t>
      </w:r>
      <w:r>
        <w:t xml:space="preserve"> or the </w:t>
      </w:r>
      <w:r>
        <w:rPr>
          <w:i/>
        </w:rPr>
        <w:t>Voluntary Assisted Dying Act 2019</w:t>
      </w:r>
      <w:r>
        <w:t xml:space="preserve"> </w:t>
      </w:r>
      <w:r>
        <w:rPr>
          <w:snapToGrid w:val="0"/>
        </w:rPr>
        <w:t xml:space="preserve">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lastRenderedPageBreak/>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pPr>
      <w:r>
        <w:tab/>
        <w:t>(i)</w:t>
      </w:r>
      <w:r>
        <w:tab/>
        <w:t>analysis or examination by an approved analyst or an approved botanist; and</w:t>
      </w:r>
    </w:p>
    <w:p>
      <w:pPr>
        <w:pStyle w:val="Defsubpara"/>
      </w:pPr>
      <w:r>
        <w:tab/>
        <w:t>(ii)</w:t>
      </w:r>
      <w:r>
        <w:tab/>
        <w:t>any further analysis or examination that might be required under section 27A.</w:t>
      </w:r>
    </w:p>
    <w:p>
      <w:pPr>
        <w:pStyle w:val="Footnotesection"/>
        <w:ind w:left="890" w:hanging="890"/>
      </w:pPr>
      <w:r>
        <w:tab/>
        <w:t>[Section 27 amended: No. 44 of 1995 s. 8; No. 44 of 2010 s. 7; No. 13 of 2014 s. 175; No. 27 of 2019 s. 186.]</w:t>
      </w:r>
    </w:p>
    <w:p>
      <w:pPr>
        <w:pStyle w:val="Heading5"/>
        <w:rPr>
          <w:snapToGrid w:val="0"/>
        </w:rPr>
      </w:pPr>
      <w:bookmarkStart w:id="210" w:name="_Toc138751132"/>
      <w:r>
        <w:rPr>
          <w:rStyle w:val="CharSectno"/>
        </w:rPr>
        <w:lastRenderedPageBreak/>
        <w:t>27A</w:t>
      </w:r>
      <w:r>
        <w:rPr>
          <w:snapToGrid w:val="0"/>
        </w:rPr>
        <w:t xml:space="preserve">. </w:t>
      </w:r>
      <w:r>
        <w:rPr>
          <w:snapToGrid w:val="0"/>
        </w:rPr>
        <w:tab/>
        <w:t>Analysis at request of accused</w:t>
      </w:r>
      <w:bookmarkEnd w:id="210"/>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No. 44 of 1995 s. 9.]</w:t>
      </w:r>
    </w:p>
    <w:p>
      <w:pPr>
        <w:pStyle w:val="Heading5"/>
        <w:rPr>
          <w:snapToGrid w:val="0"/>
        </w:rPr>
      </w:pPr>
      <w:bookmarkStart w:id="211" w:name="_Toc138751133"/>
      <w:r>
        <w:rPr>
          <w:rStyle w:val="CharSectno"/>
        </w:rPr>
        <w:t>27B</w:t>
      </w:r>
      <w:r>
        <w:rPr>
          <w:snapToGrid w:val="0"/>
        </w:rPr>
        <w:t>.</w:t>
      </w:r>
      <w:r>
        <w:rPr>
          <w:snapToGrid w:val="0"/>
        </w:rPr>
        <w:tab/>
        <w:t>Confidentiality</w:t>
      </w:r>
      <w:bookmarkEnd w:id="211"/>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lastRenderedPageBreak/>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No. 44 of 1995 s. 9.]</w:t>
      </w:r>
    </w:p>
    <w:p>
      <w:pPr>
        <w:pStyle w:val="Heading5"/>
        <w:spacing w:before="240"/>
      </w:pPr>
      <w:bookmarkStart w:id="212" w:name="_Toc138751134"/>
      <w:r>
        <w:rPr>
          <w:rStyle w:val="CharSectno"/>
        </w:rPr>
        <w:t>28</w:t>
      </w:r>
      <w:r>
        <w:t>.</w:t>
      </w:r>
      <w:r>
        <w:tab/>
        <w:t>Compensation for destroyed seized property</w:t>
      </w:r>
      <w:bookmarkEnd w:id="212"/>
    </w:p>
    <w:p>
      <w:pPr>
        <w:pStyle w:val="Subsection"/>
        <w:keepNext/>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lastRenderedPageBreak/>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No. 44 of 2010 s. 8.]</w:t>
      </w:r>
    </w:p>
    <w:p>
      <w:pPr>
        <w:pStyle w:val="Heading5"/>
        <w:rPr>
          <w:snapToGrid w:val="0"/>
        </w:rPr>
      </w:pPr>
      <w:bookmarkStart w:id="213" w:name="_Toc138751135"/>
      <w:r>
        <w:rPr>
          <w:rStyle w:val="CharSectno"/>
        </w:rPr>
        <w:t>29</w:t>
      </w:r>
      <w:r>
        <w:rPr>
          <w:snapToGrid w:val="0"/>
        </w:rPr>
        <w:t>.</w:t>
      </w:r>
      <w:r>
        <w:rPr>
          <w:snapToGrid w:val="0"/>
        </w:rPr>
        <w:tab/>
        <w:t>Hindering police officers and approved persons in exercise of powers conferred by or under this Part</w:t>
      </w:r>
      <w:bookmarkEnd w:id="213"/>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No. 50 of 1990 s. 7.]</w:t>
      </w:r>
    </w:p>
    <w:p>
      <w:pPr>
        <w:pStyle w:val="Heading5"/>
        <w:keepLines w:val="0"/>
        <w:rPr>
          <w:snapToGrid w:val="0"/>
        </w:rPr>
      </w:pPr>
      <w:bookmarkStart w:id="214" w:name="_Toc138751136"/>
      <w:r>
        <w:rPr>
          <w:rStyle w:val="CharSectno"/>
        </w:rPr>
        <w:lastRenderedPageBreak/>
        <w:t>30</w:t>
      </w:r>
      <w:r>
        <w:rPr>
          <w:snapToGrid w:val="0"/>
        </w:rPr>
        <w:t>.</w:t>
      </w:r>
      <w:r>
        <w:rPr>
          <w:snapToGrid w:val="0"/>
        </w:rPr>
        <w:tab/>
        <w:t>Approved persons</w:t>
      </w:r>
      <w:bookmarkEnd w:id="214"/>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215" w:name="_Toc138689176"/>
      <w:bookmarkStart w:id="216" w:name="_Toc138691574"/>
      <w:bookmarkStart w:id="217" w:name="_Toc138751137"/>
      <w:r>
        <w:rPr>
          <w:rStyle w:val="CharPartNo"/>
        </w:rPr>
        <w:lastRenderedPageBreak/>
        <w:t>Part VI</w:t>
      </w:r>
      <w:r>
        <w:rPr>
          <w:rStyle w:val="CharDivNo"/>
        </w:rPr>
        <w:t> </w:t>
      </w:r>
      <w:r>
        <w:t>—</w:t>
      </w:r>
      <w:r>
        <w:rPr>
          <w:rStyle w:val="CharDivText"/>
        </w:rPr>
        <w:t> </w:t>
      </w:r>
      <w:r>
        <w:rPr>
          <w:rStyle w:val="CharPartText"/>
        </w:rPr>
        <w:t>General</w:t>
      </w:r>
      <w:bookmarkEnd w:id="215"/>
      <w:bookmarkEnd w:id="216"/>
      <w:bookmarkEnd w:id="217"/>
    </w:p>
    <w:p>
      <w:pPr>
        <w:pStyle w:val="Heading5"/>
      </w:pPr>
      <w:bookmarkStart w:id="218" w:name="_Toc138751138"/>
      <w:r>
        <w:rPr>
          <w:rStyle w:val="CharSectno"/>
        </w:rPr>
        <w:t>31</w:t>
      </w:r>
      <w:r>
        <w:t>.</w:t>
      </w:r>
      <w:r>
        <w:tab/>
        <w:t>Undercover officers</w:t>
      </w:r>
      <w:bookmarkEnd w:id="218"/>
    </w:p>
    <w:p>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Footnotesection"/>
        <w:ind w:left="890" w:hanging="890"/>
      </w:pPr>
      <w:r>
        <w:tab/>
        <w:t>[Section 31 inserted: No. 55 of 2012 s. 120.]</w:t>
      </w:r>
    </w:p>
    <w:p>
      <w:pPr>
        <w:pStyle w:val="Heading5"/>
        <w:rPr>
          <w:snapToGrid w:val="0"/>
        </w:rPr>
      </w:pPr>
      <w:bookmarkStart w:id="219" w:name="_Toc138751139"/>
      <w:r>
        <w:rPr>
          <w:rStyle w:val="CharSectno"/>
        </w:rPr>
        <w:t>32</w:t>
      </w:r>
      <w:r>
        <w:rPr>
          <w:snapToGrid w:val="0"/>
        </w:rPr>
        <w:t>.</w:t>
      </w:r>
      <w:r>
        <w:rPr>
          <w:snapToGrid w:val="0"/>
        </w:rPr>
        <w:tab/>
        <w:t>No limitation</w:t>
      </w:r>
      <w:bookmarkEnd w:id="219"/>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220" w:name="_Toc138751140"/>
      <w:r>
        <w:rPr>
          <w:rStyle w:val="CharSectno"/>
        </w:rPr>
        <w:t>32A</w:t>
      </w:r>
      <w:r>
        <w:rPr>
          <w:snapToGrid w:val="0"/>
        </w:rPr>
        <w:t>.</w:t>
      </w:r>
      <w:r>
        <w:rPr>
          <w:snapToGrid w:val="0"/>
        </w:rPr>
        <w:tab/>
        <w:t>Drug trafficking</w:t>
      </w:r>
      <w:bookmarkEnd w:id="220"/>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lastRenderedPageBreak/>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w:t>
      </w:r>
      <w:r>
        <w:t xml:space="preserve"> belong;</w:t>
      </w: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w:t>
      </w:r>
      <w:r>
        <w:t xml:space="preserve">or the relevant drug offence referred to in paragraph (c), </w:t>
      </w:r>
      <w:r>
        <w:rPr>
          <w:snapToGrid w:val="0"/>
        </w:rPr>
        <w:t xml:space="preserve">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keepNext/>
      </w:pPr>
      <w:r>
        <w:rPr>
          <w:b/>
        </w:rPr>
        <w:lastRenderedPageBreak/>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or 33(1)(a) or, under section 33(2), conspiring to commit a crime under section 6(1) or 7(1);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Defstart"/>
        <w:keepNext/>
      </w:pPr>
      <w:r>
        <w:rPr>
          <w:b/>
        </w:rPr>
        <w:tab/>
      </w:r>
      <w:r>
        <w:rPr>
          <w:rStyle w:val="CharDefText"/>
        </w:rPr>
        <w:t>serious drug offence</w:t>
      </w:r>
      <w:r>
        <w:t xml:space="preserve"> means a crime under section 6(1), 7(1) or 33(1)(a) or, under section 33(2), conspiring to commit a crime under section 6(1) or 7(1).</w:t>
      </w:r>
    </w:p>
    <w:p>
      <w:pPr>
        <w:pStyle w:val="Footnotesection"/>
      </w:pPr>
      <w:r>
        <w:tab/>
        <w:t>[Section 32A inserted: No. 50 of 1990 s. 4; amended: No. 69 of 2000 s. 5(2) and (3); No. 4 of 2004 s. 58; No. 62 of 2004 s. 7; No. 40 of 2006 s. 4; No. 49 of 2012 s. 179; No. 3 of 2017 s. 5.]</w:t>
      </w:r>
    </w:p>
    <w:p>
      <w:pPr>
        <w:pStyle w:val="Heading5"/>
        <w:spacing w:before="0"/>
        <w:rPr>
          <w:snapToGrid w:val="0"/>
        </w:rPr>
      </w:pPr>
      <w:bookmarkStart w:id="221" w:name="_Toc138751141"/>
      <w:r>
        <w:rPr>
          <w:rStyle w:val="CharSectno"/>
        </w:rPr>
        <w:lastRenderedPageBreak/>
        <w:t>33</w:t>
      </w:r>
      <w:r>
        <w:rPr>
          <w:snapToGrid w:val="0"/>
        </w:rPr>
        <w:t>.</w:t>
      </w:r>
      <w:r>
        <w:rPr>
          <w:snapToGrid w:val="0"/>
        </w:rPr>
        <w:tab/>
        <w:t>Attempts, conspiracies, incitements and accessories after the fact</w:t>
      </w:r>
      <w:bookmarkEnd w:id="221"/>
    </w:p>
    <w:p>
      <w:pPr>
        <w:pStyle w:val="Subsection"/>
        <w:keepNext/>
      </w:pPr>
      <w:r>
        <w:tab/>
        <w:t>(1)</w:t>
      </w:r>
      <w:r>
        <w:tab/>
        <w:t xml:space="preserve">A person who attempts to commit an offence under this Act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pPr>
      <w:r>
        <w:tab/>
        <w:t>(2)</w:t>
      </w:r>
      <w:r>
        <w:tab/>
        <w:t xml:space="preserve">A person who conspires with another to commit an offence under this Act (the </w:t>
      </w:r>
      <w:r>
        <w:rPr>
          <w:rStyle w:val="CharDefText"/>
        </w:rPr>
        <w:t>principal offence</w:t>
      </w:r>
      <w:r>
        <w:t>) commits — </w:t>
      </w:r>
    </w:p>
    <w:p>
      <w:pPr>
        <w:pStyle w:val="Indenta"/>
      </w:pPr>
      <w:r>
        <w:tab/>
        <w:t>(a)</w:t>
      </w:r>
      <w:r>
        <w:tab/>
        <w:t>if the principal offence is a crime under section 6(1) that does not involve methylamphetamine, the crime, but is liable on conviction to the penalty referred to in section 34(1)(b); or</w:t>
      </w:r>
    </w:p>
    <w:p>
      <w:pPr>
        <w:pStyle w:val="Indenta"/>
      </w:pPr>
      <w:r>
        <w:tab/>
        <w:t>(b)</w:t>
      </w:r>
      <w:r>
        <w:tab/>
        <w:t>if the principal offence is a crime under section 7(1), the crime, but is liable on conviction to the penalty referred to in section 34(1)(ba); or</w:t>
      </w:r>
    </w:p>
    <w:p>
      <w:pPr>
        <w:pStyle w:val="Indenta"/>
      </w:pPr>
      <w:r>
        <w:tab/>
        <w:t>(c)</w:t>
      </w:r>
      <w:r>
        <w:tab/>
        <w:t>if the principal offence is a simple offence or a crime other than a crime referred to in paragraph (a) or (b), the simple offence or the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under this Act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Next/>
        <w:keepLines/>
      </w:pPr>
      <w:r>
        <w:lastRenderedPageBreak/>
        <w:tab/>
      </w:r>
      <w:r>
        <w:tab/>
        <w:t xml:space="preserve">but is liable on conviction — </w:t>
      </w:r>
    </w:p>
    <w:p>
      <w:pPr>
        <w:pStyle w:val="Indenta"/>
      </w:pPr>
      <w:r>
        <w:tab/>
        <w:t>(c)</w:t>
      </w:r>
      <w:r>
        <w:tab/>
        <w:t>to a fine not exceeding half of the fine to which a person who commits the principal offence is liable; and</w:t>
      </w:r>
    </w:p>
    <w:p>
      <w:pPr>
        <w:pStyle w:val="Indenta"/>
      </w:pPr>
      <w:r>
        <w:tab/>
        <w:t>(d)</w:t>
      </w:r>
      <w:r>
        <w:tab/>
        <w:t xml:space="preserve">to imprisonment for a term not exceeding — </w:t>
      </w:r>
    </w:p>
    <w:p>
      <w:pPr>
        <w:pStyle w:val="Indenti"/>
      </w:pPr>
      <w:r>
        <w:tab/>
        <w:t>(i)</w:t>
      </w:r>
      <w:r>
        <w:tab/>
        <w:t>14 years, in a case where the person who commits the principal offence is liable to imprisonment for life; and</w:t>
      </w:r>
    </w:p>
    <w:p>
      <w:pPr>
        <w:pStyle w:val="Indenti"/>
      </w:pPr>
      <w:r>
        <w:tab/>
        <w:t>(ii)</w:t>
      </w:r>
      <w:r>
        <w:tab/>
        <w:t>half of the term to which a person who commits the principal offence is liable, in any other case.</w:t>
      </w:r>
    </w:p>
    <w:p>
      <w:pPr>
        <w:pStyle w:val="Footnotesection"/>
        <w:ind w:left="890" w:hanging="890"/>
      </w:pPr>
      <w:r>
        <w:tab/>
        <w:t>[Section 33 amended: No. 4 of 2004 s. 58; No. 62 of 2004 s. 8; No. 3 of 2017 s. 6.]</w:t>
      </w:r>
    </w:p>
    <w:p>
      <w:pPr>
        <w:pStyle w:val="Heading5"/>
        <w:keepNext w:val="0"/>
        <w:keepLines w:val="0"/>
        <w:rPr>
          <w:snapToGrid w:val="0"/>
        </w:rPr>
      </w:pPr>
      <w:bookmarkStart w:id="222" w:name="_Toc138751142"/>
      <w:r>
        <w:rPr>
          <w:rStyle w:val="CharSectno"/>
        </w:rPr>
        <w:t>34</w:t>
      </w:r>
      <w:r>
        <w:rPr>
          <w:snapToGrid w:val="0"/>
        </w:rPr>
        <w:t>.</w:t>
      </w:r>
      <w:r>
        <w:rPr>
          <w:snapToGrid w:val="0"/>
        </w:rPr>
        <w:tab/>
        <w:t>Penalties</w:t>
      </w:r>
      <w:bookmarkEnd w:id="222"/>
    </w:p>
    <w:p>
      <w:pPr>
        <w:pStyle w:val="Subsection"/>
        <w:spacing w:before="100"/>
      </w:pPr>
      <w:r>
        <w:tab/>
        <w:t>(1A)</w:t>
      </w:r>
      <w:r>
        <w:tab/>
        <w:t xml:space="preserve">In this section — </w:t>
      </w:r>
    </w:p>
    <w:p>
      <w:pPr>
        <w:pStyle w:val="Defstart"/>
      </w:pPr>
      <w:r>
        <w:tab/>
      </w:r>
      <w:r>
        <w:rPr>
          <w:rStyle w:val="CharDefText"/>
        </w:rPr>
        <w:t>trafficable quantity of methylamphetamine</w:t>
      </w:r>
      <w:r>
        <w:t xml:space="preserve"> means a quantity of methylamphetamine not less than that specified in Schedule VII item 8.</w:t>
      </w:r>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pPr>
      <w:r>
        <w:tab/>
        <w:t>(a)</w:t>
      </w:r>
      <w:r>
        <w:tab/>
        <w:t>a crime under section 6(1) that involves a trafficable quantity of methylamphetamine is liable to imprisonment for life; or</w:t>
      </w:r>
    </w:p>
    <w:p>
      <w:pPr>
        <w:pStyle w:val="Indenta"/>
      </w:pPr>
      <w:r>
        <w:tab/>
        <w:t>(aa)</w:t>
      </w:r>
      <w:r>
        <w:tab/>
        <w:t>any other crime under section 6(1) is liable to a fine not exceeding $100 000 or to imprisonment for a term not exceeding 25 years or both; or</w:t>
      </w:r>
    </w:p>
    <w:p>
      <w:pPr>
        <w:pStyle w:val="Indenta"/>
      </w:pPr>
      <w:r>
        <w:tab/>
        <w:t>(ab)</w:t>
      </w:r>
      <w:r>
        <w:tab/>
        <w:t>a crime under section 7(1) is liable to a fine not exceeding $100 000 or to imprisonment for a term not exceeding 25 years or both; or</w:t>
      </w:r>
    </w:p>
    <w:p>
      <w:pPr>
        <w:pStyle w:val="Indenta"/>
      </w:pPr>
      <w:r>
        <w:tab/>
        <w:t>(b)</w:t>
      </w:r>
      <w:r>
        <w:tab/>
        <w:t>conspiring with another to commit a crime under section 6(1) that does not involve methylamphetamine is liable to a fine not exceeding $75 000 or to imprisonment for a term not exceeding 20 years or both; or</w:t>
      </w:r>
    </w:p>
    <w:p>
      <w:pPr>
        <w:pStyle w:val="Indenta"/>
      </w:pPr>
      <w:r>
        <w:lastRenderedPageBreak/>
        <w:tab/>
        <w:t>(ba)</w:t>
      </w:r>
      <w:r>
        <w:tab/>
        <w:t>conspiring with another to commit a crime under section 7(1) is liable to a fine not exceeding $75 000 or to imprisonment for a term not exceeding 20 years or both; or</w:t>
      </w:r>
    </w:p>
    <w:p>
      <w:pPr>
        <w:pStyle w:val="Indenta"/>
        <w:keepNext/>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a simple offence under section 5(1) (other than a simple offence under section 5(1)(e)), 8, </w:t>
      </w:r>
      <w:r>
        <w:t xml:space="preserve">20J, 20W, </w:t>
      </w:r>
      <w:r>
        <w:rPr>
          <w:snapToGrid w:val="0"/>
        </w:rPr>
        <w:t>25(2) or 29 is liable to a fine not exceeding $3 000 or to imprisonment for a term not exceeding 3 years or both; or</w:t>
      </w:r>
    </w:p>
    <w:p>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spacing w:before="100"/>
        <w:rPr>
          <w:snapToGrid w:val="0"/>
        </w:rPr>
      </w:pPr>
      <w:r>
        <w:rPr>
          <w:snapToGrid w:val="0"/>
        </w:rPr>
        <w:tab/>
        <w:t>(2)</w:t>
      </w:r>
      <w:r>
        <w:rPr>
          <w:snapToGrid w:val="0"/>
        </w:rPr>
        <w:tab/>
        <w:t xml:space="preserve">A person who is convicted of a crime </w:t>
      </w:r>
      <w:r>
        <w:t>under section 6(1) or 7(1)</w:t>
      </w:r>
      <w:r>
        <w:rPr>
          <w:snapToGrid w:val="0"/>
        </w:rPr>
        <w:t> — </w:t>
      </w:r>
    </w:p>
    <w:p>
      <w:pPr>
        <w:pStyle w:val="Indenta"/>
        <w:spacing w:before="70"/>
        <w:rPr>
          <w:snapToGrid w:val="0"/>
        </w:rPr>
      </w:pPr>
      <w:r>
        <w:rPr>
          <w:snapToGrid w:val="0"/>
        </w:rPr>
        <w:tab/>
        <w:t>(a)</w:t>
      </w:r>
      <w:r>
        <w:rPr>
          <w:snapToGrid w:val="0"/>
        </w:rPr>
        <w:tab/>
        <w:t>being a crime — </w:t>
      </w:r>
    </w:p>
    <w:p>
      <w:pPr>
        <w:pStyle w:val="Indenti"/>
        <w:spacing w:before="70"/>
        <w:rPr>
          <w:snapToGrid w:val="0"/>
        </w:rPr>
      </w:pPr>
      <w:r>
        <w:rPr>
          <w:snapToGrid w:val="0"/>
        </w:rPr>
        <w:tab/>
        <w:t>(i)</w:t>
      </w:r>
      <w:r>
        <w:rPr>
          <w:snapToGrid w:val="0"/>
        </w:rPr>
        <w:tab/>
        <w:t>relating only to cannabis; and</w:t>
      </w:r>
    </w:p>
    <w:p>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spacing w:before="70"/>
        <w:rPr>
          <w:snapToGrid w:val="0"/>
        </w:rPr>
      </w:pPr>
      <w:r>
        <w:rPr>
          <w:snapToGrid w:val="0"/>
        </w:rPr>
        <w:lastRenderedPageBreak/>
        <w:tab/>
      </w:r>
      <w:r>
        <w:rPr>
          <w:snapToGrid w:val="0"/>
        </w:rPr>
        <w:tab/>
        <w:t>is liable, if sentenced by the District Court or the Supreme Court, to a fine not exceeding $20 000 or to imprisonment for a term not exceeding 10 years or both; or</w:t>
      </w:r>
    </w:p>
    <w:p>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under section 6(1) or 7(1)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spacing w:before="70"/>
      </w:pPr>
      <w:r>
        <w:tab/>
        <w:t>(a)</w:t>
      </w:r>
      <w:r>
        <w:tab/>
        <w:t>for a first offence the court must use one of only these sentencing options —</w:t>
      </w:r>
    </w:p>
    <w:p>
      <w:pPr>
        <w:pStyle w:val="Indenti"/>
        <w:spacing w:before="70"/>
      </w:pPr>
      <w:r>
        <w:tab/>
        <w:t>(i)</w:t>
      </w:r>
      <w:r>
        <w:tab/>
        <w:t xml:space="preserve">suspended imprisonment imposed under the </w:t>
      </w:r>
      <w:r>
        <w:rPr>
          <w:i/>
        </w:rPr>
        <w:t>Sentencing Act 1995</w:t>
      </w:r>
      <w:r>
        <w:t xml:space="preserve"> section 39 and Part 11;</w:t>
      </w:r>
    </w:p>
    <w:p>
      <w:pPr>
        <w:pStyle w:val="Indenti"/>
        <w:spacing w:before="70"/>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keepNext/>
      </w:pPr>
      <w:r>
        <w:lastRenderedPageBreak/>
        <w:tab/>
        <w:t>(c)</w:t>
      </w:r>
      <w:r>
        <w:tab/>
        <w:t>an offence under section 14(1),</w:t>
      </w:r>
    </w:p>
    <w:p>
      <w:pPr>
        <w:pStyle w:val="Subsection"/>
        <w:keepNext/>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spacing w:before="100"/>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spacing w:before="100"/>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spacing w:before="100"/>
      </w:pPr>
      <w:r>
        <w:lastRenderedPageBreak/>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spacing w:before="100"/>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No. 44 of 1995 s. 12; No. 52 of 2003 s. 31; No. 4 of 2004 s. 58; No. 62 of 2004 s. 6; No. 56 of 2011 s. 9; No. 55 of 2012 s. 121; No. 47 of 2016 s. 7; No. 3 of 2017 s. 7; No. 16 of 2023 s. 8.]</w:t>
      </w:r>
    </w:p>
    <w:p>
      <w:pPr>
        <w:pStyle w:val="Heading5"/>
      </w:pPr>
      <w:bookmarkStart w:id="223" w:name="_Toc138751143"/>
      <w:r>
        <w:rPr>
          <w:rStyle w:val="CharSectno"/>
        </w:rPr>
        <w:t>35</w:t>
      </w:r>
      <w:r>
        <w:t>.</w:t>
      </w:r>
      <w:r>
        <w:tab/>
        <w:t>Liability of officers for offence by body corporate</w:t>
      </w:r>
      <w:bookmarkEnd w:id="223"/>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pPr>
            <w:r>
              <w:t>s. 5(1)</w:t>
            </w:r>
          </w:p>
        </w:tc>
        <w:tc>
          <w:tcPr>
            <w:tcW w:w="2410" w:type="dxa"/>
            <w:noWrap/>
          </w:tcPr>
          <w:p>
            <w:pPr>
              <w:pStyle w:val="TableNAm"/>
            </w:pPr>
            <w:r>
              <w:t>s. 6(1) and (2)</w:t>
            </w:r>
          </w:p>
        </w:tc>
      </w:tr>
      <w:tr>
        <w:trPr>
          <w:cantSplit/>
        </w:trPr>
        <w:tc>
          <w:tcPr>
            <w:tcW w:w="2409" w:type="dxa"/>
            <w:noWrap/>
          </w:tcPr>
          <w:p>
            <w:pPr>
              <w:pStyle w:val="TableNAm"/>
            </w:pPr>
            <w:r>
              <w:t>s. 7(1) and (2)</w:t>
            </w:r>
          </w:p>
        </w:tc>
        <w:tc>
          <w:tcPr>
            <w:tcW w:w="2410" w:type="dxa"/>
            <w:noWrap/>
          </w:tcPr>
          <w:p>
            <w:pPr>
              <w:pStyle w:val="TableNAm"/>
            </w:pPr>
            <w:r>
              <w:t>s. 7A(1) and (3)</w:t>
            </w:r>
          </w:p>
        </w:tc>
      </w:tr>
      <w:tr>
        <w:trPr>
          <w:cantSplit/>
        </w:trPr>
        <w:tc>
          <w:tcPr>
            <w:tcW w:w="2409" w:type="dxa"/>
            <w:noWrap/>
          </w:tcPr>
          <w:p>
            <w:pPr>
              <w:pStyle w:val="TableNAm"/>
            </w:pPr>
            <w:r>
              <w:t>s. 18(1)</w:t>
            </w:r>
          </w:p>
        </w:tc>
        <w:tc>
          <w:tcPr>
            <w:tcW w:w="2410" w:type="dxa"/>
            <w:noWrap/>
          </w:tcPr>
          <w:p>
            <w:pPr>
              <w:pStyle w:val="TableNAm"/>
            </w:pPr>
          </w:p>
        </w:tc>
      </w:tr>
    </w:tbl>
    <w:p>
      <w:pPr>
        <w:pStyle w:val="Footnotesection"/>
      </w:pPr>
      <w:r>
        <w:tab/>
        <w:t>[Section 35 inserted: No. 9 of 2023 s. 108.]</w:t>
      </w:r>
    </w:p>
    <w:p>
      <w:pPr>
        <w:pStyle w:val="Ednotesection"/>
      </w:pPr>
      <w:r>
        <w:t>[</w:t>
      </w:r>
      <w:r>
        <w:rPr>
          <w:b/>
        </w:rPr>
        <w:t>36.</w:t>
      </w:r>
      <w:r>
        <w:tab/>
        <w:t xml:space="preserve">Deleted: No. 92 of 1994 s. 26.] </w:t>
      </w:r>
    </w:p>
    <w:p>
      <w:pPr>
        <w:pStyle w:val="Heading5"/>
        <w:rPr>
          <w:snapToGrid w:val="0"/>
        </w:rPr>
      </w:pPr>
      <w:bookmarkStart w:id="224" w:name="_Toc138751144"/>
      <w:r>
        <w:rPr>
          <w:rStyle w:val="CharSectno"/>
        </w:rPr>
        <w:t>37</w:t>
      </w:r>
      <w:r>
        <w:rPr>
          <w:snapToGrid w:val="0"/>
        </w:rPr>
        <w:t>.</w:t>
      </w:r>
      <w:r>
        <w:rPr>
          <w:snapToGrid w:val="0"/>
        </w:rPr>
        <w:tab/>
        <w:t>Proof of exceptions</w:t>
      </w:r>
      <w:bookmarkEnd w:id="224"/>
    </w:p>
    <w:p>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225" w:name="_Toc138751145"/>
      <w:r>
        <w:rPr>
          <w:rStyle w:val="CharSectno"/>
        </w:rPr>
        <w:lastRenderedPageBreak/>
        <w:t>38</w:t>
      </w:r>
      <w:r>
        <w:rPr>
          <w:snapToGrid w:val="0"/>
        </w:rPr>
        <w:t>.</w:t>
      </w:r>
      <w:r>
        <w:rPr>
          <w:snapToGrid w:val="0"/>
        </w:rPr>
        <w:tab/>
        <w:t>Certificate of approved analyst or approved botanist</w:t>
      </w:r>
      <w:bookmarkEnd w:id="225"/>
      <w:r>
        <w:rPr>
          <w:snapToGrid w:val="0"/>
        </w:rPr>
        <w:t xml:space="preserve"> </w:t>
      </w:r>
    </w:p>
    <w:p>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keepNext/>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spacing w:before="60"/>
        <w:rPr>
          <w:snapToGrid w:val="0"/>
        </w:rPr>
      </w:pPr>
      <w:r>
        <w:rPr>
          <w:snapToGrid w:val="0"/>
        </w:rPr>
        <w:tab/>
        <w:t>(a)</w:t>
      </w:r>
      <w:r>
        <w:rPr>
          <w:snapToGrid w:val="0"/>
        </w:rPr>
        <w:tab/>
        <w:t>that the thing was obtained or received by the analyst or botanist for analysis or examination; and</w:t>
      </w:r>
    </w:p>
    <w:p>
      <w:pPr>
        <w:pStyle w:val="Indenta"/>
        <w:spacing w:before="60"/>
        <w:rPr>
          <w:snapToGrid w:val="0"/>
        </w:rPr>
      </w:pPr>
      <w:r>
        <w:rPr>
          <w:snapToGrid w:val="0"/>
        </w:rPr>
        <w:tab/>
        <w:t>(b)</w:t>
      </w:r>
      <w:r>
        <w:rPr>
          <w:snapToGrid w:val="0"/>
        </w:rPr>
        <w:tab/>
        <w:t>how the thing was obtained, or when and from whom the thing was received; and</w:t>
      </w:r>
    </w:p>
    <w:p>
      <w:pPr>
        <w:pStyle w:val="Indenta"/>
        <w:spacing w:before="60"/>
        <w:rPr>
          <w:snapToGrid w:val="0"/>
        </w:rPr>
      </w:pPr>
      <w:r>
        <w:rPr>
          <w:snapToGrid w:val="0"/>
        </w:rPr>
        <w:tab/>
        <w:t>(c)</w:t>
      </w:r>
      <w:r>
        <w:rPr>
          <w:snapToGrid w:val="0"/>
        </w:rPr>
        <w:tab/>
        <w:t>a description, and the quantity or mass, of the thing obtained or received; and</w:t>
      </w:r>
    </w:p>
    <w:p>
      <w:pPr>
        <w:pStyle w:val="Indenta"/>
        <w:spacing w:before="60"/>
        <w:rPr>
          <w:snapToGrid w:val="0"/>
        </w:rPr>
      </w:pPr>
      <w:r>
        <w:rPr>
          <w:snapToGrid w:val="0"/>
        </w:rPr>
        <w:tab/>
        <w:t>(d)</w:t>
      </w:r>
      <w:r>
        <w:rPr>
          <w:snapToGrid w:val="0"/>
        </w:rPr>
        <w:tab/>
        <w:t>that the thing was analysed or examined by the analyst or botanist; and</w:t>
      </w:r>
    </w:p>
    <w:p>
      <w:pPr>
        <w:pStyle w:val="Indenta"/>
        <w:spacing w:before="60"/>
        <w:rPr>
          <w:snapToGrid w:val="0"/>
        </w:rPr>
      </w:pPr>
      <w:r>
        <w:rPr>
          <w:snapToGrid w:val="0"/>
        </w:rPr>
        <w:tab/>
        <w:t>(e)</w:t>
      </w:r>
      <w:r>
        <w:rPr>
          <w:snapToGrid w:val="0"/>
        </w:rPr>
        <w:tab/>
        <w:t>the method of analysis or examination; and</w:t>
      </w:r>
    </w:p>
    <w:p>
      <w:pPr>
        <w:pStyle w:val="Indenta"/>
        <w:spacing w:before="60"/>
        <w:rPr>
          <w:snapToGrid w:val="0"/>
        </w:rPr>
      </w:pPr>
      <w:r>
        <w:rPr>
          <w:snapToGrid w:val="0"/>
        </w:rPr>
        <w:tab/>
        <w:t>(f)</w:t>
      </w:r>
      <w:r>
        <w:rPr>
          <w:snapToGrid w:val="0"/>
        </w:rPr>
        <w:tab/>
        <w:t>the results of the analysis or examination; and</w:t>
      </w:r>
    </w:p>
    <w:p>
      <w:pPr>
        <w:pStyle w:val="Indenta"/>
        <w:keepNext/>
        <w:spacing w:before="60"/>
        <w:rPr>
          <w:snapToGrid w:val="0"/>
        </w:rPr>
      </w:pPr>
      <w:r>
        <w:rPr>
          <w:snapToGrid w:val="0"/>
        </w:rPr>
        <w:tab/>
        <w:t>(g)</w:t>
      </w:r>
      <w:r>
        <w:rPr>
          <w:snapToGrid w:val="0"/>
        </w:rPr>
        <w:tab/>
        <w:t>any other matters relating to the analysis or examination,</w:t>
      </w:r>
    </w:p>
    <w:p>
      <w:pPr>
        <w:pStyle w:val="Subsection"/>
        <w:spacing w:before="120"/>
        <w:rPr>
          <w:snapToGrid w:val="0"/>
        </w:rPr>
      </w:pPr>
      <w:r>
        <w:rPr>
          <w:snapToGrid w:val="0"/>
        </w:rPr>
        <w:tab/>
      </w:r>
      <w:r>
        <w:rPr>
          <w:snapToGrid w:val="0"/>
        </w:rPr>
        <w:tab/>
        <w:t>is sufficient evidence of the facts stated in the certificate.</w:t>
      </w:r>
    </w:p>
    <w:p>
      <w:pPr>
        <w:pStyle w:val="Subsection"/>
        <w:keepNext/>
        <w:spacing w:before="140"/>
        <w:rPr>
          <w:snapToGrid w:val="0"/>
        </w:rPr>
      </w:pPr>
      <w:r>
        <w:rPr>
          <w:snapToGrid w:val="0"/>
        </w:rPr>
        <w:tab/>
        <w:t>(3)</w:t>
      </w:r>
      <w:r>
        <w:rPr>
          <w:snapToGrid w:val="0"/>
        </w:rPr>
        <w:tab/>
        <w:t>For the purposes of subsection (2), proof is not required — </w:t>
      </w:r>
    </w:p>
    <w:p>
      <w:pPr>
        <w:pStyle w:val="Indenta"/>
        <w:spacing w:before="60"/>
        <w:rPr>
          <w:snapToGrid w:val="0"/>
        </w:rPr>
      </w:pPr>
      <w:r>
        <w:rPr>
          <w:snapToGrid w:val="0"/>
        </w:rPr>
        <w:tab/>
        <w:t>(a)</w:t>
      </w:r>
      <w:r>
        <w:rPr>
          <w:snapToGrid w:val="0"/>
        </w:rPr>
        <w:tab/>
        <w:t>of the signature of the person purporting to have signed the certificate; or</w:t>
      </w:r>
    </w:p>
    <w:p>
      <w:pPr>
        <w:pStyle w:val="Indenta"/>
        <w:keepNext/>
        <w:spacing w:before="60"/>
        <w:rPr>
          <w:snapToGrid w:val="0"/>
        </w:rPr>
      </w:pPr>
      <w:r>
        <w:rPr>
          <w:snapToGrid w:val="0"/>
        </w:rPr>
        <w:tab/>
        <w:t>(b)</w:t>
      </w:r>
      <w:r>
        <w:rPr>
          <w:snapToGrid w:val="0"/>
        </w:rPr>
        <w:tab/>
        <w:t>that the person is an approved analyst or an approved botanist.</w:t>
      </w:r>
    </w:p>
    <w:p>
      <w:pPr>
        <w:pStyle w:val="Footnotesection"/>
        <w:spacing w:before="100"/>
      </w:pPr>
      <w:r>
        <w:tab/>
        <w:t>[Section 38 amended: No. 44 of 1995 s. 13.]</w:t>
      </w:r>
    </w:p>
    <w:p>
      <w:pPr>
        <w:pStyle w:val="Heading5"/>
        <w:rPr>
          <w:snapToGrid w:val="0"/>
        </w:rPr>
      </w:pPr>
      <w:bookmarkStart w:id="226" w:name="_Toc138751146"/>
      <w:r>
        <w:rPr>
          <w:rStyle w:val="CharSectno"/>
        </w:rPr>
        <w:t>38A</w:t>
      </w:r>
      <w:r>
        <w:rPr>
          <w:snapToGrid w:val="0"/>
        </w:rPr>
        <w:t xml:space="preserve">. </w:t>
      </w:r>
      <w:r>
        <w:rPr>
          <w:snapToGrid w:val="0"/>
        </w:rPr>
        <w:tab/>
        <w:t>Accused may obtain copy of certificate</w:t>
      </w:r>
      <w:bookmarkEnd w:id="226"/>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keepNext/>
        <w:rPr>
          <w:snapToGrid w:val="0"/>
        </w:rPr>
      </w:pPr>
      <w:r>
        <w:rPr>
          <w:snapToGrid w:val="0"/>
        </w:rPr>
        <w:lastRenderedPageBreak/>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keepNext/>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No. 44 of 1995 s. 13; amended: No. 84 of 2004 s. 82.]</w:t>
      </w:r>
    </w:p>
    <w:p>
      <w:pPr>
        <w:pStyle w:val="Heading5"/>
        <w:rPr>
          <w:snapToGrid w:val="0"/>
        </w:rPr>
      </w:pPr>
      <w:bookmarkStart w:id="227" w:name="_Toc138751147"/>
      <w:r>
        <w:rPr>
          <w:rStyle w:val="CharSectno"/>
        </w:rPr>
        <w:t>38B</w:t>
      </w:r>
      <w:r>
        <w:rPr>
          <w:snapToGrid w:val="0"/>
        </w:rPr>
        <w:t xml:space="preserve">. </w:t>
      </w:r>
      <w:r>
        <w:rPr>
          <w:snapToGrid w:val="0"/>
        </w:rPr>
        <w:tab/>
        <w:t>Accused may object to use of certificate</w:t>
      </w:r>
      <w:bookmarkEnd w:id="227"/>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keepNext/>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No. 44 of 1995 s. 13; amended: No. 84 of 2004 s. 82.]</w:t>
      </w:r>
    </w:p>
    <w:p>
      <w:pPr>
        <w:pStyle w:val="Heading5"/>
        <w:rPr>
          <w:snapToGrid w:val="0"/>
        </w:rPr>
      </w:pPr>
      <w:bookmarkStart w:id="228" w:name="_Toc138751148"/>
      <w:r>
        <w:rPr>
          <w:rStyle w:val="CharSectno"/>
        </w:rPr>
        <w:t>38C</w:t>
      </w:r>
      <w:r>
        <w:rPr>
          <w:snapToGrid w:val="0"/>
        </w:rPr>
        <w:t xml:space="preserve">. </w:t>
      </w:r>
      <w:r>
        <w:rPr>
          <w:snapToGrid w:val="0"/>
        </w:rPr>
        <w:tab/>
        <w:t>Order for costs of approved analyst or approved botanist</w:t>
      </w:r>
      <w:bookmarkEnd w:id="228"/>
    </w:p>
    <w:p>
      <w:pPr>
        <w:pStyle w:val="Subsection"/>
        <w:keepNext/>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keepNext/>
        <w:rPr>
          <w:snapToGrid w:val="0"/>
        </w:rPr>
      </w:pPr>
      <w:r>
        <w:rPr>
          <w:snapToGrid w:val="0"/>
        </w:rPr>
        <w:lastRenderedPageBreak/>
        <w:tab/>
        <w:t>(b)</w:t>
      </w:r>
      <w:r>
        <w:rPr>
          <w:snapToGrid w:val="0"/>
        </w:rPr>
        <w:tab/>
        <w:t>the expenses and remuneration to be paid for any analysis or examination carried out by an approved analyst or an approved botanist.</w:t>
      </w:r>
    </w:p>
    <w:p>
      <w:pPr>
        <w:pStyle w:val="Footnotesection"/>
      </w:pPr>
      <w:r>
        <w:tab/>
        <w:t>[Section 38C inserted: No. 44 of 1995 s. 13.]</w:t>
      </w:r>
    </w:p>
    <w:p>
      <w:pPr>
        <w:pStyle w:val="Heading5"/>
        <w:spacing w:before="180"/>
        <w:rPr>
          <w:snapToGrid w:val="0"/>
        </w:rPr>
      </w:pPr>
      <w:bookmarkStart w:id="229" w:name="_Toc138751149"/>
      <w:r>
        <w:rPr>
          <w:rStyle w:val="CharSectno"/>
        </w:rPr>
        <w:t>38D</w:t>
      </w:r>
      <w:r>
        <w:rPr>
          <w:snapToGrid w:val="0"/>
        </w:rPr>
        <w:t>.</w:t>
      </w:r>
      <w:r>
        <w:rPr>
          <w:snapToGrid w:val="0"/>
        </w:rPr>
        <w:tab/>
        <w:t>Evidence of contents of standard</w:t>
      </w:r>
      <w:bookmarkEnd w:id="229"/>
    </w:p>
    <w:p>
      <w:pPr>
        <w:pStyle w:val="Subsection"/>
        <w:keepNext/>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keepNext/>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Footnotesection"/>
      </w:pPr>
      <w:r>
        <w:tab/>
        <w:t>[Section 38D inserted: No. 48 of 1995 s. 43; amended: No. 28 of 2006 s. 394; No. 13 of 2014 s. 176.]</w:t>
      </w:r>
    </w:p>
    <w:p>
      <w:pPr>
        <w:pStyle w:val="Heading5"/>
        <w:rPr>
          <w:snapToGrid w:val="0"/>
        </w:rPr>
      </w:pPr>
      <w:bookmarkStart w:id="230" w:name="_Toc138751150"/>
      <w:r>
        <w:rPr>
          <w:rStyle w:val="CharSectno"/>
        </w:rPr>
        <w:t>39</w:t>
      </w:r>
      <w:r>
        <w:rPr>
          <w:snapToGrid w:val="0"/>
        </w:rPr>
        <w:t>.</w:t>
      </w:r>
      <w:r>
        <w:rPr>
          <w:snapToGrid w:val="0"/>
        </w:rPr>
        <w:tab/>
        <w:t>Delegation by Commissioner</w:t>
      </w:r>
      <w:bookmarkEnd w:id="230"/>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keepNext/>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lastRenderedPageBreak/>
        <w:tab/>
        <w:t>(4)</w:t>
      </w:r>
      <w:r>
        <w:rPr>
          <w:snapToGrid w:val="0"/>
        </w:rPr>
        <w:tab/>
        <w:t>The Commissioner may exercise a power notwithstanding that he has delegated its exercise under this section.</w:t>
      </w:r>
    </w:p>
    <w:p>
      <w:pPr>
        <w:pStyle w:val="Subsection"/>
        <w:keepNext/>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No. 44 of 1995 s. 14.]</w:t>
      </w:r>
    </w:p>
    <w:p>
      <w:pPr>
        <w:pStyle w:val="Heading5"/>
        <w:rPr>
          <w:snapToGrid w:val="0"/>
        </w:rPr>
      </w:pPr>
      <w:bookmarkStart w:id="231" w:name="_Toc138751151"/>
      <w:r>
        <w:rPr>
          <w:rStyle w:val="CharSectno"/>
        </w:rPr>
        <w:t>40</w:t>
      </w:r>
      <w:r>
        <w:rPr>
          <w:snapToGrid w:val="0"/>
        </w:rPr>
        <w:t>.</w:t>
      </w:r>
      <w:r>
        <w:rPr>
          <w:snapToGrid w:val="0"/>
        </w:rPr>
        <w:tab/>
        <w:t>Civil liability of persons acting under this Act</w:t>
      </w:r>
      <w:bookmarkEnd w:id="231"/>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232" w:name="_Toc138751152"/>
      <w:r>
        <w:rPr>
          <w:rStyle w:val="CharSectno"/>
        </w:rPr>
        <w:t>41</w:t>
      </w:r>
      <w:r>
        <w:rPr>
          <w:snapToGrid w:val="0"/>
        </w:rPr>
        <w:t>.</w:t>
      </w:r>
      <w:r>
        <w:rPr>
          <w:snapToGrid w:val="0"/>
        </w:rPr>
        <w:tab/>
        <w:t>Regulations</w:t>
      </w:r>
      <w:bookmarkEnd w:id="232"/>
    </w:p>
    <w:p>
      <w:pPr>
        <w:pStyle w:val="Subsection"/>
        <w:keepNext/>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keepNext/>
        <w:rPr>
          <w:snapToGrid w:val="0"/>
        </w:rPr>
      </w:pPr>
      <w:r>
        <w:rPr>
          <w:snapToGrid w:val="0"/>
        </w:rPr>
        <w:lastRenderedPageBreak/>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rPr>
        <w:t>Medicines and Poisons Act 2014</w:t>
      </w:r>
      <w:r>
        <w:t xml:space="preserve">, </w:t>
      </w:r>
      <w:r>
        <w:rPr>
          <w:snapToGrid w:val="0"/>
        </w:rPr>
        <w:t xml:space="preserve">but if and to the extent that inconsistency exists between regulations made under this Act and regulations made under the </w:t>
      </w:r>
      <w:r>
        <w:rPr>
          <w:i/>
        </w:rPr>
        <w:t>Medicines and Poisons Act 2014</w:t>
      </w:r>
      <w:r>
        <w:t xml:space="preserve"> </w:t>
      </w:r>
      <w:r>
        <w:rPr>
          <w:snapToGrid w:val="0"/>
        </w:rPr>
        <w:t>the latter regulations shall prevail.</w:t>
      </w:r>
    </w:p>
    <w:p>
      <w:pPr>
        <w:pStyle w:val="Subsection"/>
        <w:keepNext/>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No. 44 of 1995 s. 15; No. 13 of 2014 s. 177.]</w:t>
      </w:r>
    </w:p>
    <w:p>
      <w:pPr>
        <w:pStyle w:val="Heading5"/>
        <w:rPr>
          <w:snapToGrid w:val="0"/>
        </w:rPr>
      </w:pPr>
      <w:bookmarkStart w:id="233" w:name="_Toc138751153"/>
      <w:r>
        <w:rPr>
          <w:rStyle w:val="CharSectno"/>
        </w:rPr>
        <w:t>42</w:t>
      </w:r>
      <w:r>
        <w:rPr>
          <w:snapToGrid w:val="0"/>
        </w:rPr>
        <w:t>.</w:t>
      </w:r>
      <w:r>
        <w:rPr>
          <w:snapToGrid w:val="0"/>
        </w:rPr>
        <w:tab/>
        <w:t>Amendment of certain schedules</w:t>
      </w:r>
      <w:bookmarkEnd w:id="233"/>
    </w:p>
    <w:p>
      <w:pPr>
        <w:pStyle w:val="Subsection"/>
        <w:keepNext/>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keepNext/>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keepNext/>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lastRenderedPageBreak/>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pPr>
      <w:r>
        <w:tab/>
        <w:t>(1A)</w:t>
      </w:r>
      <w:r>
        <w:tab/>
        <w:t xml:space="preserve">The Governor may from time to time by Order in Council published in the </w:t>
      </w:r>
      <w:r>
        <w:rPr>
          <w:i/>
        </w:rPr>
        <w:t>Gazette</w:t>
      </w:r>
      <w:r>
        <w:t xml:space="preserve"> amend Schedule 6A — </w:t>
      </w:r>
    </w:p>
    <w:p>
      <w:pPr>
        <w:pStyle w:val="Indenta"/>
      </w:pPr>
      <w:r>
        <w:tab/>
        <w:t>(a)</w:t>
      </w:r>
      <w:r>
        <w:tab/>
        <w:t>subject to section 20N(2) and (3), to modify a BSA; or</w:t>
      </w:r>
    </w:p>
    <w:p>
      <w:pPr>
        <w:pStyle w:val="Indenta"/>
      </w:pPr>
      <w:r>
        <w:tab/>
        <w:t>(b)</w:t>
      </w:r>
      <w:r>
        <w:tab/>
        <w:t>subject to section 20N(6) and (7), to establish a new BSA.</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w:t>
      </w:r>
      <w:r>
        <w:t xml:space="preserve">subsection (1) or (1A), </w:t>
      </w:r>
      <w:r>
        <w:rPr>
          <w:snapToGrid w:val="0"/>
        </w:rPr>
        <w:t>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w:t>
      </w:r>
      <w:r>
        <w:t xml:space="preserve">subsection (1) or (1A) </w:t>
      </w:r>
      <w:r>
        <w:rPr>
          <w:snapToGrid w:val="0"/>
        </w:rPr>
        <w:t xml:space="preserve">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 xml:space="preserve">If a copy of an Order in Council made under </w:t>
      </w:r>
      <w:r>
        <w:t xml:space="preserve">subsection (1) or (1A) </w:t>
      </w:r>
      <w:r>
        <w:rPr>
          <w:snapToGrid w:val="0"/>
        </w:rPr>
        <w:t>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keepNext/>
        <w:rPr>
          <w:snapToGrid w:val="0"/>
        </w:rPr>
      </w:pPr>
      <w:r>
        <w:rPr>
          <w:snapToGrid w:val="0"/>
        </w:rPr>
        <w:tab/>
        <w:t>(5)</w:t>
      </w:r>
      <w:r>
        <w:rPr>
          <w:snapToGrid w:val="0"/>
        </w:rPr>
        <w:tab/>
        <w:t xml:space="preserve">If either House of Parliament passes a resolution, of which notice has been given within the first 14 sitting days of that House after a copy of the relevant Order in Council made under </w:t>
      </w:r>
      <w:r>
        <w:t xml:space="preserve">subsection (1) or (1A) </w:t>
      </w:r>
      <w:r>
        <w:rPr>
          <w:snapToGrid w:val="0"/>
        </w:rPr>
        <w:t xml:space="preserve">has been laid on the Table of that House under subsection (3), that that Order in Council be disallowed, that Order in Council thereupon ceases to have effect, but the disallowance of that Order in Council does not affect the </w:t>
      </w:r>
      <w:r>
        <w:rPr>
          <w:snapToGrid w:val="0"/>
        </w:rPr>
        <w:lastRenderedPageBreak/>
        <w:t>validity or cure the invalidity of anything done or omitted to be done in good faith before the passing of that resolution.</w:t>
      </w:r>
    </w:p>
    <w:p>
      <w:pPr>
        <w:pStyle w:val="Footnotesection"/>
      </w:pPr>
      <w:r>
        <w:tab/>
        <w:t>[Section 42 amended: No. 50 of 1990 s. 5; No. 16 of 2023 s. 9.]</w:t>
      </w:r>
    </w:p>
    <w:p>
      <w:pPr>
        <w:pStyle w:val="Heading5"/>
      </w:pPr>
      <w:bookmarkStart w:id="234" w:name="_Toc138751154"/>
      <w:r>
        <w:rPr>
          <w:rStyle w:val="CharSectno"/>
        </w:rPr>
        <w:t>42A</w:t>
      </w:r>
      <w:r>
        <w:t>.</w:t>
      </w:r>
      <w:r>
        <w:tab/>
        <w:t>Annual report to Minister on Part 4A</w:t>
      </w:r>
      <w:bookmarkEnd w:id="234"/>
    </w:p>
    <w:p>
      <w:pPr>
        <w:pStyle w:val="Subsection"/>
        <w:keepNext/>
      </w:pPr>
      <w:r>
        <w:tab/>
        <w:t>(1)</w:t>
      </w:r>
      <w:r>
        <w:tab/>
        <w:t xml:space="preserve">The Commissioner must give a report to the Minister that provides the following information for each financial year — </w:t>
      </w:r>
    </w:p>
    <w:p>
      <w:pPr>
        <w:pStyle w:val="Indenta"/>
      </w:pPr>
      <w:r>
        <w:tab/>
        <w:t>(a)</w:t>
      </w:r>
      <w:r>
        <w:tab/>
        <w:t>the numbers of vehicle search authorisations and premises search authorisations issued during the financial year;</w:t>
      </w:r>
    </w:p>
    <w:p>
      <w:pPr>
        <w:pStyle w:val="Indenta"/>
      </w:pPr>
      <w:r>
        <w:tab/>
        <w:t>(b)</w:t>
      </w:r>
      <w:r>
        <w:tab/>
        <w:t>the areas that were subject to a vehicle search authorisation;</w:t>
      </w:r>
    </w:p>
    <w:p>
      <w:pPr>
        <w:pStyle w:val="Indenta"/>
      </w:pPr>
      <w:r>
        <w:tab/>
        <w:t>(c)</w:t>
      </w:r>
      <w:r>
        <w:tab/>
        <w:t>the premises that were subject to a premises search authorisation;</w:t>
      </w:r>
    </w:p>
    <w:p>
      <w:pPr>
        <w:pStyle w:val="Indenta"/>
      </w:pPr>
      <w:r>
        <w:tab/>
        <w:t>(d)</w:t>
      </w:r>
      <w:r>
        <w:tab/>
        <w:t>the periods during which any authorisations had effect;</w:t>
      </w:r>
    </w:p>
    <w:p>
      <w:pPr>
        <w:pStyle w:val="Indenta"/>
      </w:pPr>
      <w:r>
        <w:tab/>
        <w:t>(e)</w:t>
      </w:r>
      <w:r>
        <w:tab/>
        <w:t xml:space="preserve">the number of occasions when, as a result of the exercise of the powers conferred by section 20G(2), a prohibited drug, prohibited plant or a controlled precursor was detected by a preliminary drug detection test; </w:t>
      </w:r>
    </w:p>
    <w:p>
      <w:pPr>
        <w:pStyle w:val="Indenta"/>
      </w:pPr>
      <w:r>
        <w:tab/>
        <w:t>(f)</w:t>
      </w:r>
      <w:r>
        <w:tab/>
        <w:t>the number of occasions when, as a result of the exercise of the powers conferred by section 20H(1), a prohibited drug, prohibited plant or a controlled precursor was detected by a preliminary drug detection test;</w:t>
      </w:r>
    </w:p>
    <w:p>
      <w:pPr>
        <w:pStyle w:val="Indenta"/>
      </w:pPr>
      <w:r>
        <w:tab/>
        <w:t>(g)</w:t>
      </w:r>
      <w:r>
        <w:tab/>
        <w:t>the number of occasions when, as a result of the exercise of the powers conferred by section 20I(2)(e), a prohibited drug, prohibited plant or controlled precursor was detected;</w:t>
      </w:r>
    </w:p>
    <w:p>
      <w:pPr>
        <w:pStyle w:val="Indenta"/>
      </w:pPr>
      <w:r>
        <w:tab/>
        <w:t>(h)</w:t>
      </w:r>
      <w:r>
        <w:tab/>
        <w:t>a statement of any defect or irregularity identified in relation to a vehicle search authorisation or premises search authorisation.</w:t>
      </w:r>
    </w:p>
    <w:p>
      <w:pPr>
        <w:pStyle w:val="Subsection"/>
        <w:keepNext/>
      </w:pPr>
      <w:r>
        <w:lastRenderedPageBreak/>
        <w:tab/>
        <w:t>(2)</w:t>
      </w:r>
      <w:r>
        <w:tab/>
        <w:t>The Minister is to cause the report to be laid before each House of Parliament no later than 12 sitting days of that House after receiving the report.</w:t>
      </w:r>
    </w:p>
    <w:p>
      <w:pPr>
        <w:pStyle w:val="Footnotesection"/>
      </w:pPr>
      <w:r>
        <w:tab/>
        <w:t>[Section 42A inserted: No. 47 of 2016 s. 8.]</w:t>
      </w:r>
    </w:p>
    <w:p>
      <w:pPr>
        <w:pStyle w:val="Heading5"/>
      </w:pPr>
      <w:bookmarkStart w:id="235" w:name="_Toc138751155"/>
      <w:r>
        <w:rPr>
          <w:rStyle w:val="CharSectno"/>
        </w:rPr>
        <w:t>42B</w:t>
      </w:r>
      <w:r>
        <w:t>.</w:t>
      </w:r>
      <w:r>
        <w:tab/>
        <w:t>Review of Part 4A</w:t>
      </w:r>
      <w:bookmarkEnd w:id="235"/>
    </w:p>
    <w:p>
      <w:pPr>
        <w:pStyle w:val="Subsection"/>
        <w:keepNext/>
      </w:pPr>
      <w:r>
        <w:tab/>
        <w:t>(1)</w:t>
      </w:r>
      <w:r>
        <w:tab/>
        <w:t xml:space="preserve">In this section — </w:t>
      </w:r>
    </w:p>
    <w:p>
      <w:pPr>
        <w:pStyle w:val="Defstart"/>
      </w:pPr>
      <w:r>
        <w:tab/>
      </w:r>
      <w:r>
        <w:rPr>
          <w:rStyle w:val="CharDefText"/>
        </w:rPr>
        <w:t>commencement day</w:t>
      </w:r>
      <w:r>
        <w:t xml:space="preserve"> means the day on which the </w:t>
      </w:r>
      <w:r>
        <w:rPr>
          <w:i/>
        </w:rPr>
        <w:t>Misuse of Drugs Amendment (Search Powers) Act 2016</w:t>
      </w:r>
      <w:r>
        <w:t xml:space="preserve"> section 5 comes into operation.</w:t>
      </w:r>
    </w:p>
    <w:p>
      <w:pPr>
        <w:pStyle w:val="Subsection"/>
      </w:pPr>
      <w:r>
        <w:tab/>
        <w:t>(2)</w:t>
      </w:r>
      <w:r>
        <w:tab/>
        <w:t>The Minister must carry out a review of the operation and effectiveness of Part 4A as soon as practicable after the expiration of 5 years from commencement day.</w:t>
      </w:r>
    </w:p>
    <w:p>
      <w:pPr>
        <w:pStyle w:val="Subsection"/>
        <w:keepNext/>
      </w:pPr>
      <w:r>
        <w:tab/>
        <w:t>(3)</w:t>
      </w:r>
      <w:r>
        <w:tab/>
        <w:t xml:space="preserve">The Minister must lay (or cause to be laid) a report of the review under this section before both Houses of Parliament — </w:t>
      </w:r>
    </w:p>
    <w:p>
      <w:pPr>
        <w:pStyle w:val="Indenta"/>
      </w:pPr>
      <w:r>
        <w:tab/>
        <w:t>(a)</w:t>
      </w:r>
      <w:r>
        <w:tab/>
        <w:t>as soon as practicable after the review is completed; but</w:t>
      </w:r>
    </w:p>
    <w:p>
      <w:pPr>
        <w:pStyle w:val="Indenta"/>
        <w:keepNext/>
      </w:pPr>
      <w:r>
        <w:tab/>
        <w:t>(b)</w:t>
      </w:r>
      <w:r>
        <w:tab/>
        <w:t>not later than 2 years after the end of the period of 5 years.</w:t>
      </w:r>
    </w:p>
    <w:p>
      <w:pPr>
        <w:pStyle w:val="Footnotesection"/>
      </w:pPr>
      <w:r>
        <w:tab/>
        <w:t>[Section 42B inserted: No. 47 of 2016 s. 8.]</w:t>
      </w:r>
    </w:p>
    <w:p>
      <w:pPr>
        <w:pStyle w:val="Heading2"/>
      </w:pPr>
      <w:bookmarkStart w:id="236" w:name="_Toc138689195"/>
      <w:bookmarkStart w:id="237" w:name="_Toc138691593"/>
      <w:bookmarkStart w:id="238" w:name="_Toc138751156"/>
      <w:r>
        <w:rPr>
          <w:rStyle w:val="CharPartNo"/>
        </w:rPr>
        <w:lastRenderedPageBreak/>
        <w:t>Part VII</w:t>
      </w:r>
      <w:r>
        <w:rPr>
          <w:b w:val="0"/>
        </w:rPr>
        <w:t> </w:t>
      </w:r>
      <w:r>
        <w:t>—</w:t>
      </w:r>
      <w:r>
        <w:rPr>
          <w:b w:val="0"/>
        </w:rPr>
        <w:t> </w:t>
      </w:r>
      <w:r>
        <w:rPr>
          <w:rStyle w:val="CharPartText"/>
        </w:rPr>
        <w:t>Transitional provisions</w:t>
      </w:r>
      <w:bookmarkEnd w:id="236"/>
      <w:bookmarkEnd w:id="237"/>
      <w:bookmarkEnd w:id="238"/>
    </w:p>
    <w:p>
      <w:pPr>
        <w:pStyle w:val="Footnoteheading"/>
      </w:pPr>
      <w:r>
        <w:tab/>
        <w:t>[Heading inserted: No. 45 of 2010 s. 8.]</w:t>
      </w:r>
    </w:p>
    <w:p>
      <w:pPr>
        <w:pStyle w:val="Heading3"/>
      </w:pPr>
      <w:bookmarkStart w:id="239" w:name="_Toc138689196"/>
      <w:bookmarkStart w:id="240" w:name="_Toc138691594"/>
      <w:bookmarkStart w:id="241" w:name="_Toc138751157"/>
      <w:r>
        <w:rPr>
          <w:rStyle w:val="CharDivNo"/>
        </w:rPr>
        <w:t>Division 1</w:t>
      </w:r>
      <w:r>
        <w:t> — </w:t>
      </w:r>
      <w:r>
        <w:rPr>
          <w:rStyle w:val="CharDivText"/>
        </w:rPr>
        <w:t>Preliminary</w:t>
      </w:r>
      <w:bookmarkEnd w:id="239"/>
      <w:bookmarkEnd w:id="240"/>
      <w:bookmarkEnd w:id="241"/>
    </w:p>
    <w:p>
      <w:pPr>
        <w:pStyle w:val="Footnoteheading"/>
      </w:pPr>
      <w:r>
        <w:tab/>
        <w:t>[Heading inserted: No. 45 of 2010 s. 8.]</w:t>
      </w:r>
    </w:p>
    <w:p>
      <w:pPr>
        <w:pStyle w:val="Heading5"/>
      </w:pPr>
      <w:bookmarkStart w:id="242" w:name="_Toc138751158"/>
      <w:r>
        <w:rPr>
          <w:rStyle w:val="CharSectno"/>
        </w:rPr>
        <w:t>43</w:t>
      </w:r>
      <w:r>
        <w:t>.</w:t>
      </w:r>
      <w:r>
        <w:tab/>
      </w:r>
      <w:r>
        <w:rPr>
          <w:i/>
          <w:iCs/>
        </w:rPr>
        <w:t>Interpretation Act 1984</w:t>
      </w:r>
      <w:r>
        <w:t xml:space="preserve"> not limited</w:t>
      </w:r>
      <w:bookmarkEnd w:id="242"/>
    </w:p>
    <w:p>
      <w:pPr>
        <w:pStyle w:val="Subsection"/>
      </w:pPr>
      <w:r>
        <w:tab/>
      </w:r>
      <w:r>
        <w:tab/>
        <w:t xml:space="preserve">This Part does not limit the operation of the </w:t>
      </w:r>
      <w:r>
        <w:rPr>
          <w:i/>
          <w:iCs/>
        </w:rPr>
        <w:t>Interpretation Act 1984</w:t>
      </w:r>
      <w:r>
        <w:t xml:space="preserve"> Part V.</w:t>
      </w:r>
    </w:p>
    <w:p>
      <w:pPr>
        <w:pStyle w:val="Footnotesection"/>
      </w:pPr>
      <w:r>
        <w:tab/>
        <w:t>[Section 43 inserted: No. 45 of 2010 s. 8.]</w:t>
      </w:r>
    </w:p>
    <w:p>
      <w:pPr>
        <w:pStyle w:val="Heading5"/>
      </w:pPr>
      <w:bookmarkStart w:id="243" w:name="_Toc138751159"/>
      <w:r>
        <w:rPr>
          <w:rStyle w:val="CharSectno"/>
        </w:rPr>
        <w:t>44</w:t>
      </w:r>
      <w:r>
        <w:t>.</w:t>
      </w:r>
      <w:r>
        <w:tab/>
        <w:t>Transitional regulations</w:t>
      </w:r>
      <w:bookmarkEnd w:id="243"/>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 xml:space="preserve">that arises as a result of the amendment of this Act by another Act (an </w:t>
      </w:r>
      <w:r>
        <w:rPr>
          <w:rStyle w:val="CharDefText"/>
        </w:rPr>
        <w:t>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lastRenderedPageBreak/>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r>
        <w:tab/>
        <w:t>[Section 44 inserted: No. 45 of 2010 s. 8.]</w:t>
      </w:r>
    </w:p>
    <w:p>
      <w:pPr>
        <w:pStyle w:val="yHeading3"/>
      </w:pPr>
      <w:bookmarkStart w:id="244" w:name="_Toc138689199"/>
      <w:bookmarkStart w:id="245" w:name="_Toc138691597"/>
      <w:bookmarkStart w:id="246" w:name="_Toc138751160"/>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244"/>
      <w:bookmarkEnd w:id="245"/>
      <w:bookmarkEnd w:id="246"/>
    </w:p>
    <w:p>
      <w:pPr>
        <w:pStyle w:val="Footnoteheading"/>
      </w:pPr>
      <w:r>
        <w:tab/>
        <w:t>[Heading inserted: No. 45 of 2010 s. 8.]</w:t>
      </w:r>
    </w:p>
    <w:p>
      <w:pPr>
        <w:pStyle w:val="Heading5"/>
      </w:pPr>
      <w:bookmarkStart w:id="247" w:name="_Toc138751161"/>
      <w:r>
        <w:rPr>
          <w:rStyle w:val="CharSectno"/>
        </w:rPr>
        <w:t>45</w:t>
      </w:r>
      <w:r>
        <w:t>.</w:t>
      </w:r>
      <w:r>
        <w:tab/>
        <w:t>Terms used</w:t>
      </w:r>
      <w:bookmarkEnd w:id="247"/>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t xml:space="preserve"> Part 2 comes into operation.</w:t>
      </w:r>
    </w:p>
    <w:p>
      <w:pPr>
        <w:pStyle w:val="Footnotesection"/>
      </w:pPr>
      <w:r>
        <w:tab/>
        <w:t>[Section 45 inserted: No. 45 of 2010 s. 8.]</w:t>
      </w:r>
    </w:p>
    <w:p>
      <w:pPr>
        <w:pStyle w:val="Heading5"/>
      </w:pPr>
      <w:bookmarkStart w:id="248" w:name="_Toc138751162"/>
      <w:r>
        <w:rPr>
          <w:rStyle w:val="CharSectno"/>
        </w:rPr>
        <w:t>46</w:t>
      </w:r>
      <w:r>
        <w:t>.</w:t>
      </w:r>
      <w:r>
        <w:tab/>
        <w:t>CINs continue in force</w:t>
      </w:r>
      <w:bookmarkEnd w:id="248"/>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r>
        <w:tab/>
        <w:t>[Section 46 inserted: No. 45 of 2010 s. 8.]</w:t>
      </w:r>
    </w:p>
    <w:p>
      <w:pPr>
        <w:pStyle w:val="Heading5"/>
      </w:pPr>
      <w:bookmarkStart w:id="249" w:name="_Toc138751163"/>
      <w:r>
        <w:rPr>
          <w:rStyle w:val="CharSectno"/>
        </w:rPr>
        <w:t>47</w:t>
      </w:r>
      <w:r>
        <w:t>.</w:t>
      </w:r>
      <w:r>
        <w:tab/>
        <w:t>Amounts outstanding in 12 months time under a CIN are to be taken to be paid</w:t>
      </w:r>
      <w:bookmarkEnd w:id="249"/>
    </w:p>
    <w:p>
      <w:pPr>
        <w:pStyle w:val="Subsection"/>
      </w:pPr>
      <w:r>
        <w:tab/>
        <w:t>(1)</w:t>
      </w:r>
      <w:r>
        <w:tab/>
        <w:t xml:space="preserve">Subsection (2) applies in respect of a CIN if a licence suspension order was made under the </w:t>
      </w:r>
      <w:r>
        <w:rPr>
          <w:i/>
          <w:iCs/>
        </w:rPr>
        <w:t xml:space="preserve">Fines, Penalties and </w:t>
      </w:r>
      <w:r>
        <w:rPr>
          <w:i/>
          <w:iCs/>
        </w:rPr>
        <w:lastRenderedPageBreak/>
        <w:t xml:space="preserve">Infringement Notices Enforcement Act 1994 </w:t>
      </w:r>
      <w:r>
        <w:t>section 19</w:t>
      </w:r>
      <w:r>
        <w:rPr>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No. 45 of 2010 s. 8.]</w:t>
      </w:r>
    </w:p>
    <w:p>
      <w:pPr>
        <w:pStyle w:val="Heading5"/>
      </w:pPr>
      <w:bookmarkStart w:id="250" w:name="_Toc138751164"/>
      <w:r>
        <w:rPr>
          <w:rStyle w:val="CharSectno"/>
        </w:rPr>
        <w:t>48</w:t>
      </w:r>
      <w:r>
        <w:t>.</w:t>
      </w:r>
      <w:r>
        <w:tab/>
        <w:t>Transitional provisions (Sch. IX)</w:t>
      </w:r>
      <w:bookmarkEnd w:id="250"/>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No. 44 of 2010 s. 9.]</w:t>
      </w: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251" w:name="_Toc138689204"/>
      <w:bookmarkStart w:id="252" w:name="_Toc138691602"/>
      <w:bookmarkStart w:id="253" w:name="_Toc138751165"/>
      <w:r>
        <w:rPr>
          <w:rStyle w:val="CharSchNo"/>
        </w:rPr>
        <w:lastRenderedPageBreak/>
        <w:t>Schedule I</w:t>
      </w:r>
      <w:r>
        <w:rPr>
          <w:rStyle w:val="CharSDivNo"/>
        </w:rPr>
        <w:t> </w:t>
      </w:r>
      <w:r>
        <w:t>—</w:t>
      </w:r>
      <w:r>
        <w:rPr>
          <w:rStyle w:val="CharSDivText"/>
        </w:rPr>
        <w:t> </w:t>
      </w:r>
      <w:r>
        <w:rPr>
          <w:rStyle w:val="CharSchText"/>
        </w:rPr>
        <w:t xml:space="preserve">Drugs to which Act applies, notwithstanding anything in </w:t>
      </w:r>
      <w:r>
        <w:rPr>
          <w:rStyle w:val="CharSchText"/>
          <w:i/>
        </w:rPr>
        <w:t>Medicines and Poisons Act 2014</w:t>
      </w:r>
      <w:bookmarkEnd w:id="251"/>
      <w:bookmarkEnd w:id="252"/>
      <w:bookmarkEnd w:id="253"/>
    </w:p>
    <w:p>
      <w:pPr>
        <w:pStyle w:val="yShoulderClause"/>
        <w:rPr>
          <w:snapToGrid w:val="0"/>
        </w:rPr>
      </w:pPr>
      <w:r>
        <w:rPr>
          <w:snapToGrid w:val="0"/>
        </w:rPr>
        <w:t>[s. 4(1)(c)]</w:t>
      </w:r>
    </w:p>
    <w:p>
      <w:pPr>
        <w:pStyle w:val="yFootnoteheading"/>
        <w:spacing w:after="80"/>
      </w:pPr>
      <w:r>
        <w:tab/>
        <w:t>[Heading amended: No. 19 of 2010 s. 4; No. 13 of 2014 s. 178.]</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drugs</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Cocaine, ecgonine, heroin, morphine and their respective salts.</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Opium.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Any preparation, admixture, extract, or other substance containing not less than — </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959" w:type="dxa"/>
          </w:tcPr>
          <w:p>
            <w:pPr>
              <w:pStyle w:val="yTableNAm"/>
              <w:rPr>
                <w:snapToGrid w:val="0"/>
              </w:rPr>
            </w:pPr>
            <w:r>
              <w:rPr>
                <w:snapToGrid w:val="0"/>
              </w:rPr>
              <w:t>4.</w:t>
            </w:r>
          </w:p>
        </w:tc>
        <w:tc>
          <w:tcPr>
            <w:tcW w:w="6375" w:type="dxa"/>
          </w:tcPr>
          <w:p>
            <w:pPr>
              <w:pStyle w:val="yTableNAm"/>
              <w:rPr>
                <w:snapToGrid w:val="0"/>
              </w:rPr>
            </w:pPr>
            <w:r>
              <w:rPr>
                <w:snapToGrid w:val="0"/>
              </w:rPr>
              <w:t>Any derivative of cocaine.</w:t>
            </w:r>
          </w:p>
        </w:tc>
      </w:tr>
      <w:tr>
        <w:trPr>
          <w:cantSplit/>
        </w:trPr>
        <w:tc>
          <w:tcPr>
            <w:tcW w:w="959" w:type="dxa"/>
          </w:tcPr>
          <w:p>
            <w:pPr>
              <w:pStyle w:val="yTableNAm"/>
              <w:rPr>
                <w:snapToGrid w:val="0"/>
              </w:rPr>
            </w:pPr>
            <w:r>
              <w:rPr>
                <w:snapToGrid w:val="0"/>
              </w:rPr>
              <w:t>5.</w:t>
            </w:r>
          </w:p>
        </w:tc>
        <w:tc>
          <w:tcPr>
            <w:tcW w:w="6375" w:type="dxa"/>
          </w:tcPr>
          <w:p>
            <w:pPr>
              <w:pStyle w:val="yTableNAm"/>
              <w:rPr>
                <w:snapToGrid w:val="0"/>
              </w:rPr>
            </w:pPr>
            <w:r>
              <w:rPr>
                <w:snapToGrid w:val="0"/>
              </w:rPr>
              <w:t>Cannabis or cannabis resin or any other cannabis derivative.</w:t>
            </w:r>
          </w:p>
        </w:tc>
      </w:tr>
    </w:tbl>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Pr>
      <w:bookmarkStart w:id="255" w:name="_Toc138689205"/>
      <w:bookmarkStart w:id="256" w:name="_Toc138691603"/>
      <w:bookmarkStart w:id="257" w:name="_Toc138751166"/>
      <w:r>
        <w:rPr>
          <w:rStyle w:val="CharSchNo"/>
        </w:rPr>
        <w:lastRenderedPageBreak/>
        <w:t>Schedule II</w:t>
      </w:r>
      <w:r>
        <w:t> — </w:t>
      </w:r>
      <w:r>
        <w:rPr>
          <w:rStyle w:val="CharSchText"/>
        </w:rPr>
        <w:t>Plants to which this Act applies</w:t>
      </w:r>
      <w:bookmarkEnd w:id="255"/>
      <w:bookmarkEnd w:id="256"/>
      <w:bookmarkEnd w:id="257"/>
    </w:p>
    <w:p>
      <w:pPr>
        <w:pStyle w:val="yFootnoteheading"/>
      </w:pPr>
      <w:r>
        <w:tab/>
        <w:t>[Heading inserted: No. 13 of 2014 s. 179.]</w:t>
      </w:r>
    </w:p>
    <w:p>
      <w:pPr>
        <w:pStyle w:val="yShoulderClause"/>
        <w:rPr>
          <w:snapToGrid w:val="0"/>
        </w:rPr>
      </w:pPr>
      <w:r>
        <w:rPr>
          <w:snapToGrid w:val="0"/>
        </w:rPr>
        <w:t>[s. 4(2)(b)]</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plant</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Papaver somniferum</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Papaver bracteatum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Cannabis</w:t>
            </w:r>
          </w:p>
        </w:tc>
      </w:tr>
    </w:tbl>
    <w:p>
      <w:bookmarkStart w:id="258" w:name="_Toc138689206"/>
      <w:bookmarkStart w:id="259" w:name="_Toc138691604"/>
      <w:bookmarkStart w:id="260" w:name="_Toc138751167"/>
    </w:p>
    <w:p>
      <w:pPr>
        <w:pStyle w:val="yScheduleHeading"/>
      </w:pPr>
      <w:r>
        <w:rPr>
          <w:rStyle w:val="CharSchNo"/>
        </w:rPr>
        <w:lastRenderedPageBreak/>
        <w:t>Schedule III</w:t>
      </w:r>
      <w:r>
        <w:t> — </w:t>
      </w:r>
      <w:r>
        <w:rPr>
          <w:rStyle w:val="CharSchText"/>
        </w:rPr>
        <w:t>Amounts of prohibited drugs determining court of trial</w:t>
      </w:r>
      <w:bookmarkEnd w:id="258"/>
      <w:bookmarkEnd w:id="259"/>
      <w:bookmarkEnd w:id="260"/>
    </w:p>
    <w:p>
      <w:pPr>
        <w:pStyle w:val="yShoulderClause"/>
        <w:rPr>
          <w:snapToGrid w:val="0"/>
        </w:rPr>
      </w:pPr>
      <w:r>
        <w:rPr>
          <w:snapToGrid w:val="0"/>
        </w:rPr>
        <w:t>[s. 9]</w:t>
      </w:r>
    </w:p>
    <w:p>
      <w:pPr>
        <w:pStyle w:val="yFootnoteheading"/>
      </w:pPr>
      <w:r>
        <w:tab/>
        <w:t>[Heading amended: No. 19 of 2010 s. 4.]</w:t>
      </w:r>
    </w:p>
    <w:p>
      <w:pPr>
        <w:pStyle w:val="yHeading3"/>
      </w:pPr>
      <w:bookmarkStart w:id="261" w:name="_Toc138689207"/>
      <w:bookmarkStart w:id="262" w:name="_Toc138691605"/>
      <w:bookmarkStart w:id="263" w:name="_Toc138751168"/>
      <w:r>
        <w:rPr>
          <w:rStyle w:val="CharSDivNo"/>
        </w:rPr>
        <w:t>Division 1</w:t>
      </w:r>
      <w:r>
        <w:rPr>
          <w:b w:val="0"/>
        </w:rPr>
        <w:t> — </w:t>
      </w:r>
      <w:r>
        <w:rPr>
          <w:rStyle w:val="CharSDivText"/>
        </w:rPr>
        <w:t>General</w:t>
      </w:r>
      <w:bookmarkEnd w:id="261"/>
      <w:bookmarkEnd w:id="262"/>
      <w:bookmarkEnd w:id="263"/>
    </w:p>
    <w:p>
      <w:pPr>
        <w:pStyle w:val="yFootnoteheading"/>
      </w:pPr>
      <w:r>
        <w:tab/>
        <w:t>[Heading inserted: Gazette 29 Aug 2018 p. 2995.]</w:t>
      </w:r>
    </w:p>
    <w:tbl>
      <w:tblPr>
        <w:tblW w:w="7344" w:type="dxa"/>
        <w:tblLayout w:type="fixed"/>
        <w:tblCellMar>
          <w:left w:w="142" w:type="dxa"/>
          <w:right w:w="142" w:type="dxa"/>
        </w:tblCellMar>
        <w:tblLook w:val="0000" w:firstRow="0" w:lastRow="0" w:firstColumn="0" w:lastColumn="0" w:noHBand="0" w:noVBand="0"/>
      </w:tblPr>
      <w:tblGrid>
        <w:gridCol w:w="1276"/>
        <w:gridCol w:w="4537"/>
        <w:gridCol w:w="1519"/>
        <w:gridCol w:w="12"/>
      </w:tblGrid>
      <w:tr>
        <w:trPr>
          <w:cantSplit/>
          <w:tblHeader/>
        </w:trPr>
        <w:tc>
          <w:tcPr>
            <w:tcW w:w="1276" w:type="dxa"/>
          </w:tcPr>
          <w:p>
            <w:pPr>
              <w:pStyle w:val="yTableNAm"/>
              <w:rPr>
                <w:i/>
              </w:rPr>
            </w:pPr>
            <w:r>
              <w:rPr>
                <w:i/>
              </w:rPr>
              <w:t>Item</w:t>
            </w:r>
          </w:p>
        </w:tc>
        <w:tc>
          <w:tcPr>
            <w:tcW w:w="4537" w:type="dxa"/>
          </w:tcPr>
          <w:p>
            <w:pPr>
              <w:pStyle w:val="yTableNAm"/>
              <w:jc w:val="center"/>
              <w:rPr>
                <w:i/>
              </w:rPr>
            </w:pPr>
            <w:r>
              <w:rPr>
                <w:i/>
              </w:rPr>
              <w:t>Prohibited drug</w:t>
            </w:r>
          </w:p>
        </w:tc>
        <w:tc>
          <w:tcPr>
            <w:tcW w:w="1531" w:type="dxa"/>
            <w:gridSpan w:val="2"/>
          </w:tcPr>
          <w:p>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trPr>
          <w:cantSplit/>
        </w:trPr>
        <w:tc>
          <w:tcPr>
            <w:tcW w:w="1276" w:type="dxa"/>
          </w:tcPr>
          <w:p>
            <w:pPr>
              <w:pStyle w:val="yTableNAm"/>
            </w:pPr>
            <w:r>
              <w:t>1.</w:t>
            </w:r>
          </w:p>
        </w:tc>
        <w:tc>
          <w:tcPr>
            <w:tcW w:w="4537" w:type="dxa"/>
          </w:tcPr>
          <w:p>
            <w:pPr>
              <w:pStyle w:val="yTableNAm"/>
            </w:pPr>
            <w:r>
              <w:t>ACETORPHINE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2.</w:t>
            </w:r>
          </w:p>
        </w:tc>
        <w:tc>
          <w:tcPr>
            <w:tcW w:w="4537" w:type="dxa"/>
          </w:tcPr>
          <w:p>
            <w:pPr>
              <w:pStyle w:val="yTableNAm"/>
            </w:pPr>
            <w:r>
              <w:t xml:space="preserve">ACETYLDIHYDROCODEINE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6.0</w:t>
            </w:r>
          </w:p>
        </w:tc>
      </w:tr>
      <w:tr>
        <w:trPr>
          <w:cantSplit/>
        </w:trPr>
        <w:tc>
          <w:tcPr>
            <w:tcW w:w="1276" w:type="dxa"/>
          </w:tcPr>
          <w:p>
            <w:pPr>
              <w:pStyle w:val="yTableNAm"/>
            </w:pPr>
            <w:r>
              <w:t>3.</w:t>
            </w:r>
          </w:p>
        </w:tc>
        <w:tc>
          <w:tcPr>
            <w:tcW w:w="4537" w:type="dxa"/>
          </w:tcPr>
          <w:p>
            <w:pPr>
              <w:pStyle w:val="yTableNAm"/>
            </w:pPr>
            <w:r>
              <w:t>ACETYLMETHADOL</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4.</w:t>
            </w:r>
          </w:p>
        </w:tc>
        <w:tc>
          <w:tcPr>
            <w:tcW w:w="4537" w:type="dxa"/>
          </w:tcPr>
          <w:p>
            <w:pPr>
              <w:pStyle w:val="yTableNAm"/>
            </w:pPr>
            <w:r>
              <w:t>ALLOBARBITONE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5.</w:t>
            </w:r>
          </w:p>
        </w:tc>
        <w:tc>
          <w:tcPr>
            <w:tcW w:w="4537" w:type="dxa"/>
          </w:tcPr>
          <w:p>
            <w:pPr>
              <w:pStyle w:val="yTableNAm"/>
            </w:pPr>
            <w:r>
              <w:t>ALLYLBARBITURIC ACID</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6.</w:t>
            </w:r>
          </w:p>
        </w:tc>
        <w:tc>
          <w:tcPr>
            <w:tcW w:w="4537" w:type="dxa"/>
          </w:tcPr>
          <w:p>
            <w:pPr>
              <w:pStyle w:val="yTableNAm"/>
            </w:pPr>
            <w:r>
              <w:t>ALLYLPRODINE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7.</w:t>
            </w:r>
          </w:p>
        </w:tc>
        <w:tc>
          <w:tcPr>
            <w:tcW w:w="4537" w:type="dxa"/>
          </w:tcPr>
          <w:p>
            <w:pPr>
              <w:pStyle w:val="yTableNAm"/>
            </w:pPr>
            <w:r>
              <w:t>ALPHACETYLMETHADOL</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8.</w:t>
            </w:r>
          </w:p>
        </w:tc>
        <w:tc>
          <w:tcPr>
            <w:tcW w:w="4537" w:type="dxa"/>
          </w:tcPr>
          <w:p>
            <w:pPr>
              <w:pStyle w:val="yTableNAm"/>
            </w:pPr>
            <w:r>
              <w:t>ALPHAMEPRODINE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9.</w:t>
            </w:r>
          </w:p>
        </w:tc>
        <w:tc>
          <w:tcPr>
            <w:tcW w:w="4537" w:type="dxa"/>
          </w:tcPr>
          <w:p>
            <w:pPr>
              <w:pStyle w:val="yTableNAm"/>
            </w:pPr>
            <w:r>
              <w:t>ALPHAMETHADOL</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10.</w:t>
            </w:r>
          </w:p>
        </w:tc>
        <w:tc>
          <w:tcPr>
            <w:tcW w:w="4537" w:type="dxa"/>
          </w:tcPr>
          <w:p>
            <w:pPr>
              <w:pStyle w:val="yTableNAm"/>
            </w:pPr>
            <w:r>
              <w:t>ALPHAPRODINE</w:t>
            </w:r>
          </w:p>
        </w:tc>
        <w:tc>
          <w:tcPr>
            <w:tcW w:w="1531" w:type="dxa"/>
            <w:gridSpan w:val="2"/>
          </w:tcPr>
          <w:p>
            <w:pPr>
              <w:pStyle w:val="yTableNAm"/>
              <w:tabs>
                <w:tab w:val="clear" w:pos="567"/>
                <w:tab w:val="decimal" w:pos="463"/>
              </w:tabs>
            </w:pPr>
            <w:r>
              <w:t>75.0</w:t>
            </w:r>
          </w:p>
        </w:tc>
      </w:tr>
      <w:tr>
        <w:trPr>
          <w:cantSplit/>
        </w:trPr>
        <w:tc>
          <w:tcPr>
            <w:tcW w:w="1276" w:type="dxa"/>
          </w:tcPr>
          <w:p>
            <w:pPr>
              <w:pStyle w:val="yTableNAm"/>
            </w:pPr>
            <w:r>
              <w:t>11.</w:t>
            </w:r>
          </w:p>
        </w:tc>
        <w:tc>
          <w:tcPr>
            <w:tcW w:w="4537" w:type="dxa"/>
          </w:tcPr>
          <w:p>
            <w:pPr>
              <w:pStyle w:val="yTableNAm"/>
            </w:pPr>
            <w:r>
              <w:t>AMPHETAMINE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12.</w:t>
            </w:r>
          </w:p>
        </w:tc>
        <w:tc>
          <w:tcPr>
            <w:tcW w:w="4537" w:type="dxa"/>
          </w:tcPr>
          <w:p>
            <w:pPr>
              <w:pStyle w:val="yTableNAm"/>
            </w:pPr>
            <w:r>
              <w:t>AMYLOBARBITONE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13.</w:t>
            </w:r>
          </w:p>
        </w:tc>
        <w:tc>
          <w:tcPr>
            <w:tcW w:w="4537" w:type="dxa"/>
          </w:tcPr>
          <w:p>
            <w:pPr>
              <w:pStyle w:val="yTableNAm"/>
            </w:pPr>
            <w:r>
              <w:t>ANILERIDINE</w:t>
            </w:r>
          </w:p>
        </w:tc>
        <w:tc>
          <w:tcPr>
            <w:tcW w:w="1531" w:type="dxa"/>
            <w:gridSpan w:val="2"/>
          </w:tcPr>
          <w:p>
            <w:pPr>
              <w:pStyle w:val="yTableNAm"/>
              <w:tabs>
                <w:tab w:val="clear" w:pos="567"/>
                <w:tab w:val="decimal" w:pos="463"/>
              </w:tabs>
            </w:pPr>
            <w:r>
              <w:t>75.0</w:t>
            </w:r>
          </w:p>
        </w:tc>
      </w:tr>
      <w:tr>
        <w:trPr>
          <w:cantSplit/>
        </w:trPr>
        <w:tc>
          <w:tcPr>
            <w:tcW w:w="1276" w:type="dxa"/>
          </w:tcPr>
          <w:p>
            <w:pPr>
              <w:pStyle w:val="yTableNAm"/>
            </w:pPr>
            <w:r>
              <w:t>14.</w:t>
            </w:r>
          </w:p>
        </w:tc>
        <w:tc>
          <w:tcPr>
            <w:tcW w:w="4537" w:type="dxa"/>
          </w:tcPr>
          <w:p>
            <w:pPr>
              <w:pStyle w:val="yTableNAm"/>
            </w:pPr>
            <w:r>
              <w:t>APROBARBITONE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15.</w:t>
            </w:r>
          </w:p>
        </w:tc>
        <w:tc>
          <w:tcPr>
            <w:tcW w:w="4537" w:type="dxa"/>
          </w:tcPr>
          <w:p>
            <w:pPr>
              <w:pStyle w:val="yTableNAm"/>
            </w:pPr>
            <w:r>
              <w:t>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16.</w:t>
            </w:r>
          </w:p>
        </w:tc>
        <w:tc>
          <w:tcPr>
            <w:tcW w:w="4537" w:type="dxa"/>
          </w:tcPr>
          <w:p>
            <w:pPr>
              <w:pStyle w:val="yTableNAm"/>
            </w:pPr>
            <w:r>
              <w:t>BENZETHIDINE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lastRenderedPageBreak/>
              <w:t>17A.</w:t>
            </w:r>
          </w:p>
        </w:tc>
        <w:tc>
          <w:tcPr>
            <w:tcW w:w="4537" w:type="dxa"/>
          </w:tcPr>
          <w:p>
            <w:pPr>
              <w:pStyle w:val="yTableNAm"/>
            </w:pPr>
            <w:r>
              <w:t>BENZOYLINDOLES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17B.</w:t>
            </w:r>
          </w:p>
        </w:tc>
        <w:tc>
          <w:tcPr>
            <w:tcW w:w="4537" w:type="dxa"/>
          </w:tcPr>
          <w:p>
            <w:pPr>
              <w:pStyle w:val="yTableNAm"/>
            </w:pPr>
            <w:r>
              <w:t>BENZOYLINDOLES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17.</w:t>
            </w:r>
          </w:p>
        </w:tc>
        <w:tc>
          <w:tcPr>
            <w:tcW w:w="4537" w:type="dxa"/>
          </w:tcPr>
          <w:p>
            <w:pPr>
              <w:pStyle w:val="yTableNAm"/>
            </w:pPr>
            <w:r>
              <w:t>BENZYLMORPHINE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18A.</w:t>
            </w:r>
          </w:p>
        </w:tc>
        <w:tc>
          <w:tcPr>
            <w:tcW w:w="4537" w:type="dxa"/>
          </w:tcPr>
          <w:p>
            <w:pPr>
              <w:pStyle w:val="yTableNAm"/>
            </w:pPr>
            <w:r>
              <w:t>BENZYLPIPERAZINE (BZP)</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18.</w:t>
            </w:r>
          </w:p>
        </w:tc>
        <w:tc>
          <w:tcPr>
            <w:tcW w:w="4537" w:type="dxa"/>
          </w:tcPr>
          <w:p>
            <w:pPr>
              <w:pStyle w:val="yTableNAm"/>
            </w:pPr>
            <w:r>
              <w:t>BETACETYLMETHADOL</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19.</w:t>
            </w:r>
          </w:p>
        </w:tc>
        <w:tc>
          <w:tcPr>
            <w:tcW w:w="4537" w:type="dxa"/>
          </w:tcPr>
          <w:p>
            <w:pPr>
              <w:pStyle w:val="yTableNAm"/>
            </w:pPr>
            <w:r>
              <w:t>BETAMEPRODINE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20.</w:t>
            </w:r>
          </w:p>
        </w:tc>
        <w:tc>
          <w:tcPr>
            <w:tcW w:w="4537" w:type="dxa"/>
          </w:tcPr>
          <w:p>
            <w:pPr>
              <w:pStyle w:val="yTableNAm"/>
            </w:pPr>
            <w:r>
              <w:t>BETAMETHADOL</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21.</w:t>
            </w:r>
          </w:p>
        </w:tc>
        <w:tc>
          <w:tcPr>
            <w:tcW w:w="4537" w:type="dxa"/>
          </w:tcPr>
          <w:p>
            <w:pPr>
              <w:pStyle w:val="yTableNAm"/>
            </w:pPr>
            <w:r>
              <w:t>BETAPRODINE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22.</w:t>
            </w:r>
          </w:p>
        </w:tc>
        <w:tc>
          <w:tcPr>
            <w:tcW w:w="4537" w:type="dxa"/>
          </w:tcPr>
          <w:p>
            <w:pPr>
              <w:pStyle w:val="yTableNAm"/>
            </w:pPr>
            <w:r>
              <w:t>BEZITRAMIDE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23.</w:t>
            </w:r>
          </w:p>
        </w:tc>
        <w:tc>
          <w:tcPr>
            <w:tcW w:w="4537" w:type="dxa"/>
          </w:tcPr>
          <w:p>
            <w:pPr>
              <w:pStyle w:val="yTableNAm"/>
            </w:pPr>
            <w:r>
              <w:t>BUFOTENINE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24.</w:t>
            </w:r>
          </w:p>
        </w:tc>
        <w:tc>
          <w:tcPr>
            <w:tcW w:w="4537" w:type="dxa"/>
          </w:tcPr>
          <w:p>
            <w:pPr>
              <w:pStyle w:val="yTableNAm"/>
            </w:pPr>
            <w:r>
              <w:t>BUTOBARBITONE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25A.</w:t>
            </w:r>
          </w:p>
        </w:tc>
        <w:tc>
          <w:tcPr>
            <w:tcW w:w="4537" w:type="dxa"/>
          </w:tcPr>
          <w:p>
            <w:pPr>
              <w:pStyle w:val="yTableNAm"/>
            </w:pPr>
            <w:r>
              <w:rPr>
                <w:rFonts w:cs="Arial"/>
                <w:szCs w:val="24"/>
              </w:rPr>
              <w:t>1</w:t>
            </w:r>
            <w:r>
              <w:rPr>
                <w:rFonts w:cs="Arial"/>
                <w:szCs w:val="24"/>
              </w:rPr>
              <w:noBreakHyphen/>
              <w:t>BUTYL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073)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25B.</w:t>
            </w:r>
          </w:p>
        </w:tc>
        <w:tc>
          <w:tcPr>
            <w:tcW w:w="4537" w:type="dxa"/>
          </w:tcPr>
          <w:p>
            <w:pPr>
              <w:pStyle w:val="yTableNAm"/>
              <w:rPr>
                <w:rFonts w:cs="Arial"/>
                <w:szCs w:val="24"/>
              </w:rPr>
            </w:pPr>
            <w:r>
              <w:rPr>
                <w:rFonts w:cs="Arial"/>
                <w:szCs w:val="24"/>
              </w:rPr>
              <w:t>1</w:t>
            </w:r>
            <w:r>
              <w:rPr>
                <w:rFonts w:cs="Arial"/>
                <w:szCs w:val="24"/>
              </w:rPr>
              <w:noBreakHyphen/>
              <w:t>BUTYL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 xml:space="preserve">073) </w:t>
            </w:r>
            <w:r>
              <w:t>(in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25C.</w:t>
            </w:r>
          </w:p>
        </w:tc>
        <w:tc>
          <w:tcPr>
            <w:tcW w:w="4537" w:type="dxa"/>
          </w:tcPr>
          <w:p>
            <w:pPr>
              <w:pStyle w:val="yTableNAm"/>
              <w:rPr>
                <w:rFonts w:cs="Arial"/>
                <w:szCs w:val="24"/>
              </w:rPr>
            </w:pPr>
            <w:r>
              <w:rPr>
                <w:rFonts w:cs="Arial"/>
                <w:szCs w:val="24"/>
              </w:rPr>
              <w:t>1</w:t>
            </w:r>
            <w:r>
              <w:rPr>
                <w:rFonts w:cs="Arial"/>
                <w:szCs w:val="24"/>
              </w:rPr>
              <w:noBreakHyphen/>
              <w:t>BUTYL</w:t>
            </w:r>
            <w:r>
              <w:rPr>
                <w:rFonts w:cs="Arial"/>
                <w:szCs w:val="24"/>
              </w:rPr>
              <w:noBreakHyphen/>
              <w:t>N</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1H</w:t>
            </w:r>
            <w:r>
              <w:rPr>
                <w:rFonts w:cs="Arial"/>
                <w:szCs w:val="24"/>
              </w:rPr>
              <w:noBreakHyphen/>
              <w:t>INDOLE</w:t>
            </w:r>
            <w:r>
              <w:rPr>
                <w:rFonts w:cs="Arial"/>
                <w:szCs w:val="24"/>
              </w:rPr>
              <w:noBreakHyphen/>
              <w:t>3</w:t>
            </w:r>
            <w:r>
              <w:rPr>
                <w:rFonts w:cs="Arial"/>
                <w:szCs w:val="24"/>
              </w:rPr>
              <w:noBreakHyphen/>
              <w:t>CARBOXAMIDE (CUMYL-BICA) (plant material)</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t>25D.</w:t>
            </w:r>
          </w:p>
        </w:tc>
        <w:tc>
          <w:tcPr>
            <w:tcW w:w="4537" w:type="dxa"/>
          </w:tcPr>
          <w:p>
            <w:pPr>
              <w:pStyle w:val="yTableNAm"/>
              <w:rPr>
                <w:rFonts w:cs="Arial"/>
                <w:szCs w:val="24"/>
              </w:rPr>
            </w:pPr>
            <w:r>
              <w:rPr>
                <w:rFonts w:cs="Arial"/>
                <w:szCs w:val="24"/>
              </w:rPr>
              <w:t>1</w:t>
            </w:r>
            <w:r>
              <w:rPr>
                <w:rFonts w:cs="Arial"/>
                <w:szCs w:val="24"/>
              </w:rPr>
              <w:noBreakHyphen/>
              <w:t>BUTYL</w:t>
            </w:r>
            <w:r>
              <w:rPr>
                <w:rFonts w:cs="Arial"/>
                <w:szCs w:val="24"/>
              </w:rPr>
              <w:noBreakHyphen/>
              <w:t>N</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1H</w:t>
            </w:r>
            <w:r>
              <w:rPr>
                <w:rFonts w:cs="Arial"/>
                <w:szCs w:val="24"/>
              </w:rPr>
              <w:noBreakHyphen/>
              <w:t>INDOLE</w:t>
            </w:r>
            <w:r>
              <w:rPr>
                <w:rFonts w:cs="Arial"/>
                <w:szCs w:val="24"/>
              </w:rPr>
              <w:noBreakHyphen/>
              <w:t>3</w:t>
            </w:r>
            <w:r>
              <w:rPr>
                <w:rFonts w:cs="Arial"/>
                <w:szCs w:val="24"/>
              </w:rPr>
              <w:noBreakHyphen/>
              <w:t xml:space="preserve">CARBOXAMIDE (CUMYL-BICA) </w:t>
            </w:r>
            <w:r>
              <w:t>(in any form except plant material)</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25.</w:t>
            </w:r>
          </w:p>
        </w:tc>
        <w:tc>
          <w:tcPr>
            <w:tcW w:w="4537" w:type="dxa"/>
          </w:tcPr>
          <w:p>
            <w:pPr>
              <w:pStyle w:val="yTableNAm"/>
            </w:pPr>
            <w:r>
              <w:t>CANNABIS</w:t>
            </w:r>
          </w:p>
        </w:tc>
        <w:tc>
          <w:tcPr>
            <w:tcW w:w="1531" w:type="dxa"/>
            <w:gridSpan w:val="2"/>
          </w:tcPr>
          <w:p>
            <w:pPr>
              <w:pStyle w:val="yTableNAm"/>
              <w:tabs>
                <w:tab w:val="clear" w:pos="567"/>
                <w:tab w:val="decimal" w:pos="463"/>
              </w:tabs>
            </w:pPr>
            <w:r>
              <w:t>500.0</w:t>
            </w:r>
          </w:p>
        </w:tc>
      </w:tr>
      <w:tr>
        <w:trPr>
          <w:cantSplit/>
        </w:trPr>
        <w:tc>
          <w:tcPr>
            <w:tcW w:w="1276" w:type="dxa"/>
          </w:tcPr>
          <w:p>
            <w:pPr>
              <w:pStyle w:val="yTableNAm"/>
            </w:pPr>
            <w:r>
              <w:t>26.</w:t>
            </w:r>
          </w:p>
        </w:tc>
        <w:tc>
          <w:tcPr>
            <w:tcW w:w="4537" w:type="dxa"/>
          </w:tcPr>
          <w:p>
            <w:pPr>
              <w:pStyle w:val="yTableNAm"/>
            </w:pPr>
            <w:r>
              <w:t>CANNABIS RESIN</w:t>
            </w:r>
          </w:p>
        </w:tc>
        <w:tc>
          <w:tcPr>
            <w:tcW w:w="1531" w:type="dxa"/>
            <w:gridSpan w:val="2"/>
          </w:tcPr>
          <w:p>
            <w:pPr>
              <w:pStyle w:val="yTableNAm"/>
              <w:tabs>
                <w:tab w:val="clear" w:pos="567"/>
                <w:tab w:val="decimal" w:pos="463"/>
              </w:tabs>
            </w:pPr>
            <w:r>
              <w:t>40.0</w:t>
            </w:r>
          </w:p>
        </w:tc>
      </w:tr>
      <w:tr>
        <w:trPr>
          <w:cantSplit/>
        </w:trPr>
        <w:tc>
          <w:tcPr>
            <w:tcW w:w="1276" w:type="dxa"/>
          </w:tcPr>
          <w:p>
            <w:pPr>
              <w:pStyle w:val="yTableNAm"/>
            </w:pPr>
            <w:r>
              <w:lastRenderedPageBreak/>
              <w:t>27.</w:t>
            </w:r>
          </w:p>
        </w:tc>
        <w:tc>
          <w:tcPr>
            <w:tcW w:w="4537" w:type="dxa"/>
          </w:tcPr>
          <w:p>
            <w:pPr>
              <w:pStyle w:val="yTableNAm"/>
            </w:pPr>
            <w:r>
              <w:t>CANNABIS (in cigarette form)</w:t>
            </w:r>
          </w:p>
        </w:tc>
        <w:tc>
          <w:tcPr>
            <w:tcW w:w="1531" w:type="dxa"/>
            <w:gridSpan w:val="2"/>
          </w:tcPr>
          <w:p>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trPr>
          <w:cantSplit/>
        </w:trPr>
        <w:tc>
          <w:tcPr>
            <w:tcW w:w="1276" w:type="dxa"/>
          </w:tcPr>
          <w:p>
            <w:pPr>
              <w:pStyle w:val="yTableNAm"/>
            </w:pPr>
            <w:r>
              <w:t>28.</w:t>
            </w:r>
          </w:p>
        </w:tc>
        <w:tc>
          <w:tcPr>
            <w:tcW w:w="4537" w:type="dxa"/>
          </w:tcPr>
          <w:p>
            <w:pPr>
              <w:pStyle w:val="yTableNAm"/>
            </w:pPr>
            <w:r>
              <w:t>CLONITAZENE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29.</w:t>
            </w:r>
          </w:p>
        </w:tc>
        <w:tc>
          <w:tcPr>
            <w:tcW w:w="4537" w:type="dxa"/>
          </w:tcPr>
          <w:p>
            <w:pPr>
              <w:pStyle w:val="yTableNAm"/>
            </w:pPr>
            <w:r>
              <w:t>COCAINE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30.</w:t>
            </w:r>
          </w:p>
        </w:tc>
        <w:tc>
          <w:tcPr>
            <w:tcW w:w="4537" w:type="dxa"/>
          </w:tcPr>
          <w:p>
            <w:pPr>
              <w:pStyle w:val="yTableNAm"/>
            </w:pPr>
            <w:r>
              <w:t xml:space="preserve">CODEINE (except when a Schedule 2, 3 or 4 poison as defined in the </w:t>
            </w:r>
            <w:r>
              <w:rPr>
                <w:i/>
              </w:rPr>
              <w:t>Medicines and Poisons Act 2014</w:t>
            </w:r>
            <w:r>
              <w:t>)</w:t>
            </w:r>
          </w:p>
        </w:tc>
        <w:tc>
          <w:tcPr>
            <w:tcW w:w="1531" w:type="dxa"/>
            <w:gridSpan w:val="2"/>
          </w:tcPr>
          <w:p>
            <w:pPr>
              <w:pStyle w:val="yTableNAm"/>
              <w:tabs>
                <w:tab w:val="clear" w:pos="567"/>
                <w:tab w:val="decimal" w:pos="463"/>
              </w:tabs>
            </w:pPr>
            <w:r>
              <w:br/>
            </w:r>
            <w:r>
              <w:br/>
              <w:t>30.0</w:t>
            </w:r>
          </w:p>
        </w:tc>
      </w:tr>
      <w:tr>
        <w:trPr>
          <w:cantSplit/>
        </w:trPr>
        <w:tc>
          <w:tcPr>
            <w:tcW w:w="1276" w:type="dxa"/>
          </w:tcPr>
          <w:p>
            <w:pPr>
              <w:pStyle w:val="yTableNAm"/>
            </w:pPr>
            <w:r>
              <w:t>31.</w:t>
            </w:r>
          </w:p>
        </w:tc>
        <w:tc>
          <w:tcPr>
            <w:tcW w:w="4537" w:type="dxa"/>
          </w:tcPr>
          <w:p>
            <w:pPr>
              <w:pStyle w:val="yTableNAm"/>
            </w:pPr>
            <w:r>
              <w:t>CODEINE</w:t>
            </w:r>
            <w:r>
              <w:noBreakHyphen/>
              <w:t>N</w:t>
            </w:r>
            <w:r>
              <w:noBreakHyphen/>
              <w:t>OXIDE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32.</w:t>
            </w:r>
          </w:p>
        </w:tc>
        <w:tc>
          <w:tcPr>
            <w:tcW w:w="4537" w:type="dxa"/>
          </w:tcPr>
          <w:p>
            <w:pPr>
              <w:pStyle w:val="yTableNAm"/>
            </w:pPr>
            <w:r>
              <w:t>CODOXIME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32A.</w:t>
            </w:r>
          </w:p>
        </w:tc>
        <w:tc>
          <w:tcPr>
            <w:tcW w:w="4537" w:type="dxa"/>
          </w:tcPr>
          <w:p>
            <w:pPr>
              <w:pStyle w:val="yTableNAm"/>
            </w:pPr>
            <w:r>
              <w:rPr>
                <w:rFonts w:cs="Arial"/>
                <w:szCs w:val="24"/>
              </w:rPr>
              <w:t>1</w:t>
            </w:r>
            <w:r>
              <w:rPr>
                <w:rFonts w:cs="Arial"/>
                <w:szCs w:val="24"/>
              </w:rPr>
              <w:noBreakHyphen/>
              <w:t>(4</w:t>
            </w:r>
            <w:r>
              <w:rPr>
                <w:rFonts w:cs="Arial"/>
                <w:szCs w:val="24"/>
              </w:rPr>
              <w:noBreakHyphen/>
              <w:t>CYANOBUTYL)</w:t>
            </w:r>
            <w:r>
              <w:rPr>
                <w:rFonts w:cs="Arial"/>
                <w:szCs w:val="24"/>
              </w:rPr>
              <w:noBreakHyphen/>
              <w:t>N</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1H</w:t>
            </w:r>
            <w:r>
              <w:rPr>
                <w:rFonts w:cs="Arial"/>
                <w:szCs w:val="24"/>
              </w:rPr>
              <w:noBreakHyphen/>
              <w:t>INDAZOLE</w:t>
            </w:r>
            <w:r>
              <w:rPr>
                <w:rFonts w:cs="Arial"/>
                <w:szCs w:val="24"/>
              </w:rPr>
              <w:noBreakHyphen/>
              <w:t>3</w:t>
            </w:r>
            <w:r>
              <w:rPr>
                <w:rFonts w:cs="Arial"/>
                <w:szCs w:val="24"/>
              </w:rPr>
              <w:noBreakHyphen/>
              <w:t>CARBOXAMIDE (SGT</w:t>
            </w:r>
            <w:r>
              <w:rPr>
                <w:rFonts w:cs="Arial"/>
                <w:szCs w:val="24"/>
              </w:rPr>
              <w:noBreakHyphen/>
              <w:t>78; 4</w:t>
            </w:r>
            <w:r>
              <w:rPr>
                <w:rFonts w:cs="Arial"/>
                <w:szCs w:val="24"/>
              </w:rPr>
              <w:noBreakHyphen/>
              <w:t>CN</w:t>
            </w:r>
            <w:r>
              <w:rPr>
                <w:rFonts w:cs="Arial"/>
                <w:szCs w:val="24"/>
              </w:rPr>
              <w:noBreakHyphen/>
              <w:t>CUMYL</w:t>
            </w:r>
            <w:r>
              <w:rPr>
                <w:rFonts w:cs="Arial"/>
                <w:szCs w:val="24"/>
              </w:rPr>
              <w:noBreakHyphen/>
              <w:t>BINACA; CUMYL</w:t>
            </w:r>
            <w:r>
              <w:rPr>
                <w:rFonts w:cs="Arial"/>
                <w:szCs w:val="24"/>
              </w:rPr>
              <w:noBreakHyphen/>
              <w:t>CB</w:t>
            </w:r>
            <w:r>
              <w:rPr>
                <w:rFonts w:cs="Arial"/>
                <w:szCs w:val="24"/>
              </w:rPr>
              <w:noBreakHyphen/>
              <w:t>PINACA; CUMYL</w:t>
            </w:r>
            <w:r>
              <w:rPr>
                <w:rFonts w:cs="Arial"/>
                <w:szCs w:val="24"/>
              </w:rPr>
              <w:noBreakHyphen/>
              <w:t>CYBINACA; 4</w:t>
            </w:r>
            <w:r>
              <w:rPr>
                <w:rFonts w:cs="Arial"/>
                <w:szCs w:val="24"/>
              </w:rPr>
              <w:noBreakHyphen/>
              <w:t>CYANO CUMYL</w:t>
            </w:r>
            <w:r>
              <w:rPr>
                <w:rFonts w:cs="Arial"/>
                <w:szCs w:val="24"/>
              </w:rPr>
              <w:noBreakHyphen/>
              <w:t>BUTINACA) (</w:t>
            </w:r>
            <w:r>
              <w:rPr>
                <w:rFonts w:cs="Arial"/>
                <w:bCs/>
                <w:szCs w:val="24"/>
              </w:rPr>
              <w:t>plant material</w:t>
            </w:r>
            <w:r>
              <w:rPr>
                <w:rFonts w:cs="Arial"/>
                <w:szCs w:val="24"/>
              </w:rPr>
              <w:t>)</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t>32B.</w:t>
            </w:r>
          </w:p>
        </w:tc>
        <w:tc>
          <w:tcPr>
            <w:tcW w:w="4537" w:type="dxa"/>
          </w:tcPr>
          <w:p>
            <w:pPr>
              <w:pStyle w:val="yTableNAm"/>
            </w:pPr>
            <w:r>
              <w:rPr>
                <w:rFonts w:cs="Arial"/>
                <w:szCs w:val="24"/>
              </w:rPr>
              <w:t>1</w:t>
            </w:r>
            <w:r>
              <w:rPr>
                <w:rFonts w:cs="Arial"/>
                <w:szCs w:val="24"/>
              </w:rPr>
              <w:noBreakHyphen/>
              <w:t>(4</w:t>
            </w:r>
            <w:r>
              <w:rPr>
                <w:rFonts w:cs="Arial"/>
                <w:szCs w:val="24"/>
              </w:rPr>
              <w:noBreakHyphen/>
              <w:t>CYANOBUTYL)</w:t>
            </w:r>
            <w:r>
              <w:rPr>
                <w:rFonts w:cs="Arial"/>
                <w:szCs w:val="24"/>
              </w:rPr>
              <w:noBreakHyphen/>
              <w:t>N</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1H</w:t>
            </w:r>
            <w:r>
              <w:rPr>
                <w:rFonts w:cs="Arial"/>
                <w:szCs w:val="24"/>
              </w:rPr>
              <w:noBreakHyphen/>
              <w:t>INDAZOLE</w:t>
            </w:r>
            <w:r>
              <w:rPr>
                <w:rFonts w:cs="Arial"/>
                <w:szCs w:val="24"/>
              </w:rPr>
              <w:noBreakHyphen/>
              <w:t>3</w:t>
            </w:r>
            <w:r>
              <w:rPr>
                <w:rFonts w:cs="Arial"/>
                <w:szCs w:val="24"/>
              </w:rPr>
              <w:noBreakHyphen/>
              <w:t>CARBOXAMIDE (SGT</w:t>
            </w:r>
            <w:r>
              <w:rPr>
                <w:rFonts w:cs="Arial"/>
                <w:szCs w:val="24"/>
              </w:rPr>
              <w:noBreakHyphen/>
              <w:t>78; 4</w:t>
            </w:r>
            <w:r>
              <w:rPr>
                <w:rFonts w:cs="Arial"/>
                <w:szCs w:val="24"/>
              </w:rPr>
              <w:noBreakHyphen/>
              <w:t>CN</w:t>
            </w:r>
            <w:r>
              <w:rPr>
                <w:rFonts w:cs="Arial"/>
                <w:szCs w:val="24"/>
              </w:rPr>
              <w:noBreakHyphen/>
              <w:t>CUMYL</w:t>
            </w:r>
            <w:r>
              <w:rPr>
                <w:rFonts w:cs="Arial"/>
                <w:szCs w:val="24"/>
              </w:rPr>
              <w:noBreakHyphen/>
              <w:t>BINACA; CUMYL</w:t>
            </w:r>
            <w:r>
              <w:rPr>
                <w:rFonts w:cs="Arial"/>
                <w:szCs w:val="24"/>
              </w:rPr>
              <w:noBreakHyphen/>
              <w:t>CB</w:t>
            </w:r>
            <w:r>
              <w:rPr>
                <w:rFonts w:cs="Arial"/>
                <w:szCs w:val="24"/>
              </w:rPr>
              <w:noBreakHyphen/>
              <w:t>PINACA; CUMYL</w:t>
            </w:r>
            <w:r>
              <w:rPr>
                <w:rFonts w:cs="Arial"/>
                <w:szCs w:val="24"/>
              </w:rPr>
              <w:noBreakHyphen/>
              <w:t>CYBINACA; 4</w:t>
            </w:r>
            <w:r>
              <w:rPr>
                <w:rFonts w:cs="Arial"/>
                <w:szCs w:val="24"/>
              </w:rPr>
              <w:noBreakHyphen/>
              <w:t>CYANO CUMYL</w:t>
            </w:r>
            <w:r>
              <w:rPr>
                <w:rFonts w:cs="Arial"/>
                <w:szCs w:val="24"/>
              </w:rPr>
              <w:noBreakHyphen/>
              <w:t>BUTINACA) (</w:t>
            </w:r>
            <w:r>
              <w:rPr>
                <w:rFonts w:cs="Arial"/>
                <w:bCs/>
                <w:szCs w:val="24"/>
              </w:rPr>
              <w:t>in any form except plant material</w:t>
            </w:r>
            <w:r>
              <w:rPr>
                <w:rFonts w:cs="Arial"/>
                <w:szCs w:val="24"/>
              </w:rPr>
              <w:t>)</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33.</w:t>
            </w:r>
          </w:p>
        </w:tc>
        <w:tc>
          <w:tcPr>
            <w:tcW w:w="4537" w:type="dxa"/>
          </w:tcPr>
          <w:p>
            <w:pPr>
              <w:pStyle w:val="yTableNAm"/>
            </w:pPr>
            <w:r>
              <w:t>CYCLOBARBITONE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33A.</w:t>
            </w:r>
          </w:p>
        </w:tc>
        <w:tc>
          <w:tcPr>
            <w:tcW w:w="4537" w:type="dxa"/>
          </w:tcPr>
          <w:p>
            <w:pPr>
              <w:pStyle w:val="yTableNAm"/>
            </w:pPr>
            <w:r>
              <w:rPr>
                <w:rFonts w:cs="Arial"/>
                <w:szCs w:val="24"/>
              </w:rPr>
              <w:t>1</w:t>
            </w:r>
            <w:r>
              <w:rPr>
                <w:rFonts w:cs="Arial"/>
                <w:szCs w:val="24"/>
              </w:rPr>
              <w:noBreakHyphen/>
              <w:t>CYCLOHEXYL</w:t>
            </w:r>
            <w:r>
              <w:rPr>
                <w:rFonts w:cs="Arial"/>
                <w:szCs w:val="24"/>
              </w:rPr>
              <w:noBreakHyphen/>
              <w:t>4</w:t>
            </w:r>
            <w:r>
              <w:rPr>
                <w:rFonts w:cs="Arial"/>
                <w:szCs w:val="24"/>
              </w:rPr>
              <w:noBreakHyphen/>
              <w:t>(1,2</w:t>
            </w:r>
            <w:r>
              <w:rPr>
                <w:rFonts w:cs="Arial"/>
                <w:szCs w:val="24"/>
              </w:rPr>
              <w:noBreakHyphen/>
              <w:t>DIPHENYLETHYL)PIPERAZINE (MT</w:t>
            </w:r>
            <w:r>
              <w:rPr>
                <w:rFonts w:cs="Arial"/>
                <w:szCs w:val="24"/>
              </w:rPr>
              <w:noBreakHyphen/>
              <w:t>45; IC</w:t>
            </w:r>
            <w:r>
              <w:rPr>
                <w:rFonts w:cs="Arial"/>
                <w:szCs w:val="24"/>
              </w:rPr>
              <w:noBreakHyphen/>
              <w:t>6)</w:t>
            </w:r>
          </w:p>
        </w:tc>
        <w:tc>
          <w:tcPr>
            <w:tcW w:w="1531" w:type="dxa"/>
            <w:gridSpan w:val="2"/>
            <w:vAlign w:val="bottom"/>
          </w:tcPr>
          <w:p>
            <w:pPr>
              <w:pStyle w:val="yTableNAm"/>
              <w:tabs>
                <w:tab w:val="clear" w:pos="567"/>
                <w:tab w:val="decimal" w:pos="463"/>
              </w:tabs>
            </w:pPr>
            <w:r>
              <w:t>6.0</w:t>
            </w:r>
          </w:p>
        </w:tc>
      </w:tr>
      <w:tr>
        <w:trPr>
          <w:cantSplit/>
        </w:trPr>
        <w:tc>
          <w:tcPr>
            <w:tcW w:w="1276" w:type="dxa"/>
          </w:tcPr>
          <w:p>
            <w:pPr>
              <w:pStyle w:val="yTableNAm"/>
            </w:pPr>
            <w:r>
              <w:t>34A.</w:t>
            </w:r>
          </w:p>
        </w:tc>
        <w:tc>
          <w:tcPr>
            <w:tcW w:w="4537" w:type="dxa"/>
          </w:tcPr>
          <w:p>
            <w:pPr>
              <w:pStyle w:val="yTableNAm"/>
            </w:pPr>
            <w:r>
              <w:rPr>
                <w:rFonts w:cs="Arial"/>
                <w:szCs w:val="24"/>
              </w:rPr>
              <w:t>1</w:t>
            </w:r>
            <w:r>
              <w:rPr>
                <w:rFonts w:cs="Arial"/>
                <w:szCs w:val="24"/>
              </w:rPr>
              <w:noBreakHyphen/>
              <w:t>CYCLOHEXYLETHYL</w:t>
            </w:r>
            <w:r>
              <w:rPr>
                <w:rFonts w:cs="Arial"/>
                <w:szCs w:val="24"/>
              </w:rPr>
              <w:noBreakHyphen/>
              <w:t>3</w:t>
            </w:r>
            <w:r>
              <w:rPr>
                <w:rFonts w:cs="Arial"/>
                <w:szCs w:val="24"/>
              </w:rPr>
              <w:noBreakHyphen/>
              <w:t>(2</w:t>
            </w:r>
            <w:r>
              <w:rPr>
                <w:rFonts w:cs="Arial"/>
                <w:szCs w:val="24"/>
              </w:rPr>
              <w:noBreakHyphen/>
            </w:r>
            <w:r>
              <w:rPr>
                <w:rFonts w:cs="Arial"/>
                <w:szCs w:val="24"/>
              </w:rPr>
              <w:br/>
              <w:t>METHOXYPHENYLACETYL) INDOLE (RCS</w:t>
            </w:r>
            <w:r>
              <w:rPr>
                <w:rFonts w:cs="Arial"/>
                <w:szCs w:val="24"/>
              </w:rPr>
              <w:noBreakHyphen/>
              <w:t>8)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lastRenderedPageBreak/>
              <w:t>34AA.</w:t>
            </w:r>
          </w:p>
        </w:tc>
        <w:tc>
          <w:tcPr>
            <w:tcW w:w="4537" w:type="dxa"/>
          </w:tcPr>
          <w:p>
            <w:pPr>
              <w:pStyle w:val="yTableNAm"/>
              <w:rPr>
                <w:rFonts w:cs="Arial"/>
                <w:szCs w:val="24"/>
              </w:rPr>
            </w:pPr>
            <w:r>
              <w:rPr>
                <w:rFonts w:cs="Arial"/>
                <w:szCs w:val="24"/>
              </w:rPr>
              <w:t>1</w:t>
            </w:r>
            <w:r>
              <w:rPr>
                <w:rFonts w:cs="Arial"/>
                <w:szCs w:val="24"/>
              </w:rPr>
              <w:noBreakHyphen/>
              <w:t>CYCLOHEXYLETHYL</w:t>
            </w:r>
            <w:r>
              <w:rPr>
                <w:rFonts w:cs="Arial"/>
                <w:szCs w:val="24"/>
              </w:rPr>
              <w:noBreakHyphen/>
              <w:t>3</w:t>
            </w:r>
            <w:r>
              <w:rPr>
                <w:rFonts w:cs="Arial"/>
                <w:szCs w:val="24"/>
              </w:rPr>
              <w:noBreakHyphen/>
              <w:t>(2</w:t>
            </w:r>
            <w:r>
              <w:rPr>
                <w:rFonts w:cs="Arial"/>
                <w:szCs w:val="24"/>
              </w:rPr>
              <w:noBreakHyphen/>
            </w:r>
            <w:r>
              <w:rPr>
                <w:rFonts w:cs="Arial"/>
                <w:szCs w:val="24"/>
              </w:rPr>
              <w:br/>
              <w:t>METHOXYPHENYLACETYL) INDOLE (RCS</w:t>
            </w:r>
            <w:r>
              <w:rPr>
                <w:rFonts w:cs="Arial"/>
                <w:szCs w:val="24"/>
              </w:rPr>
              <w:noBreakHyphen/>
              <w:t xml:space="preserve">8) </w:t>
            </w:r>
            <w:r>
              <w:t>(in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34B.</w:t>
            </w:r>
          </w:p>
        </w:tc>
        <w:tc>
          <w:tcPr>
            <w:tcW w:w="4537" w:type="dxa"/>
          </w:tcPr>
          <w:p>
            <w:pPr>
              <w:pStyle w:val="yTableNAm"/>
            </w:pPr>
            <w:r>
              <w:rPr>
                <w:rFonts w:cs="Arial"/>
                <w:szCs w:val="24"/>
              </w:rPr>
              <w:t xml:space="preserve">CYCLOHEXYLPHENOLS </w:t>
            </w:r>
            <w:r>
              <w:t>(plant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34C.</w:t>
            </w:r>
          </w:p>
        </w:tc>
        <w:tc>
          <w:tcPr>
            <w:tcW w:w="4537" w:type="dxa"/>
          </w:tcPr>
          <w:p>
            <w:pPr>
              <w:pStyle w:val="yTableNAm"/>
              <w:rPr>
                <w:rFonts w:cs="Arial"/>
                <w:szCs w:val="24"/>
              </w:rPr>
            </w:pPr>
            <w:r>
              <w:rPr>
                <w:rFonts w:cs="Arial"/>
                <w:szCs w:val="24"/>
              </w:rPr>
              <w:t xml:space="preserve">CYCLOHEXYLPHENOLS </w:t>
            </w:r>
            <w:r>
              <w:t>(in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34.</w:t>
            </w:r>
          </w:p>
        </w:tc>
        <w:tc>
          <w:tcPr>
            <w:tcW w:w="4537" w:type="dxa"/>
          </w:tcPr>
          <w:p>
            <w:pPr>
              <w:pStyle w:val="yTableNAm"/>
            </w:pPr>
            <w:r>
              <w:t>DESOMORPHINE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35.</w:t>
            </w:r>
          </w:p>
        </w:tc>
        <w:tc>
          <w:tcPr>
            <w:tcW w:w="4537" w:type="dxa"/>
          </w:tcPr>
          <w:p>
            <w:pPr>
              <w:pStyle w:val="yTableNAm"/>
            </w:pPr>
            <w:r>
              <w:t>DEXAMPHETAMINE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36.</w:t>
            </w:r>
          </w:p>
        </w:tc>
        <w:tc>
          <w:tcPr>
            <w:tcW w:w="4537" w:type="dxa"/>
          </w:tcPr>
          <w:p>
            <w:pPr>
              <w:pStyle w:val="yTableNAm"/>
            </w:pPr>
            <w:r>
              <w:t>DEXTROMORAMIDE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37.</w:t>
            </w:r>
          </w:p>
        </w:tc>
        <w:tc>
          <w:tcPr>
            <w:tcW w:w="4537" w:type="dxa"/>
          </w:tcPr>
          <w:p>
            <w:pPr>
              <w:pStyle w:val="yTableNAm"/>
            </w:pPr>
            <w:r>
              <w:t>DIAMPROMIDE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38A.</w:t>
            </w:r>
          </w:p>
        </w:tc>
        <w:tc>
          <w:tcPr>
            <w:tcW w:w="4537" w:type="dxa"/>
          </w:tcPr>
          <w:p>
            <w:pPr>
              <w:pStyle w:val="yTableNAm"/>
            </w:pPr>
            <w:r>
              <w:rPr>
                <w:rFonts w:cs="Arial"/>
                <w:szCs w:val="24"/>
              </w:rPr>
              <w:t>DIBENZOPYRANS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38B.</w:t>
            </w:r>
          </w:p>
        </w:tc>
        <w:tc>
          <w:tcPr>
            <w:tcW w:w="4537" w:type="dxa"/>
          </w:tcPr>
          <w:p>
            <w:pPr>
              <w:pStyle w:val="yTableNAm"/>
              <w:rPr>
                <w:rFonts w:cs="Arial"/>
                <w:szCs w:val="24"/>
              </w:rPr>
            </w:pPr>
            <w:r>
              <w:rPr>
                <w:rFonts w:cs="Arial"/>
                <w:szCs w:val="24"/>
              </w:rPr>
              <w:t xml:space="preserve">DIBENZOPYRANS </w:t>
            </w:r>
            <w:r>
              <w:t>(in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38.</w:t>
            </w:r>
          </w:p>
        </w:tc>
        <w:tc>
          <w:tcPr>
            <w:tcW w:w="4537" w:type="dxa"/>
          </w:tcPr>
          <w:p>
            <w:pPr>
              <w:pStyle w:val="yTableNAm"/>
            </w:pPr>
            <w:r>
              <w:t>DIETHYLTHIAMBUTENE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39.</w:t>
            </w:r>
          </w:p>
        </w:tc>
        <w:tc>
          <w:tcPr>
            <w:tcW w:w="4537" w:type="dxa"/>
          </w:tcPr>
          <w:p>
            <w:pPr>
              <w:pStyle w:val="yTableNAm"/>
            </w:pPr>
            <w:r>
              <w:t>DIFENOXIN (excluding preparations containing, per dosage unit, not more than 0.5 mg of difenoxin and a quantity of atropine sulphate equivalent to at least 5% of the dose of difenoxin)</w:t>
            </w:r>
          </w:p>
        </w:tc>
        <w:tc>
          <w:tcPr>
            <w:tcW w:w="1531" w:type="dxa"/>
            <w:gridSpan w:val="2"/>
          </w:tcPr>
          <w:p>
            <w:pPr>
              <w:pStyle w:val="yTableNAm"/>
              <w:tabs>
                <w:tab w:val="clear" w:pos="567"/>
                <w:tab w:val="decimal" w:pos="463"/>
              </w:tabs>
            </w:pPr>
            <w:r>
              <w:br/>
            </w:r>
            <w:r>
              <w:br/>
            </w:r>
            <w:r>
              <w:br/>
              <w:t>30.0</w:t>
            </w:r>
          </w:p>
        </w:tc>
      </w:tr>
      <w:tr>
        <w:trPr>
          <w:cantSplit/>
        </w:trPr>
        <w:tc>
          <w:tcPr>
            <w:tcW w:w="1276" w:type="dxa"/>
          </w:tcPr>
          <w:p>
            <w:pPr>
              <w:pStyle w:val="yTableNAm"/>
            </w:pPr>
            <w:r>
              <w:t>40.</w:t>
            </w:r>
          </w:p>
        </w:tc>
        <w:tc>
          <w:tcPr>
            <w:tcW w:w="4537" w:type="dxa"/>
          </w:tcPr>
          <w:p>
            <w:pPr>
              <w:pStyle w:val="yTableNAm"/>
            </w:pPr>
            <w:r>
              <w:t xml:space="preserve">DIHYDROCODEINE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30.0</w:t>
            </w:r>
          </w:p>
        </w:tc>
      </w:tr>
      <w:tr>
        <w:trPr>
          <w:cantSplit/>
        </w:trPr>
        <w:tc>
          <w:tcPr>
            <w:tcW w:w="1276" w:type="dxa"/>
          </w:tcPr>
          <w:p>
            <w:pPr>
              <w:pStyle w:val="yTableNAm"/>
            </w:pPr>
            <w:r>
              <w:t>40A.</w:t>
            </w:r>
          </w:p>
        </w:tc>
        <w:tc>
          <w:tcPr>
            <w:tcW w:w="4537" w:type="dxa"/>
          </w:tcPr>
          <w:p>
            <w:pPr>
              <w:pStyle w:val="yTableNAm"/>
            </w:pPr>
            <w:r>
              <w:rPr>
                <w:rFonts w:cs="Arial"/>
                <w:szCs w:val="24"/>
              </w:rPr>
              <w:t>2,5</w:t>
            </w:r>
            <w:r>
              <w:rPr>
                <w:rFonts w:cs="Arial"/>
                <w:szCs w:val="24"/>
              </w:rPr>
              <w:noBreakHyphen/>
              <w:t>DIHYDRO</w:t>
            </w:r>
            <w:r>
              <w:rPr>
                <w:rFonts w:cs="Arial"/>
                <w:szCs w:val="24"/>
              </w:rPr>
              <w:noBreakHyphen/>
              <w:t>2</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5</w:t>
            </w:r>
            <w:r>
              <w:rPr>
                <w:rFonts w:cs="Arial"/>
                <w:szCs w:val="24"/>
              </w:rPr>
              <w:noBreakHyphen/>
              <w:t>PENTYL</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(CUMYL</w:t>
            </w:r>
            <w:r>
              <w:rPr>
                <w:rFonts w:cs="Arial"/>
                <w:szCs w:val="24"/>
              </w:rPr>
              <w:noBreakHyphen/>
              <w:t>PEGACLONE; SGT</w:t>
            </w:r>
            <w:r>
              <w:rPr>
                <w:rFonts w:cs="Arial"/>
                <w:szCs w:val="24"/>
              </w:rPr>
              <w:noBreakHyphen/>
              <w:t>151) (</w:t>
            </w:r>
            <w:r>
              <w:rPr>
                <w:rFonts w:cs="Arial"/>
                <w:bCs/>
                <w:szCs w:val="24"/>
              </w:rPr>
              <w:t>plant material</w:t>
            </w:r>
            <w:r>
              <w:rPr>
                <w:rFonts w:cs="Arial"/>
                <w:szCs w:val="24"/>
              </w:rPr>
              <w:t>)</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lastRenderedPageBreak/>
              <w:t>40B.</w:t>
            </w:r>
          </w:p>
        </w:tc>
        <w:tc>
          <w:tcPr>
            <w:tcW w:w="4537" w:type="dxa"/>
          </w:tcPr>
          <w:p>
            <w:pPr>
              <w:pStyle w:val="yTableNAm"/>
            </w:pPr>
            <w:r>
              <w:rPr>
                <w:rFonts w:cs="Arial"/>
                <w:szCs w:val="24"/>
              </w:rPr>
              <w:t>2,5</w:t>
            </w:r>
            <w:r>
              <w:rPr>
                <w:rFonts w:cs="Arial"/>
                <w:szCs w:val="24"/>
              </w:rPr>
              <w:noBreakHyphen/>
              <w:t>DIHYDRO</w:t>
            </w:r>
            <w:r>
              <w:rPr>
                <w:rFonts w:cs="Arial"/>
                <w:szCs w:val="24"/>
              </w:rPr>
              <w:noBreakHyphen/>
              <w:t>2</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5</w:t>
            </w:r>
            <w:r>
              <w:rPr>
                <w:rFonts w:cs="Arial"/>
                <w:szCs w:val="24"/>
              </w:rPr>
              <w:noBreakHyphen/>
              <w:t>PENTYL</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(CUMYL</w:t>
            </w:r>
            <w:r>
              <w:rPr>
                <w:rFonts w:cs="Arial"/>
                <w:szCs w:val="24"/>
              </w:rPr>
              <w:noBreakHyphen/>
              <w:t>PEGACLONE; SGT</w:t>
            </w:r>
            <w:r>
              <w:rPr>
                <w:rFonts w:cs="Arial"/>
                <w:szCs w:val="24"/>
              </w:rPr>
              <w:noBreakHyphen/>
              <w:t>151) (</w:t>
            </w:r>
            <w:r>
              <w:rPr>
                <w:rFonts w:cs="Arial"/>
                <w:bCs/>
                <w:szCs w:val="24"/>
              </w:rPr>
              <w:t>in any form except plant material</w:t>
            </w:r>
            <w:r>
              <w:rPr>
                <w:rFonts w:cs="Arial"/>
                <w:szCs w:val="24"/>
              </w:rPr>
              <w:t>)</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41.</w:t>
            </w:r>
          </w:p>
        </w:tc>
        <w:tc>
          <w:tcPr>
            <w:tcW w:w="4537" w:type="dxa"/>
          </w:tcPr>
          <w:p>
            <w:pPr>
              <w:pStyle w:val="yTableNAm"/>
            </w:pPr>
            <w:r>
              <w:t>DIHYDROMORPHINE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42.</w:t>
            </w:r>
          </w:p>
        </w:tc>
        <w:tc>
          <w:tcPr>
            <w:tcW w:w="4537" w:type="dxa"/>
          </w:tcPr>
          <w:p>
            <w:pPr>
              <w:pStyle w:val="yTableNAm"/>
            </w:pPr>
            <w:r>
              <w:t>DIMENOXADOL</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43.</w:t>
            </w:r>
          </w:p>
        </w:tc>
        <w:tc>
          <w:tcPr>
            <w:tcW w:w="4537" w:type="dxa"/>
          </w:tcPr>
          <w:p>
            <w:pPr>
              <w:pStyle w:val="yTableNAm"/>
            </w:pPr>
            <w:r>
              <w:t>DIMEPHEPTANOL</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44.</w:t>
            </w:r>
          </w:p>
        </w:tc>
        <w:tc>
          <w:tcPr>
            <w:tcW w:w="4537" w:type="dxa"/>
          </w:tcPr>
          <w:p>
            <w:pPr>
              <w:pStyle w:val="yTableNAm"/>
            </w:pPr>
            <w:r>
              <w:t>2,5</w:t>
            </w:r>
            <w:r>
              <w:noBreakHyphen/>
              <w:t>DIMETHOXY</w:t>
            </w:r>
            <w:r>
              <w:noBreakHyphen/>
              <w:t>4</w:t>
            </w:r>
            <w:r>
              <w:noBreakHyphen/>
              <w:t>BROMOAMPHETAMINE</w:t>
            </w:r>
          </w:p>
        </w:tc>
        <w:tc>
          <w:tcPr>
            <w:tcW w:w="1531" w:type="dxa"/>
            <w:gridSpan w:val="2"/>
          </w:tcPr>
          <w:p>
            <w:pPr>
              <w:pStyle w:val="yTableNAm"/>
              <w:tabs>
                <w:tab w:val="clear" w:pos="567"/>
                <w:tab w:val="decimal" w:pos="463"/>
              </w:tabs>
            </w:pPr>
            <w:r>
              <w:t>0.25</w:t>
            </w:r>
          </w:p>
        </w:tc>
      </w:tr>
      <w:tr>
        <w:trPr>
          <w:cantSplit/>
        </w:trPr>
        <w:tc>
          <w:tcPr>
            <w:tcW w:w="1276" w:type="dxa"/>
          </w:tcPr>
          <w:p>
            <w:pPr>
              <w:pStyle w:val="yTableNAm"/>
            </w:pPr>
            <w:r>
              <w:t>45.</w:t>
            </w:r>
          </w:p>
        </w:tc>
        <w:tc>
          <w:tcPr>
            <w:tcW w:w="4537" w:type="dxa"/>
          </w:tcPr>
          <w:p>
            <w:pPr>
              <w:pStyle w:val="yTableNAm"/>
            </w:pPr>
            <w:r>
              <w:t>2,5</w:t>
            </w:r>
            <w:r>
              <w:noBreakHyphen/>
              <w:t>DIMETHOXY</w:t>
            </w:r>
            <w:r>
              <w:noBreakHyphen/>
              <w:t>4</w:t>
            </w:r>
            <w:r>
              <w:noBreakHyphen/>
              <w:t>METHYLAMPHETAMINE</w:t>
            </w:r>
          </w:p>
        </w:tc>
        <w:tc>
          <w:tcPr>
            <w:tcW w:w="1531" w:type="dxa"/>
            <w:gridSpan w:val="2"/>
          </w:tcPr>
          <w:p>
            <w:pPr>
              <w:pStyle w:val="yTableNAm"/>
              <w:tabs>
                <w:tab w:val="clear" w:pos="567"/>
                <w:tab w:val="decimal" w:pos="463"/>
              </w:tabs>
            </w:pPr>
            <w:r>
              <w:t>0.25</w:t>
            </w:r>
          </w:p>
        </w:tc>
      </w:tr>
      <w:tr>
        <w:trPr>
          <w:cantSplit/>
        </w:trPr>
        <w:tc>
          <w:tcPr>
            <w:tcW w:w="1276" w:type="dxa"/>
          </w:tcPr>
          <w:p>
            <w:pPr>
              <w:pStyle w:val="yTableNAm"/>
            </w:pPr>
            <w:r>
              <w:t>46A.</w:t>
            </w:r>
          </w:p>
        </w:tc>
        <w:tc>
          <w:tcPr>
            <w:tcW w:w="4537" w:type="dxa"/>
          </w:tcPr>
          <w:p>
            <w:pPr>
              <w:pStyle w:val="yTableNAm"/>
            </w:pPr>
            <w:r>
              <w:t>DIMETHYLAMPHETAMINE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46B.</w:t>
            </w:r>
          </w:p>
        </w:tc>
        <w:tc>
          <w:tcPr>
            <w:tcW w:w="4537" w:type="dxa"/>
          </w:tcPr>
          <w:p>
            <w:pPr>
              <w:pStyle w:val="yTableNAm"/>
            </w:pPr>
            <w:r>
              <w:rPr>
                <w:szCs w:val="24"/>
              </w:rPr>
              <w:t>5</w:t>
            </w:r>
            <w:r>
              <w:rPr>
                <w:szCs w:val="24"/>
              </w:rPr>
              <w:noBreakHyphen/>
              <w:t>(1,1</w:t>
            </w:r>
            <w:r>
              <w:rPr>
                <w:szCs w:val="24"/>
              </w:rPr>
              <w:noBreakHyphen/>
              <w:t>DIMETHYLHEPTYL)</w:t>
            </w:r>
            <w:r>
              <w:rPr>
                <w:szCs w:val="24"/>
              </w:rPr>
              <w:noBreakHyphen/>
              <w:t>2</w:t>
            </w:r>
            <w:r>
              <w:rPr>
                <w:szCs w:val="24"/>
              </w:rPr>
              <w:noBreakHyphen/>
              <w:t>[(1R,3S)</w:t>
            </w:r>
            <w:r>
              <w:rPr>
                <w:szCs w:val="24"/>
              </w:rPr>
              <w:noBreakHyphen/>
              <w:t>3</w:t>
            </w:r>
            <w:r>
              <w:rPr>
                <w:szCs w:val="24"/>
              </w:rPr>
              <w:noBreakHyphen/>
            </w:r>
            <w:r>
              <w:rPr>
                <w:szCs w:val="24"/>
              </w:rPr>
              <w:br/>
              <w:t>HYDROXYCYCLOHEXYL]</w:t>
            </w:r>
            <w:r>
              <w:rPr>
                <w:szCs w:val="24"/>
              </w:rPr>
              <w:noBreakHyphen/>
              <w:t>PHENOL (CP 47,497)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46BA.</w:t>
            </w:r>
          </w:p>
        </w:tc>
        <w:tc>
          <w:tcPr>
            <w:tcW w:w="4537" w:type="dxa"/>
          </w:tcPr>
          <w:p>
            <w:pPr>
              <w:pStyle w:val="yTableNAm"/>
            </w:pPr>
            <w:r>
              <w:rPr>
                <w:szCs w:val="24"/>
              </w:rPr>
              <w:t>5</w:t>
            </w:r>
            <w:r>
              <w:rPr>
                <w:szCs w:val="24"/>
              </w:rPr>
              <w:noBreakHyphen/>
              <w:t>(1,1</w:t>
            </w:r>
            <w:r>
              <w:rPr>
                <w:szCs w:val="24"/>
              </w:rPr>
              <w:noBreakHyphen/>
              <w:t>DIMETHYLHEPTYL)</w:t>
            </w:r>
            <w:r>
              <w:rPr>
                <w:szCs w:val="24"/>
              </w:rPr>
              <w:noBreakHyphen/>
              <w:t>2</w:t>
            </w:r>
            <w:r>
              <w:rPr>
                <w:szCs w:val="24"/>
              </w:rPr>
              <w:noBreakHyphen/>
              <w:t>[(1R,3S)</w:t>
            </w:r>
            <w:r>
              <w:rPr>
                <w:szCs w:val="24"/>
              </w:rPr>
              <w:noBreakHyphen/>
              <w:t>3</w:t>
            </w:r>
            <w:r>
              <w:rPr>
                <w:szCs w:val="24"/>
              </w:rPr>
              <w:noBreakHyphen/>
            </w:r>
            <w:r>
              <w:rPr>
                <w:szCs w:val="24"/>
              </w:rPr>
              <w:br/>
              <w:t>HYDROXYCYCLOHEXYL]</w:t>
            </w:r>
            <w:r>
              <w:rPr>
                <w:szCs w:val="24"/>
              </w:rPr>
              <w:noBreakHyphen/>
              <w:t>PHENOL (CP 47,497)</w:t>
            </w:r>
            <w:r>
              <w:rPr>
                <w:rFonts w:cs="Arial"/>
                <w:szCs w:val="24"/>
              </w:rPr>
              <w:t xml:space="preserve"> </w:t>
            </w:r>
            <w:r>
              <w:t>(in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46C.</w:t>
            </w:r>
          </w:p>
        </w:tc>
        <w:tc>
          <w:tcPr>
            <w:tcW w:w="4537" w:type="dxa"/>
          </w:tcPr>
          <w:p>
            <w:pPr>
              <w:pStyle w:val="yTableNAm"/>
              <w:keepNext/>
              <w:keepLines/>
            </w:pPr>
            <w:r>
              <w:rPr>
                <w:rFonts w:cs="Arial"/>
                <w:szCs w:val="24"/>
              </w:rPr>
              <w:t>5</w:t>
            </w:r>
            <w:r>
              <w:rPr>
                <w:rFonts w:cs="Arial"/>
                <w:szCs w:val="24"/>
              </w:rPr>
              <w:noBreakHyphen/>
              <w:t>(1,1</w:t>
            </w:r>
            <w:r>
              <w:rPr>
                <w:rFonts w:cs="Arial"/>
                <w:szCs w:val="24"/>
              </w:rPr>
              <w:noBreakHyphen/>
              <w:t>DIMETHYLOCTYL)</w:t>
            </w:r>
            <w:r>
              <w:rPr>
                <w:rFonts w:cs="Arial"/>
                <w:szCs w:val="24"/>
              </w:rPr>
              <w:noBreakHyphen/>
              <w:t>2</w:t>
            </w:r>
            <w:r>
              <w:rPr>
                <w:rFonts w:cs="Arial"/>
                <w:szCs w:val="24"/>
              </w:rPr>
              <w:noBreakHyphen/>
              <w:t>[(1R,3S)</w:t>
            </w:r>
            <w:r>
              <w:rPr>
                <w:rFonts w:cs="Arial"/>
                <w:szCs w:val="24"/>
              </w:rPr>
              <w:noBreakHyphen/>
              <w:t>3</w:t>
            </w:r>
            <w:r>
              <w:rPr>
                <w:rFonts w:cs="Arial"/>
                <w:szCs w:val="24"/>
              </w:rPr>
              <w:noBreakHyphen/>
            </w:r>
            <w:r>
              <w:rPr>
                <w:rFonts w:cs="Arial"/>
                <w:szCs w:val="24"/>
              </w:rPr>
              <w:br/>
              <w:t>HYDROXYCYCLOHEXYL]</w:t>
            </w:r>
            <w:r>
              <w:rPr>
                <w:rFonts w:cs="Arial"/>
                <w:szCs w:val="24"/>
              </w:rPr>
              <w:noBreakHyphen/>
              <w:t>PHENOL (CANNABICYCLOHEXANOL or CP 47,497 C8 HOMOLOGUE) (plant material)</w:t>
            </w:r>
          </w:p>
        </w:tc>
        <w:tc>
          <w:tcPr>
            <w:tcW w:w="1531" w:type="dxa"/>
            <w:gridSpan w:val="2"/>
          </w:tcPr>
          <w:p>
            <w:pPr>
              <w:pStyle w:val="yTableNAm"/>
              <w:keepNext/>
              <w:keepLines/>
              <w:tabs>
                <w:tab w:val="clear" w:pos="567"/>
                <w:tab w:val="decimal" w:pos="463"/>
              </w:tabs>
            </w:pPr>
            <w:r>
              <w:br/>
            </w:r>
            <w:r>
              <w:br/>
            </w:r>
            <w:r>
              <w:br/>
              <w:t>60.0</w:t>
            </w:r>
          </w:p>
        </w:tc>
      </w:tr>
      <w:tr>
        <w:trPr>
          <w:cantSplit/>
        </w:trPr>
        <w:tc>
          <w:tcPr>
            <w:tcW w:w="1276" w:type="dxa"/>
          </w:tcPr>
          <w:p>
            <w:pPr>
              <w:pStyle w:val="yTableNAm"/>
            </w:pPr>
            <w:r>
              <w:t>46D.</w:t>
            </w:r>
          </w:p>
        </w:tc>
        <w:tc>
          <w:tcPr>
            <w:tcW w:w="4537" w:type="dxa"/>
          </w:tcPr>
          <w:p>
            <w:pPr>
              <w:pStyle w:val="yTableNAm"/>
              <w:keepNext/>
              <w:keepLines/>
            </w:pPr>
            <w:r>
              <w:rPr>
                <w:rFonts w:cs="Arial"/>
                <w:szCs w:val="24"/>
              </w:rPr>
              <w:t>5</w:t>
            </w:r>
            <w:r>
              <w:rPr>
                <w:rFonts w:cs="Arial"/>
                <w:szCs w:val="24"/>
              </w:rPr>
              <w:noBreakHyphen/>
              <w:t>(1,1</w:t>
            </w:r>
            <w:r>
              <w:rPr>
                <w:rFonts w:cs="Arial"/>
                <w:szCs w:val="24"/>
              </w:rPr>
              <w:noBreakHyphen/>
              <w:t>DIMETHYLOCTYL)</w:t>
            </w:r>
            <w:r>
              <w:rPr>
                <w:rFonts w:cs="Arial"/>
                <w:szCs w:val="24"/>
              </w:rPr>
              <w:noBreakHyphen/>
              <w:t>2</w:t>
            </w:r>
            <w:r>
              <w:rPr>
                <w:rFonts w:cs="Arial"/>
                <w:szCs w:val="24"/>
              </w:rPr>
              <w:noBreakHyphen/>
              <w:t>[(1R,3S)</w:t>
            </w:r>
            <w:r>
              <w:rPr>
                <w:rFonts w:cs="Arial"/>
                <w:szCs w:val="24"/>
              </w:rPr>
              <w:noBreakHyphen/>
              <w:t>3</w:t>
            </w:r>
            <w:r>
              <w:rPr>
                <w:rFonts w:cs="Arial"/>
                <w:szCs w:val="24"/>
              </w:rPr>
              <w:noBreakHyphen/>
            </w:r>
            <w:r>
              <w:rPr>
                <w:rFonts w:cs="Arial"/>
                <w:szCs w:val="24"/>
              </w:rPr>
              <w:br/>
              <w:t>HYDROXYCYCLOHEXYL]</w:t>
            </w:r>
            <w:r>
              <w:rPr>
                <w:rFonts w:cs="Arial"/>
                <w:szCs w:val="24"/>
              </w:rPr>
              <w:noBreakHyphen/>
              <w:t>PHENOL (CANNABICYCLOHEXANOL or CP 47,497 C8 HOMOLOGUE)</w:t>
            </w:r>
            <w:r>
              <w:t xml:space="preserve"> (in any form except plant material)</w:t>
            </w:r>
          </w:p>
        </w:tc>
        <w:tc>
          <w:tcPr>
            <w:tcW w:w="1531" w:type="dxa"/>
            <w:gridSpan w:val="2"/>
          </w:tcPr>
          <w:p>
            <w:pPr>
              <w:pStyle w:val="yTableNAm"/>
              <w:keepNext/>
              <w:keepLines/>
              <w:tabs>
                <w:tab w:val="clear" w:pos="567"/>
                <w:tab w:val="decimal" w:pos="463"/>
              </w:tabs>
            </w:pPr>
            <w:r>
              <w:br/>
            </w:r>
            <w:r>
              <w:br/>
            </w:r>
            <w:r>
              <w:br/>
            </w:r>
            <w:r>
              <w:br/>
              <w:t>4.0</w:t>
            </w:r>
          </w:p>
        </w:tc>
      </w:tr>
      <w:tr>
        <w:trPr>
          <w:cantSplit/>
        </w:trPr>
        <w:tc>
          <w:tcPr>
            <w:tcW w:w="1276" w:type="dxa"/>
          </w:tcPr>
          <w:p>
            <w:pPr>
              <w:pStyle w:val="yTableNAm"/>
            </w:pPr>
            <w:r>
              <w:t>46.</w:t>
            </w:r>
          </w:p>
        </w:tc>
        <w:tc>
          <w:tcPr>
            <w:tcW w:w="4537" w:type="dxa"/>
          </w:tcPr>
          <w:p>
            <w:pPr>
              <w:pStyle w:val="yTableNAm"/>
            </w:pPr>
            <w:r>
              <w:t>DIMETHYLTHIAMBUTENE</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lastRenderedPageBreak/>
              <w:t>47.</w:t>
            </w:r>
          </w:p>
        </w:tc>
        <w:tc>
          <w:tcPr>
            <w:tcW w:w="4537" w:type="dxa"/>
          </w:tcPr>
          <w:p>
            <w:pPr>
              <w:pStyle w:val="yTableNAm"/>
            </w:pPr>
            <w:r>
              <w:t>DIMETHYLTRYPTAMINE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48.</w:t>
            </w:r>
          </w:p>
        </w:tc>
        <w:tc>
          <w:tcPr>
            <w:tcW w:w="4537" w:type="dxa"/>
          </w:tcPr>
          <w:p>
            <w:pPr>
              <w:pStyle w:val="yTableNAm"/>
            </w:pPr>
            <w:r>
              <w:t>DIOXAPHETYL BUTYRATE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48A.</w:t>
            </w:r>
          </w:p>
        </w:tc>
        <w:tc>
          <w:tcPr>
            <w:tcW w:w="4537" w:type="dxa"/>
          </w:tcPr>
          <w:p>
            <w:pPr>
              <w:pStyle w:val="yTableNAm"/>
            </w:pPr>
            <w:r>
              <w:t>DIPHENIDINE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49.</w:t>
            </w:r>
          </w:p>
        </w:tc>
        <w:tc>
          <w:tcPr>
            <w:tcW w:w="4537" w:type="dxa"/>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531" w:type="dxa"/>
            <w:gridSpan w:val="2"/>
          </w:tcPr>
          <w:p>
            <w:pPr>
              <w:pStyle w:val="yTableNAm"/>
              <w:tabs>
                <w:tab w:val="clear" w:pos="567"/>
                <w:tab w:val="decimal" w:pos="463"/>
              </w:tabs>
            </w:pPr>
            <w:r>
              <w:br/>
            </w:r>
            <w:r>
              <w:br/>
            </w:r>
            <w:r>
              <w:br/>
            </w:r>
            <w:r>
              <w:br/>
              <w:t>6.0</w:t>
            </w:r>
          </w:p>
        </w:tc>
      </w:tr>
      <w:tr>
        <w:trPr>
          <w:cantSplit/>
        </w:trPr>
        <w:tc>
          <w:tcPr>
            <w:tcW w:w="1276" w:type="dxa"/>
          </w:tcPr>
          <w:p>
            <w:pPr>
              <w:pStyle w:val="yTableNAm"/>
            </w:pPr>
            <w:r>
              <w:t>50.</w:t>
            </w:r>
          </w:p>
        </w:tc>
        <w:tc>
          <w:tcPr>
            <w:tcW w:w="4537" w:type="dxa"/>
          </w:tcPr>
          <w:p>
            <w:pPr>
              <w:pStyle w:val="yTableNAm"/>
            </w:pPr>
            <w:r>
              <w:t>DIPIPANONE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51.</w:t>
            </w:r>
          </w:p>
        </w:tc>
        <w:tc>
          <w:tcPr>
            <w:tcW w:w="4537" w:type="dxa"/>
          </w:tcPr>
          <w:p>
            <w:pPr>
              <w:pStyle w:val="yTableNAm"/>
            </w:pPr>
            <w:r>
              <w:t>DROTEBANOL</w:t>
            </w:r>
          </w:p>
        </w:tc>
        <w:tc>
          <w:tcPr>
            <w:tcW w:w="1531" w:type="dxa"/>
            <w:gridSpan w:val="2"/>
          </w:tcPr>
          <w:p>
            <w:pPr>
              <w:pStyle w:val="yTableNAm"/>
              <w:tabs>
                <w:tab w:val="clear" w:pos="567"/>
                <w:tab w:val="decimal" w:pos="463"/>
              </w:tabs>
            </w:pPr>
            <w:r>
              <w:t>0.3</w:t>
            </w:r>
          </w:p>
        </w:tc>
      </w:tr>
      <w:tr>
        <w:trPr>
          <w:cantSplit/>
        </w:trPr>
        <w:tc>
          <w:tcPr>
            <w:tcW w:w="1276" w:type="dxa"/>
          </w:tcPr>
          <w:p>
            <w:pPr>
              <w:pStyle w:val="yTableNAm"/>
            </w:pPr>
            <w:r>
              <w:t>52.</w:t>
            </w:r>
          </w:p>
        </w:tc>
        <w:tc>
          <w:tcPr>
            <w:tcW w:w="4537" w:type="dxa"/>
          </w:tcPr>
          <w:p>
            <w:pPr>
              <w:pStyle w:val="yTableNAm"/>
            </w:pPr>
            <w:r>
              <w:t>ECGONINE, ITS ESTERS AND DERIVATIVES which are convertible to ECGONINE AND COCAINE</w:t>
            </w:r>
          </w:p>
        </w:tc>
        <w:tc>
          <w:tcPr>
            <w:tcW w:w="1531" w:type="dxa"/>
            <w:gridSpan w:val="2"/>
          </w:tcPr>
          <w:p>
            <w:pPr>
              <w:pStyle w:val="yTableNAm"/>
              <w:tabs>
                <w:tab w:val="clear" w:pos="567"/>
                <w:tab w:val="decimal" w:pos="463"/>
              </w:tabs>
            </w:pPr>
            <w:r>
              <w:br/>
            </w:r>
            <w:r>
              <w:br/>
              <w:t>30.0</w:t>
            </w:r>
          </w:p>
        </w:tc>
      </w:tr>
      <w:tr>
        <w:trPr>
          <w:cantSplit/>
        </w:trPr>
        <w:tc>
          <w:tcPr>
            <w:tcW w:w="1276" w:type="dxa"/>
          </w:tcPr>
          <w:p>
            <w:pPr>
              <w:pStyle w:val="yTableNAm"/>
            </w:pPr>
            <w:r>
              <w:rPr>
                <w:spacing w:val="-8"/>
              </w:rPr>
              <w:t>52A</w:t>
            </w:r>
            <w:r>
              <w:rPr>
                <w:spacing w:val="-12"/>
              </w:rPr>
              <w:t>.</w:t>
            </w:r>
          </w:p>
        </w:tc>
        <w:tc>
          <w:tcPr>
            <w:tcW w:w="4537" w:type="dxa"/>
          </w:tcPr>
          <w:p>
            <w:pPr>
              <w:pStyle w:val="yTableNAm"/>
            </w:pPr>
            <w:r>
              <w:t>EPHEDRINE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53.</w:t>
            </w:r>
          </w:p>
        </w:tc>
        <w:tc>
          <w:tcPr>
            <w:tcW w:w="4537" w:type="dxa"/>
          </w:tcPr>
          <w:p>
            <w:pPr>
              <w:pStyle w:val="yTableNAm"/>
            </w:pPr>
            <w:r>
              <w:t>ETHYLMETHYLTHIAMBUTENE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54.</w:t>
            </w:r>
          </w:p>
        </w:tc>
        <w:tc>
          <w:tcPr>
            <w:tcW w:w="4537" w:type="dxa"/>
          </w:tcPr>
          <w:p>
            <w:pPr>
              <w:pStyle w:val="yTableNAm"/>
            </w:pPr>
            <w:r>
              <w:t>ETHYLMORPHINE (and substances containing more than 2.5% of ethylmorphine)</w:t>
            </w:r>
          </w:p>
        </w:tc>
        <w:tc>
          <w:tcPr>
            <w:tcW w:w="1531" w:type="dxa"/>
            <w:gridSpan w:val="2"/>
          </w:tcPr>
          <w:p>
            <w:pPr>
              <w:pStyle w:val="yTableNAm"/>
              <w:tabs>
                <w:tab w:val="clear" w:pos="567"/>
                <w:tab w:val="decimal" w:pos="463"/>
              </w:tabs>
            </w:pPr>
            <w:r>
              <w:br/>
              <w:t>6.0</w:t>
            </w:r>
          </w:p>
        </w:tc>
      </w:tr>
      <w:tr>
        <w:trPr>
          <w:cantSplit/>
        </w:trPr>
        <w:tc>
          <w:tcPr>
            <w:tcW w:w="1276" w:type="dxa"/>
          </w:tcPr>
          <w:p>
            <w:pPr>
              <w:pStyle w:val="yTableNAm"/>
            </w:pPr>
            <w:r>
              <w:t>55.</w:t>
            </w:r>
          </w:p>
        </w:tc>
        <w:tc>
          <w:tcPr>
            <w:tcW w:w="4537" w:type="dxa"/>
          </w:tcPr>
          <w:p>
            <w:pPr>
              <w:pStyle w:val="yTableNAm"/>
            </w:pPr>
            <w:r>
              <w:t>ETONITAZENE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56.</w:t>
            </w:r>
          </w:p>
        </w:tc>
        <w:tc>
          <w:tcPr>
            <w:tcW w:w="4537" w:type="dxa"/>
          </w:tcPr>
          <w:p>
            <w:pPr>
              <w:pStyle w:val="yTableNAm"/>
            </w:pPr>
            <w:r>
              <w:t>ETORPHINE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57.</w:t>
            </w:r>
          </w:p>
        </w:tc>
        <w:tc>
          <w:tcPr>
            <w:tcW w:w="4537" w:type="dxa"/>
          </w:tcPr>
          <w:p>
            <w:pPr>
              <w:pStyle w:val="yTableNAm"/>
            </w:pPr>
            <w:r>
              <w:t>ETOXERIDINE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rPr>
                <w:i/>
              </w:rPr>
            </w:pPr>
            <w:r>
              <w:rPr>
                <w:i/>
              </w:rPr>
              <w:t>[58.</w:t>
            </w:r>
          </w:p>
        </w:tc>
        <w:tc>
          <w:tcPr>
            <w:tcW w:w="4537" w:type="dxa"/>
          </w:tcPr>
          <w:p>
            <w:pPr>
              <w:pStyle w:val="yTableNAm"/>
              <w:rPr>
                <w:i/>
              </w:rPr>
            </w:pPr>
            <w:r>
              <w:rPr>
                <w:i/>
              </w:rPr>
              <w:t>deleted]</w:t>
            </w:r>
          </w:p>
        </w:tc>
        <w:tc>
          <w:tcPr>
            <w:tcW w:w="1531" w:type="dxa"/>
            <w:gridSpan w:val="2"/>
          </w:tcPr>
          <w:p>
            <w:pPr>
              <w:pStyle w:val="yTableNAm"/>
              <w:tabs>
                <w:tab w:val="clear" w:pos="567"/>
                <w:tab w:val="decimal" w:pos="463"/>
              </w:tabs>
            </w:pPr>
          </w:p>
        </w:tc>
      </w:tr>
      <w:tr>
        <w:trPr>
          <w:cantSplit/>
        </w:trPr>
        <w:tc>
          <w:tcPr>
            <w:tcW w:w="1276" w:type="dxa"/>
          </w:tcPr>
          <w:p>
            <w:pPr>
              <w:pStyle w:val="yTableNAm"/>
            </w:pPr>
            <w:r>
              <w:t>59A.</w:t>
            </w:r>
          </w:p>
        </w:tc>
        <w:tc>
          <w:tcPr>
            <w:tcW w:w="4537" w:type="dxa"/>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(2</w:t>
            </w:r>
            <w:r>
              <w:rPr>
                <w:szCs w:val="24"/>
              </w:rPr>
              <w:noBreakHyphen/>
              <w:t>IODOBENZOYL) INDOLE (AM</w:t>
            </w:r>
            <w:r>
              <w:rPr>
                <w:szCs w:val="24"/>
              </w:rPr>
              <w:noBreakHyphen/>
              <w:t>694)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59AA.</w:t>
            </w:r>
          </w:p>
        </w:tc>
        <w:tc>
          <w:tcPr>
            <w:tcW w:w="4537" w:type="dxa"/>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(2</w:t>
            </w:r>
            <w:r>
              <w:rPr>
                <w:szCs w:val="24"/>
              </w:rPr>
              <w:noBreakHyphen/>
              <w:t>IODOBENZOYL) INDOLE (AM</w:t>
            </w:r>
            <w:r>
              <w:rPr>
                <w:szCs w:val="24"/>
              </w:rPr>
              <w:noBreakHyphen/>
              <w:t>694)</w:t>
            </w:r>
            <w:r>
              <w:t xml:space="preserve">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lastRenderedPageBreak/>
              <w:t>59AB.</w:t>
            </w:r>
          </w:p>
        </w:tc>
        <w:tc>
          <w:tcPr>
            <w:tcW w:w="4537" w:type="dxa"/>
          </w:tcPr>
          <w:p>
            <w:pPr>
              <w:pStyle w:val="yTableNAm"/>
            </w:pPr>
            <w:r>
              <w:t>1</w:t>
            </w:r>
            <w:r>
              <w:noBreakHyphen/>
              <w:t>(5</w:t>
            </w:r>
            <w:r>
              <w:noBreakHyphen/>
              <w:t>FLUOROPENTYL)</w:t>
            </w:r>
            <w:r>
              <w:noBreakHyphen/>
              <w:t>N</w:t>
            </w:r>
            <w:r>
              <w:noBreakHyphen/>
              <w:t>(1</w:t>
            </w:r>
            <w:r>
              <w:noBreakHyphen/>
              <w:t>METHYL</w:t>
            </w:r>
            <w:r>
              <w:noBreakHyphen/>
              <w:t>1</w:t>
            </w:r>
            <w:r>
              <w:noBreakHyphen/>
            </w:r>
            <w:r>
              <w:br/>
              <w:t>PHENYLETHYL)</w:t>
            </w:r>
            <w:r>
              <w:noBreakHyphen/>
              <w:t>1H</w:t>
            </w:r>
            <w:r>
              <w:noBreakHyphen/>
              <w:t>INDAZOLE</w:t>
            </w:r>
            <w:r>
              <w:noBreakHyphen/>
              <w:t>3</w:t>
            </w:r>
            <w:r>
              <w:noBreakHyphen/>
            </w:r>
            <w:r>
              <w:br/>
              <w:t>CARBOXAMIDE (SGT</w:t>
            </w:r>
            <w:r>
              <w:noBreakHyphen/>
              <w:t>25)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59AC.</w:t>
            </w:r>
          </w:p>
        </w:tc>
        <w:tc>
          <w:tcPr>
            <w:tcW w:w="4537" w:type="dxa"/>
          </w:tcPr>
          <w:p>
            <w:pPr>
              <w:pStyle w:val="yTableNAm"/>
            </w:pPr>
            <w:r>
              <w:t>1</w:t>
            </w:r>
            <w:r>
              <w:noBreakHyphen/>
              <w:t>(5</w:t>
            </w:r>
            <w:r>
              <w:noBreakHyphen/>
              <w:t>FLUOROPENTYL)</w:t>
            </w:r>
            <w:r>
              <w:noBreakHyphen/>
              <w:t>N</w:t>
            </w:r>
            <w:r>
              <w:noBreakHyphen/>
              <w:t>(1</w:t>
            </w:r>
            <w:r>
              <w:noBreakHyphen/>
              <w:t>METHYL</w:t>
            </w:r>
            <w:r>
              <w:noBreakHyphen/>
              <w:t>1</w:t>
            </w:r>
            <w:r>
              <w:noBreakHyphen/>
            </w:r>
            <w:r>
              <w:br/>
              <w:t>PHENYLETHYL)</w:t>
            </w:r>
            <w:r>
              <w:noBreakHyphen/>
              <w:t>1H</w:t>
            </w:r>
            <w:r>
              <w:noBreakHyphen/>
              <w:t>INDAZOLE</w:t>
            </w:r>
            <w:r>
              <w:noBreakHyphen/>
              <w:t>3</w:t>
            </w:r>
            <w:r>
              <w:noBreakHyphen/>
            </w:r>
            <w:r>
              <w:br/>
              <w:t>CARBOXAMIDE (SGT</w:t>
            </w:r>
            <w:r>
              <w:noBreakHyphen/>
              <w:t>25)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59B.</w:t>
            </w:r>
          </w:p>
        </w:tc>
        <w:tc>
          <w:tcPr>
            <w:tcW w:w="4537" w:type="dxa"/>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(1</w:t>
            </w:r>
            <w:r>
              <w:rPr>
                <w:szCs w:val="24"/>
              </w:rPr>
              <w:noBreakHyphen/>
              <w:t>NAPHTHOYL) INDOLE (AM</w:t>
            </w:r>
            <w:r>
              <w:rPr>
                <w:szCs w:val="24"/>
              </w:rPr>
              <w:noBreakHyphen/>
              <w:t>2201)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59C.</w:t>
            </w:r>
          </w:p>
        </w:tc>
        <w:tc>
          <w:tcPr>
            <w:tcW w:w="4537" w:type="dxa"/>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(1</w:t>
            </w:r>
            <w:r>
              <w:rPr>
                <w:szCs w:val="24"/>
              </w:rPr>
              <w:noBreakHyphen/>
              <w:t>NAPHTHOYL) INDOLE (AM</w:t>
            </w:r>
            <w:r>
              <w:rPr>
                <w:szCs w:val="24"/>
              </w:rPr>
              <w:noBreakHyphen/>
              <w:t>2201)</w:t>
            </w:r>
            <w:r>
              <w:rPr>
                <w:rFonts w:ascii="Arial" w:hAnsi="Arial" w:cs="Arial"/>
                <w:szCs w:val="24"/>
              </w:rPr>
              <w:t xml:space="preserve"> </w:t>
            </w:r>
            <w:r>
              <w:t>(in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59D.</w:t>
            </w:r>
          </w:p>
        </w:tc>
        <w:tc>
          <w:tcPr>
            <w:tcW w:w="4537" w:type="dxa"/>
          </w:tcPr>
          <w:p>
            <w:pPr>
              <w:pStyle w:val="yTableNAm"/>
              <w:rPr>
                <w:szCs w:val="24"/>
              </w:rPr>
            </w:pPr>
            <w:r>
              <w:rPr>
                <w:rFonts w:cs="Arial"/>
                <w:szCs w:val="24"/>
              </w:rPr>
              <w:t>5</w:t>
            </w:r>
            <w:r>
              <w:rPr>
                <w:rFonts w:cs="Arial"/>
                <w:szCs w:val="24"/>
              </w:rPr>
              <w:noBreakHyphen/>
              <w:t>(5</w:t>
            </w:r>
            <w:r>
              <w:rPr>
                <w:rFonts w:cs="Arial"/>
                <w:szCs w:val="24"/>
              </w:rPr>
              <w:noBreakHyphen/>
              <w:t>FLUOROPENTYL)</w:t>
            </w:r>
            <w:r>
              <w:rPr>
                <w:rFonts w:cs="Arial"/>
                <w:szCs w:val="24"/>
              </w:rPr>
              <w:noBreakHyphen/>
              <w:t>2</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2,5</w:t>
            </w:r>
            <w:r>
              <w:rPr>
                <w:rFonts w:cs="Arial"/>
                <w:szCs w:val="24"/>
              </w:rPr>
              <w:noBreakHyphen/>
              <w:t>DIHYDRO</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(5F</w:t>
            </w:r>
            <w:r>
              <w:rPr>
                <w:rFonts w:cs="Arial"/>
                <w:szCs w:val="24"/>
              </w:rPr>
              <w:noBreakHyphen/>
              <w:t>CUMYL</w:t>
            </w:r>
            <w:r>
              <w:rPr>
                <w:rFonts w:cs="Arial"/>
                <w:szCs w:val="24"/>
              </w:rPr>
              <w:noBreakHyphen/>
              <w:t>PEGACLONE; 5F SGT</w:t>
            </w:r>
            <w:r>
              <w:rPr>
                <w:rFonts w:cs="Arial"/>
                <w:szCs w:val="24"/>
              </w:rPr>
              <w:noBreakHyphen/>
              <w:t>151) (</w:t>
            </w:r>
            <w:r>
              <w:rPr>
                <w:rFonts w:cs="Arial"/>
                <w:bCs/>
                <w:szCs w:val="24"/>
              </w:rPr>
              <w:t>plant material</w:t>
            </w:r>
            <w:r>
              <w:rPr>
                <w:rFonts w:cs="Arial"/>
                <w:szCs w:val="24"/>
              </w:rPr>
              <w:t>)</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t>59E.</w:t>
            </w:r>
          </w:p>
        </w:tc>
        <w:tc>
          <w:tcPr>
            <w:tcW w:w="4537" w:type="dxa"/>
          </w:tcPr>
          <w:p>
            <w:pPr>
              <w:pStyle w:val="yTableNAm"/>
              <w:rPr>
                <w:szCs w:val="24"/>
              </w:rPr>
            </w:pPr>
            <w:r>
              <w:rPr>
                <w:rFonts w:cs="Arial"/>
                <w:szCs w:val="24"/>
              </w:rPr>
              <w:t>5</w:t>
            </w:r>
            <w:r>
              <w:rPr>
                <w:rFonts w:cs="Arial"/>
                <w:szCs w:val="24"/>
              </w:rPr>
              <w:noBreakHyphen/>
              <w:t>(5</w:t>
            </w:r>
            <w:r>
              <w:rPr>
                <w:rFonts w:cs="Arial"/>
                <w:szCs w:val="24"/>
              </w:rPr>
              <w:noBreakHyphen/>
              <w:t>FLUOROPENTYL)</w:t>
            </w:r>
            <w:r>
              <w:rPr>
                <w:rFonts w:cs="Arial"/>
                <w:szCs w:val="24"/>
              </w:rPr>
              <w:noBreakHyphen/>
              <w:t>2</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2,5</w:t>
            </w:r>
            <w:r>
              <w:rPr>
                <w:rFonts w:cs="Arial"/>
                <w:szCs w:val="24"/>
              </w:rPr>
              <w:noBreakHyphen/>
              <w:t>DIHYDRO</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(5F</w:t>
            </w:r>
            <w:r>
              <w:rPr>
                <w:rFonts w:cs="Arial"/>
                <w:szCs w:val="24"/>
              </w:rPr>
              <w:noBreakHyphen/>
              <w:t>CUMYL</w:t>
            </w:r>
            <w:r>
              <w:rPr>
                <w:rFonts w:cs="Arial"/>
                <w:szCs w:val="24"/>
              </w:rPr>
              <w:noBreakHyphen/>
              <w:t>PEGACLONE; 5F SGT</w:t>
            </w:r>
            <w:r>
              <w:rPr>
                <w:rFonts w:cs="Arial"/>
                <w:szCs w:val="24"/>
              </w:rPr>
              <w:noBreakHyphen/>
              <w:t>151) (</w:t>
            </w:r>
            <w:r>
              <w:rPr>
                <w:rFonts w:cs="Arial"/>
                <w:bCs/>
                <w:szCs w:val="24"/>
              </w:rPr>
              <w:t>in any form except plant materia</w:t>
            </w:r>
            <w:r>
              <w:rPr>
                <w:rFonts w:cs="Arial"/>
                <w:szCs w:val="24"/>
              </w:rPr>
              <w:t>l)</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59F.</w:t>
            </w:r>
          </w:p>
        </w:tc>
        <w:tc>
          <w:tcPr>
            <w:tcW w:w="4537" w:type="dxa"/>
          </w:tcPr>
          <w:p>
            <w:pPr>
              <w:pStyle w:val="yTableNAm"/>
              <w:rPr>
                <w:szCs w:val="24"/>
              </w:rPr>
            </w:pPr>
            <w:r>
              <w:rPr>
                <w:rFonts w:cs="Arial"/>
                <w:szCs w:val="24"/>
              </w:rPr>
              <w:t>2</w:t>
            </w:r>
            <w:r>
              <w:rPr>
                <w:rFonts w:cs="Arial"/>
                <w:szCs w:val="24"/>
              </w:rPr>
              <w:noBreakHyphen/>
              <w:t>(2</w:t>
            </w:r>
            <w:r>
              <w:rPr>
                <w:rFonts w:cs="Arial"/>
                <w:szCs w:val="24"/>
              </w:rPr>
              <w:noBreakHyphen/>
              <w:t>FLUOROPHENYL)</w:t>
            </w:r>
            <w:r>
              <w:rPr>
                <w:rFonts w:cs="Arial"/>
                <w:szCs w:val="24"/>
              </w:rPr>
              <w:noBreakHyphen/>
              <w:t>2</w:t>
            </w:r>
            <w:r>
              <w:rPr>
                <w:rFonts w:cs="Arial"/>
                <w:szCs w:val="24"/>
              </w:rPr>
              <w:noBreakHyphen/>
              <w:t>METHYLAMINO</w:t>
            </w:r>
            <w:r>
              <w:rPr>
                <w:rFonts w:cs="Arial"/>
                <w:szCs w:val="24"/>
              </w:rPr>
              <w:noBreakHyphen/>
              <w:t>CYCLOHEXANONE (2</w:t>
            </w:r>
            <w:r>
              <w:rPr>
                <w:rFonts w:cs="Arial"/>
                <w:szCs w:val="24"/>
              </w:rPr>
              <w:noBreakHyphen/>
              <w:t>FLUORODESCHLOROKETAMINE; 2FDCK)</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59.</w:t>
            </w:r>
          </w:p>
        </w:tc>
        <w:tc>
          <w:tcPr>
            <w:tcW w:w="4537" w:type="dxa"/>
          </w:tcPr>
          <w:p>
            <w:pPr>
              <w:pStyle w:val="yTableNAm"/>
            </w:pPr>
            <w:r>
              <w:t>FURETHIDINE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59AAA.</w:t>
            </w:r>
          </w:p>
        </w:tc>
        <w:tc>
          <w:tcPr>
            <w:tcW w:w="4537" w:type="dxa"/>
          </w:tcPr>
          <w:p>
            <w:pPr>
              <w:pStyle w:val="yTableNAm"/>
            </w:pPr>
            <w:r>
              <w:t>GAMMA HYDROXY BUTRATE (4</w:t>
            </w:r>
            <w:r>
              <w:noBreakHyphen/>
              <w:t>HYDROXYBUTANOIC ACID)</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lastRenderedPageBreak/>
              <w:t>60.</w:t>
            </w:r>
          </w:p>
        </w:tc>
        <w:tc>
          <w:tcPr>
            <w:tcW w:w="4537" w:type="dxa"/>
          </w:tcPr>
          <w:p>
            <w:pPr>
              <w:pStyle w:val="yTableNAm"/>
            </w:pPr>
            <w:r>
              <w:t>HALLUCINOGENIC SUBSTANCES (structurally derived from methoxyphenethylamine)</w:t>
            </w:r>
          </w:p>
        </w:tc>
        <w:tc>
          <w:tcPr>
            <w:tcW w:w="1531" w:type="dxa"/>
            <w:gridSpan w:val="2"/>
          </w:tcPr>
          <w:p>
            <w:pPr>
              <w:pStyle w:val="yTableNAm"/>
              <w:tabs>
                <w:tab w:val="clear" w:pos="567"/>
                <w:tab w:val="decimal" w:pos="463"/>
              </w:tabs>
            </w:pPr>
            <w:r>
              <w:br/>
            </w:r>
            <w:r>
              <w:br/>
              <w:t>0.25</w:t>
            </w:r>
          </w:p>
        </w:tc>
      </w:tr>
      <w:tr>
        <w:trPr>
          <w:cantSplit/>
        </w:trPr>
        <w:tc>
          <w:tcPr>
            <w:tcW w:w="1276" w:type="dxa"/>
          </w:tcPr>
          <w:p>
            <w:pPr>
              <w:pStyle w:val="yTableNAm"/>
            </w:pPr>
            <w:r>
              <w:t>61.</w:t>
            </w:r>
          </w:p>
        </w:tc>
        <w:tc>
          <w:tcPr>
            <w:tcW w:w="4537" w:type="dxa"/>
          </w:tcPr>
          <w:p>
            <w:pPr>
              <w:pStyle w:val="yTableNAm"/>
            </w:pPr>
            <w:r>
              <w:t>HEPTABARBITONE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62.</w:t>
            </w:r>
          </w:p>
        </w:tc>
        <w:tc>
          <w:tcPr>
            <w:tcW w:w="4537" w:type="dxa"/>
          </w:tcPr>
          <w:p>
            <w:pPr>
              <w:pStyle w:val="yTableNAm"/>
            </w:pPr>
            <w:r>
              <w:t>HEXOBARBITONE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63A.</w:t>
            </w:r>
          </w:p>
        </w:tc>
        <w:tc>
          <w:tcPr>
            <w:tcW w:w="4537" w:type="dxa"/>
          </w:tcPr>
          <w:p>
            <w:pPr>
              <w:pStyle w:val="yTableNAm"/>
            </w:pPr>
            <w:r>
              <w:rPr>
                <w:rFonts w:cs="Arial"/>
                <w:szCs w:val="24"/>
              </w:rPr>
              <w:t>1</w:t>
            </w:r>
            <w:r>
              <w:rPr>
                <w:rFonts w:cs="Arial"/>
                <w:szCs w:val="24"/>
              </w:rPr>
              <w:noBreakHyphen/>
              <w:t>HEXYL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019)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63B.</w:t>
            </w:r>
          </w:p>
        </w:tc>
        <w:tc>
          <w:tcPr>
            <w:tcW w:w="4537" w:type="dxa"/>
          </w:tcPr>
          <w:p>
            <w:pPr>
              <w:pStyle w:val="yTableNAm"/>
            </w:pPr>
            <w:r>
              <w:rPr>
                <w:rFonts w:cs="Arial"/>
                <w:szCs w:val="24"/>
              </w:rPr>
              <w:t>1</w:t>
            </w:r>
            <w:r>
              <w:rPr>
                <w:rFonts w:cs="Arial"/>
                <w:szCs w:val="24"/>
              </w:rPr>
              <w:noBreakHyphen/>
              <w:t>HEXYL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019)</w:t>
            </w:r>
            <w:r>
              <w:t xml:space="preserve">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63.</w:t>
            </w:r>
          </w:p>
        </w:tc>
        <w:tc>
          <w:tcPr>
            <w:tcW w:w="4537" w:type="dxa"/>
          </w:tcPr>
          <w:p>
            <w:pPr>
              <w:pStyle w:val="yTableNAm"/>
            </w:pPr>
            <w:r>
              <w:t>HYDROCODONE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64.</w:t>
            </w:r>
          </w:p>
        </w:tc>
        <w:tc>
          <w:tcPr>
            <w:tcW w:w="4537" w:type="dxa"/>
          </w:tcPr>
          <w:p>
            <w:pPr>
              <w:pStyle w:val="yTableNAm"/>
            </w:pPr>
            <w:r>
              <w:t>HYDROMORPHINOL</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65.</w:t>
            </w:r>
          </w:p>
        </w:tc>
        <w:tc>
          <w:tcPr>
            <w:tcW w:w="4537" w:type="dxa"/>
          </w:tcPr>
          <w:p>
            <w:pPr>
              <w:pStyle w:val="yTableNAm"/>
            </w:pPr>
            <w:r>
              <w:t>HYDROMORPHONE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66A.</w:t>
            </w:r>
          </w:p>
        </w:tc>
        <w:tc>
          <w:tcPr>
            <w:tcW w:w="4537" w:type="dxa"/>
          </w:tcPr>
          <w:p>
            <w:pPr>
              <w:pStyle w:val="yTableNAm"/>
            </w:pPr>
            <w:r>
              <w:rPr>
                <w:szCs w:val="24"/>
              </w:rPr>
              <w:t>9</w:t>
            </w:r>
            <w:r>
              <w:rPr>
                <w:szCs w:val="24"/>
              </w:rPr>
              <w:noBreakHyphen/>
              <w:t>(HYDROXYMETHYL)</w:t>
            </w:r>
            <w:r>
              <w:rPr>
                <w:szCs w:val="24"/>
              </w:rPr>
              <w:noBreakHyphen/>
              <w:t>6,6</w:t>
            </w:r>
            <w:r>
              <w:rPr>
                <w:szCs w:val="24"/>
              </w:rPr>
              <w:noBreakHyphen/>
              <w:t>DIMETHYL</w:t>
            </w:r>
            <w:r>
              <w:rPr>
                <w:szCs w:val="24"/>
              </w:rPr>
              <w:noBreakHyphen/>
              <w:t>3</w:t>
            </w:r>
            <w:r>
              <w:rPr>
                <w:szCs w:val="24"/>
              </w:rPr>
              <w:noBreakHyphen/>
              <w:t>(2</w:t>
            </w:r>
            <w:r>
              <w:rPr>
                <w:szCs w:val="24"/>
              </w:rPr>
              <w:noBreakHyphen/>
              <w:t>METHYLOCTAN</w:t>
            </w:r>
            <w:r>
              <w:rPr>
                <w:szCs w:val="24"/>
              </w:rPr>
              <w:noBreakHyphen/>
              <w:t>2</w:t>
            </w:r>
            <w:r>
              <w:rPr>
                <w:szCs w:val="24"/>
              </w:rPr>
              <w:noBreakHyphen/>
              <w:t>YL)</w:t>
            </w:r>
            <w:r>
              <w:rPr>
                <w:szCs w:val="24"/>
              </w:rPr>
              <w:noBreakHyphen/>
              <w:t>6A,7,10,10A</w:t>
            </w:r>
            <w:r>
              <w:rPr>
                <w:szCs w:val="24"/>
              </w:rPr>
              <w:noBreakHyphen/>
            </w:r>
            <w:r>
              <w:rPr>
                <w:szCs w:val="24"/>
              </w:rPr>
              <w:br/>
              <w:t>TETRAHYDROBENZO[C] CHROMEN</w:t>
            </w:r>
            <w:r>
              <w:rPr>
                <w:szCs w:val="24"/>
              </w:rPr>
              <w:noBreakHyphen/>
              <w:t>1</w:t>
            </w:r>
            <w:r>
              <w:rPr>
                <w:szCs w:val="24"/>
              </w:rPr>
              <w:noBreakHyphen/>
              <w:t>OL (HU</w:t>
            </w:r>
            <w:r>
              <w:rPr>
                <w:szCs w:val="24"/>
              </w:rPr>
              <w:noBreakHyphen/>
              <w:t>210) (plant material)</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66B.</w:t>
            </w:r>
          </w:p>
        </w:tc>
        <w:tc>
          <w:tcPr>
            <w:tcW w:w="4537" w:type="dxa"/>
          </w:tcPr>
          <w:p>
            <w:pPr>
              <w:pStyle w:val="yTableNAm"/>
            </w:pPr>
            <w:r>
              <w:rPr>
                <w:szCs w:val="24"/>
              </w:rPr>
              <w:t>9</w:t>
            </w:r>
            <w:r>
              <w:rPr>
                <w:szCs w:val="24"/>
              </w:rPr>
              <w:noBreakHyphen/>
              <w:t>(HYDROXYMETHYL)</w:t>
            </w:r>
            <w:r>
              <w:rPr>
                <w:szCs w:val="24"/>
              </w:rPr>
              <w:noBreakHyphen/>
              <w:t>6,6</w:t>
            </w:r>
            <w:r>
              <w:rPr>
                <w:szCs w:val="24"/>
              </w:rPr>
              <w:noBreakHyphen/>
              <w:t>DIMETHYL</w:t>
            </w:r>
            <w:r>
              <w:rPr>
                <w:szCs w:val="24"/>
              </w:rPr>
              <w:noBreakHyphen/>
              <w:t>3</w:t>
            </w:r>
            <w:r>
              <w:rPr>
                <w:szCs w:val="24"/>
              </w:rPr>
              <w:noBreakHyphen/>
              <w:t>(2</w:t>
            </w:r>
            <w:r>
              <w:rPr>
                <w:szCs w:val="24"/>
              </w:rPr>
              <w:noBreakHyphen/>
              <w:t>METHYLOCTAN</w:t>
            </w:r>
            <w:r>
              <w:rPr>
                <w:szCs w:val="24"/>
              </w:rPr>
              <w:noBreakHyphen/>
              <w:t>2</w:t>
            </w:r>
            <w:r>
              <w:rPr>
                <w:szCs w:val="24"/>
              </w:rPr>
              <w:noBreakHyphen/>
              <w:t>YL)</w:t>
            </w:r>
            <w:r>
              <w:rPr>
                <w:szCs w:val="24"/>
              </w:rPr>
              <w:noBreakHyphen/>
              <w:t>6A,7,10,10A</w:t>
            </w:r>
            <w:r>
              <w:rPr>
                <w:szCs w:val="24"/>
              </w:rPr>
              <w:noBreakHyphen/>
            </w:r>
            <w:r>
              <w:rPr>
                <w:szCs w:val="24"/>
              </w:rPr>
              <w:br/>
              <w:t>TETRAHYDROBENZO[C] CHROMEN</w:t>
            </w:r>
            <w:r>
              <w:rPr>
                <w:szCs w:val="24"/>
              </w:rPr>
              <w:noBreakHyphen/>
              <w:t>1</w:t>
            </w:r>
            <w:r>
              <w:rPr>
                <w:szCs w:val="24"/>
              </w:rPr>
              <w:noBreakHyphen/>
              <w:t>OL (HU</w:t>
            </w:r>
            <w:r>
              <w:rPr>
                <w:szCs w:val="24"/>
              </w:rPr>
              <w:noBreakHyphen/>
              <w:t>210)</w:t>
            </w:r>
            <w:r>
              <w:t xml:space="preserve">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66.</w:t>
            </w:r>
          </w:p>
        </w:tc>
        <w:tc>
          <w:tcPr>
            <w:tcW w:w="4537" w:type="dxa"/>
          </w:tcPr>
          <w:p>
            <w:pPr>
              <w:pStyle w:val="yTableNAm"/>
            </w:pPr>
            <w:r>
              <w:t>HYDROXYPETHIDINE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67.</w:t>
            </w:r>
          </w:p>
        </w:tc>
        <w:tc>
          <w:tcPr>
            <w:tcW w:w="4537" w:type="dxa"/>
          </w:tcPr>
          <w:p>
            <w:pPr>
              <w:pStyle w:val="yTableNAm"/>
            </w:pPr>
            <w:r>
              <w:t>ISOMETHADONE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68.</w:t>
            </w:r>
          </w:p>
        </w:tc>
        <w:tc>
          <w:tcPr>
            <w:tcW w:w="4537" w:type="dxa"/>
          </w:tcPr>
          <w:p>
            <w:pPr>
              <w:pStyle w:val="yTableNAm"/>
            </w:pPr>
            <w:r>
              <w:t>KETOBEMIDONE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69.</w:t>
            </w:r>
          </w:p>
        </w:tc>
        <w:tc>
          <w:tcPr>
            <w:tcW w:w="4537" w:type="dxa"/>
          </w:tcPr>
          <w:p>
            <w:pPr>
              <w:pStyle w:val="yTableNAm"/>
            </w:pPr>
            <w:r>
              <w:t>LEVOMETHORPHAN</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70.</w:t>
            </w:r>
          </w:p>
        </w:tc>
        <w:tc>
          <w:tcPr>
            <w:tcW w:w="4537" w:type="dxa"/>
          </w:tcPr>
          <w:p>
            <w:pPr>
              <w:pStyle w:val="yTableNAm"/>
            </w:pPr>
            <w:r>
              <w:t>LEVOMORAMIDE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71.</w:t>
            </w:r>
          </w:p>
        </w:tc>
        <w:tc>
          <w:tcPr>
            <w:tcW w:w="4537" w:type="dxa"/>
          </w:tcPr>
          <w:p>
            <w:pPr>
              <w:pStyle w:val="yTableNAm"/>
            </w:pPr>
            <w:r>
              <w:t>LEVOPHENACYLMORPHAN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lastRenderedPageBreak/>
              <w:t>72.</w:t>
            </w:r>
          </w:p>
        </w:tc>
        <w:tc>
          <w:tcPr>
            <w:tcW w:w="4537" w:type="dxa"/>
          </w:tcPr>
          <w:p>
            <w:pPr>
              <w:pStyle w:val="yTableNAm"/>
            </w:pPr>
            <w:r>
              <w:t>LEVORPHANOL</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73.</w:t>
            </w:r>
          </w:p>
        </w:tc>
        <w:tc>
          <w:tcPr>
            <w:tcW w:w="4537" w:type="dxa"/>
          </w:tcPr>
          <w:p>
            <w:pPr>
              <w:pStyle w:val="yTableNAm"/>
            </w:pPr>
            <w:r>
              <w:t>LYSERGIC ACID DIETHYLAMIDE (LSD)</w:t>
            </w:r>
          </w:p>
        </w:tc>
        <w:tc>
          <w:tcPr>
            <w:tcW w:w="1531" w:type="dxa"/>
            <w:gridSpan w:val="2"/>
          </w:tcPr>
          <w:p>
            <w:pPr>
              <w:pStyle w:val="yTableNAm"/>
              <w:tabs>
                <w:tab w:val="clear" w:pos="567"/>
                <w:tab w:val="decimal" w:pos="463"/>
              </w:tabs>
            </w:pPr>
            <w:r>
              <w:t>0.004</w:t>
            </w:r>
          </w:p>
        </w:tc>
      </w:tr>
      <w:tr>
        <w:trPr>
          <w:cantSplit/>
        </w:trPr>
        <w:tc>
          <w:tcPr>
            <w:tcW w:w="1276" w:type="dxa"/>
          </w:tcPr>
          <w:p>
            <w:pPr>
              <w:pStyle w:val="yTableNAm"/>
            </w:pPr>
            <w:r>
              <w:t>74.</w:t>
            </w:r>
          </w:p>
        </w:tc>
        <w:tc>
          <w:tcPr>
            <w:tcW w:w="4537" w:type="dxa"/>
          </w:tcPr>
          <w:p>
            <w:pPr>
              <w:pStyle w:val="yTableNAm"/>
            </w:pPr>
            <w:r>
              <w:t>MESCALINE</w:t>
            </w:r>
          </w:p>
        </w:tc>
        <w:tc>
          <w:tcPr>
            <w:tcW w:w="1531" w:type="dxa"/>
            <w:gridSpan w:val="2"/>
          </w:tcPr>
          <w:p>
            <w:pPr>
              <w:pStyle w:val="yTableNAm"/>
              <w:tabs>
                <w:tab w:val="clear" w:pos="567"/>
                <w:tab w:val="decimal" w:pos="463"/>
              </w:tabs>
            </w:pPr>
            <w:r>
              <w:t>22.5</w:t>
            </w:r>
          </w:p>
        </w:tc>
      </w:tr>
      <w:tr>
        <w:trPr>
          <w:cantSplit/>
        </w:trPr>
        <w:tc>
          <w:tcPr>
            <w:tcW w:w="1276" w:type="dxa"/>
          </w:tcPr>
          <w:p>
            <w:pPr>
              <w:pStyle w:val="yTableNAm"/>
            </w:pPr>
            <w:r>
              <w:t>75.</w:t>
            </w:r>
          </w:p>
        </w:tc>
        <w:tc>
          <w:tcPr>
            <w:tcW w:w="4537" w:type="dxa"/>
          </w:tcPr>
          <w:p>
            <w:pPr>
              <w:pStyle w:val="yTableNAm"/>
            </w:pPr>
            <w:r>
              <w:t>METAZOCINE</w:t>
            </w:r>
          </w:p>
        </w:tc>
        <w:tc>
          <w:tcPr>
            <w:tcW w:w="1531" w:type="dxa"/>
            <w:gridSpan w:val="2"/>
          </w:tcPr>
          <w:p>
            <w:pPr>
              <w:pStyle w:val="yTableNAm"/>
              <w:tabs>
                <w:tab w:val="clear" w:pos="567"/>
                <w:tab w:val="decimal" w:pos="463"/>
              </w:tabs>
            </w:pPr>
            <w:r>
              <w:t>21.0</w:t>
            </w:r>
          </w:p>
        </w:tc>
      </w:tr>
      <w:tr>
        <w:trPr>
          <w:cantSplit/>
        </w:trPr>
        <w:tc>
          <w:tcPr>
            <w:tcW w:w="1276" w:type="dxa"/>
          </w:tcPr>
          <w:p>
            <w:pPr>
              <w:pStyle w:val="yTableNAm"/>
            </w:pPr>
            <w:r>
              <w:t>76.</w:t>
            </w:r>
          </w:p>
        </w:tc>
        <w:tc>
          <w:tcPr>
            <w:tcW w:w="4537" w:type="dxa"/>
          </w:tcPr>
          <w:p>
            <w:pPr>
              <w:pStyle w:val="yTableNAm"/>
            </w:pPr>
            <w:r>
              <w:t>METHADONE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77.</w:t>
            </w:r>
          </w:p>
        </w:tc>
        <w:tc>
          <w:tcPr>
            <w:tcW w:w="4537" w:type="dxa"/>
          </w:tcPr>
          <w:p>
            <w:pPr>
              <w:pStyle w:val="yTableNAm"/>
            </w:pPr>
            <w:r>
              <w:t>METHADONE</w:t>
            </w:r>
            <w:r>
              <w:noBreakHyphen/>
              <w:t>INTERMEDIATE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78.</w:t>
            </w:r>
          </w:p>
        </w:tc>
        <w:tc>
          <w:tcPr>
            <w:tcW w:w="4537" w:type="dxa"/>
          </w:tcPr>
          <w:p>
            <w:pPr>
              <w:pStyle w:val="yTableNAm"/>
            </w:pPr>
            <w:r>
              <w:t>METHAQUALONE</w:t>
            </w:r>
          </w:p>
        </w:tc>
        <w:tc>
          <w:tcPr>
            <w:tcW w:w="1531" w:type="dxa"/>
            <w:gridSpan w:val="2"/>
          </w:tcPr>
          <w:p>
            <w:pPr>
              <w:pStyle w:val="yTableNAm"/>
              <w:tabs>
                <w:tab w:val="clear" w:pos="567"/>
                <w:tab w:val="decimal" w:pos="463"/>
              </w:tabs>
            </w:pPr>
            <w:r>
              <w:t>150.0</w:t>
            </w:r>
          </w:p>
        </w:tc>
      </w:tr>
      <w:tr>
        <w:trPr>
          <w:cantSplit/>
        </w:trPr>
        <w:tc>
          <w:tcPr>
            <w:tcW w:w="1276" w:type="dxa"/>
          </w:tcPr>
          <w:p>
            <w:pPr>
              <w:pStyle w:val="yTableNAm"/>
            </w:pPr>
            <w:r>
              <w:t>79.</w:t>
            </w:r>
          </w:p>
        </w:tc>
        <w:tc>
          <w:tcPr>
            <w:tcW w:w="4537" w:type="dxa"/>
          </w:tcPr>
          <w:p>
            <w:pPr>
              <w:pStyle w:val="yTableNAm"/>
            </w:pPr>
            <w:r>
              <w:t>METHARBITONE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80A.</w:t>
            </w:r>
          </w:p>
        </w:tc>
        <w:tc>
          <w:tcPr>
            <w:tcW w:w="4537" w:type="dxa"/>
          </w:tcPr>
          <w:p>
            <w:pPr>
              <w:pStyle w:val="yTableNAm"/>
            </w:pPr>
            <w:r>
              <w:t>METHCATHINONE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80AA.</w:t>
            </w:r>
          </w:p>
        </w:tc>
        <w:tc>
          <w:tcPr>
            <w:tcW w:w="4537" w:type="dxa"/>
          </w:tcPr>
          <w:p>
            <w:pPr>
              <w:pStyle w:val="yTableNAm"/>
            </w:pPr>
            <w:r>
              <w:t>2</w:t>
            </w:r>
            <w:r>
              <w:noBreakHyphen/>
              <w:t>METHOXYDIPHENIDINE (2</w:t>
            </w:r>
            <w:r>
              <w:noBreakHyphen/>
              <w:t>MXP or MXP)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80AB.</w:t>
            </w:r>
          </w:p>
        </w:tc>
        <w:tc>
          <w:tcPr>
            <w:tcW w:w="4537" w:type="dxa"/>
          </w:tcPr>
          <w:p>
            <w:pPr>
              <w:pStyle w:val="yTableNAm"/>
            </w:pPr>
            <w:r>
              <w:t>2</w:t>
            </w:r>
            <w:r>
              <w:noBreakHyphen/>
              <w:t>METHOXYDIPHENIDINE (2</w:t>
            </w:r>
            <w:r>
              <w:noBreakHyphen/>
              <w:t>MXP or MXP)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80BA.</w:t>
            </w:r>
          </w:p>
        </w:tc>
        <w:tc>
          <w:tcPr>
            <w:tcW w:w="4537" w:type="dxa"/>
          </w:tcPr>
          <w:p>
            <w:pPr>
              <w:pStyle w:val="yTableNAm"/>
            </w:pPr>
            <w:r>
              <w:rPr>
                <w:rFonts w:cs="Arial"/>
                <w:szCs w:val="24"/>
              </w:rPr>
              <w:t>4</w:t>
            </w:r>
            <w:r>
              <w:rPr>
                <w:rFonts w:cs="Arial"/>
                <w:szCs w:val="24"/>
              </w:rPr>
              <w:noBreakHyphen/>
              <w:t>METHOXYPHENYL(1</w:t>
            </w:r>
            <w:r>
              <w:rPr>
                <w:rFonts w:cs="Arial"/>
                <w:szCs w:val="24"/>
              </w:rPr>
              <w:noBreakHyphen/>
              <w:t>BUTYL</w:t>
            </w:r>
            <w:r>
              <w:rPr>
                <w:rFonts w:cs="Arial"/>
                <w:szCs w:val="24"/>
              </w:rPr>
              <w:noBreakHyphen/>
              <w:t>1H</w:t>
            </w:r>
            <w:r>
              <w:rPr>
                <w:rFonts w:cs="Arial"/>
                <w:szCs w:val="24"/>
              </w:rPr>
              <w:noBreakHyphen/>
              <w:t>INDOL</w:t>
            </w:r>
            <w:r>
              <w:rPr>
                <w:rFonts w:cs="Arial"/>
                <w:szCs w:val="24"/>
              </w:rPr>
              <w:noBreakHyphen/>
              <w:t>3</w:t>
            </w:r>
            <w:r>
              <w:rPr>
                <w:rFonts w:cs="Arial"/>
                <w:szCs w:val="24"/>
              </w:rPr>
              <w:noBreakHyphen/>
              <w:t>YL)</w:t>
            </w:r>
            <w:r>
              <w:rPr>
                <w:rFonts w:cs="Arial"/>
                <w:szCs w:val="24"/>
              </w:rPr>
              <w:noBreakHyphen/>
              <w:t>METHANONE (RCS</w:t>
            </w:r>
            <w:r>
              <w:rPr>
                <w:rFonts w:cs="Arial"/>
                <w:szCs w:val="24"/>
              </w:rPr>
              <w:noBreakHyphen/>
              <w:t>4 (C4))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80BAA.</w:t>
            </w:r>
          </w:p>
        </w:tc>
        <w:tc>
          <w:tcPr>
            <w:tcW w:w="4537" w:type="dxa"/>
          </w:tcPr>
          <w:p>
            <w:pPr>
              <w:pStyle w:val="yTableNAm"/>
            </w:pPr>
            <w:r>
              <w:rPr>
                <w:rFonts w:cs="Arial"/>
                <w:szCs w:val="24"/>
              </w:rPr>
              <w:t>4</w:t>
            </w:r>
            <w:r>
              <w:rPr>
                <w:rFonts w:cs="Arial"/>
                <w:szCs w:val="24"/>
              </w:rPr>
              <w:noBreakHyphen/>
              <w:t>METHOXYPHENYL(1</w:t>
            </w:r>
            <w:r>
              <w:rPr>
                <w:rFonts w:cs="Arial"/>
                <w:szCs w:val="24"/>
              </w:rPr>
              <w:noBreakHyphen/>
              <w:t>BUTYL</w:t>
            </w:r>
            <w:r>
              <w:rPr>
                <w:rFonts w:cs="Arial"/>
                <w:szCs w:val="24"/>
              </w:rPr>
              <w:noBreakHyphen/>
              <w:t>1H</w:t>
            </w:r>
            <w:r>
              <w:rPr>
                <w:rFonts w:cs="Arial"/>
                <w:szCs w:val="24"/>
              </w:rPr>
              <w:noBreakHyphen/>
              <w:t>INDOL</w:t>
            </w:r>
            <w:r>
              <w:rPr>
                <w:rFonts w:cs="Arial"/>
                <w:szCs w:val="24"/>
              </w:rPr>
              <w:noBreakHyphen/>
              <w:t>3</w:t>
            </w:r>
            <w:r>
              <w:rPr>
                <w:rFonts w:cs="Arial"/>
                <w:szCs w:val="24"/>
              </w:rPr>
              <w:noBreakHyphen/>
              <w:t>YL)</w:t>
            </w:r>
            <w:r>
              <w:rPr>
                <w:rFonts w:cs="Arial"/>
                <w:szCs w:val="24"/>
              </w:rPr>
              <w:noBreakHyphen/>
              <w:t>METHANONE (RCS</w:t>
            </w:r>
            <w:r>
              <w:rPr>
                <w:rFonts w:cs="Arial"/>
                <w:szCs w:val="24"/>
              </w:rPr>
              <w:noBreakHyphen/>
              <w:t>4 (C4))</w:t>
            </w:r>
            <w:r>
              <w:t xml:space="preserve"> (in any form except plant material)</w:t>
            </w:r>
          </w:p>
        </w:tc>
        <w:tc>
          <w:tcPr>
            <w:tcW w:w="1531" w:type="dxa"/>
            <w:gridSpan w:val="2"/>
          </w:tcPr>
          <w:p>
            <w:pPr>
              <w:pStyle w:val="yTableNAm"/>
              <w:tabs>
                <w:tab w:val="clear" w:pos="567"/>
                <w:tab w:val="decimal" w:pos="463"/>
              </w:tabs>
            </w:pPr>
            <w:r>
              <w:br/>
            </w:r>
            <w:r>
              <w:br/>
              <w:t>4.0</w:t>
            </w:r>
          </w:p>
        </w:tc>
      </w:tr>
      <w:tr>
        <w:trPr>
          <w:gridAfter w:val="1"/>
          <w:wAfter w:w="12" w:type="dxa"/>
          <w:cantSplit/>
        </w:trPr>
        <w:tc>
          <w:tcPr>
            <w:tcW w:w="1276" w:type="dxa"/>
          </w:tcPr>
          <w:p>
            <w:pPr>
              <w:pStyle w:val="yTableNAm"/>
            </w:pPr>
            <w:r>
              <w:t>80BB.</w:t>
            </w:r>
          </w:p>
        </w:tc>
        <w:tc>
          <w:tcPr>
            <w:tcW w:w="4537" w:type="dxa"/>
          </w:tcPr>
          <w:p>
            <w:pPr>
              <w:pStyle w:val="yTableNAm"/>
            </w:pPr>
            <w:r>
              <w:rPr>
                <w:szCs w:val="24"/>
              </w:rPr>
              <w:t>2</w:t>
            </w:r>
            <w:r>
              <w:rPr>
                <w:szCs w:val="24"/>
              </w:rPr>
              <w:noBreakHyphen/>
              <w:t>(4</w:t>
            </w:r>
            <w:r>
              <w:rPr>
                <w:szCs w:val="24"/>
              </w:rPr>
              <w:noBreakHyphen/>
              <w:t>METHOXYPHENYL)</w:t>
            </w:r>
            <w:r>
              <w:rPr>
                <w:szCs w:val="24"/>
              </w:rPr>
              <w:noBreakHyphen/>
              <w:t>1</w:t>
            </w:r>
            <w:r>
              <w:rPr>
                <w:szCs w:val="24"/>
              </w:rPr>
              <w:noBreakHyphen/>
              <w:t>(1</w:t>
            </w:r>
            <w:r>
              <w:rPr>
                <w:szCs w:val="24"/>
              </w:rPr>
              <w:noBreakHyphen/>
              <w:t>PENTYL</w:t>
            </w:r>
            <w:r>
              <w:rPr>
                <w:szCs w:val="24"/>
              </w:rPr>
              <w:noBreakHyphen/>
            </w:r>
            <w:r>
              <w:rPr>
                <w:szCs w:val="24"/>
              </w:rPr>
              <w:br/>
              <w:t>1H</w:t>
            </w:r>
            <w:r>
              <w:rPr>
                <w:szCs w:val="24"/>
              </w:rPr>
              <w:noBreakHyphen/>
              <w:t>INDOL</w:t>
            </w:r>
            <w:r>
              <w:rPr>
                <w:szCs w:val="24"/>
              </w:rPr>
              <w:noBreakHyphen/>
              <w:t>3</w:t>
            </w:r>
            <w:r>
              <w:rPr>
                <w:szCs w:val="24"/>
              </w:rPr>
              <w:noBreakHyphen/>
              <w:t>YL)</w:t>
            </w:r>
            <w:r>
              <w:rPr>
                <w:szCs w:val="24"/>
              </w:rPr>
              <w:noBreakHyphen/>
              <w:t>ETHANONE (JWH</w:t>
            </w:r>
            <w:r>
              <w:rPr>
                <w:szCs w:val="24"/>
              </w:rPr>
              <w:noBreakHyphen/>
              <w:t>201) (plant material)</w:t>
            </w:r>
          </w:p>
        </w:tc>
        <w:tc>
          <w:tcPr>
            <w:tcW w:w="1519" w:type="dxa"/>
          </w:tcPr>
          <w:p>
            <w:pPr>
              <w:pStyle w:val="yTableNAm"/>
              <w:tabs>
                <w:tab w:val="clear" w:pos="567"/>
                <w:tab w:val="decimal" w:pos="463"/>
              </w:tabs>
            </w:pPr>
            <w:r>
              <w:br/>
            </w:r>
            <w:r>
              <w:br/>
              <w:t>60.0</w:t>
            </w:r>
          </w:p>
        </w:tc>
      </w:tr>
      <w:tr>
        <w:trPr>
          <w:gridAfter w:val="1"/>
          <w:wAfter w:w="12" w:type="dxa"/>
          <w:cantSplit/>
        </w:trPr>
        <w:tc>
          <w:tcPr>
            <w:tcW w:w="1276" w:type="dxa"/>
          </w:tcPr>
          <w:p>
            <w:pPr>
              <w:pStyle w:val="yTableNAm"/>
            </w:pPr>
            <w:r>
              <w:t>80BBA.</w:t>
            </w:r>
          </w:p>
        </w:tc>
        <w:tc>
          <w:tcPr>
            <w:tcW w:w="4537" w:type="dxa"/>
          </w:tcPr>
          <w:p>
            <w:pPr>
              <w:pStyle w:val="yTableNAm"/>
            </w:pPr>
            <w:r>
              <w:rPr>
                <w:szCs w:val="24"/>
              </w:rPr>
              <w:t>2</w:t>
            </w:r>
            <w:r>
              <w:rPr>
                <w:szCs w:val="24"/>
              </w:rPr>
              <w:noBreakHyphen/>
              <w:t>(4</w:t>
            </w:r>
            <w:r>
              <w:rPr>
                <w:szCs w:val="24"/>
              </w:rPr>
              <w:noBreakHyphen/>
              <w:t>METHOXYPHENYL)</w:t>
            </w:r>
            <w:r>
              <w:rPr>
                <w:szCs w:val="24"/>
              </w:rPr>
              <w:noBreakHyphen/>
              <w:t>1</w:t>
            </w:r>
            <w:r>
              <w:rPr>
                <w:szCs w:val="24"/>
              </w:rPr>
              <w:noBreakHyphen/>
              <w:t>(1</w:t>
            </w:r>
            <w:r>
              <w:rPr>
                <w:szCs w:val="24"/>
              </w:rPr>
              <w:noBreakHyphen/>
              <w:t>PENTYL</w:t>
            </w:r>
            <w:r>
              <w:rPr>
                <w:szCs w:val="24"/>
              </w:rPr>
              <w:noBreakHyphen/>
            </w:r>
            <w:r>
              <w:rPr>
                <w:szCs w:val="24"/>
              </w:rPr>
              <w:br/>
              <w:t>1H</w:t>
            </w:r>
            <w:r>
              <w:rPr>
                <w:szCs w:val="24"/>
              </w:rPr>
              <w:noBreakHyphen/>
              <w:t>INDOL</w:t>
            </w:r>
            <w:r>
              <w:rPr>
                <w:szCs w:val="24"/>
              </w:rPr>
              <w:noBreakHyphen/>
              <w:t>3</w:t>
            </w:r>
            <w:r>
              <w:rPr>
                <w:szCs w:val="24"/>
              </w:rPr>
              <w:noBreakHyphen/>
              <w:t>YL)</w:t>
            </w:r>
            <w:r>
              <w:rPr>
                <w:szCs w:val="24"/>
              </w:rPr>
              <w:noBreakHyphen/>
              <w:t>ETHANONE (JWH</w:t>
            </w:r>
            <w:r>
              <w:rPr>
                <w:szCs w:val="24"/>
              </w:rPr>
              <w:noBreakHyphen/>
              <w:t>201)</w:t>
            </w:r>
            <w:r>
              <w:t xml:space="preserve"> (in any form except plant material)</w:t>
            </w:r>
          </w:p>
        </w:tc>
        <w:tc>
          <w:tcPr>
            <w:tcW w:w="1519" w:type="dxa"/>
          </w:tcPr>
          <w:p>
            <w:pPr>
              <w:pStyle w:val="yTableNAm"/>
              <w:tabs>
                <w:tab w:val="clear" w:pos="567"/>
                <w:tab w:val="decimal" w:pos="463"/>
              </w:tabs>
            </w:pPr>
            <w:r>
              <w:br/>
            </w:r>
            <w:r>
              <w:br/>
              <w:t>4.0</w:t>
            </w:r>
          </w:p>
        </w:tc>
      </w:tr>
      <w:tr>
        <w:trPr>
          <w:gridAfter w:val="1"/>
          <w:wAfter w:w="12" w:type="dxa"/>
          <w:cantSplit/>
        </w:trPr>
        <w:tc>
          <w:tcPr>
            <w:tcW w:w="1276" w:type="dxa"/>
          </w:tcPr>
          <w:p>
            <w:pPr>
              <w:pStyle w:val="yTableNAm"/>
            </w:pPr>
            <w:r>
              <w:lastRenderedPageBreak/>
              <w:t>80B.</w:t>
            </w:r>
          </w:p>
        </w:tc>
        <w:tc>
          <w:tcPr>
            <w:tcW w:w="4537"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(plant material)</w:t>
            </w:r>
          </w:p>
        </w:tc>
        <w:tc>
          <w:tcPr>
            <w:tcW w:w="1519" w:type="dxa"/>
          </w:tcPr>
          <w:p>
            <w:pPr>
              <w:pStyle w:val="yTableNAm"/>
              <w:tabs>
                <w:tab w:val="clear" w:pos="567"/>
                <w:tab w:val="decimal" w:pos="463"/>
              </w:tabs>
            </w:pPr>
            <w:r>
              <w:br/>
              <w:t>60.0</w:t>
            </w:r>
          </w:p>
        </w:tc>
      </w:tr>
      <w:tr>
        <w:trPr>
          <w:gridAfter w:val="1"/>
          <w:wAfter w:w="12" w:type="dxa"/>
          <w:cantSplit/>
        </w:trPr>
        <w:tc>
          <w:tcPr>
            <w:tcW w:w="1276" w:type="dxa"/>
          </w:tcPr>
          <w:p>
            <w:pPr>
              <w:pStyle w:val="yTableNAm"/>
            </w:pPr>
            <w:r>
              <w:t>80CA.</w:t>
            </w:r>
          </w:p>
        </w:tc>
        <w:tc>
          <w:tcPr>
            <w:tcW w:w="4537"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(in any form except plant material)</w:t>
            </w:r>
          </w:p>
        </w:tc>
        <w:tc>
          <w:tcPr>
            <w:tcW w:w="1519" w:type="dxa"/>
          </w:tcPr>
          <w:p>
            <w:pPr>
              <w:pStyle w:val="yTableNAm"/>
              <w:tabs>
                <w:tab w:val="clear" w:pos="567"/>
                <w:tab w:val="decimal" w:pos="463"/>
              </w:tabs>
            </w:pPr>
            <w:r>
              <w:br/>
            </w:r>
            <w:r>
              <w:br/>
              <w:t>4.0</w:t>
            </w:r>
          </w:p>
        </w:tc>
      </w:tr>
      <w:tr>
        <w:trPr>
          <w:cantSplit/>
        </w:trPr>
        <w:tc>
          <w:tcPr>
            <w:tcW w:w="1276" w:type="dxa"/>
          </w:tcPr>
          <w:p>
            <w:pPr>
              <w:pStyle w:val="yTableNAm"/>
            </w:pPr>
            <w:r>
              <w:t>80C.</w:t>
            </w:r>
          </w:p>
        </w:tc>
        <w:tc>
          <w:tcPr>
            <w:tcW w:w="4537" w:type="dxa"/>
          </w:tcPr>
          <w:p>
            <w:pPr>
              <w:pStyle w:val="yTableNAm"/>
              <w:rPr>
                <w:rFonts w:cs="Arial"/>
                <w:color w:val="000000"/>
                <w:szCs w:val="22"/>
              </w:rPr>
            </w:pPr>
            <w:r>
              <w:rPr>
                <w:rFonts w:cs="Arial"/>
                <w:szCs w:val="24"/>
              </w:rPr>
              <w:t>2</w:t>
            </w:r>
            <w:r>
              <w:rPr>
                <w:rFonts w:cs="Arial"/>
                <w:szCs w:val="24"/>
              </w:rPr>
              <w:noBreakHyphen/>
              <w:t>(3</w:t>
            </w:r>
            <w:r>
              <w:rPr>
                <w:rFonts w:cs="Arial"/>
                <w:szCs w:val="24"/>
              </w:rPr>
              <w:noBreakHyphen/>
              <w:t>METHOXYPHENYL)</w:t>
            </w:r>
            <w:r>
              <w:rPr>
                <w:rFonts w:cs="Arial"/>
                <w:szCs w:val="24"/>
              </w:rPr>
              <w:noBreakHyphen/>
              <w:t>1</w:t>
            </w:r>
            <w:r>
              <w:rPr>
                <w:rFonts w:cs="Arial"/>
                <w:szCs w:val="24"/>
              </w:rPr>
              <w:noBreakHyphen/>
              <w:t>(1</w:t>
            </w:r>
            <w:r>
              <w:rPr>
                <w:rFonts w:cs="Arial"/>
                <w:szCs w:val="24"/>
              </w:rPr>
              <w:noBreakHyphen/>
              <w:t>PENTYLINDOL</w:t>
            </w:r>
            <w:r>
              <w:rPr>
                <w:rFonts w:cs="Arial"/>
                <w:szCs w:val="24"/>
              </w:rPr>
              <w:noBreakHyphen/>
              <w:t>3</w:t>
            </w:r>
            <w:r>
              <w:rPr>
                <w:rFonts w:cs="Arial"/>
                <w:szCs w:val="24"/>
              </w:rPr>
              <w:noBreakHyphen/>
              <w:t>YL) ETHANONE (JWH</w:t>
            </w:r>
            <w:r>
              <w:rPr>
                <w:rFonts w:cs="Arial"/>
                <w:szCs w:val="24"/>
              </w:rPr>
              <w:noBreakHyphen/>
              <w:t>302)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80D.</w:t>
            </w:r>
          </w:p>
        </w:tc>
        <w:tc>
          <w:tcPr>
            <w:tcW w:w="4537" w:type="dxa"/>
          </w:tcPr>
          <w:p>
            <w:pPr>
              <w:pStyle w:val="yTableNAm"/>
              <w:rPr>
                <w:rFonts w:cs="Arial"/>
                <w:color w:val="000000"/>
                <w:szCs w:val="22"/>
              </w:rPr>
            </w:pPr>
            <w:r>
              <w:rPr>
                <w:rFonts w:cs="Arial"/>
                <w:szCs w:val="24"/>
              </w:rPr>
              <w:t>2</w:t>
            </w:r>
            <w:r>
              <w:rPr>
                <w:rFonts w:cs="Arial"/>
                <w:szCs w:val="24"/>
              </w:rPr>
              <w:noBreakHyphen/>
              <w:t>(3</w:t>
            </w:r>
            <w:r>
              <w:rPr>
                <w:rFonts w:cs="Arial"/>
                <w:szCs w:val="24"/>
              </w:rPr>
              <w:noBreakHyphen/>
              <w:t>METHOXYPHENYL)</w:t>
            </w:r>
            <w:r>
              <w:rPr>
                <w:rFonts w:cs="Arial"/>
                <w:szCs w:val="24"/>
              </w:rPr>
              <w:noBreakHyphen/>
              <w:t>1</w:t>
            </w:r>
            <w:r>
              <w:rPr>
                <w:rFonts w:cs="Arial"/>
                <w:szCs w:val="24"/>
              </w:rPr>
              <w:noBreakHyphen/>
              <w:t>(1</w:t>
            </w:r>
            <w:r>
              <w:rPr>
                <w:rFonts w:cs="Arial"/>
                <w:szCs w:val="24"/>
              </w:rPr>
              <w:noBreakHyphen/>
              <w:t>PENTYLINDOL</w:t>
            </w:r>
            <w:r>
              <w:rPr>
                <w:rFonts w:cs="Arial"/>
                <w:szCs w:val="24"/>
              </w:rPr>
              <w:noBreakHyphen/>
              <w:t>3</w:t>
            </w:r>
            <w:r>
              <w:rPr>
                <w:rFonts w:cs="Arial"/>
                <w:szCs w:val="24"/>
              </w:rPr>
              <w:noBreakHyphen/>
              <w:t>YL) ETHANONE (JWH</w:t>
            </w:r>
            <w:r>
              <w:rPr>
                <w:rFonts w:cs="Arial"/>
                <w:szCs w:val="24"/>
              </w:rPr>
              <w:noBreakHyphen/>
              <w:t>302)</w:t>
            </w:r>
            <w:r>
              <w:t xml:space="preserve">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80.</w:t>
            </w:r>
          </w:p>
        </w:tc>
        <w:tc>
          <w:tcPr>
            <w:tcW w:w="4537" w:type="dxa"/>
          </w:tcPr>
          <w:p>
            <w:pPr>
              <w:pStyle w:val="yTableNAm"/>
            </w:pPr>
            <w:r>
              <w:t>METHYLAMPHETAMINE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80AAA.</w:t>
            </w:r>
          </w:p>
        </w:tc>
        <w:tc>
          <w:tcPr>
            <w:tcW w:w="4537" w:type="dxa"/>
          </w:tcPr>
          <w:p>
            <w:pPr>
              <w:pStyle w:val="yTableNAm"/>
            </w:pPr>
            <w:r>
              <w:rPr>
                <w:rFonts w:cs="Arial"/>
                <w:szCs w:val="24"/>
              </w:rPr>
              <w:t>METHYL 2-(9-(CYCLOHEXYLMETHYL) -9H-CARBAZOLE -3-CARBOXAMIDO)-3,3-DIMETHYLBUTANOATE (MDMB</w:t>
            </w:r>
            <w:r>
              <w:rPr>
                <w:rFonts w:cs="Arial"/>
                <w:szCs w:val="24"/>
              </w:rPr>
              <w:noBreakHyphen/>
              <w:t>CHMCZCA) (</w:t>
            </w:r>
            <w:r>
              <w:rPr>
                <w:rFonts w:cs="Arial"/>
                <w:bCs/>
                <w:szCs w:val="24"/>
              </w:rPr>
              <w:t>plant material</w:t>
            </w:r>
            <w:r>
              <w:rPr>
                <w:rFonts w:cs="Arial"/>
                <w:szCs w:val="24"/>
              </w:rPr>
              <w:t>)</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t>80AAB.</w:t>
            </w:r>
          </w:p>
        </w:tc>
        <w:tc>
          <w:tcPr>
            <w:tcW w:w="4537" w:type="dxa"/>
          </w:tcPr>
          <w:p>
            <w:pPr>
              <w:pStyle w:val="yTableNAm"/>
            </w:pPr>
            <w:r>
              <w:rPr>
                <w:rFonts w:cs="Arial"/>
                <w:szCs w:val="24"/>
              </w:rPr>
              <w:t>METHYL 2-(9-(CYCLOHEXYLMETHYL) -9H-CARBAZOLE -3-CARBOXAMIDO)-3,3-DIMETHYLBUTANOATE (MDMB</w:t>
            </w:r>
            <w:r>
              <w:rPr>
                <w:rFonts w:cs="Arial"/>
                <w:szCs w:val="24"/>
              </w:rPr>
              <w:noBreakHyphen/>
              <w:t>CHMCZCA) (</w:t>
            </w:r>
            <w:r>
              <w:rPr>
                <w:rFonts w:cs="Arial"/>
                <w:bCs/>
                <w:szCs w:val="24"/>
              </w:rPr>
              <w:t>in any form except plant material</w:t>
            </w:r>
            <w:r>
              <w:rPr>
                <w:rFonts w:cs="Arial"/>
                <w:szCs w:val="24"/>
              </w:rPr>
              <w:t>)</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80AAC.</w:t>
            </w:r>
          </w:p>
        </w:tc>
        <w:tc>
          <w:tcPr>
            <w:tcW w:w="4537" w:type="dxa"/>
          </w:tcPr>
          <w:p>
            <w:pPr>
              <w:pStyle w:val="yTableNAm"/>
            </w:pPr>
            <w:r>
              <w:rPr>
                <w:rFonts w:cs="Arial"/>
                <w:szCs w:val="24"/>
              </w:rPr>
              <w:t>METHYL 2-[1-(4-FLUOROBENZYL)-1H-INDOLE-3-CARBOXAMIDO]-3-METHYLBUTANOATE (MMB</w:t>
            </w:r>
            <w:r>
              <w:rPr>
                <w:rFonts w:cs="Arial"/>
                <w:szCs w:val="24"/>
              </w:rPr>
              <w:noBreakHyphen/>
              <w:t>FUBICA; AMB</w:t>
            </w:r>
            <w:r>
              <w:rPr>
                <w:rFonts w:cs="Arial"/>
                <w:szCs w:val="24"/>
              </w:rPr>
              <w:noBreakHyphen/>
              <w:t>FUBICA) (</w:t>
            </w:r>
            <w:r>
              <w:rPr>
                <w:rFonts w:cs="Arial"/>
                <w:bCs/>
                <w:szCs w:val="24"/>
              </w:rPr>
              <w:t>plant material</w:t>
            </w:r>
            <w:r>
              <w:rPr>
                <w:rFonts w:cs="Arial"/>
                <w:szCs w:val="24"/>
              </w:rPr>
              <w:t>)</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lastRenderedPageBreak/>
              <w:t>80AAD.</w:t>
            </w:r>
          </w:p>
        </w:tc>
        <w:tc>
          <w:tcPr>
            <w:tcW w:w="4537" w:type="dxa"/>
          </w:tcPr>
          <w:p>
            <w:pPr>
              <w:pStyle w:val="yTableNAm"/>
            </w:pPr>
            <w:r>
              <w:rPr>
                <w:rFonts w:cs="Arial"/>
                <w:szCs w:val="24"/>
              </w:rPr>
              <w:t>METHYL 2-[1-(4-FLUOROBENZYL)-1H-INDOLE-3-CARBOXAMIDO]-3-METHYLBUTANOATE (MMB</w:t>
            </w:r>
            <w:r>
              <w:rPr>
                <w:rFonts w:cs="Arial"/>
                <w:szCs w:val="24"/>
              </w:rPr>
              <w:noBreakHyphen/>
              <w:t>FUBICA; AMB</w:t>
            </w:r>
            <w:r>
              <w:rPr>
                <w:rFonts w:cs="Arial"/>
                <w:szCs w:val="24"/>
              </w:rPr>
              <w:noBreakHyphen/>
              <w:t>FUBICA) (</w:t>
            </w:r>
            <w:r>
              <w:rPr>
                <w:rFonts w:cs="Arial"/>
                <w:bCs/>
                <w:szCs w:val="24"/>
              </w:rPr>
              <w:t>in any form except plant material</w:t>
            </w:r>
            <w:r>
              <w:rPr>
                <w:rFonts w:cs="Arial"/>
                <w:szCs w:val="24"/>
              </w:rPr>
              <w:t>)</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80AAE.</w:t>
            </w:r>
          </w:p>
        </w:tc>
        <w:tc>
          <w:tcPr>
            <w:tcW w:w="4537" w:type="dxa"/>
          </w:tcPr>
          <w:p>
            <w:pPr>
              <w:pStyle w:val="yTableNAm"/>
            </w:pPr>
            <w:r>
              <w:rPr>
                <w:rFonts w:cs="Arial"/>
                <w:szCs w:val="24"/>
              </w:rPr>
              <w:t>METHYL 2-[[1-(4-FLUOROBUTYL)INDAZOLE-3-CARBONYL]AMINO]-3,3-DIMETHYL-BUTANOATE (4F-MDMB</w:t>
            </w:r>
            <w:r>
              <w:rPr>
                <w:rFonts w:cs="Arial"/>
                <w:szCs w:val="24"/>
              </w:rPr>
              <w:noBreakHyphen/>
              <w:t>BINACA; 4F-MDMB-BUTINACA) (</w:t>
            </w:r>
            <w:r>
              <w:rPr>
                <w:rFonts w:cs="Arial"/>
                <w:bCs/>
                <w:szCs w:val="24"/>
              </w:rPr>
              <w:t>plant material</w:t>
            </w:r>
            <w:r>
              <w:rPr>
                <w:rFonts w:cs="Arial"/>
                <w:szCs w:val="24"/>
              </w:rPr>
              <w:t>)</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t>80AAF.</w:t>
            </w:r>
          </w:p>
        </w:tc>
        <w:tc>
          <w:tcPr>
            <w:tcW w:w="4537" w:type="dxa"/>
          </w:tcPr>
          <w:p>
            <w:pPr>
              <w:pStyle w:val="yTableNAm"/>
            </w:pPr>
            <w:r>
              <w:rPr>
                <w:rFonts w:cs="Arial"/>
                <w:szCs w:val="24"/>
              </w:rPr>
              <w:t>METHYL 2-[[1-(4-FLUOROBUTYL)INDAZOLE-3-CARBONYL]AMINO]-3,3-DIMETHYL-BUTANOATE (4F</w:t>
            </w:r>
            <w:r>
              <w:rPr>
                <w:rFonts w:cs="Arial"/>
                <w:szCs w:val="24"/>
              </w:rPr>
              <w:noBreakHyphen/>
              <w:t>MDMB</w:t>
            </w:r>
            <w:r>
              <w:rPr>
                <w:rFonts w:cs="Arial"/>
                <w:szCs w:val="24"/>
              </w:rPr>
              <w:noBreakHyphen/>
              <w:t>BINACA; 4F-MDMB-BUTINACA) (</w:t>
            </w:r>
            <w:r>
              <w:rPr>
                <w:rFonts w:cs="Arial"/>
                <w:bCs/>
                <w:szCs w:val="24"/>
              </w:rPr>
              <w:t>in any form except plant material</w:t>
            </w:r>
            <w:r>
              <w:rPr>
                <w:rFonts w:cs="Arial"/>
                <w:szCs w:val="24"/>
              </w:rPr>
              <w:t>)</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81A.</w:t>
            </w:r>
          </w:p>
        </w:tc>
        <w:tc>
          <w:tcPr>
            <w:tcW w:w="4537" w:type="dxa"/>
          </w:tcPr>
          <w:p>
            <w:pPr>
              <w:pStyle w:val="yTableNAm"/>
            </w:pPr>
            <w:r>
              <w:t>METHYL (S)</w:t>
            </w:r>
            <w:r>
              <w:noBreakHyphen/>
              <w:t>2</w:t>
            </w:r>
            <w:r>
              <w:noBreakHyphen/>
              <w:t>[1</w:t>
            </w:r>
            <w:r>
              <w:noBreakHyphen/>
              <w:t>(5</w:t>
            </w:r>
            <w:r>
              <w:noBreakHyphen/>
              <w:t>FLUOROPENTYL)</w:t>
            </w:r>
            <w:r>
              <w:noBreakHyphen/>
              <w:t>1H</w:t>
            </w:r>
            <w:r>
              <w:noBreakHyphen/>
            </w:r>
            <w:r>
              <w:br/>
              <w:t>INDAZOLE</w:t>
            </w:r>
            <w:r>
              <w:noBreakHyphen/>
              <w:t>3</w:t>
            </w:r>
            <w:r>
              <w:noBreakHyphen/>
              <w:t>CARBOXAMIDO]</w:t>
            </w:r>
            <w:r>
              <w:noBreakHyphen/>
              <w:t>3,3</w:t>
            </w:r>
            <w:r>
              <w:noBreakHyphen/>
              <w:t>DIMETHYLBUTANOATE (5F</w:t>
            </w:r>
            <w:r>
              <w:noBreakHyphen/>
              <w:t>ADB)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81B.</w:t>
            </w:r>
          </w:p>
        </w:tc>
        <w:tc>
          <w:tcPr>
            <w:tcW w:w="4537" w:type="dxa"/>
          </w:tcPr>
          <w:p>
            <w:pPr>
              <w:pStyle w:val="yTableNAm"/>
            </w:pPr>
            <w:r>
              <w:t>METHYL (S)</w:t>
            </w:r>
            <w:r>
              <w:noBreakHyphen/>
              <w:t>2</w:t>
            </w:r>
            <w:r>
              <w:noBreakHyphen/>
              <w:t>[1</w:t>
            </w:r>
            <w:r>
              <w:noBreakHyphen/>
              <w:t>(5</w:t>
            </w:r>
            <w:r>
              <w:noBreakHyphen/>
              <w:t>FLUOROPENTYL)</w:t>
            </w:r>
            <w:r>
              <w:noBreakHyphen/>
              <w:t>1H</w:t>
            </w:r>
            <w:r>
              <w:noBreakHyphen/>
            </w:r>
            <w:r>
              <w:br/>
              <w:t>INDAZOLE</w:t>
            </w:r>
            <w:r>
              <w:noBreakHyphen/>
              <w:t>3</w:t>
            </w:r>
            <w:r>
              <w:noBreakHyphen/>
              <w:t>CARBOXAMIDO]</w:t>
            </w:r>
            <w:r>
              <w:noBreakHyphen/>
              <w:t>3,3</w:t>
            </w:r>
            <w:r>
              <w:noBreakHyphen/>
            </w:r>
            <w:r>
              <w:br/>
              <w:t>DIMETHYLBUTANOATE (5F</w:t>
            </w:r>
            <w:r>
              <w:noBreakHyphen/>
              <w:t>ADB)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81C.</w:t>
            </w:r>
          </w:p>
        </w:tc>
        <w:tc>
          <w:tcPr>
            <w:tcW w:w="4537" w:type="dxa"/>
          </w:tcPr>
          <w:p>
            <w:pPr>
              <w:pStyle w:val="yTableNAm"/>
            </w:pPr>
            <w:r>
              <w:t>METHYL 2</w:t>
            </w:r>
            <w:r>
              <w:noBreakHyphen/>
              <w:t>(1</w:t>
            </w:r>
            <w:r>
              <w:noBreakHyphen/>
              <w:t>(5</w:t>
            </w:r>
            <w:r>
              <w:noBreakHyphen/>
              <w:t>FLUOROPENTYL)</w:t>
            </w:r>
            <w:r>
              <w:noBreakHyphen/>
              <w:t>1H</w:t>
            </w:r>
            <w:r>
              <w:noBreakHyphen/>
            </w:r>
            <w:r>
              <w:br/>
              <w:t>INDAZOLE</w:t>
            </w:r>
            <w:r>
              <w:noBreakHyphen/>
              <w:t>3</w:t>
            </w:r>
            <w:r>
              <w:noBreakHyphen/>
              <w:t>CARBOXAMIDO)</w:t>
            </w:r>
            <w:r>
              <w:noBreakHyphen/>
              <w:t>3</w:t>
            </w:r>
            <w:r>
              <w:noBreakHyphen/>
            </w:r>
            <w:r>
              <w:br/>
              <w:t>METHYLBUTANOATE (5F</w:t>
            </w:r>
            <w:r>
              <w:noBreakHyphen/>
              <w:t>AMB) (plant material)</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81D.</w:t>
            </w:r>
          </w:p>
        </w:tc>
        <w:tc>
          <w:tcPr>
            <w:tcW w:w="4537" w:type="dxa"/>
          </w:tcPr>
          <w:p>
            <w:pPr>
              <w:pStyle w:val="yTableNAm"/>
            </w:pPr>
            <w:r>
              <w:t>METHYL 2</w:t>
            </w:r>
            <w:r>
              <w:noBreakHyphen/>
              <w:t>(1</w:t>
            </w:r>
            <w:r>
              <w:noBreakHyphen/>
              <w:t>(5</w:t>
            </w:r>
            <w:r>
              <w:noBreakHyphen/>
              <w:t>FLUOROPENTYL)</w:t>
            </w:r>
            <w:r>
              <w:noBreakHyphen/>
              <w:t>1H</w:t>
            </w:r>
            <w:r>
              <w:noBreakHyphen/>
            </w:r>
            <w:r>
              <w:br/>
              <w:t>INDAZOLE</w:t>
            </w:r>
            <w:r>
              <w:noBreakHyphen/>
              <w:t>3</w:t>
            </w:r>
            <w:r>
              <w:noBreakHyphen/>
              <w:t>CARBOXAMIDO)</w:t>
            </w:r>
            <w:r>
              <w:noBreakHyphen/>
              <w:t>3</w:t>
            </w:r>
            <w:r>
              <w:noBreakHyphen/>
            </w:r>
            <w:r>
              <w:br/>
              <w:t>METHYLBUTANOATE (5F</w:t>
            </w:r>
            <w:r>
              <w:noBreakHyphen/>
              <w:t xml:space="preserve">AMB) </w:t>
            </w:r>
            <w:r>
              <w:br/>
              <w:t>(in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lastRenderedPageBreak/>
              <w:t>81E.</w:t>
            </w:r>
          </w:p>
        </w:tc>
        <w:tc>
          <w:tcPr>
            <w:tcW w:w="4537" w:type="dxa"/>
          </w:tcPr>
          <w:p>
            <w:pPr>
              <w:pStyle w:val="yTableNAm"/>
            </w:pPr>
            <w:r>
              <w:rPr>
                <w:rFonts w:cs="Arial"/>
                <w:szCs w:val="24"/>
              </w:rPr>
              <w:t>METHYL 2-[[1-(5-FLUOROPENTYL)INDOLE-3-CARBONYL]AMINO]-3,3-DIMETHYL-BUTANOATE (5</w:t>
            </w:r>
            <w:r>
              <w:rPr>
                <w:rFonts w:cs="Arial"/>
                <w:szCs w:val="24"/>
              </w:rPr>
              <w:noBreakHyphen/>
              <w:t>FLUORO MDMB</w:t>
            </w:r>
            <w:r>
              <w:rPr>
                <w:rFonts w:cs="Arial"/>
                <w:szCs w:val="24"/>
              </w:rPr>
              <w:noBreakHyphen/>
              <w:t>PICA; 5F-MDMB-PICA) (</w:t>
            </w:r>
            <w:r>
              <w:rPr>
                <w:rFonts w:cs="Arial"/>
                <w:bCs/>
                <w:szCs w:val="24"/>
              </w:rPr>
              <w:t>plant material</w:t>
            </w:r>
            <w:r>
              <w:rPr>
                <w:rFonts w:cs="Arial"/>
                <w:szCs w:val="24"/>
              </w:rPr>
              <w:t>)</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t>81F.</w:t>
            </w:r>
          </w:p>
        </w:tc>
        <w:tc>
          <w:tcPr>
            <w:tcW w:w="4537" w:type="dxa"/>
          </w:tcPr>
          <w:p>
            <w:pPr>
              <w:pStyle w:val="yTableNAm"/>
            </w:pPr>
            <w:r>
              <w:rPr>
                <w:rFonts w:cs="Arial"/>
                <w:szCs w:val="24"/>
              </w:rPr>
              <w:t>METHYL 2-[[1-(5-FLUOROPENTYL)INDOLE-3-CARBONYL]AMINO]-3,3-DIMETHYL-BUTANOATE (5</w:t>
            </w:r>
            <w:r>
              <w:rPr>
                <w:rFonts w:cs="Arial"/>
                <w:szCs w:val="24"/>
              </w:rPr>
              <w:noBreakHyphen/>
              <w:t>FLUORO MDMB</w:t>
            </w:r>
            <w:r>
              <w:rPr>
                <w:rFonts w:cs="Arial"/>
                <w:szCs w:val="24"/>
              </w:rPr>
              <w:noBreakHyphen/>
              <w:t>PICA; 5F-MDMB-PICA) (</w:t>
            </w:r>
            <w:r>
              <w:rPr>
                <w:rFonts w:cs="Arial"/>
                <w:bCs/>
                <w:szCs w:val="24"/>
              </w:rPr>
              <w:t>in any form except plant material</w:t>
            </w:r>
            <w:r>
              <w:rPr>
                <w:rFonts w:cs="Arial"/>
                <w:szCs w:val="24"/>
              </w:rPr>
              <w:t>)</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81.</w:t>
            </w:r>
          </w:p>
        </w:tc>
        <w:tc>
          <w:tcPr>
            <w:tcW w:w="4537" w:type="dxa"/>
          </w:tcPr>
          <w:p>
            <w:pPr>
              <w:pStyle w:val="yTableNAm"/>
            </w:pPr>
            <w:r>
              <w:t>METHYLDESORPHINE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82.</w:t>
            </w:r>
          </w:p>
        </w:tc>
        <w:tc>
          <w:tcPr>
            <w:tcW w:w="4537" w:type="dxa"/>
          </w:tcPr>
          <w:p>
            <w:pPr>
              <w:pStyle w:val="yTableNAm"/>
            </w:pPr>
            <w:r>
              <w:t>METHYLDIHYDROMORPHINE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rPr>
                <w:rFonts w:ascii="Times" w:hAnsi="Times"/>
                <w:spacing w:val="-10"/>
              </w:rPr>
            </w:pPr>
            <w:r>
              <w:rPr>
                <w:rFonts w:ascii="Times" w:hAnsi="Times"/>
                <w:spacing w:val="-10"/>
              </w:rPr>
              <w:t>82A.</w:t>
            </w:r>
          </w:p>
        </w:tc>
        <w:tc>
          <w:tcPr>
            <w:tcW w:w="4537" w:type="dxa"/>
          </w:tcPr>
          <w:p>
            <w:pPr>
              <w:pStyle w:val="yTableNAm"/>
              <w:ind w:right="-140"/>
            </w:pPr>
            <w:r>
              <w:t>3, 4</w:t>
            </w:r>
            <w:r>
              <w:noBreakHyphen/>
              <w:t>METHYLENEDIOXYAMPHETAMINE (MDA)</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rPr>
                <w:rFonts w:ascii="Times" w:hAnsi="Times"/>
                <w:spacing w:val="-10"/>
              </w:rPr>
            </w:pPr>
            <w:r>
              <w:rPr>
                <w:rFonts w:ascii="Times" w:hAnsi="Times"/>
                <w:spacing w:val="-8"/>
              </w:rPr>
              <w:t>82B.</w:t>
            </w:r>
          </w:p>
        </w:tc>
        <w:tc>
          <w:tcPr>
            <w:tcW w:w="4537" w:type="dxa"/>
          </w:tcPr>
          <w:p>
            <w:pPr>
              <w:pStyle w:val="yTableNAm"/>
            </w:pPr>
            <w:r>
              <w:t>3, 4</w:t>
            </w:r>
            <w:r>
              <w:noBreakHyphen/>
            </w:r>
            <w:r>
              <w:rPr>
                <w:rFonts w:cs="Arial"/>
                <w:color w:val="000000"/>
                <w:szCs w:val="22"/>
              </w:rPr>
              <w:t>METHYLENEDIOXY</w:t>
            </w:r>
            <w:r>
              <w:noBreakHyphen/>
              <w:t>N, ALPHA-DIMETHYLPHENYLETHYLAMINE (MDMA)</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rPr>
                <w:rFonts w:ascii="Times" w:hAnsi="Times"/>
                <w:spacing w:val="-8"/>
              </w:rPr>
            </w:pPr>
            <w:r>
              <w:t>82C.</w:t>
            </w:r>
          </w:p>
        </w:tc>
        <w:tc>
          <w:tcPr>
            <w:tcW w:w="4537" w:type="dxa"/>
          </w:tcPr>
          <w:p>
            <w:pPr>
              <w:pStyle w:val="yTableNAm"/>
              <w:keepLines/>
            </w:pPr>
            <w:r>
              <w:t>3, 4</w:t>
            </w:r>
            <w:r>
              <w:noBreakHyphen/>
            </w:r>
            <w:r>
              <w:rPr>
                <w:rFonts w:cs="Arial"/>
                <w:color w:val="000000"/>
                <w:szCs w:val="22"/>
              </w:rPr>
              <w:t>METHYLENEDIOXYPYROVALERONE</w:t>
            </w:r>
            <w:r>
              <w:t xml:space="preserve"> (MDPV)</w:t>
            </w:r>
          </w:p>
        </w:tc>
        <w:tc>
          <w:tcPr>
            <w:tcW w:w="1531" w:type="dxa"/>
            <w:gridSpan w:val="2"/>
          </w:tcPr>
          <w:p>
            <w:pPr>
              <w:pStyle w:val="yTableNAm"/>
              <w:keepNext/>
              <w:keepLines/>
              <w:tabs>
                <w:tab w:val="clear" w:pos="567"/>
                <w:tab w:val="decimal" w:pos="463"/>
              </w:tabs>
            </w:pPr>
            <w:r>
              <w:br/>
              <w:t>4.0</w:t>
            </w:r>
          </w:p>
        </w:tc>
      </w:tr>
      <w:tr>
        <w:trPr>
          <w:cantSplit/>
        </w:trPr>
        <w:tc>
          <w:tcPr>
            <w:tcW w:w="1276" w:type="dxa"/>
          </w:tcPr>
          <w:p>
            <w:pPr>
              <w:pStyle w:val="yTableNAm"/>
            </w:pPr>
            <w:r>
              <w:t>83.</w:t>
            </w:r>
          </w:p>
        </w:tc>
        <w:tc>
          <w:tcPr>
            <w:tcW w:w="4537" w:type="dxa"/>
          </w:tcPr>
          <w:p>
            <w:pPr>
              <w:pStyle w:val="yTableNAm"/>
            </w:pPr>
            <w:r>
              <w:t>METHYLPHENIDATE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84.</w:t>
            </w:r>
          </w:p>
        </w:tc>
        <w:tc>
          <w:tcPr>
            <w:tcW w:w="4537" w:type="dxa"/>
          </w:tcPr>
          <w:p>
            <w:pPr>
              <w:pStyle w:val="yTableNAm"/>
            </w:pPr>
            <w:r>
              <w:t>METHYLPHENOBARBITONE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85.</w:t>
            </w:r>
          </w:p>
        </w:tc>
        <w:tc>
          <w:tcPr>
            <w:tcW w:w="4537" w:type="dxa"/>
          </w:tcPr>
          <w:p>
            <w:pPr>
              <w:pStyle w:val="yTableNAm"/>
            </w:pPr>
            <w:r>
              <w:t>1</w:t>
            </w:r>
            <w:r>
              <w:noBreakHyphen/>
              <w:t>METHYL</w:t>
            </w:r>
            <w:r>
              <w:noBreakHyphen/>
              <w:t>4</w:t>
            </w:r>
            <w:r>
              <w:noBreakHyphen/>
              <w:t>PHENYLPIPERIDINE</w:t>
            </w:r>
            <w:r>
              <w:noBreakHyphen/>
            </w:r>
            <w:r>
              <w:br/>
              <w:t>4</w:t>
            </w:r>
            <w:r>
              <w:noBreakHyphen/>
              <w:t>CARBOXYLIC ACID ESTERS</w:t>
            </w:r>
          </w:p>
        </w:tc>
        <w:tc>
          <w:tcPr>
            <w:tcW w:w="1531" w:type="dxa"/>
            <w:gridSpan w:val="2"/>
          </w:tcPr>
          <w:p>
            <w:pPr>
              <w:pStyle w:val="yTableNAm"/>
              <w:tabs>
                <w:tab w:val="clear" w:pos="567"/>
                <w:tab w:val="decimal" w:pos="463"/>
              </w:tabs>
            </w:pPr>
            <w:r>
              <w:br/>
              <w:t>6.0</w:t>
            </w:r>
          </w:p>
        </w:tc>
      </w:tr>
      <w:tr>
        <w:trPr>
          <w:cantSplit/>
        </w:trPr>
        <w:tc>
          <w:tcPr>
            <w:tcW w:w="1276" w:type="dxa"/>
          </w:tcPr>
          <w:p>
            <w:pPr>
              <w:pStyle w:val="yTableNAm"/>
            </w:pPr>
            <w:r>
              <w:t>86.</w:t>
            </w:r>
          </w:p>
        </w:tc>
        <w:tc>
          <w:tcPr>
            <w:tcW w:w="4537" w:type="dxa"/>
          </w:tcPr>
          <w:p>
            <w:pPr>
              <w:pStyle w:val="yTableNAm"/>
            </w:pPr>
            <w:r>
              <w:t>METOPON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87.</w:t>
            </w:r>
          </w:p>
        </w:tc>
        <w:tc>
          <w:tcPr>
            <w:tcW w:w="4537" w:type="dxa"/>
          </w:tcPr>
          <w:p>
            <w:pPr>
              <w:pStyle w:val="yTableNAm"/>
            </w:pPr>
            <w:r>
              <w:t>MORAMIDE</w:t>
            </w:r>
            <w:r>
              <w:noBreakHyphen/>
              <w:t>INTERMEDIATE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88.</w:t>
            </w:r>
          </w:p>
        </w:tc>
        <w:tc>
          <w:tcPr>
            <w:tcW w:w="4537" w:type="dxa"/>
          </w:tcPr>
          <w:p>
            <w:pPr>
              <w:pStyle w:val="yTableNAm"/>
            </w:pPr>
            <w:r>
              <w:t>MORPHERIDINE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89.</w:t>
            </w:r>
          </w:p>
        </w:tc>
        <w:tc>
          <w:tcPr>
            <w:tcW w:w="4537" w:type="dxa"/>
          </w:tcPr>
          <w:p>
            <w:pPr>
              <w:pStyle w:val="yTableNAm"/>
            </w:pPr>
            <w:r>
              <w:t>MORPHINE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lastRenderedPageBreak/>
              <w:t>90.</w:t>
            </w:r>
          </w:p>
        </w:tc>
        <w:tc>
          <w:tcPr>
            <w:tcW w:w="4537"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531" w:type="dxa"/>
            <w:gridSpan w:val="2"/>
          </w:tcPr>
          <w:p>
            <w:pPr>
              <w:pStyle w:val="yTableNAm"/>
              <w:tabs>
                <w:tab w:val="clear" w:pos="567"/>
                <w:tab w:val="decimal" w:pos="463"/>
              </w:tabs>
            </w:pPr>
            <w:r>
              <w:br/>
            </w:r>
            <w:r>
              <w:br/>
            </w:r>
            <w:r>
              <w:br/>
              <w:t>6.0</w:t>
            </w:r>
          </w:p>
        </w:tc>
      </w:tr>
      <w:tr>
        <w:trPr>
          <w:cantSplit/>
        </w:trPr>
        <w:tc>
          <w:tcPr>
            <w:tcW w:w="1276" w:type="dxa"/>
          </w:tcPr>
          <w:p>
            <w:pPr>
              <w:pStyle w:val="yTableNAm"/>
            </w:pPr>
            <w:r>
              <w:t>91.</w:t>
            </w:r>
          </w:p>
        </w:tc>
        <w:tc>
          <w:tcPr>
            <w:tcW w:w="4537" w:type="dxa"/>
          </w:tcPr>
          <w:p>
            <w:pPr>
              <w:pStyle w:val="yTableNAm"/>
            </w:pPr>
            <w:r>
              <w:t>MORPHINE METHOBROMIDE AND OTHER PENTAVALENT NITROGEN MORPHINE DERIVATIVES</w:t>
            </w:r>
          </w:p>
        </w:tc>
        <w:tc>
          <w:tcPr>
            <w:tcW w:w="1531" w:type="dxa"/>
            <w:gridSpan w:val="2"/>
          </w:tcPr>
          <w:p>
            <w:pPr>
              <w:pStyle w:val="yTableNAm"/>
              <w:tabs>
                <w:tab w:val="clear" w:pos="567"/>
                <w:tab w:val="decimal" w:pos="463"/>
              </w:tabs>
            </w:pPr>
            <w:r>
              <w:br/>
            </w:r>
            <w:r>
              <w:br/>
              <w:t>6.0</w:t>
            </w:r>
          </w:p>
        </w:tc>
      </w:tr>
      <w:tr>
        <w:trPr>
          <w:cantSplit/>
        </w:trPr>
        <w:tc>
          <w:tcPr>
            <w:tcW w:w="1276" w:type="dxa"/>
          </w:tcPr>
          <w:p>
            <w:pPr>
              <w:pStyle w:val="yTableNAm"/>
            </w:pPr>
            <w:r>
              <w:t>92.</w:t>
            </w:r>
          </w:p>
        </w:tc>
        <w:tc>
          <w:tcPr>
            <w:tcW w:w="4537" w:type="dxa"/>
          </w:tcPr>
          <w:p>
            <w:pPr>
              <w:pStyle w:val="yTableNAm"/>
            </w:pPr>
            <w:r>
              <w:t>MORPHINE</w:t>
            </w:r>
            <w:r>
              <w:noBreakHyphen/>
              <w:t>N</w:t>
            </w:r>
            <w:r>
              <w:noBreakHyphen/>
              <w:t>OXIDE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93.</w:t>
            </w:r>
          </w:p>
        </w:tc>
        <w:tc>
          <w:tcPr>
            <w:tcW w:w="4537" w:type="dxa"/>
          </w:tcPr>
          <w:p>
            <w:pPr>
              <w:pStyle w:val="yTableNAm"/>
            </w:pPr>
            <w:r>
              <w:t>MORPHINE SUBSTITUTES (not specifically included elsewhere in this Schedule)</w:t>
            </w:r>
          </w:p>
        </w:tc>
        <w:tc>
          <w:tcPr>
            <w:tcW w:w="1531" w:type="dxa"/>
            <w:gridSpan w:val="2"/>
          </w:tcPr>
          <w:p>
            <w:pPr>
              <w:pStyle w:val="yTableNAm"/>
              <w:tabs>
                <w:tab w:val="clear" w:pos="567"/>
                <w:tab w:val="decimal" w:pos="463"/>
              </w:tabs>
            </w:pPr>
            <w:r>
              <w:br/>
              <w:t>6.0</w:t>
            </w:r>
          </w:p>
        </w:tc>
      </w:tr>
      <w:tr>
        <w:trPr>
          <w:cantSplit/>
        </w:trPr>
        <w:tc>
          <w:tcPr>
            <w:tcW w:w="1276" w:type="dxa"/>
          </w:tcPr>
          <w:p>
            <w:pPr>
              <w:pStyle w:val="yTableNAm"/>
            </w:pPr>
            <w:r>
              <w:t>94A.</w:t>
            </w:r>
          </w:p>
        </w:tc>
        <w:tc>
          <w:tcPr>
            <w:tcW w:w="4537" w:type="dxa"/>
          </w:tcPr>
          <w:p>
            <w:pPr>
              <w:pStyle w:val="yTableNAm"/>
            </w:pPr>
            <w:r>
              <w:rPr>
                <w:szCs w:val="22"/>
              </w:rPr>
              <w:t>1</w:t>
            </w:r>
            <w:r>
              <w:rPr>
                <w:szCs w:val="22"/>
              </w:rPr>
              <w:noBreakHyphen/>
              <w:t>[2</w:t>
            </w:r>
            <w:r>
              <w:rPr>
                <w:szCs w:val="22"/>
              </w:rPr>
              <w:noBreakHyphen/>
              <w:t>(4</w:t>
            </w:r>
            <w:r>
              <w:rPr>
                <w:szCs w:val="22"/>
              </w:rPr>
              <w:noBreakHyphen/>
              <w:t>MORPHOLINYL) ETHYL]</w:t>
            </w:r>
            <w:r>
              <w:rPr>
                <w:szCs w:val="22"/>
              </w:rPr>
              <w:noBreakHyphen/>
              <w:t>3</w:t>
            </w:r>
            <w:r>
              <w:rPr>
                <w:szCs w:val="22"/>
              </w:rPr>
              <w:noBreakHyphen/>
              <w:t>(1</w:t>
            </w:r>
            <w:r>
              <w:rPr>
                <w:szCs w:val="22"/>
              </w:rPr>
              <w:noBreakHyphen/>
            </w:r>
            <w:r>
              <w:rPr>
                <w:szCs w:val="22"/>
              </w:rPr>
              <w:br/>
              <w:t>NAPHTHOYL) INDOLE (JWH</w:t>
            </w:r>
            <w:r>
              <w:rPr>
                <w:szCs w:val="22"/>
              </w:rPr>
              <w:noBreakHyphen/>
              <w:t>200)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94B.</w:t>
            </w:r>
          </w:p>
        </w:tc>
        <w:tc>
          <w:tcPr>
            <w:tcW w:w="4537" w:type="dxa"/>
          </w:tcPr>
          <w:p>
            <w:pPr>
              <w:pStyle w:val="yTableNAm"/>
            </w:pPr>
            <w:r>
              <w:rPr>
                <w:szCs w:val="22"/>
              </w:rPr>
              <w:t>1</w:t>
            </w:r>
            <w:r>
              <w:rPr>
                <w:szCs w:val="22"/>
              </w:rPr>
              <w:noBreakHyphen/>
              <w:t>[2</w:t>
            </w:r>
            <w:r>
              <w:rPr>
                <w:szCs w:val="22"/>
              </w:rPr>
              <w:noBreakHyphen/>
              <w:t>(4</w:t>
            </w:r>
            <w:r>
              <w:rPr>
                <w:szCs w:val="22"/>
              </w:rPr>
              <w:noBreakHyphen/>
              <w:t>MORPHOLINYL) ETHYL]</w:t>
            </w:r>
            <w:r>
              <w:rPr>
                <w:szCs w:val="22"/>
              </w:rPr>
              <w:noBreakHyphen/>
              <w:t>3</w:t>
            </w:r>
            <w:r>
              <w:rPr>
                <w:szCs w:val="22"/>
              </w:rPr>
              <w:noBreakHyphen/>
              <w:t>(1</w:t>
            </w:r>
            <w:r>
              <w:rPr>
                <w:szCs w:val="22"/>
              </w:rPr>
              <w:noBreakHyphen/>
            </w:r>
            <w:r>
              <w:rPr>
                <w:szCs w:val="22"/>
              </w:rPr>
              <w:br/>
              <w:t>NAPHTHOYL) INDOLE (JWH</w:t>
            </w:r>
            <w:r>
              <w:rPr>
                <w:szCs w:val="22"/>
              </w:rPr>
              <w:noBreakHyphen/>
              <w:t>200)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94.</w:t>
            </w:r>
          </w:p>
        </w:tc>
        <w:tc>
          <w:tcPr>
            <w:tcW w:w="4537" w:type="dxa"/>
          </w:tcPr>
          <w:p>
            <w:pPr>
              <w:pStyle w:val="yTableNAm"/>
            </w:pPr>
            <w:r>
              <w:t>MYROPHINE</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94AA.</w:t>
            </w:r>
          </w:p>
        </w:tc>
        <w:tc>
          <w:tcPr>
            <w:tcW w:w="4537" w:type="dxa"/>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(CYCLOHEXYLMETHYL)</w:t>
            </w:r>
            <w:r>
              <w:noBreakHyphen/>
              <w:t>1H</w:t>
            </w:r>
            <w:r>
              <w:noBreakHyphen/>
            </w:r>
            <w:r>
              <w:br/>
              <w:t>INDAZOLE</w:t>
            </w:r>
            <w:r>
              <w:noBreakHyphen/>
              <w:t>3</w:t>
            </w:r>
            <w:r>
              <w:noBreakHyphen/>
              <w:t>CARBOXAMIDE (MAB</w:t>
            </w:r>
            <w:r>
              <w:noBreakHyphen/>
              <w:t>CHMINACA or ADB</w:t>
            </w:r>
            <w:r>
              <w:noBreakHyphen/>
              <w:t>CHMINACA) (plant material)</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94AB.</w:t>
            </w:r>
          </w:p>
        </w:tc>
        <w:tc>
          <w:tcPr>
            <w:tcW w:w="4537" w:type="dxa"/>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(CYCLOHEXYLMETHYL)</w:t>
            </w:r>
            <w:r>
              <w:noBreakHyphen/>
              <w:t>1H</w:t>
            </w:r>
            <w:r>
              <w:noBreakHyphen/>
            </w:r>
            <w:r>
              <w:br/>
              <w:t>INDAZOLE</w:t>
            </w:r>
            <w:r>
              <w:noBreakHyphen/>
              <w:t>3</w:t>
            </w:r>
            <w:r>
              <w:noBreakHyphen/>
              <w:t>CARBOXAMIDE (MAB</w:t>
            </w:r>
            <w:r>
              <w:noBreakHyphen/>
              <w:t>CHMINACA or ADB</w:t>
            </w:r>
            <w:r>
              <w:noBreakHyphen/>
              <w:t xml:space="preserve">CHMINACA) </w:t>
            </w:r>
            <w:r>
              <w:br/>
              <w:t>(in any form except plant material)</w:t>
            </w:r>
          </w:p>
        </w:tc>
        <w:tc>
          <w:tcPr>
            <w:tcW w:w="1531"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lastRenderedPageBreak/>
              <w:t>94AC.</w:t>
            </w:r>
          </w:p>
        </w:tc>
        <w:tc>
          <w:tcPr>
            <w:tcW w:w="4537" w:type="dxa"/>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ADBICA)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94AD.</w:t>
            </w:r>
          </w:p>
        </w:tc>
        <w:tc>
          <w:tcPr>
            <w:tcW w:w="4537" w:type="dxa"/>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ADBICA)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94AE.</w:t>
            </w:r>
          </w:p>
        </w:tc>
        <w:tc>
          <w:tcPr>
            <w:tcW w:w="4537" w:type="dxa"/>
          </w:tcPr>
          <w:p>
            <w:pPr>
              <w:pStyle w:val="yTableNAm"/>
            </w:pPr>
            <w:r>
              <w:t>N</w:t>
            </w:r>
            <w:r>
              <w:noBreakHyphen/>
              <w:t>[1</w:t>
            </w:r>
            <w:r>
              <w:noBreakHyphen/>
              <w:t>(AMINOCARBONYL)</w:t>
            </w:r>
            <w:r>
              <w:noBreakHyphen/>
              <w:t>2,2</w:t>
            </w:r>
            <w:r>
              <w:noBreakHyphen/>
            </w:r>
            <w:r>
              <w:br/>
              <w:t>DIMETHYLPROPYL]</w:t>
            </w:r>
            <w:r>
              <w:noBreakHyphen/>
              <w:t>1</w:t>
            </w:r>
            <w:r>
              <w:noBreakHyphen/>
              <w:t>PENTYL</w:t>
            </w:r>
            <w:r>
              <w:noBreakHyphen/>
              <w:t>1H</w:t>
            </w:r>
            <w:r>
              <w:noBreakHyphen/>
            </w:r>
            <w:r>
              <w:br/>
              <w:t>INDAZOLE</w:t>
            </w:r>
            <w:r>
              <w:noBreakHyphen/>
              <w:t>3</w:t>
            </w:r>
            <w:r>
              <w:noBreakHyphen/>
              <w:t>CARBOXAMIDE (ADB</w:t>
            </w:r>
            <w:r>
              <w:noBreakHyphen/>
              <w:t xml:space="preserve">PINACA) (plant material) </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94AF.</w:t>
            </w:r>
          </w:p>
        </w:tc>
        <w:tc>
          <w:tcPr>
            <w:tcW w:w="4537" w:type="dxa"/>
          </w:tcPr>
          <w:p>
            <w:pPr>
              <w:pStyle w:val="yTableNAm"/>
            </w:pPr>
            <w:r>
              <w:t>N</w:t>
            </w:r>
            <w:r>
              <w:noBreakHyphen/>
              <w:t>[1</w:t>
            </w:r>
            <w:r>
              <w:noBreakHyphen/>
              <w:t>(AMINOCARBONYL)</w:t>
            </w:r>
            <w:r>
              <w:noBreakHyphen/>
              <w:t>2,2</w:t>
            </w:r>
            <w:r>
              <w:noBreakHyphen/>
            </w:r>
            <w:r>
              <w:br/>
              <w:t>DIMETHYLPROPYL]</w:t>
            </w:r>
            <w:r>
              <w:noBreakHyphen/>
              <w:t>1</w:t>
            </w:r>
            <w:r>
              <w:noBreakHyphen/>
              <w:t>PENTYL</w:t>
            </w:r>
            <w:r>
              <w:noBreakHyphen/>
              <w:t>1H</w:t>
            </w:r>
            <w:r>
              <w:noBreakHyphen/>
            </w:r>
            <w:r>
              <w:br/>
              <w:t>INDAZOLE</w:t>
            </w:r>
            <w:r>
              <w:noBreakHyphen/>
              <w:t>3</w:t>
            </w:r>
            <w:r>
              <w:noBreakHyphen/>
              <w:t>CARBOXAMIDE (ADB</w:t>
            </w:r>
            <w:r>
              <w:noBreakHyphen/>
              <w:t>PINACA) (in any form except plant material)</w:t>
            </w:r>
          </w:p>
        </w:tc>
        <w:tc>
          <w:tcPr>
            <w:tcW w:w="1531"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t>94AG.</w:t>
            </w:r>
          </w:p>
        </w:tc>
        <w:tc>
          <w:tcPr>
            <w:tcW w:w="4537" w:type="dxa"/>
          </w:tcPr>
          <w:p>
            <w:pPr>
              <w:pStyle w:val="yTableNAm"/>
            </w:pPr>
            <w:r>
              <w:t>N</w:t>
            </w:r>
            <w:r>
              <w:noBreakHyphen/>
              <w:t>(1</w:t>
            </w:r>
            <w:r>
              <w:noBreakHyphen/>
              <w:t>[AMINOCARBONYL)</w:t>
            </w:r>
            <w:r>
              <w:noBreakHyphen/>
              <w:t>2</w:t>
            </w:r>
            <w:r>
              <w:noBreakHyphen/>
            </w:r>
            <w:r>
              <w:br/>
              <w:t>METHYLPROPYL]</w:t>
            </w:r>
            <w:r>
              <w:noBreakHyphen/>
              <w:t>1</w:t>
            </w:r>
            <w:r>
              <w:noBreakHyphen/>
            </w:r>
            <w:r>
              <w:br/>
              <w:t>(CYCLOHEXYLMETHYL)</w:t>
            </w:r>
            <w:r>
              <w:noBreakHyphen/>
              <w:t>1H</w:t>
            </w:r>
            <w:r>
              <w:noBreakHyphen/>
              <w:t>INDAZOLE</w:t>
            </w:r>
            <w:r>
              <w:noBreakHyphen/>
              <w:t>3</w:t>
            </w:r>
            <w:r>
              <w:noBreakHyphen/>
            </w:r>
            <w:r>
              <w:br/>
              <w:t>CARBOXAMIDE (AB</w:t>
            </w:r>
            <w:r>
              <w:noBreakHyphen/>
              <w:t>CHMINACA) (plant material)</w:t>
            </w:r>
          </w:p>
        </w:tc>
        <w:tc>
          <w:tcPr>
            <w:tcW w:w="1531" w:type="dxa"/>
            <w:gridSpan w:val="2"/>
          </w:tcPr>
          <w:p>
            <w:pPr>
              <w:pStyle w:val="yTableNAm"/>
              <w:tabs>
                <w:tab w:val="clear" w:pos="567"/>
                <w:tab w:val="decimal" w:pos="463"/>
              </w:tabs>
            </w:pPr>
            <w:r>
              <w:br/>
            </w:r>
            <w:r>
              <w:br/>
            </w:r>
            <w:r>
              <w:br/>
            </w:r>
            <w:r>
              <w:br/>
              <w:t>60.0</w:t>
            </w:r>
          </w:p>
        </w:tc>
      </w:tr>
      <w:tr>
        <w:trPr>
          <w:cantSplit/>
        </w:trPr>
        <w:tc>
          <w:tcPr>
            <w:tcW w:w="1276" w:type="dxa"/>
          </w:tcPr>
          <w:p>
            <w:pPr>
              <w:pStyle w:val="yTableNAm"/>
            </w:pPr>
            <w:r>
              <w:t>94AH.</w:t>
            </w:r>
          </w:p>
        </w:tc>
        <w:tc>
          <w:tcPr>
            <w:tcW w:w="4537" w:type="dxa"/>
          </w:tcPr>
          <w:p>
            <w:pPr>
              <w:pStyle w:val="yTableNAm"/>
            </w:pPr>
            <w:r>
              <w:t>N</w:t>
            </w:r>
            <w:r>
              <w:noBreakHyphen/>
              <w:t>(1</w:t>
            </w:r>
            <w:r>
              <w:noBreakHyphen/>
              <w:t>[AMINOCARBONYL)</w:t>
            </w:r>
            <w:r>
              <w:noBreakHyphen/>
              <w:t>2</w:t>
            </w:r>
            <w:r>
              <w:noBreakHyphen/>
            </w:r>
            <w:r>
              <w:br/>
              <w:t>METHYLPROPYL]</w:t>
            </w:r>
            <w:r>
              <w:noBreakHyphen/>
              <w:t>1</w:t>
            </w:r>
            <w:r>
              <w:noBreakHyphen/>
            </w:r>
            <w:r>
              <w:br/>
              <w:t>(CYCLOHEXYLMETHYL)</w:t>
            </w:r>
            <w:r>
              <w:noBreakHyphen/>
              <w:t>1H</w:t>
            </w:r>
            <w:r>
              <w:noBreakHyphen/>
              <w:t>INDAZOLE</w:t>
            </w:r>
            <w:r>
              <w:noBreakHyphen/>
              <w:t>3</w:t>
            </w:r>
            <w:r>
              <w:noBreakHyphen/>
            </w:r>
            <w:r>
              <w:br/>
              <w:t>CARBOXAMIDE (AB</w:t>
            </w:r>
            <w:r>
              <w:noBreakHyphen/>
              <w:t>CHMINACA) (in any form except plant material)</w:t>
            </w:r>
          </w:p>
        </w:tc>
        <w:tc>
          <w:tcPr>
            <w:tcW w:w="1531"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lastRenderedPageBreak/>
              <w:t>94AI.</w:t>
            </w:r>
          </w:p>
        </w:tc>
        <w:tc>
          <w:tcPr>
            <w:tcW w:w="4537" w:type="dxa"/>
          </w:tcPr>
          <w:p>
            <w:pPr>
              <w:pStyle w:val="yTableNAm"/>
            </w:pPr>
            <w:r>
              <w:t>N</w:t>
            </w:r>
            <w:r>
              <w:noBreakHyphen/>
              <w:t>(1</w:t>
            </w:r>
            <w:r>
              <w:noBreakHyphen/>
              <w:t>AMINO</w:t>
            </w:r>
            <w:r>
              <w:noBreakHyphen/>
              <w:t>3</w:t>
            </w:r>
            <w:r>
              <w:noBreakHyphen/>
              <w:t>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ABICA)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94AJ.</w:t>
            </w:r>
          </w:p>
        </w:tc>
        <w:tc>
          <w:tcPr>
            <w:tcW w:w="4537" w:type="dxa"/>
          </w:tcPr>
          <w:p>
            <w:pPr>
              <w:pStyle w:val="yTableNAm"/>
            </w:pPr>
            <w:r>
              <w:t>N</w:t>
            </w:r>
            <w:r>
              <w:noBreakHyphen/>
              <w:t>(1</w:t>
            </w:r>
            <w:r>
              <w:noBreakHyphen/>
              <w:t>AMINO</w:t>
            </w:r>
            <w:r>
              <w:noBreakHyphen/>
              <w:t>3</w:t>
            </w:r>
            <w:r>
              <w:noBreakHyphen/>
              <w:t>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ABICA)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94AK.</w:t>
            </w:r>
          </w:p>
        </w:tc>
        <w:tc>
          <w:tcPr>
            <w:tcW w:w="4537" w:type="dxa"/>
          </w:tcPr>
          <w:p>
            <w:pPr>
              <w:pStyle w:val="yTableNAm"/>
            </w:pPr>
            <w:r>
              <w:t>N</w:t>
            </w:r>
            <w:r>
              <w:noBreakHyphen/>
              <w:t>[(1S)</w:t>
            </w:r>
            <w:r>
              <w:noBreakHyphen/>
              <w:t>1</w:t>
            </w:r>
            <w:r>
              <w:noBreakHyphen/>
              <w:t>(AMINOCARBONYL)</w:t>
            </w:r>
            <w:r>
              <w:noBreakHyphen/>
              <w:t>2</w:t>
            </w:r>
            <w:r>
              <w:noBreakHyphen/>
            </w:r>
            <w:r>
              <w:br/>
              <w:t>METHYLPROPYL]</w:t>
            </w:r>
            <w:r>
              <w:noBreakHyphen/>
              <w:t>1</w:t>
            </w:r>
            <w:r>
              <w:noBreakHyphen/>
              <w:t>(5</w:t>
            </w:r>
            <w:r>
              <w:noBreakHyphen/>
              <w:t>FLUOROPENTYL)</w:t>
            </w:r>
            <w:r>
              <w:noBreakHyphen/>
              <w:t>1H</w:t>
            </w:r>
            <w:r>
              <w:noBreakHyphen/>
              <w:t>INDAZOLE</w:t>
            </w:r>
            <w:r>
              <w:noBreakHyphen/>
              <w:t>3</w:t>
            </w:r>
            <w:r>
              <w:noBreakHyphen/>
              <w:t>CARBOXAMIDE (5F</w:t>
            </w:r>
            <w:r>
              <w:noBreakHyphen/>
              <w:t>AB</w:t>
            </w:r>
            <w:r>
              <w:noBreakHyphen/>
              <w:t>PINACA) (plant material)</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94AL.</w:t>
            </w:r>
          </w:p>
        </w:tc>
        <w:tc>
          <w:tcPr>
            <w:tcW w:w="4537" w:type="dxa"/>
          </w:tcPr>
          <w:p>
            <w:pPr>
              <w:pStyle w:val="yTableNAm"/>
            </w:pPr>
            <w:r>
              <w:t>N</w:t>
            </w:r>
            <w:r>
              <w:noBreakHyphen/>
              <w:t>[(1S)</w:t>
            </w:r>
            <w:r>
              <w:noBreakHyphen/>
              <w:t>1</w:t>
            </w:r>
            <w:r>
              <w:noBreakHyphen/>
              <w:t>(AMINOCARBONYL)</w:t>
            </w:r>
            <w:r>
              <w:noBreakHyphen/>
              <w:t>2</w:t>
            </w:r>
            <w:r>
              <w:noBreakHyphen/>
            </w:r>
            <w:r>
              <w:br/>
              <w:t>METHYLPROPYL]</w:t>
            </w:r>
            <w:r>
              <w:noBreakHyphen/>
              <w:t>1</w:t>
            </w:r>
            <w:r>
              <w:noBreakHyphen/>
              <w:t>(5</w:t>
            </w:r>
            <w:r>
              <w:noBreakHyphen/>
              <w:t>FLUOROPENTYL)</w:t>
            </w:r>
            <w:r>
              <w:noBreakHyphen/>
              <w:t>1H</w:t>
            </w:r>
            <w:r>
              <w:noBreakHyphen/>
              <w:t>INDAZOLE</w:t>
            </w:r>
            <w:r>
              <w:noBreakHyphen/>
              <w:t>3</w:t>
            </w:r>
            <w:r>
              <w:noBreakHyphen/>
              <w:t>CARBOXAMIDE (5F</w:t>
            </w:r>
            <w:r>
              <w:noBreakHyphen/>
              <w:t>AB</w:t>
            </w:r>
            <w:r>
              <w:noBreakHyphen/>
              <w:t>PINACA) (in any form except plant material)</w:t>
            </w:r>
          </w:p>
        </w:tc>
        <w:tc>
          <w:tcPr>
            <w:tcW w:w="1531"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t>94AM.</w:t>
            </w:r>
          </w:p>
        </w:tc>
        <w:tc>
          <w:tcPr>
            <w:tcW w:w="4537" w:type="dxa"/>
          </w:tcPr>
          <w:p>
            <w:pPr>
              <w:pStyle w:val="yTableNAm"/>
            </w:pPr>
            <w:r>
              <w:rPr>
                <w:rFonts w:cs="Arial"/>
                <w:szCs w:val="24"/>
              </w:rPr>
              <w:t>N</w:t>
            </w:r>
            <w:r>
              <w:rPr>
                <w:rFonts w:cs="Arial"/>
                <w:szCs w:val="24"/>
              </w:rPr>
              <w:noBreakHyphen/>
              <w:t>[(1S)</w:t>
            </w:r>
            <w:r>
              <w:rPr>
                <w:rFonts w:cs="Arial"/>
                <w:szCs w:val="24"/>
              </w:rPr>
              <w:noBreakHyphen/>
              <w:t>1</w:t>
            </w:r>
            <w:r>
              <w:rPr>
                <w:rFonts w:cs="Arial"/>
                <w:szCs w:val="24"/>
              </w:rPr>
              <w:noBreakHyphen/>
              <w:t>(AMINOCARBONYL)</w:t>
            </w:r>
            <w:r>
              <w:rPr>
                <w:rFonts w:cs="Arial"/>
                <w:szCs w:val="24"/>
              </w:rPr>
              <w:noBreakHyphen/>
              <w:t>2</w:t>
            </w:r>
            <w:r>
              <w:rPr>
                <w:rFonts w:cs="Arial"/>
                <w:szCs w:val="24"/>
              </w:rPr>
              <w:noBreakHyphen/>
              <w:t>METHYLPROPYL]</w:t>
            </w:r>
            <w:r>
              <w:rPr>
                <w:rFonts w:cs="Arial"/>
                <w:szCs w:val="24"/>
              </w:rPr>
              <w:noBreakHyphen/>
              <w:t>1</w:t>
            </w:r>
            <w:r>
              <w:rPr>
                <w:rFonts w:cs="Arial"/>
                <w:szCs w:val="24"/>
              </w:rPr>
              <w:noBreakHyphen/>
              <w:t>(5</w:t>
            </w:r>
            <w:r>
              <w:rPr>
                <w:rFonts w:cs="Arial"/>
                <w:szCs w:val="24"/>
              </w:rPr>
              <w:noBreakHyphen/>
              <w:t xml:space="preserve">FLUOROPENTYL) </w:t>
            </w:r>
            <w:r>
              <w:rPr>
                <w:rFonts w:cs="Arial"/>
                <w:szCs w:val="24"/>
              </w:rPr>
              <w:noBreakHyphen/>
              <w:t>1H</w:t>
            </w:r>
            <w:r>
              <w:rPr>
                <w:rFonts w:cs="Arial"/>
                <w:szCs w:val="24"/>
              </w:rPr>
              <w:noBreakHyphen/>
              <w:t>PYRROLO[2,3</w:t>
            </w:r>
            <w:r>
              <w:rPr>
                <w:rFonts w:cs="Arial"/>
                <w:szCs w:val="24"/>
              </w:rPr>
              <w:noBreakHyphen/>
              <w:t>B] PYRIDINE</w:t>
            </w:r>
            <w:r>
              <w:rPr>
                <w:rFonts w:cs="Arial"/>
                <w:szCs w:val="24"/>
              </w:rPr>
              <w:noBreakHyphen/>
              <w:t>3</w:t>
            </w:r>
            <w:r>
              <w:rPr>
                <w:rFonts w:cs="Arial"/>
                <w:szCs w:val="24"/>
              </w:rPr>
              <w:noBreakHyphen/>
              <w:t>CARBOXAMIDE (5F</w:t>
            </w:r>
            <w:r>
              <w:rPr>
                <w:rFonts w:cs="Arial"/>
                <w:szCs w:val="24"/>
              </w:rPr>
              <w:noBreakHyphen/>
              <w:t>AB</w:t>
            </w:r>
            <w:r>
              <w:rPr>
                <w:rFonts w:cs="Arial"/>
                <w:szCs w:val="24"/>
              </w:rPr>
              <w:noBreakHyphen/>
              <w:t>P7AICA) (</w:t>
            </w:r>
            <w:r>
              <w:rPr>
                <w:rFonts w:cs="Arial"/>
                <w:bCs/>
                <w:szCs w:val="24"/>
              </w:rPr>
              <w:t>plant material</w:t>
            </w:r>
            <w:r>
              <w:rPr>
                <w:rFonts w:cs="Arial"/>
                <w:szCs w:val="24"/>
              </w:rPr>
              <w:t>)</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t>94AN.</w:t>
            </w:r>
          </w:p>
        </w:tc>
        <w:tc>
          <w:tcPr>
            <w:tcW w:w="4537" w:type="dxa"/>
          </w:tcPr>
          <w:p>
            <w:pPr>
              <w:pStyle w:val="yTableNAm"/>
            </w:pPr>
            <w:r>
              <w:rPr>
                <w:rFonts w:cs="Arial"/>
                <w:szCs w:val="24"/>
              </w:rPr>
              <w:t>N</w:t>
            </w:r>
            <w:r>
              <w:rPr>
                <w:rFonts w:cs="Arial"/>
                <w:szCs w:val="24"/>
              </w:rPr>
              <w:noBreakHyphen/>
              <w:t>[(1S)</w:t>
            </w:r>
            <w:r>
              <w:rPr>
                <w:rFonts w:cs="Arial"/>
                <w:szCs w:val="24"/>
              </w:rPr>
              <w:noBreakHyphen/>
              <w:t>1</w:t>
            </w:r>
            <w:r>
              <w:rPr>
                <w:rFonts w:cs="Arial"/>
                <w:szCs w:val="24"/>
              </w:rPr>
              <w:noBreakHyphen/>
              <w:t>(AMINOCARBONYL)</w:t>
            </w:r>
            <w:r>
              <w:rPr>
                <w:rFonts w:cs="Arial"/>
                <w:szCs w:val="24"/>
              </w:rPr>
              <w:noBreakHyphen/>
              <w:t>2</w:t>
            </w:r>
            <w:r>
              <w:rPr>
                <w:rFonts w:cs="Arial"/>
                <w:szCs w:val="24"/>
              </w:rPr>
              <w:noBreakHyphen/>
              <w:t>METHYLPROPYL]</w:t>
            </w:r>
            <w:r>
              <w:rPr>
                <w:rFonts w:cs="Arial"/>
                <w:szCs w:val="24"/>
              </w:rPr>
              <w:noBreakHyphen/>
              <w:t>1</w:t>
            </w:r>
            <w:r>
              <w:rPr>
                <w:rFonts w:cs="Arial"/>
                <w:szCs w:val="24"/>
              </w:rPr>
              <w:noBreakHyphen/>
              <w:t>(5</w:t>
            </w:r>
            <w:r>
              <w:rPr>
                <w:rFonts w:cs="Arial"/>
                <w:szCs w:val="24"/>
              </w:rPr>
              <w:noBreakHyphen/>
              <w:t xml:space="preserve">FLUOROPENTYL) </w:t>
            </w:r>
            <w:r>
              <w:rPr>
                <w:rFonts w:cs="Arial"/>
                <w:szCs w:val="24"/>
              </w:rPr>
              <w:noBreakHyphen/>
              <w:t>1H</w:t>
            </w:r>
            <w:r>
              <w:rPr>
                <w:rFonts w:cs="Arial"/>
                <w:szCs w:val="24"/>
              </w:rPr>
              <w:noBreakHyphen/>
              <w:t>PYRROLO[2,3</w:t>
            </w:r>
            <w:r>
              <w:rPr>
                <w:rFonts w:cs="Arial"/>
                <w:szCs w:val="24"/>
              </w:rPr>
              <w:noBreakHyphen/>
              <w:t>B] PYRIDINE</w:t>
            </w:r>
            <w:r>
              <w:rPr>
                <w:rFonts w:cs="Arial"/>
                <w:szCs w:val="24"/>
              </w:rPr>
              <w:noBreakHyphen/>
              <w:t>3</w:t>
            </w:r>
            <w:r>
              <w:rPr>
                <w:rFonts w:cs="Arial"/>
                <w:szCs w:val="24"/>
              </w:rPr>
              <w:noBreakHyphen/>
              <w:t>CARBOXAMIDE (5F</w:t>
            </w:r>
            <w:r>
              <w:rPr>
                <w:rFonts w:cs="Arial"/>
                <w:szCs w:val="24"/>
              </w:rPr>
              <w:noBreakHyphen/>
              <w:t>AB</w:t>
            </w:r>
            <w:r>
              <w:rPr>
                <w:rFonts w:cs="Arial"/>
                <w:szCs w:val="24"/>
              </w:rPr>
              <w:noBreakHyphen/>
              <w:t>P7AICA) (</w:t>
            </w:r>
            <w:r>
              <w:rPr>
                <w:rFonts w:cs="Arial"/>
                <w:bCs/>
                <w:szCs w:val="24"/>
              </w:rPr>
              <w:t>in any form except plant material</w:t>
            </w:r>
            <w:r>
              <w:rPr>
                <w:rFonts w:cs="Arial"/>
                <w:szCs w:val="24"/>
              </w:rPr>
              <w:t>)</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95A.</w:t>
            </w:r>
          </w:p>
        </w:tc>
        <w:tc>
          <w:tcPr>
            <w:tcW w:w="4537" w:type="dxa"/>
          </w:tcPr>
          <w:p>
            <w:pPr>
              <w:pStyle w:val="yTableNAm"/>
            </w:pPr>
            <w:r>
              <w:rPr>
                <w:rFonts w:cs="Arial"/>
                <w:szCs w:val="24"/>
              </w:rPr>
              <w:t>NAPHTHOYLINDOLES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95AB.</w:t>
            </w:r>
          </w:p>
        </w:tc>
        <w:tc>
          <w:tcPr>
            <w:tcW w:w="4537" w:type="dxa"/>
          </w:tcPr>
          <w:p>
            <w:pPr>
              <w:pStyle w:val="yTableNAm"/>
            </w:pPr>
            <w:r>
              <w:rPr>
                <w:rFonts w:cs="Arial"/>
                <w:szCs w:val="24"/>
              </w:rPr>
              <w:t>NAPHTHOYLINDOLES</w:t>
            </w:r>
            <w:r>
              <w:t xml:space="preserve">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95B.</w:t>
            </w:r>
          </w:p>
        </w:tc>
        <w:tc>
          <w:tcPr>
            <w:tcW w:w="4537" w:type="dxa"/>
          </w:tcPr>
          <w:p>
            <w:pPr>
              <w:pStyle w:val="yTableNAm"/>
            </w:pPr>
            <w:r>
              <w:rPr>
                <w:rFonts w:cs="Arial"/>
                <w:szCs w:val="24"/>
              </w:rPr>
              <w:t>NAPHTHYLMETHYLINDOLES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lastRenderedPageBreak/>
              <w:t>95BA.</w:t>
            </w:r>
          </w:p>
        </w:tc>
        <w:tc>
          <w:tcPr>
            <w:tcW w:w="4537" w:type="dxa"/>
          </w:tcPr>
          <w:p>
            <w:pPr>
              <w:pStyle w:val="yTableNAm"/>
            </w:pPr>
            <w:r>
              <w:rPr>
                <w:rFonts w:cs="Arial"/>
                <w:szCs w:val="24"/>
              </w:rPr>
              <w:t>NAPHTHYLMETHYLINDOLES</w:t>
            </w:r>
            <w:r>
              <w:t xml:space="preserve">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95C.</w:t>
            </w:r>
          </w:p>
        </w:tc>
        <w:tc>
          <w:tcPr>
            <w:tcW w:w="4537" w:type="dxa"/>
          </w:tcPr>
          <w:p>
            <w:pPr>
              <w:pStyle w:val="yTableNAm"/>
            </w:pPr>
            <w:r>
              <w:rPr>
                <w:rFonts w:cs="Arial"/>
                <w:szCs w:val="24"/>
              </w:rPr>
              <w:t>NAPHTHOYLPYRROLES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95CA.</w:t>
            </w:r>
          </w:p>
        </w:tc>
        <w:tc>
          <w:tcPr>
            <w:tcW w:w="4537" w:type="dxa"/>
          </w:tcPr>
          <w:p>
            <w:pPr>
              <w:pStyle w:val="yTableNAm"/>
            </w:pPr>
            <w:r>
              <w:rPr>
                <w:rFonts w:cs="Arial"/>
                <w:szCs w:val="24"/>
              </w:rPr>
              <w:t xml:space="preserve">NAPHTHOYLPYRROLES </w:t>
            </w:r>
            <w:r>
              <w:t>(in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95D.</w:t>
            </w:r>
          </w:p>
        </w:tc>
        <w:tc>
          <w:tcPr>
            <w:tcW w:w="4537" w:type="dxa"/>
          </w:tcPr>
          <w:p>
            <w:pPr>
              <w:pStyle w:val="yTableNAm"/>
            </w:pPr>
            <w:r>
              <w:rPr>
                <w:rFonts w:cs="Arial"/>
                <w:szCs w:val="24"/>
              </w:rPr>
              <w:t>NAPHTHYLMETHYLINDENES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95DA.</w:t>
            </w:r>
          </w:p>
        </w:tc>
        <w:tc>
          <w:tcPr>
            <w:tcW w:w="4537" w:type="dxa"/>
          </w:tcPr>
          <w:p>
            <w:pPr>
              <w:pStyle w:val="yTableNAm"/>
            </w:pPr>
            <w:r>
              <w:rPr>
                <w:rFonts w:cs="Arial"/>
                <w:szCs w:val="24"/>
              </w:rPr>
              <w:t>NAPHTHYLMETHYLINDENES</w:t>
            </w:r>
            <w:r>
              <w:t xml:space="preserve">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95.</w:t>
            </w:r>
          </w:p>
        </w:tc>
        <w:tc>
          <w:tcPr>
            <w:tcW w:w="4537" w:type="dxa"/>
          </w:tcPr>
          <w:p>
            <w:pPr>
              <w:pStyle w:val="yTableNAm"/>
            </w:pPr>
            <w:r>
              <w:t>NEALBARBITONE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96.</w:t>
            </w:r>
          </w:p>
        </w:tc>
        <w:tc>
          <w:tcPr>
            <w:tcW w:w="4537" w:type="dxa"/>
          </w:tcPr>
          <w:p>
            <w:pPr>
              <w:pStyle w:val="yTableNAm"/>
            </w:pPr>
            <w:r>
              <w:t xml:space="preserve">NICOCODINE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6.0</w:t>
            </w:r>
          </w:p>
        </w:tc>
      </w:tr>
      <w:tr>
        <w:trPr>
          <w:cantSplit/>
        </w:trPr>
        <w:tc>
          <w:tcPr>
            <w:tcW w:w="1276" w:type="dxa"/>
          </w:tcPr>
          <w:p>
            <w:pPr>
              <w:pStyle w:val="yTableNAm"/>
            </w:pPr>
            <w:r>
              <w:t>97.</w:t>
            </w:r>
          </w:p>
        </w:tc>
        <w:tc>
          <w:tcPr>
            <w:tcW w:w="4537" w:type="dxa"/>
          </w:tcPr>
          <w:p>
            <w:pPr>
              <w:pStyle w:val="yTableNAm"/>
              <w:keepNext/>
            </w:pPr>
            <w:r>
              <w:t xml:space="preserve">NICODICODINE (except when a Schedule 2 or 4 poison as defined in the </w:t>
            </w:r>
            <w:r>
              <w:rPr>
                <w:i/>
              </w:rPr>
              <w:t>Medicines and Poisons Act 2014</w:t>
            </w:r>
            <w:r>
              <w:t>)</w:t>
            </w:r>
          </w:p>
        </w:tc>
        <w:tc>
          <w:tcPr>
            <w:tcW w:w="1531" w:type="dxa"/>
            <w:gridSpan w:val="2"/>
          </w:tcPr>
          <w:p>
            <w:pPr>
              <w:pStyle w:val="yTableNAm"/>
              <w:keepNext/>
              <w:tabs>
                <w:tab w:val="clear" w:pos="567"/>
                <w:tab w:val="decimal" w:pos="463"/>
              </w:tabs>
            </w:pPr>
            <w:r>
              <w:br/>
            </w:r>
            <w:r>
              <w:br/>
              <w:t>6.0</w:t>
            </w:r>
          </w:p>
        </w:tc>
      </w:tr>
      <w:tr>
        <w:trPr>
          <w:cantSplit/>
        </w:trPr>
        <w:tc>
          <w:tcPr>
            <w:tcW w:w="1276" w:type="dxa"/>
          </w:tcPr>
          <w:p>
            <w:pPr>
              <w:pStyle w:val="yTableNAm"/>
            </w:pPr>
            <w:r>
              <w:t>98.</w:t>
            </w:r>
          </w:p>
        </w:tc>
        <w:tc>
          <w:tcPr>
            <w:tcW w:w="4537" w:type="dxa"/>
          </w:tcPr>
          <w:p>
            <w:pPr>
              <w:pStyle w:val="yTableNAm"/>
            </w:pPr>
            <w:r>
              <w:t>NICOMORPHINE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98A.</w:t>
            </w:r>
          </w:p>
        </w:tc>
        <w:tc>
          <w:tcPr>
            <w:tcW w:w="4537" w:type="dxa"/>
          </w:tcPr>
          <w:p>
            <w:pPr>
              <w:pStyle w:val="yTableNAm"/>
            </w:pPr>
            <w:r>
              <w:t>N</w:t>
            </w:r>
            <w:r>
              <w:noBreakHyphen/>
              <w:t>METHYL</w:t>
            </w:r>
            <w:r>
              <w:noBreakHyphen/>
              <w:t>1</w:t>
            </w:r>
            <w:r>
              <w:noBreakHyphen/>
              <w:t>(THIOPHEN</w:t>
            </w:r>
            <w:r>
              <w:noBreakHyphen/>
              <w:t>2</w:t>
            </w:r>
            <w:r>
              <w:noBreakHyphen/>
              <w:t>YL)PROPAN</w:t>
            </w:r>
            <w:r>
              <w:noBreakHyphen/>
              <w:t>2</w:t>
            </w:r>
            <w:r>
              <w:noBreakHyphen/>
              <w:t>AMINE (METHIOPROPAMINE; MPA)</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98B.</w:t>
            </w:r>
          </w:p>
        </w:tc>
        <w:tc>
          <w:tcPr>
            <w:tcW w:w="4537" w:type="dxa"/>
          </w:tcPr>
          <w:p>
            <w:pPr>
              <w:pStyle w:val="yTableNAm"/>
            </w:pPr>
            <w:r>
              <w:rPr>
                <w:rFonts w:cs="Arial"/>
                <w:szCs w:val="24"/>
              </w:rPr>
              <w:t>N</w:t>
            </w:r>
            <w:r>
              <w:rPr>
                <w:rFonts w:cs="Arial"/>
                <w:szCs w:val="24"/>
              </w:rPr>
              <w:noBreakHyphen/>
              <w:t>(1</w:t>
            </w:r>
            <w:r>
              <w:rPr>
                <w:rFonts w:cs="Arial"/>
                <w:szCs w:val="24"/>
              </w:rPr>
              <w:noBreakHyphen/>
              <w:t>NAPHTHYL)</w:t>
            </w:r>
            <w:r>
              <w:rPr>
                <w:rFonts w:cs="Arial"/>
                <w:szCs w:val="24"/>
              </w:rPr>
              <w:noBreakHyphen/>
              <w:t>1</w:t>
            </w:r>
            <w:r>
              <w:rPr>
                <w:rFonts w:cs="Arial"/>
                <w:szCs w:val="24"/>
              </w:rPr>
              <w:noBreakHyphen/>
              <w:t>(5</w:t>
            </w:r>
            <w:r>
              <w:rPr>
                <w:rFonts w:cs="Arial"/>
                <w:szCs w:val="24"/>
              </w:rPr>
              <w:noBreakHyphen/>
              <w:t>FLUOROPENTYL)</w:t>
            </w:r>
            <w:r>
              <w:rPr>
                <w:rFonts w:cs="Arial"/>
                <w:szCs w:val="24"/>
              </w:rPr>
              <w:noBreakHyphen/>
              <w:t>1H</w:t>
            </w:r>
            <w:r>
              <w:rPr>
                <w:rFonts w:cs="Arial"/>
                <w:szCs w:val="24"/>
              </w:rPr>
              <w:noBreakHyphen/>
              <w:t>INDOLE</w:t>
            </w:r>
            <w:r>
              <w:rPr>
                <w:rFonts w:cs="Arial"/>
                <w:szCs w:val="24"/>
              </w:rPr>
              <w:noBreakHyphen/>
              <w:t>3</w:t>
            </w:r>
            <w:r>
              <w:rPr>
                <w:rFonts w:cs="Arial"/>
                <w:szCs w:val="24"/>
              </w:rPr>
              <w:noBreakHyphen/>
              <w:t>CARBOXAMIDE (5F</w:t>
            </w:r>
            <w:r>
              <w:rPr>
                <w:rFonts w:cs="Arial"/>
                <w:szCs w:val="24"/>
              </w:rPr>
              <w:noBreakHyphen/>
              <w:t>NNEI; 5F</w:t>
            </w:r>
            <w:r>
              <w:rPr>
                <w:rFonts w:cs="Arial"/>
                <w:szCs w:val="24"/>
              </w:rPr>
              <w:noBreakHyphen/>
              <w:t>MN</w:t>
            </w:r>
            <w:r>
              <w:rPr>
                <w:rFonts w:cs="Arial"/>
                <w:szCs w:val="24"/>
              </w:rPr>
              <w:noBreakHyphen/>
              <w:t>24) (</w:t>
            </w:r>
            <w:r>
              <w:rPr>
                <w:rFonts w:cs="Arial"/>
                <w:bCs/>
                <w:szCs w:val="24"/>
              </w:rPr>
              <w:t>plant material</w:t>
            </w:r>
            <w:r>
              <w:rPr>
                <w:rFonts w:cs="Arial"/>
                <w:szCs w:val="24"/>
              </w:rPr>
              <w:t>)</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t>98C.</w:t>
            </w:r>
          </w:p>
        </w:tc>
        <w:tc>
          <w:tcPr>
            <w:tcW w:w="4537" w:type="dxa"/>
          </w:tcPr>
          <w:p>
            <w:pPr>
              <w:pStyle w:val="yTableNAm"/>
            </w:pPr>
            <w:r>
              <w:rPr>
                <w:rFonts w:cs="Arial"/>
                <w:szCs w:val="24"/>
              </w:rPr>
              <w:t>N</w:t>
            </w:r>
            <w:r>
              <w:rPr>
                <w:rFonts w:cs="Arial"/>
                <w:szCs w:val="24"/>
              </w:rPr>
              <w:noBreakHyphen/>
              <w:t>(1</w:t>
            </w:r>
            <w:r>
              <w:rPr>
                <w:rFonts w:cs="Arial"/>
                <w:szCs w:val="24"/>
              </w:rPr>
              <w:noBreakHyphen/>
              <w:t>NAPHTHYL)</w:t>
            </w:r>
            <w:r>
              <w:rPr>
                <w:rFonts w:cs="Arial"/>
                <w:szCs w:val="24"/>
              </w:rPr>
              <w:noBreakHyphen/>
              <w:t>1</w:t>
            </w:r>
            <w:r>
              <w:rPr>
                <w:rFonts w:cs="Arial"/>
                <w:szCs w:val="24"/>
              </w:rPr>
              <w:noBreakHyphen/>
              <w:t>(5</w:t>
            </w:r>
            <w:r>
              <w:rPr>
                <w:rFonts w:cs="Arial"/>
                <w:szCs w:val="24"/>
              </w:rPr>
              <w:noBreakHyphen/>
              <w:t>FLUOROPENTYL)</w:t>
            </w:r>
            <w:r>
              <w:rPr>
                <w:rFonts w:cs="Arial"/>
                <w:szCs w:val="24"/>
              </w:rPr>
              <w:noBreakHyphen/>
              <w:t>1H</w:t>
            </w:r>
            <w:r>
              <w:rPr>
                <w:rFonts w:cs="Arial"/>
                <w:szCs w:val="24"/>
              </w:rPr>
              <w:noBreakHyphen/>
              <w:t>INDOLE</w:t>
            </w:r>
            <w:r>
              <w:rPr>
                <w:rFonts w:cs="Arial"/>
                <w:szCs w:val="24"/>
              </w:rPr>
              <w:noBreakHyphen/>
              <w:t>3</w:t>
            </w:r>
            <w:r>
              <w:rPr>
                <w:rFonts w:cs="Arial"/>
                <w:szCs w:val="24"/>
              </w:rPr>
              <w:noBreakHyphen/>
              <w:t>CARBOXAMIDE (5F</w:t>
            </w:r>
            <w:r>
              <w:rPr>
                <w:rFonts w:cs="Arial"/>
                <w:szCs w:val="24"/>
              </w:rPr>
              <w:noBreakHyphen/>
              <w:t>NNEI; 5F</w:t>
            </w:r>
            <w:r>
              <w:rPr>
                <w:rFonts w:cs="Arial"/>
                <w:szCs w:val="24"/>
              </w:rPr>
              <w:noBreakHyphen/>
              <w:t>MN</w:t>
            </w:r>
            <w:r>
              <w:rPr>
                <w:rFonts w:cs="Arial"/>
                <w:szCs w:val="24"/>
              </w:rPr>
              <w:noBreakHyphen/>
              <w:t>24) (</w:t>
            </w:r>
            <w:r>
              <w:rPr>
                <w:rFonts w:cs="Arial"/>
                <w:bCs/>
                <w:szCs w:val="24"/>
              </w:rPr>
              <w:t>in any form except plant material</w:t>
            </w:r>
            <w:r>
              <w:rPr>
                <w:rFonts w:cs="Arial"/>
                <w:szCs w:val="24"/>
              </w:rPr>
              <w:t>)</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99.</w:t>
            </w:r>
          </w:p>
        </w:tc>
        <w:tc>
          <w:tcPr>
            <w:tcW w:w="4537" w:type="dxa"/>
          </w:tcPr>
          <w:p>
            <w:pPr>
              <w:pStyle w:val="yTableNAm"/>
            </w:pPr>
            <w:r>
              <w:t>NORACYMETHADOL</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lastRenderedPageBreak/>
              <w:t>100.</w:t>
            </w:r>
          </w:p>
        </w:tc>
        <w:tc>
          <w:tcPr>
            <w:tcW w:w="4537" w:type="dxa"/>
          </w:tcPr>
          <w:p>
            <w:pPr>
              <w:pStyle w:val="yTableNAm"/>
            </w:pPr>
            <w:r>
              <w:t xml:space="preserve">NORCODEINE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6.0</w:t>
            </w:r>
          </w:p>
        </w:tc>
      </w:tr>
      <w:tr>
        <w:trPr>
          <w:cantSplit/>
        </w:trPr>
        <w:tc>
          <w:tcPr>
            <w:tcW w:w="1276" w:type="dxa"/>
          </w:tcPr>
          <w:p>
            <w:pPr>
              <w:pStyle w:val="yTableNAm"/>
            </w:pPr>
            <w:r>
              <w:t>101.</w:t>
            </w:r>
          </w:p>
        </w:tc>
        <w:tc>
          <w:tcPr>
            <w:tcW w:w="4537" w:type="dxa"/>
          </w:tcPr>
          <w:p>
            <w:pPr>
              <w:pStyle w:val="yTableNAm"/>
            </w:pPr>
            <w:r>
              <w:t>NORLEVORPHANOL</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102.</w:t>
            </w:r>
          </w:p>
        </w:tc>
        <w:tc>
          <w:tcPr>
            <w:tcW w:w="4537" w:type="dxa"/>
          </w:tcPr>
          <w:p>
            <w:pPr>
              <w:pStyle w:val="yTableNAm"/>
            </w:pPr>
            <w:r>
              <w:t>NORMETHADONE</w:t>
            </w:r>
          </w:p>
        </w:tc>
        <w:tc>
          <w:tcPr>
            <w:tcW w:w="1531" w:type="dxa"/>
            <w:gridSpan w:val="2"/>
          </w:tcPr>
          <w:p>
            <w:pPr>
              <w:pStyle w:val="yTableNAm"/>
              <w:tabs>
                <w:tab w:val="clear" w:pos="567"/>
                <w:tab w:val="decimal" w:pos="463"/>
              </w:tabs>
            </w:pPr>
            <w:r>
              <w:t>1.5</w:t>
            </w:r>
          </w:p>
        </w:tc>
      </w:tr>
      <w:tr>
        <w:trPr>
          <w:cantSplit/>
        </w:trPr>
        <w:tc>
          <w:tcPr>
            <w:tcW w:w="1276" w:type="dxa"/>
          </w:tcPr>
          <w:p>
            <w:pPr>
              <w:pStyle w:val="yTableNAm"/>
            </w:pPr>
            <w:r>
              <w:t>103.</w:t>
            </w:r>
          </w:p>
        </w:tc>
        <w:tc>
          <w:tcPr>
            <w:tcW w:w="4537" w:type="dxa"/>
          </w:tcPr>
          <w:p>
            <w:pPr>
              <w:pStyle w:val="yTableNAm"/>
            </w:pPr>
            <w:r>
              <w:t>NORMORPHINE</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104.</w:t>
            </w:r>
          </w:p>
        </w:tc>
        <w:tc>
          <w:tcPr>
            <w:tcW w:w="4537" w:type="dxa"/>
          </w:tcPr>
          <w:p>
            <w:pPr>
              <w:pStyle w:val="yTableNAm"/>
            </w:pPr>
            <w:r>
              <w:t>NORPIPANONE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105.</w:t>
            </w:r>
          </w:p>
        </w:tc>
        <w:tc>
          <w:tcPr>
            <w:tcW w:w="4537" w:type="dxa"/>
          </w:tcPr>
          <w:p>
            <w:pPr>
              <w:pStyle w:val="yTableNAm"/>
            </w:pPr>
            <w:r>
              <w:t>OPIUM</w:t>
            </w:r>
          </w:p>
        </w:tc>
        <w:tc>
          <w:tcPr>
            <w:tcW w:w="1531" w:type="dxa"/>
            <w:gridSpan w:val="2"/>
          </w:tcPr>
          <w:p>
            <w:pPr>
              <w:pStyle w:val="yTableNAm"/>
              <w:tabs>
                <w:tab w:val="clear" w:pos="567"/>
                <w:tab w:val="decimal" w:pos="463"/>
              </w:tabs>
            </w:pPr>
            <w:r>
              <w:t>40.0</w:t>
            </w:r>
          </w:p>
        </w:tc>
      </w:tr>
      <w:tr>
        <w:trPr>
          <w:cantSplit/>
        </w:trPr>
        <w:tc>
          <w:tcPr>
            <w:tcW w:w="1276" w:type="dxa"/>
          </w:tcPr>
          <w:p>
            <w:pPr>
              <w:pStyle w:val="yTableNAm"/>
            </w:pPr>
            <w:r>
              <w:t>106.</w:t>
            </w:r>
          </w:p>
        </w:tc>
        <w:tc>
          <w:tcPr>
            <w:tcW w:w="4537" w:type="dxa"/>
          </w:tcPr>
          <w:p>
            <w:pPr>
              <w:pStyle w:val="yTableNAm"/>
            </w:pPr>
            <w:r>
              <w:t>OXYCODONE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107.</w:t>
            </w:r>
          </w:p>
        </w:tc>
        <w:tc>
          <w:tcPr>
            <w:tcW w:w="4537" w:type="dxa"/>
          </w:tcPr>
          <w:p>
            <w:pPr>
              <w:pStyle w:val="yTableNAm"/>
            </w:pPr>
            <w:r>
              <w:t>OXYMORPHONE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108.</w:t>
            </w:r>
          </w:p>
        </w:tc>
        <w:tc>
          <w:tcPr>
            <w:tcW w:w="4537" w:type="dxa"/>
          </w:tcPr>
          <w:p>
            <w:pPr>
              <w:pStyle w:val="yTableNAm"/>
            </w:pPr>
            <w:r>
              <w:t>PENTAZOCINE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109.</w:t>
            </w:r>
          </w:p>
        </w:tc>
        <w:tc>
          <w:tcPr>
            <w:tcW w:w="4537" w:type="dxa"/>
          </w:tcPr>
          <w:p>
            <w:pPr>
              <w:pStyle w:val="yTableNAm"/>
            </w:pPr>
            <w:r>
              <w:t>PENTOBARBITONE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110AA.</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110AAA.</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110AB.</w:t>
            </w:r>
          </w:p>
        </w:tc>
        <w:tc>
          <w:tcPr>
            <w:tcW w:w="4537"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110ABA.</w:t>
            </w:r>
          </w:p>
        </w:tc>
        <w:tc>
          <w:tcPr>
            <w:tcW w:w="4537"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110AC.</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110ACA.</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lastRenderedPageBreak/>
              <w:t>110AD.</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110ADA.</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110AE.</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110AEA.</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w:t>
            </w:r>
          </w:p>
        </w:tc>
        <w:tc>
          <w:tcPr>
            <w:tcW w:w="4537"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110BA.</w:t>
            </w:r>
          </w:p>
        </w:tc>
        <w:tc>
          <w:tcPr>
            <w:tcW w:w="4537"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110B.</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110C.</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w:t>
            </w:r>
          </w:p>
        </w:tc>
        <w:tc>
          <w:tcPr>
            <w:tcW w:w="4537" w:type="dxa"/>
          </w:tcPr>
          <w:p>
            <w:pPr>
              <w:pStyle w:val="yTableNAm"/>
            </w:pPr>
            <w:r>
              <w:t>PETHIDINE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111.</w:t>
            </w:r>
          </w:p>
        </w:tc>
        <w:tc>
          <w:tcPr>
            <w:tcW w:w="4537" w:type="dxa"/>
          </w:tcPr>
          <w:p>
            <w:pPr>
              <w:pStyle w:val="yTableNAm"/>
            </w:pPr>
            <w:r>
              <w:t>PETHIDINE</w:t>
            </w:r>
            <w:r>
              <w:noBreakHyphen/>
              <w:t>INTERMEDIATE A</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112.</w:t>
            </w:r>
          </w:p>
        </w:tc>
        <w:tc>
          <w:tcPr>
            <w:tcW w:w="4537" w:type="dxa"/>
          </w:tcPr>
          <w:p>
            <w:pPr>
              <w:pStyle w:val="yTableNAm"/>
            </w:pPr>
            <w:r>
              <w:t>PETHIDINE</w:t>
            </w:r>
            <w:r>
              <w:noBreakHyphen/>
              <w:t>INTERMEDIATE B</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113.</w:t>
            </w:r>
          </w:p>
        </w:tc>
        <w:tc>
          <w:tcPr>
            <w:tcW w:w="4537" w:type="dxa"/>
          </w:tcPr>
          <w:p>
            <w:pPr>
              <w:pStyle w:val="yTableNAm"/>
            </w:pPr>
            <w:r>
              <w:t>PETHIDINE</w:t>
            </w:r>
            <w:r>
              <w:noBreakHyphen/>
              <w:t>INTERMEDIATE C</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114.</w:t>
            </w:r>
          </w:p>
        </w:tc>
        <w:tc>
          <w:tcPr>
            <w:tcW w:w="4537" w:type="dxa"/>
          </w:tcPr>
          <w:p>
            <w:pPr>
              <w:pStyle w:val="yTableNAm"/>
            </w:pPr>
            <w:r>
              <w:t>PHENADOXONE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115.</w:t>
            </w:r>
          </w:p>
        </w:tc>
        <w:tc>
          <w:tcPr>
            <w:tcW w:w="4537" w:type="dxa"/>
          </w:tcPr>
          <w:p>
            <w:pPr>
              <w:pStyle w:val="yTableNAm"/>
            </w:pPr>
            <w:r>
              <w:t>PHENAMPROMIDE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116.</w:t>
            </w:r>
          </w:p>
        </w:tc>
        <w:tc>
          <w:tcPr>
            <w:tcW w:w="4537" w:type="dxa"/>
          </w:tcPr>
          <w:p>
            <w:pPr>
              <w:pStyle w:val="yTableNAm"/>
            </w:pPr>
            <w:r>
              <w:t>PHENAZOCINE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117.</w:t>
            </w:r>
          </w:p>
        </w:tc>
        <w:tc>
          <w:tcPr>
            <w:tcW w:w="4537" w:type="dxa"/>
          </w:tcPr>
          <w:p>
            <w:pPr>
              <w:pStyle w:val="yTableNAm"/>
            </w:pPr>
            <w:r>
              <w:t>PHENCYCLIDINE</w:t>
            </w:r>
          </w:p>
        </w:tc>
        <w:tc>
          <w:tcPr>
            <w:tcW w:w="1531" w:type="dxa"/>
            <w:gridSpan w:val="2"/>
          </w:tcPr>
          <w:p>
            <w:pPr>
              <w:pStyle w:val="yTableNAm"/>
              <w:tabs>
                <w:tab w:val="clear" w:pos="567"/>
                <w:tab w:val="decimal" w:pos="463"/>
              </w:tabs>
            </w:pPr>
            <w:r>
              <w:t>0.004</w:t>
            </w:r>
          </w:p>
        </w:tc>
      </w:tr>
      <w:tr>
        <w:trPr>
          <w:cantSplit/>
        </w:trPr>
        <w:tc>
          <w:tcPr>
            <w:tcW w:w="1276" w:type="dxa"/>
          </w:tcPr>
          <w:p>
            <w:pPr>
              <w:pStyle w:val="yTableNAm"/>
            </w:pPr>
            <w:r>
              <w:lastRenderedPageBreak/>
              <w:t>118.</w:t>
            </w:r>
          </w:p>
        </w:tc>
        <w:tc>
          <w:tcPr>
            <w:tcW w:w="4537" w:type="dxa"/>
          </w:tcPr>
          <w:p>
            <w:pPr>
              <w:pStyle w:val="yTableNAm"/>
            </w:pPr>
            <w:r>
              <w:t>PHENMETRAZINE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119.</w:t>
            </w:r>
          </w:p>
        </w:tc>
        <w:tc>
          <w:tcPr>
            <w:tcW w:w="4537" w:type="dxa"/>
          </w:tcPr>
          <w:p>
            <w:pPr>
              <w:pStyle w:val="yTableNAm"/>
            </w:pPr>
            <w:r>
              <w:t>PHENOBARBITONE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120.</w:t>
            </w:r>
          </w:p>
        </w:tc>
        <w:tc>
          <w:tcPr>
            <w:tcW w:w="4537" w:type="dxa"/>
          </w:tcPr>
          <w:p>
            <w:pPr>
              <w:pStyle w:val="yTableNAm"/>
            </w:pPr>
            <w:r>
              <w:t>PHENOMORPHAN</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121.</w:t>
            </w:r>
          </w:p>
        </w:tc>
        <w:tc>
          <w:tcPr>
            <w:tcW w:w="4537" w:type="dxa"/>
          </w:tcPr>
          <w:p>
            <w:pPr>
              <w:pStyle w:val="yTableNAm"/>
            </w:pPr>
            <w:r>
              <w:t>PHENOPERIDINE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122A.</w:t>
            </w:r>
          </w:p>
        </w:tc>
        <w:tc>
          <w:tcPr>
            <w:tcW w:w="4537" w:type="dxa"/>
          </w:tcPr>
          <w:p>
            <w:pPr>
              <w:pStyle w:val="yTableNAm"/>
            </w:pPr>
            <w:r>
              <w:rPr>
                <w:szCs w:val="22"/>
              </w:rPr>
              <w:t>PHENYLACETYLINDOLES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122B.</w:t>
            </w:r>
          </w:p>
        </w:tc>
        <w:tc>
          <w:tcPr>
            <w:tcW w:w="4537" w:type="dxa"/>
          </w:tcPr>
          <w:p>
            <w:pPr>
              <w:pStyle w:val="yTableNAm"/>
            </w:pPr>
            <w:r>
              <w:rPr>
                <w:szCs w:val="22"/>
              </w:rPr>
              <w:t>PHENYLACETYLINDOLES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122.</w:t>
            </w:r>
          </w:p>
        </w:tc>
        <w:tc>
          <w:tcPr>
            <w:tcW w:w="4537" w:type="dxa"/>
          </w:tcPr>
          <w:p>
            <w:pPr>
              <w:pStyle w:val="yTableNAm"/>
            </w:pPr>
            <w:r>
              <w:t>PHENYLMETHYLBARBITURIC ACID</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123.</w:t>
            </w:r>
          </w:p>
        </w:tc>
        <w:tc>
          <w:tcPr>
            <w:tcW w:w="4537" w:type="dxa"/>
          </w:tcPr>
          <w:p>
            <w:pPr>
              <w:pStyle w:val="yTableNAm"/>
            </w:pPr>
            <w:r>
              <w:t xml:space="preserve">PHOLCODINE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15.0</w:t>
            </w:r>
          </w:p>
        </w:tc>
      </w:tr>
      <w:tr>
        <w:trPr>
          <w:cantSplit/>
        </w:trPr>
        <w:tc>
          <w:tcPr>
            <w:tcW w:w="1276" w:type="dxa"/>
          </w:tcPr>
          <w:p>
            <w:pPr>
              <w:pStyle w:val="yTableNAm"/>
            </w:pPr>
            <w:r>
              <w:t>124.</w:t>
            </w:r>
          </w:p>
        </w:tc>
        <w:tc>
          <w:tcPr>
            <w:tcW w:w="4537" w:type="dxa"/>
          </w:tcPr>
          <w:p>
            <w:pPr>
              <w:pStyle w:val="yTableNAm"/>
            </w:pPr>
            <w:r>
              <w:t>PIMINODINE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125.</w:t>
            </w:r>
          </w:p>
        </w:tc>
        <w:tc>
          <w:tcPr>
            <w:tcW w:w="4537" w:type="dxa"/>
          </w:tcPr>
          <w:p>
            <w:pPr>
              <w:pStyle w:val="yTableNAm"/>
            </w:pPr>
            <w:r>
              <w:t>PIRITRAMIDE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126A.</w:t>
            </w:r>
          </w:p>
        </w:tc>
        <w:tc>
          <w:tcPr>
            <w:tcW w:w="4537" w:type="dxa"/>
          </w:tcPr>
          <w:p>
            <w:pPr>
              <w:pStyle w:val="yTableNAm"/>
            </w:pPr>
            <w:r>
              <w:rPr>
                <w:szCs w:val="22"/>
              </w:rPr>
              <w:t>PRAVADOLINE (WIN 48098)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126B.</w:t>
            </w:r>
          </w:p>
        </w:tc>
        <w:tc>
          <w:tcPr>
            <w:tcW w:w="4537" w:type="dxa"/>
          </w:tcPr>
          <w:p>
            <w:pPr>
              <w:pStyle w:val="yTableNAm"/>
            </w:pPr>
            <w:r>
              <w:rPr>
                <w:szCs w:val="22"/>
              </w:rPr>
              <w:t>PRAVADOLINE (WIN 48098)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126.</w:t>
            </w:r>
          </w:p>
        </w:tc>
        <w:tc>
          <w:tcPr>
            <w:tcW w:w="4537" w:type="dxa"/>
          </w:tcPr>
          <w:p>
            <w:pPr>
              <w:pStyle w:val="yTableNAm"/>
            </w:pPr>
            <w:r>
              <w:t>PROHEPTAZINE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127.</w:t>
            </w:r>
          </w:p>
        </w:tc>
        <w:tc>
          <w:tcPr>
            <w:tcW w:w="4537" w:type="dxa"/>
          </w:tcPr>
          <w:p>
            <w:pPr>
              <w:pStyle w:val="yTableNAm"/>
            </w:pPr>
            <w:r>
              <w:t>PROPERIDINE</w:t>
            </w:r>
          </w:p>
        </w:tc>
        <w:tc>
          <w:tcPr>
            <w:tcW w:w="1531" w:type="dxa"/>
            <w:gridSpan w:val="2"/>
          </w:tcPr>
          <w:p>
            <w:pPr>
              <w:pStyle w:val="yTableNAm"/>
              <w:tabs>
                <w:tab w:val="clear" w:pos="567"/>
                <w:tab w:val="decimal" w:pos="463"/>
              </w:tabs>
            </w:pPr>
            <w:r>
              <w:t>75.0</w:t>
            </w:r>
          </w:p>
        </w:tc>
      </w:tr>
      <w:tr>
        <w:trPr>
          <w:cantSplit/>
        </w:trPr>
        <w:tc>
          <w:tcPr>
            <w:tcW w:w="1276" w:type="dxa"/>
          </w:tcPr>
          <w:p>
            <w:pPr>
              <w:pStyle w:val="yTableNAm"/>
            </w:pPr>
            <w:r>
              <w:t>128.</w:t>
            </w:r>
          </w:p>
        </w:tc>
        <w:tc>
          <w:tcPr>
            <w:tcW w:w="4537" w:type="dxa"/>
          </w:tcPr>
          <w:p>
            <w:pPr>
              <w:pStyle w:val="yTableNAm"/>
            </w:pPr>
            <w:r>
              <w:t>PROPIRAM</w:t>
            </w:r>
          </w:p>
        </w:tc>
        <w:tc>
          <w:tcPr>
            <w:tcW w:w="1531" w:type="dxa"/>
            <w:gridSpan w:val="2"/>
          </w:tcPr>
          <w:p>
            <w:pPr>
              <w:pStyle w:val="yTableNAm"/>
              <w:tabs>
                <w:tab w:val="clear" w:pos="567"/>
                <w:tab w:val="decimal" w:pos="463"/>
              </w:tabs>
            </w:pPr>
            <w:r>
              <w:t>12.0</w:t>
            </w:r>
          </w:p>
        </w:tc>
      </w:tr>
      <w:tr>
        <w:trPr>
          <w:cantSplit/>
        </w:trPr>
        <w:tc>
          <w:tcPr>
            <w:tcW w:w="1276" w:type="dxa"/>
          </w:tcPr>
          <w:p>
            <w:pPr>
              <w:pStyle w:val="yTableNAm"/>
            </w:pPr>
            <w:r>
              <w:t>129A.</w:t>
            </w:r>
          </w:p>
        </w:tc>
        <w:tc>
          <w:tcPr>
            <w:tcW w:w="4537"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129B.</w:t>
            </w:r>
          </w:p>
        </w:tc>
        <w:tc>
          <w:tcPr>
            <w:tcW w:w="4537"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129.</w:t>
            </w:r>
          </w:p>
        </w:tc>
        <w:tc>
          <w:tcPr>
            <w:tcW w:w="4537" w:type="dxa"/>
          </w:tcPr>
          <w:p>
            <w:pPr>
              <w:pStyle w:val="yTableNAm"/>
            </w:pPr>
            <w:r>
              <w:t>PSILOCIN</w:t>
            </w:r>
          </w:p>
        </w:tc>
        <w:tc>
          <w:tcPr>
            <w:tcW w:w="1531" w:type="dxa"/>
            <w:gridSpan w:val="2"/>
          </w:tcPr>
          <w:p>
            <w:pPr>
              <w:pStyle w:val="yTableNAm"/>
              <w:tabs>
                <w:tab w:val="clear" w:pos="567"/>
                <w:tab w:val="decimal" w:pos="463"/>
              </w:tabs>
            </w:pPr>
            <w:r>
              <w:t>0.3</w:t>
            </w:r>
          </w:p>
        </w:tc>
      </w:tr>
      <w:tr>
        <w:trPr>
          <w:cantSplit/>
        </w:trPr>
        <w:tc>
          <w:tcPr>
            <w:tcW w:w="1276" w:type="dxa"/>
          </w:tcPr>
          <w:p>
            <w:pPr>
              <w:pStyle w:val="yTableNAm"/>
            </w:pPr>
            <w:r>
              <w:lastRenderedPageBreak/>
              <w:t>130.</w:t>
            </w:r>
          </w:p>
        </w:tc>
        <w:tc>
          <w:tcPr>
            <w:tcW w:w="4537" w:type="dxa"/>
          </w:tcPr>
          <w:p>
            <w:pPr>
              <w:pStyle w:val="yTableNAm"/>
            </w:pPr>
            <w:r>
              <w:t>PSILOCYBIN</w:t>
            </w:r>
          </w:p>
        </w:tc>
        <w:tc>
          <w:tcPr>
            <w:tcW w:w="1531" w:type="dxa"/>
            <w:gridSpan w:val="2"/>
          </w:tcPr>
          <w:p>
            <w:pPr>
              <w:pStyle w:val="yTableNAm"/>
              <w:tabs>
                <w:tab w:val="clear" w:pos="567"/>
                <w:tab w:val="decimal" w:pos="463"/>
              </w:tabs>
            </w:pPr>
            <w:r>
              <w:t>0.3</w:t>
            </w:r>
          </w:p>
        </w:tc>
      </w:tr>
      <w:tr>
        <w:trPr>
          <w:cantSplit/>
        </w:trPr>
        <w:tc>
          <w:tcPr>
            <w:tcW w:w="1276" w:type="dxa"/>
          </w:tcPr>
          <w:p>
            <w:pPr>
              <w:pStyle w:val="yTableNAm"/>
            </w:pPr>
            <w:r>
              <w:t>131.</w:t>
            </w:r>
          </w:p>
        </w:tc>
        <w:tc>
          <w:tcPr>
            <w:tcW w:w="4537" w:type="dxa"/>
          </w:tcPr>
          <w:p>
            <w:pPr>
              <w:pStyle w:val="yTableNAm"/>
            </w:pPr>
            <w:r>
              <w:t>PSYCHOTOMIMETIC SUBSTANCES (structurally derived from methoxyphenethylamine)</w:t>
            </w:r>
          </w:p>
        </w:tc>
        <w:tc>
          <w:tcPr>
            <w:tcW w:w="1531" w:type="dxa"/>
            <w:gridSpan w:val="2"/>
          </w:tcPr>
          <w:p>
            <w:pPr>
              <w:pStyle w:val="yTableNAm"/>
              <w:tabs>
                <w:tab w:val="clear" w:pos="567"/>
                <w:tab w:val="decimal" w:pos="463"/>
              </w:tabs>
            </w:pPr>
            <w:r>
              <w:br/>
            </w:r>
            <w:r>
              <w:br/>
              <w:t>0.25</w:t>
            </w:r>
          </w:p>
        </w:tc>
      </w:tr>
      <w:tr>
        <w:trPr>
          <w:cantSplit/>
        </w:trPr>
        <w:tc>
          <w:tcPr>
            <w:tcW w:w="1276" w:type="dxa"/>
          </w:tcPr>
          <w:p>
            <w:pPr>
              <w:pStyle w:val="yTableNAm"/>
            </w:pPr>
            <w:r>
              <w:t>132.</w:t>
            </w:r>
          </w:p>
        </w:tc>
        <w:tc>
          <w:tcPr>
            <w:tcW w:w="4537" w:type="dxa"/>
          </w:tcPr>
          <w:p>
            <w:pPr>
              <w:pStyle w:val="yTableNAm"/>
            </w:pPr>
            <w:r>
              <w:t>QUINALBARBITONE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133.</w:t>
            </w:r>
          </w:p>
        </w:tc>
        <w:tc>
          <w:tcPr>
            <w:tcW w:w="4537" w:type="dxa"/>
          </w:tcPr>
          <w:p>
            <w:pPr>
              <w:pStyle w:val="yTableNAm"/>
            </w:pPr>
            <w:r>
              <w:t>RACEMETHORPHAN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134.</w:t>
            </w:r>
          </w:p>
        </w:tc>
        <w:tc>
          <w:tcPr>
            <w:tcW w:w="4537" w:type="dxa"/>
          </w:tcPr>
          <w:p>
            <w:pPr>
              <w:pStyle w:val="yTableNAm"/>
            </w:pPr>
            <w:r>
              <w:t>RACEMORAMIDE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135.</w:t>
            </w:r>
          </w:p>
        </w:tc>
        <w:tc>
          <w:tcPr>
            <w:tcW w:w="4537" w:type="dxa"/>
          </w:tcPr>
          <w:p>
            <w:pPr>
              <w:pStyle w:val="yTableNAm"/>
            </w:pPr>
            <w:r>
              <w:t>RACEMORPHAN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136.</w:t>
            </w:r>
          </w:p>
        </w:tc>
        <w:tc>
          <w:tcPr>
            <w:tcW w:w="4537" w:type="dxa"/>
          </w:tcPr>
          <w:p>
            <w:pPr>
              <w:pStyle w:val="yTableNAm"/>
            </w:pPr>
            <w:r>
              <w:t>SECBUTOBARBITONE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137.</w:t>
            </w:r>
          </w:p>
        </w:tc>
        <w:tc>
          <w:tcPr>
            <w:tcW w:w="4537" w:type="dxa"/>
          </w:tcPr>
          <w:p>
            <w:pPr>
              <w:pStyle w:val="yTableNAm"/>
            </w:pPr>
            <w:r>
              <w:t>TALBUTAL</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138.</w:t>
            </w:r>
          </w:p>
        </w:tc>
        <w:tc>
          <w:tcPr>
            <w:tcW w:w="4537" w:type="dxa"/>
          </w:tcPr>
          <w:p>
            <w:pPr>
              <w:pStyle w:val="yTableNAm"/>
            </w:pPr>
            <w:r>
              <w:t>TETRAHYDROCANNABINOLS</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139.</w:t>
            </w:r>
          </w:p>
        </w:tc>
        <w:tc>
          <w:tcPr>
            <w:tcW w:w="4537" w:type="dxa"/>
          </w:tcPr>
          <w:p>
            <w:pPr>
              <w:pStyle w:val="yTableNAm"/>
            </w:pPr>
            <w:r>
              <w:t>THEBACON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140.</w:t>
            </w:r>
          </w:p>
        </w:tc>
        <w:tc>
          <w:tcPr>
            <w:tcW w:w="4537" w:type="dxa"/>
          </w:tcPr>
          <w:p>
            <w:pPr>
              <w:pStyle w:val="yTableNAm"/>
            </w:pPr>
            <w:r>
              <w:t>THEBAINE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keepNext/>
              <w:keepLines/>
            </w:pPr>
            <w:r>
              <w:t>141.</w:t>
            </w:r>
          </w:p>
        </w:tc>
        <w:tc>
          <w:tcPr>
            <w:tcW w:w="4537" w:type="dxa"/>
          </w:tcPr>
          <w:p>
            <w:pPr>
              <w:pStyle w:val="yTableNAm"/>
              <w:keepNext/>
              <w:keepLines/>
            </w:pPr>
            <w:r>
              <w:t>TRIMEPERIDINE</w:t>
            </w:r>
          </w:p>
        </w:tc>
        <w:tc>
          <w:tcPr>
            <w:tcW w:w="1531" w:type="dxa"/>
            <w:gridSpan w:val="2"/>
          </w:tcPr>
          <w:p>
            <w:pPr>
              <w:pStyle w:val="yTableNAm"/>
              <w:keepNext/>
              <w:keepLines/>
              <w:tabs>
                <w:tab w:val="clear" w:pos="567"/>
                <w:tab w:val="decimal" w:pos="463"/>
              </w:tabs>
            </w:pPr>
            <w:r>
              <w:t>30.0</w:t>
            </w:r>
          </w:p>
        </w:tc>
      </w:tr>
      <w:tr>
        <w:trPr>
          <w:cantSplit/>
        </w:trPr>
        <w:tc>
          <w:tcPr>
            <w:tcW w:w="1276" w:type="dxa"/>
          </w:tcPr>
          <w:p>
            <w:pPr>
              <w:pStyle w:val="yTableNAm"/>
              <w:keepNext/>
              <w:keepLines/>
            </w:pPr>
            <w:r>
              <w:t>142.</w:t>
            </w:r>
          </w:p>
        </w:tc>
        <w:tc>
          <w:tcPr>
            <w:tcW w:w="4537" w:type="dxa"/>
          </w:tcPr>
          <w:p>
            <w:pPr>
              <w:pStyle w:val="yTableNAm"/>
              <w:keepNext/>
              <w:keepLines/>
            </w:pPr>
            <w:r>
              <w:t>VINBARBITONE</w:t>
            </w:r>
          </w:p>
        </w:tc>
        <w:tc>
          <w:tcPr>
            <w:tcW w:w="1531" w:type="dxa"/>
            <w:gridSpan w:val="2"/>
          </w:tcPr>
          <w:p>
            <w:pPr>
              <w:pStyle w:val="yTableNAm"/>
              <w:keepNext/>
              <w:keepLines/>
              <w:tabs>
                <w:tab w:val="clear" w:pos="567"/>
                <w:tab w:val="decimal" w:pos="463"/>
              </w:tabs>
            </w:pPr>
            <w:r>
              <w:t>30.0</w:t>
            </w:r>
          </w:p>
        </w:tc>
      </w:tr>
    </w:tbl>
    <w:p>
      <w:pPr>
        <w:pStyle w:val="yFootnotesection"/>
      </w:pPr>
      <w:r>
        <w:tab/>
        <w:t>[Division 1 amended: No. 48 of 1995 s. 43; No. 13 of 2014 s. 180; amended: Gazette 30 Nov 1990 p. 5937; 29 Nov 1991 p. 6041; 7 Dec 2007 p. 5985; 29 Apr 2011 p. 1533; 1 Jul 2011 p. 2743; 11 Oct 2011 p. 4316</w:t>
      </w:r>
      <w:r>
        <w:noBreakHyphen/>
        <w:t>18; 13 Apr 2012 p. 1665; 30 Oct 2012 p. 5194</w:t>
      </w:r>
      <w:r>
        <w:noBreakHyphen/>
        <w:t>5; 29 Aug 2018 p. 2995</w:t>
      </w:r>
      <w:r>
        <w:noBreakHyphen/>
        <w:t>3006; SL 2023/48 cl. 4(1).]</w:t>
      </w:r>
    </w:p>
    <w:p>
      <w:pPr>
        <w:pStyle w:val="yHeading3"/>
        <w:keepLines/>
        <w:rPr>
          <w:b w:val="0"/>
        </w:rPr>
      </w:pPr>
      <w:bookmarkStart w:id="264" w:name="_Toc138689208"/>
      <w:bookmarkStart w:id="265" w:name="_Toc138691606"/>
      <w:bookmarkStart w:id="266" w:name="_Toc138751169"/>
      <w:r>
        <w:rPr>
          <w:rStyle w:val="CharSDivNo"/>
        </w:rPr>
        <w:lastRenderedPageBreak/>
        <w:t>Division 2</w:t>
      </w:r>
      <w:r>
        <w:rPr>
          <w:b w:val="0"/>
        </w:rPr>
        <w:t> — </w:t>
      </w:r>
      <w:r>
        <w:rPr>
          <w:rStyle w:val="CharSDivText"/>
        </w:rPr>
        <w:t>Steroids</w:t>
      </w:r>
      <w:bookmarkEnd w:id="264"/>
      <w:bookmarkEnd w:id="265"/>
      <w:bookmarkEnd w:id="266"/>
    </w:p>
    <w:p>
      <w:pPr>
        <w:pStyle w:val="yFootnoteheading"/>
        <w:keepNext/>
        <w:keepLines/>
      </w:pPr>
      <w:r>
        <w:tab/>
        <w:t>[Heading inserted: Gazette 29 Aug 2018 p. 3006.]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cantSplit/>
          <w:tblHeader/>
        </w:trPr>
        <w:tc>
          <w:tcPr>
            <w:tcW w:w="709" w:type="dxa"/>
            <w:tcBorders>
              <w:top w:val="single" w:sz="4" w:space="0" w:color="auto"/>
              <w:left w:val="nil"/>
              <w:bottom w:val="single" w:sz="4" w:space="0" w:color="auto"/>
              <w:right w:val="nil"/>
            </w:tcBorders>
          </w:tcPr>
          <w:p>
            <w:pPr>
              <w:pStyle w:val="yTableNAm"/>
              <w:keepNext/>
              <w:keepLines/>
            </w:pPr>
            <w:r>
              <w:rPr>
                <w:i/>
              </w:rPr>
              <w:t>Item</w:t>
            </w:r>
          </w:p>
        </w:tc>
        <w:tc>
          <w:tcPr>
            <w:tcW w:w="5103" w:type="dxa"/>
            <w:tcBorders>
              <w:top w:val="single" w:sz="4" w:space="0" w:color="auto"/>
              <w:left w:val="nil"/>
              <w:bottom w:val="single" w:sz="4" w:space="0" w:color="auto"/>
              <w:right w:val="nil"/>
            </w:tcBorders>
          </w:tcPr>
          <w:p>
            <w:pPr>
              <w:pStyle w:val="yTableNAm"/>
              <w:keepNext/>
              <w:keepLines/>
              <w:jc w:val="center"/>
            </w:pPr>
            <w:r>
              <w:rPr>
                <w:i/>
              </w:rPr>
              <w:t>Prohibited drug</w:t>
            </w:r>
          </w:p>
        </w:tc>
        <w:tc>
          <w:tcPr>
            <w:tcW w:w="1134" w:type="dxa"/>
            <w:tcBorders>
              <w:top w:val="single" w:sz="4" w:space="0" w:color="auto"/>
              <w:left w:val="nil"/>
              <w:bottom w:val="single" w:sz="4" w:space="0" w:color="auto"/>
              <w:right w:val="nil"/>
            </w:tcBorders>
          </w:tcPr>
          <w:p>
            <w:pPr>
              <w:pStyle w:val="yTableNAm"/>
              <w:keepNext/>
              <w:keepLines/>
            </w:pPr>
            <w:r>
              <w:rPr>
                <w:i/>
              </w:rPr>
              <w:t>Amount (in grams unless otherwise stated)</w:t>
            </w:r>
          </w:p>
        </w:tc>
      </w:tr>
      <w:tr>
        <w:trPr>
          <w:cantSplit/>
        </w:trPr>
        <w:tc>
          <w:tcPr>
            <w:tcW w:w="709" w:type="dxa"/>
            <w:tcBorders>
              <w:top w:val="nil"/>
              <w:left w:val="nil"/>
              <w:bottom w:val="nil"/>
              <w:right w:val="nil"/>
            </w:tcBorders>
          </w:tcPr>
          <w:p>
            <w:pPr>
              <w:pStyle w:val="yTableNAm"/>
            </w:pPr>
            <w:r>
              <w:t>1A.</w:t>
            </w:r>
          </w:p>
        </w:tc>
        <w:tc>
          <w:tcPr>
            <w:tcW w:w="5103" w:type="dxa"/>
            <w:tcBorders>
              <w:top w:val="nil"/>
              <w:left w:val="nil"/>
              <w:bottom w:val="nil"/>
              <w:right w:val="nil"/>
            </w:tcBorders>
          </w:tcPr>
          <w:p>
            <w:pPr>
              <w:pStyle w:val="yTableNAm"/>
            </w:pPr>
            <w:r>
              <w:rPr>
                <w:rFonts w:cs="Arial"/>
                <w:szCs w:val="24"/>
              </w:rPr>
              <w:t>ANDROISOXAZOLE</w:t>
            </w:r>
          </w:p>
        </w:tc>
        <w:tc>
          <w:tcPr>
            <w:tcW w:w="1134" w:type="dxa"/>
            <w:tcBorders>
              <w:top w:val="nil"/>
              <w:left w:val="nil"/>
              <w:bottom w:val="nil"/>
              <w:right w:val="nil"/>
            </w:tcBorders>
            <w:vAlign w:val="bottom"/>
          </w:tcPr>
          <w:p>
            <w:pPr>
              <w:pStyle w:val="yTableNAm"/>
            </w:pPr>
            <w:r>
              <w:t>100.0</w:t>
            </w:r>
          </w:p>
        </w:tc>
      </w:tr>
      <w:tr>
        <w:trPr>
          <w:cantSplit/>
        </w:trPr>
        <w:tc>
          <w:tcPr>
            <w:tcW w:w="709" w:type="dxa"/>
            <w:tcBorders>
              <w:top w:val="nil"/>
              <w:left w:val="nil"/>
              <w:bottom w:val="nil"/>
              <w:right w:val="nil"/>
            </w:tcBorders>
          </w:tcPr>
          <w:p>
            <w:pPr>
              <w:pStyle w:val="yTableNAm"/>
            </w:pPr>
            <w:r>
              <w:t>1.</w:t>
            </w:r>
          </w:p>
        </w:tc>
        <w:tc>
          <w:tcPr>
            <w:tcW w:w="5103" w:type="dxa"/>
            <w:tcBorders>
              <w:top w:val="nil"/>
              <w:left w:val="nil"/>
              <w:bottom w:val="nil"/>
              <w:right w:val="nil"/>
            </w:tcBorders>
          </w:tcPr>
          <w:p>
            <w:pPr>
              <w:pStyle w:val="yTableNAm"/>
            </w:pPr>
            <w:r>
              <w:t>ATAMESTANE</w:t>
            </w:r>
          </w:p>
        </w:tc>
        <w:tc>
          <w:tcPr>
            <w:tcW w:w="1134" w:type="dxa"/>
            <w:tcBorders>
              <w:top w:val="nil"/>
              <w:left w:val="nil"/>
              <w:bottom w:val="nil"/>
              <w:right w:val="nil"/>
            </w:tcBorders>
          </w:tcPr>
          <w:p>
            <w:pPr>
              <w:pStyle w:val="yTableNAm"/>
            </w:pPr>
            <w:r>
              <w:t>100.0</w:t>
            </w:r>
          </w:p>
        </w:tc>
      </w:tr>
      <w:tr>
        <w:trPr>
          <w:cantSplit/>
        </w:trPr>
        <w:tc>
          <w:tcPr>
            <w:tcW w:w="709" w:type="dxa"/>
            <w:tcBorders>
              <w:top w:val="nil"/>
              <w:left w:val="nil"/>
              <w:bottom w:val="nil"/>
              <w:right w:val="nil"/>
            </w:tcBorders>
          </w:tcPr>
          <w:p>
            <w:pPr>
              <w:pStyle w:val="yTableNAm"/>
            </w:pPr>
            <w:r>
              <w:t>2.</w:t>
            </w:r>
          </w:p>
        </w:tc>
        <w:tc>
          <w:tcPr>
            <w:tcW w:w="5103" w:type="dxa"/>
            <w:tcBorders>
              <w:top w:val="nil"/>
              <w:left w:val="nil"/>
              <w:bottom w:val="nil"/>
              <w:right w:val="nil"/>
            </w:tcBorders>
          </w:tcPr>
          <w:p>
            <w:pPr>
              <w:pStyle w:val="yTableNAm"/>
            </w:pPr>
            <w:r>
              <w:t>BOLANDIOL</w:t>
            </w:r>
          </w:p>
        </w:tc>
        <w:tc>
          <w:tcPr>
            <w:tcW w:w="1134" w:type="dxa"/>
            <w:tcBorders>
              <w:top w:val="nil"/>
              <w:left w:val="nil"/>
              <w:bottom w:val="nil"/>
              <w:right w:val="nil"/>
            </w:tcBorders>
          </w:tcPr>
          <w:p>
            <w:pPr>
              <w:pStyle w:val="yTableNAm"/>
            </w:pPr>
            <w:r>
              <w:t>100.0</w:t>
            </w:r>
          </w:p>
        </w:tc>
      </w:tr>
      <w:tr>
        <w:trPr>
          <w:cantSplit/>
        </w:trPr>
        <w:tc>
          <w:tcPr>
            <w:tcW w:w="709" w:type="dxa"/>
            <w:tcBorders>
              <w:top w:val="nil"/>
              <w:left w:val="nil"/>
              <w:bottom w:val="nil"/>
              <w:right w:val="nil"/>
            </w:tcBorders>
          </w:tcPr>
          <w:p>
            <w:pPr>
              <w:pStyle w:val="yTableNAm"/>
            </w:pPr>
            <w:r>
              <w:t>3.</w:t>
            </w:r>
          </w:p>
        </w:tc>
        <w:tc>
          <w:tcPr>
            <w:tcW w:w="5103" w:type="dxa"/>
            <w:tcBorders>
              <w:top w:val="nil"/>
              <w:left w:val="nil"/>
              <w:bottom w:val="nil"/>
              <w:right w:val="nil"/>
            </w:tcBorders>
          </w:tcPr>
          <w:p>
            <w:pPr>
              <w:pStyle w:val="yTableNAm"/>
            </w:pPr>
            <w:r>
              <w:t>BOLASTERONE</w:t>
            </w:r>
          </w:p>
        </w:tc>
        <w:tc>
          <w:tcPr>
            <w:tcW w:w="1134" w:type="dxa"/>
            <w:tcBorders>
              <w:top w:val="nil"/>
              <w:left w:val="nil"/>
              <w:bottom w:val="nil"/>
              <w:right w:val="nil"/>
            </w:tcBorders>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w:t>
            </w:r>
          </w:p>
        </w:tc>
        <w:tc>
          <w:tcPr>
            <w:tcW w:w="5103" w:type="dxa"/>
          </w:tcPr>
          <w:p>
            <w:pPr>
              <w:pStyle w:val="yTableNAm"/>
            </w:pPr>
            <w:r>
              <w:t>BOLANZINE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w:t>
            </w:r>
          </w:p>
        </w:tc>
        <w:tc>
          <w:tcPr>
            <w:tcW w:w="5103" w:type="dxa"/>
          </w:tcPr>
          <w:p>
            <w:pPr>
              <w:pStyle w:val="yTableNAm"/>
            </w:pPr>
            <w:r>
              <w:t>BOLDENONE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w:t>
            </w:r>
          </w:p>
        </w:tc>
        <w:tc>
          <w:tcPr>
            <w:tcW w:w="5103" w:type="dxa"/>
          </w:tcPr>
          <w:p>
            <w:pPr>
              <w:pStyle w:val="yTableNAm"/>
            </w:pPr>
            <w:r>
              <w:t>BOLENOL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7.</w:t>
            </w:r>
          </w:p>
        </w:tc>
        <w:tc>
          <w:tcPr>
            <w:tcW w:w="5103" w:type="dxa"/>
          </w:tcPr>
          <w:p>
            <w:pPr>
              <w:pStyle w:val="yTableNAm"/>
            </w:pPr>
            <w:r>
              <w:t>BOLMANTALATE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8.</w:t>
            </w:r>
          </w:p>
        </w:tc>
        <w:tc>
          <w:tcPr>
            <w:tcW w:w="5103" w:type="dxa"/>
          </w:tcPr>
          <w:p>
            <w:pPr>
              <w:pStyle w:val="yTableNAm"/>
            </w:pPr>
            <w:r>
              <w:t>CALUSTERONE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9.</w:t>
            </w:r>
          </w:p>
        </w:tc>
        <w:tc>
          <w:tcPr>
            <w:tcW w:w="5103" w:type="dxa"/>
          </w:tcPr>
          <w:p>
            <w:pPr>
              <w:pStyle w:val="yTableNAm"/>
            </w:pPr>
            <w:r>
              <w:t>CHLORANDROSTENOLONE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10.</w:t>
            </w:r>
          </w:p>
        </w:tc>
        <w:tc>
          <w:tcPr>
            <w:tcW w:w="5103" w:type="dxa"/>
          </w:tcPr>
          <w:p>
            <w:pPr>
              <w:pStyle w:val="yTableNAm"/>
            </w:pPr>
            <w:r>
              <w:t>CHLOROMETHANDIENONE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11.</w:t>
            </w:r>
          </w:p>
        </w:tc>
        <w:tc>
          <w:tcPr>
            <w:tcW w:w="5103" w:type="dxa"/>
          </w:tcPr>
          <w:p>
            <w:pPr>
              <w:pStyle w:val="yTableNAm"/>
            </w:pPr>
            <w:r>
              <w:t>CHLOROXYDIENONE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12.</w:t>
            </w:r>
          </w:p>
        </w:tc>
        <w:tc>
          <w:tcPr>
            <w:tcW w:w="5103" w:type="dxa"/>
          </w:tcPr>
          <w:p>
            <w:pPr>
              <w:pStyle w:val="yTableNAm"/>
            </w:pPr>
            <w:r>
              <w:t>CHLOROXYMESTERONE (DEHYDROCHLOROMETHYLTESTOSTERONE)</w:t>
            </w:r>
          </w:p>
        </w:tc>
        <w:tc>
          <w:tcPr>
            <w:tcW w:w="1134" w:type="dxa"/>
          </w:tcPr>
          <w:p>
            <w:pPr>
              <w:pStyle w:val="yTableNAm"/>
            </w:pPr>
            <w:r>
              <w:b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13.</w:t>
            </w:r>
          </w:p>
        </w:tc>
        <w:tc>
          <w:tcPr>
            <w:tcW w:w="5103" w:type="dxa"/>
          </w:tcPr>
          <w:p>
            <w:pPr>
              <w:pStyle w:val="yTableNAm"/>
            </w:pPr>
            <w:r>
              <w:t>CLOSTEBOL (4</w:t>
            </w:r>
            <w:r>
              <w:noBreakHyphen/>
              <w:t>CHLOROTESTOSTERONE)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14.</w:t>
            </w:r>
          </w:p>
        </w:tc>
        <w:tc>
          <w:tcPr>
            <w:tcW w:w="5103" w:type="dxa"/>
          </w:tcPr>
          <w:p>
            <w:pPr>
              <w:pStyle w:val="yTableNAm"/>
            </w:pPr>
            <w:r>
              <w:t>DIHYDROLONE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15.</w:t>
            </w:r>
          </w:p>
        </w:tc>
        <w:tc>
          <w:tcPr>
            <w:tcW w:w="5103" w:type="dxa"/>
          </w:tcPr>
          <w:p>
            <w:pPr>
              <w:pStyle w:val="yTableNAm"/>
            </w:pPr>
            <w:r>
              <w:t>DIMETHANDROSTANOLONE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lastRenderedPageBreak/>
              <w:t>16.</w:t>
            </w:r>
          </w:p>
        </w:tc>
        <w:tc>
          <w:tcPr>
            <w:tcW w:w="5103" w:type="dxa"/>
          </w:tcPr>
          <w:p>
            <w:pPr>
              <w:pStyle w:val="yTableNAm"/>
            </w:pPr>
            <w:r>
              <w:t>DIMETHAZINE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17.</w:t>
            </w:r>
          </w:p>
        </w:tc>
        <w:tc>
          <w:tcPr>
            <w:tcW w:w="5103" w:type="dxa"/>
          </w:tcPr>
          <w:p>
            <w:pPr>
              <w:pStyle w:val="yTableNAm"/>
            </w:pPr>
            <w:r>
              <w:t>DROSTANOLONE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18.</w:t>
            </w:r>
          </w:p>
        </w:tc>
        <w:tc>
          <w:tcPr>
            <w:tcW w:w="5103" w:type="dxa"/>
          </w:tcPr>
          <w:p>
            <w:pPr>
              <w:pStyle w:val="yTableNAm"/>
            </w:pPr>
            <w:r>
              <w:t>ENESTEBOL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19.</w:t>
            </w:r>
          </w:p>
        </w:tc>
        <w:tc>
          <w:tcPr>
            <w:tcW w:w="5103" w:type="dxa"/>
          </w:tcPr>
          <w:p>
            <w:pPr>
              <w:pStyle w:val="yTableNAm"/>
            </w:pPr>
            <w:r>
              <w:t>EPITIOSTANOL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20.</w:t>
            </w:r>
          </w:p>
        </w:tc>
        <w:tc>
          <w:tcPr>
            <w:tcW w:w="5103" w:type="dxa"/>
          </w:tcPr>
          <w:p>
            <w:pPr>
              <w:pStyle w:val="yTableNAm"/>
            </w:pPr>
            <w:r>
              <w:t>ETHYLDIENOLONE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21.</w:t>
            </w:r>
          </w:p>
        </w:tc>
        <w:tc>
          <w:tcPr>
            <w:tcW w:w="5103" w:type="dxa"/>
          </w:tcPr>
          <w:p>
            <w:pPr>
              <w:pStyle w:val="yTableNAm"/>
            </w:pPr>
            <w:r>
              <w:t>ETHYLOESTRENOL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22.</w:t>
            </w:r>
          </w:p>
        </w:tc>
        <w:tc>
          <w:tcPr>
            <w:tcW w:w="5103" w:type="dxa"/>
          </w:tcPr>
          <w:p>
            <w:pPr>
              <w:pStyle w:val="yTableNAm"/>
            </w:pPr>
            <w:r>
              <w:t>FLUOXYMESTERONE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23.</w:t>
            </w:r>
          </w:p>
        </w:tc>
        <w:tc>
          <w:tcPr>
            <w:tcW w:w="5103" w:type="dxa"/>
          </w:tcPr>
          <w:p>
            <w:pPr>
              <w:pStyle w:val="yTableNAm"/>
            </w:pPr>
            <w:r>
              <w:t>FORMEBOLONE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24.</w:t>
            </w:r>
          </w:p>
        </w:tc>
        <w:tc>
          <w:tcPr>
            <w:tcW w:w="5103" w:type="dxa"/>
          </w:tcPr>
          <w:p>
            <w:pPr>
              <w:pStyle w:val="yTableNAm"/>
            </w:pPr>
            <w:r>
              <w:t>FORMYLDIENOLONE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25.</w:t>
            </w:r>
          </w:p>
        </w:tc>
        <w:tc>
          <w:tcPr>
            <w:tcW w:w="5103" w:type="dxa"/>
          </w:tcPr>
          <w:p>
            <w:pPr>
              <w:pStyle w:val="yTableNAm"/>
            </w:pPr>
            <w:r>
              <w:t>FURAZABOL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26.</w:t>
            </w:r>
          </w:p>
        </w:tc>
        <w:tc>
          <w:tcPr>
            <w:tcW w:w="5103" w:type="dxa"/>
          </w:tcPr>
          <w:p>
            <w:pPr>
              <w:pStyle w:val="yTableNAm"/>
            </w:pPr>
            <w:r>
              <w:t>HYDROXYSTENOZOL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27.</w:t>
            </w:r>
          </w:p>
        </w:tc>
        <w:tc>
          <w:tcPr>
            <w:tcW w:w="5103" w:type="dxa"/>
          </w:tcPr>
          <w:p>
            <w:pPr>
              <w:pStyle w:val="yTableNAm"/>
            </w:pPr>
            <w:r>
              <w:t>MEBOLAZINE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28.</w:t>
            </w:r>
          </w:p>
        </w:tc>
        <w:tc>
          <w:tcPr>
            <w:tcW w:w="5103" w:type="dxa"/>
          </w:tcPr>
          <w:p>
            <w:pPr>
              <w:pStyle w:val="yTableNAm"/>
            </w:pPr>
            <w:r>
              <w:t>MEPITIOSTANE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29.</w:t>
            </w:r>
          </w:p>
        </w:tc>
        <w:tc>
          <w:tcPr>
            <w:tcW w:w="5103" w:type="dxa"/>
          </w:tcPr>
          <w:p>
            <w:pPr>
              <w:pStyle w:val="yTableNAm"/>
            </w:pPr>
            <w:r>
              <w:t>MESABOLONE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30.</w:t>
            </w:r>
          </w:p>
        </w:tc>
        <w:tc>
          <w:tcPr>
            <w:tcW w:w="5103" w:type="dxa"/>
          </w:tcPr>
          <w:p>
            <w:pPr>
              <w:pStyle w:val="yTableNAm"/>
            </w:pPr>
            <w:r>
              <w:t>MESTANOLONE (ANDROSTALONE)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31.</w:t>
            </w:r>
          </w:p>
        </w:tc>
        <w:tc>
          <w:tcPr>
            <w:tcW w:w="5103" w:type="dxa"/>
          </w:tcPr>
          <w:p>
            <w:pPr>
              <w:pStyle w:val="yTableNAm"/>
            </w:pPr>
            <w:r>
              <w:t>MESTEROLONE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32.</w:t>
            </w:r>
          </w:p>
        </w:tc>
        <w:tc>
          <w:tcPr>
            <w:tcW w:w="5103" w:type="dxa"/>
          </w:tcPr>
          <w:p>
            <w:pPr>
              <w:pStyle w:val="yTableNAm"/>
            </w:pPr>
            <w:r>
              <w:t>METHANDIENONE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lastRenderedPageBreak/>
              <w:t>33.</w:t>
            </w:r>
          </w:p>
        </w:tc>
        <w:tc>
          <w:tcPr>
            <w:tcW w:w="5103" w:type="dxa"/>
          </w:tcPr>
          <w:p>
            <w:pPr>
              <w:pStyle w:val="yTableNAm"/>
            </w:pPr>
            <w:r>
              <w:t>METHANDRIOL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34.</w:t>
            </w:r>
          </w:p>
        </w:tc>
        <w:tc>
          <w:tcPr>
            <w:tcW w:w="5103" w:type="dxa"/>
          </w:tcPr>
          <w:p>
            <w:pPr>
              <w:pStyle w:val="yTableNAm"/>
            </w:pPr>
            <w:r>
              <w:t>METHENOLONE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35.</w:t>
            </w:r>
          </w:p>
        </w:tc>
        <w:tc>
          <w:tcPr>
            <w:tcW w:w="5103" w:type="dxa"/>
          </w:tcPr>
          <w:p>
            <w:pPr>
              <w:pStyle w:val="yTableNAm"/>
            </w:pPr>
            <w:r>
              <w:t>METHYLANDROSTANOLONE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36.</w:t>
            </w:r>
          </w:p>
        </w:tc>
        <w:tc>
          <w:tcPr>
            <w:tcW w:w="5103" w:type="dxa"/>
          </w:tcPr>
          <w:p>
            <w:pPr>
              <w:pStyle w:val="yTableNAm"/>
            </w:pPr>
            <w:r>
              <w:t>METHYLCLOSTEBOL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37.</w:t>
            </w:r>
          </w:p>
        </w:tc>
        <w:tc>
          <w:tcPr>
            <w:tcW w:w="5103" w:type="dxa"/>
          </w:tcPr>
          <w:p>
            <w:pPr>
              <w:pStyle w:val="yTableNAm"/>
            </w:pPr>
            <w:r>
              <w:t>METHYLTESTOSTERONE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38.</w:t>
            </w:r>
          </w:p>
        </w:tc>
        <w:tc>
          <w:tcPr>
            <w:tcW w:w="5103" w:type="dxa"/>
          </w:tcPr>
          <w:p>
            <w:pPr>
              <w:pStyle w:val="yTableNAm"/>
            </w:pPr>
            <w:r>
              <w:t>METHYLTRIENOLONE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39.</w:t>
            </w:r>
          </w:p>
        </w:tc>
        <w:tc>
          <w:tcPr>
            <w:tcW w:w="5103" w:type="dxa"/>
          </w:tcPr>
          <w:p>
            <w:pPr>
              <w:pStyle w:val="yTableNAm"/>
            </w:pPr>
            <w:r>
              <w:t>METRIBOLONE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40.</w:t>
            </w:r>
          </w:p>
        </w:tc>
        <w:tc>
          <w:tcPr>
            <w:tcW w:w="5103" w:type="dxa"/>
          </w:tcPr>
          <w:p>
            <w:pPr>
              <w:pStyle w:val="yTableNAm"/>
            </w:pPr>
            <w:r>
              <w:t>MIBOLERONE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41.</w:t>
            </w:r>
          </w:p>
        </w:tc>
        <w:tc>
          <w:tcPr>
            <w:tcW w:w="5103" w:type="dxa"/>
          </w:tcPr>
          <w:p>
            <w:pPr>
              <w:pStyle w:val="yTableNAm"/>
            </w:pPr>
            <w:r>
              <w:t>NANDROLONE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97"/>
        </w:trPr>
        <w:tc>
          <w:tcPr>
            <w:tcW w:w="709" w:type="dxa"/>
          </w:tcPr>
          <w:p>
            <w:pPr>
              <w:pStyle w:val="yTableNAm"/>
            </w:pPr>
            <w:r>
              <w:t>42.</w:t>
            </w:r>
          </w:p>
        </w:tc>
        <w:tc>
          <w:tcPr>
            <w:tcW w:w="5103" w:type="dxa"/>
          </w:tcPr>
          <w:p>
            <w:pPr>
              <w:pStyle w:val="yTableNAm"/>
            </w:pPr>
            <w:r>
              <w:t>NORANDROSTENOLONE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43.</w:t>
            </w:r>
          </w:p>
        </w:tc>
        <w:tc>
          <w:tcPr>
            <w:tcW w:w="5103" w:type="dxa"/>
          </w:tcPr>
          <w:p>
            <w:pPr>
              <w:pStyle w:val="yTableNAm"/>
            </w:pPr>
            <w:r>
              <w:t>NORBOLETHONE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44.</w:t>
            </w:r>
          </w:p>
        </w:tc>
        <w:tc>
          <w:tcPr>
            <w:tcW w:w="5103" w:type="dxa"/>
          </w:tcPr>
          <w:p>
            <w:pPr>
              <w:pStyle w:val="yTableNAm"/>
            </w:pPr>
            <w:r>
              <w:t>NORCLOSTEBOL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45.</w:t>
            </w:r>
          </w:p>
        </w:tc>
        <w:tc>
          <w:tcPr>
            <w:tcW w:w="5103" w:type="dxa"/>
          </w:tcPr>
          <w:p>
            <w:pPr>
              <w:pStyle w:val="yTableNAm"/>
            </w:pPr>
            <w:r>
              <w:t>NORETHANDROLONE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46.</w:t>
            </w:r>
          </w:p>
        </w:tc>
        <w:tc>
          <w:tcPr>
            <w:tcW w:w="5103" w:type="dxa"/>
          </w:tcPr>
          <w:p>
            <w:pPr>
              <w:pStyle w:val="yTableNAm"/>
            </w:pPr>
            <w:r>
              <w:t>NORMETHANDRONE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47.</w:t>
            </w:r>
          </w:p>
        </w:tc>
        <w:tc>
          <w:tcPr>
            <w:tcW w:w="5103" w:type="dxa"/>
          </w:tcPr>
          <w:p>
            <w:pPr>
              <w:pStyle w:val="yTableNAm"/>
            </w:pPr>
            <w:r>
              <w:t>OVANDROTONE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48.</w:t>
            </w:r>
          </w:p>
        </w:tc>
        <w:tc>
          <w:tcPr>
            <w:tcW w:w="5103" w:type="dxa"/>
          </w:tcPr>
          <w:p>
            <w:pPr>
              <w:pStyle w:val="yTableNAm"/>
            </w:pPr>
            <w:r>
              <w:t>OXABOLONE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49.</w:t>
            </w:r>
          </w:p>
        </w:tc>
        <w:tc>
          <w:tcPr>
            <w:tcW w:w="5103" w:type="dxa"/>
          </w:tcPr>
          <w:p>
            <w:pPr>
              <w:pStyle w:val="yTableNAm"/>
            </w:pPr>
            <w:r>
              <w:t>OXANDROLONE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lastRenderedPageBreak/>
              <w:t>50.</w:t>
            </w:r>
          </w:p>
        </w:tc>
        <w:tc>
          <w:tcPr>
            <w:tcW w:w="5103" w:type="dxa"/>
          </w:tcPr>
          <w:p>
            <w:pPr>
              <w:pStyle w:val="yTableNAm"/>
            </w:pPr>
            <w:r>
              <w:t>OXYMESTERONE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51.</w:t>
            </w:r>
          </w:p>
        </w:tc>
        <w:tc>
          <w:tcPr>
            <w:tcW w:w="5103" w:type="dxa"/>
          </w:tcPr>
          <w:p>
            <w:pPr>
              <w:pStyle w:val="yTableNAm"/>
            </w:pPr>
            <w:r>
              <w:t>OXYMETHOLONE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52.</w:t>
            </w:r>
          </w:p>
        </w:tc>
        <w:tc>
          <w:tcPr>
            <w:tcW w:w="5103" w:type="dxa"/>
          </w:tcPr>
          <w:p>
            <w:pPr>
              <w:pStyle w:val="yTableNAm"/>
            </w:pPr>
            <w:r>
              <w:rPr>
                <w:szCs w:val="22"/>
              </w:rPr>
              <w:t>PRASTERONE (DEHYDROEPIANDROSTERONE, DEHRYDROISOANDROSERONE)</w:t>
            </w:r>
          </w:p>
        </w:tc>
        <w:tc>
          <w:tcPr>
            <w:tcW w:w="1134" w:type="dxa"/>
          </w:tcPr>
          <w:p>
            <w:pPr>
              <w:pStyle w:val="yTableNAm"/>
            </w:pPr>
            <w:r>
              <w:b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53.</w:t>
            </w:r>
          </w:p>
        </w:tc>
        <w:tc>
          <w:tcPr>
            <w:tcW w:w="5103" w:type="dxa"/>
          </w:tcPr>
          <w:p>
            <w:pPr>
              <w:pStyle w:val="yTableNAm"/>
            </w:pPr>
            <w:r>
              <w:rPr>
                <w:szCs w:val="22"/>
              </w:rPr>
              <w:t>PROPETANDROL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54.</w:t>
            </w:r>
          </w:p>
        </w:tc>
        <w:tc>
          <w:tcPr>
            <w:tcW w:w="5103" w:type="dxa"/>
          </w:tcPr>
          <w:p>
            <w:pPr>
              <w:pStyle w:val="yTableNAm"/>
            </w:pPr>
            <w:r>
              <w:t>QUINBOLONE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55.</w:t>
            </w:r>
          </w:p>
        </w:tc>
        <w:tc>
          <w:tcPr>
            <w:tcW w:w="5103" w:type="dxa"/>
          </w:tcPr>
          <w:p>
            <w:pPr>
              <w:pStyle w:val="yTableNAm"/>
            </w:pPr>
            <w:r>
              <w:t>ROXIBOLONE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56.</w:t>
            </w:r>
          </w:p>
        </w:tc>
        <w:tc>
          <w:tcPr>
            <w:tcW w:w="5103" w:type="dxa"/>
          </w:tcPr>
          <w:p>
            <w:pPr>
              <w:pStyle w:val="yTableNAm"/>
            </w:pPr>
            <w:r>
              <w:t>SILANDRONE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57.</w:t>
            </w:r>
          </w:p>
        </w:tc>
        <w:tc>
          <w:tcPr>
            <w:tcW w:w="5103" w:type="dxa"/>
          </w:tcPr>
          <w:p>
            <w:pPr>
              <w:pStyle w:val="yTableNAm"/>
            </w:pPr>
            <w:r>
              <w:t>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58.</w:t>
            </w:r>
          </w:p>
        </w:tc>
        <w:tc>
          <w:tcPr>
            <w:tcW w:w="5103" w:type="dxa"/>
          </w:tcPr>
          <w:p>
            <w:pPr>
              <w:pStyle w:val="yTableNAm"/>
            </w:pPr>
            <w:r>
              <w:t>STANOZOLOL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59.</w:t>
            </w:r>
          </w:p>
        </w:tc>
        <w:tc>
          <w:tcPr>
            <w:tcW w:w="5103" w:type="dxa"/>
          </w:tcPr>
          <w:p>
            <w:pPr>
              <w:pStyle w:val="yTableNAm"/>
            </w:pPr>
            <w:r>
              <w:t>STENBOLONE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60.</w:t>
            </w:r>
          </w:p>
        </w:tc>
        <w:tc>
          <w:tcPr>
            <w:tcW w:w="5103" w:type="dxa"/>
          </w:tcPr>
          <w:p>
            <w:pPr>
              <w:pStyle w:val="yTableNAm"/>
            </w:pPr>
            <w:r>
              <w:t>TESTOLACTONE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61.</w:t>
            </w:r>
          </w:p>
        </w:tc>
        <w:tc>
          <w:tcPr>
            <w:tcW w:w="5103" w:type="dxa"/>
          </w:tcPr>
          <w:p>
            <w:pPr>
              <w:pStyle w:val="yTableNAm"/>
            </w:pPr>
            <w:r>
              <w:t>TESTOSTERONE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62.</w:t>
            </w:r>
          </w:p>
        </w:tc>
        <w:tc>
          <w:tcPr>
            <w:tcW w:w="5103" w:type="dxa"/>
          </w:tcPr>
          <w:p>
            <w:pPr>
              <w:pStyle w:val="yTableNAm"/>
            </w:pPr>
            <w:r>
              <w:t>THIMOSTERONE (TIOMESTERONE)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63.</w:t>
            </w:r>
          </w:p>
        </w:tc>
        <w:tc>
          <w:tcPr>
            <w:tcW w:w="5103" w:type="dxa"/>
          </w:tcPr>
          <w:p>
            <w:pPr>
              <w:pStyle w:val="yTableNAm"/>
            </w:pPr>
            <w:r>
              <w:t>TRENBOLONE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Borders>
              <w:bottom w:val="single" w:sz="4" w:space="0" w:color="auto"/>
            </w:tcBorders>
          </w:tcPr>
          <w:p>
            <w:pPr>
              <w:pStyle w:val="yTableNAm"/>
            </w:pPr>
            <w:r>
              <w:t>64.</w:t>
            </w:r>
          </w:p>
        </w:tc>
        <w:tc>
          <w:tcPr>
            <w:tcW w:w="5103" w:type="dxa"/>
            <w:tcBorders>
              <w:bottom w:val="single" w:sz="4" w:space="0" w:color="auto"/>
            </w:tcBorders>
          </w:tcPr>
          <w:p>
            <w:pPr>
              <w:pStyle w:val="yTableNAm"/>
            </w:pPr>
            <w:r>
              <w:t>TRESTOLONE</w:t>
            </w:r>
          </w:p>
        </w:tc>
        <w:tc>
          <w:tcPr>
            <w:tcW w:w="1134" w:type="dxa"/>
            <w:tcBorders>
              <w:bottom w:val="single" w:sz="4" w:space="0" w:color="auto"/>
            </w:tcBorders>
          </w:tcPr>
          <w:p>
            <w:pPr>
              <w:pStyle w:val="yTableNAm"/>
            </w:pPr>
            <w:r>
              <w:t>100.0</w:t>
            </w:r>
          </w:p>
        </w:tc>
      </w:tr>
    </w:tbl>
    <w:p>
      <w:pPr>
        <w:pStyle w:val="yFootnotesection"/>
      </w:pPr>
      <w:r>
        <w:tab/>
        <w:t>[Division 2 inserted: Gazette 29 Aug 2018 p. 3006-10; amended: SL 2023/48 cl. 4(2).]</w:t>
      </w:r>
    </w:p>
    <w:p>
      <w:pPr>
        <w:pStyle w:val="yScheduleHeading"/>
      </w:pPr>
      <w:bookmarkStart w:id="267" w:name="_Toc138689209"/>
      <w:bookmarkStart w:id="268" w:name="_Toc138691607"/>
      <w:bookmarkStart w:id="269" w:name="_Toc138751170"/>
      <w:r>
        <w:rPr>
          <w:rStyle w:val="CharSchNo"/>
        </w:rPr>
        <w:lastRenderedPageBreak/>
        <w:t>Schedule IV</w:t>
      </w:r>
      <w:r>
        <w:rPr>
          <w:rStyle w:val="CharSDivNo"/>
        </w:rPr>
        <w:t> </w:t>
      </w:r>
      <w:r>
        <w:t>—</w:t>
      </w:r>
      <w:r>
        <w:rPr>
          <w:rStyle w:val="CharSDivText"/>
        </w:rPr>
        <w:t> </w:t>
      </w:r>
      <w:r>
        <w:rPr>
          <w:rStyle w:val="CharSchText"/>
        </w:rPr>
        <w:t>Numbers of prohibited plants determining court of trial</w:t>
      </w:r>
      <w:bookmarkEnd w:id="267"/>
      <w:bookmarkEnd w:id="268"/>
      <w:bookmarkEnd w:id="269"/>
    </w:p>
    <w:p>
      <w:pPr>
        <w:pStyle w:val="yShoulderClause"/>
        <w:rPr>
          <w:snapToGrid w:val="0"/>
        </w:rPr>
      </w:pPr>
      <w:r>
        <w:rPr>
          <w:snapToGrid w:val="0"/>
        </w:rPr>
        <w:t>[s. 9]</w:t>
      </w:r>
    </w:p>
    <w:p>
      <w:pPr>
        <w:pStyle w:val="yFootnoteheading"/>
        <w:rPr>
          <w:bCs/>
        </w:rPr>
      </w:pPr>
      <w:r>
        <w:tab/>
        <w:t>[Heading amended: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tc>
          <w:tcPr>
            <w:tcW w:w="993" w:type="dxa"/>
          </w:tcPr>
          <w:p>
            <w:pPr>
              <w:pStyle w:val="yTableNAm"/>
              <w:rPr>
                <w:i/>
                <w:iCs/>
              </w:rPr>
            </w:pPr>
            <w:r>
              <w:rPr>
                <w:i/>
                <w:iCs/>
              </w:rPr>
              <w:t>Item</w:t>
            </w:r>
          </w:p>
        </w:tc>
        <w:tc>
          <w:tcPr>
            <w:tcW w:w="4819" w:type="dxa"/>
          </w:tcPr>
          <w:p>
            <w:pPr>
              <w:pStyle w:val="yTableNAm"/>
              <w:jc w:val="center"/>
              <w:rPr>
                <w:i/>
                <w:iCs/>
              </w:rPr>
            </w:pPr>
            <w:r>
              <w:rPr>
                <w:i/>
                <w:iCs/>
              </w:rPr>
              <w:t>Prohibited plant</w:t>
            </w:r>
          </w:p>
        </w:tc>
        <w:tc>
          <w:tcPr>
            <w:tcW w:w="1418" w:type="dxa"/>
          </w:tcPr>
          <w:p>
            <w:pPr>
              <w:pStyle w:val="yTableNAm"/>
              <w:jc w:val="center"/>
              <w:rPr>
                <w:i/>
                <w:iCs/>
              </w:rPr>
            </w:pPr>
            <w:r>
              <w:rPr>
                <w:i/>
                <w:iCs/>
              </w:rPr>
              <w:t>Number</w:t>
            </w:r>
          </w:p>
        </w:tc>
      </w:tr>
      <w:tr>
        <w:tc>
          <w:tcPr>
            <w:tcW w:w="993" w:type="dxa"/>
          </w:tcPr>
          <w:p>
            <w:pPr>
              <w:pStyle w:val="yTableNAm"/>
            </w:pPr>
            <w:r>
              <w:t>1.</w:t>
            </w:r>
          </w:p>
        </w:tc>
        <w:tc>
          <w:tcPr>
            <w:tcW w:w="4819" w:type="dxa"/>
          </w:tcPr>
          <w:p>
            <w:pPr>
              <w:pStyle w:val="yTableNAm"/>
            </w:pPr>
            <w:r>
              <w:t>Papaver somniferum</w:t>
            </w:r>
          </w:p>
        </w:tc>
        <w:tc>
          <w:tcPr>
            <w:tcW w:w="1418" w:type="dxa"/>
          </w:tcPr>
          <w:p>
            <w:pPr>
              <w:pStyle w:val="yTableNAm"/>
              <w:jc w:val="center"/>
            </w:pPr>
            <w:r>
              <w:t>100</w:t>
            </w:r>
          </w:p>
        </w:tc>
      </w:tr>
      <w:tr>
        <w:tc>
          <w:tcPr>
            <w:tcW w:w="993" w:type="dxa"/>
          </w:tcPr>
          <w:p>
            <w:pPr>
              <w:pStyle w:val="yTableNAm"/>
            </w:pPr>
            <w:r>
              <w:t>2.</w:t>
            </w:r>
          </w:p>
        </w:tc>
        <w:tc>
          <w:tcPr>
            <w:tcW w:w="4819" w:type="dxa"/>
          </w:tcPr>
          <w:p>
            <w:pPr>
              <w:pStyle w:val="yTableNAm"/>
            </w:pPr>
            <w:r>
              <w:t>Papaver bracteatum</w:t>
            </w:r>
          </w:p>
        </w:tc>
        <w:tc>
          <w:tcPr>
            <w:tcW w:w="1418" w:type="dxa"/>
          </w:tcPr>
          <w:p>
            <w:pPr>
              <w:pStyle w:val="yTableNAm"/>
              <w:jc w:val="center"/>
            </w:pPr>
            <w:r>
              <w:t>100</w:t>
            </w:r>
          </w:p>
        </w:tc>
      </w:tr>
      <w:tr>
        <w:tc>
          <w:tcPr>
            <w:tcW w:w="993" w:type="dxa"/>
          </w:tcPr>
          <w:p>
            <w:pPr>
              <w:pStyle w:val="yTableNAm"/>
            </w:pPr>
            <w:r>
              <w:t>3.</w:t>
            </w:r>
          </w:p>
        </w:tc>
        <w:tc>
          <w:tcPr>
            <w:tcW w:w="4819" w:type="dxa"/>
          </w:tcPr>
          <w:p>
            <w:pPr>
              <w:pStyle w:val="yTableNAm"/>
            </w:pPr>
            <w:r>
              <w:t>Cannabis</w:t>
            </w:r>
          </w:p>
        </w:tc>
        <w:tc>
          <w:tcPr>
            <w:tcW w:w="1418" w:type="dxa"/>
          </w:tcPr>
          <w:p>
            <w:pPr>
              <w:pStyle w:val="yTableNAm"/>
              <w:jc w:val="center"/>
            </w:pPr>
            <w:r>
              <w:t>20</w:t>
            </w:r>
          </w:p>
        </w:tc>
      </w:tr>
    </w:tbl>
    <w:p>
      <w:pPr>
        <w:pStyle w:val="yFootnotesection"/>
      </w:pPr>
      <w:r>
        <w:tab/>
        <w:t>[Schedule IV amended: Gazette 15 Apr 2011 p. 1426.]</w:t>
      </w:r>
    </w:p>
    <w:p>
      <w:pPr>
        <w:pStyle w:val="yScheduleHeading"/>
      </w:pPr>
      <w:bookmarkStart w:id="270" w:name="_Toc138689210"/>
      <w:bookmarkStart w:id="271" w:name="_Toc138691608"/>
      <w:bookmarkStart w:id="272" w:name="_Toc138751171"/>
      <w:r>
        <w:rPr>
          <w:rStyle w:val="CharSchNo"/>
        </w:rPr>
        <w:lastRenderedPageBreak/>
        <w:t>Schedule V</w:t>
      </w:r>
      <w:r>
        <w:t> — </w:t>
      </w:r>
      <w:r>
        <w:rPr>
          <w:rStyle w:val="CharSchText"/>
        </w:rPr>
        <w:t>Amounts of prohibited drugs giving rise to presumption of intention to sell or supply same</w:t>
      </w:r>
      <w:bookmarkEnd w:id="270"/>
      <w:bookmarkEnd w:id="271"/>
      <w:bookmarkEnd w:id="272"/>
    </w:p>
    <w:p>
      <w:pPr>
        <w:pStyle w:val="yShoulderClause"/>
        <w:rPr>
          <w:snapToGrid w:val="0"/>
        </w:rPr>
      </w:pPr>
      <w:r>
        <w:rPr>
          <w:snapToGrid w:val="0"/>
        </w:rPr>
        <w:t>[s. 11(a)]</w:t>
      </w:r>
    </w:p>
    <w:p>
      <w:pPr>
        <w:pStyle w:val="yFootnoteheading"/>
      </w:pPr>
      <w:r>
        <w:tab/>
        <w:t>[Heading amended: No. 19 of 2010 s. 4.]</w:t>
      </w:r>
    </w:p>
    <w:p>
      <w:pPr>
        <w:pStyle w:val="yHeading3"/>
      </w:pPr>
      <w:bookmarkStart w:id="273" w:name="_Toc138689211"/>
      <w:bookmarkStart w:id="274" w:name="_Toc138691609"/>
      <w:bookmarkStart w:id="275" w:name="_Toc138751172"/>
      <w:r>
        <w:rPr>
          <w:rStyle w:val="CharSDivNo"/>
        </w:rPr>
        <w:t>Division 1</w:t>
      </w:r>
      <w:r>
        <w:rPr>
          <w:b w:val="0"/>
        </w:rPr>
        <w:t> — </w:t>
      </w:r>
      <w:r>
        <w:rPr>
          <w:rStyle w:val="CharSDivText"/>
        </w:rPr>
        <w:t>General</w:t>
      </w:r>
      <w:bookmarkEnd w:id="273"/>
      <w:bookmarkEnd w:id="274"/>
      <w:bookmarkEnd w:id="275"/>
    </w:p>
    <w:p>
      <w:pPr>
        <w:pStyle w:val="yFootnoteheading"/>
      </w:pPr>
      <w:r>
        <w:tab/>
        <w:t>[Heading inserted: Gazette 29 Aug 2018 p. 3010.]</w:t>
      </w:r>
    </w:p>
    <w:tbl>
      <w:tblPr>
        <w:tblW w:w="7372" w:type="dxa"/>
        <w:tblLayout w:type="fixed"/>
        <w:tblCellMar>
          <w:left w:w="142" w:type="dxa"/>
          <w:right w:w="142" w:type="dxa"/>
        </w:tblCellMar>
        <w:tblLook w:val="0000" w:firstRow="0" w:lastRow="0" w:firstColumn="0" w:lastColumn="0" w:noHBand="0" w:noVBand="0"/>
      </w:tblPr>
      <w:tblGrid>
        <w:gridCol w:w="1276"/>
        <w:gridCol w:w="4678"/>
        <w:gridCol w:w="1418"/>
      </w:tblGrid>
      <w:tr>
        <w:trPr>
          <w:cantSplit/>
          <w:tblHeader/>
        </w:trPr>
        <w:tc>
          <w:tcPr>
            <w:tcW w:w="1276" w:type="dxa"/>
          </w:tcPr>
          <w:p>
            <w:pPr>
              <w:pStyle w:val="yTableNAm"/>
              <w:rPr>
                <w:i/>
              </w:rPr>
            </w:pPr>
            <w:r>
              <w:rPr>
                <w:i/>
              </w:rPr>
              <w:t>Item</w:t>
            </w:r>
          </w:p>
        </w:tc>
        <w:tc>
          <w:tcPr>
            <w:tcW w:w="4678" w:type="dxa"/>
          </w:tcPr>
          <w:p>
            <w:pPr>
              <w:pStyle w:val="yTableNAm"/>
              <w:jc w:val="center"/>
              <w:rPr>
                <w:i/>
              </w:rPr>
            </w:pPr>
            <w:r>
              <w:rPr>
                <w:i/>
              </w:rPr>
              <w:t>Prohibited drug</w:t>
            </w:r>
          </w:p>
        </w:tc>
        <w:tc>
          <w:tcPr>
            <w:tcW w:w="1418" w:type="dxa"/>
          </w:tcPr>
          <w:p>
            <w:pPr>
              <w:pStyle w:val="yTableNAm"/>
              <w:tabs>
                <w:tab w:val="clear" w:pos="567"/>
              </w:tabs>
              <w:ind w:left="142"/>
              <w:jc w:val="center"/>
              <w:rPr>
                <w:i/>
              </w:rPr>
            </w:pPr>
            <w:r>
              <w:rPr>
                <w:i/>
              </w:rPr>
              <w:t xml:space="preserve">Amount </w:t>
            </w:r>
            <w:r>
              <w:rPr>
                <w:i/>
              </w:rPr>
              <w:br/>
              <w:t>(in grams</w:t>
            </w:r>
            <w:r>
              <w:rPr>
                <w:i/>
              </w:rPr>
              <w:br/>
              <w:t>unless otherwise</w:t>
            </w:r>
            <w:r>
              <w:rPr>
                <w:i/>
              </w:rPr>
              <w:br/>
              <w:t>stated)</w:t>
            </w:r>
          </w:p>
        </w:tc>
      </w:tr>
      <w:tr>
        <w:trPr>
          <w:cantSplit/>
        </w:trPr>
        <w:tc>
          <w:tcPr>
            <w:tcW w:w="1276" w:type="dxa"/>
          </w:tcPr>
          <w:p>
            <w:pPr>
              <w:pStyle w:val="yTableNAm"/>
            </w:pPr>
            <w:r>
              <w:t>1.</w:t>
            </w:r>
          </w:p>
        </w:tc>
        <w:tc>
          <w:tcPr>
            <w:tcW w:w="4678" w:type="dxa"/>
          </w:tcPr>
          <w:p>
            <w:pPr>
              <w:pStyle w:val="yTableNAm"/>
            </w:pPr>
            <w:r>
              <w:t>ACETORPHINE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1A.</w:t>
            </w:r>
          </w:p>
        </w:tc>
        <w:tc>
          <w:tcPr>
            <w:tcW w:w="4678" w:type="dxa"/>
          </w:tcPr>
          <w:p>
            <w:pPr>
              <w:pStyle w:val="yTableNAm"/>
            </w:pPr>
            <w:r>
              <w:rPr>
                <w:szCs w:val="22"/>
              </w:rPr>
              <w:t>ACETYL</w:t>
            </w:r>
            <w:r>
              <w:rPr>
                <w:szCs w:val="22"/>
              </w:rPr>
              <w:noBreakHyphen/>
              <w:t>ALPHA</w:t>
            </w:r>
            <w:r>
              <w:rPr>
                <w:szCs w:val="22"/>
              </w:rPr>
              <w:noBreakHyphen/>
              <w:t>METHYLFENTANYL</w:t>
            </w:r>
          </w:p>
        </w:tc>
        <w:tc>
          <w:tcPr>
            <w:tcW w:w="1418" w:type="dxa"/>
          </w:tcPr>
          <w:p>
            <w:pPr>
              <w:pStyle w:val="yTableNAm"/>
              <w:tabs>
                <w:tab w:val="clear" w:pos="567"/>
                <w:tab w:val="decimal" w:pos="463"/>
              </w:tabs>
            </w:pPr>
            <w:r>
              <w:rPr>
                <w:szCs w:val="22"/>
              </w:rPr>
              <w:t>0.005</w:t>
            </w:r>
          </w:p>
        </w:tc>
      </w:tr>
      <w:tr>
        <w:trPr>
          <w:cantSplit/>
        </w:trPr>
        <w:tc>
          <w:tcPr>
            <w:tcW w:w="1276" w:type="dxa"/>
          </w:tcPr>
          <w:p>
            <w:pPr>
              <w:pStyle w:val="yTableNAm"/>
            </w:pPr>
            <w:r>
              <w:t>2.</w:t>
            </w:r>
          </w:p>
        </w:tc>
        <w:tc>
          <w:tcPr>
            <w:tcW w:w="4678" w:type="dxa"/>
          </w:tcPr>
          <w:p>
            <w:pPr>
              <w:pStyle w:val="yTableNAm"/>
            </w:pPr>
            <w:r>
              <w:t xml:space="preserve">ACETYLDIHYDROCODEINE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2.0</w:t>
            </w:r>
          </w:p>
        </w:tc>
      </w:tr>
      <w:tr>
        <w:trPr>
          <w:cantSplit/>
        </w:trPr>
        <w:tc>
          <w:tcPr>
            <w:tcW w:w="1276" w:type="dxa"/>
          </w:tcPr>
          <w:p>
            <w:pPr>
              <w:pStyle w:val="yTableNAm"/>
            </w:pPr>
            <w:r>
              <w:t>3.</w:t>
            </w:r>
          </w:p>
        </w:tc>
        <w:tc>
          <w:tcPr>
            <w:tcW w:w="4678" w:type="dxa"/>
          </w:tcPr>
          <w:p>
            <w:pPr>
              <w:pStyle w:val="yTableNAm"/>
            </w:pPr>
            <w:r>
              <w:t>ACETYLMETHADOL</w:t>
            </w:r>
          </w:p>
        </w:tc>
        <w:tc>
          <w:tcPr>
            <w:tcW w:w="1418" w:type="dxa"/>
          </w:tcPr>
          <w:p>
            <w:pPr>
              <w:pStyle w:val="yTableNAm"/>
              <w:tabs>
                <w:tab w:val="clear" w:pos="567"/>
                <w:tab w:val="decimal" w:pos="463"/>
              </w:tabs>
            </w:pPr>
            <w:r>
              <w:t>2.0</w:t>
            </w:r>
          </w:p>
        </w:tc>
      </w:tr>
      <w:tr>
        <w:trPr>
          <w:cantSplit/>
        </w:trPr>
        <w:tc>
          <w:tcPr>
            <w:tcW w:w="1276" w:type="dxa"/>
          </w:tcPr>
          <w:p>
            <w:pPr>
              <w:pStyle w:val="yTableNAm"/>
            </w:pPr>
            <w:r>
              <w:t>4.</w:t>
            </w:r>
          </w:p>
        </w:tc>
        <w:tc>
          <w:tcPr>
            <w:tcW w:w="4678" w:type="dxa"/>
          </w:tcPr>
          <w:p>
            <w:pPr>
              <w:pStyle w:val="yTableNAm"/>
            </w:pPr>
            <w:r>
              <w:t>ALLOBARBITONE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5.</w:t>
            </w:r>
          </w:p>
        </w:tc>
        <w:tc>
          <w:tcPr>
            <w:tcW w:w="4678" w:type="dxa"/>
          </w:tcPr>
          <w:p>
            <w:pPr>
              <w:pStyle w:val="yTableNAm"/>
            </w:pPr>
            <w:r>
              <w:t>ALLYLBARBITURIC ACID</w:t>
            </w:r>
          </w:p>
        </w:tc>
        <w:tc>
          <w:tcPr>
            <w:tcW w:w="1418" w:type="dxa"/>
          </w:tcPr>
          <w:p>
            <w:pPr>
              <w:pStyle w:val="yTableNAm"/>
              <w:tabs>
                <w:tab w:val="clear" w:pos="567"/>
                <w:tab w:val="decimal" w:pos="463"/>
              </w:tabs>
            </w:pPr>
            <w:r>
              <w:t>10.0</w:t>
            </w:r>
          </w:p>
        </w:tc>
      </w:tr>
      <w:tr>
        <w:trPr>
          <w:cantSplit/>
        </w:trPr>
        <w:tc>
          <w:tcPr>
            <w:tcW w:w="1276" w:type="dxa"/>
          </w:tcPr>
          <w:p>
            <w:pPr>
              <w:pStyle w:val="yTableNAm"/>
            </w:pPr>
            <w:r>
              <w:t>6.</w:t>
            </w:r>
          </w:p>
        </w:tc>
        <w:tc>
          <w:tcPr>
            <w:tcW w:w="4678" w:type="dxa"/>
          </w:tcPr>
          <w:p>
            <w:pPr>
              <w:pStyle w:val="yTableNAm"/>
            </w:pPr>
            <w:r>
              <w:t>ALLYLPRODINE</w:t>
            </w:r>
          </w:p>
        </w:tc>
        <w:tc>
          <w:tcPr>
            <w:tcW w:w="1418" w:type="dxa"/>
          </w:tcPr>
          <w:p>
            <w:pPr>
              <w:pStyle w:val="yTableNAm"/>
              <w:tabs>
                <w:tab w:val="clear" w:pos="567"/>
                <w:tab w:val="decimal" w:pos="463"/>
              </w:tabs>
            </w:pPr>
            <w:r>
              <w:t>2.0</w:t>
            </w:r>
          </w:p>
        </w:tc>
      </w:tr>
      <w:tr>
        <w:trPr>
          <w:cantSplit/>
        </w:trPr>
        <w:tc>
          <w:tcPr>
            <w:tcW w:w="1276" w:type="dxa"/>
          </w:tcPr>
          <w:p>
            <w:pPr>
              <w:pStyle w:val="yTableNAm"/>
            </w:pPr>
            <w:r>
              <w:t>7.</w:t>
            </w:r>
          </w:p>
        </w:tc>
        <w:tc>
          <w:tcPr>
            <w:tcW w:w="4678" w:type="dxa"/>
          </w:tcPr>
          <w:p>
            <w:pPr>
              <w:pStyle w:val="yTableNAm"/>
            </w:pPr>
            <w:r>
              <w:t>ALPHACETYLMETHADOL</w:t>
            </w:r>
          </w:p>
        </w:tc>
        <w:tc>
          <w:tcPr>
            <w:tcW w:w="1418" w:type="dxa"/>
          </w:tcPr>
          <w:p>
            <w:pPr>
              <w:pStyle w:val="yTableNAm"/>
              <w:tabs>
                <w:tab w:val="clear" w:pos="567"/>
                <w:tab w:val="decimal" w:pos="463"/>
              </w:tabs>
            </w:pPr>
            <w:r>
              <w:t>10.0</w:t>
            </w:r>
          </w:p>
        </w:tc>
      </w:tr>
      <w:tr>
        <w:trPr>
          <w:cantSplit/>
        </w:trPr>
        <w:tc>
          <w:tcPr>
            <w:tcW w:w="1276" w:type="dxa"/>
          </w:tcPr>
          <w:p>
            <w:pPr>
              <w:pStyle w:val="yTableNAm"/>
            </w:pPr>
            <w:r>
              <w:t>8.</w:t>
            </w:r>
          </w:p>
        </w:tc>
        <w:tc>
          <w:tcPr>
            <w:tcW w:w="4678" w:type="dxa"/>
          </w:tcPr>
          <w:p>
            <w:pPr>
              <w:pStyle w:val="yTableNAm"/>
            </w:pPr>
            <w:r>
              <w:t>ALPHAMEPRODINE</w:t>
            </w:r>
          </w:p>
        </w:tc>
        <w:tc>
          <w:tcPr>
            <w:tcW w:w="1418" w:type="dxa"/>
          </w:tcPr>
          <w:p>
            <w:pPr>
              <w:pStyle w:val="yTableNAm"/>
              <w:tabs>
                <w:tab w:val="clear" w:pos="567"/>
                <w:tab w:val="decimal" w:pos="463"/>
              </w:tabs>
            </w:pPr>
            <w:r>
              <w:t>0.2</w:t>
            </w:r>
          </w:p>
        </w:tc>
      </w:tr>
      <w:tr>
        <w:trPr>
          <w:cantSplit/>
        </w:trPr>
        <w:tc>
          <w:tcPr>
            <w:tcW w:w="1276" w:type="dxa"/>
          </w:tcPr>
          <w:p>
            <w:pPr>
              <w:pStyle w:val="yTableNAm"/>
            </w:pPr>
            <w:r>
              <w:t>9.</w:t>
            </w:r>
          </w:p>
        </w:tc>
        <w:tc>
          <w:tcPr>
            <w:tcW w:w="4678" w:type="dxa"/>
          </w:tcPr>
          <w:p>
            <w:pPr>
              <w:pStyle w:val="yTableNAm"/>
            </w:pPr>
            <w:r>
              <w:t>ALPHAMETHADOL</w:t>
            </w:r>
          </w:p>
        </w:tc>
        <w:tc>
          <w:tcPr>
            <w:tcW w:w="1418" w:type="dxa"/>
          </w:tcPr>
          <w:p>
            <w:pPr>
              <w:pStyle w:val="yTableNAm"/>
              <w:tabs>
                <w:tab w:val="clear" w:pos="567"/>
                <w:tab w:val="decimal" w:pos="463"/>
              </w:tabs>
            </w:pPr>
            <w:r>
              <w:t>0.2</w:t>
            </w:r>
          </w:p>
        </w:tc>
      </w:tr>
      <w:tr>
        <w:trPr>
          <w:cantSplit/>
        </w:trPr>
        <w:tc>
          <w:tcPr>
            <w:tcW w:w="1276" w:type="dxa"/>
          </w:tcPr>
          <w:p>
            <w:pPr>
              <w:pStyle w:val="yTableNAm"/>
            </w:pPr>
            <w:r>
              <w:t>10.</w:t>
            </w:r>
          </w:p>
        </w:tc>
        <w:tc>
          <w:tcPr>
            <w:tcW w:w="4678" w:type="dxa"/>
          </w:tcPr>
          <w:p>
            <w:pPr>
              <w:pStyle w:val="yTableNAm"/>
            </w:pPr>
            <w:r>
              <w:t>ALPHAPRODINE</w:t>
            </w:r>
          </w:p>
        </w:tc>
        <w:tc>
          <w:tcPr>
            <w:tcW w:w="1418" w:type="dxa"/>
          </w:tcPr>
          <w:p>
            <w:pPr>
              <w:pStyle w:val="yTableNAm"/>
              <w:tabs>
                <w:tab w:val="clear" w:pos="567"/>
                <w:tab w:val="decimal" w:pos="463"/>
              </w:tabs>
            </w:pPr>
            <w:r>
              <w:t>25.0</w:t>
            </w:r>
          </w:p>
        </w:tc>
      </w:tr>
      <w:tr>
        <w:trPr>
          <w:cantSplit/>
        </w:trPr>
        <w:tc>
          <w:tcPr>
            <w:tcW w:w="1276" w:type="dxa"/>
          </w:tcPr>
          <w:p>
            <w:pPr>
              <w:pStyle w:val="yTableNAm"/>
            </w:pPr>
            <w:r>
              <w:t>11.</w:t>
            </w:r>
          </w:p>
        </w:tc>
        <w:tc>
          <w:tcPr>
            <w:tcW w:w="4678" w:type="dxa"/>
          </w:tcPr>
          <w:p>
            <w:pPr>
              <w:pStyle w:val="yTableNAm"/>
            </w:pPr>
            <w:r>
              <w:t>AMPHETAMINE</w:t>
            </w:r>
          </w:p>
        </w:tc>
        <w:tc>
          <w:tcPr>
            <w:tcW w:w="1418" w:type="dxa"/>
          </w:tcPr>
          <w:p>
            <w:pPr>
              <w:pStyle w:val="yTableNAm"/>
              <w:tabs>
                <w:tab w:val="clear" w:pos="567"/>
                <w:tab w:val="decimal" w:pos="463"/>
              </w:tabs>
            </w:pPr>
            <w:r>
              <w:t>2.0</w:t>
            </w:r>
          </w:p>
        </w:tc>
      </w:tr>
      <w:tr>
        <w:trPr>
          <w:cantSplit/>
        </w:trPr>
        <w:tc>
          <w:tcPr>
            <w:tcW w:w="1276" w:type="dxa"/>
          </w:tcPr>
          <w:p>
            <w:pPr>
              <w:pStyle w:val="yTableNAm"/>
            </w:pPr>
            <w:r>
              <w:t>12.</w:t>
            </w:r>
          </w:p>
        </w:tc>
        <w:tc>
          <w:tcPr>
            <w:tcW w:w="4678" w:type="dxa"/>
          </w:tcPr>
          <w:p>
            <w:pPr>
              <w:pStyle w:val="yTableNAm"/>
            </w:pPr>
            <w:r>
              <w:t>AMYLOBARBITONE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13.</w:t>
            </w:r>
          </w:p>
        </w:tc>
        <w:tc>
          <w:tcPr>
            <w:tcW w:w="4678" w:type="dxa"/>
          </w:tcPr>
          <w:p>
            <w:pPr>
              <w:pStyle w:val="yTableNAm"/>
            </w:pPr>
            <w:r>
              <w:t>ANILERIDINE</w:t>
            </w:r>
          </w:p>
        </w:tc>
        <w:tc>
          <w:tcPr>
            <w:tcW w:w="1418" w:type="dxa"/>
          </w:tcPr>
          <w:p>
            <w:pPr>
              <w:pStyle w:val="yTableNAm"/>
              <w:tabs>
                <w:tab w:val="clear" w:pos="567"/>
                <w:tab w:val="decimal" w:pos="463"/>
              </w:tabs>
            </w:pPr>
            <w:r>
              <w:t>25.0</w:t>
            </w:r>
          </w:p>
        </w:tc>
      </w:tr>
      <w:tr>
        <w:trPr>
          <w:cantSplit/>
        </w:trPr>
        <w:tc>
          <w:tcPr>
            <w:tcW w:w="1276" w:type="dxa"/>
          </w:tcPr>
          <w:p>
            <w:pPr>
              <w:pStyle w:val="yTableNAm"/>
            </w:pPr>
            <w:r>
              <w:t>14.</w:t>
            </w:r>
          </w:p>
        </w:tc>
        <w:tc>
          <w:tcPr>
            <w:tcW w:w="4678" w:type="dxa"/>
          </w:tcPr>
          <w:p>
            <w:pPr>
              <w:pStyle w:val="yTableNAm"/>
            </w:pPr>
            <w:r>
              <w:t>APROBARBITONE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15.</w:t>
            </w:r>
          </w:p>
        </w:tc>
        <w:tc>
          <w:tcPr>
            <w:tcW w:w="4678" w:type="dxa"/>
          </w:tcPr>
          <w:p>
            <w:pPr>
              <w:pStyle w:val="yTableNAm"/>
            </w:pPr>
            <w:r>
              <w:t>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lastRenderedPageBreak/>
              <w:t>16.</w:t>
            </w:r>
          </w:p>
        </w:tc>
        <w:tc>
          <w:tcPr>
            <w:tcW w:w="4678" w:type="dxa"/>
          </w:tcPr>
          <w:p>
            <w:pPr>
              <w:pStyle w:val="yTableNAm"/>
            </w:pPr>
            <w:r>
              <w:t>BENZETHIDINE</w:t>
            </w:r>
          </w:p>
        </w:tc>
        <w:tc>
          <w:tcPr>
            <w:tcW w:w="1418" w:type="dxa"/>
          </w:tcPr>
          <w:p>
            <w:pPr>
              <w:pStyle w:val="yTableNAm"/>
              <w:tabs>
                <w:tab w:val="clear" w:pos="567"/>
                <w:tab w:val="decimal" w:pos="463"/>
              </w:tabs>
            </w:pPr>
            <w:r>
              <w:t>10.0</w:t>
            </w:r>
          </w:p>
        </w:tc>
      </w:tr>
      <w:tr>
        <w:trPr>
          <w:cantSplit/>
        </w:trPr>
        <w:tc>
          <w:tcPr>
            <w:tcW w:w="1276" w:type="dxa"/>
          </w:tcPr>
          <w:p>
            <w:pPr>
              <w:pStyle w:val="yTableNAm"/>
            </w:pPr>
            <w:r>
              <w:t>17.</w:t>
            </w:r>
          </w:p>
        </w:tc>
        <w:tc>
          <w:tcPr>
            <w:tcW w:w="4678" w:type="dxa"/>
          </w:tcPr>
          <w:p>
            <w:pPr>
              <w:pStyle w:val="yTableNAm"/>
            </w:pPr>
            <w:r>
              <w:t>BENZYLMORPHINE</w:t>
            </w:r>
          </w:p>
        </w:tc>
        <w:tc>
          <w:tcPr>
            <w:tcW w:w="1418" w:type="dxa"/>
          </w:tcPr>
          <w:p>
            <w:pPr>
              <w:pStyle w:val="yTableNAm"/>
              <w:tabs>
                <w:tab w:val="clear" w:pos="567"/>
                <w:tab w:val="decimal" w:pos="463"/>
              </w:tabs>
            </w:pPr>
            <w:r>
              <w:t>5.0</w:t>
            </w:r>
          </w:p>
        </w:tc>
      </w:tr>
      <w:tr>
        <w:trPr>
          <w:cantSplit/>
        </w:trPr>
        <w:tc>
          <w:tcPr>
            <w:tcW w:w="1276" w:type="dxa"/>
          </w:tcPr>
          <w:p>
            <w:pPr>
              <w:pStyle w:val="yTableNAm"/>
            </w:pPr>
            <w:r>
              <w:t>18A.</w:t>
            </w:r>
          </w:p>
        </w:tc>
        <w:tc>
          <w:tcPr>
            <w:tcW w:w="4678" w:type="dxa"/>
          </w:tcPr>
          <w:p>
            <w:pPr>
              <w:pStyle w:val="yTableNAm"/>
            </w:pPr>
            <w:r>
              <w:t>BENZYLPIPERAZINE (BZP)</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18B.</w:t>
            </w:r>
          </w:p>
        </w:tc>
        <w:tc>
          <w:tcPr>
            <w:tcW w:w="4678" w:type="dxa"/>
          </w:tcPr>
          <w:p>
            <w:pPr>
              <w:pStyle w:val="yTableNAm"/>
            </w:pPr>
            <w:r>
              <w:rPr>
                <w:szCs w:val="22"/>
              </w:rPr>
              <w:t>BENZOYLINDOLES (plant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18C.</w:t>
            </w:r>
          </w:p>
        </w:tc>
        <w:tc>
          <w:tcPr>
            <w:tcW w:w="4678" w:type="dxa"/>
          </w:tcPr>
          <w:p>
            <w:pPr>
              <w:pStyle w:val="yTableNAm"/>
            </w:pPr>
            <w:r>
              <w:rPr>
                <w:szCs w:val="22"/>
              </w:rPr>
              <w:t>BENZOYLINDOLES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18.</w:t>
            </w:r>
          </w:p>
        </w:tc>
        <w:tc>
          <w:tcPr>
            <w:tcW w:w="4678" w:type="dxa"/>
          </w:tcPr>
          <w:p>
            <w:pPr>
              <w:pStyle w:val="yTableNAm"/>
            </w:pPr>
            <w:r>
              <w:t>BETACETYLMETHADOL</w:t>
            </w:r>
          </w:p>
        </w:tc>
        <w:tc>
          <w:tcPr>
            <w:tcW w:w="1418" w:type="dxa"/>
          </w:tcPr>
          <w:p>
            <w:pPr>
              <w:pStyle w:val="yTableNAm"/>
              <w:tabs>
                <w:tab w:val="clear" w:pos="567"/>
                <w:tab w:val="decimal" w:pos="463"/>
              </w:tabs>
            </w:pPr>
            <w:r>
              <w:t>5.0</w:t>
            </w:r>
          </w:p>
        </w:tc>
      </w:tr>
      <w:tr>
        <w:trPr>
          <w:cantSplit/>
        </w:trPr>
        <w:tc>
          <w:tcPr>
            <w:tcW w:w="1276" w:type="dxa"/>
          </w:tcPr>
          <w:p>
            <w:pPr>
              <w:pStyle w:val="yTableNAm"/>
            </w:pPr>
            <w:r>
              <w:t>19.</w:t>
            </w:r>
          </w:p>
        </w:tc>
        <w:tc>
          <w:tcPr>
            <w:tcW w:w="4678" w:type="dxa"/>
          </w:tcPr>
          <w:p>
            <w:pPr>
              <w:pStyle w:val="yTableNAm"/>
            </w:pPr>
            <w:r>
              <w:t>BETAMEPRODINE</w:t>
            </w:r>
          </w:p>
        </w:tc>
        <w:tc>
          <w:tcPr>
            <w:tcW w:w="1418" w:type="dxa"/>
          </w:tcPr>
          <w:p>
            <w:pPr>
              <w:pStyle w:val="yTableNAm"/>
              <w:tabs>
                <w:tab w:val="clear" w:pos="567"/>
                <w:tab w:val="decimal" w:pos="463"/>
              </w:tabs>
            </w:pPr>
            <w:r>
              <w:t>5.0</w:t>
            </w:r>
          </w:p>
        </w:tc>
      </w:tr>
      <w:tr>
        <w:trPr>
          <w:cantSplit/>
        </w:trPr>
        <w:tc>
          <w:tcPr>
            <w:tcW w:w="1276" w:type="dxa"/>
          </w:tcPr>
          <w:p>
            <w:pPr>
              <w:pStyle w:val="yTableNAm"/>
            </w:pPr>
            <w:r>
              <w:t>20.</w:t>
            </w:r>
          </w:p>
        </w:tc>
        <w:tc>
          <w:tcPr>
            <w:tcW w:w="4678" w:type="dxa"/>
          </w:tcPr>
          <w:p>
            <w:pPr>
              <w:pStyle w:val="yTableNAm"/>
            </w:pPr>
            <w:r>
              <w:t>BETAMETHADOL</w:t>
            </w:r>
          </w:p>
        </w:tc>
        <w:tc>
          <w:tcPr>
            <w:tcW w:w="1418" w:type="dxa"/>
          </w:tcPr>
          <w:p>
            <w:pPr>
              <w:pStyle w:val="yTableNAm"/>
              <w:tabs>
                <w:tab w:val="clear" w:pos="567"/>
                <w:tab w:val="decimal" w:pos="463"/>
              </w:tabs>
            </w:pPr>
            <w:r>
              <w:t>5.0</w:t>
            </w:r>
          </w:p>
        </w:tc>
      </w:tr>
      <w:tr>
        <w:trPr>
          <w:cantSplit/>
        </w:trPr>
        <w:tc>
          <w:tcPr>
            <w:tcW w:w="1276" w:type="dxa"/>
          </w:tcPr>
          <w:p>
            <w:pPr>
              <w:pStyle w:val="yTableNAm"/>
            </w:pPr>
            <w:r>
              <w:t>21.</w:t>
            </w:r>
          </w:p>
        </w:tc>
        <w:tc>
          <w:tcPr>
            <w:tcW w:w="4678" w:type="dxa"/>
          </w:tcPr>
          <w:p>
            <w:pPr>
              <w:pStyle w:val="yTableNAm"/>
            </w:pPr>
            <w:r>
              <w:t>BETAPRODINE</w:t>
            </w:r>
          </w:p>
        </w:tc>
        <w:tc>
          <w:tcPr>
            <w:tcW w:w="1418" w:type="dxa"/>
          </w:tcPr>
          <w:p>
            <w:pPr>
              <w:pStyle w:val="yTableNAm"/>
              <w:tabs>
                <w:tab w:val="clear" w:pos="567"/>
                <w:tab w:val="decimal" w:pos="463"/>
              </w:tabs>
            </w:pPr>
            <w:r>
              <w:t>5.0</w:t>
            </w:r>
          </w:p>
        </w:tc>
      </w:tr>
      <w:tr>
        <w:trPr>
          <w:cantSplit/>
        </w:trPr>
        <w:tc>
          <w:tcPr>
            <w:tcW w:w="1276" w:type="dxa"/>
          </w:tcPr>
          <w:p>
            <w:pPr>
              <w:pStyle w:val="yTableNAm"/>
            </w:pPr>
            <w:r>
              <w:t>22.</w:t>
            </w:r>
          </w:p>
        </w:tc>
        <w:tc>
          <w:tcPr>
            <w:tcW w:w="4678" w:type="dxa"/>
          </w:tcPr>
          <w:p>
            <w:pPr>
              <w:pStyle w:val="yTableNAm"/>
            </w:pPr>
            <w:r>
              <w:t>BEZITRAMIDE</w:t>
            </w:r>
          </w:p>
        </w:tc>
        <w:tc>
          <w:tcPr>
            <w:tcW w:w="1418" w:type="dxa"/>
          </w:tcPr>
          <w:p>
            <w:pPr>
              <w:pStyle w:val="yTableNAm"/>
              <w:tabs>
                <w:tab w:val="clear" w:pos="567"/>
                <w:tab w:val="decimal" w:pos="463"/>
              </w:tabs>
            </w:pPr>
            <w:r>
              <w:t>5.0</w:t>
            </w:r>
          </w:p>
        </w:tc>
      </w:tr>
      <w:tr>
        <w:trPr>
          <w:cantSplit/>
        </w:trPr>
        <w:tc>
          <w:tcPr>
            <w:tcW w:w="1276" w:type="dxa"/>
          </w:tcPr>
          <w:p>
            <w:pPr>
              <w:pStyle w:val="yTableNAm"/>
            </w:pPr>
            <w:r>
              <w:t>23.</w:t>
            </w:r>
          </w:p>
        </w:tc>
        <w:tc>
          <w:tcPr>
            <w:tcW w:w="4678" w:type="dxa"/>
          </w:tcPr>
          <w:p>
            <w:pPr>
              <w:pStyle w:val="yTableNAm"/>
            </w:pPr>
            <w:r>
              <w:t>BUFOTENINE</w:t>
            </w:r>
          </w:p>
        </w:tc>
        <w:tc>
          <w:tcPr>
            <w:tcW w:w="1418" w:type="dxa"/>
          </w:tcPr>
          <w:p>
            <w:pPr>
              <w:pStyle w:val="yTableNAm"/>
              <w:tabs>
                <w:tab w:val="clear" w:pos="567"/>
                <w:tab w:val="decimal" w:pos="463"/>
              </w:tabs>
            </w:pPr>
            <w:r>
              <w:t>2.0</w:t>
            </w:r>
          </w:p>
        </w:tc>
      </w:tr>
      <w:tr>
        <w:trPr>
          <w:cantSplit/>
        </w:trPr>
        <w:tc>
          <w:tcPr>
            <w:tcW w:w="1276" w:type="dxa"/>
          </w:tcPr>
          <w:p>
            <w:pPr>
              <w:pStyle w:val="yTableNAm"/>
            </w:pPr>
            <w:r>
              <w:t>24.</w:t>
            </w:r>
          </w:p>
        </w:tc>
        <w:tc>
          <w:tcPr>
            <w:tcW w:w="4678" w:type="dxa"/>
          </w:tcPr>
          <w:p>
            <w:pPr>
              <w:pStyle w:val="yTableNAm"/>
            </w:pPr>
            <w:r>
              <w:t>BUTOBARBITONE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rPr>
                <w:szCs w:val="22"/>
              </w:rPr>
              <w:t>25A.</w:t>
            </w:r>
          </w:p>
        </w:tc>
        <w:tc>
          <w:tcPr>
            <w:tcW w:w="4678" w:type="dxa"/>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073)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25B.</w:t>
            </w:r>
          </w:p>
        </w:tc>
        <w:tc>
          <w:tcPr>
            <w:tcW w:w="4678" w:type="dxa"/>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 xml:space="preserve">073) </w:t>
            </w:r>
            <w:r>
              <w:rPr>
                <w:szCs w:val="22"/>
              </w:rPr>
              <w:t>(in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rPr>
                <w:szCs w:val="22"/>
              </w:rPr>
            </w:pPr>
            <w:r>
              <w:t>25C.</w:t>
            </w:r>
          </w:p>
        </w:tc>
        <w:tc>
          <w:tcPr>
            <w:tcW w:w="4678" w:type="dxa"/>
          </w:tcPr>
          <w:p>
            <w:pPr>
              <w:pStyle w:val="yTableNAm"/>
              <w:rPr>
                <w:rFonts w:cs="Arial"/>
                <w:szCs w:val="22"/>
              </w:rPr>
            </w:pPr>
            <w:r>
              <w:rPr>
                <w:rFonts w:cs="Arial"/>
                <w:szCs w:val="24"/>
              </w:rPr>
              <w:t>1</w:t>
            </w:r>
            <w:r>
              <w:rPr>
                <w:rFonts w:cs="Arial"/>
                <w:szCs w:val="24"/>
              </w:rPr>
              <w:noBreakHyphen/>
              <w:t>BUTYL</w:t>
            </w:r>
            <w:r>
              <w:rPr>
                <w:rFonts w:cs="Arial"/>
                <w:szCs w:val="24"/>
              </w:rPr>
              <w:noBreakHyphen/>
              <w:t>N</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1H</w:t>
            </w:r>
            <w:r>
              <w:rPr>
                <w:rFonts w:cs="Arial"/>
                <w:szCs w:val="24"/>
              </w:rPr>
              <w:noBreakHyphen/>
              <w:t>INDOLE</w:t>
            </w:r>
            <w:r>
              <w:rPr>
                <w:rFonts w:cs="Arial"/>
                <w:szCs w:val="24"/>
              </w:rPr>
              <w:noBreakHyphen/>
              <w:t>3</w:t>
            </w:r>
            <w:r>
              <w:rPr>
                <w:rFonts w:cs="Arial"/>
                <w:szCs w:val="24"/>
              </w:rPr>
              <w:noBreakHyphen/>
              <w:t>CARBOXAMIDE (CUMYL</w:t>
            </w:r>
            <w:r>
              <w:rPr>
                <w:rFonts w:cs="Arial"/>
                <w:szCs w:val="24"/>
              </w:rPr>
              <w:noBreakHyphen/>
              <w:t>BICA) (</w:t>
            </w:r>
            <w:r>
              <w:rPr>
                <w:rFonts w:cs="Arial"/>
                <w:bCs/>
                <w:szCs w:val="24"/>
              </w:rPr>
              <w:t>plant material</w:t>
            </w:r>
            <w:r>
              <w:rPr>
                <w:rFonts w:cs="Arial"/>
                <w:szCs w:val="24"/>
              </w:rPr>
              <w:t>)</w:t>
            </w:r>
          </w:p>
        </w:tc>
        <w:tc>
          <w:tcPr>
            <w:tcW w:w="1418" w:type="dxa"/>
            <w:vAlign w:val="bottom"/>
          </w:tcPr>
          <w:p>
            <w:pPr>
              <w:pStyle w:val="yTableNAm"/>
              <w:tabs>
                <w:tab w:val="clear" w:pos="567"/>
                <w:tab w:val="decimal" w:pos="463"/>
              </w:tabs>
              <w:rPr>
                <w:szCs w:val="22"/>
              </w:rPr>
            </w:pPr>
            <w:r>
              <w:t>30.0</w:t>
            </w:r>
          </w:p>
        </w:tc>
      </w:tr>
      <w:tr>
        <w:trPr>
          <w:cantSplit/>
        </w:trPr>
        <w:tc>
          <w:tcPr>
            <w:tcW w:w="1276" w:type="dxa"/>
          </w:tcPr>
          <w:p>
            <w:pPr>
              <w:pStyle w:val="yTableNAm"/>
              <w:rPr>
                <w:szCs w:val="22"/>
              </w:rPr>
            </w:pPr>
            <w:r>
              <w:t>25D.</w:t>
            </w:r>
          </w:p>
        </w:tc>
        <w:tc>
          <w:tcPr>
            <w:tcW w:w="4678" w:type="dxa"/>
          </w:tcPr>
          <w:p>
            <w:pPr>
              <w:pStyle w:val="yTableNAm"/>
              <w:rPr>
                <w:rFonts w:cs="Arial"/>
                <w:szCs w:val="22"/>
              </w:rPr>
            </w:pPr>
            <w:r>
              <w:rPr>
                <w:rFonts w:cs="Arial"/>
                <w:szCs w:val="24"/>
              </w:rPr>
              <w:t>1</w:t>
            </w:r>
            <w:r>
              <w:rPr>
                <w:rFonts w:cs="Arial"/>
                <w:szCs w:val="24"/>
              </w:rPr>
              <w:noBreakHyphen/>
              <w:t>BUTYL</w:t>
            </w:r>
            <w:r>
              <w:rPr>
                <w:rFonts w:cs="Arial"/>
                <w:szCs w:val="24"/>
              </w:rPr>
              <w:noBreakHyphen/>
              <w:t>N</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1H</w:t>
            </w:r>
            <w:r>
              <w:rPr>
                <w:rFonts w:cs="Arial"/>
                <w:szCs w:val="24"/>
              </w:rPr>
              <w:noBreakHyphen/>
              <w:t>INDOLE</w:t>
            </w:r>
            <w:r>
              <w:rPr>
                <w:rFonts w:cs="Arial"/>
                <w:szCs w:val="24"/>
              </w:rPr>
              <w:noBreakHyphen/>
              <w:t>3</w:t>
            </w:r>
            <w:r>
              <w:rPr>
                <w:rFonts w:cs="Arial"/>
                <w:szCs w:val="24"/>
              </w:rPr>
              <w:noBreakHyphen/>
              <w:t>CARBOXAMIDE (CUMYL</w:t>
            </w:r>
            <w:r>
              <w:rPr>
                <w:rFonts w:cs="Arial"/>
                <w:szCs w:val="24"/>
              </w:rPr>
              <w:noBreakHyphen/>
              <w:t>BICA) (</w:t>
            </w:r>
            <w:r>
              <w:rPr>
                <w:rFonts w:cs="Arial"/>
                <w:bCs/>
                <w:szCs w:val="24"/>
              </w:rPr>
              <w:t>in any form except plant material</w:t>
            </w:r>
            <w:r>
              <w:rPr>
                <w:rFonts w:cs="Arial"/>
                <w:szCs w:val="24"/>
              </w:rPr>
              <w:t>)</w:t>
            </w:r>
          </w:p>
        </w:tc>
        <w:tc>
          <w:tcPr>
            <w:tcW w:w="1418" w:type="dxa"/>
            <w:vAlign w:val="bottom"/>
          </w:tcPr>
          <w:p>
            <w:pPr>
              <w:pStyle w:val="yTableNAm"/>
              <w:tabs>
                <w:tab w:val="clear" w:pos="567"/>
                <w:tab w:val="decimal" w:pos="463"/>
              </w:tabs>
              <w:rPr>
                <w:szCs w:val="22"/>
              </w:rPr>
            </w:pPr>
            <w:r>
              <w:t>2.0</w:t>
            </w:r>
          </w:p>
        </w:tc>
      </w:tr>
      <w:tr>
        <w:trPr>
          <w:cantSplit/>
        </w:trPr>
        <w:tc>
          <w:tcPr>
            <w:tcW w:w="1276" w:type="dxa"/>
          </w:tcPr>
          <w:p>
            <w:pPr>
              <w:pStyle w:val="yTableNAm"/>
            </w:pPr>
            <w:r>
              <w:t>25.</w:t>
            </w:r>
          </w:p>
        </w:tc>
        <w:tc>
          <w:tcPr>
            <w:tcW w:w="4678" w:type="dxa"/>
          </w:tcPr>
          <w:p>
            <w:pPr>
              <w:pStyle w:val="yTableNAm"/>
            </w:pPr>
            <w:r>
              <w:t>CANNABIS</w:t>
            </w:r>
          </w:p>
        </w:tc>
        <w:tc>
          <w:tcPr>
            <w:tcW w:w="1418" w:type="dxa"/>
          </w:tcPr>
          <w:p>
            <w:pPr>
              <w:pStyle w:val="yTableNAm"/>
              <w:tabs>
                <w:tab w:val="clear" w:pos="567"/>
                <w:tab w:val="decimal" w:pos="463"/>
              </w:tabs>
            </w:pPr>
            <w:r>
              <w:t>100.0</w:t>
            </w:r>
          </w:p>
        </w:tc>
      </w:tr>
      <w:tr>
        <w:trPr>
          <w:cantSplit/>
        </w:trPr>
        <w:tc>
          <w:tcPr>
            <w:tcW w:w="1276" w:type="dxa"/>
          </w:tcPr>
          <w:p>
            <w:pPr>
              <w:pStyle w:val="yTableNAm"/>
            </w:pPr>
            <w:r>
              <w:t>26.</w:t>
            </w:r>
          </w:p>
        </w:tc>
        <w:tc>
          <w:tcPr>
            <w:tcW w:w="4678" w:type="dxa"/>
          </w:tcPr>
          <w:p>
            <w:pPr>
              <w:pStyle w:val="yTableNAm"/>
            </w:pPr>
            <w:r>
              <w:t>CANNABIS RESIN</w:t>
            </w:r>
          </w:p>
        </w:tc>
        <w:tc>
          <w:tcPr>
            <w:tcW w:w="1418" w:type="dxa"/>
          </w:tcPr>
          <w:p>
            <w:pPr>
              <w:pStyle w:val="yTableNAm"/>
              <w:tabs>
                <w:tab w:val="clear" w:pos="567"/>
                <w:tab w:val="decimal" w:pos="463"/>
              </w:tabs>
            </w:pPr>
            <w:r>
              <w:t>20.0</w:t>
            </w:r>
          </w:p>
        </w:tc>
      </w:tr>
      <w:tr>
        <w:trPr>
          <w:cantSplit/>
        </w:trPr>
        <w:tc>
          <w:tcPr>
            <w:tcW w:w="1276" w:type="dxa"/>
          </w:tcPr>
          <w:p>
            <w:pPr>
              <w:pStyle w:val="yTableNAm"/>
            </w:pPr>
            <w:r>
              <w:lastRenderedPageBreak/>
              <w:t>27.</w:t>
            </w:r>
          </w:p>
        </w:tc>
        <w:tc>
          <w:tcPr>
            <w:tcW w:w="4678" w:type="dxa"/>
          </w:tcPr>
          <w:p>
            <w:pPr>
              <w:pStyle w:val="yTableNAm"/>
            </w:pPr>
            <w:r>
              <w:t>CANNABIS (in cigarette form)</w:t>
            </w:r>
          </w:p>
        </w:tc>
        <w:tc>
          <w:tcPr>
            <w:tcW w:w="1418" w:type="dxa"/>
          </w:tcPr>
          <w:p>
            <w:pPr>
              <w:pStyle w:val="yTableNAm"/>
              <w:tabs>
                <w:tab w:val="clear" w:pos="567"/>
              </w:tabs>
              <w:ind w:right="-76"/>
            </w:pPr>
            <w:r>
              <w:t>80 cigarettes</w:t>
            </w:r>
            <w:r>
              <w:br/>
              <w:t>each containing</w:t>
            </w:r>
            <w:r>
              <w:br/>
              <w:t>any portion of cannabis</w:t>
            </w:r>
          </w:p>
        </w:tc>
      </w:tr>
      <w:tr>
        <w:trPr>
          <w:cantSplit/>
        </w:trPr>
        <w:tc>
          <w:tcPr>
            <w:tcW w:w="1276" w:type="dxa"/>
          </w:tcPr>
          <w:p>
            <w:pPr>
              <w:pStyle w:val="yTableNAm"/>
            </w:pPr>
            <w:r>
              <w:rPr>
                <w:szCs w:val="22"/>
              </w:rPr>
              <w:t>27A.</w:t>
            </w:r>
          </w:p>
        </w:tc>
        <w:tc>
          <w:tcPr>
            <w:tcW w:w="4678" w:type="dxa"/>
          </w:tcPr>
          <w:p>
            <w:pPr>
              <w:pStyle w:val="yTableNAm"/>
            </w:pPr>
            <w:r>
              <w:rPr>
                <w:rFonts w:eastAsia="Calibri" w:cs="Arial"/>
                <w:color w:val="000000"/>
                <w:szCs w:val="22"/>
              </w:rPr>
              <w:t>(E)</w:t>
            </w:r>
            <w:r>
              <w:rPr>
                <w:rFonts w:eastAsia="Calibri" w:cs="Arial"/>
                <w:color w:val="000000"/>
                <w:szCs w:val="22"/>
              </w:rPr>
              <w:noBreakHyphen/>
              <w:t>4</w:t>
            </w:r>
            <w:r>
              <w:rPr>
                <w:rFonts w:eastAsia="Calibri" w:cs="Arial"/>
                <w:color w:val="000000"/>
                <w:szCs w:val="22"/>
              </w:rPr>
              <w:noBreakHyphen/>
              <w:t>CHLORO</w:t>
            </w:r>
            <w:r>
              <w:rPr>
                <w:rFonts w:eastAsia="Calibri" w:cs="Arial"/>
                <w:color w:val="000000"/>
                <w:szCs w:val="22"/>
              </w:rPr>
              <w:noBreakHyphen/>
              <w:t>N</w:t>
            </w:r>
            <w:r>
              <w:rPr>
                <w:rFonts w:eastAsia="Calibri" w:cs="Arial"/>
                <w:color w:val="000000"/>
                <w:szCs w:val="22"/>
              </w:rPr>
              <w:noBreakHyphen/>
              <w:t>(1</w:t>
            </w:r>
            <w:r>
              <w:rPr>
                <w:rFonts w:eastAsia="Calibri" w:cs="Arial"/>
                <w:color w:val="000000"/>
                <w:szCs w:val="22"/>
              </w:rPr>
              <w:noBreakHyphen/>
              <w:t>(4</w:t>
            </w:r>
            <w:r>
              <w:rPr>
                <w:rFonts w:eastAsia="Calibri" w:cs="Arial"/>
                <w:color w:val="000000"/>
                <w:szCs w:val="22"/>
              </w:rPr>
              <w:noBreakHyphen/>
              <w:t>NITROPHENETHYL) PIPERIDIN</w:t>
            </w:r>
            <w:r>
              <w:rPr>
                <w:rFonts w:eastAsia="Calibri" w:cs="Arial"/>
                <w:color w:val="000000"/>
                <w:szCs w:val="22"/>
              </w:rPr>
              <w:noBreakHyphen/>
              <w:t>2</w:t>
            </w:r>
            <w:r>
              <w:rPr>
                <w:rFonts w:eastAsia="Calibri" w:cs="Arial"/>
                <w:color w:val="000000"/>
                <w:szCs w:val="22"/>
              </w:rPr>
              <w:noBreakHyphen/>
              <w:t>YLIDENE)</w:t>
            </w:r>
            <w:r>
              <w:rPr>
                <w:rFonts w:eastAsia="Calibri" w:cs="Arial"/>
                <w:color w:val="000000"/>
                <w:szCs w:val="22"/>
              </w:rPr>
              <w:br/>
              <w:t>BENZENESULFONAMIDE (W</w:t>
            </w:r>
            <w:r>
              <w:rPr>
                <w:rFonts w:eastAsia="Calibri" w:cs="Arial"/>
                <w:color w:val="000000"/>
                <w:szCs w:val="22"/>
              </w:rPr>
              <w:noBreakHyphen/>
              <w:t>18)</w:t>
            </w:r>
          </w:p>
        </w:tc>
        <w:tc>
          <w:tcPr>
            <w:tcW w:w="1418" w:type="dxa"/>
          </w:tcPr>
          <w:p>
            <w:pPr>
              <w:pStyle w:val="yTableNAm"/>
              <w:tabs>
                <w:tab w:val="clear" w:pos="567"/>
                <w:tab w:val="decimal" w:pos="463"/>
              </w:tabs>
              <w:rPr>
                <w:szCs w:val="22"/>
              </w:rPr>
            </w:pPr>
            <w:r>
              <w:rPr>
                <w:szCs w:val="22"/>
              </w:rPr>
              <w:br/>
            </w:r>
            <w:r>
              <w:rPr>
                <w:szCs w:val="22"/>
              </w:rPr>
              <w:br/>
              <w:t>0.005</w:t>
            </w:r>
          </w:p>
        </w:tc>
      </w:tr>
      <w:tr>
        <w:trPr>
          <w:cantSplit/>
        </w:trPr>
        <w:tc>
          <w:tcPr>
            <w:tcW w:w="1276" w:type="dxa"/>
          </w:tcPr>
          <w:p>
            <w:pPr>
              <w:pStyle w:val="yTableNAm"/>
            </w:pPr>
            <w:r>
              <w:t>28.</w:t>
            </w:r>
          </w:p>
        </w:tc>
        <w:tc>
          <w:tcPr>
            <w:tcW w:w="4678" w:type="dxa"/>
          </w:tcPr>
          <w:p>
            <w:pPr>
              <w:pStyle w:val="yTableNAm"/>
            </w:pPr>
            <w:r>
              <w:t>CLONITAZENE</w:t>
            </w:r>
          </w:p>
        </w:tc>
        <w:tc>
          <w:tcPr>
            <w:tcW w:w="1418" w:type="dxa"/>
          </w:tcPr>
          <w:p>
            <w:pPr>
              <w:pStyle w:val="yTableNAm"/>
              <w:tabs>
                <w:tab w:val="clear" w:pos="567"/>
                <w:tab w:val="decimal" w:pos="463"/>
              </w:tabs>
            </w:pPr>
            <w:r>
              <w:t>5.0</w:t>
            </w:r>
          </w:p>
        </w:tc>
      </w:tr>
      <w:tr>
        <w:trPr>
          <w:cantSplit/>
        </w:trPr>
        <w:tc>
          <w:tcPr>
            <w:tcW w:w="1276" w:type="dxa"/>
          </w:tcPr>
          <w:p>
            <w:pPr>
              <w:pStyle w:val="yTableNAm"/>
            </w:pPr>
            <w:r>
              <w:t>29.</w:t>
            </w:r>
          </w:p>
        </w:tc>
        <w:tc>
          <w:tcPr>
            <w:tcW w:w="4678" w:type="dxa"/>
          </w:tcPr>
          <w:p>
            <w:pPr>
              <w:pStyle w:val="yTableNAm"/>
            </w:pPr>
            <w:r>
              <w:t>COCAINE</w:t>
            </w:r>
          </w:p>
        </w:tc>
        <w:tc>
          <w:tcPr>
            <w:tcW w:w="1418" w:type="dxa"/>
          </w:tcPr>
          <w:p>
            <w:pPr>
              <w:pStyle w:val="yTableNAm"/>
              <w:tabs>
                <w:tab w:val="clear" w:pos="567"/>
                <w:tab w:val="decimal" w:pos="463"/>
              </w:tabs>
            </w:pPr>
            <w:r>
              <w:t>2.0</w:t>
            </w:r>
          </w:p>
        </w:tc>
      </w:tr>
      <w:tr>
        <w:trPr>
          <w:cantSplit/>
        </w:trPr>
        <w:tc>
          <w:tcPr>
            <w:tcW w:w="1276" w:type="dxa"/>
          </w:tcPr>
          <w:p>
            <w:pPr>
              <w:pStyle w:val="yTableNAm"/>
            </w:pPr>
            <w:r>
              <w:t>30.</w:t>
            </w:r>
          </w:p>
        </w:tc>
        <w:tc>
          <w:tcPr>
            <w:tcW w:w="4678" w:type="dxa"/>
          </w:tcPr>
          <w:p>
            <w:pPr>
              <w:pStyle w:val="yTableNAm"/>
            </w:pPr>
            <w:r>
              <w:t xml:space="preserve">CODEINE (except when a Schedule 2 or 4 poison as defined in the </w:t>
            </w:r>
            <w:r>
              <w:rPr>
                <w:i/>
              </w:rPr>
              <w:t>Medicines and Poisons Act 2014</w:t>
            </w:r>
            <w:r>
              <w:t>)</w:t>
            </w:r>
          </w:p>
        </w:tc>
        <w:tc>
          <w:tcPr>
            <w:tcW w:w="1418" w:type="dxa"/>
          </w:tcPr>
          <w:p>
            <w:pPr>
              <w:pStyle w:val="yTableNAm"/>
              <w:tabs>
                <w:tab w:val="clear" w:pos="567"/>
                <w:tab w:val="decimal" w:pos="463"/>
              </w:tabs>
            </w:pPr>
            <w:r>
              <w:br/>
              <w:t>10.0</w:t>
            </w:r>
          </w:p>
        </w:tc>
      </w:tr>
      <w:tr>
        <w:trPr>
          <w:cantSplit/>
        </w:trPr>
        <w:tc>
          <w:tcPr>
            <w:tcW w:w="1276" w:type="dxa"/>
          </w:tcPr>
          <w:p>
            <w:pPr>
              <w:pStyle w:val="yTableNAm"/>
            </w:pPr>
            <w:r>
              <w:t>31.</w:t>
            </w:r>
          </w:p>
        </w:tc>
        <w:tc>
          <w:tcPr>
            <w:tcW w:w="4678" w:type="dxa"/>
          </w:tcPr>
          <w:p>
            <w:pPr>
              <w:pStyle w:val="yTableNAm"/>
            </w:pPr>
            <w:r>
              <w:t>CODEINE</w:t>
            </w:r>
            <w:r>
              <w:noBreakHyphen/>
              <w:t>N</w:t>
            </w:r>
            <w:r>
              <w:noBreakHyphen/>
              <w:t>OXIDE</w:t>
            </w:r>
          </w:p>
        </w:tc>
        <w:tc>
          <w:tcPr>
            <w:tcW w:w="1418" w:type="dxa"/>
          </w:tcPr>
          <w:p>
            <w:pPr>
              <w:pStyle w:val="yTableNAm"/>
              <w:tabs>
                <w:tab w:val="clear" w:pos="567"/>
                <w:tab w:val="decimal" w:pos="463"/>
              </w:tabs>
            </w:pPr>
            <w:r>
              <w:t>10.0</w:t>
            </w:r>
          </w:p>
        </w:tc>
      </w:tr>
      <w:tr>
        <w:trPr>
          <w:cantSplit/>
        </w:trPr>
        <w:tc>
          <w:tcPr>
            <w:tcW w:w="1276" w:type="dxa"/>
          </w:tcPr>
          <w:p>
            <w:pPr>
              <w:pStyle w:val="yTableNAm"/>
            </w:pPr>
            <w:r>
              <w:t>32.</w:t>
            </w:r>
          </w:p>
        </w:tc>
        <w:tc>
          <w:tcPr>
            <w:tcW w:w="4678" w:type="dxa"/>
          </w:tcPr>
          <w:p>
            <w:pPr>
              <w:pStyle w:val="yTableNAm"/>
            </w:pPr>
            <w:r>
              <w:t>CODOXINE</w:t>
            </w:r>
          </w:p>
        </w:tc>
        <w:tc>
          <w:tcPr>
            <w:tcW w:w="1418" w:type="dxa"/>
          </w:tcPr>
          <w:p>
            <w:pPr>
              <w:pStyle w:val="yTableNAm"/>
              <w:tabs>
                <w:tab w:val="clear" w:pos="567"/>
                <w:tab w:val="decimal" w:pos="463"/>
              </w:tabs>
            </w:pPr>
            <w:r>
              <w:t>10.0</w:t>
            </w:r>
          </w:p>
        </w:tc>
      </w:tr>
      <w:tr>
        <w:trPr>
          <w:cantSplit/>
        </w:trPr>
        <w:tc>
          <w:tcPr>
            <w:tcW w:w="1276" w:type="dxa"/>
          </w:tcPr>
          <w:p>
            <w:pPr>
              <w:pStyle w:val="yTableNAm"/>
            </w:pPr>
            <w:r>
              <w:t>32A.</w:t>
            </w:r>
          </w:p>
        </w:tc>
        <w:tc>
          <w:tcPr>
            <w:tcW w:w="4678" w:type="dxa"/>
          </w:tcPr>
          <w:p>
            <w:pPr>
              <w:pStyle w:val="yTableNAm"/>
            </w:pPr>
            <w:r>
              <w:rPr>
                <w:rFonts w:cs="Arial"/>
                <w:szCs w:val="24"/>
              </w:rPr>
              <w:t>1</w:t>
            </w:r>
            <w:r>
              <w:rPr>
                <w:rFonts w:cs="Arial"/>
                <w:szCs w:val="24"/>
              </w:rPr>
              <w:noBreakHyphen/>
              <w:t>(4</w:t>
            </w:r>
            <w:r>
              <w:rPr>
                <w:rFonts w:cs="Arial"/>
                <w:szCs w:val="24"/>
              </w:rPr>
              <w:noBreakHyphen/>
              <w:t>CYANOBUTYL)</w:t>
            </w:r>
            <w:r>
              <w:rPr>
                <w:rFonts w:cs="Arial"/>
                <w:szCs w:val="24"/>
              </w:rPr>
              <w:noBreakHyphen/>
              <w:t>N</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1H</w:t>
            </w:r>
            <w:r>
              <w:rPr>
                <w:rFonts w:cs="Arial"/>
                <w:szCs w:val="24"/>
              </w:rPr>
              <w:noBreakHyphen/>
              <w:t>INDAZOLE</w:t>
            </w:r>
            <w:r>
              <w:rPr>
                <w:rFonts w:cs="Arial"/>
                <w:szCs w:val="24"/>
              </w:rPr>
              <w:noBreakHyphen/>
              <w:t>3</w:t>
            </w:r>
            <w:r>
              <w:rPr>
                <w:rFonts w:cs="Arial"/>
                <w:szCs w:val="24"/>
              </w:rPr>
              <w:noBreakHyphen/>
              <w:t>CARBOXAMIDE (SGT</w:t>
            </w:r>
            <w:r>
              <w:rPr>
                <w:rFonts w:cs="Arial"/>
                <w:szCs w:val="24"/>
              </w:rPr>
              <w:noBreakHyphen/>
              <w:t>78; 4</w:t>
            </w:r>
            <w:r>
              <w:rPr>
                <w:rFonts w:cs="Arial"/>
                <w:szCs w:val="24"/>
              </w:rPr>
              <w:noBreakHyphen/>
              <w:t>CN</w:t>
            </w:r>
            <w:r>
              <w:rPr>
                <w:rFonts w:cs="Arial"/>
                <w:szCs w:val="24"/>
              </w:rPr>
              <w:noBreakHyphen/>
              <w:t>CUMYL</w:t>
            </w:r>
            <w:r>
              <w:rPr>
                <w:rFonts w:cs="Arial"/>
                <w:szCs w:val="24"/>
              </w:rPr>
              <w:noBreakHyphen/>
              <w:t>BINACA; CUMYL</w:t>
            </w:r>
            <w:r>
              <w:rPr>
                <w:rFonts w:cs="Arial"/>
                <w:szCs w:val="24"/>
              </w:rPr>
              <w:noBreakHyphen/>
              <w:t>CB</w:t>
            </w:r>
            <w:r>
              <w:rPr>
                <w:rFonts w:cs="Arial"/>
                <w:szCs w:val="24"/>
              </w:rPr>
              <w:noBreakHyphen/>
              <w:t>PINACA; CUMYL</w:t>
            </w:r>
            <w:r>
              <w:rPr>
                <w:rFonts w:cs="Arial"/>
                <w:szCs w:val="24"/>
              </w:rPr>
              <w:noBreakHyphen/>
              <w:t>CYBINACA; 4</w:t>
            </w:r>
            <w:r>
              <w:rPr>
                <w:rFonts w:cs="Arial"/>
                <w:szCs w:val="24"/>
              </w:rPr>
              <w:noBreakHyphen/>
              <w:t>CYANO CUMYL</w:t>
            </w:r>
            <w:r>
              <w:rPr>
                <w:rFonts w:cs="Arial"/>
                <w:szCs w:val="24"/>
              </w:rPr>
              <w:noBreakHyphen/>
              <w:t>BUTINACA) (</w:t>
            </w:r>
            <w:r>
              <w:rPr>
                <w:rFonts w:cs="Arial"/>
                <w:bCs/>
                <w:szCs w:val="24"/>
              </w:rPr>
              <w:t>plant material</w:t>
            </w:r>
            <w:r>
              <w:rPr>
                <w:rFonts w:cs="Arial"/>
                <w:szCs w:val="24"/>
              </w:rPr>
              <w:t>)</w:t>
            </w:r>
          </w:p>
        </w:tc>
        <w:tc>
          <w:tcPr>
            <w:tcW w:w="1418" w:type="dxa"/>
            <w:vAlign w:val="bottom"/>
          </w:tcPr>
          <w:p>
            <w:pPr>
              <w:pStyle w:val="yTableNAm"/>
              <w:tabs>
                <w:tab w:val="clear" w:pos="567"/>
                <w:tab w:val="decimal" w:pos="463"/>
              </w:tabs>
            </w:pPr>
            <w:r>
              <w:t>30.0</w:t>
            </w:r>
          </w:p>
        </w:tc>
      </w:tr>
      <w:tr>
        <w:trPr>
          <w:cantSplit/>
        </w:trPr>
        <w:tc>
          <w:tcPr>
            <w:tcW w:w="1276" w:type="dxa"/>
          </w:tcPr>
          <w:p>
            <w:pPr>
              <w:pStyle w:val="yTableNAm"/>
            </w:pPr>
            <w:r>
              <w:t>32B.</w:t>
            </w:r>
          </w:p>
        </w:tc>
        <w:tc>
          <w:tcPr>
            <w:tcW w:w="4678" w:type="dxa"/>
          </w:tcPr>
          <w:p>
            <w:pPr>
              <w:pStyle w:val="yTableNAm"/>
            </w:pPr>
            <w:r>
              <w:rPr>
                <w:rFonts w:cs="Arial"/>
                <w:szCs w:val="24"/>
              </w:rPr>
              <w:t>1</w:t>
            </w:r>
            <w:r>
              <w:rPr>
                <w:rFonts w:cs="Arial"/>
                <w:szCs w:val="24"/>
              </w:rPr>
              <w:noBreakHyphen/>
              <w:t>(4</w:t>
            </w:r>
            <w:r>
              <w:rPr>
                <w:rFonts w:cs="Arial"/>
                <w:szCs w:val="24"/>
              </w:rPr>
              <w:noBreakHyphen/>
              <w:t>CYANOBUTYL)</w:t>
            </w:r>
            <w:r>
              <w:rPr>
                <w:rFonts w:cs="Arial"/>
                <w:szCs w:val="24"/>
              </w:rPr>
              <w:noBreakHyphen/>
              <w:t>N</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1H</w:t>
            </w:r>
            <w:r>
              <w:rPr>
                <w:rFonts w:cs="Arial"/>
                <w:szCs w:val="24"/>
              </w:rPr>
              <w:noBreakHyphen/>
              <w:t>INDAZOLE</w:t>
            </w:r>
            <w:r>
              <w:rPr>
                <w:rFonts w:cs="Arial"/>
                <w:szCs w:val="24"/>
              </w:rPr>
              <w:noBreakHyphen/>
              <w:t>3</w:t>
            </w:r>
            <w:r>
              <w:rPr>
                <w:rFonts w:cs="Arial"/>
                <w:szCs w:val="24"/>
              </w:rPr>
              <w:noBreakHyphen/>
              <w:t>CARBOXAMIDE (SGT</w:t>
            </w:r>
            <w:r>
              <w:rPr>
                <w:rFonts w:cs="Arial"/>
                <w:szCs w:val="24"/>
              </w:rPr>
              <w:noBreakHyphen/>
              <w:t>78; 4</w:t>
            </w:r>
            <w:r>
              <w:rPr>
                <w:rFonts w:cs="Arial"/>
                <w:szCs w:val="24"/>
              </w:rPr>
              <w:noBreakHyphen/>
              <w:t>CN</w:t>
            </w:r>
            <w:r>
              <w:rPr>
                <w:rFonts w:cs="Arial"/>
                <w:szCs w:val="24"/>
              </w:rPr>
              <w:noBreakHyphen/>
              <w:t>CUMYL</w:t>
            </w:r>
            <w:r>
              <w:rPr>
                <w:rFonts w:cs="Arial"/>
                <w:szCs w:val="24"/>
              </w:rPr>
              <w:noBreakHyphen/>
              <w:t>BINACA; CUMYL</w:t>
            </w:r>
            <w:r>
              <w:rPr>
                <w:rFonts w:cs="Arial"/>
                <w:szCs w:val="24"/>
              </w:rPr>
              <w:noBreakHyphen/>
              <w:t>CB</w:t>
            </w:r>
            <w:r>
              <w:rPr>
                <w:rFonts w:cs="Arial"/>
                <w:szCs w:val="24"/>
              </w:rPr>
              <w:noBreakHyphen/>
              <w:t>PINACA; CUMYL</w:t>
            </w:r>
            <w:r>
              <w:rPr>
                <w:rFonts w:cs="Arial"/>
                <w:szCs w:val="24"/>
              </w:rPr>
              <w:noBreakHyphen/>
              <w:t>CYBINACA; 4</w:t>
            </w:r>
            <w:r>
              <w:rPr>
                <w:rFonts w:cs="Arial"/>
                <w:szCs w:val="24"/>
              </w:rPr>
              <w:noBreakHyphen/>
              <w:t>CYANO CUMYL</w:t>
            </w:r>
            <w:r>
              <w:rPr>
                <w:rFonts w:cs="Arial"/>
                <w:szCs w:val="24"/>
              </w:rPr>
              <w:noBreakHyphen/>
              <w:t>BUTINACA) (</w:t>
            </w:r>
            <w:r>
              <w:rPr>
                <w:rFonts w:cs="Arial"/>
                <w:bCs/>
                <w:szCs w:val="24"/>
              </w:rPr>
              <w:t>in any form except plant material</w:t>
            </w:r>
            <w:r>
              <w:rPr>
                <w:rFonts w:cs="Arial"/>
                <w:szCs w:val="24"/>
              </w:rPr>
              <w:t>)</w:t>
            </w:r>
          </w:p>
        </w:tc>
        <w:tc>
          <w:tcPr>
            <w:tcW w:w="1418" w:type="dxa"/>
            <w:vAlign w:val="bottom"/>
          </w:tcPr>
          <w:p>
            <w:pPr>
              <w:pStyle w:val="yTableNAm"/>
              <w:tabs>
                <w:tab w:val="clear" w:pos="567"/>
                <w:tab w:val="decimal" w:pos="463"/>
              </w:tabs>
            </w:pPr>
            <w:r>
              <w:t>2.0</w:t>
            </w:r>
          </w:p>
        </w:tc>
      </w:tr>
      <w:tr>
        <w:trPr>
          <w:cantSplit/>
        </w:trPr>
        <w:tc>
          <w:tcPr>
            <w:tcW w:w="1276" w:type="dxa"/>
          </w:tcPr>
          <w:p>
            <w:pPr>
              <w:pStyle w:val="yTableNAm"/>
            </w:pPr>
            <w:r>
              <w:t>33.</w:t>
            </w:r>
          </w:p>
        </w:tc>
        <w:tc>
          <w:tcPr>
            <w:tcW w:w="4678" w:type="dxa"/>
          </w:tcPr>
          <w:p>
            <w:pPr>
              <w:pStyle w:val="yTableNAm"/>
            </w:pPr>
            <w:r>
              <w:t>CYCLOBARBITONE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lastRenderedPageBreak/>
              <w:t>33A.</w:t>
            </w:r>
          </w:p>
        </w:tc>
        <w:tc>
          <w:tcPr>
            <w:tcW w:w="4678" w:type="dxa"/>
          </w:tcPr>
          <w:p>
            <w:pPr>
              <w:pStyle w:val="yTableNAm"/>
            </w:pPr>
            <w:r>
              <w:rPr>
                <w:rFonts w:cs="Arial"/>
                <w:szCs w:val="24"/>
              </w:rPr>
              <w:t>1</w:t>
            </w:r>
            <w:r>
              <w:rPr>
                <w:rFonts w:cs="Arial"/>
                <w:szCs w:val="24"/>
              </w:rPr>
              <w:noBreakHyphen/>
              <w:t>CYCLOHEXYL</w:t>
            </w:r>
            <w:r>
              <w:rPr>
                <w:rFonts w:cs="Arial"/>
                <w:szCs w:val="24"/>
              </w:rPr>
              <w:noBreakHyphen/>
              <w:t>4</w:t>
            </w:r>
            <w:r>
              <w:rPr>
                <w:rFonts w:cs="Arial"/>
                <w:szCs w:val="24"/>
              </w:rPr>
              <w:noBreakHyphen/>
              <w:t>(1,2</w:t>
            </w:r>
            <w:r>
              <w:rPr>
                <w:rFonts w:cs="Arial"/>
                <w:szCs w:val="24"/>
              </w:rPr>
              <w:noBreakHyphen/>
              <w:t>DIPHENYLETHYL)PIPERAZINE (MT</w:t>
            </w:r>
            <w:r>
              <w:rPr>
                <w:rFonts w:cs="Arial"/>
                <w:szCs w:val="24"/>
              </w:rPr>
              <w:noBreakHyphen/>
              <w:t>45; IC</w:t>
            </w:r>
            <w:r>
              <w:rPr>
                <w:rFonts w:cs="Arial"/>
                <w:szCs w:val="24"/>
              </w:rPr>
              <w:noBreakHyphen/>
              <w:t>6)</w:t>
            </w:r>
          </w:p>
        </w:tc>
        <w:tc>
          <w:tcPr>
            <w:tcW w:w="1418" w:type="dxa"/>
            <w:vAlign w:val="bottom"/>
          </w:tcPr>
          <w:p>
            <w:pPr>
              <w:pStyle w:val="yTableNAm"/>
              <w:tabs>
                <w:tab w:val="clear" w:pos="567"/>
                <w:tab w:val="decimal" w:pos="463"/>
              </w:tabs>
            </w:pPr>
            <w:r>
              <w:t>2.0</w:t>
            </w:r>
          </w:p>
        </w:tc>
      </w:tr>
      <w:tr>
        <w:trPr>
          <w:cantSplit/>
        </w:trPr>
        <w:tc>
          <w:tcPr>
            <w:tcW w:w="1276" w:type="dxa"/>
          </w:tcPr>
          <w:p>
            <w:pPr>
              <w:pStyle w:val="yTableNAm"/>
            </w:pPr>
            <w:r>
              <w:rPr>
                <w:szCs w:val="22"/>
              </w:rPr>
              <w:t>34A.</w:t>
            </w:r>
          </w:p>
        </w:tc>
        <w:tc>
          <w:tcPr>
            <w:tcW w:w="4678" w:type="dxa"/>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8)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34AB.</w:t>
            </w:r>
          </w:p>
        </w:tc>
        <w:tc>
          <w:tcPr>
            <w:tcW w:w="4678" w:type="dxa"/>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 xml:space="preserve">8) </w:t>
            </w:r>
            <w:r>
              <w:rPr>
                <w:szCs w:val="22"/>
              </w:rPr>
              <w:t>(in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34B.</w:t>
            </w:r>
          </w:p>
        </w:tc>
        <w:tc>
          <w:tcPr>
            <w:tcW w:w="4678" w:type="dxa"/>
          </w:tcPr>
          <w:p>
            <w:pPr>
              <w:pStyle w:val="yTableNAm"/>
            </w:pPr>
            <w:r>
              <w:rPr>
                <w:rFonts w:cs="Arial"/>
                <w:szCs w:val="22"/>
              </w:rPr>
              <w:t>CYCLOHEXYLPHENOLS (plant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34BA.</w:t>
            </w:r>
          </w:p>
        </w:tc>
        <w:tc>
          <w:tcPr>
            <w:tcW w:w="4678" w:type="dxa"/>
          </w:tcPr>
          <w:p>
            <w:pPr>
              <w:pStyle w:val="yTableNAm"/>
            </w:pPr>
            <w:r>
              <w:rPr>
                <w:rFonts w:cs="Arial"/>
                <w:szCs w:val="22"/>
              </w:rPr>
              <w:t xml:space="preserve">CYCLOHEXYLPHENOLS </w:t>
            </w:r>
            <w:r>
              <w:rPr>
                <w:szCs w:val="22"/>
              </w:rPr>
              <w:t>(in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34.</w:t>
            </w:r>
          </w:p>
        </w:tc>
        <w:tc>
          <w:tcPr>
            <w:tcW w:w="4678" w:type="dxa"/>
          </w:tcPr>
          <w:p>
            <w:pPr>
              <w:pStyle w:val="yTableNAm"/>
            </w:pPr>
            <w:r>
              <w:t>DESOMORPHINE</w:t>
            </w:r>
          </w:p>
        </w:tc>
        <w:tc>
          <w:tcPr>
            <w:tcW w:w="1418" w:type="dxa"/>
          </w:tcPr>
          <w:p>
            <w:pPr>
              <w:pStyle w:val="yTableNAm"/>
              <w:tabs>
                <w:tab w:val="clear" w:pos="567"/>
                <w:tab w:val="decimal" w:pos="463"/>
              </w:tabs>
            </w:pPr>
            <w:r>
              <w:t>2.0</w:t>
            </w:r>
          </w:p>
        </w:tc>
      </w:tr>
      <w:tr>
        <w:trPr>
          <w:cantSplit/>
        </w:trPr>
        <w:tc>
          <w:tcPr>
            <w:tcW w:w="1276" w:type="dxa"/>
          </w:tcPr>
          <w:p>
            <w:pPr>
              <w:pStyle w:val="yTableNAm"/>
            </w:pPr>
            <w:r>
              <w:t>35.</w:t>
            </w:r>
          </w:p>
        </w:tc>
        <w:tc>
          <w:tcPr>
            <w:tcW w:w="4678" w:type="dxa"/>
          </w:tcPr>
          <w:p>
            <w:pPr>
              <w:pStyle w:val="yTableNAm"/>
            </w:pPr>
            <w:r>
              <w:t>DEXAMPHETAMINE</w:t>
            </w:r>
          </w:p>
        </w:tc>
        <w:tc>
          <w:tcPr>
            <w:tcW w:w="1418" w:type="dxa"/>
          </w:tcPr>
          <w:p>
            <w:pPr>
              <w:pStyle w:val="yTableNAm"/>
              <w:tabs>
                <w:tab w:val="clear" w:pos="567"/>
                <w:tab w:val="decimal" w:pos="463"/>
              </w:tabs>
            </w:pPr>
            <w:r>
              <w:t>2.0</w:t>
            </w:r>
          </w:p>
        </w:tc>
      </w:tr>
      <w:tr>
        <w:trPr>
          <w:cantSplit/>
        </w:trPr>
        <w:tc>
          <w:tcPr>
            <w:tcW w:w="1276" w:type="dxa"/>
          </w:tcPr>
          <w:p>
            <w:pPr>
              <w:pStyle w:val="yTableNAm"/>
            </w:pPr>
            <w:r>
              <w:t>36.</w:t>
            </w:r>
          </w:p>
        </w:tc>
        <w:tc>
          <w:tcPr>
            <w:tcW w:w="4678" w:type="dxa"/>
          </w:tcPr>
          <w:p>
            <w:pPr>
              <w:pStyle w:val="yTableNAm"/>
            </w:pPr>
            <w:r>
              <w:t>DEXTROMORAMIDE</w:t>
            </w:r>
          </w:p>
        </w:tc>
        <w:tc>
          <w:tcPr>
            <w:tcW w:w="1418" w:type="dxa"/>
          </w:tcPr>
          <w:p>
            <w:pPr>
              <w:pStyle w:val="yTableNAm"/>
              <w:tabs>
                <w:tab w:val="clear" w:pos="567"/>
                <w:tab w:val="decimal" w:pos="463"/>
              </w:tabs>
            </w:pPr>
            <w:r>
              <w:t>1.0</w:t>
            </w:r>
          </w:p>
        </w:tc>
      </w:tr>
      <w:tr>
        <w:trPr>
          <w:cantSplit/>
        </w:trPr>
        <w:tc>
          <w:tcPr>
            <w:tcW w:w="1276" w:type="dxa"/>
          </w:tcPr>
          <w:p>
            <w:pPr>
              <w:pStyle w:val="yTableNAm"/>
            </w:pPr>
            <w:r>
              <w:t>37.</w:t>
            </w:r>
          </w:p>
        </w:tc>
        <w:tc>
          <w:tcPr>
            <w:tcW w:w="4678" w:type="dxa"/>
          </w:tcPr>
          <w:p>
            <w:pPr>
              <w:pStyle w:val="yTableNAm"/>
            </w:pPr>
            <w:r>
              <w:t>DIACETYLMORPHINE</w:t>
            </w:r>
          </w:p>
        </w:tc>
        <w:tc>
          <w:tcPr>
            <w:tcW w:w="1418" w:type="dxa"/>
          </w:tcPr>
          <w:p>
            <w:pPr>
              <w:pStyle w:val="yTableNAm"/>
              <w:tabs>
                <w:tab w:val="clear" w:pos="567"/>
                <w:tab w:val="decimal" w:pos="463"/>
              </w:tabs>
            </w:pPr>
            <w:r>
              <w:t>2.0</w:t>
            </w:r>
          </w:p>
        </w:tc>
      </w:tr>
      <w:tr>
        <w:trPr>
          <w:cantSplit/>
        </w:trPr>
        <w:tc>
          <w:tcPr>
            <w:tcW w:w="1276" w:type="dxa"/>
          </w:tcPr>
          <w:p>
            <w:pPr>
              <w:pStyle w:val="yTableNAm"/>
            </w:pPr>
            <w:r>
              <w:t>38.</w:t>
            </w:r>
          </w:p>
        </w:tc>
        <w:tc>
          <w:tcPr>
            <w:tcW w:w="4678" w:type="dxa"/>
          </w:tcPr>
          <w:p>
            <w:pPr>
              <w:pStyle w:val="yTableNAm"/>
            </w:pPr>
            <w:r>
              <w:t>DIAMPROMIDE</w:t>
            </w:r>
          </w:p>
        </w:tc>
        <w:tc>
          <w:tcPr>
            <w:tcW w:w="1418" w:type="dxa"/>
          </w:tcPr>
          <w:p>
            <w:pPr>
              <w:pStyle w:val="yTableNAm"/>
              <w:tabs>
                <w:tab w:val="clear" w:pos="567"/>
                <w:tab w:val="decimal" w:pos="463"/>
              </w:tabs>
            </w:pPr>
            <w:r>
              <w:t>5.0</w:t>
            </w:r>
          </w:p>
        </w:tc>
      </w:tr>
      <w:tr>
        <w:trPr>
          <w:cantSplit/>
        </w:trPr>
        <w:tc>
          <w:tcPr>
            <w:tcW w:w="1276" w:type="dxa"/>
          </w:tcPr>
          <w:p>
            <w:pPr>
              <w:pStyle w:val="yTableNAm"/>
            </w:pPr>
            <w:r>
              <w:rPr>
                <w:szCs w:val="22"/>
              </w:rPr>
              <w:t>39A.</w:t>
            </w:r>
          </w:p>
        </w:tc>
        <w:tc>
          <w:tcPr>
            <w:tcW w:w="4678" w:type="dxa"/>
          </w:tcPr>
          <w:p>
            <w:pPr>
              <w:pStyle w:val="yTableNAm"/>
            </w:pPr>
            <w:r>
              <w:rPr>
                <w:rFonts w:cs="Arial"/>
                <w:szCs w:val="22"/>
              </w:rPr>
              <w:t>DIBENZOPYRANS (plant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39B.</w:t>
            </w:r>
          </w:p>
        </w:tc>
        <w:tc>
          <w:tcPr>
            <w:tcW w:w="4678" w:type="dxa"/>
          </w:tcPr>
          <w:p>
            <w:pPr>
              <w:pStyle w:val="yTableNAm"/>
            </w:pPr>
            <w:r>
              <w:rPr>
                <w:rFonts w:cs="Arial"/>
                <w:szCs w:val="22"/>
              </w:rPr>
              <w:t xml:space="preserve">DIBENZOPYRANS </w:t>
            </w:r>
            <w:r>
              <w:rPr>
                <w:szCs w:val="22"/>
              </w:rPr>
              <w:t>(in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39.</w:t>
            </w:r>
          </w:p>
        </w:tc>
        <w:tc>
          <w:tcPr>
            <w:tcW w:w="4678" w:type="dxa"/>
          </w:tcPr>
          <w:p>
            <w:pPr>
              <w:pStyle w:val="yTableNAm"/>
            </w:pPr>
            <w:r>
              <w:t>DIETHYLTHIAMBUTENE</w:t>
            </w:r>
          </w:p>
        </w:tc>
        <w:tc>
          <w:tcPr>
            <w:tcW w:w="1418" w:type="dxa"/>
          </w:tcPr>
          <w:p>
            <w:pPr>
              <w:pStyle w:val="yTableNAm"/>
              <w:tabs>
                <w:tab w:val="clear" w:pos="567"/>
                <w:tab w:val="decimal" w:pos="463"/>
              </w:tabs>
            </w:pPr>
            <w:r>
              <w:t>5.0</w:t>
            </w:r>
          </w:p>
        </w:tc>
      </w:tr>
      <w:tr>
        <w:trPr>
          <w:cantSplit/>
        </w:trPr>
        <w:tc>
          <w:tcPr>
            <w:tcW w:w="1276" w:type="dxa"/>
          </w:tcPr>
          <w:p>
            <w:pPr>
              <w:pStyle w:val="yTableNAm"/>
            </w:pPr>
            <w:r>
              <w:t>40.</w:t>
            </w:r>
          </w:p>
        </w:tc>
        <w:tc>
          <w:tcPr>
            <w:tcW w:w="4678" w:type="dxa"/>
          </w:tcPr>
          <w:p>
            <w:pPr>
              <w:pStyle w:val="yTableNAm"/>
            </w:pPr>
            <w:r>
              <w:t>DIFENOXIN (excluding preparations containing, per dosage unit, not more than 0.5 mg of difenoxin and a quantity of atropine sulphate equivalent to at least 5% of the dose of difenoxin)</w:t>
            </w:r>
          </w:p>
        </w:tc>
        <w:tc>
          <w:tcPr>
            <w:tcW w:w="1418" w:type="dxa"/>
          </w:tcPr>
          <w:p>
            <w:pPr>
              <w:pStyle w:val="yTableNAm"/>
              <w:tabs>
                <w:tab w:val="clear" w:pos="567"/>
                <w:tab w:val="decimal" w:pos="463"/>
              </w:tabs>
            </w:pPr>
            <w:r>
              <w:br/>
            </w:r>
            <w:r>
              <w:br/>
            </w:r>
            <w:r>
              <w:br/>
              <w:t>10.0</w:t>
            </w:r>
          </w:p>
        </w:tc>
      </w:tr>
      <w:tr>
        <w:trPr>
          <w:cantSplit/>
        </w:trPr>
        <w:tc>
          <w:tcPr>
            <w:tcW w:w="1276" w:type="dxa"/>
          </w:tcPr>
          <w:p>
            <w:pPr>
              <w:pStyle w:val="yTableNAm"/>
            </w:pPr>
            <w:r>
              <w:t>41.</w:t>
            </w:r>
          </w:p>
        </w:tc>
        <w:tc>
          <w:tcPr>
            <w:tcW w:w="4678" w:type="dxa"/>
          </w:tcPr>
          <w:p>
            <w:pPr>
              <w:pStyle w:val="yTableNAm"/>
            </w:pPr>
            <w:r>
              <w:t xml:space="preserve">DIHYDROCODEINE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10.0</w:t>
            </w:r>
          </w:p>
        </w:tc>
      </w:tr>
      <w:tr>
        <w:trPr>
          <w:cantSplit/>
        </w:trPr>
        <w:tc>
          <w:tcPr>
            <w:tcW w:w="1276" w:type="dxa"/>
          </w:tcPr>
          <w:p>
            <w:pPr>
              <w:pStyle w:val="yTableNAm"/>
            </w:pPr>
            <w:r>
              <w:lastRenderedPageBreak/>
              <w:t>41A.</w:t>
            </w:r>
          </w:p>
        </w:tc>
        <w:tc>
          <w:tcPr>
            <w:tcW w:w="4678" w:type="dxa"/>
          </w:tcPr>
          <w:p>
            <w:pPr>
              <w:pStyle w:val="yTableNAm"/>
            </w:pPr>
            <w:r>
              <w:rPr>
                <w:rFonts w:cs="Arial"/>
                <w:szCs w:val="24"/>
              </w:rPr>
              <w:t>2,5</w:t>
            </w:r>
            <w:r>
              <w:rPr>
                <w:rFonts w:cs="Arial"/>
                <w:szCs w:val="24"/>
              </w:rPr>
              <w:noBreakHyphen/>
              <w:t>DIHYDRO</w:t>
            </w:r>
            <w:r>
              <w:rPr>
                <w:rFonts w:cs="Arial"/>
                <w:szCs w:val="24"/>
              </w:rPr>
              <w:noBreakHyphen/>
              <w:t>2</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5</w:t>
            </w:r>
            <w:r>
              <w:rPr>
                <w:rFonts w:cs="Arial"/>
                <w:szCs w:val="24"/>
              </w:rPr>
              <w:noBreakHyphen/>
              <w:t>PENTYL</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(CUMYL</w:t>
            </w:r>
            <w:r>
              <w:rPr>
                <w:rFonts w:cs="Arial"/>
                <w:szCs w:val="24"/>
              </w:rPr>
              <w:noBreakHyphen/>
              <w:t>PEGACLONE; SGT</w:t>
            </w:r>
            <w:r>
              <w:rPr>
                <w:rFonts w:cs="Arial"/>
                <w:szCs w:val="24"/>
              </w:rPr>
              <w:noBreakHyphen/>
              <w:t>151) (</w:t>
            </w:r>
            <w:r>
              <w:rPr>
                <w:rFonts w:cs="Arial"/>
                <w:bCs/>
                <w:szCs w:val="24"/>
              </w:rPr>
              <w:t>plant material</w:t>
            </w:r>
            <w:r>
              <w:rPr>
                <w:rFonts w:cs="Arial"/>
                <w:szCs w:val="24"/>
              </w:rPr>
              <w:t>)</w:t>
            </w:r>
          </w:p>
        </w:tc>
        <w:tc>
          <w:tcPr>
            <w:tcW w:w="1418" w:type="dxa"/>
            <w:vAlign w:val="bottom"/>
          </w:tcPr>
          <w:p>
            <w:pPr>
              <w:pStyle w:val="yTableNAm"/>
              <w:tabs>
                <w:tab w:val="clear" w:pos="567"/>
                <w:tab w:val="decimal" w:pos="463"/>
              </w:tabs>
            </w:pPr>
            <w:r>
              <w:t>30.0</w:t>
            </w:r>
          </w:p>
        </w:tc>
      </w:tr>
      <w:tr>
        <w:trPr>
          <w:cantSplit/>
        </w:trPr>
        <w:tc>
          <w:tcPr>
            <w:tcW w:w="1276" w:type="dxa"/>
          </w:tcPr>
          <w:p>
            <w:pPr>
              <w:pStyle w:val="yTableNAm"/>
            </w:pPr>
            <w:r>
              <w:t>41B.</w:t>
            </w:r>
          </w:p>
        </w:tc>
        <w:tc>
          <w:tcPr>
            <w:tcW w:w="4678" w:type="dxa"/>
          </w:tcPr>
          <w:p>
            <w:pPr>
              <w:pStyle w:val="yTableNAm"/>
            </w:pPr>
            <w:r>
              <w:rPr>
                <w:rFonts w:cs="Arial"/>
                <w:szCs w:val="24"/>
              </w:rPr>
              <w:t>2,5</w:t>
            </w:r>
            <w:r>
              <w:rPr>
                <w:rFonts w:cs="Arial"/>
                <w:szCs w:val="24"/>
              </w:rPr>
              <w:noBreakHyphen/>
              <w:t>DIHYDRO</w:t>
            </w:r>
            <w:r>
              <w:rPr>
                <w:rFonts w:cs="Arial"/>
                <w:szCs w:val="24"/>
              </w:rPr>
              <w:noBreakHyphen/>
              <w:t>2</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5</w:t>
            </w:r>
            <w:r>
              <w:rPr>
                <w:rFonts w:cs="Arial"/>
                <w:szCs w:val="24"/>
              </w:rPr>
              <w:noBreakHyphen/>
              <w:t>PENTYL</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(CUMYL</w:t>
            </w:r>
            <w:r>
              <w:rPr>
                <w:rFonts w:cs="Arial"/>
                <w:szCs w:val="24"/>
              </w:rPr>
              <w:noBreakHyphen/>
              <w:t>PEGACLONE; SGT</w:t>
            </w:r>
            <w:r>
              <w:rPr>
                <w:rFonts w:cs="Arial"/>
                <w:szCs w:val="24"/>
              </w:rPr>
              <w:noBreakHyphen/>
              <w:t>151) (</w:t>
            </w:r>
            <w:r>
              <w:rPr>
                <w:rFonts w:cs="Arial"/>
                <w:bCs/>
                <w:szCs w:val="24"/>
              </w:rPr>
              <w:t>in any form except plant material</w:t>
            </w:r>
            <w:r>
              <w:rPr>
                <w:rFonts w:cs="Arial"/>
                <w:szCs w:val="24"/>
              </w:rPr>
              <w:t>)</w:t>
            </w:r>
          </w:p>
        </w:tc>
        <w:tc>
          <w:tcPr>
            <w:tcW w:w="1418" w:type="dxa"/>
            <w:vAlign w:val="bottom"/>
          </w:tcPr>
          <w:p>
            <w:pPr>
              <w:pStyle w:val="yTableNAm"/>
              <w:tabs>
                <w:tab w:val="clear" w:pos="567"/>
                <w:tab w:val="decimal" w:pos="463"/>
              </w:tabs>
            </w:pPr>
            <w:r>
              <w:t>2.0</w:t>
            </w:r>
          </w:p>
        </w:tc>
      </w:tr>
      <w:tr>
        <w:trPr>
          <w:cantSplit/>
        </w:trPr>
        <w:tc>
          <w:tcPr>
            <w:tcW w:w="1276" w:type="dxa"/>
          </w:tcPr>
          <w:p>
            <w:pPr>
              <w:pStyle w:val="yTableNAm"/>
            </w:pPr>
            <w:r>
              <w:t>42.</w:t>
            </w:r>
          </w:p>
        </w:tc>
        <w:tc>
          <w:tcPr>
            <w:tcW w:w="4678" w:type="dxa"/>
          </w:tcPr>
          <w:p>
            <w:pPr>
              <w:pStyle w:val="yTableNAm"/>
            </w:pPr>
            <w:r>
              <w:t>DIHYDROMORPHINE</w:t>
            </w:r>
          </w:p>
        </w:tc>
        <w:tc>
          <w:tcPr>
            <w:tcW w:w="1418" w:type="dxa"/>
          </w:tcPr>
          <w:p>
            <w:pPr>
              <w:pStyle w:val="yTableNAm"/>
              <w:tabs>
                <w:tab w:val="clear" w:pos="567"/>
                <w:tab w:val="decimal" w:pos="463"/>
              </w:tabs>
            </w:pPr>
            <w:r>
              <w:t>10.0</w:t>
            </w:r>
          </w:p>
        </w:tc>
      </w:tr>
      <w:tr>
        <w:trPr>
          <w:cantSplit/>
        </w:trPr>
        <w:tc>
          <w:tcPr>
            <w:tcW w:w="1276" w:type="dxa"/>
          </w:tcPr>
          <w:p>
            <w:pPr>
              <w:pStyle w:val="yTableNAm"/>
            </w:pPr>
            <w:r>
              <w:t>43.</w:t>
            </w:r>
          </w:p>
        </w:tc>
        <w:tc>
          <w:tcPr>
            <w:tcW w:w="4678" w:type="dxa"/>
          </w:tcPr>
          <w:p>
            <w:pPr>
              <w:pStyle w:val="yTableNAm"/>
            </w:pPr>
            <w:r>
              <w:t>DIMENOXADOL</w:t>
            </w:r>
          </w:p>
        </w:tc>
        <w:tc>
          <w:tcPr>
            <w:tcW w:w="1418" w:type="dxa"/>
          </w:tcPr>
          <w:p>
            <w:pPr>
              <w:pStyle w:val="yTableNAm"/>
              <w:tabs>
                <w:tab w:val="clear" w:pos="567"/>
                <w:tab w:val="decimal" w:pos="463"/>
              </w:tabs>
            </w:pPr>
            <w:r>
              <w:t>10.0</w:t>
            </w:r>
          </w:p>
        </w:tc>
      </w:tr>
      <w:tr>
        <w:trPr>
          <w:cantSplit/>
        </w:trPr>
        <w:tc>
          <w:tcPr>
            <w:tcW w:w="1276" w:type="dxa"/>
          </w:tcPr>
          <w:p>
            <w:pPr>
              <w:pStyle w:val="yTableNAm"/>
            </w:pPr>
            <w:r>
              <w:t>44.</w:t>
            </w:r>
          </w:p>
        </w:tc>
        <w:tc>
          <w:tcPr>
            <w:tcW w:w="4678" w:type="dxa"/>
          </w:tcPr>
          <w:p>
            <w:pPr>
              <w:pStyle w:val="yTableNAm"/>
            </w:pPr>
            <w:r>
              <w:t>DIMEPHEPTANOL</w:t>
            </w:r>
          </w:p>
        </w:tc>
        <w:tc>
          <w:tcPr>
            <w:tcW w:w="1418" w:type="dxa"/>
          </w:tcPr>
          <w:p>
            <w:pPr>
              <w:pStyle w:val="yTableNAm"/>
              <w:tabs>
                <w:tab w:val="clear" w:pos="567"/>
                <w:tab w:val="decimal" w:pos="463"/>
              </w:tabs>
            </w:pPr>
            <w:r>
              <w:t>10.0</w:t>
            </w:r>
          </w:p>
        </w:tc>
      </w:tr>
      <w:tr>
        <w:trPr>
          <w:cantSplit/>
        </w:trPr>
        <w:tc>
          <w:tcPr>
            <w:tcW w:w="1276" w:type="dxa"/>
          </w:tcPr>
          <w:p>
            <w:pPr>
              <w:pStyle w:val="yTableNAm"/>
            </w:pPr>
            <w:r>
              <w:t>45.</w:t>
            </w:r>
          </w:p>
        </w:tc>
        <w:tc>
          <w:tcPr>
            <w:tcW w:w="4678" w:type="dxa"/>
          </w:tcPr>
          <w:p>
            <w:pPr>
              <w:pStyle w:val="yTableNAm"/>
            </w:pPr>
            <w:r>
              <w:t>2, 5</w:t>
            </w:r>
            <w:r>
              <w:noBreakHyphen/>
              <w:t>DIMETHOXY</w:t>
            </w:r>
            <w:r>
              <w:noBreakHyphen/>
              <w:t>4</w:t>
            </w:r>
            <w:r>
              <w:noBreakHyphen/>
              <w:t>BROMOAMPHETAMINE</w:t>
            </w:r>
          </w:p>
        </w:tc>
        <w:tc>
          <w:tcPr>
            <w:tcW w:w="1418" w:type="dxa"/>
          </w:tcPr>
          <w:p>
            <w:pPr>
              <w:pStyle w:val="yTableNAm"/>
              <w:tabs>
                <w:tab w:val="clear" w:pos="567"/>
                <w:tab w:val="decimal" w:pos="463"/>
              </w:tabs>
            </w:pPr>
            <w:r>
              <w:t>0.05</w:t>
            </w:r>
          </w:p>
        </w:tc>
      </w:tr>
      <w:tr>
        <w:trPr>
          <w:cantSplit/>
        </w:trPr>
        <w:tc>
          <w:tcPr>
            <w:tcW w:w="1276" w:type="dxa"/>
          </w:tcPr>
          <w:p>
            <w:pPr>
              <w:pStyle w:val="yTableNAm"/>
            </w:pPr>
            <w:r>
              <w:t>46.</w:t>
            </w:r>
          </w:p>
        </w:tc>
        <w:tc>
          <w:tcPr>
            <w:tcW w:w="4678" w:type="dxa"/>
          </w:tcPr>
          <w:p>
            <w:pPr>
              <w:pStyle w:val="yTableNAm"/>
            </w:pPr>
            <w:r>
              <w:t>2, 5</w:t>
            </w:r>
            <w:r>
              <w:noBreakHyphen/>
              <w:t>DIMETHOXY</w:t>
            </w:r>
            <w:r>
              <w:noBreakHyphen/>
              <w:t>4</w:t>
            </w:r>
            <w:r>
              <w:noBreakHyphen/>
              <w:t>METHYLAMPHETAMINE</w:t>
            </w:r>
          </w:p>
        </w:tc>
        <w:tc>
          <w:tcPr>
            <w:tcW w:w="1418" w:type="dxa"/>
          </w:tcPr>
          <w:p>
            <w:pPr>
              <w:pStyle w:val="yTableNAm"/>
              <w:tabs>
                <w:tab w:val="clear" w:pos="567"/>
                <w:tab w:val="decimal" w:pos="463"/>
              </w:tabs>
            </w:pPr>
            <w:r>
              <w:t>0.05</w:t>
            </w:r>
          </w:p>
        </w:tc>
      </w:tr>
      <w:tr>
        <w:trPr>
          <w:cantSplit/>
        </w:trPr>
        <w:tc>
          <w:tcPr>
            <w:tcW w:w="1276" w:type="dxa"/>
          </w:tcPr>
          <w:p>
            <w:pPr>
              <w:pStyle w:val="yTableNAm"/>
            </w:pPr>
            <w:r>
              <w:t>47A.</w:t>
            </w:r>
          </w:p>
        </w:tc>
        <w:tc>
          <w:tcPr>
            <w:tcW w:w="4678" w:type="dxa"/>
          </w:tcPr>
          <w:p>
            <w:pPr>
              <w:pStyle w:val="yTableNAm"/>
            </w:pPr>
            <w:r>
              <w:t>DIMETHYLAMPHETAMINE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47B.</w:t>
            </w:r>
          </w:p>
        </w:tc>
        <w:tc>
          <w:tcPr>
            <w:tcW w:w="4678" w:type="dxa"/>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47BA.</w:t>
            </w:r>
          </w:p>
        </w:tc>
        <w:tc>
          <w:tcPr>
            <w:tcW w:w="4678" w:type="dxa"/>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w:t>
            </w:r>
            <w:r>
              <w:rPr>
                <w:rFonts w:cs="Arial"/>
                <w:szCs w:val="22"/>
              </w:rPr>
              <w:t xml:space="preserve"> </w:t>
            </w:r>
            <w:r>
              <w:rPr>
                <w:szCs w:val="22"/>
              </w:rPr>
              <w:t>(in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47C.</w:t>
            </w:r>
          </w:p>
        </w:tc>
        <w:tc>
          <w:tcPr>
            <w:tcW w:w="4678" w:type="dxa"/>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 xml:space="preserve"> 3</w:t>
            </w:r>
            <w:r>
              <w:rPr>
                <w:rFonts w:cs="Arial"/>
                <w:szCs w:val="22"/>
              </w:rPr>
              <w:noBreakHyphen/>
            </w:r>
            <w:r>
              <w:rPr>
                <w:rFonts w:cs="Arial"/>
                <w:szCs w:val="22"/>
              </w:rPr>
              <w:br/>
              <w:t>HYDROXYCYCLOHEXYL]</w:t>
            </w:r>
            <w:r>
              <w:rPr>
                <w:rFonts w:cs="Arial"/>
                <w:szCs w:val="22"/>
              </w:rPr>
              <w:noBreakHyphen/>
              <w:t>PHENOL (CANNABICYCLOHEXANOL or CP 47,497 C8 HOMOLOGUE)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lastRenderedPageBreak/>
              <w:t>47D.</w:t>
            </w:r>
          </w:p>
        </w:tc>
        <w:tc>
          <w:tcPr>
            <w:tcW w:w="4678" w:type="dxa"/>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 xml:space="preserve"> 3</w:t>
            </w:r>
            <w:r>
              <w:rPr>
                <w:rFonts w:cs="Arial"/>
                <w:szCs w:val="22"/>
              </w:rPr>
              <w:noBreakHyphen/>
            </w:r>
            <w:r>
              <w:rPr>
                <w:rFonts w:cs="Arial"/>
                <w:szCs w:val="22"/>
              </w:rPr>
              <w:br/>
              <w:t>HYDROXYCYCLOHEXYL]</w:t>
            </w:r>
            <w:r>
              <w:rPr>
                <w:rFonts w:cs="Arial"/>
                <w:szCs w:val="22"/>
              </w:rPr>
              <w:noBreakHyphen/>
              <w:t>PHENOL (CANNABICYCLOHEXANOL or CP 47,497 C8 HOMOLOGUE)</w:t>
            </w:r>
            <w:r>
              <w:rPr>
                <w:szCs w:val="22"/>
              </w:rPr>
              <w:t xml:space="preserve"> (in any form except plant material)</w:t>
            </w:r>
          </w:p>
        </w:tc>
        <w:tc>
          <w:tcPr>
            <w:tcW w:w="1418" w:type="dxa"/>
          </w:tcPr>
          <w:p>
            <w:pPr>
              <w:pStyle w:val="yTableNAm"/>
              <w:tabs>
                <w:tab w:val="clear" w:pos="567"/>
                <w:tab w:val="decimal" w:pos="463"/>
              </w:tabs>
            </w:pPr>
            <w:r>
              <w:rPr>
                <w:szCs w:val="22"/>
              </w:rPr>
              <w:br/>
            </w:r>
            <w:r>
              <w:rPr>
                <w:szCs w:val="22"/>
              </w:rPr>
              <w:br/>
            </w:r>
            <w:r>
              <w:rPr>
                <w:szCs w:val="22"/>
              </w:rPr>
              <w:br/>
            </w:r>
            <w:r>
              <w:rPr>
                <w:szCs w:val="22"/>
              </w:rPr>
              <w:br/>
              <w:t>2.0</w:t>
            </w:r>
          </w:p>
        </w:tc>
      </w:tr>
      <w:tr>
        <w:trPr>
          <w:cantSplit/>
        </w:trPr>
        <w:tc>
          <w:tcPr>
            <w:tcW w:w="1276" w:type="dxa"/>
          </w:tcPr>
          <w:p>
            <w:pPr>
              <w:pStyle w:val="yTableNAm"/>
            </w:pPr>
            <w:r>
              <w:t>47.</w:t>
            </w:r>
          </w:p>
        </w:tc>
        <w:tc>
          <w:tcPr>
            <w:tcW w:w="4678" w:type="dxa"/>
          </w:tcPr>
          <w:p>
            <w:pPr>
              <w:pStyle w:val="yTableNAm"/>
            </w:pPr>
            <w:r>
              <w:t>DIMETHYLTHIAMBUTENE</w:t>
            </w:r>
          </w:p>
        </w:tc>
        <w:tc>
          <w:tcPr>
            <w:tcW w:w="1418" w:type="dxa"/>
          </w:tcPr>
          <w:p>
            <w:pPr>
              <w:pStyle w:val="yTableNAm"/>
              <w:tabs>
                <w:tab w:val="clear" w:pos="567"/>
                <w:tab w:val="decimal" w:pos="463"/>
              </w:tabs>
            </w:pPr>
            <w:r>
              <w:t>20.0</w:t>
            </w:r>
          </w:p>
        </w:tc>
      </w:tr>
      <w:tr>
        <w:trPr>
          <w:cantSplit/>
        </w:trPr>
        <w:tc>
          <w:tcPr>
            <w:tcW w:w="1276" w:type="dxa"/>
          </w:tcPr>
          <w:p>
            <w:pPr>
              <w:pStyle w:val="yTableNAm"/>
            </w:pPr>
            <w:r>
              <w:t>48.</w:t>
            </w:r>
          </w:p>
        </w:tc>
        <w:tc>
          <w:tcPr>
            <w:tcW w:w="4678" w:type="dxa"/>
          </w:tcPr>
          <w:p>
            <w:pPr>
              <w:pStyle w:val="yTableNAm"/>
            </w:pPr>
            <w:r>
              <w:t>DIMETHYLTRYPTAMINE</w:t>
            </w:r>
          </w:p>
        </w:tc>
        <w:tc>
          <w:tcPr>
            <w:tcW w:w="1418" w:type="dxa"/>
          </w:tcPr>
          <w:p>
            <w:pPr>
              <w:pStyle w:val="yTableNAm"/>
              <w:tabs>
                <w:tab w:val="clear" w:pos="567"/>
                <w:tab w:val="decimal" w:pos="463"/>
              </w:tabs>
            </w:pPr>
            <w:r>
              <w:t>2.0</w:t>
            </w:r>
          </w:p>
        </w:tc>
      </w:tr>
      <w:tr>
        <w:trPr>
          <w:cantSplit/>
        </w:trPr>
        <w:tc>
          <w:tcPr>
            <w:tcW w:w="1276" w:type="dxa"/>
          </w:tcPr>
          <w:p>
            <w:pPr>
              <w:pStyle w:val="yTableNAm"/>
            </w:pPr>
            <w:r>
              <w:t>49.</w:t>
            </w:r>
          </w:p>
        </w:tc>
        <w:tc>
          <w:tcPr>
            <w:tcW w:w="4678" w:type="dxa"/>
          </w:tcPr>
          <w:p>
            <w:pPr>
              <w:pStyle w:val="yTableNAm"/>
            </w:pPr>
            <w:r>
              <w:t>DIOXAPHETYL BUTYRATE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49A.</w:t>
            </w:r>
          </w:p>
        </w:tc>
        <w:tc>
          <w:tcPr>
            <w:tcW w:w="4678" w:type="dxa"/>
          </w:tcPr>
          <w:p>
            <w:pPr>
              <w:pStyle w:val="yTableNAm"/>
            </w:pPr>
            <w:r>
              <w:rPr>
                <w:szCs w:val="22"/>
              </w:rPr>
              <w:t>DIPHENIDINE</w:t>
            </w:r>
          </w:p>
        </w:tc>
        <w:tc>
          <w:tcPr>
            <w:tcW w:w="1418" w:type="dxa"/>
          </w:tcPr>
          <w:p>
            <w:pPr>
              <w:pStyle w:val="yTableNAm"/>
              <w:tabs>
                <w:tab w:val="clear" w:pos="567"/>
                <w:tab w:val="decimal" w:pos="463"/>
              </w:tabs>
            </w:pPr>
            <w:r>
              <w:rPr>
                <w:szCs w:val="22"/>
              </w:rPr>
              <w:t>2.0</w:t>
            </w:r>
          </w:p>
        </w:tc>
      </w:tr>
      <w:tr>
        <w:trPr>
          <w:cantSplit/>
        </w:trPr>
        <w:tc>
          <w:tcPr>
            <w:tcW w:w="1276" w:type="dxa"/>
          </w:tcPr>
          <w:p>
            <w:pPr>
              <w:pStyle w:val="yTableNAm"/>
            </w:pPr>
            <w:r>
              <w:t>50.</w:t>
            </w:r>
          </w:p>
        </w:tc>
        <w:tc>
          <w:tcPr>
            <w:tcW w:w="4678" w:type="dxa"/>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418" w:type="dxa"/>
          </w:tcPr>
          <w:p>
            <w:pPr>
              <w:pStyle w:val="yTableNAm"/>
              <w:tabs>
                <w:tab w:val="clear" w:pos="567"/>
                <w:tab w:val="decimal" w:pos="463"/>
              </w:tabs>
            </w:pPr>
            <w:r>
              <w:br/>
            </w:r>
            <w:r>
              <w:br/>
            </w:r>
            <w:r>
              <w:br/>
            </w:r>
            <w:r>
              <w:br/>
              <w:t>2.0</w:t>
            </w:r>
          </w:p>
        </w:tc>
      </w:tr>
      <w:tr>
        <w:trPr>
          <w:cantSplit/>
        </w:trPr>
        <w:tc>
          <w:tcPr>
            <w:tcW w:w="1276" w:type="dxa"/>
          </w:tcPr>
          <w:p>
            <w:pPr>
              <w:pStyle w:val="yTableNAm"/>
            </w:pPr>
            <w:r>
              <w:t>51.</w:t>
            </w:r>
          </w:p>
        </w:tc>
        <w:tc>
          <w:tcPr>
            <w:tcW w:w="4678" w:type="dxa"/>
          </w:tcPr>
          <w:p>
            <w:pPr>
              <w:pStyle w:val="yTableNAm"/>
            </w:pPr>
            <w:r>
              <w:t>DIPIPANONE</w:t>
            </w:r>
          </w:p>
        </w:tc>
        <w:tc>
          <w:tcPr>
            <w:tcW w:w="1418" w:type="dxa"/>
          </w:tcPr>
          <w:p>
            <w:pPr>
              <w:pStyle w:val="yTableNAm"/>
              <w:tabs>
                <w:tab w:val="clear" w:pos="567"/>
                <w:tab w:val="decimal" w:pos="463"/>
              </w:tabs>
            </w:pPr>
            <w:r>
              <w:t>10.0</w:t>
            </w:r>
          </w:p>
        </w:tc>
      </w:tr>
      <w:tr>
        <w:trPr>
          <w:cantSplit/>
        </w:trPr>
        <w:tc>
          <w:tcPr>
            <w:tcW w:w="1276" w:type="dxa"/>
          </w:tcPr>
          <w:p>
            <w:pPr>
              <w:pStyle w:val="yTableNAm"/>
            </w:pPr>
            <w:r>
              <w:t>52.</w:t>
            </w:r>
          </w:p>
        </w:tc>
        <w:tc>
          <w:tcPr>
            <w:tcW w:w="4678" w:type="dxa"/>
          </w:tcPr>
          <w:p>
            <w:pPr>
              <w:pStyle w:val="yTableNAm"/>
            </w:pPr>
            <w:r>
              <w:t>DROTEBANOL</w:t>
            </w:r>
          </w:p>
        </w:tc>
        <w:tc>
          <w:tcPr>
            <w:tcW w:w="1418" w:type="dxa"/>
          </w:tcPr>
          <w:p>
            <w:pPr>
              <w:pStyle w:val="yTableNAm"/>
              <w:tabs>
                <w:tab w:val="clear" w:pos="567"/>
                <w:tab w:val="decimal" w:pos="463"/>
              </w:tabs>
            </w:pPr>
            <w:r>
              <w:t>0.1</w:t>
            </w:r>
          </w:p>
        </w:tc>
      </w:tr>
      <w:tr>
        <w:trPr>
          <w:cantSplit/>
        </w:trPr>
        <w:tc>
          <w:tcPr>
            <w:tcW w:w="1276" w:type="dxa"/>
          </w:tcPr>
          <w:p>
            <w:pPr>
              <w:pStyle w:val="yTableNAm"/>
            </w:pPr>
            <w:r>
              <w:t>53.</w:t>
            </w:r>
          </w:p>
        </w:tc>
        <w:tc>
          <w:tcPr>
            <w:tcW w:w="4678" w:type="dxa"/>
          </w:tcPr>
          <w:p>
            <w:pPr>
              <w:pStyle w:val="yTableNAm"/>
            </w:pPr>
            <w:r>
              <w:t>ECGONINE, ITS ESTERS AND DERIVATIVES which are convertible to ECGONINE AND COCAINE</w:t>
            </w:r>
          </w:p>
        </w:tc>
        <w:tc>
          <w:tcPr>
            <w:tcW w:w="1418" w:type="dxa"/>
          </w:tcPr>
          <w:p>
            <w:pPr>
              <w:pStyle w:val="yTableNAm"/>
              <w:tabs>
                <w:tab w:val="clear" w:pos="567"/>
                <w:tab w:val="decimal" w:pos="463"/>
              </w:tabs>
            </w:pPr>
            <w:r>
              <w:br/>
              <w:t>10.0</w:t>
            </w:r>
          </w:p>
        </w:tc>
      </w:tr>
      <w:tr>
        <w:trPr>
          <w:cantSplit/>
        </w:trPr>
        <w:tc>
          <w:tcPr>
            <w:tcW w:w="1276" w:type="dxa"/>
          </w:tcPr>
          <w:p>
            <w:pPr>
              <w:pStyle w:val="yTableNAm"/>
              <w:rPr>
                <w:rFonts w:ascii="Times" w:hAnsi="Times"/>
                <w:spacing w:val="-6"/>
              </w:rPr>
            </w:pPr>
            <w:r>
              <w:rPr>
                <w:rFonts w:ascii="Times" w:hAnsi="Times"/>
                <w:spacing w:val="-6"/>
              </w:rPr>
              <w:t>53A.</w:t>
            </w:r>
          </w:p>
        </w:tc>
        <w:tc>
          <w:tcPr>
            <w:tcW w:w="4678" w:type="dxa"/>
          </w:tcPr>
          <w:p>
            <w:pPr>
              <w:pStyle w:val="yTableNAm"/>
            </w:pPr>
            <w:r>
              <w:t>EPHEDRINE</w:t>
            </w:r>
          </w:p>
        </w:tc>
        <w:tc>
          <w:tcPr>
            <w:tcW w:w="1418" w:type="dxa"/>
          </w:tcPr>
          <w:p>
            <w:pPr>
              <w:pStyle w:val="yTableNAm"/>
              <w:tabs>
                <w:tab w:val="clear" w:pos="567"/>
                <w:tab w:val="decimal" w:pos="463"/>
              </w:tabs>
            </w:pPr>
            <w:r>
              <w:t>2.0</w:t>
            </w:r>
          </w:p>
        </w:tc>
      </w:tr>
      <w:tr>
        <w:trPr>
          <w:cantSplit/>
        </w:trPr>
        <w:tc>
          <w:tcPr>
            <w:tcW w:w="1276" w:type="dxa"/>
          </w:tcPr>
          <w:p>
            <w:pPr>
              <w:pStyle w:val="yTableNAm"/>
            </w:pPr>
            <w:r>
              <w:t>54.</w:t>
            </w:r>
          </w:p>
        </w:tc>
        <w:tc>
          <w:tcPr>
            <w:tcW w:w="4678" w:type="dxa"/>
          </w:tcPr>
          <w:p>
            <w:pPr>
              <w:pStyle w:val="yTableNAm"/>
            </w:pPr>
            <w:r>
              <w:t>ETHYLMETHYLTHIAMBUTENE</w:t>
            </w:r>
          </w:p>
        </w:tc>
        <w:tc>
          <w:tcPr>
            <w:tcW w:w="1418" w:type="dxa"/>
          </w:tcPr>
          <w:p>
            <w:pPr>
              <w:pStyle w:val="yTableNAm"/>
              <w:tabs>
                <w:tab w:val="clear" w:pos="567"/>
                <w:tab w:val="decimal" w:pos="463"/>
              </w:tabs>
            </w:pPr>
            <w:r>
              <w:t>10.0</w:t>
            </w:r>
          </w:p>
        </w:tc>
      </w:tr>
      <w:tr>
        <w:trPr>
          <w:cantSplit/>
        </w:trPr>
        <w:tc>
          <w:tcPr>
            <w:tcW w:w="1276" w:type="dxa"/>
          </w:tcPr>
          <w:p>
            <w:pPr>
              <w:pStyle w:val="yTableNAm"/>
            </w:pPr>
            <w:r>
              <w:t>55.</w:t>
            </w:r>
          </w:p>
        </w:tc>
        <w:tc>
          <w:tcPr>
            <w:tcW w:w="4678" w:type="dxa"/>
          </w:tcPr>
          <w:p>
            <w:pPr>
              <w:pStyle w:val="yTableNAm"/>
            </w:pPr>
            <w:r>
              <w:t>ETHYLMORPHINE (and substances containing more than 2.5% of ethylmorphine)</w:t>
            </w:r>
          </w:p>
        </w:tc>
        <w:tc>
          <w:tcPr>
            <w:tcW w:w="1418" w:type="dxa"/>
          </w:tcPr>
          <w:p>
            <w:pPr>
              <w:pStyle w:val="yTableNAm"/>
              <w:tabs>
                <w:tab w:val="clear" w:pos="567"/>
                <w:tab w:val="decimal" w:pos="463"/>
              </w:tabs>
            </w:pPr>
            <w:r>
              <w:br/>
              <w:t>2.0</w:t>
            </w:r>
          </w:p>
        </w:tc>
      </w:tr>
      <w:tr>
        <w:trPr>
          <w:cantSplit/>
        </w:trPr>
        <w:tc>
          <w:tcPr>
            <w:tcW w:w="1276" w:type="dxa"/>
          </w:tcPr>
          <w:p>
            <w:pPr>
              <w:pStyle w:val="yTableNAm"/>
            </w:pPr>
            <w:r>
              <w:t>56.</w:t>
            </w:r>
          </w:p>
        </w:tc>
        <w:tc>
          <w:tcPr>
            <w:tcW w:w="4678" w:type="dxa"/>
          </w:tcPr>
          <w:p>
            <w:pPr>
              <w:pStyle w:val="yTableNAm"/>
            </w:pPr>
            <w:r>
              <w:t>ETONITAZENE</w:t>
            </w:r>
          </w:p>
        </w:tc>
        <w:tc>
          <w:tcPr>
            <w:tcW w:w="1418" w:type="dxa"/>
          </w:tcPr>
          <w:p>
            <w:pPr>
              <w:pStyle w:val="yTableNAm"/>
              <w:tabs>
                <w:tab w:val="clear" w:pos="567"/>
                <w:tab w:val="decimal" w:pos="463"/>
              </w:tabs>
            </w:pPr>
            <w:r>
              <w:t>5.0</w:t>
            </w:r>
          </w:p>
        </w:tc>
      </w:tr>
      <w:tr>
        <w:trPr>
          <w:cantSplit/>
        </w:trPr>
        <w:tc>
          <w:tcPr>
            <w:tcW w:w="1276" w:type="dxa"/>
          </w:tcPr>
          <w:p>
            <w:pPr>
              <w:pStyle w:val="yTableNAm"/>
            </w:pPr>
            <w:r>
              <w:t>57.</w:t>
            </w:r>
          </w:p>
        </w:tc>
        <w:tc>
          <w:tcPr>
            <w:tcW w:w="4678" w:type="dxa"/>
          </w:tcPr>
          <w:p>
            <w:pPr>
              <w:pStyle w:val="yTableNAm"/>
            </w:pPr>
            <w:r>
              <w:t>ETORPHINE</w:t>
            </w:r>
          </w:p>
        </w:tc>
        <w:tc>
          <w:tcPr>
            <w:tcW w:w="1418" w:type="dxa"/>
          </w:tcPr>
          <w:p>
            <w:pPr>
              <w:pStyle w:val="yTableNAm"/>
              <w:tabs>
                <w:tab w:val="clear" w:pos="567"/>
                <w:tab w:val="decimal" w:pos="463"/>
              </w:tabs>
            </w:pPr>
            <w:r>
              <w:t>5.0</w:t>
            </w:r>
          </w:p>
        </w:tc>
      </w:tr>
      <w:tr>
        <w:trPr>
          <w:cantSplit/>
        </w:trPr>
        <w:tc>
          <w:tcPr>
            <w:tcW w:w="1276" w:type="dxa"/>
          </w:tcPr>
          <w:p>
            <w:pPr>
              <w:pStyle w:val="yTableNAm"/>
            </w:pPr>
            <w:r>
              <w:t>58.</w:t>
            </w:r>
          </w:p>
        </w:tc>
        <w:tc>
          <w:tcPr>
            <w:tcW w:w="4678" w:type="dxa"/>
          </w:tcPr>
          <w:p>
            <w:pPr>
              <w:pStyle w:val="yTableNAm"/>
            </w:pPr>
            <w:r>
              <w:t>ETOXERIDINE</w:t>
            </w:r>
          </w:p>
        </w:tc>
        <w:tc>
          <w:tcPr>
            <w:tcW w:w="1418" w:type="dxa"/>
          </w:tcPr>
          <w:p>
            <w:pPr>
              <w:pStyle w:val="yTableNAm"/>
              <w:tabs>
                <w:tab w:val="clear" w:pos="567"/>
                <w:tab w:val="decimal" w:pos="463"/>
              </w:tabs>
            </w:pPr>
            <w:r>
              <w:t>5.0</w:t>
            </w:r>
          </w:p>
        </w:tc>
      </w:tr>
      <w:tr>
        <w:trPr>
          <w:cantSplit/>
        </w:trPr>
        <w:tc>
          <w:tcPr>
            <w:tcW w:w="1276" w:type="dxa"/>
          </w:tcPr>
          <w:p>
            <w:pPr>
              <w:pStyle w:val="yTableNAm"/>
            </w:pPr>
            <w:r>
              <w:t>59.</w:t>
            </w:r>
          </w:p>
        </w:tc>
        <w:tc>
          <w:tcPr>
            <w:tcW w:w="4678" w:type="dxa"/>
          </w:tcPr>
          <w:p>
            <w:pPr>
              <w:pStyle w:val="yTableNAm"/>
            </w:pPr>
            <w:r>
              <w:t>FENTANYL</w:t>
            </w:r>
          </w:p>
        </w:tc>
        <w:tc>
          <w:tcPr>
            <w:tcW w:w="1418" w:type="dxa"/>
          </w:tcPr>
          <w:p>
            <w:pPr>
              <w:pStyle w:val="yTableNAm"/>
              <w:tabs>
                <w:tab w:val="clear" w:pos="567"/>
                <w:tab w:val="decimal" w:pos="463"/>
              </w:tabs>
            </w:pPr>
            <w:r>
              <w:t>0.005</w:t>
            </w:r>
          </w:p>
        </w:tc>
      </w:tr>
      <w:tr>
        <w:trPr>
          <w:cantSplit/>
        </w:trPr>
        <w:tc>
          <w:tcPr>
            <w:tcW w:w="1276" w:type="dxa"/>
          </w:tcPr>
          <w:p>
            <w:pPr>
              <w:pStyle w:val="yTableNAm"/>
            </w:pPr>
            <w:r>
              <w:rPr>
                <w:szCs w:val="22"/>
              </w:rPr>
              <w:lastRenderedPageBreak/>
              <w:t>60A.</w:t>
            </w:r>
          </w:p>
        </w:tc>
        <w:tc>
          <w:tcPr>
            <w:tcW w:w="4678"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r>
            <w:r>
              <w:rPr>
                <w:szCs w:val="22"/>
              </w:rPr>
              <w:br/>
              <w:t>(2</w:t>
            </w:r>
            <w:r>
              <w:rPr>
                <w:szCs w:val="22"/>
              </w:rPr>
              <w:noBreakHyphen/>
              <w:t>IODOBENZOYL) INDOLE (AM</w:t>
            </w:r>
            <w:r>
              <w:rPr>
                <w:szCs w:val="22"/>
              </w:rPr>
              <w:noBreakHyphen/>
              <w:t>694)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60AA.</w:t>
            </w:r>
          </w:p>
        </w:tc>
        <w:tc>
          <w:tcPr>
            <w:tcW w:w="4678"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r>
            <w:r>
              <w:rPr>
                <w:szCs w:val="22"/>
              </w:rPr>
              <w:br/>
              <w:t>(2</w:t>
            </w:r>
            <w:r>
              <w:rPr>
                <w:szCs w:val="22"/>
              </w:rPr>
              <w:noBreakHyphen/>
              <w:t>IODOBENZOYL) INDOLE (AM</w:t>
            </w:r>
            <w:r>
              <w:rPr>
                <w:szCs w:val="22"/>
              </w:rPr>
              <w:noBreakHyphen/>
              <w:t>694)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60AB.</w:t>
            </w:r>
          </w:p>
        </w:tc>
        <w:tc>
          <w:tcPr>
            <w:tcW w:w="4678" w:type="dxa"/>
          </w:tcPr>
          <w:p>
            <w:pPr>
              <w:pStyle w:val="yTableNAm"/>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60AC.</w:t>
            </w:r>
          </w:p>
        </w:tc>
        <w:tc>
          <w:tcPr>
            <w:tcW w:w="4678" w:type="dxa"/>
          </w:tcPr>
          <w:p>
            <w:pPr>
              <w:pStyle w:val="yTableNAm"/>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60B.</w:t>
            </w:r>
          </w:p>
        </w:tc>
        <w:tc>
          <w:tcPr>
            <w:tcW w:w="4678"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60C.</w:t>
            </w:r>
          </w:p>
        </w:tc>
        <w:tc>
          <w:tcPr>
            <w:tcW w:w="4678"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w:t>
            </w:r>
            <w:r>
              <w:rPr>
                <w:rFonts w:ascii="Arial" w:hAnsi="Arial" w:cs="Arial"/>
                <w:szCs w:val="22"/>
              </w:rPr>
              <w:t xml:space="preserve"> </w:t>
            </w:r>
            <w:r>
              <w:rPr>
                <w:szCs w:val="22"/>
              </w:rPr>
              <w:t>(in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rPr>
                <w:szCs w:val="22"/>
              </w:rPr>
            </w:pPr>
            <w:r>
              <w:t>60D.</w:t>
            </w:r>
          </w:p>
        </w:tc>
        <w:tc>
          <w:tcPr>
            <w:tcW w:w="4678" w:type="dxa"/>
          </w:tcPr>
          <w:p>
            <w:pPr>
              <w:pStyle w:val="yTableNAm"/>
              <w:rPr>
                <w:szCs w:val="22"/>
              </w:rPr>
            </w:pPr>
            <w:r>
              <w:rPr>
                <w:color w:val="000000"/>
              </w:rPr>
              <w:t>5</w:t>
            </w:r>
            <w:r>
              <w:rPr>
                <w:color w:val="000000"/>
              </w:rPr>
              <w:noBreakHyphen/>
              <w:t>(5</w:t>
            </w:r>
            <w:r>
              <w:rPr>
                <w:color w:val="000000"/>
              </w:rPr>
              <w:noBreakHyphen/>
              <w:t>FLUOROPENTYL)</w:t>
            </w:r>
            <w:r>
              <w:rPr>
                <w:color w:val="000000"/>
              </w:rPr>
              <w:noBreakHyphen/>
              <w:t>2</w:t>
            </w:r>
            <w:r>
              <w:rPr>
                <w:color w:val="000000"/>
              </w:rPr>
              <w:noBreakHyphen/>
              <w:t>(2</w:t>
            </w:r>
            <w:r>
              <w:rPr>
                <w:color w:val="000000"/>
              </w:rPr>
              <w:noBreakHyphen/>
              <w:t>PHENYLPROPAN</w:t>
            </w:r>
            <w:r>
              <w:rPr>
                <w:color w:val="000000"/>
              </w:rPr>
              <w:noBreakHyphen/>
              <w:t>2</w:t>
            </w:r>
            <w:r>
              <w:rPr>
                <w:color w:val="000000"/>
              </w:rPr>
              <w:noBreakHyphen/>
              <w:t>YL)</w:t>
            </w:r>
            <w:r>
              <w:rPr>
                <w:color w:val="000000"/>
              </w:rPr>
              <w:noBreakHyphen/>
              <w:t>2,5</w:t>
            </w:r>
            <w:r>
              <w:rPr>
                <w:color w:val="000000"/>
              </w:rPr>
              <w:noBreakHyphen/>
              <w:t>DIHYDRO</w:t>
            </w:r>
            <w:r>
              <w:rPr>
                <w:color w:val="000000"/>
              </w:rPr>
              <w:noBreakHyphen/>
              <w:t>1H</w:t>
            </w:r>
            <w:r>
              <w:rPr>
                <w:color w:val="000000"/>
              </w:rPr>
              <w:noBreakHyphen/>
              <w:t>PYRIDO[4,3</w:t>
            </w:r>
            <w:r>
              <w:rPr>
                <w:color w:val="000000"/>
              </w:rPr>
              <w:noBreakHyphen/>
              <w:t>B]INDOL</w:t>
            </w:r>
            <w:r>
              <w:rPr>
                <w:color w:val="000000"/>
              </w:rPr>
              <w:noBreakHyphen/>
              <w:t>1</w:t>
            </w:r>
            <w:r>
              <w:rPr>
                <w:color w:val="000000"/>
              </w:rPr>
              <w:noBreakHyphen/>
              <w:t>ONE (5F</w:t>
            </w:r>
            <w:r>
              <w:rPr>
                <w:color w:val="000000"/>
              </w:rPr>
              <w:noBreakHyphen/>
              <w:t>CUMYL</w:t>
            </w:r>
            <w:r>
              <w:rPr>
                <w:color w:val="000000"/>
              </w:rPr>
              <w:noBreakHyphen/>
              <w:t>PEGACLONE; 5F SGT</w:t>
            </w:r>
            <w:r>
              <w:rPr>
                <w:color w:val="000000"/>
              </w:rPr>
              <w:noBreakHyphen/>
              <w:t>151) (</w:t>
            </w:r>
            <w:r>
              <w:rPr>
                <w:bCs/>
                <w:color w:val="000000"/>
              </w:rPr>
              <w:t>plant material</w:t>
            </w:r>
            <w:r>
              <w:rPr>
                <w:color w:val="000000"/>
              </w:rPr>
              <w:t>)</w:t>
            </w:r>
          </w:p>
        </w:tc>
        <w:tc>
          <w:tcPr>
            <w:tcW w:w="1418" w:type="dxa"/>
            <w:vAlign w:val="bottom"/>
          </w:tcPr>
          <w:p>
            <w:pPr>
              <w:pStyle w:val="yTableNAm"/>
              <w:tabs>
                <w:tab w:val="clear" w:pos="567"/>
                <w:tab w:val="decimal" w:pos="463"/>
              </w:tabs>
              <w:rPr>
                <w:szCs w:val="22"/>
              </w:rPr>
            </w:pPr>
            <w:r>
              <w:t>30.0</w:t>
            </w:r>
          </w:p>
        </w:tc>
      </w:tr>
      <w:tr>
        <w:trPr>
          <w:cantSplit/>
        </w:trPr>
        <w:tc>
          <w:tcPr>
            <w:tcW w:w="1276" w:type="dxa"/>
          </w:tcPr>
          <w:p>
            <w:pPr>
              <w:pStyle w:val="yTableNAm"/>
              <w:rPr>
                <w:szCs w:val="22"/>
              </w:rPr>
            </w:pPr>
            <w:r>
              <w:t>60E.</w:t>
            </w:r>
          </w:p>
        </w:tc>
        <w:tc>
          <w:tcPr>
            <w:tcW w:w="4678" w:type="dxa"/>
          </w:tcPr>
          <w:p>
            <w:pPr>
              <w:pStyle w:val="yTableNAm"/>
              <w:rPr>
                <w:szCs w:val="22"/>
              </w:rPr>
            </w:pPr>
            <w:r>
              <w:rPr>
                <w:rFonts w:cs="Arial"/>
                <w:szCs w:val="24"/>
              </w:rPr>
              <w:t>5</w:t>
            </w:r>
            <w:r>
              <w:rPr>
                <w:rFonts w:cs="Arial"/>
                <w:szCs w:val="24"/>
              </w:rPr>
              <w:noBreakHyphen/>
              <w:t>(5</w:t>
            </w:r>
            <w:r>
              <w:rPr>
                <w:rFonts w:cs="Arial"/>
                <w:szCs w:val="24"/>
              </w:rPr>
              <w:noBreakHyphen/>
              <w:t>FLUOROPENTYL)</w:t>
            </w:r>
            <w:r>
              <w:rPr>
                <w:rFonts w:cs="Arial"/>
                <w:szCs w:val="24"/>
              </w:rPr>
              <w:noBreakHyphen/>
              <w:t>2</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2,5</w:t>
            </w:r>
            <w:r>
              <w:rPr>
                <w:rFonts w:cs="Arial"/>
                <w:szCs w:val="24"/>
              </w:rPr>
              <w:noBreakHyphen/>
              <w:t>DIHYDRO</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(5F</w:t>
            </w:r>
            <w:r>
              <w:rPr>
                <w:rFonts w:cs="Arial"/>
                <w:szCs w:val="24"/>
              </w:rPr>
              <w:noBreakHyphen/>
              <w:t>CUMYL</w:t>
            </w:r>
            <w:r>
              <w:rPr>
                <w:rFonts w:cs="Arial"/>
                <w:szCs w:val="24"/>
              </w:rPr>
              <w:noBreakHyphen/>
              <w:t>PEGACLONE; 5F SGT</w:t>
            </w:r>
            <w:r>
              <w:rPr>
                <w:rFonts w:cs="Arial"/>
                <w:szCs w:val="24"/>
              </w:rPr>
              <w:noBreakHyphen/>
              <w:t>151) (</w:t>
            </w:r>
            <w:r>
              <w:rPr>
                <w:rFonts w:cs="Arial"/>
                <w:bCs/>
                <w:szCs w:val="24"/>
              </w:rPr>
              <w:t>in any form except plant materia</w:t>
            </w:r>
            <w:r>
              <w:rPr>
                <w:rFonts w:cs="Arial"/>
                <w:szCs w:val="24"/>
              </w:rPr>
              <w:t>l)</w:t>
            </w:r>
          </w:p>
        </w:tc>
        <w:tc>
          <w:tcPr>
            <w:tcW w:w="1418" w:type="dxa"/>
            <w:vAlign w:val="bottom"/>
          </w:tcPr>
          <w:p>
            <w:pPr>
              <w:pStyle w:val="yTableNAm"/>
              <w:tabs>
                <w:tab w:val="clear" w:pos="567"/>
                <w:tab w:val="decimal" w:pos="463"/>
              </w:tabs>
              <w:rPr>
                <w:szCs w:val="22"/>
              </w:rPr>
            </w:pPr>
            <w:r>
              <w:t>2.0</w:t>
            </w:r>
          </w:p>
        </w:tc>
      </w:tr>
      <w:tr>
        <w:trPr>
          <w:cantSplit/>
        </w:trPr>
        <w:tc>
          <w:tcPr>
            <w:tcW w:w="1276" w:type="dxa"/>
          </w:tcPr>
          <w:p>
            <w:pPr>
              <w:pStyle w:val="yTableNAm"/>
              <w:rPr>
                <w:szCs w:val="22"/>
              </w:rPr>
            </w:pPr>
            <w:r>
              <w:t>60F.</w:t>
            </w:r>
          </w:p>
        </w:tc>
        <w:tc>
          <w:tcPr>
            <w:tcW w:w="4678" w:type="dxa"/>
          </w:tcPr>
          <w:p>
            <w:pPr>
              <w:pStyle w:val="yTableNAm"/>
              <w:rPr>
                <w:szCs w:val="22"/>
              </w:rPr>
            </w:pPr>
            <w:r>
              <w:rPr>
                <w:rFonts w:cs="Arial"/>
                <w:szCs w:val="24"/>
              </w:rPr>
              <w:t>2</w:t>
            </w:r>
            <w:r>
              <w:rPr>
                <w:rFonts w:cs="Arial"/>
                <w:szCs w:val="24"/>
              </w:rPr>
              <w:noBreakHyphen/>
              <w:t>(2</w:t>
            </w:r>
            <w:r>
              <w:rPr>
                <w:rFonts w:cs="Arial"/>
                <w:szCs w:val="24"/>
              </w:rPr>
              <w:noBreakHyphen/>
              <w:t>FLUOROPHENYL)</w:t>
            </w:r>
            <w:r>
              <w:rPr>
                <w:rFonts w:cs="Arial"/>
                <w:szCs w:val="24"/>
              </w:rPr>
              <w:noBreakHyphen/>
              <w:t>2</w:t>
            </w:r>
            <w:r>
              <w:rPr>
                <w:rFonts w:cs="Arial"/>
                <w:szCs w:val="24"/>
              </w:rPr>
              <w:noBreakHyphen/>
              <w:t>METHYLAMINO</w:t>
            </w:r>
            <w:r>
              <w:rPr>
                <w:rFonts w:cs="Arial"/>
                <w:szCs w:val="24"/>
              </w:rPr>
              <w:noBreakHyphen/>
              <w:t>CYCLOHEXANONE (2</w:t>
            </w:r>
            <w:r>
              <w:rPr>
                <w:rFonts w:cs="Arial"/>
                <w:szCs w:val="24"/>
              </w:rPr>
              <w:noBreakHyphen/>
              <w:t>FLUORODESCHLOROKETAMINE; 2FDCK)</w:t>
            </w:r>
          </w:p>
        </w:tc>
        <w:tc>
          <w:tcPr>
            <w:tcW w:w="1418" w:type="dxa"/>
            <w:vAlign w:val="bottom"/>
          </w:tcPr>
          <w:p>
            <w:pPr>
              <w:pStyle w:val="yTableNAm"/>
              <w:tabs>
                <w:tab w:val="clear" w:pos="567"/>
                <w:tab w:val="decimal" w:pos="463"/>
              </w:tabs>
              <w:rPr>
                <w:szCs w:val="22"/>
              </w:rPr>
            </w:pPr>
            <w:r>
              <w:t>2.0</w:t>
            </w:r>
          </w:p>
        </w:tc>
      </w:tr>
      <w:tr>
        <w:trPr>
          <w:cantSplit/>
        </w:trPr>
        <w:tc>
          <w:tcPr>
            <w:tcW w:w="1276" w:type="dxa"/>
          </w:tcPr>
          <w:p>
            <w:pPr>
              <w:pStyle w:val="yTableNAm"/>
            </w:pPr>
            <w:r>
              <w:lastRenderedPageBreak/>
              <w:t>60.</w:t>
            </w:r>
          </w:p>
        </w:tc>
        <w:tc>
          <w:tcPr>
            <w:tcW w:w="4678" w:type="dxa"/>
          </w:tcPr>
          <w:p>
            <w:pPr>
              <w:pStyle w:val="yTableNAm"/>
            </w:pPr>
            <w:r>
              <w:t>FURETHIDINE</w:t>
            </w:r>
          </w:p>
        </w:tc>
        <w:tc>
          <w:tcPr>
            <w:tcW w:w="1418" w:type="dxa"/>
          </w:tcPr>
          <w:p>
            <w:pPr>
              <w:pStyle w:val="yTableNAm"/>
              <w:tabs>
                <w:tab w:val="clear" w:pos="567"/>
                <w:tab w:val="decimal" w:pos="463"/>
              </w:tabs>
            </w:pPr>
            <w:r>
              <w:t>1.0</w:t>
            </w:r>
          </w:p>
        </w:tc>
      </w:tr>
      <w:tr>
        <w:trPr>
          <w:cantSplit/>
        </w:trPr>
        <w:tc>
          <w:tcPr>
            <w:tcW w:w="1276" w:type="dxa"/>
          </w:tcPr>
          <w:p>
            <w:pPr>
              <w:pStyle w:val="yTableNAm"/>
            </w:pPr>
            <w:r>
              <w:rPr>
                <w:szCs w:val="22"/>
              </w:rPr>
              <w:t>60AAA.</w:t>
            </w:r>
          </w:p>
        </w:tc>
        <w:tc>
          <w:tcPr>
            <w:tcW w:w="4678" w:type="dxa"/>
          </w:tcPr>
          <w:p>
            <w:pPr>
              <w:pStyle w:val="yTableNAm"/>
            </w:pPr>
            <w:r>
              <w:rPr>
                <w:rFonts w:cs="Arial"/>
                <w:szCs w:val="22"/>
              </w:rPr>
              <w:t>GAMMA HYDROXY BUTRATE (4</w:t>
            </w:r>
            <w:r>
              <w:rPr>
                <w:rFonts w:cs="Arial"/>
                <w:szCs w:val="22"/>
              </w:rPr>
              <w:noBreakHyphen/>
              <w:t>HYDROXYBUTANOIC ACID)</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61.</w:t>
            </w:r>
          </w:p>
        </w:tc>
        <w:tc>
          <w:tcPr>
            <w:tcW w:w="4678" w:type="dxa"/>
          </w:tcPr>
          <w:p>
            <w:pPr>
              <w:pStyle w:val="yTableNAm"/>
            </w:pPr>
            <w:r>
              <w:t>HALLUCINOGENIC SUBSTANCES (structurally derived from methoxyphenethylamine)</w:t>
            </w:r>
          </w:p>
        </w:tc>
        <w:tc>
          <w:tcPr>
            <w:tcW w:w="1418" w:type="dxa"/>
          </w:tcPr>
          <w:p>
            <w:pPr>
              <w:pStyle w:val="yTableNAm"/>
              <w:tabs>
                <w:tab w:val="clear" w:pos="567"/>
                <w:tab w:val="decimal" w:pos="463"/>
              </w:tabs>
            </w:pPr>
            <w:r>
              <w:br/>
              <w:t>0.05</w:t>
            </w:r>
          </w:p>
        </w:tc>
      </w:tr>
      <w:tr>
        <w:trPr>
          <w:cantSplit/>
        </w:trPr>
        <w:tc>
          <w:tcPr>
            <w:tcW w:w="1276" w:type="dxa"/>
          </w:tcPr>
          <w:p>
            <w:pPr>
              <w:pStyle w:val="yTableNAm"/>
            </w:pPr>
            <w:r>
              <w:t>62.</w:t>
            </w:r>
          </w:p>
        </w:tc>
        <w:tc>
          <w:tcPr>
            <w:tcW w:w="4678" w:type="dxa"/>
          </w:tcPr>
          <w:p>
            <w:pPr>
              <w:pStyle w:val="yTableNAm"/>
            </w:pPr>
            <w:r>
              <w:t>HEPTABARBITONE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63.</w:t>
            </w:r>
          </w:p>
        </w:tc>
        <w:tc>
          <w:tcPr>
            <w:tcW w:w="4678" w:type="dxa"/>
          </w:tcPr>
          <w:p>
            <w:pPr>
              <w:pStyle w:val="yTableNAm"/>
            </w:pPr>
            <w:r>
              <w:t>HEROIN</w:t>
            </w:r>
          </w:p>
        </w:tc>
        <w:tc>
          <w:tcPr>
            <w:tcW w:w="1418" w:type="dxa"/>
          </w:tcPr>
          <w:p>
            <w:pPr>
              <w:pStyle w:val="yTableNAm"/>
              <w:tabs>
                <w:tab w:val="clear" w:pos="567"/>
                <w:tab w:val="decimal" w:pos="463"/>
              </w:tabs>
            </w:pPr>
            <w:r>
              <w:t>2.0</w:t>
            </w:r>
          </w:p>
        </w:tc>
      </w:tr>
      <w:tr>
        <w:trPr>
          <w:cantSplit/>
        </w:trPr>
        <w:tc>
          <w:tcPr>
            <w:tcW w:w="1276" w:type="dxa"/>
          </w:tcPr>
          <w:p>
            <w:pPr>
              <w:pStyle w:val="yTableNAm"/>
            </w:pPr>
            <w:r>
              <w:t>64.</w:t>
            </w:r>
          </w:p>
        </w:tc>
        <w:tc>
          <w:tcPr>
            <w:tcW w:w="4678" w:type="dxa"/>
          </w:tcPr>
          <w:p>
            <w:pPr>
              <w:pStyle w:val="yTableNAm"/>
            </w:pPr>
            <w:r>
              <w:t>HEXOBARBITONE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rPr>
                <w:szCs w:val="22"/>
              </w:rPr>
              <w:t>65A.</w:t>
            </w:r>
          </w:p>
        </w:tc>
        <w:tc>
          <w:tcPr>
            <w:tcW w:w="4678" w:type="dxa"/>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65B.</w:t>
            </w:r>
          </w:p>
        </w:tc>
        <w:tc>
          <w:tcPr>
            <w:tcW w:w="4678" w:type="dxa"/>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w:t>
            </w:r>
            <w:r>
              <w:rPr>
                <w:szCs w:val="22"/>
              </w:rPr>
              <w:t xml:space="preserve">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65.</w:t>
            </w:r>
          </w:p>
        </w:tc>
        <w:tc>
          <w:tcPr>
            <w:tcW w:w="4678" w:type="dxa"/>
          </w:tcPr>
          <w:p>
            <w:pPr>
              <w:pStyle w:val="yTableNAm"/>
            </w:pPr>
            <w:r>
              <w:t>HYDROCODONE</w:t>
            </w:r>
          </w:p>
        </w:tc>
        <w:tc>
          <w:tcPr>
            <w:tcW w:w="1418" w:type="dxa"/>
          </w:tcPr>
          <w:p>
            <w:pPr>
              <w:pStyle w:val="yTableNAm"/>
              <w:tabs>
                <w:tab w:val="clear" w:pos="567"/>
                <w:tab w:val="decimal" w:pos="463"/>
              </w:tabs>
            </w:pPr>
            <w:r>
              <w:t>2.0</w:t>
            </w:r>
          </w:p>
        </w:tc>
      </w:tr>
      <w:tr>
        <w:trPr>
          <w:cantSplit/>
        </w:trPr>
        <w:tc>
          <w:tcPr>
            <w:tcW w:w="1276" w:type="dxa"/>
          </w:tcPr>
          <w:p>
            <w:pPr>
              <w:pStyle w:val="yTableNAm"/>
            </w:pPr>
            <w:r>
              <w:t>66.</w:t>
            </w:r>
          </w:p>
        </w:tc>
        <w:tc>
          <w:tcPr>
            <w:tcW w:w="4678" w:type="dxa"/>
          </w:tcPr>
          <w:p>
            <w:pPr>
              <w:pStyle w:val="yTableNAm"/>
            </w:pPr>
            <w:r>
              <w:t>HYDROMORPHINOL</w:t>
            </w:r>
          </w:p>
        </w:tc>
        <w:tc>
          <w:tcPr>
            <w:tcW w:w="1418" w:type="dxa"/>
          </w:tcPr>
          <w:p>
            <w:pPr>
              <w:pStyle w:val="yTableNAm"/>
              <w:tabs>
                <w:tab w:val="clear" w:pos="567"/>
                <w:tab w:val="decimal" w:pos="463"/>
              </w:tabs>
            </w:pPr>
            <w:r>
              <w:t>2.0</w:t>
            </w:r>
          </w:p>
        </w:tc>
      </w:tr>
      <w:tr>
        <w:trPr>
          <w:cantSplit/>
        </w:trPr>
        <w:tc>
          <w:tcPr>
            <w:tcW w:w="1276" w:type="dxa"/>
          </w:tcPr>
          <w:p>
            <w:pPr>
              <w:pStyle w:val="yTableNAm"/>
            </w:pPr>
            <w:r>
              <w:t>67.</w:t>
            </w:r>
          </w:p>
        </w:tc>
        <w:tc>
          <w:tcPr>
            <w:tcW w:w="4678" w:type="dxa"/>
          </w:tcPr>
          <w:p>
            <w:pPr>
              <w:pStyle w:val="yTableNAm"/>
            </w:pPr>
            <w:r>
              <w:t>HYDROMORPHONE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68A.</w:t>
            </w:r>
          </w:p>
        </w:tc>
        <w:tc>
          <w:tcPr>
            <w:tcW w:w="4678" w:type="dxa"/>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r>
            <w:r>
              <w:rPr>
                <w:szCs w:val="22"/>
              </w:rPr>
              <w:br/>
              <w:t>(2</w:t>
            </w:r>
            <w:r>
              <w:rPr>
                <w:szCs w:val="22"/>
              </w:rPr>
              <w:noBreakHyphen/>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68B.</w:t>
            </w:r>
          </w:p>
        </w:tc>
        <w:tc>
          <w:tcPr>
            <w:tcW w:w="4678" w:type="dxa"/>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r>
            <w:r>
              <w:rPr>
                <w:szCs w:val="22"/>
              </w:rPr>
              <w:br/>
              <w:t>(2</w:t>
            </w:r>
            <w:r>
              <w:rPr>
                <w:szCs w:val="22"/>
              </w:rPr>
              <w:noBreakHyphen/>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t>68.</w:t>
            </w:r>
          </w:p>
        </w:tc>
        <w:tc>
          <w:tcPr>
            <w:tcW w:w="4678" w:type="dxa"/>
          </w:tcPr>
          <w:p>
            <w:pPr>
              <w:pStyle w:val="yTableNAm"/>
            </w:pPr>
            <w:r>
              <w:t>HYDROXYPETHIDINE</w:t>
            </w:r>
          </w:p>
        </w:tc>
        <w:tc>
          <w:tcPr>
            <w:tcW w:w="1418" w:type="dxa"/>
          </w:tcPr>
          <w:p>
            <w:pPr>
              <w:pStyle w:val="yTableNAm"/>
              <w:tabs>
                <w:tab w:val="clear" w:pos="567"/>
                <w:tab w:val="decimal" w:pos="463"/>
              </w:tabs>
            </w:pPr>
            <w:r>
              <w:t>5.0</w:t>
            </w:r>
          </w:p>
        </w:tc>
      </w:tr>
      <w:tr>
        <w:trPr>
          <w:cantSplit/>
        </w:trPr>
        <w:tc>
          <w:tcPr>
            <w:tcW w:w="1276" w:type="dxa"/>
          </w:tcPr>
          <w:p>
            <w:pPr>
              <w:pStyle w:val="yTableNAm"/>
            </w:pPr>
            <w:r>
              <w:t>69.</w:t>
            </w:r>
          </w:p>
        </w:tc>
        <w:tc>
          <w:tcPr>
            <w:tcW w:w="4678" w:type="dxa"/>
          </w:tcPr>
          <w:p>
            <w:pPr>
              <w:pStyle w:val="yTableNAm"/>
            </w:pPr>
            <w:r>
              <w:t>ISOMETHADONE</w:t>
            </w:r>
          </w:p>
        </w:tc>
        <w:tc>
          <w:tcPr>
            <w:tcW w:w="1418" w:type="dxa"/>
          </w:tcPr>
          <w:p>
            <w:pPr>
              <w:pStyle w:val="yTableNAm"/>
              <w:tabs>
                <w:tab w:val="clear" w:pos="567"/>
                <w:tab w:val="decimal" w:pos="463"/>
              </w:tabs>
            </w:pPr>
            <w:r>
              <w:t>0.2</w:t>
            </w:r>
          </w:p>
        </w:tc>
      </w:tr>
      <w:tr>
        <w:trPr>
          <w:cantSplit/>
        </w:trPr>
        <w:tc>
          <w:tcPr>
            <w:tcW w:w="1276" w:type="dxa"/>
          </w:tcPr>
          <w:p>
            <w:pPr>
              <w:pStyle w:val="yTableNAm"/>
            </w:pPr>
            <w:r>
              <w:t>70.</w:t>
            </w:r>
          </w:p>
        </w:tc>
        <w:tc>
          <w:tcPr>
            <w:tcW w:w="4678" w:type="dxa"/>
          </w:tcPr>
          <w:p>
            <w:pPr>
              <w:pStyle w:val="yTableNAm"/>
            </w:pPr>
            <w:r>
              <w:t>KETOBEMIDONE</w:t>
            </w:r>
          </w:p>
        </w:tc>
        <w:tc>
          <w:tcPr>
            <w:tcW w:w="1418" w:type="dxa"/>
          </w:tcPr>
          <w:p>
            <w:pPr>
              <w:pStyle w:val="yTableNAm"/>
              <w:tabs>
                <w:tab w:val="clear" w:pos="567"/>
                <w:tab w:val="decimal" w:pos="463"/>
              </w:tabs>
            </w:pPr>
            <w:r>
              <w:t>0.2</w:t>
            </w:r>
          </w:p>
        </w:tc>
      </w:tr>
      <w:tr>
        <w:trPr>
          <w:cantSplit/>
        </w:trPr>
        <w:tc>
          <w:tcPr>
            <w:tcW w:w="1276" w:type="dxa"/>
          </w:tcPr>
          <w:p>
            <w:pPr>
              <w:pStyle w:val="yTableNAm"/>
            </w:pPr>
            <w:r>
              <w:lastRenderedPageBreak/>
              <w:t>71.</w:t>
            </w:r>
          </w:p>
        </w:tc>
        <w:tc>
          <w:tcPr>
            <w:tcW w:w="4678" w:type="dxa"/>
          </w:tcPr>
          <w:p>
            <w:pPr>
              <w:pStyle w:val="yTableNAm"/>
            </w:pPr>
            <w:r>
              <w:t>LEVOMETHORPHAN</w:t>
            </w:r>
          </w:p>
        </w:tc>
        <w:tc>
          <w:tcPr>
            <w:tcW w:w="1418" w:type="dxa"/>
          </w:tcPr>
          <w:p>
            <w:pPr>
              <w:pStyle w:val="yTableNAm"/>
              <w:tabs>
                <w:tab w:val="clear" w:pos="567"/>
                <w:tab w:val="decimal" w:pos="463"/>
              </w:tabs>
            </w:pPr>
            <w:r>
              <w:t>1.0</w:t>
            </w:r>
          </w:p>
        </w:tc>
      </w:tr>
      <w:tr>
        <w:trPr>
          <w:cantSplit/>
        </w:trPr>
        <w:tc>
          <w:tcPr>
            <w:tcW w:w="1276" w:type="dxa"/>
          </w:tcPr>
          <w:p>
            <w:pPr>
              <w:pStyle w:val="yTableNAm"/>
            </w:pPr>
            <w:r>
              <w:t>72.</w:t>
            </w:r>
          </w:p>
        </w:tc>
        <w:tc>
          <w:tcPr>
            <w:tcW w:w="4678" w:type="dxa"/>
          </w:tcPr>
          <w:p>
            <w:pPr>
              <w:pStyle w:val="yTableNAm"/>
            </w:pPr>
            <w:r>
              <w:t>LEVOMORAMIDE</w:t>
            </w:r>
          </w:p>
        </w:tc>
        <w:tc>
          <w:tcPr>
            <w:tcW w:w="1418" w:type="dxa"/>
          </w:tcPr>
          <w:p>
            <w:pPr>
              <w:pStyle w:val="yTableNAm"/>
              <w:tabs>
                <w:tab w:val="clear" w:pos="567"/>
                <w:tab w:val="decimal" w:pos="463"/>
              </w:tabs>
            </w:pPr>
            <w:r>
              <w:t>2.0</w:t>
            </w:r>
          </w:p>
        </w:tc>
      </w:tr>
      <w:tr>
        <w:trPr>
          <w:cantSplit/>
        </w:trPr>
        <w:tc>
          <w:tcPr>
            <w:tcW w:w="1276" w:type="dxa"/>
          </w:tcPr>
          <w:p>
            <w:pPr>
              <w:pStyle w:val="yTableNAm"/>
            </w:pPr>
            <w:r>
              <w:t>73.</w:t>
            </w:r>
          </w:p>
        </w:tc>
        <w:tc>
          <w:tcPr>
            <w:tcW w:w="4678" w:type="dxa"/>
          </w:tcPr>
          <w:p>
            <w:pPr>
              <w:pStyle w:val="yTableNAm"/>
            </w:pPr>
            <w:r>
              <w:t>LEVOPHENACYLMORPHAN</w:t>
            </w:r>
          </w:p>
        </w:tc>
        <w:tc>
          <w:tcPr>
            <w:tcW w:w="1418" w:type="dxa"/>
          </w:tcPr>
          <w:p>
            <w:pPr>
              <w:pStyle w:val="yTableNAm"/>
              <w:tabs>
                <w:tab w:val="clear" w:pos="567"/>
                <w:tab w:val="decimal" w:pos="463"/>
              </w:tabs>
            </w:pPr>
            <w:r>
              <w:t>2.0</w:t>
            </w:r>
          </w:p>
        </w:tc>
      </w:tr>
      <w:tr>
        <w:trPr>
          <w:cantSplit/>
        </w:trPr>
        <w:tc>
          <w:tcPr>
            <w:tcW w:w="1276" w:type="dxa"/>
          </w:tcPr>
          <w:p>
            <w:pPr>
              <w:pStyle w:val="yTableNAm"/>
            </w:pPr>
            <w:r>
              <w:t>74.</w:t>
            </w:r>
          </w:p>
        </w:tc>
        <w:tc>
          <w:tcPr>
            <w:tcW w:w="4678" w:type="dxa"/>
          </w:tcPr>
          <w:p>
            <w:pPr>
              <w:pStyle w:val="yTableNAm"/>
            </w:pPr>
            <w:r>
              <w:t>LEVORPHANOL</w:t>
            </w:r>
          </w:p>
        </w:tc>
        <w:tc>
          <w:tcPr>
            <w:tcW w:w="1418" w:type="dxa"/>
          </w:tcPr>
          <w:p>
            <w:pPr>
              <w:pStyle w:val="yTableNAm"/>
              <w:tabs>
                <w:tab w:val="clear" w:pos="567"/>
                <w:tab w:val="decimal" w:pos="463"/>
              </w:tabs>
            </w:pPr>
            <w:r>
              <w:t>1.0</w:t>
            </w:r>
          </w:p>
        </w:tc>
      </w:tr>
      <w:tr>
        <w:trPr>
          <w:cantSplit/>
        </w:trPr>
        <w:tc>
          <w:tcPr>
            <w:tcW w:w="1276" w:type="dxa"/>
          </w:tcPr>
          <w:p>
            <w:pPr>
              <w:pStyle w:val="yTableNAm"/>
            </w:pPr>
            <w:r>
              <w:t>75.</w:t>
            </w:r>
          </w:p>
        </w:tc>
        <w:tc>
          <w:tcPr>
            <w:tcW w:w="4678" w:type="dxa"/>
          </w:tcPr>
          <w:p>
            <w:pPr>
              <w:pStyle w:val="yTableNAm"/>
            </w:pPr>
            <w:r>
              <w:t>LYSERGIC ACID DIETHYLAMIDE (LSD)</w:t>
            </w:r>
          </w:p>
        </w:tc>
        <w:tc>
          <w:tcPr>
            <w:tcW w:w="1418" w:type="dxa"/>
          </w:tcPr>
          <w:p>
            <w:pPr>
              <w:pStyle w:val="yTableNAm"/>
              <w:tabs>
                <w:tab w:val="clear" w:pos="567"/>
                <w:tab w:val="decimal" w:pos="463"/>
              </w:tabs>
            </w:pPr>
            <w:r>
              <w:t>0.002</w:t>
            </w:r>
          </w:p>
        </w:tc>
      </w:tr>
      <w:tr>
        <w:trPr>
          <w:cantSplit/>
        </w:trPr>
        <w:tc>
          <w:tcPr>
            <w:tcW w:w="1276" w:type="dxa"/>
          </w:tcPr>
          <w:p>
            <w:pPr>
              <w:pStyle w:val="yTableNAm"/>
            </w:pPr>
            <w:r>
              <w:t>76.</w:t>
            </w:r>
          </w:p>
        </w:tc>
        <w:tc>
          <w:tcPr>
            <w:tcW w:w="4678" w:type="dxa"/>
          </w:tcPr>
          <w:p>
            <w:pPr>
              <w:pStyle w:val="yTableNAm"/>
            </w:pPr>
            <w:r>
              <w:t>MESCALINE</w:t>
            </w:r>
          </w:p>
        </w:tc>
        <w:tc>
          <w:tcPr>
            <w:tcW w:w="1418" w:type="dxa"/>
          </w:tcPr>
          <w:p>
            <w:pPr>
              <w:pStyle w:val="yTableNAm"/>
              <w:tabs>
                <w:tab w:val="clear" w:pos="567"/>
                <w:tab w:val="decimal" w:pos="463"/>
              </w:tabs>
            </w:pPr>
            <w:r>
              <w:t>7.5</w:t>
            </w:r>
          </w:p>
        </w:tc>
      </w:tr>
      <w:tr>
        <w:trPr>
          <w:cantSplit/>
        </w:trPr>
        <w:tc>
          <w:tcPr>
            <w:tcW w:w="1276" w:type="dxa"/>
          </w:tcPr>
          <w:p>
            <w:pPr>
              <w:pStyle w:val="yTableNAm"/>
            </w:pPr>
            <w:r>
              <w:t>77.</w:t>
            </w:r>
          </w:p>
        </w:tc>
        <w:tc>
          <w:tcPr>
            <w:tcW w:w="4678" w:type="dxa"/>
          </w:tcPr>
          <w:p>
            <w:pPr>
              <w:pStyle w:val="yTableNAm"/>
            </w:pPr>
            <w:r>
              <w:t>METAZOCINE</w:t>
            </w:r>
          </w:p>
        </w:tc>
        <w:tc>
          <w:tcPr>
            <w:tcW w:w="1418" w:type="dxa"/>
          </w:tcPr>
          <w:p>
            <w:pPr>
              <w:pStyle w:val="yTableNAm"/>
              <w:tabs>
                <w:tab w:val="clear" w:pos="567"/>
                <w:tab w:val="decimal" w:pos="463"/>
              </w:tabs>
            </w:pPr>
            <w:r>
              <w:t>7.0</w:t>
            </w:r>
          </w:p>
        </w:tc>
      </w:tr>
      <w:tr>
        <w:trPr>
          <w:cantSplit/>
        </w:trPr>
        <w:tc>
          <w:tcPr>
            <w:tcW w:w="1276" w:type="dxa"/>
          </w:tcPr>
          <w:p>
            <w:pPr>
              <w:pStyle w:val="yTableNAm"/>
            </w:pPr>
            <w:r>
              <w:t>78.</w:t>
            </w:r>
          </w:p>
        </w:tc>
        <w:tc>
          <w:tcPr>
            <w:tcW w:w="4678" w:type="dxa"/>
          </w:tcPr>
          <w:p>
            <w:pPr>
              <w:pStyle w:val="yTableNAm"/>
            </w:pPr>
            <w:r>
              <w:t>METHADONE</w:t>
            </w:r>
          </w:p>
        </w:tc>
        <w:tc>
          <w:tcPr>
            <w:tcW w:w="1418" w:type="dxa"/>
          </w:tcPr>
          <w:p>
            <w:pPr>
              <w:pStyle w:val="yTableNAm"/>
              <w:tabs>
                <w:tab w:val="clear" w:pos="567"/>
                <w:tab w:val="decimal" w:pos="463"/>
              </w:tabs>
            </w:pPr>
            <w:r>
              <w:t>0.2</w:t>
            </w:r>
          </w:p>
        </w:tc>
      </w:tr>
      <w:tr>
        <w:trPr>
          <w:cantSplit/>
        </w:trPr>
        <w:tc>
          <w:tcPr>
            <w:tcW w:w="1276" w:type="dxa"/>
          </w:tcPr>
          <w:p>
            <w:pPr>
              <w:pStyle w:val="yTableNAm"/>
            </w:pPr>
            <w:r>
              <w:t>79.</w:t>
            </w:r>
          </w:p>
        </w:tc>
        <w:tc>
          <w:tcPr>
            <w:tcW w:w="4678" w:type="dxa"/>
          </w:tcPr>
          <w:p>
            <w:pPr>
              <w:pStyle w:val="yTableNAm"/>
            </w:pPr>
            <w:r>
              <w:t>METHADONE</w:t>
            </w:r>
            <w:r>
              <w:noBreakHyphen/>
              <w:t>INTERMEDIATE</w:t>
            </w:r>
          </w:p>
        </w:tc>
        <w:tc>
          <w:tcPr>
            <w:tcW w:w="1418" w:type="dxa"/>
          </w:tcPr>
          <w:p>
            <w:pPr>
              <w:pStyle w:val="yTableNAm"/>
              <w:tabs>
                <w:tab w:val="clear" w:pos="567"/>
                <w:tab w:val="decimal" w:pos="463"/>
              </w:tabs>
            </w:pPr>
            <w:r>
              <w:t>0.2</w:t>
            </w:r>
          </w:p>
        </w:tc>
      </w:tr>
      <w:tr>
        <w:trPr>
          <w:cantSplit/>
        </w:trPr>
        <w:tc>
          <w:tcPr>
            <w:tcW w:w="1276" w:type="dxa"/>
          </w:tcPr>
          <w:p>
            <w:pPr>
              <w:pStyle w:val="yTableNAm"/>
            </w:pPr>
            <w:r>
              <w:t>80.</w:t>
            </w:r>
          </w:p>
        </w:tc>
        <w:tc>
          <w:tcPr>
            <w:tcW w:w="4678" w:type="dxa"/>
          </w:tcPr>
          <w:p>
            <w:pPr>
              <w:pStyle w:val="yTableNAm"/>
            </w:pPr>
            <w:r>
              <w:t>METHAQUALONE</w:t>
            </w:r>
          </w:p>
        </w:tc>
        <w:tc>
          <w:tcPr>
            <w:tcW w:w="1418" w:type="dxa"/>
          </w:tcPr>
          <w:p>
            <w:pPr>
              <w:pStyle w:val="yTableNAm"/>
              <w:tabs>
                <w:tab w:val="clear" w:pos="567"/>
                <w:tab w:val="decimal" w:pos="463"/>
              </w:tabs>
            </w:pPr>
            <w:r>
              <w:t>50.0</w:t>
            </w:r>
          </w:p>
        </w:tc>
      </w:tr>
      <w:tr>
        <w:trPr>
          <w:cantSplit/>
        </w:trPr>
        <w:tc>
          <w:tcPr>
            <w:tcW w:w="1276" w:type="dxa"/>
          </w:tcPr>
          <w:p>
            <w:pPr>
              <w:pStyle w:val="yTableNAm"/>
            </w:pPr>
            <w:r>
              <w:t>81.</w:t>
            </w:r>
          </w:p>
        </w:tc>
        <w:tc>
          <w:tcPr>
            <w:tcW w:w="4678" w:type="dxa"/>
          </w:tcPr>
          <w:p>
            <w:pPr>
              <w:pStyle w:val="yTableNAm"/>
            </w:pPr>
            <w:r>
              <w:t>METHARBITONE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82A.</w:t>
            </w:r>
          </w:p>
        </w:tc>
        <w:tc>
          <w:tcPr>
            <w:tcW w:w="4678" w:type="dxa"/>
          </w:tcPr>
          <w:p>
            <w:pPr>
              <w:pStyle w:val="yTableNAm"/>
            </w:pPr>
            <w:r>
              <w:t>METHCATHINONE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82AA.</w:t>
            </w:r>
          </w:p>
        </w:tc>
        <w:tc>
          <w:tcPr>
            <w:tcW w:w="4678" w:type="dxa"/>
          </w:tcPr>
          <w:p>
            <w:pPr>
              <w:pStyle w:val="yTableNAm"/>
            </w:pPr>
            <w:r>
              <w:rPr>
                <w:szCs w:val="22"/>
              </w:rPr>
              <w:t>2</w:t>
            </w:r>
            <w:r>
              <w:rPr>
                <w:szCs w:val="22"/>
              </w:rPr>
              <w:noBreakHyphen/>
              <w:t>METHOXYDIPHENIDINE (2</w:t>
            </w:r>
            <w:r>
              <w:rPr>
                <w:szCs w:val="22"/>
              </w:rPr>
              <w:noBreakHyphen/>
              <w:t>MXP or MXP)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82AB.</w:t>
            </w:r>
          </w:p>
        </w:tc>
        <w:tc>
          <w:tcPr>
            <w:tcW w:w="4678" w:type="dxa"/>
          </w:tcPr>
          <w:p>
            <w:pPr>
              <w:pStyle w:val="yTableNAm"/>
            </w:pPr>
            <w:r>
              <w:rPr>
                <w:szCs w:val="22"/>
              </w:rPr>
              <w:t>2</w:t>
            </w:r>
            <w:r>
              <w:rPr>
                <w:szCs w:val="22"/>
              </w:rPr>
              <w:noBreakHyphen/>
              <w:t>METHOXYDIPHENIDINE (2</w:t>
            </w:r>
            <w:r>
              <w:rPr>
                <w:szCs w:val="22"/>
              </w:rPr>
              <w:noBreakHyphen/>
              <w:t>MXP or MXP)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rPr>
                <w:szCs w:val="22"/>
              </w:rPr>
            </w:pPr>
            <w:r>
              <w:rPr>
                <w:szCs w:val="22"/>
              </w:rPr>
              <w:t>82BA.</w:t>
            </w:r>
          </w:p>
        </w:tc>
        <w:tc>
          <w:tcPr>
            <w:tcW w:w="4678" w:type="dxa"/>
          </w:tcPr>
          <w:p>
            <w:pPr>
              <w:pStyle w:val="yTableNAm"/>
              <w:rPr>
                <w:szCs w:val="22"/>
              </w:rPr>
            </w:pPr>
            <w:r>
              <w:rPr>
                <w:rFonts w:cs="Arial"/>
                <w:szCs w:val="22"/>
              </w:rPr>
              <w:t>4</w:t>
            </w:r>
            <w:r>
              <w:rPr>
                <w:rFonts w:cs="Arial"/>
                <w:szCs w:val="22"/>
              </w:rPr>
              <w:noBreakHyphen/>
              <w:t>METHOXYPHENYL (1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 (plant material)</w:t>
            </w:r>
          </w:p>
        </w:tc>
        <w:tc>
          <w:tcPr>
            <w:tcW w:w="1418" w:type="dxa"/>
          </w:tcPr>
          <w:p>
            <w:pPr>
              <w:pStyle w:val="yTableNAm"/>
              <w:tabs>
                <w:tab w:val="clear" w:pos="567"/>
                <w:tab w:val="decimal" w:pos="463"/>
              </w:tabs>
              <w:rPr>
                <w:szCs w:val="22"/>
              </w:rPr>
            </w:pPr>
            <w:r>
              <w:rPr>
                <w:szCs w:val="22"/>
              </w:rPr>
              <w:br/>
            </w:r>
            <w:r>
              <w:rPr>
                <w:szCs w:val="22"/>
              </w:rPr>
              <w:br/>
              <w:t>30.0</w:t>
            </w:r>
          </w:p>
        </w:tc>
      </w:tr>
      <w:tr>
        <w:trPr>
          <w:cantSplit/>
        </w:trPr>
        <w:tc>
          <w:tcPr>
            <w:tcW w:w="1276" w:type="dxa"/>
          </w:tcPr>
          <w:p>
            <w:pPr>
              <w:pStyle w:val="yTableNAm"/>
              <w:rPr>
                <w:szCs w:val="22"/>
              </w:rPr>
            </w:pPr>
            <w:r>
              <w:rPr>
                <w:szCs w:val="22"/>
              </w:rPr>
              <w:t>82BAA.</w:t>
            </w:r>
          </w:p>
        </w:tc>
        <w:tc>
          <w:tcPr>
            <w:tcW w:w="4678" w:type="dxa"/>
          </w:tcPr>
          <w:p>
            <w:pPr>
              <w:pStyle w:val="yTableNAm"/>
              <w:rPr>
                <w:szCs w:val="22"/>
              </w:rPr>
            </w:pPr>
            <w:r>
              <w:rPr>
                <w:rFonts w:cs="Arial"/>
                <w:szCs w:val="22"/>
              </w:rPr>
              <w:t>4</w:t>
            </w:r>
            <w:r>
              <w:rPr>
                <w:rFonts w:cs="Arial"/>
                <w:szCs w:val="22"/>
              </w:rPr>
              <w:noBreakHyphen/>
              <w:t>METHOXYPHENYL (1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w:t>
            </w:r>
            <w:r>
              <w:rPr>
                <w:szCs w:val="22"/>
              </w:rPr>
              <w:t xml:space="preserve"> (in any form except plant material)</w:t>
            </w:r>
          </w:p>
        </w:tc>
        <w:tc>
          <w:tcPr>
            <w:tcW w:w="1418" w:type="dxa"/>
          </w:tcPr>
          <w:p>
            <w:pPr>
              <w:pStyle w:val="yTableNAm"/>
              <w:tabs>
                <w:tab w:val="clear" w:pos="567"/>
                <w:tab w:val="decimal" w:pos="463"/>
              </w:tabs>
              <w:rPr>
                <w:szCs w:val="22"/>
              </w:rPr>
            </w:pPr>
            <w:r>
              <w:rPr>
                <w:szCs w:val="22"/>
              </w:rPr>
              <w:br/>
            </w:r>
            <w:r>
              <w:rPr>
                <w:szCs w:val="22"/>
              </w:rPr>
              <w:br/>
              <w:t>2.0</w:t>
            </w:r>
          </w:p>
        </w:tc>
      </w:tr>
      <w:tr>
        <w:trPr>
          <w:cantSplit/>
        </w:trPr>
        <w:tc>
          <w:tcPr>
            <w:tcW w:w="1276" w:type="dxa"/>
          </w:tcPr>
          <w:p>
            <w:pPr>
              <w:pStyle w:val="yTableNAm"/>
            </w:pPr>
            <w:r>
              <w:rPr>
                <w:szCs w:val="22"/>
              </w:rPr>
              <w:t>82BB.</w:t>
            </w:r>
          </w:p>
        </w:tc>
        <w:tc>
          <w:tcPr>
            <w:tcW w:w="4678" w:type="dxa"/>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r>
            <w:r>
              <w:rPr>
                <w:szCs w:val="22"/>
              </w:rPr>
              <w:br/>
              <w:t>1H</w:t>
            </w:r>
            <w:r>
              <w:rPr>
                <w:szCs w:val="22"/>
              </w:rPr>
              <w:noBreakHyphen/>
              <w:t>INDOL</w:t>
            </w:r>
            <w:r>
              <w:rPr>
                <w:szCs w:val="22"/>
              </w:rPr>
              <w:noBreakHyphen/>
              <w:t>3</w:t>
            </w:r>
            <w:r>
              <w:rPr>
                <w:szCs w:val="22"/>
              </w:rPr>
              <w:noBreakHyphen/>
              <w:t>YL)</w:t>
            </w:r>
            <w:r>
              <w:rPr>
                <w:szCs w:val="22"/>
              </w:rPr>
              <w:noBreakHyphen/>
              <w:t>ETHANONE (JWH</w:t>
            </w:r>
            <w:r>
              <w:rPr>
                <w:szCs w:val="22"/>
              </w:rPr>
              <w:noBreakHyphen/>
              <w:t>201)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lastRenderedPageBreak/>
              <w:t>82BBA.</w:t>
            </w:r>
          </w:p>
        </w:tc>
        <w:tc>
          <w:tcPr>
            <w:tcW w:w="4678" w:type="dxa"/>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r>
            <w:r>
              <w:rPr>
                <w:szCs w:val="22"/>
              </w:rPr>
              <w:br/>
              <w:t>1H</w:t>
            </w:r>
            <w:r>
              <w:rPr>
                <w:szCs w:val="22"/>
              </w:rPr>
              <w:noBreakHyphen/>
              <w:t>INDOL</w:t>
            </w:r>
            <w:r>
              <w:rPr>
                <w:szCs w:val="22"/>
              </w:rPr>
              <w:noBreakHyphen/>
              <w:t>3</w:t>
            </w:r>
            <w:r>
              <w:rPr>
                <w:szCs w:val="22"/>
              </w:rPr>
              <w:noBreakHyphen/>
              <w:t>YL)</w:t>
            </w:r>
            <w:r>
              <w:rPr>
                <w:szCs w:val="22"/>
              </w:rPr>
              <w:noBreakHyphen/>
              <w:t>ETHANONE (JWH</w:t>
            </w:r>
            <w:r>
              <w:rPr>
                <w:szCs w:val="22"/>
              </w:rPr>
              <w:noBreakHyphen/>
              <w:t>201)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82B.</w:t>
            </w:r>
          </w:p>
        </w:tc>
        <w:tc>
          <w:tcPr>
            <w:tcW w:w="4678"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82CA.</w:t>
            </w:r>
          </w:p>
        </w:tc>
        <w:tc>
          <w:tcPr>
            <w:tcW w:w="4678"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82C.</w:t>
            </w:r>
          </w:p>
        </w:tc>
        <w:tc>
          <w:tcPr>
            <w:tcW w:w="4678" w:type="dxa"/>
          </w:tcPr>
          <w:p>
            <w:pPr>
              <w:pStyle w:val="yTableNAm"/>
              <w:rPr>
                <w:szCs w:val="24"/>
              </w:rPr>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t>YL) ETHANONE (JWH</w:t>
            </w:r>
            <w:r>
              <w:rPr>
                <w:rFonts w:cs="Arial"/>
                <w:szCs w:val="22"/>
              </w:rPr>
              <w:noBreakHyphen/>
              <w:t>302)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82D.</w:t>
            </w:r>
          </w:p>
        </w:tc>
        <w:tc>
          <w:tcPr>
            <w:tcW w:w="4678" w:type="dxa"/>
          </w:tcPr>
          <w:p>
            <w:pPr>
              <w:pStyle w:val="yTableNAm"/>
              <w:rPr>
                <w:szCs w:val="24"/>
              </w:rPr>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t>YL) ETHANONE (JWH</w:t>
            </w:r>
            <w:r>
              <w:rPr>
                <w:rFonts w:cs="Arial"/>
                <w:szCs w:val="22"/>
              </w:rPr>
              <w:noBreakHyphen/>
              <w:t>302)</w:t>
            </w:r>
            <w:r>
              <w:rPr>
                <w:szCs w:val="22"/>
              </w:rPr>
              <w:t xml:space="preserve">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82</w:t>
            </w:r>
          </w:p>
        </w:tc>
        <w:tc>
          <w:tcPr>
            <w:tcW w:w="4678" w:type="dxa"/>
          </w:tcPr>
          <w:p>
            <w:pPr>
              <w:pStyle w:val="yTableNAm"/>
            </w:pPr>
            <w:r>
              <w:t>METHYLAMPHETAMINE</w:t>
            </w:r>
          </w:p>
        </w:tc>
        <w:tc>
          <w:tcPr>
            <w:tcW w:w="1418" w:type="dxa"/>
          </w:tcPr>
          <w:p>
            <w:pPr>
              <w:pStyle w:val="yTableNAm"/>
              <w:tabs>
                <w:tab w:val="clear" w:pos="567"/>
                <w:tab w:val="decimal" w:pos="463"/>
              </w:tabs>
            </w:pPr>
            <w:r>
              <w:t>2.0</w:t>
            </w:r>
          </w:p>
        </w:tc>
      </w:tr>
      <w:tr>
        <w:trPr>
          <w:cantSplit/>
        </w:trPr>
        <w:tc>
          <w:tcPr>
            <w:tcW w:w="1276" w:type="dxa"/>
          </w:tcPr>
          <w:p>
            <w:pPr>
              <w:pStyle w:val="yTableNAm"/>
            </w:pPr>
            <w:r>
              <w:t>82AAA.</w:t>
            </w:r>
          </w:p>
        </w:tc>
        <w:tc>
          <w:tcPr>
            <w:tcW w:w="4678" w:type="dxa"/>
          </w:tcPr>
          <w:p>
            <w:pPr>
              <w:pStyle w:val="yTableNAm"/>
            </w:pPr>
            <w:r>
              <w:rPr>
                <w:color w:val="000000"/>
              </w:rPr>
              <w:t>METHYL 2-(9-(CYCLOHEXYLMETHYL) -9H-CARBAZOLE -3-CARBOXAMIDO)-3,3-DIMETHYLBUTANOATE (MDMB-CHMCZCA) (</w:t>
            </w:r>
            <w:r>
              <w:rPr>
                <w:bCs/>
                <w:color w:val="000000"/>
              </w:rPr>
              <w:t>plant material</w:t>
            </w:r>
            <w:r>
              <w:rPr>
                <w:color w:val="000000"/>
              </w:rPr>
              <w:t>)</w:t>
            </w:r>
          </w:p>
        </w:tc>
        <w:tc>
          <w:tcPr>
            <w:tcW w:w="1418" w:type="dxa"/>
            <w:vAlign w:val="bottom"/>
          </w:tcPr>
          <w:p>
            <w:pPr>
              <w:pStyle w:val="yTableNAm"/>
              <w:tabs>
                <w:tab w:val="clear" w:pos="567"/>
                <w:tab w:val="decimal" w:pos="463"/>
              </w:tabs>
            </w:pPr>
            <w:r>
              <w:t>30.0</w:t>
            </w:r>
          </w:p>
        </w:tc>
      </w:tr>
      <w:tr>
        <w:trPr>
          <w:cantSplit/>
        </w:trPr>
        <w:tc>
          <w:tcPr>
            <w:tcW w:w="1276" w:type="dxa"/>
          </w:tcPr>
          <w:p>
            <w:pPr>
              <w:pStyle w:val="yTableNAm"/>
            </w:pPr>
            <w:r>
              <w:t>82AAB.</w:t>
            </w:r>
          </w:p>
        </w:tc>
        <w:tc>
          <w:tcPr>
            <w:tcW w:w="4678" w:type="dxa"/>
          </w:tcPr>
          <w:p>
            <w:pPr>
              <w:pStyle w:val="yTableNAm"/>
            </w:pPr>
            <w:r>
              <w:rPr>
                <w:color w:val="000000"/>
              </w:rPr>
              <w:t>METHYL 2-(9-(CYCLOHEXYLMETHYL) -9H-CARBAZOLE -3-CARBOXAMIDO)-3,3-DIMETHYLBUTANOATE (MDMB</w:t>
            </w:r>
            <w:r>
              <w:rPr>
                <w:color w:val="000000"/>
              </w:rPr>
              <w:noBreakHyphen/>
              <w:t>CHMCZCA) (</w:t>
            </w:r>
            <w:r>
              <w:rPr>
                <w:bCs/>
                <w:color w:val="000000"/>
              </w:rPr>
              <w:t>in any form except plant material</w:t>
            </w:r>
            <w:r>
              <w:rPr>
                <w:color w:val="000000"/>
              </w:rPr>
              <w:t>)</w:t>
            </w:r>
          </w:p>
        </w:tc>
        <w:tc>
          <w:tcPr>
            <w:tcW w:w="1418" w:type="dxa"/>
            <w:vAlign w:val="bottom"/>
          </w:tcPr>
          <w:p>
            <w:pPr>
              <w:pStyle w:val="yTableNAm"/>
              <w:tabs>
                <w:tab w:val="clear" w:pos="567"/>
                <w:tab w:val="decimal" w:pos="463"/>
              </w:tabs>
            </w:pPr>
            <w:r>
              <w:t>2.0</w:t>
            </w:r>
          </w:p>
        </w:tc>
      </w:tr>
      <w:tr>
        <w:trPr>
          <w:cantSplit/>
        </w:trPr>
        <w:tc>
          <w:tcPr>
            <w:tcW w:w="5954" w:type="dxa"/>
            <w:gridSpan w:val="2"/>
          </w:tcPr>
          <w:p>
            <w:pPr>
              <w:pStyle w:val="yEdnoteitem"/>
            </w:pPr>
            <w:r>
              <w:t>[82AAC and 82AAD. deleted]</w:t>
            </w:r>
          </w:p>
        </w:tc>
        <w:tc>
          <w:tcPr>
            <w:tcW w:w="1418" w:type="dxa"/>
            <w:vAlign w:val="bottom"/>
          </w:tcPr>
          <w:p>
            <w:pPr>
              <w:pStyle w:val="yTableNAm"/>
              <w:tabs>
                <w:tab w:val="clear" w:pos="567"/>
                <w:tab w:val="decimal" w:pos="463"/>
              </w:tabs>
            </w:pPr>
          </w:p>
        </w:tc>
      </w:tr>
      <w:tr>
        <w:trPr>
          <w:cantSplit/>
        </w:trPr>
        <w:tc>
          <w:tcPr>
            <w:tcW w:w="1276" w:type="dxa"/>
          </w:tcPr>
          <w:p>
            <w:pPr>
              <w:pStyle w:val="yTableNAm"/>
            </w:pPr>
            <w:r>
              <w:t>83.</w:t>
            </w:r>
          </w:p>
        </w:tc>
        <w:tc>
          <w:tcPr>
            <w:tcW w:w="4678" w:type="dxa"/>
          </w:tcPr>
          <w:p>
            <w:pPr>
              <w:pStyle w:val="yTableNAm"/>
            </w:pPr>
            <w:r>
              <w:t>METHYLDESORPHINE</w:t>
            </w:r>
          </w:p>
        </w:tc>
        <w:tc>
          <w:tcPr>
            <w:tcW w:w="1418" w:type="dxa"/>
          </w:tcPr>
          <w:p>
            <w:pPr>
              <w:pStyle w:val="yTableNAm"/>
              <w:tabs>
                <w:tab w:val="clear" w:pos="567"/>
                <w:tab w:val="decimal" w:pos="463"/>
              </w:tabs>
            </w:pPr>
            <w:r>
              <w:t>2.0</w:t>
            </w:r>
          </w:p>
        </w:tc>
      </w:tr>
      <w:tr>
        <w:trPr>
          <w:cantSplit/>
        </w:trPr>
        <w:tc>
          <w:tcPr>
            <w:tcW w:w="1276" w:type="dxa"/>
          </w:tcPr>
          <w:p>
            <w:pPr>
              <w:pStyle w:val="yTableNAm"/>
            </w:pPr>
            <w:r>
              <w:t>84.</w:t>
            </w:r>
          </w:p>
        </w:tc>
        <w:tc>
          <w:tcPr>
            <w:tcW w:w="4678" w:type="dxa"/>
          </w:tcPr>
          <w:p>
            <w:pPr>
              <w:pStyle w:val="yTableNAm"/>
            </w:pPr>
            <w:r>
              <w:t>METHYLDIHYDROMORPHINE</w:t>
            </w:r>
          </w:p>
        </w:tc>
        <w:tc>
          <w:tcPr>
            <w:tcW w:w="1418" w:type="dxa"/>
          </w:tcPr>
          <w:p>
            <w:pPr>
              <w:pStyle w:val="yTableNAm"/>
              <w:tabs>
                <w:tab w:val="clear" w:pos="567"/>
                <w:tab w:val="decimal" w:pos="463"/>
              </w:tabs>
            </w:pPr>
            <w:r>
              <w:t>2.0</w:t>
            </w:r>
          </w:p>
        </w:tc>
      </w:tr>
      <w:tr>
        <w:trPr>
          <w:cantSplit/>
        </w:trPr>
        <w:tc>
          <w:tcPr>
            <w:tcW w:w="1276" w:type="dxa"/>
          </w:tcPr>
          <w:p>
            <w:pPr>
              <w:pStyle w:val="yTableNAm"/>
              <w:rPr>
                <w:rFonts w:ascii="Times" w:hAnsi="Times"/>
                <w:spacing w:val="-6"/>
              </w:rPr>
            </w:pPr>
            <w:r>
              <w:rPr>
                <w:rFonts w:ascii="Times" w:hAnsi="Times"/>
                <w:spacing w:val="-6"/>
              </w:rPr>
              <w:lastRenderedPageBreak/>
              <w:t>84A.</w:t>
            </w:r>
          </w:p>
        </w:tc>
        <w:tc>
          <w:tcPr>
            <w:tcW w:w="4678" w:type="dxa"/>
          </w:tcPr>
          <w:p>
            <w:pPr>
              <w:pStyle w:val="yTableNAm"/>
            </w:pPr>
            <w:r>
              <w:t>3, 4</w:t>
            </w:r>
            <w:r>
              <w:noBreakHyphen/>
              <w:t>METHYLENEDIOXYAMPHETAMINE (MDA)</w:t>
            </w:r>
          </w:p>
        </w:tc>
        <w:tc>
          <w:tcPr>
            <w:tcW w:w="1418" w:type="dxa"/>
          </w:tcPr>
          <w:p>
            <w:pPr>
              <w:pStyle w:val="yTableNAm"/>
              <w:tabs>
                <w:tab w:val="clear" w:pos="567"/>
                <w:tab w:val="decimal" w:pos="463"/>
              </w:tabs>
            </w:pPr>
            <w:r>
              <w:t>2.0</w:t>
            </w:r>
          </w:p>
        </w:tc>
      </w:tr>
      <w:tr>
        <w:trPr>
          <w:cantSplit/>
        </w:trPr>
        <w:tc>
          <w:tcPr>
            <w:tcW w:w="1276" w:type="dxa"/>
          </w:tcPr>
          <w:p>
            <w:pPr>
              <w:pStyle w:val="yTableNAm"/>
              <w:rPr>
                <w:rFonts w:ascii="Times" w:hAnsi="Times"/>
                <w:spacing w:val="-6"/>
              </w:rPr>
            </w:pPr>
            <w:r>
              <w:rPr>
                <w:rFonts w:ascii="Times" w:hAnsi="Times"/>
                <w:spacing w:val="-6"/>
              </w:rPr>
              <w:t>84B.</w:t>
            </w:r>
          </w:p>
        </w:tc>
        <w:tc>
          <w:tcPr>
            <w:tcW w:w="4678" w:type="dxa"/>
          </w:tcPr>
          <w:p>
            <w:pPr>
              <w:pStyle w:val="yTableNAm"/>
            </w:pPr>
            <w:r>
              <w:t>3, 4</w:t>
            </w:r>
            <w:r>
              <w:noBreakHyphen/>
              <w:t>METHYLENEDIOXY</w:t>
            </w:r>
            <w:r>
              <w:noBreakHyphen/>
              <w:t>N, ALPHA</w:t>
            </w:r>
            <w:r>
              <w:noBreakHyphen/>
              <w:t>DIMETHYLPHENYLETHYLAMINE (MDMA)</w:t>
            </w:r>
          </w:p>
        </w:tc>
        <w:tc>
          <w:tcPr>
            <w:tcW w:w="1418" w:type="dxa"/>
          </w:tcPr>
          <w:p>
            <w:pPr>
              <w:pStyle w:val="yTableNAm"/>
              <w:tabs>
                <w:tab w:val="clear" w:pos="567"/>
                <w:tab w:val="decimal" w:pos="463"/>
              </w:tabs>
            </w:pPr>
            <w:r>
              <w:br/>
            </w:r>
            <w:r>
              <w:br/>
              <w:t>2.0</w:t>
            </w:r>
          </w:p>
        </w:tc>
      </w:tr>
      <w:tr>
        <w:trPr>
          <w:cantSplit/>
        </w:trPr>
        <w:tc>
          <w:tcPr>
            <w:tcW w:w="1276" w:type="dxa"/>
          </w:tcPr>
          <w:p>
            <w:pPr>
              <w:pStyle w:val="yTableNAm"/>
              <w:keepLines/>
            </w:pPr>
            <w:r>
              <w:t>84C.</w:t>
            </w:r>
          </w:p>
        </w:tc>
        <w:tc>
          <w:tcPr>
            <w:tcW w:w="4678" w:type="dxa"/>
          </w:tcPr>
          <w:p>
            <w:pPr>
              <w:pStyle w:val="yTableNAm"/>
              <w:keepLines/>
            </w:pPr>
            <w:r>
              <w:t>3, 4</w:t>
            </w:r>
            <w:r>
              <w:noBreakHyphen/>
              <w:t>METHYLENEDIOXYPYROVALERONE (MDPV)</w:t>
            </w:r>
          </w:p>
        </w:tc>
        <w:tc>
          <w:tcPr>
            <w:tcW w:w="1418" w:type="dxa"/>
          </w:tcPr>
          <w:p>
            <w:pPr>
              <w:pStyle w:val="yTableNAm"/>
              <w:keepLines/>
              <w:tabs>
                <w:tab w:val="clear" w:pos="567"/>
                <w:tab w:val="decimal" w:pos="463"/>
              </w:tabs>
            </w:pPr>
            <w:r>
              <w:br/>
              <w:t>2.0</w:t>
            </w:r>
          </w:p>
        </w:tc>
      </w:tr>
      <w:tr>
        <w:trPr>
          <w:cantSplit/>
        </w:trPr>
        <w:tc>
          <w:tcPr>
            <w:tcW w:w="1276" w:type="dxa"/>
          </w:tcPr>
          <w:p>
            <w:pPr>
              <w:pStyle w:val="yTableNAm"/>
              <w:keepLines/>
            </w:pPr>
            <w:r>
              <w:t>84D.</w:t>
            </w:r>
          </w:p>
        </w:tc>
        <w:tc>
          <w:tcPr>
            <w:tcW w:w="4678" w:type="dxa"/>
          </w:tcPr>
          <w:p>
            <w:pPr>
              <w:pStyle w:val="yTableNAm"/>
              <w:keepLines/>
            </w:pPr>
            <w:r>
              <w:rPr>
                <w:rFonts w:cs="Arial"/>
                <w:szCs w:val="24"/>
              </w:rPr>
              <w:t>METHYL 2-[1-(4-FLUOROBENZYL)-1H-INDOLE-3-CARBOXAMIDO]-3-METHYLBUTANOATE (MMB</w:t>
            </w:r>
            <w:r>
              <w:rPr>
                <w:rFonts w:cs="Arial"/>
                <w:szCs w:val="24"/>
              </w:rPr>
              <w:noBreakHyphen/>
              <w:t>FUBICA; AMB</w:t>
            </w:r>
            <w:r>
              <w:rPr>
                <w:rFonts w:cs="Arial"/>
                <w:szCs w:val="24"/>
              </w:rPr>
              <w:noBreakHyphen/>
              <w:t>FUBICA) (plant material)</w:t>
            </w:r>
          </w:p>
        </w:tc>
        <w:tc>
          <w:tcPr>
            <w:tcW w:w="1418" w:type="dxa"/>
            <w:vAlign w:val="bottom"/>
          </w:tcPr>
          <w:p>
            <w:pPr>
              <w:pStyle w:val="yTableNAm"/>
              <w:keepLines/>
              <w:tabs>
                <w:tab w:val="clear" w:pos="567"/>
                <w:tab w:val="decimal" w:pos="463"/>
              </w:tabs>
            </w:pPr>
            <w:r>
              <w:t>30.0</w:t>
            </w:r>
          </w:p>
        </w:tc>
      </w:tr>
      <w:tr>
        <w:trPr>
          <w:cantSplit/>
        </w:trPr>
        <w:tc>
          <w:tcPr>
            <w:tcW w:w="1276" w:type="dxa"/>
          </w:tcPr>
          <w:p>
            <w:pPr>
              <w:pStyle w:val="yTableNAm"/>
              <w:keepLines/>
            </w:pPr>
            <w:r>
              <w:t>84E.</w:t>
            </w:r>
          </w:p>
        </w:tc>
        <w:tc>
          <w:tcPr>
            <w:tcW w:w="4678" w:type="dxa"/>
          </w:tcPr>
          <w:p>
            <w:pPr>
              <w:pStyle w:val="yTableNAm"/>
              <w:keepLines/>
            </w:pPr>
            <w:r>
              <w:rPr>
                <w:rFonts w:cs="Arial"/>
                <w:szCs w:val="24"/>
              </w:rPr>
              <w:t>METHYL 2-[1-(4-FLUOROBENZYL)-1H-INDOLE-3-CARBOXAMIDO]-3-METHYLBUTANOATE (MMB</w:t>
            </w:r>
            <w:r>
              <w:rPr>
                <w:rFonts w:cs="Arial"/>
                <w:szCs w:val="24"/>
              </w:rPr>
              <w:noBreakHyphen/>
              <w:t>FUBICA; AMB</w:t>
            </w:r>
            <w:r>
              <w:rPr>
                <w:rFonts w:cs="Arial"/>
                <w:szCs w:val="24"/>
              </w:rPr>
              <w:noBreakHyphen/>
              <w:t>FUBICA) (in any form except plant material)</w:t>
            </w:r>
          </w:p>
        </w:tc>
        <w:tc>
          <w:tcPr>
            <w:tcW w:w="1418" w:type="dxa"/>
            <w:vAlign w:val="bottom"/>
          </w:tcPr>
          <w:p>
            <w:pPr>
              <w:pStyle w:val="yTableNAm"/>
              <w:keepLines/>
              <w:tabs>
                <w:tab w:val="clear" w:pos="567"/>
                <w:tab w:val="decimal" w:pos="463"/>
              </w:tabs>
            </w:pPr>
            <w:r>
              <w:t>2.0</w:t>
            </w:r>
          </w:p>
        </w:tc>
      </w:tr>
      <w:tr>
        <w:trPr>
          <w:cantSplit/>
        </w:trPr>
        <w:tc>
          <w:tcPr>
            <w:tcW w:w="1276" w:type="dxa"/>
          </w:tcPr>
          <w:p>
            <w:pPr>
              <w:pStyle w:val="yTableNAm"/>
              <w:keepLines/>
            </w:pPr>
            <w:r>
              <w:t>84F.</w:t>
            </w:r>
          </w:p>
        </w:tc>
        <w:tc>
          <w:tcPr>
            <w:tcW w:w="4678" w:type="dxa"/>
          </w:tcPr>
          <w:p>
            <w:pPr>
              <w:pStyle w:val="yTableNAm"/>
              <w:keepLines/>
            </w:pPr>
            <w:r>
              <w:rPr>
                <w:rFonts w:cs="Arial"/>
                <w:szCs w:val="24"/>
              </w:rPr>
              <w:t>METHYL 2-[[1-(4-FLUOROBUTYL)INDAZOLE-3-CARBONYL]AMINO]-3,3-DIMETHYL-BUTANOATE (4F-MDMB-BINACA; 4F-MDMB-BUTINACA) (plant material)</w:t>
            </w:r>
          </w:p>
        </w:tc>
        <w:tc>
          <w:tcPr>
            <w:tcW w:w="1418" w:type="dxa"/>
            <w:vAlign w:val="bottom"/>
          </w:tcPr>
          <w:p>
            <w:pPr>
              <w:pStyle w:val="yTableNAm"/>
              <w:keepLines/>
              <w:tabs>
                <w:tab w:val="clear" w:pos="567"/>
                <w:tab w:val="decimal" w:pos="463"/>
              </w:tabs>
            </w:pPr>
            <w:r>
              <w:t>30.0</w:t>
            </w:r>
          </w:p>
        </w:tc>
      </w:tr>
      <w:tr>
        <w:trPr>
          <w:cantSplit/>
        </w:trPr>
        <w:tc>
          <w:tcPr>
            <w:tcW w:w="1276" w:type="dxa"/>
          </w:tcPr>
          <w:p>
            <w:pPr>
              <w:pStyle w:val="yTableNAm"/>
              <w:keepLines/>
            </w:pPr>
            <w:r>
              <w:t>84G.</w:t>
            </w:r>
          </w:p>
        </w:tc>
        <w:tc>
          <w:tcPr>
            <w:tcW w:w="4678" w:type="dxa"/>
          </w:tcPr>
          <w:p>
            <w:pPr>
              <w:pStyle w:val="yTableNAm"/>
              <w:keepLines/>
            </w:pPr>
            <w:r>
              <w:rPr>
                <w:rFonts w:cs="Arial"/>
                <w:szCs w:val="24"/>
              </w:rPr>
              <w:t>METHYL 2-[[1-(4-FLUOROBUTYL)INDAZOLE-3-CARBONYL]AMINO]-3,3-DIMETHYL-BUTANOATE (4F-MDMB-BINACA; 4F-MDMB-BUTINACA) (in any form except plant material)</w:t>
            </w:r>
          </w:p>
        </w:tc>
        <w:tc>
          <w:tcPr>
            <w:tcW w:w="1418" w:type="dxa"/>
            <w:vAlign w:val="bottom"/>
          </w:tcPr>
          <w:p>
            <w:pPr>
              <w:pStyle w:val="yTableNAm"/>
              <w:keepLines/>
              <w:tabs>
                <w:tab w:val="clear" w:pos="567"/>
                <w:tab w:val="decimal" w:pos="463"/>
              </w:tabs>
            </w:pPr>
            <w:r>
              <w:t>2.0</w:t>
            </w:r>
          </w:p>
        </w:tc>
      </w:tr>
      <w:tr>
        <w:trPr>
          <w:cantSplit/>
        </w:trPr>
        <w:tc>
          <w:tcPr>
            <w:tcW w:w="1276" w:type="dxa"/>
          </w:tcPr>
          <w:p>
            <w:pPr>
              <w:pStyle w:val="yTableNAm"/>
              <w:keepLines/>
            </w:pPr>
            <w:r>
              <w:t>84H.</w:t>
            </w:r>
          </w:p>
        </w:tc>
        <w:tc>
          <w:tcPr>
            <w:tcW w:w="4678" w:type="dxa"/>
          </w:tcPr>
          <w:p>
            <w:pPr>
              <w:pStyle w:val="yTableNAm"/>
              <w:keepLines/>
            </w:pPr>
            <w:r>
              <w:rPr>
                <w:rFonts w:cs="Arial"/>
                <w:szCs w:val="24"/>
              </w:rPr>
              <w:t>METHYL 2-(1-(5-FLUOROPENTYL)-1H-INDAZOLE-3-CARBOXAMIDO)-3-METHYLBUTANOATE (5F-AMB) (plant material)</w:t>
            </w:r>
          </w:p>
        </w:tc>
        <w:tc>
          <w:tcPr>
            <w:tcW w:w="1418" w:type="dxa"/>
            <w:vAlign w:val="bottom"/>
          </w:tcPr>
          <w:p>
            <w:pPr>
              <w:pStyle w:val="yTableNAm"/>
              <w:keepLines/>
              <w:tabs>
                <w:tab w:val="clear" w:pos="567"/>
                <w:tab w:val="decimal" w:pos="463"/>
              </w:tabs>
            </w:pPr>
            <w:r>
              <w:t>30.0</w:t>
            </w:r>
          </w:p>
        </w:tc>
      </w:tr>
      <w:tr>
        <w:trPr>
          <w:cantSplit/>
        </w:trPr>
        <w:tc>
          <w:tcPr>
            <w:tcW w:w="1276" w:type="dxa"/>
          </w:tcPr>
          <w:p>
            <w:pPr>
              <w:pStyle w:val="yTableNAm"/>
              <w:keepLines/>
            </w:pPr>
            <w:r>
              <w:lastRenderedPageBreak/>
              <w:t>84I.</w:t>
            </w:r>
          </w:p>
        </w:tc>
        <w:tc>
          <w:tcPr>
            <w:tcW w:w="4678" w:type="dxa"/>
          </w:tcPr>
          <w:p>
            <w:pPr>
              <w:pStyle w:val="yTableNAm"/>
              <w:keepLines/>
            </w:pPr>
            <w:r>
              <w:rPr>
                <w:rFonts w:cs="Arial"/>
                <w:szCs w:val="24"/>
              </w:rPr>
              <w:t>METHYL 2-(1-(5-FLUOROPENTYL)-1H-INDAZOLE-3-CARBOXAMIDO)-3-METHYLBUTANOATE (5F</w:t>
            </w:r>
            <w:r>
              <w:rPr>
                <w:rFonts w:cs="Arial"/>
                <w:szCs w:val="24"/>
              </w:rPr>
              <w:noBreakHyphen/>
              <w:t>AMB) (in any form except plant material)</w:t>
            </w:r>
          </w:p>
        </w:tc>
        <w:tc>
          <w:tcPr>
            <w:tcW w:w="1418" w:type="dxa"/>
            <w:vAlign w:val="bottom"/>
          </w:tcPr>
          <w:p>
            <w:pPr>
              <w:pStyle w:val="yTableNAm"/>
              <w:keepLines/>
              <w:tabs>
                <w:tab w:val="clear" w:pos="567"/>
                <w:tab w:val="decimal" w:pos="463"/>
              </w:tabs>
            </w:pPr>
            <w:r>
              <w:t>2.0</w:t>
            </w:r>
          </w:p>
        </w:tc>
      </w:tr>
      <w:tr>
        <w:trPr>
          <w:cantSplit/>
        </w:trPr>
        <w:tc>
          <w:tcPr>
            <w:tcW w:w="1276" w:type="dxa"/>
          </w:tcPr>
          <w:p>
            <w:pPr>
              <w:pStyle w:val="yTableNAm"/>
              <w:keepLines/>
            </w:pPr>
            <w:r>
              <w:t>84J.</w:t>
            </w:r>
          </w:p>
        </w:tc>
        <w:tc>
          <w:tcPr>
            <w:tcW w:w="4678" w:type="dxa"/>
          </w:tcPr>
          <w:p>
            <w:pPr>
              <w:pStyle w:val="yTableNAm"/>
              <w:keepLines/>
            </w:pPr>
            <w:r>
              <w:rPr>
                <w:rFonts w:cs="Arial"/>
                <w:szCs w:val="24"/>
              </w:rPr>
              <w:t>METHYL 2-[[1-(5-FLUOROPENTYL)INDOLE-3-CARBONYL]AMINO]-3,3-DIMETHYL-BUTANOATE (5-FLUORO MDMB</w:t>
            </w:r>
            <w:r>
              <w:rPr>
                <w:rFonts w:cs="Arial"/>
                <w:szCs w:val="24"/>
              </w:rPr>
              <w:noBreakHyphen/>
              <w:t>PICA; 5F-MDMB</w:t>
            </w:r>
            <w:r>
              <w:rPr>
                <w:rFonts w:cs="Arial"/>
                <w:szCs w:val="24"/>
              </w:rPr>
              <w:noBreakHyphen/>
              <w:t>PICA) (plant material)</w:t>
            </w:r>
          </w:p>
        </w:tc>
        <w:tc>
          <w:tcPr>
            <w:tcW w:w="1418" w:type="dxa"/>
            <w:vAlign w:val="bottom"/>
          </w:tcPr>
          <w:p>
            <w:pPr>
              <w:pStyle w:val="yTableNAm"/>
              <w:keepLines/>
              <w:tabs>
                <w:tab w:val="clear" w:pos="567"/>
                <w:tab w:val="decimal" w:pos="463"/>
              </w:tabs>
            </w:pPr>
            <w:r>
              <w:t>30.0</w:t>
            </w:r>
          </w:p>
        </w:tc>
      </w:tr>
      <w:tr>
        <w:trPr>
          <w:cantSplit/>
        </w:trPr>
        <w:tc>
          <w:tcPr>
            <w:tcW w:w="1276" w:type="dxa"/>
          </w:tcPr>
          <w:p>
            <w:pPr>
              <w:pStyle w:val="yTableNAm"/>
              <w:keepLines/>
            </w:pPr>
            <w:r>
              <w:t>84K.</w:t>
            </w:r>
          </w:p>
        </w:tc>
        <w:tc>
          <w:tcPr>
            <w:tcW w:w="4678" w:type="dxa"/>
          </w:tcPr>
          <w:p>
            <w:pPr>
              <w:pStyle w:val="yTableNAm"/>
              <w:keepLines/>
            </w:pPr>
            <w:r>
              <w:rPr>
                <w:rFonts w:cs="Arial"/>
                <w:szCs w:val="24"/>
              </w:rPr>
              <w:t>METHYL 2-[[1-(5-FLUOROPENTYL)INDOLE-3-CARBONYL]AMINO]-3,3-DIMETHYL-BUTANOATE (5-FLUORO MDMB-PICA; 5F-MDMB-PICA) (in any form except plant material)</w:t>
            </w:r>
          </w:p>
        </w:tc>
        <w:tc>
          <w:tcPr>
            <w:tcW w:w="1418" w:type="dxa"/>
            <w:vAlign w:val="bottom"/>
          </w:tcPr>
          <w:p>
            <w:pPr>
              <w:pStyle w:val="yTableNAm"/>
              <w:keepLines/>
              <w:tabs>
                <w:tab w:val="clear" w:pos="567"/>
                <w:tab w:val="decimal" w:pos="463"/>
              </w:tabs>
            </w:pPr>
            <w:r>
              <w:t>2.0</w:t>
            </w:r>
          </w:p>
        </w:tc>
      </w:tr>
      <w:tr>
        <w:trPr>
          <w:cantSplit/>
        </w:trPr>
        <w:tc>
          <w:tcPr>
            <w:tcW w:w="1276" w:type="dxa"/>
          </w:tcPr>
          <w:p>
            <w:pPr>
              <w:pStyle w:val="yTableNAm"/>
            </w:pPr>
            <w:r>
              <w:t>85.</w:t>
            </w:r>
          </w:p>
        </w:tc>
        <w:tc>
          <w:tcPr>
            <w:tcW w:w="4678" w:type="dxa"/>
          </w:tcPr>
          <w:p>
            <w:pPr>
              <w:pStyle w:val="yTableNAm"/>
            </w:pPr>
            <w:r>
              <w:t>METHYLPHENIDATE</w:t>
            </w:r>
          </w:p>
        </w:tc>
        <w:tc>
          <w:tcPr>
            <w:tcW w:w="1418" w:type="dxa"/>
          </w:tcPr>
          <w:p>
            <w:pPr>
              <w:pStyle w:val="yTableNAm"/>
              <w:tabs>
                <w:tab w:val="clear" w:pos="567"/>
                <w:tab w:val="decimal" w:pos="463"/>
              </w:tabs>
            </w:pPr>
            <w:r>
              <w:t>2.0</w:t>
            </w:r>
          </w:p>
        </w:tc>
      </w:tr>
      <w:tr>
        <w:trPr>
          <w:cantSplit/>
        </w:trPr>
        <w:tc>
          <w:tcPr>
            <w:tcW w:w="1276" w:type="dxa"/>
          </w:tcPr>
          <w:p>
            <w:pPr>
              <w:pStyle w:val="yTableNAm"/>
            </w:pPr>
            <w:r>
              <w:t>86.</w:t>
            </w:r>
          </w:p>
        </w:tc>
        <w:tc>
          <w:tcPr>
            <w:tcW w:w="4678" w:type="dxa"/>
          </w:tcPr>
          <w:p>
            <w:pPr>
              <w:pStyle w:val="yTableNAm"/>
            </w:pPr>
            <w:r>
              <w:t>METHYLPHENOBARBITONE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87.</w:t>
            </w:r>
          </w:p>
        </w:tc>
        <w:tc>
          <w:tcPr>
            <w:tcW w:w="4678" w:type="dxa"/>
          </w:tcPr>
          <w:p>
            <w:pPr>
              <w:pStyle w:val="yTableNAm"/>
            </w:pPr>
            <w:r>
              <w:t>1</w:t>
            </w:r>
            <w:r>
              <w:noBreakHyphen/>
              <w:t>METHYL</w:t>
            </w:r>
            <w:r>
              <w:noBreakHyphen/>
              <w:t>4</w:t>
            </w:r>
            <w:r>
              <w:noBreakHyphen/>
              <w:t>PHENYLPIPERIDINE</w:t>
            </w:r>
            <w:r>
              <w:noBreakHyphen/>
              <w:t>4</w:t>
            </w:r>
            <w:r>
              <w:noBreakHyphen/>
            </w:r>
            <w:r>
              <w:br/>
              <w:t>CARBOXYLIC ACID ESTERS</w:t>
            </w:r>
          </w:p>
        </w:tc>
        <w:tc>
          <w:tcPr>
            <w:tcW w:w="1418" w:type="dxa"/>
          </w:tcPr>
          <w:p>
            <w:pPr>
              <w:pStyle w:val="yTableNAm"/>
              <w:tabs>
                <w:tab w:val="clear" w:pos="567"/>
                <w:tab w:val="decimal" w:pos="463"/>
              </w:tabs>
            </w:pPr>
            <w:r>
              <w:br/>
              <w:t>2.0</w:t>
            </w:r>
          </w:p>
        </w:tc>
      </w:tr>
      <w:tr>
        <w:trPr>
          <w:cantSplit/>
        </w:trPr>
        <w:tc>
          <w:tcPr>
            <w:tcW w:w="1276" w:type="dxa"/>
          </w:tcPr>
          <w:p>
            <w:pPr>
              <w:pStyle w:val="yTableNAm"/>
            </w:pPr>
            <w:r>
              <w:t>87A.</w:t>
            </w:r>
          </w:p>
        </w:tc>
        <w:tc>
          <w:tcPr>
            <w:tcW w:w="4678" w:type="dxa"/>
          </w:tcPr>
          <w:p>
            <w:pPr>
              <w:pStyle w:val="yTableNAm"/>
            </w:pPr>
            <w:r>
              <w:rPr>
                <w:rFonts w:cs="Arial"/>
                <w:szCs w:val="24"/>
              </w:rPr>
              <w:t>METHYL (S)-2-[1-(5</w:t>
            </w:r>
            <w:r>
              <w:rPr>
                <w:rFonts w:cs="Arial"/>
                <w:szCs w:val="24"/>
              </w:rPr>
              <w:noBreakHyphen/>
              <w:t>FLUOROPENTYL)-</w:t>
            </w:r>
            <w:r>
              <w:rPr>
                <w:rFonts w:cs="Arial"/>
                <w:szCs w:val="24"/>
              </w:rPr>
              <w:br/>
              <w:t>1H-INDAZOLE-3-CARBOXAMIDO]-3,3-</w:t>
            </w:r>
            <w:r>
              <w:rPr>
                <w:rFonts w:cs="Arial"/>
                <w:szCs w:val="24"/>
              </w:rPr>
              <w:br/>
              <w:t>DIMETHYLBUTANOATE (5F-ADB) (plant material)</w:t>
            </w:r>
          </w:p>
        </w:tc>
        <w:tc>
          <w:tcPr>
            <w:tcW w:w="1418" w:type="dxa"/>
            <w:vAlign w:val="bottom"/>
          </w:tcPr>
          <w:p>
            <w:pPr>
              <w:pStyle w:val="yTableNAm"/>
              <w:tabs>
                <w:tab w:val="clear" w:pos="567"/>
                <w:tab w:val="decimal" w:pos="463"/>
              </w:tabs>
            </w:pPr>
            <w:r>
              <w:t>30.0</w:t>
            </w:r>
          </w:p>
        </w:tc>
      </w:tr>
      <w:tr>
        <w:trPr>
          <w:cantSplit/>
        </w:trPr>
        <w:tc>
          <w:tcPr>
            <w:tcW w:w="1276" w:type="dxa"/>
          </w:tcPr>
          <w:p>
            <w:pPr>
              <w:pStyle w:val="yTableNAm"/>
            </w:pPr>
            <w:r>
              <w:t>87B.</w:t>
            </w:r>
          </w:p>
        </w:tc>
        <w:tc>
          <w:tcPr>
            <w:tcW w:w="4678" w:type="dxa"/>
          </w:tcPr>
          <w:p>
            <w:pPr>
              <w:pStyle w:val="yTableNAm"/>
            </w:pPr>
            <w:r>
              <w:rPr>
                <w:szCs w:val="22"/>
              </w:rPr>
              <w:t>METHYL (S)-2</w:t>
            </w:r>
            <w:r>
              <w:rPr>
                <w:szCs w:val="22"/>
              </w:rPr>
              <w:noBreakHyphen/>
              <w:t>[1-(5</w:t>
            </w:r>
            <w:r>
              <w:rPr>
                <w:szCs w:val="22"/>
              </w:rPr>
              <w:noBreakHyphen/>
              <w:t>FLUOROPENTYL)-</w:t>
            </w:r>
            <w:r>
              <w:rPr>
                <w:szCs w:val="22"/>
              </w:rPr>
              <w:br/>
              <w:t>1H-INDAZOLE-3-CARBOXAMIDO]-3,3-</w:t>
            </w:r>
            <w:r>
              <w:rPr>
                <w:szCs w:val="22"/>
              </w:rPr>
              <w:br/>
              <w:t>DIMETHYLBUTANOATE (5F-ADB) (in any form except plant material)</w:t>
            </w:r>
          </w:p>
        </w:tc>
        <w:tc>
          <w:tcPr>
            <w:tcW w:w="1418" w:type="dxa"/>
            <w:vAlign w:val="bottom"/>
          </w:tcPr>
          <w:p>
            <w:pPr>
              <w:pStyle w:val="yTableNAm"/>
              <w:tabs>
                <w:tab w:val="clear" w:pos="567"/>
                <w:tab w:val="decimal" w:pos="463"/>
              </w:tabs>
            </w:pPr>
            <w:r>
              <w:t>2.0</w:t>
            </w:r>
          </w:p>
        </w:tc>
      </w:tr>
      <w:tr>
        <w:trPr>
          <w:cantSplit/>
        </w:trPr>
        <w:tc>
          <w:tcPr>
            <w:tcW w:w="1276" w:type="dxa"/>
          </w:tcPr>
          <w:p>
            <w:pPr>
              <w:pStyle w:val="yTableNAm"/>
            </w:pPr>
            <w:r>
              <w:t>88.</w:t>
            </w:r>
          </w:p>
        </w:tc>
        <w:tc>
          <w:tcPr>
            <w:tcW w:w="4678" w:type="dxa"/>
          </w:tcPr>
          <w:p>
            <w:pPr>
              <w:pStyle w:val="yTableNAm"/>
            </w:pPr>
            <w:r>
              <w:t>METOPON</w:t>
            </w:r>
          </w:p>
        </w:tc>
        <w:tc>
          <w:tcPr>
            <w:tcW w:w="1418" w:type="dxa"/>
          </w:tcPr>
          <w:p>
            <w:pPr>
              <w:pStyle w:val="yTableNAm"/>
              <w:tabs>
                <w:tab w:val="clear" w:pos="567"/>
                <w:tab w:val="decimal" w:pos="463"/>
              </w:tabs>
            </w:pPr>
            <w:r>
              <w:t>2.0</w:t>
            </w:r>
          </w:p>
        </w:tc>
      </w:tr>
      <w:tr>
        <w:trPr>
          <w:cantSplit/>
        </w:trPr>
        <w:tc>
          <w:tcPr>
            <w:tcW w:w="1276" w:type="dxa"/>
          </w:tcPr>
          <w:p>
            <w:pPr>
              <w:pStyle w:val="yTableNAm"/>
            </w:pPr>
            <w:r>
              <w:t>89.</w:t>
            </w:r>
          </w:p>
        </w:tc>
        <w:tc>
          <w:tcPr>
            <w:tcW w:w="4678" w:type="dxa"/>
          </w:tcPr>
          <w:p>
            <w:pPr>
              <w:pStyle w:val="yTableNAm"/>
            </w:pPr>
            <w:r>
              <w:t>MORAMIDE</w:t>
            </w:r>
            <w:r>
              <w:noBreakHyphen/>
              <w:t>INTERMEDIATE</w:t>
            </w:r>
          </w:p>
        </w:tc>
        <w:tc>
          <w:tcPr>
            <w:tcW w:w="1418" w:type="dxa"/>
          </w:tcPr>
          <w:p>
            <w:pPr>
              <w:pStyle w:val="yTableNAm"/>
              <w:tabs>
                <w:tab w:val="clear" w:pos="567"/>
                <w:tab w:val="decimal" w:pos="463"/>
              </w:tabs>
            </w:pPr>
            <w:r>
              <w:t>1.0</w:t>
            </w:r>
          </w:p>
        </w:tc>
      </w:tr>
      <w:tr>
        <w:trPr>
          <w:cantSplit/>
        </w:trPr>
        <w:tc>
          <w:tcPr>
            <w:tcW w:w="1276" w:type="dxa"/>
          </w:tcPr>
          <w:p>
            <w:pPr>
              <w:pStyle w:val="yTableNAm"/>
            </w:pPr>
            <w:r>
              <w:lastRenderedPageBreak/>
              <w:t>90.</w:t>
            </w:r>
          </w:p>
        </w:tc>
        <w:tc>
          <w:tcPr>
            <w:tcW w:w="4678" w:type="dxa"/>
          </w:tcPr>
          <w:p>
            <w:pPr>
              <w:pStyle w:val="yTableNAm"/>
            </w:pPr>
            <w:r>
              <w:t>MORPHERIDINE</w:t>
            </w:r>
          </w:p>
        </w:tc>
        <w:tc>
          <w:tcPr>
            <w:tcW w:w="1418" w:type="dxa"/>
          </w:tcPr>
          <w:p>
            <w:pPr>
              <w:pStyle w:val="yTableNAm"/>
              <w:tabs>
                <w:tab w:val="clear" w:pos="567"/>
                <w:tab w:val="decimal" w:pos="463"/>
              </w:tabs>
            </w:pPr>
            <w:r>
              <w:t>2.0</w:t>
            </w:r>
          </w:p>
        </w:tc>
      </w:tr>
      <w:tr>
        <w:trPr>
          <w:cantSplit/>
        </w:trPr>
        <w:tc>
          <w:tcPr>
            <w:tcW w:w="1276" w:type="dxa"/>
          </w:tcPr>
          <w:p>
            <w:pPr>
              <w:pStyle w:val="yTableNAm"/>
            </w:pPr>
            <w:r>
              <w:t>91.</w:t>
            </w:r>
          </w:p>
        </w:tc>
        <w:tc>
          <w:tcPr>
            <w:tcW w:w="4678" w:type="dxa"/>
          </w:tcPr>
          <w:p>
            <w:pPr>
              <w:pStyle w:val="yTableNAm"/>
            </w:pPr>
            <w:r>
              <w:t>MORPHINE</w:t>
            </w:r>
          </w:p>
        </w:tc>
        <w:tc>
          <w:tcPr>
            <w:tcW w:w="1418" w:type="dxa"/>
          </w:tcPr>
          <w:p>
            <w:pPr>
              <w:pStyle w:val="yTableNAm"/>
              <w:tabs>
                <w:tab w:val="clear" w:pos="567"/>
                <w:tab w:val="decimal" w:pos="463"/>
              </w:tabs>
            </w:pPr>
            <w:r>
              <w:t>2.0</w:t>
            </w:r>
          </w:p>
        </w:tc>
      </w:tr>
      <w:tr>
        <w:trPr>
          <w:cantSplit/>
        </w:trPr>
        <w:tc>
          <w:tcPr>
            <w:tcW w:w="1276" w:type="dxa"/>
          </w:tcPr>
          <w:p>
            <w:pPr>
              <w:pStyle w:val="yTableNAm"/>
            </w:pPr>
            <w:r>
              <w:t>92.</w:t>
            </w:r>
          </w:p>
        </w:tc>
        <w:tc>
          <w:tcPr>
            <w:tcW w:w="4678"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418" w:type="dxa"/>
          </w:tcPr>
          <w:p>
            <w:pPr>
              <w:pStyle w:val="yTableNAm"/>
              <w:tabs>
                <w:tab w:val="clear" w:pos="567"/>
                <w:tab w:val="decimal" w:pos="463"/>
              </w:tabs>
            </w:pPr>
            <w:r>
              <w:br/>
            </w:r>
            <w:r>
              <w:br/>
            </w:r>
            <w:r>
              <w:br/>
              <w:t>2.0</w:t>
            </w:r>
          </w:p>
        </w:tc>
      </w:tr>
      <w:tr>
        <w:trPr>
          <w:cantSplit/>
        </w:trPr>
        <w:tc>
          <w:tcPr>
            <w:tcW w:w="1276" w:type="dxa"/>
          </w:tcPr>
          <w:p>
            <w:pPr>
              <w:pStyle w:val="yTableNAm"/>
            </w:pPr>
            <w:r>
              <w:t>93.</w:t>
            </w:r>
          </w:p>
        </w:tc>
        <w:tc>
          <w:tcPr>
            <w:tcW w:w="4678" w:type="dxa"/>
          </w:tcPr>
          <w:p>
            <w:pPr>
              <w:pStyle w:val="yTableNAm"/>
            </w:pPr>
            <w:r>
              <w:t>MORPHINE METHOBROMIDE AND OTHER PENTAVALENT NITROGEN MORPHINE DERIVATIVES</w:t>
            </w:r>
          </w:p>
        </w:tc>
        <w:tc>
          <w:tcPr>
            <w:tcW w:w="1418" w:type="dxa"/>
          </w:tcPr>
          <w:p>
            <w:pPr>
              <w:pStyle w:val="yTableNAm"/>
              <w:tabs>
                <w:tab w:val="clear" w:pos="567"/>
                <w:tab w:val="decimal" w:pos="463"/>
              </w:tabs>
            </w:pPr>
            <w:r>
              <w:br/>
            </w:r>
            <w:r>
              <w:br/>
              <w:t>2.0</w:t>
            </w:r>
          </w:p>
        </w:tc>
      </w:tr>
      <w:tr>
        <w:trPr>
          <w:cantSplit/>
        </w:trPr>
        <w:tc>
          <w:tcPr>
            <w:tcW w:w="1276" w:type="dxa"/>
          </w:tcPr>
          <w:p>
            <w:pPr>
              <w:pStyle w:val="yTableNAm"/>
            </w:pPr>
            <w:r>
              <w:t>94.</w:t>
            </w:r>
          </w:p>
        </w:tc>
        <w:tc>
          <w:tcPr>
            <w:tcW w:w="4678" w:type="dxa"/>
          </w:tcPr>
          <w:p>
            <w:pPr>
              <w:pStyle w:val="yTableNAm"/>
            </w:pPr>
            <w:r>
              <w:t>MORPHINE</w:t>
            </w:r>
            <w:r>
              <w:noBreakHyphen/>
              <w:t>N</w:t>
            </w:r>
            <w:r>
              <w:noBreakHyphen/>
              <w:t>OXIDE</w:t>
            </w:r>
          </w:p>
        </w:tc>
        <w:tc>
          <w:tcPr>
            <w:tcW w:w="1418" w:type="dxa"/>
          </w:tcPr>
          <w:p>
            <w:pPr>
              <w:pStyle w:val="yTableNAm"/>
              <w:tabs>
                <w:tab w:val="clear" w:pos="567"/>
                <w:tab w:val="decimal" w:pos="463"/>
              </w:tabs>
            </w:pPr>
            <w:r>
              <w:t>2.0</w:t>
            </w:r>
          </w:p>
        </w:tc>
      </w:tr>
      <w:tr>
        <w:trPr>
          <w:cantSplit/>
        </w:trPr>
        <w:tc>
          <w:tcPr>
            <w:tcW w:w="1276" w:type="dxa"/>
          </w:tcPr>
          <w:p>
            <w:pPr>
              <w:pStyle w:val="yTableNAm"/>
            </w:pPr>
            <w:r>
              <w:t>95.</w:t>
            </w:r>
          </w:p>
        </w:tc>
        <w:tc>
          <w:tcPr>
            <w:tcW w:w="4678" w:type="dxa"/>
          </w:tcPr>
          <w:p>
            <w:pPr>
              <w:pStyle w:val="yTableNAm"/>
            </w:pPr>
            <w:r>
              <w:t>MORPHINE SUBSTITUTES (not specifically included elsewhere in this Schedule)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96A.</w:t>
            </w:r>
          </w:p>
        </w:tc>
        <w:tc>
          <w:tcPr>
            <w:tcW w:w="4678" w:type="dxa"/>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t>(1</w:t>
            </w:r>
            <w:r>
              <w:rPr>
                <w:szCs w:val="22"/>
              </w:rPr>
              <w:noBreakHyphen/>
            </w:r>
            <w:r>
              <w:rPr>
                <w:szCs w:val="22"/>
              </w:rPr>
              <w:br/>
              <w:t>NAPHTHOYL) INDOLE (JWH</w:t>
            </w:r>
            <w:r>
              <w:rPr>
                <w:szCs w:val="22"/>
              </w:rPr>
              <w:noBreakHyphen/>
              <w:t>200)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96B.</w:t>
            </w:r>
          </w:p>
        </w:tc>
        <w:tc>
          <w:tcPr>
            <w:tcW w:w="4678" w:type="dxa"/>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t>(1</w:t>
            </w:r>
            <w:r>
              <w:rPr>
                <w:szCs w:val="22"/>
              </w:rPr>
              <w:noBreakHyphen/>
            </w:r>
            <w:r>
              <w:rPr>
                <w:szCs w:val="22"/>
              </w:rPr>
              <w:br/>
              <w:t>NAPHTHOYL) INDOLE (JWH</w:t>
            </w:r>
            <w:r>
              <w:rPr>
                <w:szCs w:val="22"/>
              </w:rPr>
              <w:noBreakHyphen/>
              <w:t>200)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96.</w:t>
            </w:r>
          </w:p>
        </w:tc>
        <w:tc>
          <w:tcPr>
            <w:tcW w:w="4678" w:type="dxa"/>
          </w:tcPr>
          <w:p>
            <w:pPr>
              <w:pStyle w:val="yTableNAm"/>
            </w:pPr>
            <w:r>
              <w:t>MYROPHINE</w:t>
            </w:r>
          </w:p>
        </w:tc>
        <w:tc>
          <w:tcPr>
            <w:tcW w:w="1418" w:type="dxa"/>
          </w:tcPr>
          <w:p>
            <w:pPr>
              <w:pStyle w:val="yTableNAm"/>
              <w:tabs>
                <w:tab w:val="clear" w:pos="567"/>
                <w:tab w:val="decimal" w:pos="463"/>
              </w:tabs>
            </w:pPr>
            <w:r>
              <w:t>20.0</w:t>
            </w:r>
          </w:p>
        </w:tc>
      </w:tr>
      <w:tr>
        <w:trPr>
          <w:cantSplit/>
        </w:trPr>
        <w:tc>
          <w:tcPr>
            <w:tcW w:w="1276" w:type="dxa"/>
          </w:tcPr>
          <w:p>
            <w:pPr>
              <w:pStyle w:val="yTableNAm"/>
            </w:pPr>
            <w:r>
              <w:rPr>
                <w:szCs w:val="22"/>
              </w:rPr>
              <w:t>96AA.</w:t>
            </w:r>
          </w:p>
        </w:tc>
        <w:tc>
          <w:tcPr>
            <w:tcW w:w="4678"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r>
            <w:r>
              <w:rPr>
                <w:szCs w:val="22"/>
              </w:rPr>
              <w:br/>
              <w:t>1H</w:t>
            </w:r>
            <w:r>
              <w:rPr>
                <w:szCs w:val="22"/>
              </w:rPr>
              <w:noBreakHyphen/>
              <w:t>INDAZOLE</w:t>
            </w:r>
            <w:r>
              <w:rPr>
                <w:szCs w:val="22"/>
              </w:rPr>
              <w:noBreakHyphen/>
              <w:t>3</w:t>
            </w:r>
            <w:r>
              <w:rPr>
                <w:szCs w:val="22"/>
              </w:rPr>
              <w:noBreakHyphen/>
              <w:t>CARBOXAMIDE (MAB</w:t>
            </w:r>
            <w:r>
              <w:rPr>
                <w:szCs w:val="22"/>
              </w:rPr>
              <w:noBreakHyphen/>
              <w:t>CHMINACA or ADB</w:t>
            </w:r>
            <w:r>
              <w:rPr>
                <w:szCs w:val="22"/>
              </w:rPr>
              <w:noBreakHyphen/>
              <w:t>CHMINACA) (plant material)</w:t>
            </w:r>
          </w:p>
        </w:tc>
        <w:tc>
          <w:tcPr>
            <w:tcW w:w="1418" w:type="dxa"/>
          </w:tcPr>
          <w:p>
            <w:pPr>
              <w:pStyle w:val="yTableNAm"/>
              <w:tabs>
                <w:tab w:val="clear" w:pos="567"/>
                <w:tab w:val="decimal" w:pos="463"/>
              </w:tabs>
            </w:pPr>
            <w:r>
              <w:rPr>
                <w:szCs w:val="22"/>
              </w:rPr>
              <w:br/>
            </w:r>
            <w:r>
              <w:rPr>
                <w:szCs w:val="22"/>
              </w:rPr>
              <w:br/>
            </w:r>
            <w:r>
              <w:rPr>
                <w:szCs w:val="22"/>
              </w:rPr>
              <w:br/>
            </w:r>
            <w:r>
              <w:rPr>
                <w:szCs w:val="22"/>
              </w:rPr>
              <w:br/>
              <w:t>30.0</w:t>
            </w:r>
          </w:p>
        </w:tc>
      </w:tr>
      <w:tr>
        <w:trPr>
          <w:cantSplit/>
        </w:trPr>
        <w:tc>
          <w:tcPr>
            <w:tcW w:w="1276" w:type="dxa"/>
          </w:tcPr>
          <w:p>
            <w:pPr>
              <w:pStyle w:val="yTableNAm"/>
            </w:pPr>
            <w:r>
              <w:rPr>
                <w:szCs w:val="22"/>
              </w:rPr>
              <w:t>96AB.</w:t>
            </w:r>
          </w:p>
        </w:tc>
        <w:tc>
          <w:tcPr>
            <w:tcW w:w="4678"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(MAB</w:t>
            </w:r>
            <w:r>
              <w:rPr>
                <w:szCs w:val="22"/>
              </w:rPr>
              <w:noBreakHyphen/>
              <w:t>CHMINACA or ADB</w:t>
            </w:r>
            <w:r>
              <w:rPr>
                <w:szCs w:val="22"/>
              </w:rPr>
              <w:noBreakHyphen/>
              <w:t>CHMINACA) (in any form except plant material)</w:t>
            </w:r>
          </w:p>
        </w:tc>
        <w:tc>
          <w:tcPr>
            <w:tcW w:w="1418" w:type="dxa"/>
          </w:tcPr>
          <w:p>
            <w:pPr>
              <w:pStyle w:val="yTableNAm"/>
              <w:tabs>
                <w:tab w:val="clear" w:pos="567"/>
                <w:tab w:val="decimal" w:pos="463"/>
              </w:tabs>
            </w:pPr>
            <w:r>
              <w:rPr>
                <w:szCs w:val="22"/>
              </w:rPr>
              <w:br/>
            </w:r>
            <w:r>
              <w:rPr>
                <w:szCs w:val="22"/>
              </w:rPr>
              <w:br/>
            </w:r>
            <w:r>
              <w:rPr>
                <w:szCs w:val="22"/>
              </w:rPr>
              <w:br/>
            </w:r>
            <w:r>
              <w:rPr>
                <w:szCs w:val="22"/>
              </w:rPr>
              <w:br/>
              <w:t>2.0</w:t>
            </w:r>
          </w:p>
        </w:tc>
      </w:tr>
      <w:tr>
        <w:trPr>
          <w:cantSplit/>
        </w:trPr>
        <w:tc>
          <w:tcPr>
            <w:tcW w:w="1276" w:type="dxa"/>
          </w:tcPr>
          <w:p>
            <w:pPr>
              <w:pStyle w:val="yTableNAm"/>
            </w:pPr>
            <w:r>
              <w:rPr>
                <w:szCs w:val="22"/>
              </w:rPr>
              <w:lastRenderedPageBreak/>
              <w:t>96AC.</w:t>
            </w:r>
          </w:p>
        </w:tc>
        <w:tc>
          <w:tcPr>
            <w:tcW w:w="4678"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96AD.</w:t>
            </w:r>
          </w:p>
        </w:tc>
        <w:tc>
          <w:tcPr>
            <w:tcW w:w="4678"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96AE.</w:t>
            </w:r>
          </w:p>
        </w:tc>
        <w:tc>
          <w:tcPr>
            <w:tcW w:w="4678" w:type="dxa"/>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96AF.</w:t>
            </w:r>
          </w:p>
        </w:tc>
        <w:tc>
          <w:tcPr>
            <w:tcW w:w="4678" w:type="dxa"/>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96AG.</w:t>
            </w:r>
          </w:p>
        </w:tc>
        <w:tc>
          <w:tcPr>
            <w:tcW w:w="4678" w:type="dxa"/>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(AB</w:t>
            </w:r>
            <w:r>
              <w:rPr>
                <w:szCs w:val="22"/>
              </w:rPr>
              <w:noBreakHyphen/>
              <w:t>CHMINACA)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94AH.</w:t>
            </w:r>
          </w:p>
        </w:tc>
        <w:tc>
          <w:tcPr>
            <w:tcW w:w="4678" w:type="dxa"/>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(AB</w:t>
            </w:r>
            <w:r>
              <w:rPr>
                <w:szCs w:val="22"/>
              </w:rPr>
              <w:noBreakHyphen/>
              <w:t>CHMINACA)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96AI.</w:t>
            </w:r>
          </w:p>
        </w:tc>
        <w:tc>
          <w:tcPr>
            <w:tcW w:w="4678" w:type="dxa"/>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ABICA)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96AJ.</w:t>
            </w:r>
          </w:p>
        </w:tc>
        <w:tc>
          <w:tcPr>
            <w:tcW w:w="4678" w:type="dxa"/>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ABICA)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lastRenderedPageBreak/>
              <w:t>96AK.</w:t>
            </w:r>
          </w:p>
        </w:tc>
        <w:tc>
          <w:tcPr>
            <w:tcW w:w="4678" w:type="dxa"/>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t>INDAZOLE</w:t>
            </w:r>
            <w:r>
              <w:rPr>
                <w:szCs w:val="22"/>
              </w:rPr>
              <w:noBreakHyphen/>
              <w:t>3</w:t>
            </w:r>
            <w:r>
              <w:rPr>
                <w:szCs w:val="22"/>
              </w:rPr>
              <w:noBreakHyphen/>
              <w:t>CARBOXAMIDE (5F</w:t>
            </w:r>
            <w:r>
              <w:rPr>
                <w:szCs w:val="22"/>
              </w:rPr>
              <w:noBreakHyphen/>
              <w:t>AB</w:t>
            </w:r>
            <w:r>
              <w:rPr>
                <w:szCs w:val="22"/>
              </w:rPr>
              <w:noBreakHyphen/>
              <w:t>PINACA)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96AL.</w:t>
            </w:r>
          </w:p>
        </w:tc>
        <w:tc>
          <w:tcPr>
            <w:tcW w:w="4678" w:type="dxa"/>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t>INDAZOLE</w:t>
            </w:r>
            <w:r>
              <w:rPr>
                <w:szCs w:val="22"/>
              </w:rPr>
              <w:noBreakHyphen/>
              <w:t>3</w:t>
            </w:r>
            <w:r>
              <w:rPr>
                <w:szCs w:val="22"/>
              </w:rPr>
              <w:noBreakHyphen/>
              <w:t>CARBOXAMIDE (5F</w:t>
            </w:r>
            <w:r>
              <w:rPr>
                <w:szCs w:val="22"/>
              </w:rPr>
              <w:noBreakHyphen/>
              <w:t>AB</w:t>
            </w:r>
            <w:r>
              <w:rPr>
                <w:szCs w:val="22"/>
              </w:rPr>
              <w:noBreakHyphen/>
              <w:t>PINACA) (in any form except plant material)</w:t>
            </w:r>
          </w:p>
        </w:tc>
        <w:tc>
          <w:tcPr>
            <w:tcW w:w="1418" w:type="dxa"/>
          </w:tcPr>
          <w:p>
            <w:pPr>
              <w:pStyle w:val="yTableNAm"/>
              <w:tabs>
                <w:tab w:val="clear" w:pos="567"/>
                <w:tab w:val="decimal" w:pos="463"/>
              </w:tabs>
            </w:pPr>
            <w:r>
              <w:rPr>
                <w:szCs w:val="22"/>
              </w:rPr>
              <w:br/>
            </w:r>
            <w:r>
              <w:rPr>
                <w:szCs w:val="22"/>
              </w:rPr>
              <w:br/>
            </w:r>
            <w:r>
              <w:rPr>
                <w:szCs w:val="22"/>
              </w:rPr>
              <w:br/>
            </w:r>
            <w:r>
              <w:rPr>
                <w:szCs w:val="22"/>
              </w:rPr>
              <w:br/>
              <w:t>2.0</w:t>
            </w:r>
          </w:p>
        </w:tc>
      </w:tr>
      <w:tr>
        <w:trPr>
          <w:cantSplit/>
        </w:trPr>
        <w:tc>
          <w:tcPr>
            <w:tcW w:w="1276" w:type="dxa"/>
          </w:tcPr>
          <w:p>
            <w:pPr>
              <w:pStyle w:val="yTableNAm"/>
              <w:rPr>
                <w:szCs w:val="22"/>
              </w:rPr>
            </w:pPr>
            <w:r>
              <w:t>96AM.</w:t>
            </w:r>
          </w:p>
        </w:tc>
        <w:tc>
          <w:tcPr>
            <w:tcW w:w="4678" w:type="dxa"/>
          </w:tcPr>
          <w:p>
            <w:pPr>
              <w:pStyle w:val="yTableNAm"/>
              <w:rPr>
                <w:szCs w:val="22"/>
              </w:rPr>
            </w:pPr>
            <w:r>
              <w:rPr>
                <w:rFonts w:cs="Arial"/>
                <w:szCs w:val="24"/>
              </w:rPr>
              <w:t>N</w:t>
            </w:r>
            <w:r>
              <w:rPr>
                <w:rFonts w:cs="Arial"/>
                <w:szCs w:val="24"/>
              </w:rPr>
              <w:noBreakHyphen/>
              <w:t>[(1S)</w:t>
            </w:r>
            <w:r>
              <w:rPr>
                <w:rFonts w:cs="Arial"/>
                <w:szCs w:val="24"/>
              </w:rPr>
              <w:noBreakHyphen/>
              <w:t>1</w:t>
            </w:r>
            <w:r>
              <w:rPr>
                <w:rFonts w:cs="Arial"/>
                <w:szCs w:val="24"/>
              </w:rPr>
              <w:noBreakHyphen/>
              <w:t>(AMINOCARBONYL)</w:t>
            </w:r>
            <w:r>
              <w:rPr>
                <w:rFonts w:cs="Arial"/>
                <w:szCs w:val="24"/>
              </w:rPr>
              <w:noBreakHyphen/>
              <w:t>2</w:t>
            </w:r>
            <w:r>
              <w:rPr>
                <w:rFonts w:cs="Arial"/>
                <w:szCs w:val="24"/>
              </w:rPr>
              <w:noBreakHyphen/>
              <w:t>METHYLPROPYL]</w:t>
            </w:r>
            <w:r>
              <w:rPr>
                <w:rFonts w:cs="Arial"/>
                <w:szCs w:val="24"/>
              </w:rPr>
              <w:noBreakHyphen/>
              <w:t>1</w:t>
            </w:r>
            <w:r>
              <w:rPr>
                <w:rFonts w:cs="Arial"/>
                <w:szCs w:val="24"/>
              </w:rPr>
              <w:noBreakHyphen/>
              <w:t>(5</w:t>
            </w:r>
            <w:r>
              <w:rPr>
                <w:rFonts w:cs="Arial"/>
                <w:szCs w:val="24"/>
              </w:rPr>
              <w:noBreakHyphen/>
              <w:t xml:space="preserve">FLUOROPENTYL) </w:t>
            </w:r>
            <w:r>
              <w:rPr>
                <w:rFonts w:cs="Arial"/>
                <w:szCs w:val="24"/>
              </w:rPr>
              <w:noBreakHyphen/>
              <w:t>1H</w:t>
            </w:r>
            <w:r>
              <w:rPr>
                <w:rFonts w:cs="Arial"/>
                <w:szCs w:val="24"/>
              </w:rPr>
              <w:noBreakHyphen/>
              <w:t>PYRROLO[2,3</w:t>
            </w:r>
            <w:r>
              <w:rPr>
                <w:rFonts w:cs="Arial"/>
                <w:szCs w:val="24"/>
              </w:rPr>
              <w:noBreakHyphen/>
              <w:t>B] PYRIDINE</w:t>
            </w:r>
            <w:r>
              <w:rPr>
                <w:rFonts w:cs="Arial"/>
                <w:szCs w:val="24"/>
              </w:rPr>
              <w:noBreakHyphen/>
              <w:t>3</w:t>
            </w:r>
            <w:r>
              <w:rPr>
                <w:rFonts w:cs="Arial"/>
                <w:szCs w:val="24"/>
              </w:rPr>
              <w:noBreakHyphen/>
              <w:t>CARBOXAMIDE (5F</w:t>
            </w:r>
            <w:r>
              <w:rPr>
                <w:rFonts w:cs="Arial"/>
                <w:szCs w:val="24"/>
              </w:rPr>
              <w:noBreakHyphen/>
              <w:t>AB</w:t>
            </w:r>
            <w:r>
              <w:rPr>
                <w:rFonts w:cs="Arial"/>
                <w:szCs w:val="24"/>
              </w:rPr>
              <w:noBreakHyphen/>
              <w:t>P7AICA) (</w:t>
            </w:r>
            <w:r>
              <w:rPr>
                <w:rFonts w:cs="Arial"/>
                <w:bCs/>
                <w:szCs w:val="24"/>
              </w:rPr>
              <w:t>plant material</w:t>
            </w:r>
            <w:r>
              <w:rPr>
                <w:rFonts w:cs="Arial"/>
                <w:szCs w:val="24"/>
              </w:rPr>
              <w:t>)</w:t>
            </w:r>
          </w:p>
        </w:tc>
        <w:tc>
          <w:tcPr>
            <w:tcW w:w="1418" w:type="dxa"/>
            <w:vAlign w:val="bottom"/>
          </w:tcPr>
          <w:p>
            <w:pPr>
              <w:pStyle w:val="yTableNAm"/>
              <w:tabs>
                <w:tab w:val="clear" w:pos="567"/>
                <w:tab w:val="decimal" w:pos="463"/>
              </w:tabs>
              <w:rPr>
                <w:szCs w:val="22"/>
              </w:rPr>
            </w:pPr>
            <w:r>
              <w:t>30.0</w:t>
            </w:r>
          </w:p>
        </w:tc>
      </w:tr>
      <w:tr>
        <w:trPr>
          <w:cantSplit/>
        </w:trPr>
        <w:tc>
          <w:tcPr>
            <w:tcW w:w="1276" w:type="dxa"/>
          </w:tcPr>
          <w:p>
            <w:pPr>
              <w:pStyle w:val="yTableNAm"/>
              <w:rPr>
                <w:szCs w:val="22"/>
              </w:rPr>
            </w:pPr>
            <w:r>
              <w:t>96AN.</w:t>
            </w:r>
          </w:p>
        </w:tc>
        <w:tc>
          <w:tcPr>
            <w:tcW w:w="4678" w:type="dxa"/>
          </w:tcPr>
          <w:p>
            <w:pPr>
              <w:pStyle w:val="yTableNAm"/>
              <w:rPr>
                <w:szCs w:val="22"/>
              </w:rPr>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(5</w:t>
            </w:r>
            <w:r>
              <w:rPr>
                <w:szCs w:val="22"/>
              </w:rPr>
              <w:noBreakHyphen/>
              <w:t xml:space="preserve">FLUOROPENTYL) </w:t>
            </w:r>
            <w:r>
              <w:rPr>
                <w:szCs w:val="22"/>
              </w:rPr>
              <w:noBreakHyphen/>
              <w:t>1H</w:t>
            </w:r>
            <w:r>
              <w:rPr>
                <w:szCs w:val="22"/>
              </w:rPr>
              <w:noBreakHyphen/>
              <w:t>PYRROLO[2,3</w:t>
            </w:r>
            <w:r>
              <w:rPr>
                <w:szCs w:val="22"/>
              </w:rPr>
              <w:noBreakHyphen/>
              <w:t>B] PYRIDINE</w:t>
            </w:r>
            <w:r>
              <w:rPr>
                <w:szCs w:val="22"/>
              </w:rPr>
              <w:noBreakHyphen/>
              <w:t>3</w:t>
            </w:r>
            <w:r>
              <w:rPr>
                <w:szCs w:val="22"/>
              </w:rPr>
              <w:noBreakHyphen/>
              <w:t>CARBOXAMIDE (5F</w:t>
            </w:r>
            <w:r>
              <w:rPr>
                <w:szCs w:val="22"/>
              </w:rPr>
              <w:noBreakHyphen/>
              <w:t>AB</w:t>
            </w:r>
            <w:r>
              <w:rPr>
                <w:szCs w:val="22"/>
              </w:rPr>
              <w:noBreakHyphen/>
              <w:t>P7AICA) (</w:t>
            </w:r>
            <w:r>
              <w:rPr>
                <w:bCs/>
                <w:szCs w:val="22"/>
              </w:rPr>
              <w:t>in any form except plant material</w:t>
            </w:r>
            <w:r>
              <w:rPr>
                <w:szCs w:val="22"/>
              </w:rPr>
              <w:t>)</w:t>
            </w:r>
          </w:p>
        </w:tc>
        <w:tc>
          <w:tcPr>
            <w:tcW w:w="1418" w:type="dxa"/>
            <w:vAlign w:val="bottom"/>
          </w:tcPr>
          <w:p>
            <w:pPr>
              <w:pStyle w:val="yTableNAm"/>
              <w:tabs>
                <w:tab w:val="clear" w:pos="567"/>
                <w:tab w:val="decimal" w:pos="463"/>
              </w:tabs>
              <w:rPr>
                <w:szCs w:val="22"/>
              </w:rPr>
            </w:pPr>
            <w:r>
              <w:t>2.0</w:t>
            </w:r>
          </w:p>
        </w:tc>
      </w:tr>
      <w:tr>
        <w:trPr>
          <w:cantSplit/>
        </w:trPr>
        <w:tc>
          <w:tcPr>
            <w:tcW w:w="1276" w:type="dxa"/>
          </w:tcPr>
          <w:p>
            <w:pPr>
              <w:pStyle w:val="yTableNAm"/>
              <w:rPr>
                <w:szCs w:val="22"/>
              </w:rPr>
            </w:pPr>
            <w:r>
              <w:rPr>
                <w:szCs w:val="22"/>
              </w:rPr>
              <w:t>97A.</w:t>
            </w:r>
          </w:p>
        </w:tc>
        <w:tc>
          <w:tcPr>
            <w:tcW w:w="4678" w:type="dxa"/>
          </w:tcPr>
          <w:p>
            <w:pPr>
              <w:pStyle w:val="yTableNAm"/>
              <w:rPr>
                <w:szCs w:val="22"/>
              </w:rPr>
            </w:pPr>
            <w:r>
              <w:rPr>
                <w:rFonts w:cs="Arial"/>
                <w:szCs w:val="22"/>
              </w:rPr>
              <w:t>NAPHTHOYLINDOLES (plant material)</w:t>
            </w:r>
          </w:p>
        </w:tc>
        <w:tc>
          <w:tcPr>
            <w:tcW w:w="1418" w:type="dxa"/>
          </w:tcPr>
          <w:p>
            <w:pPr>
              <w:pStyle w:val="yTableNAm"/>
              <w:tabs>
                <w:tab w:val="clear" w:pos="567"/>
                <w:tab w:val="decimal" w:pos="463"/>
              </w:tabs>
              <w:rPr>
                <w:szCs w:val="22"/>
              </w:rPr>
            </w:pPr>
            <w:r>
              <w:rPr>
                <w:szCs w:val="22"/>
              </w:rPr>
              <w:t>30.0</w:t>
            </w:r>
          </w:p>
        </w:tc>
      </w:tr>
      <w:tr>
        <w:trPr>
          <w:cantSplit/>
        </w:trPr>
        <w:tc>
          <w:tcPr>
            <w:tcW w:w="1276" w:type="dxa"/>
          </w:tcPr>
          <w:p>
            <w:pPr>
              <w:pStyle w:val="yTableNAm"/>
              <w:rPr>
                <w:szCs w:val="22"/>
              </w:rPr>
            </w:pPr>
            <w:r>
              <w:rPr>
                <w:szCs w:val="22"/>
              </w:rPr>
              <w:t>97AB.</w:t>
            </w:r>
          </w:p>
        </w:tc>
        <w:tc>
          <w:tcPr>
            <w:tcW w:w="4678" w:type="dxa"/>
          </w:tcPr>
          <w:p>
            <w:pPr>
              <w:pStyle w:val="yTableNAm"/>
              <w:rPr>
                <w:szCs w:val="22"/>
              </w:rPr>
            </w:pPr>
            <w:r>
              <w:rPr>
                <w:rFonts w:cs="Arial"/>
                <w:szCs w:val="22"/>
              </w:rPr>
              <w:t>NAPHTHOYLINDOLES</w:t>
            </w:r>
            <w:r>
              <w:rPr>
                <w:szCs w:val="22"/>
              </w:rPr>
              <w:t xml:space="preserve"> (in any form except plant material)</w:t>
            </w:r>
          </w:p>
        </w:tc>
        <w:tc>
          <w:tcPr>
            <w:tcW w:w="1418" w:type="dxa"/>
          </w:tcPr>
          <w:p>
            <w:pPr>
              <w:pStyle w:val="yTableNAm"/>
              <w:tabs>
                <w:tab w:val="clear" w:pos="567"/>
                <w:tab w:val="decimal" w:pos="463"/>
              </w:tabs>
              <w:rPr>
                <w:szCs w:val="22"/>
              </w:rPr>
            </w:pPr>
            <w:r>
              <w:rPr>
                <w:szCs w:val="22"/>
              </w:rPr>
              <w:br/>
              <w:t>2.0</w:t>
            </w:r>
          </w:p>
        </w:tc>
      </w:tr>
      <w:tr>
        <w:trPr>
          <w:cantSplit/>
        </w:trPr>
        <w:tc>
          <w:tcPr>
            <w:tcW w:w="1276" w:type="dxa"/>
          </w:tcPr>
          <w:p>
            <w:pPr>
              <w:pStyle w:val="yTableNAm"/>
              <w:rPr>
                <w:szCs w:val="22"/>
              </w:rPr>
            </w:pPr>
            <w:r>
              <w:rPr>
                <w:szCs w:val="22"/>
              </w:rPr>
              <w:t>97B.</w:t>
            </w:r>
          </w:p>
        </w:tc>
        <w:tc>
          <w:tcPr>
            <w:tcW w:w="4678" w:type="dxa"/>
          </w:tcPr>
          <w:p>
            <w:pPr>
              <w:pStyle w:val="yTableNAm"/>
              <w:rPr>
                <w:szCs w:val="22"/>
              </w:rPr>
            </w:pPr>
            <w:r>
              <w:rPr>
                <w:rFonts w:cs="Arial"/>
                <w:szCs w:val="22"/>
              </w:rPr>
              <w:t>NAPHTHYLMETHYLINDOLES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rPr>
                <w:szCs w:val="22"/>
              </w:rPr>
            </w:pPr>
            <w:r>
              <w:rPr>
                <w:szCs w:val="22"/>
              </w:rPr>
              <w:t>97BA.</w:t>
            </w:r>
          </w:p>
        </w:tc>
        <w:tc>
          <w:tcPr>
            <w:tcW w:w="4678" w:type="dxa"/>
          </w:tcPr>
          <w:p>
            <w:pPr>
              <w:pStyle w:val="yTableNAm"/>
              <w:rPr>
                <w:szCs w:val="22"/>
              </w:rPr>
            </w:pPr>
            <w:r>
              <w:rPr>
                <w:rFonts w:cs="Arial"/>
                <w:szCs w:val="22"/>
              </w:rPr>
              <w:t>NAPHTHYLMETHYLINDOLES</w:t>
            </w:r>
            <w:r>
              <w:rPr>
                <w:szCs w:val="22"/>
              </w:rPr>
              <w:t xml:space="preserve">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rPr>
                <w:szCs w:val="22"/>
              </w:rPr>
            </w:pPr>
            <w:r>
              <w:rPr>
                <w:szCs w:val="22"/>
              </w:rPr>
              <w:t>97C.</w:t>
            </w:r>
          </w:p>
        </w:tc>
        <w:tc>
          <w:tcPr>
            <w:tcW w:w="4678" w:type="dxa"/>
          </w:tcPr>
          <w:p>
            <w:pPr>
              <w:pStyle w:val="yTableNAm"/>
              <w:rPr>
                <w:szCs w:val="22"/>
              </w:rPr>
            </w:pPr>
            <w:r>
              <w:rPr>
                <w:rFonts w:cs="Arial"/>
                <w:szCs w:val="22"/>
              </w:rPr>
              <w:t xml:space="preserve">NAPHTHOYLPYRROLES </w:t>
            </w:r>
            <w:r>
              <w:rPr>
                <w:szCs w:val="22"/>
              </w:rPr>
              <w:t>(plant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rPr>
                <w:szCs w:val="22"/>
              </w:rPr>
            </w:pPr>
            <w:r>
              <w:rPr>
                <w:szCs w:val="22"/>
              </w:rPr>
              <w:t>97CA.</w:t>
            </w:r>
          </w:p>
        </w:tc>
        <w:tc>
          <w:tcPr>
            <w:tcW w:w="4678" w:type="dxa"/>
          </w:tcPr>
          <w:p>
            <w:pPr>
              <w:pStyle w:val="yTableNAm"/>
              <w:rPr>
                <w:szCs w:val="22"/>
              </w:rPr>
            </w:pPr>
            <w:r>
              <w:rPr>
                <w:rFonts w:cs="Arial"/>
                <w:szCs w:val="22"/>
              </w:rPr>
              <w:t xml:space="preserve">NAPHTHOYLPYRROLES </w:t>
            </w:r>
            <w:r>
              <w:rPr>
                <w:szCs w:val="22"/>
              </w:rPr>
              <w:t>(in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rPr>
                <w:szCs w:val="22"/>
              </w:rPr>
            </w:pPr>
            <w:r>
              <w:rPr>
                <w:szCs w:val="22"/>
              </w:rPr>
              <w:lastRenderedPageBreak/>
              <w:t>97D.</w:t>
            </w:r>
          </w:p>
        </w:tc>
        <w:tc>
          <w:tcPr>
            <w:tcW w:w="4678" w:type="dxa"/>
          </w:tcPr>
          <w:p>
            <w:pPr>
              <w:pStyle w:val="yTableNAm"/>
              <w:rPr>
                <w:szCs w:val="22"/>
              </w:rPr>
            </w:pPr>
            <w:r>
              <w:rPr>
                <w:rFonts w:cs="Arial"/>
                <w:szCs w:val="22"/>
              </w:rPr>
              <w:t>NAPHTHYLMETHYLINDENES</w:t>
            </w:r>
            <w:r>
              <w:rPr>
                <w:szCs w:val="22"/>
              </w:rPr>
              <w:t xml:space="preserve">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rPr>
                <w:szCs w:val="22"/>
              </w:rPr>
            </w:pPr>
            <w:r>
              <w:rPr>
                <w:szCs w:val="22"/>
              </w:rPr>
              <w:t>97DA.</w:t>
            </w:r>
          </w:p>
        </w:tc>
        <w:tc>
          <w:tcPr>
            <w:tcW w:w="4678" w:type="dxa"/>
          </w:tcPr>
          <w:p>
            <w:pPr>
              <w:pStyle w:val="yTableNAm"/>
              <w:rPr>
                <w:szCs w:val="22"/>
              </w:rPr>
            </w:pPr>
            <w:r>
              <w:rPr>
                <w:rFonts w:cs="Arial"/>
                <w:szCs w:val="22"/>
              </w:rPr>
              <w:t>NAPHTHYLMETHYLINDENES</w:t>
            </w:r>
            <w:r>
              <w:rPr>
                <w:szCs w:val="22"/>
              </w:rPr>
              <w:t xml:space="preserve">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97.</w:t>
            </w:r>
          </w:p>
        </w:tc>
        <w:tc>
          <w:tcPr>
            <w:tcW w:w="4678" w:type="dxa"/>
          </w:tcPr>
          <w:p>
            <w:pPr>
              <w:pStyle w:val="yTableNAm"/>
            </w:pPr>
            <w:r>
              <w:t>NEALBARBITONE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98.</w:t>
            </w:r>
          </w:p>
        </w:tc>
        <w:tc>
          <w:tcPr>
            <w:tcW w:w="4678" w:type="dxa"/>
          </w:tcPr>
          <w:p>
            <w:pPr>
              <w:pStyle w:val="yTableNAm"/>
            </w:pPr>
            <w:r>
              <w:t xml:space="preserve">NICOCODINE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2.0</w:t>
            </w:r>
          </w:p>
        </w:tc>
      </w:tr>
      <w:tr>
        <w:trPr>
          <w:cantSplit/>
        </w:trPr>
        <w:tc>
          <w:tcPr>
            <w:tcW w:w="1276" w:type="dxa"/>
          </w:tcPr>
          <w:p>
            <w:pPr>
              <w:pStyle w:val="yTableNAm"/>
            </w:pPr>
            <w:r>
              <w:t>99.</w:t>
            </w:r>
          </w:p>
        </w:tc>
        <w:tc>
          <w:tcPr>
            <w:tcW w:w="4678" w:type="dxa"/>
          </w:tcPr>
          <w:p>
            <w:pPr>
              <w:pStyle w:val="yTableNAm"/>
            </w:pPr>
            <w:r>
              <w:t xml:space="preserve">NICODICODINE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2.0</w:t>
            </w:r>
          </w:p>
        </w:tc>
      </w:tr>
      <w:tr>
        <w:trPr>
          <w:cantSplit/>
        </w:trPr>
        <w:tc>
          <w:tcPr>
            <w:tcW w:w="1276" w:type="dxa"/>
          </w:tcPr>
          <w:p>
            <w:pPr>
              <w:pStyle w:val="yTableNAm"/>
            </w:pPr>
            <w:r>
              <w:t>100.</w:t>
            </w:r>
          </w:p>
        </w:tc>
        <w:tc>
          <w:tcPr>
            <w:tcW w:w="4678" w:type="dxa"/>
          </w:tcPr>
          <w:p>
            <w:pPr>
              <w:pStyle w:val="yTableNAm"/>
            </w:pPr>
            <w:r>
              <w:t>NICOMORPHINE</w:t>
            </w:r>
          </w:p>
        </w:tc>
        <w:tc>
          <w:tcPr>
            <w:tcW w:w="1418" w:type="dxa"/>
          </w:tcPr>
          <w:p>
            <w:pPr>
              <w:pStyle w:val="yTableNAm"/>
              <w:tabs>
                <w:tab w:val="clear" w:pos="567"/>
                <w:tab w:val="decimal" w:pos="463"/>
              </w:tabs>
            </w:pPr>
            <w:r>
              <w:t>2.0</w:t>
            </w:r>
          </w:p>
        </w:tc>
      </w:tr>
      <w:tr>
        <w:trPr>
          <w:cantSplit/>
        </w:trPr>
        <w:tc>
          <w:tcPr>
            <w:tcW w:w="1276" w:type="dxa"/>
          </w:tcPr>
          <w:p>
            <w:pPr>
              <w:pStyle w:val="yTableNAm"/>
            </w:pPr>
            <w:r>
              <w:t>100A.</w:t>
            </w:r>
          </w:p>
        </w:tc>
        <w:tc>
          <w:tcPr>
            <w:tcW w:w="4678" w:type="dxa"/>
          </w:tcPr>
          <w:p>
            <w:pPr>
              <w:pStyle w:val="yTableNAm"/>
            </w:pPr>
            <w:r>
              <w:rPr>
                <w:rFonts w:cs="Arial"/>
                <w:szCs w:val="24"/>
              </w:rPr>
              <w:t>N</w:t>
            </w:r>
            <w:r>
              <w:rPr>
                <w:rFonts w:cs="Arial"/>
                <w:szCs w:val="24"/>
              </w:rPr>
              <w:noBreakHyphen/>
              <w:t>METHYL</w:t>
            </w:r>
            <w:r>
              <w:rPr>
                <w:rFonts w:cs="Arial"/>
                <w:szCs w:val="24"/>
              </w:rPr>
              <w:noBreakHyphen/>
              <w:t>1</w:t>
            </w:r>
            <w:r>
              <w:rPr>
                <w:rFonts w:cs="Arial"/>
                <w:szCs w:val="24"/>
              </w:rPr>
              <w:noBreakHyphen/>
              <w:t>(THIOPHEN</w:t>
            </w:r>
            <w:r>
              <w:rPr>
                <w:rFonts w:cs="Arial"/>
                <w:szCs w:val="24"/>
              </w:rPr>
              <w:noBreakHyphen/>
              <w:t>2</w:t>
            </w:r>
            <w:r>
              <w:rPr>
                <w:rFonts w:cs="Arial"/>
                <w:szCs w:val="24"/>
              </w:rPr>
              <w:noBreakHyphen/>
              <w:t>YL)PROPAN</w:t>
            </w:r>
            <w:r>
              <w:rPr>
                <w:rFonts w:cs="Arial"/>
                <w:szCs w:val="24"/>
              </w:rPr>
              <w:noBreakHyphen/>
              <w:t>2</w:t>
            </w:r>
            <w:r>
              <w:rPr>
                <w:rFonts w:cs="Arial"/>
                <w:szCs w:val="24"/>
              </w:rPr>
              <w:noBreakHyphen/>
              <w:t>AMINE (METHIOPROPAMINE; MPA)</w:t>
            </w:r>
          </w:p>
        </w:tc>
        <w:tc>
          <w:tcPr>
            <w:tcW w:w="1418" w:type="dxa"/>
            <w:vAlign w:val="bottom"/>
          </w:tcPr>
          <w:p>
            <w:pPr>
              <w:pStyle w:val="yTableNAm"/>
              <w:tabs>
                <w:tab w:val="clear" w:pos="567"/>
                <w:tab w:val="decimal" w:pos="463"/>
              </w:tabs>
            </w:pPr>
            <w:r>
              <w:t>2.0</w:t>
            </w:r>
          </w:p>
        </w:tc>
      </w:tr>
      <w:tr>
        <w:trPr>
          <w:cantSplit/>
        </w:trPr>
        <w:tc>
          <w:tcPr>
            <w:tcW w:w="1276" w:type="dxa"/>
          </w:tcPr>
          <w:p>
            <w:pPr>
              <w:pStyle w:val="yTableNAm"/>
            </w:pPr>
            <w:r>
              <w:t>100B.</w:t>
            </w:r>
          </w:p>
        </w:tc>
        <w:tc>
          <w:tcPr>
            <w:tcW w:w="4678" w:type="dxa"/>
          </w:tcPr>
          <w:p>
            <w:pPr>
              <w:pStyle w:val="yTableNAm"/>
            </w:pPr>
            <w:r>
              <w:rPr>
                <w:rFonts w:cs="Arial"/>
                <w:szCs w:val="24"/>
              </w:rPr>
              <w:t>N</w:t>
            </w:r>
            <w:r>
              <w:rPr>
                <w:rFonts w:cs="Arial"/>
                <w:szCs w:val="24"/>
              </w:rPr>
              <w:noBreakHyphen/>
              <w:t>(1</w:t>
            </w:r>
            <w:r>
              <w:rPr>
                <w:rFonts w:cs="Arial"/>
                <w:szCs w:val="24"/>
              </w:rPr>
              <w:noBreakHyphen/>
              <w:t>NAPHTHYL)</w:t>
            </w:r>
            <w:r>
              <w:rPr>
                <w:rFonts w:cs="Arial"/>
                <w:szCs w:val="24"/>
              </w:rPr>
              <w:noBreakHyphen/>
              <w:t>1</w:t>
            </w:r>
            <w:r>
              <w:rPr>
                <w:rFonts w:cs="Arial"/>
                <w:szCs w:val="24"/>
              </w:rPr>
              <w:noBreakHyphen/>
              <w:t>(5</w:t>
            </w:r>
            <w:r>
              <w:rPr>
                <w:rFonts w:cs="Arial"/>
                <w:szCs w:val="24"/>
              </w:rPr>
              <w:noBreakHyphen/>
              <w:t>FLUOROPENTYL)</w:t>
            </w:r>
            <w:r>
              <w:rPr>
                <w:rFonts w:cs="Arial"/>
                <w:szCs w:val="24"/>
              </w:rPr>
              <w:noBreakHyphen/>
              <w:t>1H</w:t>
            </w:r>
            <w:r>
              <w:rPr>
                <w:rFonts w:cs="Arial"/>
                <w:szCs w:val="24"/>
              </w:rPr>
              <w:noBreakHyphen/>
              <w:t>INDOLE</w:t>
            </w:r>
            <w:r>
              <w:rPr>
                <w:rFonts w:cs="Arial"/>
                <w:szCs w:val="24"/>
              </w:rPr>
              <w:noBreakHyphen/>
              <w:t>3</w:t>
            </w:r>
            <w:r>
              <w:rPr>
                <w:rFonts w:cs="Arial"/>
                <w:szCs w:val="24"/>
              </w:rPr>
              <w:noBreakHyphen/>
              <w:t>CARBOXAMIDE (5F</w:t>
            </w:r>
            <w:r>
              <w:rPr>
                <w:rFonts w:cs="Arial"/>
                <w:szCs w:val="24"/>
              </w:rPr>
              <w:noBreakHyphen/>
              <w:t>NNEI; 5F</w:t>
            </w:r>
            <w:r>
              <w:rPr>
                <w:rFonts w:cs="Arial"/>
                <w:szCs w:val="24"/>
              </w:rPr>
              <w:noBreakHyphen/>
              <w:t>MN</w:t>
            </w:r>
            <w:r>
              <w:rPr>
                <w:rFonts w:cs="Arial"/>
                <w:szCs w:val="24"/>
              </w:rPr>
              <w:noBreakHyphen/>
              <w:t>24) (</w:t>
            </w:r>
            <w:r>
              <w:rPr>
                <w:rFonts w:cs="Arial"/>
                <w:bCs/>
                <w:szCs w:val="24"/>
              </w:rPr>
              <w:t>plant material</w:t>
            </w:r>
            <w:r>
              <w:rPr>
                <w:rFonts w:cs="Arial"/>
                <w:szCs w:val="24"/>
              </w:rPr>
              <w:t>)</w:t>
            </w:r>
          </w:p>
        </w:tc>
        <w:tc>
          <w:tcPr>
            <w:tcW w:w="1418" w:type="dxa"/>
            <w:vAlign w:val="bottom"/>
          </w:tcPr>
          <w:p>
            <w:pPr>
              <w:pStyle w:val="yTableNAm"/>
              <w:tabs>
                <w:tab w:val="clear" w:pos="567"/>
                <w:tab w:val="decimal" w:pos="463"/>
              </w:tabs>
            </w:pPr>
            <w:r>
              <w:t>30.0</w:t>
            </w:r>
          </w:p>
        </w:tc>
      </w:tr>
      <w:tr>
        <w:trPr>
          <w:cantSplit/>
        </w:trPr>
        <w:tc>
          <w:tcPr>
            <w:tcW w:w="1276" w:type="dxa"/>
          </w:tcPr>
          <w:p>
            <w:pPr>
              <w:pStyle w:val="yTableNAm"/>
            </w:pPr>
            <w:r>
              <w:t>100C.</w:t>
            </w:r>
          </w:p>
        </w:tc>
        <w:tc>
          <w:tcPr>
            <w:tcW w:w="4678" w:type="dxa"/>
          </w:tcPr>
          <w:p>
            <w:pPr>
              <w:pStyle w:val="yTableNAm"/>
            </w:pPr>
            <w:r>
              <w:rPr>
                <w:szCs w:val="22"/>
              </w:rPr>
              <w:t>N</w:t>
            </w:r>
            <w:r>
              <w:rPr>
                <w:szCs w:val="22"/>
              </w:rPr>
              <w:noBreakHyphen/>
              <w:t>(1</w:t>
            </w:r>
            <w:r>
              <w:rPr>
                <w:szCs w:val="22"/>
              </w:rPr>
              <w:noBreakHyphen/>
              <w:t>NAPHTHYL)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NNEI; 5F</w:t>
            </w:r>
            <w:r>
              <w:rPr>
                <w:szCs w:val="22"/>
              </w:rPr>
              <w:noBreakHyphen/>
              <w:t>MN</w:t>
            </w:r>
            <w:r>
              <w:rPr>
                <w:szCs w:val="22"/>
              </w:rPr>
              <w:noBreakHyphen/>
              <w:t>24) (</w:t>
            </w:r>
            <w:r>
              <w:rPr>
                <w:bCs/>
                <w:szCs w:val="22"/>
              </w:rPr>
              <w:t>in any form except plant material</w:t>
            </w:r>
            <w:r>
              <w:rPr>
                <w:szCs w:val="22"/>
              </w:rPr>
              <w:t>)</w:t>
            </w:r>
          </w:p>
        </w:tc>
        <w:tc>
          <w:tcPr>
            <w:tcW w:w="1418" w:type="dxa"/>
            <w:vAlign w:val="bottom"/>
          </w:tcPr>
          <w:p>
            <w:pPr>
              <w:pStyle w:val="yTableNAm"/>
              <w:tabs>
                <w:tab w:val="clear" w:pos="567"/>
                <w:tab w:val="decimal" w:pos="463"/>
              </w:tabs>
            </w:pPr>
            <w:r>
              <w:t>2.0</w:t>
            </w:r>
          </w:p>
        </w:tc>
      </w:tr>
      <w:tr>
        <w:trPr>
          <w:cantSplit/>
        </w:trPr>
        <w:tc>
          <w:tcPr>
            <w:tcW w:w="1276" w:type="dxa"/>
          </w:tcPr>
          <w:p>
            <w:pPr>
              <w:pStyle w:val="yTableNAm"/>
            </w:pPr>
            <w:r>
              <w:t>101.</w:t>
            </w:r>
          </w:p>
        </w:tc>
        <w:tc>
          <w:tcPr>
            <w:tcW w:w="4678" w:type="dxa"/>
          </w:tcPr>
          <w:p>
            <w:pPr>
              <w:pStyle w:val="yTableNAm"/>
            </w:pPr>
            <w:r>
              <w:t>NORACYMETHADOL</w:t>
            </w:r>
          </w:p>
        </w:tc>
        <w:tc>
          <w:tcPr>
            <w:tcW w:w="1418" w:type="dxa"/>
          </w:tcPr>
          <w:p>
            <w:pPr>
              <w:pStyle w:val="yTableNAm"/>
              <w:tabs>
                <w:tab w:val="clear" w:pos="567"/>
                <w:tab w:val="decimal" w:pos="463"/>
              </w:tabs>
            </w:pPr>
            <w:r>
              <w:t>2.0</w:t>
            </w:r>
          </w:p>
        </w:tc>
      </w:tr>
      <w:tr>
        <w:trPr>
          <w:cantSplit/>
        </w:trPr>
        <w:tc>
          <w:tcPr>
            <w:tcW w:w="1276" w:type="dxa"/>
          </w:tcPr>
          <w:p>
            <w:pPr>
              <w:pStyle w:val="yTableNAm"/>
            </w:pPr>
            <w:r>
              <w:t>102.</w:t>
            </w:r>
          </w:p>
        </w:tc>
        <w:tc>
          <w:tcPr>
            <w:tcW w:w="4678" w:type="dxa"/>
          </w:tcPr>
          <w:p>
            <w:pPr>
              <w:pStyle w:val="yTableNAm"/>
            </w:pPr>
            <w:r>
              <w:t xml:space="preserve">NORCODEINE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2.0</w:t>
            </w:r>
          </w:p>
        </w:tc>
      </w:tr>
      <w:tr>
        <w:trPr>
          <w:cantSplit/>
        </w:trPr>
        <w:tc>
          <w:tcPr>
            <w:tcW w:w="1276" w:type="dxa"/>
          </w:tcPr>
          <w:p>
            <w:pPr>
              <w:pStyle w:val="yTableNAm"/>
            </w:pPr>
            <w:r>
              <w:t>103.</w:t>
            </w:r>
          </w:p>
        </w:tc>
        <w:tc>
          <w:tcPr>
            <w:tcW w:w="4678" w:type="dxa"/>
          </w:tcPr>
          <w:p>
            <w:pPr>
              <w:pStyle w:val="yTableNAm"/>
            </w:pPr>
            <w:r>
              <w:t>NORLEVORPHANOL</w:t>
            </w:r>
          </w:p>
        </w:tc>
        <w:tc>
          <w:tcPr>
            <w:tcW w:w="1418" w:type="dxa"/>
          </w:tcPr>
          <w:p>
            <w:pPr>
              <w:pStyle w:val="yTableNAm"/>
              <w:tabs>
                <w:tab w:val="clear" w:pos="567"/>
                <w:tab w:val="decimal" w:pos="463"/>
              </w:tabs>
            </w:pPr>
            <w:r>
              <w:t>2.0</w:t>
            </w:r>
          </w:p>
        </w:tc>
      </w:tr>
      <w:tr>
        <w:trPr>
          <w:cantSplit/>
        </w:trPr>
        <w:tc>
          <w:tcPr>
            <w:tcW w:w="1276" w:type="dxa"/>
          </w:tcPr>
          <w:p>
            <w:pPr>
              <w:pStyle w:val="yTableNAm"/>
            </w:pPr>
            <w:r>
              <w:t>104.</w:t>
            </w:r>
          </w:p>
        </w:tc>
        <w:tc>
          <w:tcPr>
            <w:tcW w:w="4678" w:type="dxa"/>
          </w:tcPr>
          <w:p>
            <w:pPr>
              <w:pStyle w:val="yTableNAm"/>
            </w:pPr>
            <w:r>
              <w:t>NORMETHADONE</w:t>
            </w:r>
          </w:p>
        </w:tc>
        <w:tc>
          <w:tcPr>
            <w:tcW w:w="1418" w:type="dxa"/>
          </w:tcPr>
          <w:p>
            <w:pPr>
              <w:pStyle w:val="yTableNAm"/>
              <w:tabs>
                <w:tab w:val="clear" w:pos="567"/>
                <w:tab w:val="decimal" w:pos="463"/>
              </w:tabs>
            </w:pPr>
            <w:r>
              <w:t>0.5</w:t>
            </w:r>
          </w:p>
        </w:tc>
      </w:tr>
      <w:tr>
        <w:trPr>
          <w:cantSplit/>
        </w:trPr>
        <w:tc>
          <w:tcPr>
            <w:tcW w:w="1276" w:type="dxa"/>
          </w:tcPr>
          <w:p>
            <w:pPr>
              <w:pStyle w:val="yTableNAm"/>
            </w:pPr>
            <w:r>
              <w:t>105.</w:t>
            </w:r>
          </w:p>
        </w:tc>
        <w:tc>
          <w:tcPr>
            <w:tcW w:w="4678" w:type="dxa"/>
          </w:tcPr>
          <w:p>
            <w:pPr>
              <w:pStyle w:val="yTableNAm"/>
            </w:pPr>
            <w:r>
              <w:t>NORMORPHINE</w:t>
            </w:r>
          </w:p>
        </w:tc>
        <w:tc>
          <w:tcPr>
            <w:tcW w:w="1418" w:type="dxa"/>
          </w:tcPr>
          <w:p>
            <w:pPr>
              <w:pStyle w:val="yTableNAm"/>
              <w:tabs>
                <w:tab w:val="clear" w:pos="567"/>
                <w:tab w:val="decimal" w:pos="463"/>
              </w:tabs>
            </w:pPr>
            <w:r>
              <w:t>20.0</w:t>
            </w:r>
          </w:p>
        </w:tc>
      </w:tr>
      <w:tr>
        <w:trPr>
          <w:cantSplit/>
        </w:trPr>
        <w:tc>
          <w:tcPr>
            <w:tcW w:w="1276" w:type="dxa"/>
          </w:tcPr>
          <w:p>
            <w:pPr>
              <w:pStyle w:val="yTableNAm"/>
            </w:pPr>
            <w:r>
              <w:lastRenderedPageBreak/>
              <w:t>106.</w:t>
            </w:r>
          </w:p>
        </w:tc>
        <w:tc>
          <w:tcPr>
            <w:tcW w:w="4678" w:type="dxa"/>
          </w:tcPr>
          <w:p>
            <w:pPr>
              <w:pStyle w:val="yTableNAm"/>
            </w:pPr>
            <w:r>
              <w:t>NORPIPANONE</w:t>
            </w:r>
          </w:p>
        </w:tc>
        <w:tc>
          <w:tcPr>
            <w:tcW w:w="1418" w:type="dxa"/>
          </w:tcPr>
          <w:p>
            <w:pPr>
              <w:pStyle w:val="yTableNAm"/>
              <w:tabs>
                <w:tab w:val="clear" w:pos="567"/>
                <w:tab w:val="decimal" w:pos="463"/>
              </w:tabs>
            </w:pPr>
            <w:r>
              <w:t>10.0</w:t>
            </w:r>
          </w:p>
        </w:tc>
      </w:tr>
      <w:tr>
        <w:trPr>
          <w:cantSplit/>
        </w:trPr>
        <w:tc>
          <w:tcPr>
            <w:tcW w:w="1276" w:type="dxa"/>
          </w:tcPr>
          <w:p>
            <w:pPr>
              <w:pStyle w:val="yTableNAm"/>
            </w:pPr>
            <w:r>
              <w:t>107.</w:t>
            </w:r>
          </w:p>
        </w:tc>
        <w:tc>
          <w:tcPr>
            <w:tcW w:w="4678" w:type="dxa"/>
          </w:tcPr>
          <w:p>
            <w:pPr>
              <w:pStyle w:val="yTableNAm"/>
            </w:pPr>
            <w:r>
              <w:t>OPIUM</w:t>
            </w:r>
          </w:p>
        </w:tc>
        <w:tc>
          <w:tcPr>
            <w:tcW w:w="1418" w:type="dxa"/>
          </w:tcPr>
          <w:p>
            <w:pPr>
              <w:pStyle w:val="yTableNAm"/>
              <w:tabs>
                <w:tab w:val="clear" w:pos="567"/>
                <w:tab w:val="decimal" w:pos="463"/>
              </w:tabs>
            </w:pPr>
            <w:r>
              <w:t>20.0</w:t>
            </w:r>
          </w:p>
        </w:tc>
      </w:tr>
      <w:tr>
        <w:trPr>
          <w:cantSplit/>
        </w:trPr>
        <w:tc>
          <w:tcPr>
            <w:tcW w:w="1276" w:type="dxa"/>
          </w:tcPr>
          <w:p>
            <w:pPr>
              <w:pStyle w:val="yTableNAm"/>
            </w:pPr>
            <w:r>
              <w:t>108.</w:t>
            </w:r>
          </w:p>
        </w:tc>
        <w:tc>
          <w:tcPr>
            <w:tcW w:w="4678" w:type="dxa"/>
          </w:tcPr>
          <w:p>
            <w:pPr>
              <w:pStyle w:val="yTableNAm"/>
            </w:pPr>
            <w:r>
              <w:t>OXYCODONE</w:t>
            </w:r>
          </w:p>
        </w:tc>
        <w:tc>
          <w:tcPr>
            <w:tcW w:w="1418" w:type="dxa"/>
          </w:tcPr>
          <w:p>
            <w:pPr>
              <w:pStyle w:val="yTableNAm"/>
              <w:tabs>
                <w:tab w:val="clear" w:pos="567"/>
                <w:tab w:val="decimal" w:pos="463"/>
              </w:tabs>
            </w:pPr>
            <w:r>
              <w:t>5.0</w:t>
            </w:r>
          </w:p>
        </w:tc>
      </w:tr>
      <w:tr>
        <w:trPr>
          <w:cantSplit/>
        </w:trPr>
        <w:tc>
          <w:tcPr>
            <w:tcW w:w="1276" w:type="dxa"/>
          </w:tcPr>
          <w:p>
            <w:pPr>
              <w:pStyle w:val="yTableNAm"/>
            </w:pPr>
            <w:r>
              <w:t>109.</w:t>
            </w:r>
          </w:p>
        </w:tc>
        <w:tc>
          <w:tcPr>
            <w:tcW w:w="4678" w:type="dxa"/>
          </w:tcPr>
          <w:p>
            <w:pPr>
              <w:pStyle w:val="yTableNAm"/>
            </w:pPr>
            <w:r>
              <w:t>OXYMORPHONE</w:t>
            </w:r>
          </w:p>
        </w:tc>
        <w:tc>
          <w:tcPr>
            <w:tcW w:w="1418" w:type="dxa"/>
          </w:tcPr>
          <w:p>
            <w:pPr>
              <w:pStyle w:val="yTableNAm"/>
              <w:tabs>
                <w:tab w:val="clear" w:pos="567"/>
                <w:tab w:val="decimal" w:pos="463"/>
              </w:tabs>
            </w:pPr>
            <w:r>
              <w:t>2.0</w:t>
            </w:r>
          </w:p>
        </w:tc>
      </w:tr>
      <w:tr>
        <w:trPr>
          <w:cantSplit/>
        </w:trPr>
        <w:tc>
          <w:tcPr>
            <w:tcW w:w="1276" w:type="dxa"/>
          </w:tcPr>
          <w:p>
            <w:pPr>
              <w:pStyle w:val="yTableNAm"/>
            </w:pPr>
            <w:r>
              <w:t>110.</w:t>
            </w:r>
          </w:p>
        </w:tc>
        <w:tc>
          <w:tcPr>
            <w:tcW w:w="4678" w:type="dxa"/>
          </w:tcPr>
          <w:p>
            <w:pPr>
              <w:pStyle w:val="yTableNAm"/>
            </w:pPr>
            <w:r>
              <w:t>PENTAZOCINE</w:t>
            </w:r>
          </w:p>
        </w:tc>
        <w:tc>
          <w:tcPr>
            <w:tcW w:w="1418" w:type="dxa"/>
          </w:tcPr>
          <w:p>
            <w:pPr>
              <w:pStyle w:val="yTableNAm"/>
              <w:tabs>
                <w:tab w:val="clear" w:pos="567"/>
                <w:tab w:val="decimal" w:pos="463"/>
              </w:tabs>
            </w:pPr>
            <w:r>
              <w:t>10.0</w:t>
            </w:r>
          </w:p>
        </w:tc>
      </w:tr>
      <w:tr>
        <w:trPr>
          <w:cantSplit/>
        </w:trPr>
        <w:tc>
          <w:tcPr>
            <w:tcW w:w="1276" w:type="dxa"/>
          </w:tcPr>
          <w:p>
            <w:pPr>
              <w:pStyle w:val="yTableNAm"/>
            </w:pPr>
            <w:r>
              <w:t>111.</w:t>
            </w:r>
          </w:p>
        </w:tc>
        <w:tc>
          <w:tcPr>
            <w:tcW w:w="4678" w:type="dxa"/>
          </w:tcPr>
          <w:p>
            <w:pPr>
              <w:pStyle w:val="yTableNAm"/>
            </w:pPr>
            <w:r>
              <w:t>PENTOBARBITONE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rPr>
                <w:szCs w:val="22"/>
              </w:rPr>
              <w:t>112AA.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112AAA.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112AB.</w:t>
            </w:r>
          </w:p>
        </w:tc>
        <w:tc>
          <w:tcPr>
            <w:tcW w:w="4678"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112ABA.</w:t>
            </w:r>
          </w:p>
        </w:tc>
        <w:tc>
          <w:tcPr>
            <w:tcW w:w="4678"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112AC.</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112ACA.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112AD.</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112ADA.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lastRenderedPageBreak/>
              <w:t>112AE.</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112AEA.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w:t>
            </w:r>
          </w:p>
        </w:tc>
        <w:tc>
          <w:tcPr>
            <w:tcW w:w="4678"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112BA.</w:t>
            </w:r>
          </w:p>
        </w:tc>
        <w:tc>
          <w:tcPr>
            <w:tcW w:w="4678"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rPr>
                <w:szCs w:val="22"/>
              </w:rPr>
              <w:t>112B.</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112C.</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112.</w:t>
            </w:r>
          </w:p>
        </w:tc>
        <w:tc>
          <w:tcPr>
            <w:tcW w:w="4678" w:type="dxa"/>
          </w:tcPr>
          <w:p>
            <w:pPr>
              <w:pStyle w:val="yTableNAm"/>
            </w:pPr>
            <w:r>
              <w:t>PETHIDINE</w:t>
            </w:r>
          </w:p>
        </w:tc>
        <w:tc>
          <w:tcPr>
            <w:tcW w:w="1418" w:type="dxa"/>
          </w:tcPr>
          <w:p>
            <w:pPr>
              <w:pStyle w:val="yTableNAm"/>
              <w:tabs>
                <w:tab w:val="clear" w:pos="567"/>
                <w:tab w:val="decimal" w:pos="463"/>
              </w:tabs>
            </w:pPr>
            <w:r>
              <w:t>5.0</w:t>
            </w:r>
          </w:p>
        </w:tc>
      </w:tr>
      <w:tr>
        <w:trPr>
          <w:cantSplit/>
        </w:trPr>
        <w:tc>
          <w:tcPr>
            <w:tcW w:w="1276" w:type="dxa"/>
          </w:tcPr>
          <w:p>
            <w:pPr>
              <w:pStyle w:val="yTableNAm"/>
            </w:pPr>
            <w:r>
              <w:t>113.</w:t>
            </w:r>
          </w:p>
        </w:tc>
        <w:tc>
          <w:tcPr>
            <w:tcW w:w="4678" w:type="dxa"/>
          </w:tcPr>
          <w:p>
            <w:pPr>
              <w:pStyle w:val="yTableNAm"/>
            </w:pPr>
            <w:r>
              <w:t>PETHIDINE</w:t>
            </w:r>
            <w:r>
              <w:noBreakHyphen/>
              <w:t>INTERMEDIATE A</w:t>
            </w:r>
          </w:p>
        </w:tc>
        <w:tc>
          <w:tcPr>
            <w:tcW w:w="1418" w:type="dxa"/>
          </w:tcPr>
          <w:p>
            <w:pPr>
              <w:pStyle w:val="yTableNAm"/>
              <w:tabs>
                <w:tab w:val="clear" w:pos="567"/>
                <w:tab w:val="decimal" w:pos="463"/>
              </w:tabs>
            </w:pPr>
            <w:r>
              <w:t>5.0</w:t>
            </w:r>
          </w:p>
        </w:tc>
      </w:tr>
      <w:tr>
        <w:trPr>
          <w:cantSplit/>
        </w:trPr>
        <w:tc>
          <w:tcPr>
            <w:tcW w:w="1276" w:type="dxa"/>
          </w:tcPr>
          <w:p>
            <w:pPr>
              <w:pStyle w:val="yTableNAm"/>
            </w:pPr>
            <w:r>
              <w:t>114.</w:t>
            </w:r>
          </w:p>
        </w:tc>
        <w:tc>
          <w:tcPr>
            <w:tcW w:w="4678" w:type="dxa"/>
          </w:tcPr>
          <w:p>
            <w:pPr>
              <w:pStyle w:val="yTableNAm"/>
            </w:pPr>
            <w:r>
              <w:t>PETHIDINE</w:t>
            </w:r>
            <w:r>
              <w:noBreakHyphen/>
              <w:t>INTERMEDIATE B</w:t>
            </w:r>
          </w:p>
        </w:tc>
        <w:tc>
          <w:tcPr>
            <w:tcW w:w="1418" w:type="dxa"/>
          </w:tcPr>
          <w:p>
            <w:pPr>
              <w:pStyle w:val="yTableNAm"/>
              <w:tabs>
                <w:tab w:val="clear" w:pos="567"/>
                <w:tab w:val="decimal" w:pos="463"/>
              </w:tabs>
            </w:pPr>
            <w:r>
              <w:t>5.0</w:t>
            </w:r>
          </w:p>
        </w:tc>
      </w:tr>
      <w:tr>
        <w:trPr>
          <w:cantSplit/>
        </w:trPr>
        <w:tc>
          <w:tcPr>
            <w:tcW w:w="1276" w:type="dxa"/>
          </w:tcPr>
          <w:p>
            <w:pPr>
              <w:pStyle w:val="yTableNAm"/>
            </w:pPr>
            <w:r>
              <w:t>115.</w:t>
            </w:r>
          </w:p>
        </w:tc>
        <w:tc>
          <w:tcPr>
            <w:tcW w:w="4678" w:type="dxa"/>
          </w:tcPr>
          <w:p>
            <w:pPr>
              <w:pStyle w:val="yTableNAm"/>
            </w:pPr>
            <w:r>
              <w:t>PETHIDINE</w:t>
            </w:r>
            <w:r>
              <w:noBreakHyphen/>
              <w:t>INTERMEDIATE C</w:t>
            </w:r>
          </w:p>
        </w:tc>
        <w:tc>
          <w:tcPr>
            <w:tcW w:w="1418" w:type="dxa"/>
          </w:tcPr>
          <w:p>
            <w:pPr>
              <w:pStyle w:val="yTableNAm"/>
              <w:tabs>
                <w:tab w:val="clear" w:pos="567"/>
                <w:tab w:val="decimal" w:pos="463"/>
              </w:tabs>
            </w:pPr>
            <w:r>
              <w:t>5.0</w:t>
            </w:r>
          </w:p>
        </w:tc>
      </w:tr>
      <w:tr>
        <w:trPr>
          <w:cantSplit/>
        </w:trPr>
        <w:tc>
          <w:tcPr>
            <w:tcW w:w="1276" w:type="dxa"/>
          </w:tcPr>
          <w:p>
            <w:pPr>
              <w:pStyle w:val="yTableNAm"/>
            </w:pPr>
            <w:r>
              <w:t>116.</w:t>
            </w:r>
          </w:p>
        </w:tc>
        <w:tc>
          <w:tcPr>
            <w:tcW w:w="4678" w:type="dxa"/>
          </w:tcPr>
          <w:p>
            <w:pPr>
              <w:pStyle w:val="yTableNAm"/>
            </w:pPr>
            <w:r>
              <w:t>PHENADOXONE</w:t>
            </w:r>
          </w:p>
        </w:tc>
        <w:tc>
          <w:tcPr>
            <w:tcW w:w="1418" w:type="dxa"/>
          </w:tcPr>
          <w:p>
            <w:pPr>
              <w:pStyle w:val="yTableNAm"/>
              <w:tabs>
                <w:tab w:val="clear" w:pos="567"/>
                <w:tab w:val="decimal" w:pos="463"/>
              </w:tabs>
            </w:pPr>
            <w:r>
              <w:t>10.0</w:t>
            </w:r>
          </w:p>
        </w:tc>
      </w:tr>
      <w:tr>
        <w:trPr>
          <w:cantSplit/>
        </w:trPr>
        <w:tc>
          <w:tcPr>
            <w:tcW w:w="1276" w:type="dxa"/>
          </w:tcPr>
          <w:p>
            <w:pPr>
              <w:pStyle w:val="yTableNAm"/>
            </w:pPr>
            <w:r>
              <w:t>117.</w:t>
            </w:r>
          </w:p>
        </w:tc>
        <w:tc>
          <w:tcPr>
            <w:tcW w:w="4678" w:type="dxa"/>
          </w:tcPr>
          <w:p>
            <w:pPr>
              <w:pStyle w:val="yTableNAm"/>
            </w:pPr>
            <w:r>
              <w:t>PHENAMPROMIDE</w:t>
            </w:r>
          </w:p>
        </w:tc>
        <w:tc>
          <w:tcPr>
            <w:tcW w:w="1418" w:type="dxa"/>
          </w:tcPr>
          <w:p>
            <w:pPr>
              <w:pStyle w:val="yTableNAm"/>
              <w:tabs>
                <w:tab w:val="clear" w:pos="567"/>
                <w:tab w:val="decimal" w:pos="463"/>
              </w:tabs>
            </w:pPr>
            <w:r>
              <w:t>10.0</w:t>
            </w:r>
          </w:p>
        </w:tc>
      </w:tr>
      <w:tr>
        <w:trPr>
          <w:cantSplit/>
        </w:trPr>
        <w:tc>
          <w:tcPr>
            <w:tcW w:w="1276" w:type="dxa"/>
          </w:tcPr>
          <w:p>
            <w:pPr>
              <w:pStyle w:val="yTableNAm"/>
            </w:pPr>
            <w:r>
              <w:t>118.</w:t>
            </w:r>
          </w:p>
        </w:tc>
        <w:tc>
          <w:tcPr>
            <w:tcW w:w="4678" w:type="dxa"/>
          </w:tcPr>
          <w:p>
            <w:pPr>
              <w:pStyle w:val="yTableNAm"/>
            </w:pPr>
            <w:r>
              <w:t>PHENAZOCINE</w:t>
            </w:r>
          </w:p>
        </w:tc>
        <w:tc>
          <w:tcPr>
            <w:tcW w:w="1418" w:type="dxa"/>
          </w:tcPr>
          <w:p>
            <w:pPr>
              <w:pStyle w:val="yTableNAm"/>
              <w:tabs>
                <w:tab w:val="clear" w:pos="567"/>
                <w:tab w:val="decimal" w:pos="463"/>
              </w:tabs>
            </w:pPr>
            <w:r>
              <w:t>1.0</w:t>
            </w:r>
          </w:p>
        </w:tc>
      </w:tr>
      <w:tr>
        <w:trPr>
          <w:cantSplit/>
        </w:trPr>
        <w:tc>
          <w:tcPr>
            <w:tcW w:w="1276" w:type="dxa"/>
          </w:tcPr>
          <w:p>
            <w:pPr>
              <w:pStyle w:val="yTableNAm"/>
            </w:pPr>
            <w:r>
              <w:t>119.</w:t>
            </w:r>
          </w:p>
        </w:tc>
        <w:tc>
          <w:tcPr>
            <w:tcW w:w="4678" w:type="dxa"/>
          </w:tcPr>
          <w:p>
            <w:pPr>
              <w:pStyle w:val="yTableNAm"/>
            </w:pPr>
            <w:r>
              <w:t>PHENCYCLIDINE</w:t>
            </w:r>
          </w:p>
        </w:tc>
        <w:tc>
          <w:tcPr>
            <w:tcW w:w="1418" w:type="dxa"/>
          </w:tcPr>
          <w:p>
            <w:pPr>
              <w:pStyle w:val="yTableNAm"/>
              <w:tabs>
                <w:tab w:val="clear" w:pos="567"/>
                <w:tab w:val="decimal" w:pos="463"/>
              </w:tabs>
            </w:pPr>
            <w:r>
              <w:t>0.002</w:t>
            </w:r>
          </w:p>
        </w:tc>
      </w:tr>
      <w:tr>
        <w:trPr>
          <w:cantSplit/>
        </w:trPr>
        <w:tc>
          <w:tcPr>
            <w:tcW w:w="1276" w:type="dxa"/>
          </w:tcPr>
          <w:p>
            <w:pPr>
              <w:pStyle w:val="yTableNAm"/>
            </w:pPr>
            <w:r>
              <w:t>120.</w:t>
            </w:r>
          </w:p>
        </w:tc>
        <w:tc>
          <w:tcPr>
            <w:tcW w:w="4678" w:type="dxa"/>
          </w:tcPr>
          <w:p>
            <w:pPr>
              <w:pStyle w:val="yTableNAm"/>
            </w:pPr>
            <w:r>
              <w:t>PHENMETRAZINE</w:t>
            </w:r>
          </w:p>
        </w:tc>
        <w:tc>
          <w:tcPr>
            <w:tcW w:w="1418" w:type="dxa"/>
          </w:tcPr>
          <w:p>
            <w:pPr>
              <w:pStyle w:val="yTableNAm"/>
              <w:tabs>
                <w:tab w:val="clear" w:pos="567"/>
                <w:tab w:val="decimal" w:pos="463"/>
              </w:tabs>
            </w:pPr>
            <w:r>
              <w:t>2.0</w:t>
            </w:r>
          </w:p>
        </w:tc>
      </w:tr>
      <w:tr>
        <w:trPr>
          <w:cantSplit/>
        </w:trPr>
        <w:tc>
          <w:tcPr>
            <w:tcW w:w="1276" w:type="dxa"/>
          </w:tcPr>
          <w:p>
            <w:pPr>
              <w:pStyle w:val="yTableNAm"/>
            </w:pPr>
            <w:r>
              <w:t>121.</w:t>
            </w:r>
          </w:p>
        </w:tc>
        <w:tc>
          <w:tcPr>
            <w:tcW w:w="4678" w:type="dxa"/>
          </w:tcPr>
          <w:p>
            <w:pPr>
              <w:pStyle w:val="yTableNAm"/>
            </w:pPr>
            <w:r>
              <w:t>PHENOBARBITONE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122.</w:t>
            </w:r>
          </w:p>
        </w:tc>
        <w:tc>
          <w:tcPr>
            <w:tcW w:w="4678" w:type="dxa"/>
          </w:tcPr>
          <w:p>
            <w:pPr>
              <w:pStyle w:val="yTableNAm"/>
            </w:pPr>
            <w:r>
              <w:t>PHENOMORPHAN</w:t>
            </w:r>
          </w:p>
        </w:tc>
        <w:tc>
          <w:tcPr>
            <w:tcW w:w="1418" w:type="dxa"/>
          </w:tcPr>
          <w:p>
            <w:pPr>
              <w:pStyle w:val="yTableNAm"/>
              <w:tabs>
                <w:tab w:val="clear" w:pos="567"/>
                <w:tab w:val="decimal" w:pos="463"/>
              </w:tabs>
            </w:pPr>
            <w:r>
              <w:t>5.0</w:t>
            </w:r>
          </w:p>
        </w:tc>
      </w:tr>
      <w:tr>
        <w:trPr>
          <w:cantSplit/>
        </w:trPr>
        <w:tc>
          <w:tcPr>
            <w:tcW w:w="1276" w:type="dxa"/>
          </w:tcPr>
          <w:p>
            <w:pPr>
              <w:pStyle w:val="yTableNAm"/>
            </w:pPr>
            <w:r>
              <w:t>123.</w:t>
            </w:r>
          </w:p>
        </w:tc>
        <w:tc>
          <w:tcPr>
            <w:tcW w:w="4678" w:type="dxa"/>
          </w:tcPr>
          <w:p>
            <w:pPr>
              <w:pStyle w:val="yTableNAm"/>
            </w:pPr>
            <w:r>
              <w:t>PHENOPERIDINE</w:t>
            </w:r>
          </w:p>
        </w:tc>
        <w:tc>
          <w:tcPr>
            <w:tcW w:w="1418" w:type="dxa"/>
          </w:tcPr>
          <w:p>
            <w:pPr>
              <w:pStyle w:val="yTableNAm"/>
              <w:tabs>
                <w:tab w:val="clear" w:pos="567"/>
                <w:tab w:val="decimal" w:pos="463"/>
              </w:tabs>
            </w:pPr>
            <w:r>
              <w:t>1.0</w:t>
            </w:r>
          </w:p>
        </w:tc>
      </w:tr>
      <w:tr>
        <w:trPr>
          <w:cantSplit/>
        </w:trPr>
        <w:tc>
          <w:tcPr>
            <w:tcW w:w="1276" w:type="dxa"/>
          </w:tcPr>
          <w:p>
            <w:pPr>
              <w:pStyle w:val="yTableNAm"/>
            </w:pPr>
            <w:r>
              <w:rPr>
                <w:szCs w:val="22"/>
              </w:rPr>
              <w:lastRenderedPageBreak/>
              <w:t>124A.</w:t>
            </w:r>
          </w:p>
        </w:tc>
        <w:tc>
          <w:tcPr>
            <w:tcW w:w="4678" w:type="dxa"/>
          </w:tcPr>
          <w:p>
            <w:pPr>
              <w:pStyle w:val="yTableNAm"/>
            </w:pPr>
            <w:r>
              <w:rPr>
                <w:szCs w:val="22"/>
              </w:rPr>
              <w:t>PHENYLACETYLINDOLES (plant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124B.</w:t>
            </w:r>
          </w:p>
        </w:tc>
        <w:tc>
          <w:tcPr>
            <w:tcW w:w="4678" w:type="dxa"/>
          </w:tcPr>
          <w:p>
            <w:pPr>
              <w:pStyle w:val="yTableNAm"/>
            </w:pPr>
            <w:r>
              <w:rPr>
                <w:szCs w:val="22"/>
              </w:rPr>
              <w:t>PHENYLACETYLINDOLES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124.</w:t>
            </w:r>
          </w:p>
        </w:tc>
        <w:tc>
          <w:tcPr>
            <w:tcW w:w="4678" w:type="dxa"/>
          </w:tcPr>
          <w:p>
            <w:pPr>
              <w:pStyle w:val="yTableNAm"/>
            </w:pPr>
            <w:r>
              <w:t>PHENYLMETHYLBARBITURIC ACID</w:t>
            </w:r>
          </w:p>
        </w:tc>
        <w:tc>
          <w:tcPr>
            <w:tcW w:w="1418" w:type="dxa"/>
          </w:tcPr>
          <w:p>
            <w:pPr>
              <w:pStyle w:val="yTableNAm"/>
              <w:tabs>
                <w:tab w:val="clear" w:pos="567"/>
                <w:tab w:val="decimal" w:pos="463"/>
              </w:tabs>
            </w:pPr>
            <w:r>
              <w:t>10.0</w:t>
            </w:r>
          </w:p>
        </w:tc>
      </w:tr>
      <w:tr>
        <w:trPr>
          <w:cantSplit/>
        </w:trPr>
        <w:tc>
          <w:tcPr>
            <w:tcW w:w="1276" w:type="dxa"/>
          </w:tcPr>
          <w:p>
            <w:pPr>
              <w:pStyle w:val="yTableNAm"/>
            </w:pPr>
            <w:r>
              <w:t>125.</w:t>
            </w:r>
          </w:p>
        </w:tc>
        <w:tc>
          <w:tcPr>
            <w:tcW w:w="4678" w:type="dxa"/>
          </w:tcPr>
          <w:p>
            <w:pPr>
              <w:pStyle w:val="yTableNAm"/>
            </w:pPr>
            <w:r>
              <w:t xml:space="preserve">PHOLCODINE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5.0</w:t>
            </w:r>
          </w:p>
        </w:tc>
      </w:tr>
      <w:tr>
        <w:trPr>
          <w:cantSplit/>
        </w:trPr>
        <w:tc>
          <w:tcPr>
            <w:tcW w:w="1276" w:type="dxa"/>
          </w:tcPr>
          <w:p>
            <w:pPr>
              <w:pStyle w:val="yTableNAm"/>
            </w:pPr>
            <w:r>
              <w:t>126.</w:t>
            </w:r>
          </w:p>
        </w:tc>
        <w:tc>
          <w:tcPr>
            <w:tcW w:w="4678" w:type="dxa"/>
          </w:tcPr>
          <w:p>
            <w:pPr>
              <w:pStyle w:val="yTableNAm"/>
            </w:pPr>
            <w:r>
              <w:t>PIMINODINE</w:t>
            </w:r>
          </w:p>
        </w:tc>
        <w:tc>
          <w:tcPr>
            <w:tcW w:w="1418" w:type="dxa"/>
          </w:tcPr>
          <w:p>
            <w:pPr>
              <w:pStyle w:val="yTableNAm"/>
              <w:tabs>
                <w:tab w:val="clear" w:pos="567"/>
                <w:tab w:val="decimal" w:pos="463"/>
              </w:tabs>
            </w:pPr>
            <w:r>
              <w:t>10.0</w:t>
            </w:r>
          </w:p>
        </w:tc>
      </w:tr>
      <w:tr>
        <w:trPr>
          <w:cantSplit/>
        </w:trPr>
        <w:tc>
          <w:tcPr>
            <w:tcW w:w="1276" w:type="dxa"/>
          </w:tcPr>
          <w:p>
            <w:pPr>
              <w:pStyle w:val="yTableNAm"/>
            </w:pPr>
            <w:r>
              <w:t>127.</w:t>
            </w:r>
          </w:p>
        </w:tc>
        <w:tc>
          <w:tcPr>
            <w:tcW w:w="4678" w:type="dxa"/>
          </w:tcPr>
          <w:p>
            <w:pPr>
              <w:pStyle w:val="yTableNAm"/>
            </w:pPr>
            <w:r>
              <w:t>PIRITRAMIDE</w:t>
            </w:r>
          </w:p>
        </w:tc>
        <w:tc>
          <w:tcPr>
            <w:tcW w:w="1418" w:type="dxa"/>
          </w:tcPr>
          <w:p>
            <w:pPr>
              <w:pStyle w:val="yTableNAm"/>
              <w:tabs>
                <w:tab w:val="clear" w:pos="567"/>
                <w:tab w:val="decimal" w:pos="463"/>
              </w:tabs>
            </w:pPr>
            <w:r>
              <w:t>1.0</w:t>
            </w:r>
          </w:p>
        </w:tc>
      </w:tr>
      <w:tr>
        <w:trPr>
          <w:cantSplit/>
        </w:trPr>
        <w:tc>
          <w:tcPr>
            <w:tcW w:w="1276" w:type="dxa"/>
          </w:tcPr>
          <w:p>
            <w:pPr>
              <w:pStyle w:val="yTableNAm"/>
            </w:pPr>
            <w:r>
              <w:rPr>
                <w:szCs w:val="22"/>
              </w:rPr>
              <w:t>128A.</w:t>
            </w:r>
          </w:p>
        </w:tc>
        <w:tc>
          <w:tcPr>
            <w:tcW w:w="4678" w:type="dxa"/>
          </w:tcPr>
          <w:p>
            <w:pPr>
              <w:pStyle w:val="yTableNAm"/>
            </w:pPr>
            <w:r>
              <w:rPr>
                <w:szCs w:val="22"/>
              </w:rPr>
              <w:t>PRAVADOLINE (WIN 48098) (plant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128B.</w:t>
            </w:r>
          </w:p>
        </w:tc>
        <w:tc>
          <w:tcPr>
            <w:tcW w:w="4678" w:type="dxa"/>
          </w:tcPr>
          <w:p>
            <w:pPr>
              <w:pStyle w:val="yTableNAm"/>
            </w:pPr>
            <w:r>
              <w:rPr>
                <w:szCs w:val="22"/>
              </w:rPr>
              <w:t>PRAVADOLINE (WIN 48098)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128.</w:t>
            </w:r>
          </w:p>
        </w:tc>
        <w:tc>
          <w:tcPr>
            <w:tcW w:w="4678" w:type="dxa"/>
          </w:tcPr>
          <w:p>
            <w:pPr>
              <w:pStyle w:val="yTableNAm"/>
            </w:pPr>
            <w:r>
              <w:t>PROHEPTAZINE</w:t>
            </w:r>
          </w:p>
        </w:tc>
        <w:tc>
          <w:tcPr>
            <w:tcW w:w="1418" w:type="dxa"/>
          </w:tcPr>
          <w:p>
            <w:pPr>
              <w:pStyle w:val="yTableNAm"/>
              <w:tabs>
                <w:tab w:val="clear" w:pos="567"/>
                <w:tab w:val="decimal" w:pos="463"/>
              </w:tabs>
            </w:pPr>
            <w:r>
              <w:t>1.0</w:t>
            </w:r>
          </w:p>
        </w:tc>
      </w:tr>
      <w:tr>
        <w:trPr>
          <w:cantSplit/>
        </w:trPr>
        <w:tc>
          <w:tcPr>
            <w:tcW w:w="1276" w:type="dxa"/>
          </w:tcPr>
          <w:p>
            <w:pPr>
              <w:pStyle w:val="yTableNAm"/>
            </w:pPr>
            <w:r>
              <w:t>129.</w:t>
            </w:r>
          </w:p>
        </w:tc>
        <w:tc>
          <w:tcPr>
            <w:tcW w:w="4678" w:type="dxa"/>
          </w:tcPr>
          <w:p>
            <w:pPr>
              <w:pStyle w:val="yTableNAm"/>
            </w:pPr>
            <w:r>
              <w:t>PROPERIDINE</w:t>
            </w:r>
          </w:p>
        </w:tc>
        <w:tc>
          <w:tcPr>
            <w:tcW w:w="1418" w:type="dxa"/>
          </w:tcPr>
          <w:p>
            <w:pPr>
              <w:pStyle w:val="yTableNAm"/>
              <w:tabs>
                <w:tab w:val="clear" w:pos="567"/>
                <w:tab w:val="decimal" w:pos="463"/>
              </w:tabs>
            </w:pPr>
            <w:r>
              <w:t>25.0</w:t>
            </w:r>
          </w:p>
        </w:tc>
      </w:tr>
      <w:tr>
        <w:trPr>
          <w:cantSplit/>
        </w:trPr>
        <w:tc>
          <w:tcPr>
            <w:tcW w:w="1276" w:type="dxa"/>
          </w:tcPr>
          <w:p>
            <w:pPr>
              <w:pStyle w:val="yTableNAm"/>
            </w:pPr>
            <w:r>
              <w:t>130.</w:t>
            </w:r>
          </w:p>
        </w:tc>
        <w:tc>
          <w:tcPr>
            <w:tcW w:w="4678" w:type="dxa"/>
          </w:tcPr>
          <w:p>
            <w:pPr>
              <w:pStyle w:val="yTableNAm"/>
            </w:pPr>
            <w:r>
              <w:t>PROPIRAM</w:t>
            </w:r>
          </w:p>
        </w:tc>
        <w:tc>
          <w:tcPr>
            <w:tcW w:w="1418" w:type="dxa"/>
          </w:tcPr>
          <w:p>
            <w:pPr>
              <w:pStyle w:val="yTableNAm"/>
              <w:tabs>
                <w:tab w:val="clear" w:pos="567"/>
                <w:tab w:val="decimal" w:pos="463"/>
              </w:tabs>
            </w:pPr>
            <w:r>
              <w:t>4.0</w:t>
            </w:r>
          </w:p>
        </w:tc>
      </w:tr>
      <w:tr>
        <w:trPr>
          <w:cantSplit/>
        </w:trPr>
        <w:tc>
          <w:tcPr>
            <w:tcW w:w="1276" w:type="dxa"/>
          </w:tcPr>
          <w:p>
            <w:pPr>
              <w:pStyle w:val="yTableNAm"/>
            </w:pPr>
            <w:r>
              <w:rPr>
                <w:szCs w:val="22"/>
              </w:rPr>
              <w:t>131A.</w:t>
            </w:r>
          </w:p>
        </w:tc>
        <w:tc>
          <w:tcPr>
            <w:tcW w:w="4678"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131B.</w:t>
            </w:r>
          </w:p>
        </w:tc>
        <w:tc>
          <w:tcPr>
            <w:tcW w:w="4678"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131.</w:t>
            </w:r>
          </w:p>
        </w:tc>
        <w:tc>
          <w:tcPr>
            <w:tcW w:w="4678" w:type="dxa"/>
          </w:tcPr>
          <w:p>
            <w:pPr>
              <w:pStyle w:val="yTableNAm"/>
            </w:pPr>
            <w:r>
              <w:t>PSILOCIN</w:t>
            </w:r>
          </w:p>
        </w:tc>
        <w:tc>
          <w:tcPr>
            <w:tcW w:w="1418" w:type="dxa"/>
          </w:tcPr>
          <w:p>
            <w:pPr>
              <w:pStyle w:val="yTableNAm"/>
              <w:tabs>
                <w:tab w:val="clear" w:pos="567"/>
                <w:tab w:val="decimal" w:pos="463"/>
              </w:tabs>
            </w:pPr>
            <w:r>
              <w:t>0.1</w:t>
            </w:r>
          </w:p>
        </w:tc>
      </w:tr>
      <w:tr>
        <w:trPr>
          <w:cantSplit/>
        </w:trPr>
        <w:tc>
          <w:tcPr>
            <w:tcW w:w="1276" w:type="dxa"/>
          </w:tcPr>
          <w:p>
            <w:pPr>
              <w:pStyle w:val="yTableNAm"/>
            </w:pPr>
            <w:r>
              <w:t>132.</w:t>
            </w:r>
          </w:p>
        </w:tc>
        <w:tc>
          <w:tcPr>
            <w:tcW w:w="4678" w:type="dxa"/>
          </w:tcPr>
          <w:p>
            <w:pPr>
              <w:pStyle w:val="yTableNAm"/>
            </w:pPr>
            <w:r>
              <w:t>PSILOCYBIN</w:t>
            </w:r>
          </w:p>
        </w:tc>
        <w:tc>
          <w:tcPr>
            <w:tcW w:w="1418" w:type="dxa"/>
          </w:tcPr>
          <w:p>
            <w:pPr>
              <w:pStyle w:val="yTableNAm"/>
              <w:tabs>
                <w:tab w:val="clear" w:pos="567"/>
                <w:tab w:val="decimal" w:pos="463"/>
              </w:tabs>
            </w:pPr>
            <w:r>
              <w:t>0.1</w:t>
            </w:r>
          </w:p>
        </w:tc>
      </w:tr>
      <w:tr>
        <w:trPr>
          <w:cantSplit/>
        </w:trPr>
        <w:tc>
          <w:tcPr>
            <w:tcW w:w="1276" w:type="dxa"/>
          </w:tcPr>
          <w:p>
            <w:pPr>
              <w:pStyle w:val="yTableNAm"/>
            </w:pPr>
            <w:r>
              <w:t>133.</w:t>
            </w:r>
          </w:p>
        </w:tc>
        <w:tc>
          <w:tcPr>
            <w:tcW w:w="4678" w:type="dxa"/>
          </w:tcPr>
          <w:p>
            <w:pPr>
              <w:pStyle w:val="yTableNAm"/>
            </w:pPr>
            <w:r>
              <w:t>PSYCHOTOMIMETIC SUBSTANCES (structurally derived from methoxyphenethylamine)</w:t>
            </w:r>
          </w:p>
        </w:tc>
        <w:tc>
          <w:tcPr>
            <w:tcW w:w="1418" w:type="dxa"/>
          </w:tcPr>
          <w:p>
            <w:pPr>
              <w:pStyle w:val="yTableNAm"/>
              <w:tabs>
                <w:tab w:val="clear" w:pos="567"/>
                <w:tab w:val="decimal" w:pos="463"/>
              </w:tabs>
            </w:pPr>
            <w:r>
              <w:br/>
            </w:r>
            <w:r>
              <w:br/>
              <w:t>0.05</w:t>
            </w:r>
          </w:p>
        </w:tc>
      </w:tr>
      <w:tr>
        <w:trPr>
          <w:cantSplit/>
        </w:trPr>
        <w:tc>
          <w:tcPr>
            <w:tcW w:w="1276" w:type="dxa"/>
          </w:tcPr>
          <w:p>
            <w:pPr>
              <w:pStyle w:val="yTableNAm"/>
            </w:pPr>
            <w:r>
              <w:t>134.</w:t>
            </w:r>
          </w:p>
        </w:tc>
        <w:tc>
          <w:tcPr>
            <w:tcW w:w="4678" w:type="dxa"/>
          </w:tcPr>
          <w:p>
            <w:pPr>
              <w:pStyle w:val="yTableNAm"/>
            </w:pPr>
            <w:r>
              <w:t>QUINALBARBITONE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lastRenderedPageBreak/>
              <w:t>135.</w:t>
            </w:r>
          </w:p>
        </w:tc>
        <w:tc>
          <w:tcPr>
            <w:tcW w:w="4678" w:type="dxa"/>
          </w:tcPr>
          <w:p>
            <w:pPr>
              <w:pStyle w:val="yTableNAm"/>
            </w:pPr>
            <w:r>
              <w:t>RACEMETHORPHAN</w:t>
            </w:r>
          </w:p>
        </w:tc>
        <w:tc>
          <w:tcPr>
            <w:tcW w:w="1418" w:type="dxa"/>
          </w:tcPr>
          <w:p>
            <w:pPr>
              <w:pStyle w:val="yTableNAm"/>
              <w:tabs>
                <w:tab w:val="clear" w:pos="567"/>
                <w:tab w:val="decimal" w:pos="463"/>
              </w:tabs>
            </w:pPr>
            <w:r>
              <w:t>2.0</w:t>
            </w:r>
          </w:p>
        </w:tc>
      </w:tr>
      <w:tr>
        <w:trPr>
          <w:cantSplit/>
        </w:trPr>
        <w:tc>
          <w:tcPr>
            <w:tcW w:w="1276" w:type="dxa"/>
          </w:tcPr>
          <w:p>
            <w:pPr>
              <w:pStyle w:val="yTableNAm"/>
            </w:pPr>
            <w:r>
              <w:t>136.</w:t>
            </w:r>
          </w:p>
        </w:tc>
        <w:tc>
          <w:tcPr>
            <w:tcW w:w="4678" w:type="dxa"/>
          </w:tcPr>
          <w:p>
            <w:pPr>
              <w:pStyle w:val="yTableNAm"/>
            </w:pPr>
            <w:r>
              <w:t>RACEMORAMIDE</w:t>
            </w:r>
          </w:p>
        </w:tc>
        <w:tc>
          <w:tcPr>
            <w:tcW w:w="1418" w:type="dxa"/>
          </w:tcPr>
          <w:p>
            <w:pPr>
              <w:pStyle w:val="yTableNAm"/>
              <w:tabs>
                <w:tab w:val="clear" w:pos="567"/>
                <w:tab w:val="decimal" w:pos="463"/>
              </w:tabs>
            </w:pPr>
            <w:r>
              <w:t>1.0</w:t>
            </w:r>
          </w:p>
        </w:tc>
      </w:tr>
      <w:tr>
        <w:trPr>
          <w:cantSplit/>
        </w:trPr>
        <w:tc>
          <w:tcPr>
            <w:tcW w:w="1276" w:type="dxa"/>
          </w:tcPr>
          <w:p>
            <w:pPr>
              <w:pStyle w:val="yTableNAm"/>
            </w:pPr>
            <w:r>
              <w:t>137.</w:t>
            </w:r>
          </w:p>
        </w:tc>
        <w:tc>
          <w:tcPr>
            <w:tcW w:w="4678" w:type="dxa"/>
          </w:tcPr>
          <w:p>
            <w:pPr>
              <w:pStyle w:val="yTableNAm"/>
            </w:pPr>
            <w:r>
              <w:t>RACEMORPHAN</w:t>
            </w:r>
          </w:p>
        </w:tc>
        <w:tc>
          <w:tcPr>
            <w:tcW w:w="1418" w:type="dxa"/>
          </w:tcPr>
          <w:p>
            <w:pPr>
              <w:pStyle w:val="yTableNAm"/>
              <w:tabs>
                <w:tab w:val="clear" w:pos="567"/>
                <w:tab w:val="decimal" w:pos="463"/>
              </w:tabs>
            </w:pPr>
            <w:r>
              <w:t>2.0</w:t>
            </w:r>
          </w:p>
        </w:tc>
      </w:tr>
      <w:tr>
        <w:trPr>
          <w:cantSplit/>
        </w:trPr>
        <w:tc>
          <w:tcPr>
            <w:tcW w:w="1276" w:type="dxa"/>
          </w:tcPr>
          <w:p>
            <w:pPr>
              <w:pStyle w:val="yTableNAm"/>
            </w:pPr>
            <w:r>
              <w:t>138.</w:t>
            </w:r>
          </w:p>
        </w:tc>
        <w:tc>
          <w:tcPr>
            <w:tcW w:w="4678" w:type="dxa"/>
          </w:tcPr>
          <w:p>
            <w:pPr>
              <w:pStyle w:val="yTableNAm"/>
            </w:pPr>
            <w:r>
              <w:t>SECBUTOBARBITONE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139.</w:t>
            </w:r>
          </w:p>
        </w:tc>
        <w:tc>
          <w:tcPr>
            <w:tcW w:w="4678" w:type="dxa"/>
          </w:tcPr>
          <w:p>
            <w:pPr>
              <w:pStyle w:val="yTableNAm"/>
            </w:pPr>
            <w:r>
              <w:t>TALBUTAL</w:t>
            </w:r>
          </w:p>
        </w:tc>
        <w:tc>
          <w:tcPr>
            <w:tcW w:w="1418" w:type="dxa"/>
          </w:tcPr>
          <w:p>
            <w:pPr>
              <w:pStyle w:val="yTableNAm"/>
              <w:tabs>
                <w:tab w:val="clear" w:pos="567"/>
                <w:tab w:val="decimal" w:pos="463"/>
              </w:tabs>
            </w:pPr>
            <w:r>
              <w:t>10.0</w:t>
            </w:r>
          </w:p>
        </w:tc>
      </w:tr>
      <w:tr>
        <w:trPr>
          <w:cantSplit/>
        </w:trPr>
        <w:tc>
          <w:tcPr>
            <w:tcW w:w="1276" w:type="dxa"/>
          </w:tcPr>
          <w:p>
            <w:pPr>
              <w:pStyle w:val="yTableNAm"/>
            </w:pPr>
            <w:r>
              <w:t>140.</w:t>
            </w:r>
          </w:p>
        </w:tc>
        <w:tc>
          <w:tcPr>
            <w:tcW w:w="4678" w:type="dxa"/>
          </w:tcPr>
          <w:p>
            <w:pPr>
              <w:pStyle w:val="yTableNAm"/>
            </w:pPr>
            <w:r>
              <w:t>TETRAHYDROCANNABINOLS</w:t>
            </w:r>
          </w:p>
        </w:tc>
        <w:tc>
          <w:tcPr>
            <w:tcW w:w="1418" w:type="dxa"/>
          </w:tcPr>
          <w:p>
            <w:pPr>
              <w:pStyle w:val="yTableNAm"/>
              <w:tabs>
                <w:tab w:val="clear" w:pos="567"/>
                <w:tab w:val="decimal" w:pos="463"/>
              </w:tabs>
            </w:pPr>
            <w:r>
              <w:t>2.0</w:t>
            </w:r>
          </w:p>
        </w:tc>
      </w:tr>
      <w:tr>
        <w:trPr>
          <w:cantSplit/>
        </w:trPr>
        <w:tc>
          <w:tcPr>
            <w:tcW w:w="1276" w:type="dxa"/>
          </w:tcPr>
          <w:p>
            <w:pPr>
              <w:pStyle w:val="yTableNAm"/>
            </w:pPr>
            <w:r>
              <w:t>141.</w:t>
            </w:r>
          </w:p>
        </w:tc>
        <w:tc>
          <w:tcPr>
            <w:tcW w:w="4678" w:type="dxa"/>
          </w:tcPr>
          <w:p>
            <w:pPr>
              <w:pStyle w:val="yTableNAm"/>
            </w:pPr>
            <w:r>
              <w:t>THEBACON</w:t>
            </w:r>
          </w:p>
        </w:tc>
        <w:tc>
          <w:tcPr>
            <w:tcW w:w="1418" w:type="dxa"/>
          </w:tcPr>
          <w:p>
            <w:pPr>
              <w:pStyle w:val="yTableNAm"/>
              <w:tabs>
                <w:tab w:val="clear" w:pos="567"/>
                <w:tab w:val="decimal" w:pos="463"/>
              </w:tabs>
            </w:pPr>
            <w:r>
              <w:t>2.0</w:t>
            </w:r>
          </w:p>
        </w:tc>
      </w:tr>
      <w:tr>
        <w:trPr>
          <w:cantSplit/>
        </w:trPr>
        <w:tc>
          <w:tcPr>
            <w:tcW w:w="1276" w:type="dxa"/>
          </w:tcPr>
          <w:p>
            <w:pPr>
              <w:pStyle w:val="yTableNAm"/>
            </w:pPr>
            <w:r>
              <w:t>142.</w:t>
            </w:r>
          </w:p>
        </w:tc>
        <w:tc>
          <w:tcPr>
            <w:tcW w:w="4678" w:type="dxa"/>
          </w:tcPr>
          <w:p>
            <w:pPr>
              <w:pStyle w:val="yTableNAm"/>
            </w:pPr>
            <w:r>
              <w:t>THEBAINE</w:t>
            </w:r>
          </w:p>
        </w:tc>
        <w:tc>
          <w:tcPr>
            <w:tcW w:w="1418" w:type="dxa"/>
          </w:tcPr>
          <w:p>
            <w:pPr>
              <w:pStyle w:val="yTableNAm"/>
              <w:tabs>
                <w:tab w:val="clear" w:pos="567"/>
                <w:tab w:val="decimal" w:pos="463"/>
              </w:tabs>
            </w:pPr>
            <w:r>
              <w:t>10.0</w:t>
            </w:r>
          </w:p>
        </w:tc>
      </w:tr>
      <w:tr>
        <w:trPr>
          <w:cantSplit/>
        </w:trPr>
        <w:tc>
          <w:tcPr>
            <w:tcW w:w="1276" w:type="dxa"/>
          </w:tcPr>
          <w:p>
            <w:pPr>
              <w:pStyle w:val="yTableNAm"/>
            </w:pPr>
            <w:r>
              <w:t>143.</w:t>
            </w:r>
          </w:p>
        </w:tc>
        <w:tc>
          <w:tcPr>
            <w:tcW w:w="4678" w:type="dxa"/>
          </w:tcPr>
          <w:p>
            <w:pPr>
              <w:pStyle w:val="yTableNAm"/>
            </w:pPr>
            <w:r>
              <w:t>TRIMEPERIDINE</w:t>
            </w:r>
          </w:p>
        </w:tc>
        <w:tc>
          <w:tcPr>
            <w:tcW w:w="1418" w:type="dxa"/>
          </w:tcPr>
          <w:p>
            <w:pPr>
              <w:pStyle w:val="yTableNAm"/>
              <w:tabs>
                <w:tab w:val="clear" w:pos="567"/>
                <w:tab w:val="decimal" w:pos="463"/>
              </w:tabs>
            </w:pPr>
            <w:r>
              <w:t>10.0</w:t>
            </w:r>
          </w:p>
        </w:tc>
      </w:tr>
      <w:tr>
        <w:trPr>
          <w:cantSplit/>
        </w:trPr>
        <w:tc>
          <w:tcPr>
            <w:tcW w:w="1276" w:type="dxa"/>
          </w:tcPr>
          <w:p>
            <w:pPr>
              <w:pStyle w:val="yTableNAm"/>
              <w:keepNext/>
            </w:pPr>
            <w:r>
              <w:t>144.</w:t>
            </w:r>
          </w:p>
        </w:tc>
        <w:tc>
          <w:tcPr>
            <w:tcW w:w="4678" w:type="dxa"/>
          </w:tcPr>
          <w:p>
            <w:pPr>
              <w:pStyle w:val="yTableNAm"/>
              <w:keepNext/>
            </w:pPr>
            <w:r>
              <w:t>VINBARBITONE</w:t>
            </w:r>
          </w:p>
        </w:tc>
        <w:tc>
          <w:tcPr>
            <w:tcW w:w="1418" w:type="dxa"/>
          </w:tcPr>
          <w:p>
            <w:pPr>
              <w:pStyle w:val="yTableNAm"/>
              <w:keepNext/>
              <w:tabs>
                <w:tab w:val="clear" w:pos="567"/>
                <w:tab w:val="decimal" w:pos="463"/>
              </w:tabs>
            </w:pPr>
            <w:r>
              <w:t>10.0</w:t>
            </w:r>
          </w:p>
        </w:tc>
      </w:tr>
    </w:tbl>
    <w:p>
      <w:pPr>
        <w:pStyle w:val="yFootnotesection"/>
      </w:pPr>
      <w:r>
        <w:tab/>
        <w:t>[Division 1 amended: No. 48 of 1995 s. 43; No. 13 of 2014 s. 181; amended: Gazette 30 Nov 1990 p. 5937; 29 Nov 1991 p. 6041; 29 Apr 2011 p. 1533; 1 Jul 2011 p. 2743</w:t>
      </w:r>
      <w:r>
        <w:noBreakHyphen/>
        <w:t>4; 11 Oct 2011 p. 4318</w:t>
      </w:r>
      <w:r>
        <w:noBreakHyphen/>
        <w:t>19; 13 Apr 2012 p. 1665; 30 Oct 2012 p. 5195; 29 Aug 2018 p. 3010</w:t>
      </w:r>
      <w:r>
        <w:noBreakHyphen/>
        <w:t>21; SL 2023/48 cl. 5(1).]</w:t>
      </w:r>
    </w:p>
    <w:p>
      <w:pPr>
        <w:pStyle w:val="yHeading3"/>
      </w:pPr>
      <w:bookmarkStart w:id="276" w:name="_Toc138689212"/>
      <w:bookmarkStart w:id="277" w:name="_Toc138691610"/>
      <w:bookmarkStart w:id="278" w:name="_Toc138751173"/>
      <w:r>
        <w:rPr>
          <w:rStyle w:val="CharSDivNo"/>
        </w:rPr>
        <w:t>Division 2</w:t>
      </w:r>
      <w:r>
        <w:rPr>
          <w:b w:val="0"/>
        </w:rPr>
        <w:t> — </w:t>
      </w:r>
      <w:r>
        <w:rPr>
          <w:rStyle w:val="CharSDivText"/>
        </w:rPr>
        <w:t>Steroids</w:t>
      </w:r>
      <w:bookmarkEnd w:id="276"/>
      <w:bookmarkEnd w:id="277"/>
      <w:bookmarkEnd w:id="278"/>
    </w:p>
    <w:p>
      <w:pPr>
        <w:pStyle w:val="yFootnoteheading"/>
      </w:pPr>
      <w:r>
        <w:tab/>
        <w:t>[Heading inserted: Gazette 29 Aug 2018 p. 3021.]</w:t>
      </w:r>
    </w:p>
    <w:tbl>
      <w:tblPr>
        <w:tblW w:w="7046"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42"/>
        <w:gridCol w:w="4928"/>
        <w:gridCol w:w="1276"/>
      </w:tblGrid>
      <w:tr>
        <w:trPr>
          <w:tblHeader/>
        </w:trPr>
        <w:tc>
          <w:tcPr>
            <w:tcW w:w="842" w:type="dxa"/>
            <w:tcBorders>
              <w:top w:val="single" w:sz="4" w:space="0" w:color="auto"/>
              <w:left w:val="nil"/>
              <w:bottom w:val="single" w:sz="4" w:space="0" w:color="auto"/>
              <w:right w:val="nil"/>
            </w:tcBorders>
          </w:tcPr>
          <w:p>
            <w:pPr>
              <w:pStyle w:val="yTableNAm"/>
            </w:pPr>
            <w:r>
              <w:rPr>
                <w:i/>
                <w:szCs w:val="22"/>
              </w:rPr>
              <w:t>Item</w:t>
            </w:r>
          </w:p>
        </w:tc>
        <w:tc>
          <w:tcPr>
            <w:tcW w:w="4928" w:type="dxa"/>
            <w:tcBorders>
              <w:top w:val="single" w:sz="4" w:space="0" w:color="auto"/>
              <w:left w:val="nil"/>
              <w:bottom w:val="single" w:sz="4" w:space="0" w:color="auto"/>
              <w:right w:val="nil"/>
            </w:tcBorders>
          </w:tcPr>
          <w:p>
            <w:pPr>
              <w:pStyle w:val="yTableNAm"/>
              <w:jc w:val="center"/>
            </w:pPr>
            <w:r>
              <w:rPr>
                <w:i/>
                <w:szCs w:val="22"/>
              </w:rPr>
              <w:t>Prohibited drug</w:t>
            </w:r>
          </w:p>
        </w:tc>
        <w:tc>
          <w:tcPr>
            <w:tcW w:w="1276" w:type="dxa"/>
            <w:tcBorders>
              <w:top w:val="single" w:sz="4" w:space="0" w:color="auto"/>
              <w:left w:val="nil"/>
              <w:bottom w:val="single" w:sz="4" w:space="0" w:color="auto"/>
              <w:right w:val="nil"/>
            </w:tcBorders>
          </w:tcPr>
          <w:p>
            <w:pPr>
              <w:pStyle w:val="yTableNAm"/>
              <w:jc w:val="center"/>
            </w:pPr>
            <w:r>
              <w:rPr>
                <w:i/>
                <w:szCs w:val="22"/>
              </w:rPr>
              <w:t>Amount (in grams unless otherwise stated)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rPr>
                <w:szCs w:val="22"/>
              </w:rPr>
            </w:pPr>
            <w:r>
              <w:t>1A.</w:t>
            </w:r>
          </w:p>
        </w:tc>
        <w:tc>
          <w:tcPr>
            <w:tcW w:w="4928" w:type="dxa"/>
          </w:tcPr>
          <w:p>
            <w:pPr>
              <w:pStyle w:val="yTableNAm"/>
              <w:rPr>
                <w:szCs w:val="22"/>
              </w:rPr>
            </w:pPr>
            <w:r>
              <w:rPr>
                <w:rFonts w:cs="Arial"/>
                <w:szCs w:val="24"/>
              </w:rPr>
              <w:t>ANDROISOXAZOLE</w:t>
            </w:r>
          </w:p>
        </w:tc>
        <w:tc>
          <w:tcPr>
            <w:tcW w:w="1276" w:type="dxa"/>
          </w:tcPr>
          <w:p>
            <w:pPr>
              <w:pStyle w:val="yTableNAm"/>
              <w:jc w:val="center"/>
              <w:rPr>
                <w:szCs w:val="22"/>
              </w:rP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rPr>
                <w:szCs w:val="22"/>
              </w:rPr>
            </w:pPr>
            <w:r>
              <w:rPr>
                <w:szCs w:val="22"/>
              </w:rPr>
              <w:t>1.</w:t>
            </w:r>
          </w:p>
        </w:tc>
        <w:tc>
          <w:tcPr>
            <w:tcW w:w="4928" w:type="dxa"/>
          </w:tcPr>
          <w:p>
            <w:pPr>
              <w:pStyle w:val="yTableNAm"/>
            </w:pPr>
            <w:r>
              <w:rPr>
                <w:szCs w:val="22"/>
              </w:rPr>
              <w:t>ATAMESTANE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lastRenderedPageBreak/>
              <w:t>2.</w:t>
            </w:r>
          </w:p>
        </w:tc>
        <w:tc>
          <w:tcPr>
            <w:tcW w:w="4928" w:type="dxa"/>
          </w:tcPr>
          <w:p>
            <w:pPr>
              <w:pStyle w:val="yTableNAm"/>
            </w:pPr>
            <w:r>
              <w:rPr>
                <w:szCs w:val="22"/>
              </w:rPr>
              <w:t>BOLANDIOL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w:t>
            </w:r>
          </w:p>
        </w:tc>
        <w:tc>
          <w:tcPr>
            <w:tcW w:w="4928" w:type="dxa"/>
          </w:tcPr>
          <w:p>
            <w:pPr>
              <w:pStyle w:val="yTableNAm"/>
            </w:pPr>
            <w:r>
              <w:rPr>
                <w:szCs w:val="22"/>
              </w:rPr>
              <w:t>BOLASTERONE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w:t>
            </w:r>
          </w:p>
        </w:tc>
        <w:tc>
          <w:tcPr>
            <w:tcW w:w="4928" w:type="dxa"/>
          </w:tcPr>
          <w:p>
            <w:pPr>
              <w:pStyle w:val="yTableNAm"/>
            </w:pPr>
            <w:r>
              <w:rPr>
                <w:szCs w:val="22"/>
              </w:rPr>
              <w:t>BOLANZINE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w:t>
            </w:r>
          </w:p>
        </w:tc>
        <w:tc>
          <w:tcPr>
            <w:tcW w:w="4928" w:type="dxa"/>
          </w:tcPr>
          <w:p>
            <w:pPr>
              <w:pStyle w:val="yTableNAm"/>
            </w:pPr>
            <w:r>
              <w:rPr>
                <w:szCs w:val="22"/>
              </w:rPr>
              <w:t>BOLDENONE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6.</w:t>
            </w:r>
          </w:p>
        </w:tc>
        <w:tc>
          <w:tcPr>
            <w:tcW w:w="4928" w:type="dxa"/>
          </w:tcPr>
          <w:p>
            <w:pPr>
              <w:pStyle w:val="yTableNAm"/>
            </w:pPr>
            <w:r>
              <w:rPr>
                <w:szCs w:val="22"/>
              </w:rPr>
              <w:t>BOLENOL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7.</w:t>
            </w:r>
          </w:p>
        </w:tc>
        <w:tc>
          <w:tcPr>
            <w:tcW w:w="4928" w:type="dxa"/>
          </w:tcPr>
          <w:p>
            <w:pPr>
              <w:pStyle w:val="yTableNAm"/>
            </w:pPr>
            <w:r>
              <w:rPr>
                <w:szCs w:val="22"/>
              </w:rPr>
              <w:t>BOLMANTALATE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8.</w:t>
            </w:r>
          </w:p>
        </w:tc>
        <w:tc>
          <w:tcPr>
            <w:tcW w:w="4928" w:type="dxa"/>
          </w:tcPr>
          <w:p>
            <w:pPr>
              <w:pStyle w:val="yTableNAm"/>
            </w:pPr>
            <w:r>
              <w:rPr>
                <w:szCs w:val="22"/>
              </w:rPr>
              <w:t>CALUSTERONE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9.</w:t>
            </w:r>
          </w:p>
        </w:tc>
        <w:tc>
          <w:tcPr>
            <w:tcW w:w="4928" w:type="dxa"/>
          </w:tcPr>
          <w:p>
            <w:pPr>
              <w:pStyle w:val="yTableNAm"/>
            </w:pPr>
            <w:r>
              <w:rPr>
                <w:szCs w:val="22"/>
              </w:rPr>
              <w:t>CHLORANDROSTENOLONE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10.</w:t>
            </w:r>
          </w:p>
        </w:tc>
        <w:tc>
          <w:tcPr>
            <w:tcW w:w="4928" w:type="dxa"/>
          </w:tcPr>
          <w:p>
            <w:pPr>
              <w:pStyle w:val="yTableNAm"/>
            </w:pPr>
            <w:r>
              <w:rPr>
                <w:szCs w:val="22"/>
              </w:rPr>
              <w:t>CHLOROMETHANDIENONE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11.</w:t>
            </w:r>
          </w:p>
        </w:tc>
        <w:tc>
          <w:tcPr>
            <w:tcW w:w="4928" w:type="dxa"/>
          </w:tcPr>
          <w:p>
            <w:pPr>
              <w:pStyle w:val="yTableNAm"/>
            </w:pPr>
            <w:r>
              <w:rPr>
                <w:szCs w:val="22"/>
              </w:rPr>
              <w:t>CHLOROXYDIENONE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12.</w:t>
            </w:r>
          </w:p>
        </w:tc>
        <w:tc>
          <w:tcPr>
            <w:tcW w:w="4928" w:type="dxa"/>
          </w:tcPr>
          <w:p>
            <w:pPr>
              <w:pStyle w:val="yTableNAm"/>
            </w:pPr>
            <w:r>
              <w:rPr>
                <w:szCs w:val="22"/>
              </w:rPr>
              <w:t xml:space="preserve">CHLOROXYMESTERONE </w:t>
            </w:r>
            <w:r>
              <w:rPr>
                <w:sz w:val="21"/>
                <w:szCs w:val="21"/>
              </w:rPr>
              <w:t>(DEHYDROCHLOROMETHYLTESTOSTERONE)</w:t>
            </w:r>
          </w:p>
        </w:tc>
        <w:tc>
          <w:tcPr>
            <w:tcW w:w="1276" w:type="dxa"/>
          </w:tcPr>
          <w:p>
            <w:pPr>
              <w:pStyle w:val="yTableNAm"/>
              <w:jc w:val="center"/>
            </w:pPr>
            <w:r>
              <w:rPr>
                <w:szCs w:val="22"/>
              </w:rPr>
              <w:b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13.</w:t>
            </w:r>
          </w:p>
        </w:tc>
        <w:tc>
          <w:tcPr>
            <w:tcW w:w="4928" w:type="dxa"/>
          </w:tcPr>
          <w:p>
            <w:pPr>
              <w:pStyle w:val="yTableNAm"/>
            </w:pPr>
            <w:r>
              <w:rPr>
                <w:szCs w:val="22"/>
              </w:rPr>
              <w:t>CLOSTEBOL (4</w:t>
            </w:r>
            <w:r>
              <w:rPr>
                <w:szCs w:val="22"/>
              </w:rPr>
              <w:noBreakHyphen/>
              <w:t>CHLOROTESTOSTERONE)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14.</w:t>
            </w:r>
          </w:p>
        </w:tc>
        <w:tc>
          <w:tcPr>
            <w:tcW w:w="4928" w:type="dxa"/>
          </w:tcPr>
          <w:p>
            <w:pPr>
              <w:pStyle w:val="yTableNAm"/>
            </w:pPr>
            <w:r>
              <w:rPr>
                <w:szCs w:val="22"/>
              </w:rPr>
              <w:t>DIHYDROLONE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15.</w:t>
            </w:r>
          </w:p>
        </w:tc>
        <w:tc>
          <w:tcPr>
            <w:tcW w:w="4928" w:type="dxa"/>
          </w:tcPr>
          <w:p>
            <w:pPr>
              <w:pStyle w:val="yTableNAm"/>
            </w:pPr>
            <w:r>
              <w:rPr>
                <w:szCs w:val="22"/>
              </w:rPr>
              <w:t>DIMETHANDROSTANOLONE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16.</w:t>
            </w:r>
          </w:p>
        </w:tc>
        <w:tc>
          <w:tcPr>
            <w:tcW w:w="4928" w:type="dxa"/>
          </w:tcPr>
          <w:p>
            <w:pPr>
              <w:pStyle w:val="yTableNAm"/>
            </w:pPr>
            <w:r>
              <w:rPr>
                <w:szCs w:val="22"/>
              </w:rPr>
              <w:t>DIMETHAZINE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17.</w:t>
            </w:r>
          </w:p>
        </w:tc>
        <w:tc>
          <w:tcPr>
            <w:tcW w:w="4928" w:type="dxa"/>
          </w:tcPr>
          <w:p>
            <w:pPr>
              <w:pStyle w:val="yTableNAm"/>
            </w:pPr>
            <w:r>
              <w:rPr>
                <w:szCs w:val="22"/>
              </w:rPr>
              <w:t>DROSTANOLONE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18.</w:t>
            </w:r>
          </w:p>
        </w:tc>
        <w:tc>
          <w:tcPr>
            <w:tcW w:w="4928" w:type="dxa"/>
          </w:tcPr>
          <w:p>
            <w:pPr>
              <w:pStyle w:val="yTableNAm"/>
            </w:pPr>
            <w:r>
              <w:rPr>
                <w:szCs w:val="22"/>
              </w:rPr>
              <w:t>ENESTEBOL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lastRenderedPageBreak/>
              <w:t>19.</w:t>
            </w:r>
          </w:p>
        </w:tc>
        <w:tc>
          <w:tcPr>
            <w:tcW w:w="4928" w:type="dxa"/>
          </w:tcPr>
          <w:p>
            <w:pPr>
              <w:pStyle w:val="yTableNAm"/>
            </w:pPr>
            <w:r>
              <w:rPr>
                <w:szCs w:val="22"/>
              </w:rPr>
              <w:t>EPITIOSTANOL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20.</w:t>
            </w:r>
          </w:p>
        </w:tc>
        <w:tc>
          <w:tcPr>
            <w:tcW w:w="4928" w:type="dxa"/>
          </w:tcPr>
          <w:p>
            <w:pPr>
              <w:pStyle w:val="yTableNAm"/>
            </w:pPr>
            <w:r>
              <w:rPr>
                <w:szCs w:val="22"/>
              </w:rPr>
              <w:t>ETHYLDIENOLONE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21.</w:t>
            </w:r>
          </w:p>
        </w:tc>
        <w:tc>
          <w:tcPr>
            <w:tcW w:w="4928" w:type="dxa"/>
          </w:tcPr>
          <w:p>
            <w:pPr>
              <w:pStyle w:val="yTableNAm"/>
            </w:pPr>
            <w:r>
              <w:rPr>
                <w:szCs w:val="22"/>
              </w:rPr>
              <w:t>ETHYLOESTRENOL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22.</w:t>
            </w:r>
          </w:p>
        </w:tc>
        <w:tc>
          <w:tcPr>
            <w:tcW w:w="4928" w:type="dxa"/>
          </w:tcPr>
          <w:p>
            <w:pPr>
              <w:pStyle w:val="yTableNAm"/>
            </w:pPr>
            <w:r>
              <w:rPr>
                <w:szCs w:val="22"/>
              </w:rPr>
              <w:t>FLUOXYMESTERONE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23.</w:t>
            </w:r>
          </w:p>
        </w:tc>
        <w:tc>
          <w:tcPr>
            <w:tcW w:w="4928" w:type="dxa"/>
          </w:tcPr>
          <w:p>
            <w:pPr>
              <w:pStyle w:val="yTableNAm"/>
            </w:pPr>
            <w:r>
              <w:rPr>
                <w:szCs w:val="22"/>
              </w:rPr>
              <w:t>FORMEBOLONE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24.</w:t>
            </w:r>
          </w:p>
        </w:tc>
        <w:tc>
          <w:tcPr>
            <w:tcW w:w="4928" w:type="dxa"/>
          </w:tcPr>
          <w:p>
            <w:pPr>
              <w:pStyle w:val="yTableNAm"/>
            </w:pPr>
            <w:r>
              <w:rPr>
                <w:szCs w:val="22"/>
              </w:rPr>
              <w:t>FORMYLDIENOLONE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25.</w:t>
            </w:r>
          </w:p>
        </w:tc>
        <w:tc>
          <w:tcPr>
            <w:tcW w:w="4928" w:type="dxa"/>
          </w:tcPr>
          <w:p>
            <w:pPr>
              <w:pStyle w:val="yTableNAm"/>
            </w:pPr>
            <w:r>
              <w:rPr>
                <w:szCs w:val="22"/>
              </w:rPr>
              <w:t>FURAZABOL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26.</w:t>
            </w:r>
          </w:p>
        </w:tc>
        <w:tc>
          <w:tcPr>
            <w:tcW w:w="4928" w:type="dxa"/>
          </w:tcPr>
          <w:p>
            <w:pPr>
              <w:pStyle w:val="yTableNAm"/>
            </w:pPr>
            <w:r>
              <w:rPr>
                <w:szCs w:val="22"/>
              </w:rPr>
              <w:t>HYDROXYSTENOZOL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27.</w:t>
            </w:r>
          </w:p>
        </w:tc>
        <w:tc>
          <w:tcPr>
            <w:tcW w:w="4928" w:type="dxa"/>
          </w:tcPr>
          <w:p>
            <w:pPr>
              <w:pStyle w:val="yTableNAm"/>
            </w:pPr>
            <w:r>
              <w:rPr>
                <w:szCs w:val="22"/>
              </w:rPr>
              <w:t>MEBOLAZINE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28.</w:t>
            </w:r>
          </w:p>
        </w:tc>
        <w:tc>
          <w:tcPr>
            <w:tcW w:w="4928" w:type="dxa"/>
          </w:tcPr>
          <w:p>
            <w:pPr>
              <w:pStyle w:val="yTableNAm"/>
            </w:pPr>
            <w:r>
              <w:rPr>
                <w:szCs w:val="22"/>
              </w:rPr>
              <w:t>MEPITIOSTANE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29.</w:t>
            </w:r>
          </w:p>
        </w:tc>
        <w:tc>
          <w:tcPr>
            <w:tcW w:w="4928" w:type="dxa"/>
          </w:tcPr>
          <w:p>
            <w:pPr>
              <w:pStyle w:val="yTableNAm"/>
            </w:pPr>
            <w:r>
              <w:rPr>
                <w:szCs w:val="22"/>
              </w:rPr>
              <w:t>MESABOLONE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30.</w:t>
            </w:r>
          </w:p>
        </w:tc>
        <w:tc>
          <w:tcPr>
            <w:tcW w:w="4928" w:type="dxa"/>
          </w:tcPr>
          <w:p>
            <w:pPr>
              <w:pStyle w:val="yTableNAm"/>
            </w:pPr>
            <w:r>
              <w:rPr>
                <w:szCs w:val="22"/>
              </w:rPr>
              <w:t>MESTANOLONE (ANDROSTALONE)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31.</w:t>
            </w:r>
          </w:p>
        </w:tc>
        <w:tc>
          <w:tcPr>
            <w:tcW w:w="4928" w:type="dxa"/>
          </w:tcPr>
          <w:p>
            <w:pPr>
              <w:pStyle w:val="yTableNAm"/>
            </w:pPr>
            <w:r>
              <w:rPr>
                <w:szCs w:val="22"/>
              </w:rPr>
              <w:t>MESTEROLONE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32.</w:t>
            </w:r>
          </w:p>
        </w:tc>
        <w:tc>
          <w:tcPr>
            <w:tcW w:w="4928" w:type="dxa"/>
          </w:tcPr>
          <w:p>
            <w:pPr>
              <w:pStyle w:val="yTableNAm"/>
            </w:pPr>
            <w:r>
              <w:rPr>
                <w:szCs w:val="22"/>
              </w:rPr>
              <w:t>METHANDIENONE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33.</w:t>
            </w:r>
          </w:p>
        </w:tc>
        <w:tc>
          <w:tcPr>
            <w:tcW w:w="4928" w:type="dxa"/>
          </w:tcPr>
          <w:p>
            <w:pPr>
              <w:pStyle w:val="yTableNAm"/>
            </w:pPr>
            <w:r>
              <w:rPr>
                <w:szCs w:val="22"/>
              </w:rPr>
              <w:t>METHANDRIOL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34.</w:t>
            </w:r>
          </w:p>
        </w:tc>
        <w:tc>
          <w:tcPr>
            <w:tcW w:w="4928" w:type="dxa"/>
          </w:tcPr>
          <w:p>
            <w:pPr>
              <w:pStyle w:val="yTableNAm"/>
            </w:pPr>
            <w:r>
              <w:rPr>
                <w:szCs w:val="22"/>
              </w:rPr>
              <w:t>METHENOLONE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35.</w:t>
            </w:r>
          </w:p>
        </w:tc>
        <w:tc>
          <w:tcPr>
            <w:tcW w:w="4928" w:type="dxa"/>
          </w:tcPr>
          <w:p>
            <w:pPr>
              <w:pStyle w:val="yTableNAm"/>
            </w:pPr>
            <w:r>
              <w:rPr>
                <w:szCs w:val="22"/>
              </w:rPr>
              <w:t>METHYLANDROSTANOLONE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lastRenderedPageBreak/>
              <w:t>36.</w:t>
            </w:r>
          </w:p>
        </w:tc>
        <w:tc>
          <w:tcPr>
            <w:tcW w:w="4928" w:type="dxa"/>
          </w:tcPr>
          <w:p>
            <w:pPr>
              <w:pStyle w:val="yTableNAm"/>
            </w:pPr>
            <w:r>
              <w:rPr>
                <w:szCs w:val="22"/>
              </w:rPr>
              <w:t>METHYLCLOSTEBOL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37.</w:t>
            </w:r>
          </w:p>
        </w:tc>
        <w:tc>
          <w:tcPr>
            <w:tcW w:w="4928" w:type="dxa"/>
          </w:tcPr>
          <w:p>
            <w:pPr>
              <w:pStyle w:val="yTableNAm"/>
            </w:pPr>
            <w:r>
              <w:rPr>
                <w:szCs w:val="22"/>
              </w:rPr>
              <w:t>METHYLTESTOSTERONE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38.</w:t>
            </w:r>
          </w:p>
        </w:tc>
        <w:tc>
          <w:tcPr>
            <w:tcW w:w="4928" w:type="dxa"/>
          </w:tcPr>
          <w:p>
            <w:pPr>
              <w:pStyle w:val="yTableNAm"/>
            </w:pPr>
            <w:r>
              <w:rPr>
                <w:szCs w:val="22"/>
              </w:rPr>
              <w:t>METHYLTRIENOLONE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39.</w:t>
            </w:r>
          </w:p>
        </w:tc>
        <w:tc>
          <w:tcPr>
            <w:tcW w:w="4928" w:type="dxa"/>
          </w:tcPr>
          <w:p>
            <w:pPr>
              <w:pStyle w:val="yTableNAm"/>
            </w:pPr>
            <w:r>
              <w:rPr>
                <w:szCs w:val="22"/>
              </w:rPr>
              <w:t>METRIBOLONE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40.</w:t>
            </w:r>
          </w:p>
        </w:tc>
        <w:tc>
          <w:tcPr>
            <w:tcW w:w="4928" w:type="dxa"/>
          </w:tcPr>
          <w:p>
            <w:pPr>
              <w:pStyle w:val="yTableNAm"/>
            </w:pPr>
            <w:r>
              <w:rPr>
                <w:szCs w:val="22"/>
              </w:rPr>
              <w:t>MIBOLERONE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41.</w:t>
            </w:r>
          </w:p>
        </w:tc>
        <w:tc>
          <w:tcPr>
            <w:tcW w:w="4928" w:type="dxa"/>
          </w:tcPr>
          <w:p>
            <w:pPr>
              <w:pStyle w:val="yTableNAm"/>
            </w:pPr>
            <w:r>
              <w:rPr>
                <w:szCs w:val="22"/>
              </w:rPr>
              <w:t>NANDROLONE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42.</w:t>
            </w:r>
          </w:p>
        </w:tc>
        <w:tc>
          <w:tcPr>
            <w:tcW w:w="4928" w:type="dxa"/>
          </w:tcPr>
          <w:p>
            <w:pPr>
              <w:pStyle w:val="yTableNAm"/>
            </w:pPr>
            <w:r>
              <w:rPr>
                <w:szCs w:val="22"/>
              </w:rPr>
              <w:t>NORANDROSTENOLONE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43.</w:t>
            </w:r>
          </w:p>
        </w:tc>
        <w:tc>
          <w:tcPr>
            <w:tcW w:w="4928" w:type="dxa"/>
          </w:tcPr>
          <w:p>
            <w:pPr>
              <w:pStyle w:val="yTableNAm"/>
            </w:pPr>
            <w:r>
              <w:rPr>
                <w:szCs w:val="22"/>
              </w:rPr>
              <w:t>NORBOLETHONE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44.</w:t>
            </w:r>
          </w:p>
        </w:tc>
        <w:tc>
          <w:tcPr>
            <w:tcW w:w="4928" w:type="dxa"/>
          </w:tcPr>
          <w:p>
            <w:pPr>
              <w:pStyle w:val="yTableNAm"/>
            </w:pPr>
            <w:r>
              <w:rPr>
                <w:szCs w:val="22"/>
              </w:rPr>
              <w:t>NORCLOSTEBOL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45.</w:t>
            </w:r>
          </w:p>
        </w:tc>
        <w:tc>
          <w:tcPr>
            <w:tcW w:w="4928" w:type="dxa"/>
          </w:tcPr>
          <w:p>
            <w:pPr>
              <w:pStyle w:val="yTableNAm"/>
            </w:pPr>
            <w:r>
              <w:rPr>
                <w:szCs w:val="22"/>
              </w:rPr>
              <w:t>NORETHANDROLONE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46.</w:t>
            </w:r>
          </w:p>
        </w:tc>
        <w:tc>
          <w:tcPr>
            <w:tcW w:w="4928" w:type="dxa"/>
          </w:tcPr>
          <w:p>
            <w:pPr>
              <w:pStyle w:val="yTableNAm"/>
            </w:pPr>
            <w:r>
              <w:rPr>
                <w:szCs w:val="22"/>
              </w:rPr>
              <w:t>NORMETHANDRONE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47.</w:t>
            </w:r>
          </w:p>
        </w:tc>
        <w:tc>
          <w:tcPr>
            <w:tcW w:w="4928" w:type="dxa"/>
          </w:tcPr>
          <w:p>
            <w:pPr>
              <w:pStyle w:val="yTableNAm"/>
            </w:pPr>
            <w:r>
              <w:rPr>
                <w:szCs w:val="22"/>
              </w:rPr>
              <w:t>OVANDROTONE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48.</w:t>
            </w:r>
          </w:p>
        </w:tc>
        <w:tc>
          <w:tcPr>
            <w:tcW w:w="4928" w:type="dxa"/>
          </w:tcPr>
          <w:p>
            <w:pPr>
              <w:pStyle w:val="yTableNAm"/>
            </w:pPr>
            <w:r>
              <w:rPr>
                <w:szCs w:val="22"/>
              </w:rPr>
              <w:t>OXABOLONE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49.</w:t>
            </w:r>
          </w:p>
        </w:tc>
        <w:tc>
          <w:tcPr>
            <w:tcW w:w="4928" w:type="dxa"/>
          </w:tcPr>
          <w:p>
            <w:pPr>
              <w:pStyle w:val="yTableNAm"/>
            </w:pPr>
            <w:r>
              <w:rPr>
                <w:szCs w:val="22"/>
              </w:rPr>
              <w:t>OXANDROLONE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50.</w:t>
            </w:r>
          </w:p>
        </w:tc>
        <w:tc>
          <w:tcPr>
            <w:tcW w:w="4928" w:type="dxa"/>
          </w:tcPr>
          <w:p>
            <w:pPr>
              <w:pStyle w:val="yTableNAm"/>
            </w:pPr>
            <w:r>
              <w:rPr>
                <w:szCs w:val="22"/>
              </w:rPr>
              <w:t>OXYMESTERONE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51.</w:t>
            </w:r>
          </w:p>
        </w:tc>
        <w:tc>
          <w:tcPr>
            <w:tcW w:w="4928" w:type="dxa"/>
          </w:tcPr>
          <w:p>
            <w:pPr>
              <w:pStyle w:val="yTableNAm"/>
            </w:pPr>
            <w:r>
              <w:rPr>
                <w:szCs w:val="22"/>
              </w:rPr>
              <w:t>OXYMETHOLONE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lastRenderedPageBreak/>
              <w:t>52.</w:t>
            </w:r>
          </w:p>
        </w:tc>
        <w:tc>
          <w:tcPr>
            <w:tcW w:w="4928" w:type="dxa"/>
          </w:tcPr>
          <w:p>
            <w:pPr>
              <w:pStyle w:val="yTableNAm"/>
            </w:pPr>
            <w:r>
              <w:rPr>
                <w:szCs w:val="22"/>
              </w:rPr>
              <w:t>PRASTERONE (DEHYDROEPIANDROSTERONE, DEHRYDROISOANDROSERONE)</w:t>
            </w:r>
          </w:p>
        </w:tc>
        <w:tc>
          <w:tcPr>
            <w:tcW w:w="1276" w:type="dxa"/>
          </w:tcPr>
          <w:p>
            <w:pPr>
              <w:pStyle w:val="yTableNAm"/>
              <w:jc w:val="center"/>
            </w:pPr>
            <w:r>
              <w:rPr>
                <w:szCs w:val="22"/>
              </w:rPr>
              <w:br/>
            </w:r>
            <w:r>
              <w:rPr>
                <w:szCs w:val="22"/>
              </w:rPr>
              <w:b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53.</w:t>
            </w:r>
          </w:p>
        </w:tc>
        <w:tc>
          <w:tcPr>
            <w:tcW w:w="4928" w:type="dxa"/>
          </w:tcPr>
          <w:p>
            <w:pPr>
              <w:pStyle w:val="yTableNAm"/>
            </w:pPr>
            <w:r>
              <w:rPr>
                <w:szCs w:val="22"/>
              </w:rPr>
              <w:t>PROPETANDROL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54.</w:t>
            </w:r>
          </w:p>
        </w:tc>
        <w:tc>
          <w:tcPr>
            <w:tcW w:w="4928" w:type="dxa"/>
          </w:tcPr>
          <w:p>
            <w:pPr>
              <w:pStyle w:val="yTableNAm"/>
            </w:pPr>
            <w:r>
              <w:rPr>
                <w:szCs w:val="22"/>
              </w:rPr>
              <w:t>QUINBOLONE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55.</w:t>
            </w:r>
          </w:p>
        </w:tc>
        <w:tc>
          <w:tcPr>
            <w:tcW w:w="4928" w:type="dxa"/>
          </w:tcPr>
          <w:p>
            <w:pPr>
              <w:pStyle w:val="yTableNAm"/>
            </w:pPr>
            <w:r>
              <w:rPr>
                <w:szCs w:val="22"/>
              </w:rPr>
              <w:t>ROXIBOLONE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56.</w:t>
            </w:r>
          </w:p>
        </w:tc>
        <w:tc>
          <w:tcPr>
            <w:tcW w:w="4928" w:type="dxa"/>
          </w:tcPr>
          <w:p>
            <w:pPr>
              <w:pStyle w:val="yTableNAm"/>
            </w:pPr>
            <w:r>
              <w:rPr>
                <w:szCs w:val="22"/>
              </w:rPr>
              <w:t>SILANDRONE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57.</w:t>
            </w:r>
          </w:p>
        </w:tc>
        <w:tc>
          <w:tcPr>
            <w:tcW w:w="4928" w:type="dxa"/>
          </w:tcPr>
          <w:p>
            <w:pPr>
              <w:pStyle w:val="yTableNAm"/>
            </w:pPr>
            <w:r>
              <w:rPr>
                <w:szCs w:val="22"/>
              </w:rPr>
              <w:t>STANOLONE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58.</w:t>
            </w:r>
          </w:p>
        </w:tc>
        <w:tc>
          <w:tcPr>
            <w:tcW w:w="4928" w:type="dxa"/>
          </w:tcPr>
          <w:p>
            <w:pPr>
              <w:pStyle w:val="yTableNAm"/>
            </w:pPr>
            <w:r>
              <w:rPr>
                <w:szCs w:val="22"/>
              </w:rPr>
              <w:t>STANOZOLOL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59.</w:t>
            </w:r>
          </w:p>
        </w:tc>
        <w:tc>
          <w:tcPr>
            <w:tcW w:w="4928" w:type="dxa"/>
          </w:tcPr>
          <w:p>
            <w:pPr>
              <w:pStyle w:val="yTableNAm"/>
            </w:pPr>
            <w:r>
              <w:rPr>
                <w:szCs w:val="22"/>
              </w:rPr>
              <w:t>STENBOLONE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60.</w:t>
            </w:r>
          </w:p>
        </w:tc>
        <w:tc>
          <w:tcPr>
            <w:tcW w:w="4928" w:type="dxa"/>
          </w:tcPr>
          <w:p>
            <w:pPr>
              <w:pStyle w:val="yTableNAm"/>
            </w:pPr>
            <w:r>
              <w:rPr>
                <w:szCs w:val="22"/>
              </w:rPr>
              <w:t>TESTOLACTONE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61.</w:t>
            </w:r>
          </w:p>
        </w:tc>
        <w:tc>
          <w:tcPr>
            <w:tcW w:w="4928" w:type="dxa"/>
          </w:tcPr>
          <w:p>
            <w:pPr>
              <w:pStyle w:val="yTableNAm"/>
            </w:pPr>
            <w:r>
              <w:rPr>
                <w:szCs w:val="22"/>
              </w:rPr>
              <w:t>TESTOSTERONE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62.</w:t>
            </w:r>
          </w:p>
        </w:tc>
        <w:tc>
          <w:tcPr>
            <w:tcW w:w="4928" w:type="dxa"/>
          </w:tcPr>
          <w:p>
            <w:pPr>
              <w:pStyle w:val="yTableNAm"/>
            </w:pPr>
            <w:r>
              <w:rPr>
                <w:szCs w:val="22"/>
              </w:rPr>
              <w:t>THIMOSTERONE (TIOMESTERONE)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63.</w:t>
            </w:r>
          </w:p>
        </w:tc>
        <w:tc>
          <w:tcPr>
            <w:tcW w:w="4928" w:type="dxa"/>
          </w:tcPr>
          <w:p>
            <w:pPr>
              <w:pStyle w:val="yTableNAm"/>
            </w:pPr>
            <w:r>
              <w:rPr>
                <w:szCs w:val="22"/>
              </w:rPr>
              <w:t>TRENBOLONE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Borders>
              <w:bottom w:val="single" w:sz="4" w:space="0" w:color="auto"/>
            </w:tcBorders>
          </w:tcPr>
          <w:p>
            <w:pPr>
              <w:pStyle w:val="yTableNAm"/>
            </w:pPr>
            <w:r>
              <w:rPr>
                <w:szCs w:val="22"/>
              </w:rPr>
              <w:t>64.</w:t>
            </w:r>
          </w:p>
        </w:tc>
        <w:tc>
          <w:tcPr>
            <w:tcW w:w="4928" w:type="dxa"/>
            <w:tcBorders>
              <w:bottom w:val="single" w:sz="4" w:space="0" w:color="auto"/>
            </w:tcBorders>
          </w:tcPr>
          <w:p>
            <w:pPr>
              <w:pStyle w:val="yTableNAm"/>
            </w:pPr>
            <w:r>
              <w:rPr>
                <w:szCs w:val="22"/>
              </w:rPr>
              <w:t>TRESTOLONE</w:t>
            </w:r>
          </w:p>
        </w:tc>
        <w:tc>
          <w:tcPr>
            <w:tcW w:w="1276" w:type="dxa"/>
            <w:tcBorders>
              <w:bottom w:val="single" w:sz="4" w:space="0" w:color="auto"/>
            </w:tcBorders>
          </w:tcPr>
          <w:p>
            <w:pPr>
              <w:pStyle w:val="yTableNAm"/>
              <w:jc w:val="center"/>
            </w:pPr>
            <w:r>
              <w:rPr>
                <w:szCs w:val="22"/>
              </w:rPr>
              <w:t>50.0</w:t>
            </w:r>
          </w:p>
        </w:tc>
      </w:tr>
    </w:tbl>
    <w:p>
      <w:pPr>
        <w:pStyle w:val="yFootnotesection"/>
      </w:pPr>
      <w:r>
        <w:tab/>
        <w:t>[Division 2 inserted: Gazette 29 Aug 2018 p. 3021</w:t>
      </w:r>
      <w:r>
        <w:noBreakHyphen/>
        <w:t>5; amended: SL 2023/48 cl. 5(2).]</w:t>
      </w:r>
    </w:p>
    <w:p>
      <w:pPr>
        <w:pStyle w:val="yScheduleHeading"/>
      </w:pPr>
      <w:bookmarkStart w:id="279" w:name="_Toc138689213"/>
      <w:bookmarkStart w:id="280" w:name="_Toc138691611"/>
      <w:bookmarkStart w:id="281" w:name="_Toc138751174"/>
      <w:r>
        <w:rPr>
          <w:rStyle w:val="CharSchNo"/>
        </w:rPr>
        <w:lastRenderedPageBreak/>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279"/>
      <w:bookmarkEnd w:id="280"/>
      <w:bookmarkEnd w:id="281"/>
    </w:p>
    <w:p>
      <w:pPr>
        <w:pStyle w:val="yShoulderClause"/>
        <w:rPr>
          <w:snapToGrid w:val="0"/>
        </w:rPr>
      </w:pPr>
      <w:r>
        <w:rPr>
          <w:snapToGrid w:val="0"/>
        </w:rPr>
        <w:t>[s. 11(b)]</w:t>
      </w:r>
    </w:p>
    <w:p>
      <w:pPr>
        <w:pStyle w:val="yFootnoteheading"/>
      </w:pPr>
      <w:r>
        <w:tab/>
        <w:t>[Heading amended: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Papaver somniferum</w:t>
            </w:r>
          </w:p>
        </w:tc>
        <w:tc>
          <w:tcPr>
            <w:tcW w:w="1350" w:type="dxa"/>
          </w:tcPr>
          <w:p>
            <w:pPr>
              <w:pStyle w:val="yTableNAm"/>
              <w:jc w:val="center"/>
            </w:pPr>
            <w:r>
              <w:t>25</w:t>
            </w:r>
          </w:p>
        </w:tc>
      </w:tr>
      <w:tr>
        <w:tc>
          <w:tcPr>
            <w:tcW w:w="993" w:type="dxa"/>
          </w:tcPr>
          <w:p>
            <w:pPr>
              <w:pStyle w:val="yTableNAm"/>
            </w:pPr>
            <w:r>
              <w:t>2.</w:t>
            </w:r>
          </w:p>
        </w:tc>
        <w:tc>
          <w:tcPr>
            <w:tcW w:w="5089" w:type="dxa"/>
          </w:tcPr>
          <w:p>
            <w:pPr>
              <w:pStyle w:val="yTableNAm"/>
            </w:pPr>
            <w:r>
              <w:t>Papaver bracteatum</w:t>
            </w:r>
          </w:p>
        </w:tc>
        <w:tc>
          <w:tcPr>
            <w:tcW w:w="1350" w:type="dxa"/>
          </w:tcPr>
          <w:p>
            <w:pPr>
              <w:pStyle w:val="yTableNAm"/>
              <w:jc w:val="center"/>
            </w:pPr>
            <w:r>
              <w:t>25</w:t>
            </w:r>
          </w:p>
        </w:tc>
      </w:tr>
      <w:tr>
        <w:tc>
          <w:tcPr>
            <w:tcW w:w="993" w:type="dxa"/>
          </w:tcPr>
          <w:p>
            <w:pPr>
              <w:pStyle w:val="yTableNAm"/>
            </w:pPr>
            <w:r>
              <w:t>3.</w:t>
            </w:r>
          </w:p>
        </w:tc>
        <w:tc>
          <w:tcPr>
            <w:tcW w:w="5089" w:type="dxa"/>
          </w:tcPr>
          <w:p>
            <w:pPr>
              <w:pStyle w:val="yTableNAm"/>
            </w:pPr>
            <w:r>
              <w:t>Cannabis</w:t>
            </w:r>
          </w:p>
        </w:tc>
        <w:tc>
          <w:tcPr>
            <w:tcW w:w="1350" w:type="dxa"/>
          </w:tcPr>
          <w:p>
            <w:pPr>
              <w:pStyle w:val="yTableNAm"/>
              <w:jc w:val="center"/>
            </w:pPr>
            <w:r>
              <w:t>10</w:t>
            </w:r>
          </w:p>
        </w:tc>
      </w:tr>
    </w:tbl>
    <w:p>
      <w:pPr>
        <w:pStyle w:val="yFootnotesection"/>
      </w:pPr>
      <w:r>
        <w:tab/>
        <w:t>[Schedule VI amended: No. 52 of 2003 s. 32.]</w:t>
      </w:r>
    </w:p>
    <w:p>
      <w:pPr>
        <w:pStyle w:val="yScheduleHeading"/>
      </w:pPr>
      <w:bookmarkStart w:id="282" w:name="_Toc129094840"/>
      <w:bookmarkStart w:id="283" w:name="_Toc129095180"/>
      <w:bookmarkStart w:id="284" w:name="_Toc129100881"/>
      <w:bookmarkStart w:id="285" w:name="_Toc138319020"/>
      <w:bookmarkStart w:id="286" w:name="_Toc138684036"/>
      <w:bookmarkStart w:id="287" w:name="_Toc138691612"/>
      <w:bookmarkStart w:id="288" w:name="_Toc138751175"/>
      <w:bookmarkStart w:id="289" w:name="_Toc138689214"/>
      <w:r>
        <w:rPr>
          <w:rStyle w:val="CharSchNo"/>
        </w:rPr>
        <w:lastRenderedPageBreak/>
        <w:t>Schedule 6A</w:t>
      </w:r>
      <w:r>
        <w:t> — </w:t>
      </w:r>
      <w:r>
        <w:rPr>
          <w:rStyle w:val="CharSchText"/>
        </w:rPr>
        <w:t>Border Search Areas</w:t>
      </w:r>
      <w:bookmarkEnd w:id="282"/>
      <w:bookmarkEnd w:id="283"/>
      <w:bookmarkEnd w:id="284"/>
      <w:bookmarkEnd w:id="285"/>
      <w:bookmarkEnd w:id="286"/>
      <w:bookmarkEnd w:id="287"/>
      <w:bookmarkEnd w:id="288"/>
    </w:p>
    <w:p>
      <w:pPr>
        <w:pStyle w:val="yShoulderClause"/>
      </w:pPr>
      <w:r>
        <w:t>[s. 20N]</w:t>
      </w:r>
    </w:p>
    <w:p>
      <w:pPr>
        <w:pStyle w:val="yFootnoteheading"/>
      </w:pPr>
      <w:bookmarkStart w:id="290" w:name="_Toc129094841"/>
      <w:bookmarkStart w:id="291" w:name="_Toc129095181"/>
      <w:bookmarkStart w:id="292" w:name="_Toc129100882"/>
      <w:bookmarkStart w:id="293" w:name="_Toc138319021"/>
      <w:bookmarkStart w:id="294" w:name="_Toc138684037"/>
      <w:r>
        <w:tab/>
        <w:t>[Heading inserted: No. 16 of 2023 s. 10.]</w:t>
      </w:r>
    </w:p>
    <w:p>
      <w:pPr>
        <w:pStyle w:val="yHeading3"/>
      </w:pPr>
      <w:bookmarkStart w:id="295" w:name="_Toc138691613"/>
      <w:bookmarkStart w:id="296" w:name="_Toc138751176"/>
      <w:r>
        <w:rPr>
          <w:rStyle w:val="CharSDivNo"/>
        </w:rPr>
        <w:t>Division 1</w:t>
      </w:r>
      <w:r>
        <w:rPr>
          <w:b w:val="0"/>
        </w:rPr>
        <w:t> — </w:t>
      </w:r>
      <w:r>
        <w:rPr>
          <w:rStyle w:val="CharSDivText"/>
        </w:rPr>
        <w:t>Descriptions of BSAs</w:t>
      </w:r>
      <w:bookmarkEnd w:id="290"/>
      <w:bookmarkEnd w:id="291"/>
      <w:bookmarkEnd w:id="292"/>
      <w:bookmarkEnd w:id="293"/>
      <w:bookmarkEnd w:id="294"/>
      <w:bookmarkEnd w:id="295"/>
      <w:bookmarkEnd w:id="296"/>
    </w:p>
    <w:p>
      <w:pPr>
        <w:pStyle w:val="yFootnoteheading"/>
        <w:spacing w:after="120"/>
      </w:pPr>
      <w:r>
        <w:tab/>
        <w:t>[Heading inserted: No. 16 of 2023 s. 10.]</w:t>
      </w:r>
    </w:p>
    <w:tbl>
      <w:tblPr>
        <w:tblW w:w="697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689"/>
        <w:gridCol w:w="3548"/>
      </w:tblGrid>
      <w:tr>
        <w:trPr>
          <w:tblHeader/>
        </w:trPr>
        <w:tc>
          <w:tcPr>
            <w:tcW w:w="738" w:type="dxa"/>
            <w:noWrap/>
          </w:tcPr>
          <w:p>
            <w:pPr>
              <w:pStyle w:val="yTableNAm"/>
            </w:pPr>
            <w:r>
              <w:rPr>
                <w:b/>
              </w:rPr>
              <w:t>Item</w:t>
            </w:r>
          </w:p>
        </w:tc>
        <w:tc>
          <w:tcPr>
            <w:tcW w:w="2689" w:type="dxa"/>
            <w:noWrap/>
          </w:tcPr>
          <w:p>
            <w:pPr>
              <w:pStyle w:val="yTableNAm"/>
            </w:pPr>
            <w:r>
              <w:rPr>
                <w:b/>
              </w:rPr>
              <w:t>BSA</w:t>
            </w:r>
          </w:p>
        </w:tc>
        <w:tc>
          <w:tcPr>
            <w:tcW w:w="3548" w:type="dxa"/>
            <w:noWrap/>
          </w:tcPr>
          <w:p>
            <w:pPr>
              <w:pStyle w:val="yTableNAm"/>
            </w:pPr>
            <w:r>
              <w:rPr>
                <w:b/>
              </w:rPr>
              <w:t>Description</w:t>
            </w:r>
          </w:p>
        </w:tc>
      </w:tr>
      <w:tr>
        <w:tc>
          <w:tcPr>
            <w:tcW w:w="738" w:type="dxa"/>
            <w:noWrap/>
          </w:tcPr>
          <w:p>
            <w:pPr>
              <w:pStyle w:val="yTableNAm"/>
            </w:pPr>
            <w:r>
              <w:t>1.</w:t>
            </w:r>
          </w:p>
        </w:tc>
        <w:tc>
          <w:tcPr>
            <w:tcW w:w="2689" w:type="dxa"/>
            <w:noWrap/>
          </w:tcPr>
          <w:p>
            <w:pPr>
              <w:pStyle w:val="yTableNAm"/>
            </w:pPr>
            <w:r>
              <w:t>Broome Port</w:t>
            </w:r>
          </w:p>
        </w:tc>
        <w:tc>
          <w:tcPr>
            <w:tcW w:w="3548" w:type="dxa"/>
            <w:noWrap/>
          </w:tcPr>
          <w:p>
            <w:pPr>
              <w:pStyle w:val="yTableNAm"/>
            </w:pPr>
            <w:r>
              <w:t xml:space="preserve">The area bounded by a line connecting the following Geocentric Datum of Australia 2020 (GDA2020) coordinates — </w:t>
            </w:r>
          </w:p>
          <w:p>
            <w:pPr>
              <w:pStyle w:val="yTableNAm"/>
            </w:pPr>
            <w:r>
              <w:t>18.003261°S</w:t>
            </w:r>
            <w:r>
              <w:tab/>
              <w:t>122.212471°E</w:t>
            </w:r>
          </w:p>
          <w:p>
            <w:pPr>
              <w:pStyle w:val="yTableNAm"/>
            </w:pPr>
            <w:r>
              <w:t>18.003090°S</w:t>
            </w:r>
            <w:r>
              <w:tab/>
              <w:t>122.212433°E</w:t>
            </w:r>
          </w:p>
          <w:p>
            <w:pPr>
              <w:pStyle w:val="yTableNAm"/>
            </w:pPr>
            <w:r>
              <w:t>18.003451°S</w:t>
            </w:r>
            <w:r>
              <w:tab/>
              <w:t>122.211361°E</w:t>
            </w:r>
          </w:p>
          <w:p>
            <w:pPr>
              <w:pStyle w:val="yTableNAm"/>
            </w:pPr>
            <w:r>
              <w:t>18.002760°S</w:t>
            </w:r>
            <w:r>
              <w:tab/>
              <w:t>122.208298°E</w:t>
            </w:r>
          </w:p>
          <w:p>
            <w:pPr>
              <w:pStyle w:val="yTableNAm"/>
            </w:pPr>
            <w:r>
              <w:t>18.001921°S</w:t>
            </w:r>
            <w:r>
              <w:tab/>
              <w:t>122.208732°E</w:t>
            </w:r>
          </w:p>
          <w:p>
            <w:pPr>
              <w:pStyle w:val="yTableNAm"/>
            </w:pPr>
            <w:r>
              <w:t>18.001667°S</w:t>
            </w:r>
            <w:r>
              <w:tab/>
              <w:t>122.209716°E</w:t>
            </w:r>
          </w:p>
          <w:p>
            <w:pPr>
              <w:pStyle w:val="yTableNAm"/>
            </w:pPr>
            <w:r>
              <w:t>18.001137°S</w:t>
            </w:r>
            <w:r>
              <w:tab/>
              <w:t>122.210114°E</w:t>
            </w:r>
          </w:p>
          <w:p>
            <w:pPr>
              <w:pStyle w:val="yTableNAm"/>
            </w:pPr>
            <w:r>
              <w:t>18.000854°S</w:t>
            </w:r>
            <w:r>
              <w:tab/>
              <w:t>122.209552°E</w:t>
            </w:r>
          </w:p>
          <w:p>
            <w:pPr>
              <w:pStyle w:val="yTableNAm"/>
            </w:pPr>
            <w:r>
              <w:t>18.001377°S</w:t>
            </w:r>
            <w:r>
              <w:tab/>
              <w:t>122.208796°E</w:t>
            </w:r>
          </w:p>
          <w:p>
            <w:pPr>
              <w:pStyle w:val="yTableNAm"/>
            </w:pPr>
            <w:r>
              <w:t>18.001982°S</w:t>
            </w:r>
            <w:r>
              <w:tab/>
              <w:t>122.208287°E</w:t>
            </w:r>
          </w:p>
          <w:p>
            <w:pPr>
              <w:pStyle w:val="yTableNAm"/>
            </w:pPr>
            <w:r>
              <w:t>18.001683°S</w:t>
            </w:r>
            <w:r>
              <w:tab/>
              <w:t>122.207736°E</w:t>
            </w:r>
          </w:p>
          <w:p>
            <w:pPr>
              <w:pStyle w:val="yTableNAm"/>
            </w:pPr>
            <w:r>
              <w:t>18.002306°S</w:t>
            </w:r>
            <w:r>
              <w:tab/>
              <w:t>122.206980°E</w:t>
            </w:r>
          </w:p>
          <w:p>
            <w:pPr>
              <w:pStyle w:val="yTableNAm"/>
            </w:pPr>
            <w:r>
              <w:t>18.002861°S</w:t>
            </w:r>
            <w:r>
              <w:tab/>
              <w:t>122.207741°E</w:t>
            </w:r>
          </w:p>
          <w:p>
            <w:pPr>
              <w:pStyle w:val="yTableNAm"/>
            </w:pPr>
            <w:r>
              <w:t>18.003250°S</w:t>
            </w:r>
            <w:r>
              <w:tab/>
              <w:t>122.209108°E</w:t>
            </w:r>
          </w:p>
          <w:p>
            <w:pPr>
              <w:pStyle w:val="yTableNAm"/>
            </w:pPr>
            <w:r>
              <w:t>18.004218°S</w:t>
            </w:r>
            <w:r>
              <w:tab/>
              <w:t>122.210799°E</w:t>
            </w:r>
          </w:p>
          <w:p>
            <w:pPr>
              <w:pStyle w:val="yTableNAm"/>
            </w:pPr>
            <w:r>
              <w:t>18.003261°S</w:t>
            </w:r>
            <w:r>
              <w:tab/>
              <w:t>122.212471°E</w:t>
            </w:r>
          </w:p>
        </w:tc>
      </w:tr>
      <w:tr>
        <w:tc>
          <w:tcPr>
            <w:tcW w:w="738" w:type="dxa"/>
            <w:noWrap/>
          </w:tcPr>
          <w:p>
            <w:pPr>
              <w:pStyle w:val="yTableNAm"/>
            </w:pPr>
            <w:r>
              <w:lastRenderedPageBreak/>
              <w:t>2.</w:t>
            </w:r>
          </w:p>
        </w:tc>
        <w:tc>
          <w:tcPr>
            <w:tcW w:w="2689" w:type="dxa"/>
            <w:noWrap/>
          </w:tcPr>
          <w:p>
            <w:pPr>
              <w:pStyle w:val="yTableNAm"/>
            </w:pPr>
            <w:r>
              <w:t>Broome Airport</w:t>
            </w:r>
          </w:p>
          <w:p>
            <w:pPr>
              <w:pStyle w:val="yTableNAm"/>
            </w:pPr>
            <w:r>
              <w:t>Zone 1</w:t>
            </w:r>
          </w:p>
        </w:tc>
        <w:tc>
          <w:tcPr>
            <w:tcW w:w="3548" w:type="dxa"/>
            <w:noWrap/>
          </w:tcPr>
          <w:p>
            <w:pPr>
              <w:pStyle w:val="yTableNAm"/>
            </w:pPr>
            <w:r>
              <w:t xml:space="preserve">The area bounded by a line connecting the following Geocentric Datum of Australia 2020 (GDA2020) coordinates — </w:t>
            </w:r>
          </w:p>
          <w:p>
            <w:pPr>
              <w:pStyle w:val="yTableNAm"/>
            </w:pPr>
            <w:r>
              <w:t>17.954394°S</w:t>
            </w:r>
            <w:r>
              <w:tab/>
              <w:t>122.233479°E</w:t>
            </w:r>
          </w:p>
          <w:p>
            <w:pPr>
              <w:pStyle w:val="yTableNAm"/>
            </w:pPr>
            <w:r>
              <w:t>17.954606°S</w:t>
            </w:r>
            <w:r>
              <w:tab/>
              <w:t>122.234555°E</w:t>
            </w:r>
          </w:p>
          <w:p>
            <w:pPr>
              <w:pStyle w:val="yTableNAm"/>
            </w:pPr>
            <w:r>
              <w:t>17.953872°S</w:t>
            </w:r>
            <w:r>
              <w:tab/>
              <w:t>122.234761°E</w:t>
            </w:r>
          </w:p>
          <w:p>
            <w:pPr>
              <w:pStyle w:val="yTableNAm"/>
            </w:pPr>
            <w:r>
              <w:t>17.953919°S</w:t>
            </w:r>
            <w:r>
              <w:tab/>
              <w:t>122.234948°E</w:t>
            </w:r>
          </w:p>
          <w:p>
            <w:pPr>
              <w:pStyle w:val="yTableNAm"/>
            </w:pPr>
            <w:r>
              <w:t>17.953314°S</w:t>
            </w:r>
            <w:r>
              <w:tab/>
              <w:t>122.235085°E</w:t>
            </w:r>
          </w:p>
          <w:p>
            <w:pPr>
              <w:pStyle w:val="yTableNAm"/>
            </w:pPr>
            <w:r>
              <w:t>17.953195°S</w:t>
            </w:r>
            <w:r>
              <w:tab/>
              <w:t>122.235197°E</w:t>
            </w:r>
          </w:p>
          <w:p>
            <w:pPr>
              <w:pStyle w:val="yTableNAm"/>
            </w:pPr>
            <w:r>
              <w:t>17.953225°S</w:t>
            </w:r>
            <w:r>
              <w:tab/>
              <w:t>122.235599°E</w:t>
            </w:r>
          </w:p>
          <w:p>
            <w:pPr>
              <w:pStyle w:val="yTableNAm"/>
            </w:pPr>
            <w:r>
              <w:t>17.952628°S</w:t>
            </w:r>
            <w:r>
              <w:tab/>
              <w:t>122.235768°E</w:t>
            </w:r>
          </w:p>
          <w:p>
            <w:pPr>
              <w:pStyle w:val="yTableNAm"/>
            </w:pPr>
            <w:r>
              <w:t>17.952405°S</w:t>
            </w:r>
            <w:r>
              <w:tab/>
              <w:t>122.234863°E</w:t>
            </w:r>
          </w:p>
          <w:p>
            <w:pPr>
              <w:pStyle w:val="yTableNAm"/>
            </w:pPr>
            <w:r>
              <w:t>17.952543°S</w:t>
            </w:r>
            <w:r>
              <w:tab/>
              <w:t>122.234815°E</w:t>
            </w:r>
          </w:p>
          <w:p>
            <w:pPr>
              <w:pStyle w:val="yTableNAm"/>
            </w:pPr>
            <w:r>
              <w:t>17.952442°S</w:t>
            </w:r>
            <w:r>
              <w:tab/>
              <w:t>122.234397°E</w:t>
            </w:r>
          </w:p>
          <w:p>
            <w:pPr>
              <w:pStyle w:val="yTableNAm"/>
            </w:pPr>
            <w:r>
              <w:t>17.952563°S</w:t>
            </w:r>
            <w:r>
              <w:tab/>
              <w:t>122.234098°E</w:t>
            </w:r>
          </w:p>
          <w:p>
            <w:pPr>
              <w:pStyle w:val="yTableNAm"/>
            </w:pPr>
            <w:r>
              <w:t>17.952823°S</w:t>
            </w:r>
            <w:r>
              <w:tab/>
              <w:t>122.234028°E</w:t>
            </w:r>
          </w:p>
          <w:p>
            <w:pPr>
              <w:pStyle w:val="yTableNAm"/>
            </w:pPr>
            <w:r>
              <w:t>17.952786°S</w:t>
            </w:r>
            <w:r>
              <w:tab/>
              <w:t>122.233892°E</w:t>
            </w:r>
          </w:p>
          <w:p>
            <w:pPr>
              <w:pStyle w:val="yTableNAm"/>
            </w:pPr>
            <w:r>
              <w:t>17.954394°S</w:t>
            </w:r>
            <w:r>
              <w:tab/>
              <w:t>122.233479°E</w:t>
            </w:r>
          </w:p>
        </w:tc>
      </w:tr>
      <w:tr>
        <w:tc>
          <w:tcPr>
            <w:tcW w:w="738" w:type="dxa"/>
            <w:noWrap/>
          </w:tcPr>
          <w:p>
            <w:pPr>
              <w:pStyle w:val="zyTableNAm"/>
            </w:pPr>
          </w:p>
        </w:tc>
        <w:tc>
          <w:tcPr>
            <w:tcW w:w="2689" w:type="dxa"/>
            <w:noWrap/>
          </w:tcPr>
          <w:p>
            <w:pPr>
              <w:pStyle w:val="yTableNAm"/>
            </w:pPr>
            <w:r>
              <w:t>Broome Airport</w:t>
            </w:r>
          </w:p>
          <w:p>
            <w:pPr>
              <w:pStyle w:val="yTableNAm"/>
            </w:pPr>
            <w:r>
              <w:t>Zone 2</w:t>
            </w:r>
          </w:p>
        </w:tc>
        <w:tc>
          <w:tcPr>
            <w:tcW w:w="3548" w:type="dxa"/>
            <w:noWrap/>
          </w:tcPr>
          <w:p>
            <w:pPr>
              <w:pStyle w:val="yTableNAm"/>
            </w:pPr>
            <w:r>
              <w:t xml:space="preserve">The area bounded by a line connecting the following Geocentric Datum of Australia 2020 (GDA2020) coordinates — </w:t>
            </w:r>
          </w:p>
          <w:p>
            <w:pPr>
              <w:pStyle w:val="yTableNAm"/>
            </w:pPr>
            <w:r>
              <w:t>17.948232°S</w:t>
            </w:r>
            <w:r>
              <w:tab/>
              <w:t>122.236649°E</w:t>
            </w:r>
          </w:p>
          <w:p>
            <w:pPr>
              <w:pStyle w:val="yTableNAm"/>
            </w:pPr>
            <w:r>
              <w:t>17.948025°S</w:t>
            </w:r>
            <w:r>
              <w:tab/>
              <w:t>122.236539°E</w:t>
            </w:r>
          </w:p>
          <w:p>
            <w:pPr>
              <w:pStyle w:val="yTableNAm"/>
            </w:pPr>
            <w:r>
              <w:t>17.948463°S</w:t>
            </w:r>
            <w:r>
              <w:tab/>
              <w:t>122.235552°E</w:t>
            </w:r>
          </w:p>
          <w:p>
            <w:pPr>
              <w:pStyle w:val="yTableNAm"/>
            </w:pPr>
            <w:r>
              <w:t>17.948327°S</w:t>
            </w:r>
            <w:r>
              <w:tab/>
              <w:t>122.234852°E</w:t>
            </w:r>
          </w:p>
          <w:p>
            <w:pPr>
              <w:pStyle w:val="yTableNAm"/>
            </w:pPr>
            <w:r>
              <w:lastRenderedPageBreak/>
              <w:t>17.947461°S</w:t>
            </w:r>
            <w:r>
              <w:tab/>
              <w:t>122.233985°E</w:t>
            </w:r>
          </w:p>
          <w:p>
            <w:pPr>
              <w:pStyle w:val="yTableNAm"/>
            </w:pPr>
            <w:r>
              <w:t>17.946095°S</w:t>
            </w:r>
            <w:r>
              <w:tab/>
              <w:t>122.228801°E</w:t>
            </w:r>
          </w:p>
          <w:p>
            <w:pPr>
              <w:pStyle w:val="yTableNAm"/>
            </w:pPr>
            <w:r>
              <w:t>17.944638°S</w:t>
            </w:r>
            <w:r>
              <w:tab/>
              <w:t>122.228795°E</w:t>
            </w:r>
          </w:p>
          <w:p>
            <w:pPr>
              <w:pStyle w:val="yTableNAm"/>
            </w:pPr>
            <w:r>
              <w:t>17.944626°S</w:t>
            </w:r>
            <w:r>
              <w:tab/>
              <w:t>122.228370°E</w:t>
            </w:r>
          </w:p>
          <w:p>
            <w:pPr>
              <w:pStyle w:val="yTableNAm"/>
            </w:pPr>
            <w:r>
              <w:t>17.946400°S</w:t>
            </w:r>
            <w:r>
              <w:tab/>
              <w:t>122.228331°E</w:t>
            </w:r>
          </w:p>
          <w:p>
            <w:pPr>
              <w:pStyle w:val="yTableNAm"/>
            </w:pPr>
            <w:r>
              <w:t>17.947779°S</w:t>
            </w:r>
            <w:r>
              <w:tab/>
              <w:t>122.233572°E</w:t>
            </w:r>
          </w:p>
          <w:p>
            <w:pPr>
              <w:pStyle w:val="yTableNAm"/>
            </w:pPr>
            <w:r>
              <w:t>17.948494°S</w:t>
            </w:r>
            <w:r>
              <w:tab/>
              <w:t>122.234382°E</w:t>
            </w:r>
          </w:p>
          <w:p>
            <w:pPr>
              <w:pStyle w:val="yTableNAm"/>
            </w:pPr>
            <w:r>
              <w:t>17.948810°S</w:t>
            </w:r>
            <w:r>
              <w:tab/>
              <w:t>122.235587°E</w:t>
            </w:r>
          </w:p>
          <w:p>
            <w:pPr>
              <w:pStyle w:val="yTableNAm"/>
            </w:pPr>
            <w:r>
              <w:t>17.948232°S</w:t>
            </w:r>
            <w:r>
              <w:tab/>
              <w:t>122.236649°E</w:t>
            </w:r>
          </w:p>
        </w:tc>
      </w:tr>
      <w:tr>
        <w:tc>
          <w:tcPr>
            <w:tcW w:w="738" w:type="dxa"/>
            <w:noWrap/>
          </w:tcPr>
          <w:p>
            <w:pPr>
              <w:pStyle w:val="yTableNAm"/>
            </w:pPr>
            <w:r>
              <w:lastRenderedPageBreak/>
              <w:t>3.</w:t>
            </w:r>
          </w:p>
        </w:tc>
        <w:tc>
          <w:tcPr>
            <w:tcW w:w="2689" w:type="dxa"/>
            <w:noWrap/>
          </w:tcPr>
          <w:p>
            <w:pPr>
              <w:pStyle w:val="yTableNAm"/>
            </w:pPr>
            <w:r>
              <w:t>Port of Port Hedland</w:t>
            </w:r>
          </w:p>
          <w:p>
            <w:pPr>
              <w:pStyle w:val="yTableNAm"/>
            </w:pPr>
            <w:r>
              <w:t>Zone 1</w:t>
            </w:r>
          </w:p>
        </w:tc>
        <w:tc>
          <w:tcPr>
            <w:tcW w:w="3548" w:type="dxa"/>
            <w:noWrap/>
          </w:tcPr>
          <w:p>
            <w:pPr>
              <w:pStyle w:val="yTableNAm"/>
            </w:pPr>
            <w:r>
              <w:t xml:space="preserve">The area bounded by a line connecting the following Geocentric Datum of Australia 2020 (GDA2020) coordinates — </w:t>
            </w:r>
          </w:p>
          <w:p>
            <w:pPr>
              <w:pStyle w:val="yTableNAm"/>
            </w:pPr>
            <w:r>
              <w:t>20.315172°S</w:t>
            </w:r>
            <w:r>
              <w:tab/>
              <w:t>118.580940°E</w:t>
            </w:r>
          </w:p>
          <w:p>
            <w:pPr>
              <w:pStyle w:val="yTableNAm"/>
            </w:pPr>
            <w:r>
              <w:t>20.314856°S</w:t>
            </w:r>
            <w:r>
              <w:tab/>
              <w:t>118.580885°E</w:t>
            </w:r>
          </w:p>
          <w:p>
            <w:pPr>
              <w:pStyle w:val="yTableNAm"/>
            </w:pPr>
            <w:r>
              <w:t>20.315135°S</w:t>
            </w:r>
            <w:r>
              <w:tab/>
              <w:t>118.578290°E</w:t>
            </w:r>
          </w:p>
          <w:p>
            <w:pPr>
              <w:pStyle w:val="yTableNAm"/>
            </w:pPr>
            <w:r>
              <w:t>20.314359°S</w:t>
            </w:r>
            <w:r>
              <w:tab/>
              <w:t>118.578168°E</w:t>
            </w:r>
          </w:p>
          <w:p>
            <w:pPr>
              <w:pStyle w:val="yTableNAm"/>
            </w:pPr>
            <w:r>
              <w:t>20.314405°S</w:t>
            </w:r>
            <w:r>
              <w:tab/>
              <w:t>118.577878°E</w:t>
            </w:r>
          </w:p>
          <w:p>
            <w:pPr>
              <w:pStyle w:val="yTableNAm"/>
            </w:pPr>
            <w:r>
              <w:t>20.315166°S</w:t>
            </w:r>
            <w:r>
              <w:tab/>
              <w:t>118.578008°E</w:t>
            </w:r>
          </w:p>
          <w:p>
            <w:pPr>
              <w:pStyle w:val="yTableNAm"/>
            </w:pPr>
            <w:r>
              <w:t>20.315241°S</w:t>
            </w:r>
            <w:r>
              <w:tab/>
              <w:t>118.577432°E</w:t>
            </w:r>
          </w:p>
          <w:p>
            <w:pPr>
              <w:pStyle w:val="yTableNAm"/>
            </w:pPr>
            <w:r>
              <w:t>20.315369°S</w:t>
            </w:r>
            <w:r>
              <w:tab/>
              <w:t>118.577124°E</w:t>
            </w:r>
          </w:p>
          <w:p>
            <w:pPr>
              <w:pStyle w:val="yTableNAm"/>
            </w:pPr>
            <w:r>
              <w:t>20.315682°S</w:t>
            </w:r>
            <w:r>
              <w:tab/>
              <w:t>118.577260°E</w:t>
            </w:r>
          </w:p>
          <w:p>
            <w:pPr>
              <w:pStyle w:val="yTableNAm"/>
            </w:pPr>
            <w:r>
              <w:t>20.315582°S</w:t>
            </w:r>
            <w:r>
              <w:tab/>
              <w:t>118.577518°E</w:t>
            </w:r>
          </w:p>
          <w:p>
            <w:pPr>
              <w:pStyle w:val="yTableNAm"/>
            </w:pPr>
            <w:r>
              <w:t>20.315172°S</w:t>
            </w:r>
            <w:r>
              <w:tab/>
              <w:t>118.580940°E</w:t>
            </w:r>
          </w:p>
        </w:tc>
      </w:tr>
      <w:tr>
        <w:tc>
          <w:tcPr>
            <w:tcW w:w="738" w:type="dxa"/>
            <w:noWrap/>
          </w:tcPr>
          <w:p>
            <w:pPr>
              <w:pStyle w:val="zyTableNAm"/>
              <w:keepNext/>
            </w:pPr>
          </w:p>
        </w:tc>
        <w:tc>
          <w:tcPr>
            <w:tcW w:w="2689" w:type="dxa"/>
            <w:noWrap/>
          </w:tcPr>
          <w:p>
            <w:pPr>
              <w:pStyle w:val="yTableNAm"/>
              <w:keepNext/>
            </w:pPr>
            <w:r>
              <w:t>Port of Port Hedland</w:t>
            </w:r>
          </w:p>
          <w:p>
            <w:pPr>
              <w:pStyle w:val="yTableNAm"/>
              <w:keepNext/>
            </w:pPr>
            <w:r>
              <w:t>Zone 2</w:t>
            </w:r>
          </w:p>
        </w:tc>
        <w:tc>
          <w:tcPr>
            <w:tcW w:w="3548" w:type="dxa"/>
            <w:noWrap/>
          </w:tcPr>
          <w:p>
            <w:pPr>
              <w:pStyle w:val="yTableNAm"/>
              <w:keepNext/>
            </w:pPr>
            <w:r>
              <w:t xml:space="preserve">The area bounded by a line connecting the following Geocentric Datum of Australia 2020 (GDA2020) coordinates — </w:t>
            </w:r>
          </w:p>
          <w:p>
            <w:pPr>
              <w:pStyle w:val="yTableNAm"/>
              <w:keepNext/>
            </w:pPr>
            <w:r>
              <w:t>20.374544°S</w:t>
            </w:r>
            <w:r>
              <w:tab/>
              <w:t>118.572507°E</w:t>
            </w:r>
          </w:p>
          <w:p>
            <w:pPr>
              <w:pStyle w:val="yTableNAm"/>
              <w:keepNext/>
            </w:pPr>
            <w:r>
              <w:t>20.373982°S</w:t>
            </w:r>
            <w:r>
              <w:tab/>
              <w:t>118.572790°E</w:t>
            </w:r>
          </w:p>
          <w:p>
            <w:pPr>
              <w:pStyle w:val="yTableNAm"/>
              <w:keepNext/>
            </w:pPr>
            <w:r>
              <w:t>20.369228°S</w:t>
            </w:r>
            <w:r>
              <w:tab/>
              <w:t>118.563972°E</w:t>
            </w:r>
          </w:p>
          <w:p>
            <w:pPr>
              <w:pStyle w:val="yTableNAm"/>
              <w:keepNext/>
            </w:pPr>
            <w:r>
              <w:t>20.370218°S</w:t>
            </w:r>
            <w:r>
              <w:tab/>
              <w:t>118.563539°E</w:t>
            </w:r>
          </w:p>
          <w:p>
            <w:pPr>
              <w:pStyle w:val="yTableNAm"/>
              <w:keepNext/>
            </w:pPr>
            <w:r>
              <w:t>20.374544°S</w:t>
            </w:r>
            <w:r>
              <w:tab/>
              <w:t>118.572507°E</w:t>
            </w:r>
          </w:p>
        </w:tc>
      </w:tr>
      <w:tr>
        <w:tc>
          <w:tcPr>
            <w:tcW w:w="738" w:type="dxa"/>
            <w:noWrap/>
          </w:tcPr>
          <w:p>
            <w:pPr>
              <w:pStyle w:val="yTableNAm"/>
            </w:pPr>
            <w:r>
              <w:t>4.</w:t>
            </w:r>
          </w:p>
        </w:tc>
        <w:tc>
          <w:tcPr>
            <w:tcW w:w="2689" w:type="dxa"/>
            <w:noWrap/>
          </w:tcPr>
          <w:p>
            <w:pPr>
              <w:pStyle w:val="yTableNAm"/>
            </w:pPr>
            <w:r>
              <w:t>Port Hedland International Airport</w:t>
            </w:r>
          </w:p>
        </w:tc>
        <w:tc>
          <w:tcPr>
            <w:tcW w:w="3548" w:type="dxa"/>
            <w:noWrap/>
          </w:tcPr>
          <w:p>
            <w:pPr>
              <w:pStyle w:val="yTableNAm"/>
            </w:pPr>
            <w:r>
              <w:t xml:space="preserve">The area bounded by a line connecting the following Geocentric Datum of Australia 2020 (GDA2020) coordinates — </w:t>
            </w:r>
          </w:p>
          <w:p>
            <w:pPr>
              <w:pStyle w:val="yTableNAm"/>
            </w:pPr>
            <w:r>
              <w:t>20.377985°S</w:t>
            </w:r>
            <w:r>
              <w:tab/>
              <w:t>118.630928°E</w:t>
            </w:r>
          </w:p>
          <w:p>
            <w:pPr>
              <w:pStyle w:val="yTableNAm"/>
            </w:pPr>
            <w:r>
              <w:t>20.378086°S</w:t>
            </w:r>
            <w:r>
              <w:tab/>
              <w:t>118.632738°E</w:t>
            </w:r>
          </w:p>
          <w:p>
            <w:pPr>
              <w:pStyle w:val="yTableNAm"/>
            </w:pPr>
            <w:r>
              <w:t>20.376182°S</w:t>
            </w:r>
            <w:r>
              <w:tab/>
              <w:t>118.632819°E</w:t>
            </w:r>
          </w:p>
          <w:p>
            <w:pPr>
              <w:pStyle w:val="yTableNAm"/>
            </w:pPr>
            <w:r>
              <w:t>20.376125°S</w:t>
            </w:r>
            <w:r>
              <w:tab/>
              <w:t>118.631389°E</w:t>
            </w:r>
          </w:p>
          <w:p>
            <w:pPr>
              <w:pStyle w:val="yTableNAm"/>
            </w:pPr>
            <w:r>
              <w:t>20.374573°S</w:t>
            </w:r>
            <w:r>
              <w:tab/>
              <w:t>118.631440°E</w:t>
            </w:r>
          </w:p>
          <w:p>
            <w:pPr>
              <w:pStyle w:val="yTableNAm"/>
            </w:pPr>
            <w:r>
              <w:t>20.374560°S</w:t>
            </w:r>
            <w:r>
              <w:tab/>
              <w:t>118.631285°E</w:t>
            </w:r>
          </w:p>
          <w:p>
            <w:pPr>
              <w:pStyle w:val="yTableNAm"/>
            </w:pPr>
            <w:r>
              <w:t>20.376305°S</w:t>
            </w:r>
            <w:r>
              <w:tab/>
              <w:t>118.631006°E</w:t>
            </w:r>
          </w:p>
          <w:p>
            <w:pPr>
              <w:pStyle w:val="yTableNAm"/>
            </w:pPr>
            <w:r>
              <w:t>20.377985°S</w:t>
            </w:r>
            <w:r>
              <w:tab/>
              <w:t>118.630928°E</w:t>
            </w:r>
          </w:p>
          <w:p>
            <w:pPr>
              <w:pStyle w:val="yTableNAm"/>
            </w:pPr>
            <w:r>
              <w:t>but excluding the area bounded by a line connecting the following Geocentric Datum of Australia 2020 (GDA2020) coordinates —</w:t>
            </w:r>
          </w:p>
          <w:p>
            <w:pPr>
              <w:pStyle w:val="yTableNAm"/>
            </w:pPr>
            <w:r>
              <w:t>20.377122°S</w:t>
            </w:r>
            <w:r>
              <w:tab/>
              <w:t>118.631327°E</w:t>
            </w:r>
          </w:p>
          <w:p>
            <w:pPr>
              <w:pStyle w:val="yTableNAm"/>
            </w:pPr>
            <w:r>
              <w:t>20.377177°S</w:t>
            </w:r>
            <w:r>
              <w:tab/>
              <w:t>118.632502°E</w:t>
            </w:r>
          </w:p>
          <w:p>
            <w:pPr>
              <w:pStyle w:val="yTableNAm"/>
            </w:pPr>
            <w:r>
              <w:t>20.376297°S</w:t>
            </w:r>
            <w:r>
              <w:tab/>
              <w:t>118.632539°E</w:t>
            </w:r>
          </w:p>
          <w:p>
            <w:pPr>
              <w:pStyle w:val="yTableNAm"/>
            </w:pPr>
            <w:r>
              <w:lastRenderedPageBreak/>
              <w:t>20.376251°S</w:t>
            </w:r>
            <w:r>
              <w:tab/>
              <w:t>118.631352°E</w:t>
            </w:r>
          </w:p>
          <w:p>
            <w:pPr>
              <w:pStyle w:val="yTableNAm"/>
              <w:rPr>
                <w:highlight w:val="yellow"/>
              </w:rPr>
            </w:pPr>
            <w:r>
              <w:t>20.377122°S</w:t>
            </w:r>
            <w:r>
              <w:tab/>
              <w:t>118.631327°E</w:t>
            </w:r>
          </w:p>
        </w:tc>
      </w:tr>
      <w:tr>
        <w:tc>
          <w:tcPr>
            <w:tcW w:w="738" w:type="dxa"/>
            <w:noWrap/>
          </w:tcPr>
          <w:p>
            <w:pPr>
              <w:pStyle w:val="yTableNAm"/>
            </w:pPr>
            <w:r>
              <w:lastRenderedPageBreak/>
              <w:t>5.</w:t>
            </w:r>
          </w:p>
        </w:tc>
        <w:tc>
          <w:tcPr>
            <w:tcW w:w="2689" w:type="dxa"/>
            <w:noWrap/>
          </w:tcPr>
          <w:p>
            <w:pPr>
              <w:pStyle w:val="yTableNAm"/>
            </w:pPr>
            <w:r>
              <w:t>Port of Dampier</w:t>
            </w:r>
          </w:p>
        </w:tc>
        <w:tc>
          <w:tcPr>
            <w:tcW w:w="3548" w:type="dxa"/>
            <w:noWrap/>
          </w:tcPr>
          <w:p>
            <w:pPr>
              <w:pStyle w:val="yTableNAm"/>
            </w:pPr>
            <w:r>
              <w:t xml:space="preserve">The area bounded by a line connecting the following Geocentric Datum of Australia 2020 (GDA2020) coordinates — </w:t>
            </w:r>
          </w:p>
          <w:p>
            <w:pPr>
              <w:pStyle w:val="yTableNAm"/>
            </w:pPr>
            <w:r>
              <w:t>20.690025°S</w:t>
            </w:r>
            <w:r>
              <w:tab/>
              <w:t>116.735680°E</w:t>
            </w:r>
          </w:p>
          <w:p>
            <w:pPr>
              <w:pStyle w:val="yTableNAm"/>
            </w:pPr>
            <w:r>
              <w:t>20.689844°S</w:t>
            </w:r>
            <w:r>
              <w:tab/>
              <w:t>116.736045°E</w:t>
            </w:r>
          </w:p>
          <w:p>
            <w:pPr>
              <w:pStyle w:val="yTableNAm"/>
            </w:pPr>
            <w:r>
              <w:t>20.687813°S</w:t>
            </w:r>
            <w:r>
              <w:tab/>
              <w:t>116.735131°E</w:t>
            </w:r>
          </w:p>
          <w:p>
            <w:pPr>
              <w:pStyle w:val="yTableNAm"/>
            </w:pPr>
            <w:r>
              <w:t>20.687321°S</w:t>
            </w:r>
            <w:r>
              <w:tab/>
              <w:t>116.736293°E</w:t>
            </w:r>
          </w:p>
          <w:p>
            <w:pPr>
              <w:pStyle w:val="yTableNAm"/>
            </w:pPr>
            <w:r>
              <w:t>20.686538°S</w:t>
            </w:r>
            <w:r>
              <w:tab/>
              <w:t>116.736161°E</w:t>
            </w:r>
          </w:p>
          <w:p>
            <w:pPr>
              <w:pStyle w:val="yTableNAm"/>
            </w:pPr>
            <w:r>
              <w:t>20.684838°S</w:t>
            </w:r>
            <w:r>
              <w:tab/>
              <w:t>116.739973°E</w:t>
            </w:r>
          </w:p>
          <w:p>
            <w:pPr>
              <w:pStyle w:val="yTableNAm"/>
            </w:pPr>
            <w:r>
              <w:t>20.681257°S</w:t>
            </w:r>
            <w:r>
              <w:tab/>
              <w:t>116.743651°E</w:t>
            </w:r>
          </w:p>
          <w:p>
            <w:pPr>
              <w:pStyle w:val="yTableNAm"/>
            </w:pPr>
            <w:r>
              <w:t>20.679962°S</w:t>
            </w:r>
            <w:r>
              <w:tab/>
              <w:t>116.742873°E</w:t>
            </w:r>
          </w:p>
          <w:p>
            <w:pPr>
              <w:pStyle w:val="yTableNAm"/>
            </w:pPr>
            <w:r>
              <w:t>20.681433°S</w:t>
            </w:r>
            <w:r>
              <w:tab/>
              <w:t>116.740057°E</w:t>
            </w:r>
          </w:p>
          <w:p>
            <w:pPr>
              <w:pStyle w:val="yTableNAm"/>
            </w:pPr>
            <w:r>
              <w:t>20.683285°S</w:t>
            </w:r>
            <w:r>
              <w:tab/>
              <w:t>116.741232°E</w:t>
            </w:r>
          </w:p>
          <w:p>
            <w:pPr>
              <w:pStyle w:val="yTableNAm"/>
            </w:pPr>
            <w:r>
              <w:t>20.684638°S</w:t>
            </w:r>
            <w:r>
              <w:tab/>
              <w:t>116.739799°E</w:t>
            </w:r>
          </w:p>
          <w:p>
            <w:pPr>
              <w:pStyle w:val="yTableNAm"/>
            </w:pPr>
            <w:r>
              <w:t>20.686883°S</w:t>
            </w:r>
            <w:r>
              <w:tab/>
              <w:t>116.734736°E</w:t>
            </w:r>
          </w:p>
          <w:p>
            <w:pPr>
              <w:pStyle w:val="yTableNAm"/>
            </w:pPr>
            <w:r>
              <w:t>20.684600°S</w:t>
            </w:r>
            <w:r>
              <w:tab/>
              <w:t>116.733663°E</w:t>
            </w:r>
          </w:p>
          <w:p>
            <w:pPr>
              <w:pStyle w:val="yTableNAm"/>
            </w:pPr>
            <w:r>
              <w:t>20.684785°S</w:t>
            </w:r>
            <w:r>
              <w:tab/>
              <w:t>116.733201°E</w:t>
            </w:r>
          </w:p>
          <w:p>
            <w:pPr>
              <w:pStyle w:val="yTableNAm"/>
              <w:rPr>
                <w:highlight w:val="yellow"/>
              </w:rPr>
            </w:pPr>
            <w:r>
              <w:t>20.690025°S</w:t>
            </w:r>
            <w:r>
              <w:tab/>
              <w:t>116.735680°E</w:t>
            </w:r>
          </w:p>
        </w:tc>
      </w:tr>
      <w:tr>
        <w:tc>
          <w:tcPr>
            <w:tcW w:w="738" w:type="dxa"/>
            <w:noWrap/>
          </w:tcPr>
          <w:p>
            <w:pPr>
              <w:pStyle w:val="yTableNAm"/>
            </w:pPr>
            <w:r>
              <w:t>6.</w:t>
            </w:r>
          </w:p>
        </w:tc>
        <w:tc>
          <w:tcPr>
            <w:tcW w:w="2689" w:type="dxa"/>
            <w:noWrap/>
          </w:tcPr>
          <w:p>
            <w:pPr>
              <w:pStyle w:val="yTableNAm"/>
            </w:pPr>
            <w:r>
              <w:t>Port of Ashburton (Onslow)</w:t>
            </w:r>
          </w:p>
        </w:tc>
        <w:tc>
          <w:tcPr>
            <w:tcW w:w="3548" w:type="dxa"/>
            <w:noWrap/>
          </w:tcPr>
          <w:p>
            <w:pPr>
              <w:pStyle w:val="yTableNAm"/>
            </w:pPr>
            <w:r>
              <w:t xml:space="preserve">The area bounded by a line connecting the following Geocentric Datum of Australia 2020 (GDA2020) coordinates — </w:t>
            </w:r>
          </w:p>
          <w:p>
            <w:pPr>
              <w:pStyle w:val="yTableNAm"/>
            </w:pPr>
            <w:r>
              <w:t>21.710200°S</w:t>
            </w:r>
            <w:r>
              <w:tab/>
              <w:t>114.999698°E</w:t>
            </w:r>
          </w:p>
          <w:p>
            <w:pPr>
              <w:pStyle w:val="yTableNAm"/>
            </w:pPr>
            <w:r>
              <w:t>21.710171°S</w:t>
            </w:r>
            <w:r>
              <w:tab/>
              <w:t>115.000097°E</w:t>
            </w:r>
          </w:p>
          <w:p>
            <w:pPr>
              <w:pStyle w:val="yTableNAm"/>
            </w:pPr>
            <w:r>
              <w:lastRenderedPageBreak/>
              <w:t>21.708865°S</w:t>
            </w:r>
            <w:r>
              <w:tab/>
              <w:t>115.000214°E</w:t>
            </w:r>
          </w:p>
          <w:p>
            <w:pPr>
              <w:pStyle w:val="yTableNAm"/>
            </w:pPr>
            <w:r>
              <w:t>21.707592°S</w:t>
            </w:r>
            <w:r>
              <w:tab/>
              <w:t>115.001300°E</w:t>
            </w:r>
          </w:p>
          <w:p>
            <w:pPr>
              <w:pStyle w:val="yTableNAm"/>
            </w:pPr>
            <w:r>
              <w:t>21.707048°S</w:t>
            </w:r>
            <w:r>
              <w:tab/>
              <w:t>115.000563°E</w:t>
            </w:r>
          </w:p>
          <w:p>
            <w:pPr>
              <w:pStyle w:val="yTableNAm"/>
            </w:pPr>
            <w:r>
              <w:t>21.707886°S</w:t>
            </w:r>
            <w:r>
              <w:tab/>
              <w:t>114.999809°E</w:t>
            </w:r>
          </w:p>
          <w:p>
            <w:pPr>
              <w:pStyle w:val="yTableNAm"/>
            </w:pPr>
            <w:r>
              <w:t>21.707454°S</w:t>
            </w:r>
            <w:r>
              <w:tab/>
              <w:t>114.998149°E</w:t>
            </w:r>
          </w:p>
          <w:p>
            <w:pPr>
              <w:pStyle w:val="yTableNAm"/>
            </w:pPr>
            <w:r>
              <w:t>21.707347°S</w:t>
            </w:r>
            <w:r>
              <w:tab/>
              <w:t>114.998178°E</w:t>
            </w:r>
          </w:p>
          <w:p>
            <w:pPr>
              <w:pStyle w:val="yTableNAm"/>
            </w:pPr>
            <w:r>
              <w:t>21.707181°S</w:t>
            </w:r>
            <w:r>
              <w:tab/>
              <w:t>114.997529°E</w:t>
            </w:r>
          </w:p>
          <w:p>
            <w:pPr>
              <w:pStyle w:val="yTableNAm"/>
            </w:pPr>
            <w:r>
              <w:t>21.707686°S</w:t>
            </w:r>
            <w:r>
              <w:tab/>
              <w:t>114.997381°E</w:t>
            </w:r>
          </w:p>
          <w:p>
            <w:pPr>
              <w:pStyle w:val="yTableNAm"/>
            </w:pPr>
            <w:r>
              <w:t>21.707477°S</w:t>
            </w:r>
            <w:r>
              <w:tab/>
              <w:t>114.996550°E</w:t>
            </w:r>
          </w:p>
          <w:p>
            <w:pPr>
              <w:pStyle w:val="yTableNAm"/>
            </w:pPr>
            <w:r>
              <w:t>21.708698°S</w:t>
            </w:r>
            <w:r>
              <w:tab/>
              <w:t>114.996185°E</w:t>
            </w:r>
          </w:p>
          <w:p>
            <w:pPr>
              <w:pStyle w:val="yTableNAm"/>
            </w:pPr>
            <w:r>
              <w:t>21.708697°S</w:t>
            </w:r>
            <w:r>
              <w:tab/>
              <w:t>114.997267°E</w:t>
            </w:r>
          </w:p>
          <w:p>
            <w:pPr>
              <w:pStyle w:val="yTableNAm"/>
            </w:pPr>
            <w:r>
              <w:t>21.708035°S</w:t>
            </w:r>
            <w:r>
              <w:tab/>
              <w:t>114.997465°E</w:t>
            </w:r>
          </w:p>
          <w:p>
            <w:pPr>
              <w:pStyle w:val="yTableNAm"/>
            </w:pPr>
            <w:r>
              <w:t>21.708635°S</w:t>
            </w:r>
            <w:r>
              <w:tab/>
              <w:t>114.999630°E</w:t>
            </w:r>
          </w:p>
          <w:p>
            <w:pPr>
              <w:pStyle w:val="yTableNAm"/>
            </w:pPr>
            <w:r>
              <w:t>21.710200°S</w:t>
            </w:r>
            <w:r>
              <w:tab/>
              <w:t>114.999698°E</w:t>
            </w:r>
          </w:p>
        </w:tc>
      </w:tr>
      <w:tr>
        <w:tc>
          <w:tcPr>
            <w:tcW w:w="738" w:type="dxa"/>
            <w:noWrap/>
          </w:tcPr>
          <w:p>
            <w:pPr>
              <w:pStyle w:val="yTableNAm"/>
            </w:pPr>
            <w:r>
              <w:lastRenderedPageBreak/>
              <w:t>7.</w:t>
            </w:r>
          </w:p>
        </w:tc>
        <w:tc>
          <w:tcPr>
            <w:tcW w:w="2689" w:type="dxa"/>
            <w:noWrap/>
          </w:tcPr>
          <w:p>
            <w:pPr>
              <w:pStyle w:val="yTableNAm"/>
            </w:pPr>
            <w:r>
              <w:t>Port of Geraldton</w:t>
            </w:r>
          </w:p>
          <w:p>
            <w:pPr>
              <w:pStyle w:val="yTableNAm"/>
            </w:pPr>
            <w:r>
              <w:t>Zone 1</w:t>
            </w:r>
          </w:p>
        </w:tc>
        <w:tc>
          <w:tcPr>
            <w:tcW w:w="3548" w:type="dxa"/>
            <w:noWrap/>
          </w:tcPr>
          <w:p>
            <w:pPr>
              <w:pStyle w:val="yTableNAm"/>
            </w:pPr>
            <w:r>
              <w:t xml:space="preserve">The area bounded by a line connecting the following Geocentric Datum of Australia 2020 (GDA2020) coordinates — </w:t>
            </w:r>
          </w:p>
          <w:p>
            <w:pPr>
              <w:pStyle w:val="yTableNAm"/>
            </w:pPr>
            <w:r>
              <w:t>28.775458°S</w:t>
            </w:r>
            <w:r>
              <w:tab/>
              <w:t>114.587729°E</w:t>
            </w:r>
          </w:p>
          <w:p>
            <w:pPr>
              <w:pStyle w:val="yTableNAm"/>
            </w:pPr>
            <w:r>
              <w:t>28.775477°S</w:t>
            </w:r>
            <w:r>
              <w:tab/>
              <w:t>114.588308°E</w:t>
            </w:r>
          </w:p>
          <w:p>
            <w:pPr>
              <w:pStyle w:val="yTableNAm"/>
            </w:pPr>
            <w:r>
              <w:t>28.774067°S</w:t>
            </w:r>
            <w:r>
              <w:tab/>
              <w:t>114.588337°E</w:t>
            </w:r>
          </w:p>
          <w:p>
            <w:pPr>
              <w:pStyle w:val="yTableNAm"/>
            </w:pPr>
            <w:r>
              <w:t>28.773589°S</w:t>
            </w:r>
            <w:r>
              <w:tab/>
              <w:t>114.587855°E</w:t>
            </w:r>
          </w:p>
          <w:p>
            <w:pPr>
              <w:pStyle w:val="yTableNAm"/>
            </w:pPr>
            <w:r>
              <w:t>28.773589°S</w:t>
            </w:r>
            <w:r>
              <w:tab/>
              <w:t>114.587726°E</w:t>
            </w:r>
          </w:p>
          <w:p>
            <w:pPr>
              <w:pStyle w:val="yTableNAm"/>
            </w:pPr>
            <w:r>
              <w:t>28.775458°S</w:t>
            </w:r>
            <w:r>
              <w:tab/>
              <w:t>114.587729°E</w:t>
            </w:r>
          </w:p>
        </w:tc>
      </w:tr>
      <w:tr>
        <w:tc>
          <w:tcPr>
            <w:tcW w:w="738" w:type="dxa"/>
            <w:noWrap/>
          </w:tcPr>
          <w:p>
            <w:pPr>
              <w:pStyle w:val="zyTableNAm"/>
              <w:keepNext/>
            </w:pPr>
          </w:p>
        </w:tc>
        <w:tc>
          <w:tcPr>
            <w:tcW w:w="2689" w:type="dxa"/>
            <w:noWrap/>
          </w:tcPr>
          <w:p>
            <w:pPr>
              <w:pStyle w:val="yTableNAm"/>
              <w:keepNext/>
            </w:pPr>
            <w:r>
              <w:t>Port of Geraldton</w:t>
            </w:r>
          </w:p>
          <w:p>
            <w:pPr>
              <w:pStyle w:val="yTableNAm"/>
              <w:keepNext/>
            </w:pPr>
            <w:r>
              <w:t>Zone 2</w:t>
            </w:r>
          </w:p>
        </w:tc>
        <w:tc>
          <w:tcPr>
            <w:tcW w:w="3548" w:type="dxa"/>
            <w:noWrap/>
          </w:tcPr>
          <w:p>
            <w:pPr>
              <w:pStyle w:val="yTableNAm"/>
              <w:keepNext/>
            </w:pPr>
            <w:r>
              <w:t xml:space="preserve">The area bounded by a line connecting the following Geocentric Datum of Australia 2020 (GDA2020) coordinates — </w:t>
            </w:r>
          </w:p>
          <w:p>
            <w:pPr>
              <w:pStyle w:val="yTableNAm"/>
              <w:keepNext/>
            </w:pPr>
            <w:r>
              <w:t>28.776934°S</w:t>
            </w:r>
            <w:r>
              <w:tab/>
              <w:t>114.588058°E</w:t>
            </w:r>
          </w:p>
          <w:p>
            <w:pPr>
              <w:pStyle w:val="yTableNAm"/>
              <w:keepNext/>
            </w:pPr>
            <w:r>
              <w:t>28.777106°S</w:t>
            </w:r>
            <w:r>
              <w:tab/>
              <w:t>114.588057°E</w:t>
            </w:r>
          </w:p>
          <w:p>
            <w:pPr>
              <w:pStyle w:val="yTableNAm"/>
              <w:keepNext/>
            </w:pPr>
            <w:r>
              <w:t>28.777023°S</w:t>
            </w:r>
            <w:r>
              <w:tab/>
              <w:t>114.590086°E</w:t>
            </w:r>
          </w:p>
          <w:p>
            <w:pPr>
              <w:pStyle w:val="yTableNAm"/>
              <w:keepNext/>
            </w:pPr>
            <w:r>
              <w:t>28.776664°S</w:t>
            </w:r>
            <w:r>
              <w:tab/>
              <w:t>114.590521°E</w:t>
            </w:r>
          </w:p>
          <w:p>
            <w:pPr>
              <w:pStyle w:val="yTableNAm"/>
              <w:keepNext/>
            </w:pPr>
            <w:r>
              <w:t>28.776662°S</w:t>
            </w:r>
            <w:r>
              <w:tab/>
              <w:t>114.591501°E</w:t>
            </w:r>
          </w:p>
          <w:p>
            <w:pPr>
              <w:pStyle w:val="yTableNAm"/>
              <w:keepNext/>
            </w:pPr>
            <w:r>
              <w:t>28.775913°S</w:t>
            </w:r>
            <w:r>
              <w:tab/>
              <w:t>114.591492°E</w:t>
            </w:r>
          </w:p>
          <w:p>
            <w:pPr>
              <w:pStyle w:val="yTableNAm"/>
              <w:keepNext/>
            </w:pPr>
            <w:r>
              <w:t>28.775899°S</w:t>
            </w:r>
            <w:r>
              <w:tab/>
              <w:t>114.590427°E</w:t>
            </w:r>
          </w:p>
          <w:p>
            <w:pPr>
              <w:pStyle w:val="yTableNAm"/>
              <w:keepNext/>
            </w:pPr>
            <w:r>
              <w:t>28.776537°S</w:t>
            </w:r>
            <w:r>
              <w:tab/>
              <w:t>114.590418°E</w:t>
            </w:r>
          </w:p>
          <w:p>
            <w:pPr>
              <w:pStyle w:val="yTableNAm"/>
              <w:keepNext/>
            </w:pPr>
            <w:r>
              <w:t>28.776607°S</w:t>
            </w:r>
            <w:r>
              <w:tab/>
              <w:t>114.590079°E</w:t>
            </w:r>
          </w:p>
          <w:p>
            <w:pPr>
              <w:pStyle w:val="yTableNAm"/>
              <w:keepNext/>
            </w:pPr>
            <w:r>
              <w:t>28.776891°S</w:t>
            </w:r>
            <w:r>
              <w:tab/>
              <w:t>114.589622°E</w:t>
            </w:r>
          </w:p>
          <w:p>
            <w:pPr>
              <w:pStyle w:val="yTableNAm"/>
              <w:keepNext/>
            </w:pPr>
            <w:r>
              <w:t>28.776934°S</w:t>
            </w:r>
            <w:r>
              <w:tab/>
              <w:t>114.588058°E</w:t>
            </w:r>
          </w:p>
        </w:tc>
      </w:tr>
      <w:tr>
        <w:tc>
          <w:tcPr>
            <w:tcW w:w="738" w:type="dxa"/>
            <w:noWrap/>
          </w:tcPr>
          <w:p>
            <w:pPr>
              <w:pStyle w:val="yTableNAm"/>
            </w:pPr>
            <w:r>
              <w:t>8.</w:t>
            </w:r>
          </w:p>
        </w:tc>
        <w:tc>
          <w:tcPr>
            <w:tcW w:w="2689" w:type="dxa"/>
            <w:noWrap/>
          </w:tcPr>
          <w:p>
            <w:pPr>
              <w:pStyle w:val="yTableNAm"/>
            </w:pPr>
            <w:r>
              <w:t>Perth Airport</w:t>
            </w:r>
          </w:p>
          <w:p>
            <w:pPr>
              <w:pStyle w:val="yTableNAm"/>
            </w:pPr>
            <w:r>
              <w:t>Zone 1</w:t>
            </w:r>
          </w:p>
        </w:tc>
        <w:tc>
          <w:tcPr>
            <w:tcW w:w="3548" w:type="dxa"/>
            <w:noWrap/>
          </w:tcPr>
          <w:p>
            <w:pPr>
              <w:pStyle w:val="yTableNAm"/>
            </w:pPr>
            <w:r>
              <w:t xml:space="preserve">The area bounded by a line connecting the following Geocentric Datum of Australia 2020 (GDA2020) coordinates — </w:t>
            </w:r>
          </w:p>
          <w:p>
            <w:pPr>
              <w:pStyle w:val="yTableNAm"/>
            </w:pPr>
            <w:r>
              <w:t>31.936464°S</w:t>
            </w:r>
            <w:r>
              <w:tab/>
              <w:t>115.955439°E</w:t>
            </w:r>
          </w:p>
          <w:p>
            <w:pPr>
              <w:pStyle w:val="yTableNAm"/>
            </w:pPr>
            <w:r>
              <w:t>31.936415°S</w:t>
            </w:r>
            <w:r>
              <w:tab/>
              <w:t>115.955855°E</w:t>
            </w:r>
          </w:p>
          <w:p>
            <w:pPr>
              <w:pStyle w:val="yTableNAm"/>
            </w:pPr>
            <w:r>
              <w:t>31.935402°S</w:t>
            </w:r>
            <w:r>
              <w:tab/>
              <w:t>115.955781°E</w:t>
            </w:r>
          </w:p>
          <w:p>
            <w:pPr>
              <w:pStyle w:val="yTableNAm"/>
            </w:pPr>
            <w:r>
              <w:t>31.935143°S</w:t>
            </w:r>
            <w:r>
              <w:tab/>
              <w:t>115.957320°E</w:t>
            </w:r>
          </w:p>
          <w:p>
            <w:pPr>
              <w:pStyle w:val="yTableNAm"/>
            </w:pPr>
            <w:r>
              <w:t>31.935829°S</w:t>
            </w:r>
            <w:r>
              <w:tab/>
              <w:t>115.957448°E</w:t>
            </w:r>
          </w:p>
          <w:p>
            <w:pPr>
              <w:pStyle w:val="yTableNAm"/>
            </w:pPr>
            <w:r>
              <w:t>31.935676°S</w:t>
            </w:r>
            <w:r>
              <w:tab/>
              <w:t>115.958625°E</w:t>
            </w:r>
          </w:p>
          <w:p>
            <w:pPr>
              <w:pStyle w:val="yTableNAm"/>
            </w:pPr>
            <w:r>
              <w:t>31.935998°S</w:t>
            </w:r>
            <w:r>
              <w:tab/>
              <w:t>115.959269°E</w:t>
            </w:r>
          </w:p>
          <w:p>
            <w:pPr>
              <w:pStyle w:val="yTableNAm"/>
            </w:pPr>
            <w:r>
              <w:t>31.934709°S</w:t>
            </w:r>
            <w:r>
              <w:tab/>
              <w:t>115.960117°E</w:t>
            </w:r>
          </w:p>
          <w:p>
            <w:pPr>
              <w:pStyle w:val="yTableNAm"/>
            </w:pPr>
            <w:r>
              <w:lastRenderedPageBreak/>
              <w:t>31.932332°S</w:t>
            </w:r>
            <w:r>
              <w:tab/>
              <w:t>115.960841°E</w:t>
            </w:r>
          </w:p>
          <w:p>
            <w:pPr>
              <w:pStyle w:val="yTableNAm"/>
            </w:pPr>
            <w:r>
              <w:t>31.932154°S</w:t>
            </w:r>
            <w:r>
              <w:tab/>
              <w:t>115.960609°E</w:t>
            </w:r>
          </w:p>
          <w:p>
            <w:pPr>
              <w:pStyle w:val="yTableNAm"/>
            </w:pPr>
            <w:r>
              <w:t>31.932304°S</w:t>
            </w:r>
            <w:r>
              <w:tab/>
              <w:t>115.960435°E</w:t>
            </w:r>
          </w:p>
          <w:p>
            <w:pPr>
              <w:pStyle w:val="yTableNAm"/>
            </w:pPr>
            <w:r>
              <w:t>31.931471°S</w:t>
            </w:r>
            <w:r>
              <w:tab/>
              <w:t>115.959421°E</w:t>
            </w:r>
          </w:p>
          <w:p>
            <w:pPr>
              <w:pStyle w:val="yTableNAm"/>
            </w:pPr>
            <w:r>
              <w:t>31.931719°S</w:t>
            </w:r>
            <w:r>
              <w:tab/>
              <w:t>115.959124°E</w:t>
            </w:r>
          </w:p>
          <w:p>
            <w:pPr>
              <w:pStyle w:val="yTableNAm"/>
            </w:pPr>
            <w:r>
              <w:t>31.930849°S</w:t>
            </w:r>
            <w:r>
              <w:tab/>
              <w:t>115.958146°E</w:t>
            </w:r>
          </w:p>
          <w:p>
            <w:pPr>
              <w:pStyle w:val="yTableNAm"/>
            </w:pPr>
            <w:r>
              <w:t>31.931047°S</w:t>
            </w:r>
            <w:r>
              <w:tab/>
              <w:t>115.957914°E</w:t>
            </w:r>
          </w:p>
          <w:p>
            <w:pPr>
              <w:pStyle w:val="yTableNAm"/>
            </w:pPr>
            <w:r>
              <w:t>31.931888°S</w:t>
            </w:r>
            <w:r>
              <w:tab/>
              <w:t>115.958898°E</w:t>
            </w:r>
          </w:p>
          <w:p>
            <w:pPr>
              <w:pStyle w:val="yTableNAm"/>
            </w:pPr>
            <w:r>
              <w:t>31.933035°S</w:t>
            </w:r>
            <w:r>
              <w:tab/>
              <w:t>115.957762°E</w:t>
            </w:r>
          </w:p>
          <w:p>
            <w:pPr>
              <w:pStyle w:val="yTableNAm"/>
            </w:pPr>
            <w:r>
              <w:t>31.933441°S</w:t>
            </w:r>
            <w:r>
              <w:tab/>
              <w:t>115.956292°E</w:t>
            </w:r>
          </w:p>
          <w:p>
            <w:pPr>
              <w:pStyle w:val="yTableNAm"/>
            </w:pPr>
            <w:r>
              <w:t>31.932430°S</w:t>
            </w:r>
            <w:r>
              <w:tab/>
              <w:t>115.955153°E</w:t>
            </w:r>
          </w:p>
          <w:p>
            <w:pPr>
              <w:pStyle w:val="yTableNAm"/>
            </w:pPr>
            <w:r>
              <w:t>31.932459°S</w:t>
            </w:r>
            <w:r>
              <w:tab/>
              <w:t>115.954867°E</w:t>
            </w:r>
          </w:p>
          <w:p>
            <w:pPr>
              <w:pStyle w:val="yTableNAm"/>
            </w:pPr>
            <w:r>
              <w:t>31.933842°S</w:t>
            </w:r>
            <w:r>
              <w:tab/>
              <w:t>115.954353°E</w:t>
            </w:r>
          </w:p>
          <w:p>
            <w:pPr>
              <w:pStyle w:val="yTableNAm"/>
            </w:pPr>
            <w:r>
              <w:t>31.935443°S</w:t>
            </w:r>
            <w:r>
              <w:tab/>
              <w:t>115.954593°E</w:t>
            </w:r>
          </w:p>
          <w:p>
            <w:pPr>
              <w:pStyle w:val="yTableNAm"/>
            </w:pPr>
            <w:r>
              <w:t>31.936464°S</w:t>
            </w:r>
            <w:r>
              <w:tab/>
              <w:t>115.955439°E</w:t>
            </w:r>
          </w:p>
          <w:p>
            <w:pPr>
              <w:pStyle w:val="yTableNAm"/>
            </w:pPr>
            <w:r>
              <w:t>but excluding the area bounded by a line connecting the following Geocentric Datum of Australia 2020 (GDA2020) coordinates —</w:t>
            </w:r>
          </w:p>
          <w:p>
            <w:pPr>
              <w:pStyle w:val="yTableNAm"/>
            </w:pPr>
            <w:r>
              <w:t>31.934658°S</w:t>
            </w:r>
            <w:r>
              <w:tab/>
              <w:t>115.955572°E</w:t>
            </w:r>
          </w:p>
          <w:p>
            <w:pPr>
              <w:pStyle w:val="yTableNAm"/>
            </w:pPr>
            <w:r>
              <w:t>31.935123°S</w:t>
            </w:r>
            <w:r>
              <w:tab/>
              <w:t>115.955823°E</w:t>
            </w:r>
          </w:p>
          <w:p>
            <w:pPr>
              <w:pStyle w:val="yTableNAm"/>
            </w:pPr>
            <w:r>
              <w:t>31.934610°S</w:t>
            </w:r>
            <w:r>
              <w:tab/>
              <w:t>115.959036°E</w:t>
            </w:r>
          </w:p>
          <w:p>
            <w:pPr>
              <w:pStyle w:val="yTableNAm"/>
            </w:pPr>
            <w:r>
              <w:t>31.934682°S</w:t>
            </w:r>
            <w:r>
              <w:tab/>
              <w:t>115.959607°E</w:t>
            </w:r>
          </w:p>
          <w:p>
            <w:pPr>
              <w:pStyle w:val="yTableNAm"/>
            </w:pPr>
            <w:r>
              <w:t>31.932619°S</w:t>
            </w:r>
            <w:r>
              <w:tab/>
              <w:t>115.960207°E</w:t>
            </w:r>
          </w:p>
          <w:p>
            <w:pPr>
              <w:pStyle w:val="yTableNAm"/>
            </w:pPr>
            <w:r>
              <w:t>31.932319°S</w:t>
            </w:r>
            <w:r>
              <w:tab/>
              <w:t>115.959978°E</w:t>
            </w:r>
          </w:p>
          <w:p>
            <w:pPr>
              <w:pStyle w:val="yTableNAm"/>
            </w:pPr>
            <w:r>
              <w:t>31.932188°S</w:t>
            </w:r>
            <w:r>
              <w:tab/>
              <w:t>115.959502°E</w:t>
            </w:r>
          </w:p>
          <w:p>
            <w:pPr>
              <w:pStyle w:val="yTableNAm"/>
            </w:pPr>
            <w:r>
              <w:lastRenderedPageBreak/>
              <w:t>31.932320°S</w:t>
            </w:r>
            <w:r>
              <w:tab/>
              <w:t>115.959061°E</w:t>
            </w:r>
          </w:p>
          <w:p>
            <w:pPr>
              <w:pStyle w:val="yTableNAm"/>
            </w:pPr>
            <w:r>
              <w:t>31.933433°S</w:t>
            </w:r>
            <w:r>
              <w:tab/>
              <w:t>115.957759°E</w:t>
            </w:r>
          </w:p>
          <w:p>
            <w:pPr>
              <w:pStyle w:val="yTableNAm"/>
            </w:pPr>
            <w:r>
              <w:t>31.933577°S</w:t>
            </w:r>
            <w:r>
              <w:tab/>
              <w:t>115.957755°E</w:t>
            </w:r>
          </w:p>
          <w:p>
            <w:pPr>
              <w:pStyle w:val="yTableNAm"/>
            </w:pPr>
            <w:r>
              <w:t>31.934065°S</w:t>
            </w:r>
            <w:r>
              <w:tab/>
              <w:t>115.955690°E</w:t>
            </w:r>
          </w:p>
          <w:p>
            <w:pPr>
              <w:pStyle w:val="yTableNAm"/>
            </w:pPr>
            <w:r>
              <w:t>31.934658°S</w:t>
            </w:r>
            <w:r>
              <w:tab/>
              <w:t>115.955572°E</w:t>
            </w:r>
          </w:p>
          <w:p>
            <w:pPr>
              <w:pStyle w:val="yTableNAm"/>
            </w:pPr>
            <w:r>
              <w:t>and also excluding the area bounded by a line connecting the following Geocentric Datum of Australia 2020 (GDA2020) coordinates —</w:t>
            </w:r>
          </w:p>
          <w:p>
            <w:pPr>
              <w:pStyle w:val="yTableNAm"/>
            </w:pPr>
            <w:r>
              <w:t>31.935060°S</w:t>
            </w:r>
            <w:r>
              <w:tab/>
              <w:t>115.957563°E</w:t>
            </w:r>
          </w:p>
          <w:p>
            <w:pPr>
              <w:pStyle w:val="yTableNAm"/>
            </w:pPr>
            <w:r>
              <w:t>31.934866°S</w:t>
            </w:r>
            <w:r>
              <w:tab/>
              <w:t>115.959044°E</w:t>
            </w:r>
          </w:p>
          <w:p>
            <w:pPr>
              <w:pStyle w:val="yTableNAm"/>
            </w:pPr>
            <w:r>
              <w:t>31.934942°S</w:t>
            </w:r>
            <w:r>
              <w:tab/>
              <w:t>115.959487°E</w:t>
            </w:r>
          </w:p>
          <w:p>
            <w:pPr>
              <w:pStyle w:val="yTableNAm"/>
            </w:pPr>
            <w:r>
              <w:t>31.935615°S</w:t>
            </w:r>
            <w:r>
              <w:tab/>
              <w:t>115.959055°E</w:t>
            </w:r>
          </w:p>
          <w:p>
            <w:pPr>
              <w:pStyle w:val="yTableNAm"/>
            </w:pPr>
            <w:r>
              <w:t>31.935518°S</w:t>
            </w:r>
            <w:r>
              <w:tab/>
              <w:t>115.958728°E</w:t>
            </w:r>
          </w:p>
          <w:p>
            <w:pPr>
              <w:pStyle w:val="yTableNAm"/>
            </w:pPr>
            <w:r>
              <w:t>31.935642°S</w:t>
            </w:r>
            <w:r>
              <w:tab/>
              <w:t>115.957676°E</w:t>
            </w:r>
          </w:p>
          <w:p>
            <w:pPr>
              <w:pStyle w:val="yTableNAm"/>
            </w:pPr>
            <w:r>
              <w:t>31.935060°S</w:t>
            </w:r>
            <w:r>
              <w:tab/>
              <w:t>115.957563°E</w:t>
            </w:r>
          </w:p>
        </w:tc>
      </w:tr>
      <w:tr>
        <w:tc>
          <w:tcPr>
            <w:tcW w:w="738" w:type="dxa"/>
            <w:noWrap/>
          </w:tcPr>
          <w:p>
            <w:pPr>
              <w:pStyle w:val="zyTableNAm"/>
            </w:pPr>
          </w:p>
        </w:tc>
        <w:tc>
          <w:tcPr>
            <w:tcW w:w="2689" w:type="dxa"/>
            <w:noWrap/>
          </w:tcPr>
          <w:p>
            <w:pPr>
              <w:pStyle w:val="yTableNAm"/>
            </w:pPr>
            <w:r>
              <w:t>Perth Airport</w:t>
            </w:r>
          </w:p>
          <w:p>
            <w:pPr>
              <w:pStyle w:val="yTableNAm"/>
            </w:pPr>
            <w:r>
              <w:t>Zone 2</w:t>
            </w:r>
          </w:p>
        </w:tc>
        <w:tc>
          <w:tcPr>
            <w:tcW w:w="3548" w:type="dxa"/>
            <w:noWrap/>
          </w:tcPr>
          <w:p>
            <w:pPr>
              <w:pStyle w:val="yTableNAm"/>
            </w:pPr>
            <w:r>
              <w:t xml:space="preserve">The area bounded by a line connecting the following Geocentric Datum of Australia 2020 (GDA2020) coordinates — </w:t>
            </w:r>
          </w:p>
          <w:p>
            <w:pPr>
              <w:pStyle w:val="yTableNAm"/>
            </w:pPr>
            <w:r>
              <w:t>31.946951°S</w:t>
            </w:r>
            <w:r>
              <w:tab/>
              <w:t>115.971608°E</w:t>
            </w:r>
          </w:p>
          <w:p>
            <w:pPr>
              <w:pStyle w:val="yTableNAm"/>
            </w:pPr>
            <w:r>
              <w:t>31.947904°S</w:t>
            </w:r>
            <w:r>
              <w:tab/>
              <w:t>115.976044°E</w:t>
            </w:r>
          </w:p>
          <w:p>
            <w:pPr>
              <w:pStyle w:val="yTableNAm"/>
            </w:pPr>
            <w:r>
              <w:t>31.942743°S</w:t>
            </w:r>
            <w:r>
              <w:tab/>
              <w:t>115.977515°E</w:t>
            </w:r>
          </w:p>
          <w:p>
            <w:pPr>
              <w:pStyle w:val="yTableNAm"/>
            </w:pPr>
            <w:r>
              <w:t>31.941771°S</w:t>
            </w:r>
            <w:r>
              <w:tab/>
              <w:t>115.976408°E</w:t>
            </w:r>
          </w:p>
          <w:p>
            <w:pPr>
              <w:pStyle w:val="yTableNAm"/>
            </w:pPr>
            <w:r>
              <w:t>31.941389°S</w:t>
            </w:r>
            <w:r>
              <w:tab/>
              <w:t>115.975642°E</w:t>
            </w:r>
          </w:p>
          <w:p>
            <w:pPr>
              <w:pStyle w:val="yTableNAm"/>
            </w:pPr>
            <w:r>
              <w:t>31.941371°S</w:t>
            </w:r>
            <w:r>
              <w:tab/>
              <w:t>115.974643°E</w:t>
            </w:r>
          </w:p>
          <w:p>
            <w:pPr>
              <w:pStyle w:val="yTableNAm"/>
            </w:pPr>
            <w:r>
              <w:t>31.941803°S</w:t>
            </w:r>
            <w:r>
              <w:tab/>
              <w:t>115.973539°E</w:t>
            </w:r>
          </w:p>
          <w:p>
            <w:pPr>
              <w:pStyle w:val="yTableNAm"/>
            </w:pPr>
            <w:r>
              <w:lastRenderedPageBreak/>
              <w:t>31.942620°S</w:t>
            </w:r>
            <w:r>
              <w:tab/>
              <w:t>115.972895°E</w:t>
            </w:r>
          </w:p>
          <w:p>
            <w:pPr>
              <w:pStyle w:val="yTableNAm"/>
            </w:pPr>
            <w:r>
              <w:t>31.942400°S</w:t>
            </w:r>
            <w:r>
              <w:tab/>
              <w:t>115.972385°E</w:t>
            </w:r>
          </w:p>
          <w:p>
            <w:pPr>
              <w:pStyle w:val="yTableNAm"/>
            </w:pPr>
            <w:r>
              <w:t>31.943717°S</w:t>
            </w:r>
            <w:r>
              <w:tab/>
              <w:t>115.972022°E</w:t>
            </w:r>
          </w:p>
          <w:p>
            <w:pPr>
              <w:pStyle w:val="yTableNAm"/>
            </w:pPr>
            <w:r>
              <w:t>31.943816°S</w:t>
            </w:r>
            <w:r>
              <w:tab/>
              <w:t>115.972485°E</w:t>
            </w:r>
          </w:p>
          <w:p>
            <w:pPr>
              <w:pStyle w:val="yTableNAm"/>
            </w:pPr>
            <w:r>
              <w:t>31.946951°S</w:t>
            </w:r>
            <w:r>
              <w:tab/>
              <w:t>115.971608°E</w:t>
            </w:r>
          </w:p>
          <w:p>
            <w:pPr>
              <w:pStyle w:val="yTableNAm"/>
            </w:pPr>
            <w:r>
              <w:t>but excluding the area bounded by a line connecting the following Geocentric Datum of Australia 2020 (GDA2020) coordinates —</w:t>
            </w:r>
          </w:p>
          <w:p>
            <w:pPr>
              <w:pStyle w:val="yTableNAm"/>
            </w:pPr>
            <w:r>
              <w:t>31.945692°S</w:t>
            </w:r>
            <w:r>
              <w:tab/>
              <w:t>115.974728°E</w:t>
            </w:r>
          </w:p>
          <w:p>
            <w:pPr>
              <w:pStyle w:val="yTableNAm"/>
            </w:pPr>
            <w:r>
              <w:t>31.944265°S</w:t>
            </w:r>
            <w:r>
              <w:tab/>
              <w:t>115.976445°E</w:t>
            </w:r>
          </w:p>
          <w:p>
            <w:pPr>
              <w:pStyle w:val="yTableNAm"/>
            </w:pPr>
            <w:r>
              <w:t>31.944324°S</w:t>
            </w:r>
            <w:r>
              <w:tab/>
              <w:t>115.976779°E</w:t>
            </w:r>
          </w:p>
          <w:p>
            <w:pPr>
              <w:pStyle w:val="yTableNAm"/>
            </w:pPr>
            <w:r>
              <w:t>31.947583°S</w:t>
            </w:r>
            <w:r>
              <w:tab/>
              <w:t>115.975823°E</w:t>
            </w:r>
          </w:p>
          <w:p>
            <w:pPr>
              <w:pStyle w:val="yTableNAm"/>
            </w:pPr>
            <w:r>
              <w:t>31.947250°S</w:t>
            </w:r>
            <w:r>
              <w:tab/>
              <w:t>115.974241°E</w:t>
            </w:r>
          </w:p>
          <w:p>
            <w:pPr>
              <w:pStyle w:val="yTableNAm"/>
            </w:pPr>
            <w:r>
              <w:t>31.945692°S</w:t>
            </w:r>
            <w:r>
              <w:tab/>
              <w:t>115.974728°E</w:t>
            </w:r>
          </w:p>
          <w:p>
            <w:pPr>
              <w:pStyle w:val="yTableNAm"/>
            </w:pPr>
            <w:r>
              <w:t>and also excluding the area bounded by a line connecting the following Geocentric Datum of Australia 2020 (GDA2020) coordinates —</w:t>
            </w:r>
          </w:p>
          <w:p>
            <w:pPr>
              <w:pStyle w:val="yTableNAm"/>
            </w:pPr>
            <w:r>
              <w:t>31.945311°S</w:t>
            </w:r>
            <w:r>
              <w:tab/>
              <w:t>115.974177°E</w:t>
            </w:r>
          </w:p>
          <w:p>
            <w:pPr>
              <w:pStyle w:val="yTableNAm"/>
            </w:pPr>
            <w:r>
              <w:t>31.945407°S</w:t>
            </w:r>
            <w:r>
              <w:tab/>
              <w:t>115.974798°E</w:t>
            </w:r>
          </w:p>
          <w:p>
            <w:pPr>
              <w:pStyle w:val="yTableNAm"/>
            </w:pPr>
            <w:r>
              <w:t>31.944270°S</w:t>
            </w:r>
            <w:r>
              <w:tab/>
              <w:t>115.976228°E</w:t>
            </w:r>
          </w:p>
          <w:p>
            <w:pPr>
              <w:pStyle w:val="yTableNAm"/>
            </w:pPr>
            <w:r>
              <w:t>31.943616°S</w:t>
            </w:r>
            <w:r>
              <w:tab/>
              <w:t>115.976671°E</w:t>
            </w:r>
          </w:p>
          <w:p>
            <w:pPr>
              <w:pStyle w:val="yTableNAm"/>
            </w:pPr>
            <w:r>
              <w:t>31.943073°S</w:t>
            </w:r>
            <w:r>
              <w:tab/>
              <w:t>115.976674°E</w:t>
            </w:r>
          </w:p>
          <w:p>
            <w:pPr>
              <w:pStyle w:val="yTableNAm"/>
            </w:pPr>
            <w:r>
              <w:t>31.942214°S</w:t>
            </w:r>
            <w:r>
              <w:tab/>
              <w:t>115.976292°E</w:t>
            </w:r>
          </w:p>
          <w:p>
            <w:pPr>
              <w:pStyle w:val="yTableNAm"/>
            </w:pPr>
            <w:r>
              <w:t>31.941767°S</w:t>
            </w:r>
            <w:r>
              <w:tab/>
              <w:t>115.975552°E</w:t>
            </w:r>
          </w:p>
          <w:p>
            <w:pPr>
              <w:pStyle w:val="yTableNAm"/>
            </w:pPr>
            <w:r>
              <w:t>31.941870°S</w:t>
            </w:r>
            <w:r>
              <w:tab/>
              <w:t>115.974380°E</w:t>
            </w:r>
          </w:p>
          <w:p>
            <w:pPr>
              <w:pStyle w:val="yTableNAm"/>
            </w:pPr>
            <w:r>
              <w:lastRenderedPageBreak/>
              <w:t>31.942498°S</w:t>
            </w:r>
            <w:r>
              <w:tab/>
              <w:t>115.973502°E</w:t>
            </w:r>
          </w:p>
          <w:p>
            <w:pPr>
              <w:pStyle w:val="yTableNAm"/>
            </w:pPr>
            <w:r>
              <w:t>31.943553°S</w:t>
            </w:r>
            <w:r>
              <w:tab/>
              <w:t>115.973366°E</w:t>
            </w:r>
          </w:p>
          <w:p>
            <w:pPr>
              <w:pStyle w:val="yTableNAm"/>
            </w:pPr>
            <w:r>
              <w:t>31.944517°S</w:t>
            </w:r>
            <w:r>
              <w:tab/>
              <w:t>115.973691°E</w:t>
            </w:r>
          </w:p>
          <w:p>
            <w:pPr>
              <w:pStyle w:val="yTableNAm"/>
              <w:rPr>
                <w:highlight w:val="yellow"/>
              </w:rPr>
            </w:pPr>
            <w:r>
              <w:t>31.945311°S</w:t>
            </w:r>
            <w:r>
              <w:tab/>
              <w:t>115.974177°E</w:t>
            </w:r>
          </w:p>
        </w:tc>
      </w:tr>
      <w:tr>
        <w:tc>
          <w:tcPr>
            <w:tcW w:w="738" w:type="dxa"/>
            <w:noWrap/>
          </w:tcPr>
          <w:p>
            <w:pPr>
              <w:pStyle w:val="zyTableNAm"/>
            </w:pPr>
          </w:p>
        </w:tc>
        <w:tc>
          <w:tcPr>
            <w:tcW w:w="2689" w:type="dxa"/>
            <w:noWrap/>
          </w:tcPr>
          <w:p>
            <w:pPr>
              <w:pStyle w:val="yTableNAm"/>
            </w:pPr>
            <w:r>
              <w:t>Perth Airport</w:t>
            </w:r>
          </w:p>
          <w:p>
            <w:pPr>
              <w:pStyle w:val="yTableNAm"/>
            </w:pPr>
            <w:r>
              <w:t>Zone 3</w:t>
            </w:r>
          </w:p>
        </w:tc>
        <w:tc>
          <w:tcPr>
            <w:tcW w:w="3548" w:type="dxa"/>
            <w:noWrap/>
          </w:tcPr>
          <w:p>
            <w:pPr>
              <w:pStyle w:val="yTableNAm"/>
            </w:pPr>
            <w:r>
              <w:t xml:space="preserve">The area bounded by a line connecting the following Geocentric Datum of Australia 2020 (GDA2020) coordinates — </w:t>
            </w:r>
          </w:p>
          <w:p>
            <w:pPr>
              <w:pStyle w:val="yTableNAm"/>
            </w:pPr>
            <w:r>
              <w:t>31.937351°S</w:t>
            </w:r>
            <w:r>
              <w:tab/>
              <w:t>115.957803°E</w:t>
            </w:r>
          </w:p>
          <w:p>
            <w:pPr>
              <w:pStyle w:val="yTableNAm"/>
            </w:pPr>
            <w:r>
              <w:t>31.937352°S</w:t>
            </w:r>
            <w:r>
              <w:tab/>
              <w:t>115.958140°E</w:t>
            </w:r>
          </w:p>
          <w:p>
            <w:pPr>
              <w:pStyle w:val="yTableNAm"/>
            </w:pPr>
            <w:r>
              <w:t>31.935919°S</w:t>
            </w:r>
            <w:r>
              <w:tab/>
              <w:t>115.959111°E</w:t>
            </w:r>
          </w:p>
          <w:p>
            <w:pPr>
              <w:pStyle w:val="yTableNAm"/>
            </w:pPr>
            <w:r>
              <w:t>31.935840°S</w:t>
            </w:r>
            <w:r>
              <w:tab/>
              <w:t>115.958950°E</w:t>
            </w:r>
          </w:p>
          <w:p>
            <w:pPr>
              <w:pStyle w:val="yTableNAm"/>
            </w:pPr>
            <w:r>
              <w:t>31.936176°S</w:t>
            </w:r>
            <w:r>
              <w:tab/>
              <w:t>115.958724°E</w:t>
            </w:r>
          </w:p>
          <w:p>
            <w:pPr>
              <w:pStyle w:val="yTableNAm"/>
            </w:pPr>
            <w:r>
              <w:t>31.936151°S</w:t>
            </w:r>
            <w:r>
              <w:tab/>
              <w:t>115.958675°E</w:t>
            </w:r>
          </w:p>
          <w:p>
            <w:pPr>
              <w:pStyle w:val="yTableNAm"/>
            </w:pPr>
            <w:r>
              <w:t>31.936860°S</w:t>
            </w:r>
            <w:r>
              <w:tab/>
              <w:t>115.958197°E</w:t>
            </w:r>
          </w:p>
          <w:p>
            <w:pPr>
              <w:pStyle w:val="yTableNAm"/>
            </w:pPr>
            <w:r>
              <w:t>31.936514°S</w:t>
            </w:r>
            <w:r>
              <w:tab/>
              <w:t>115.957393°E</w:t>
            </w:r>
          </w:p>
          <w:p>
            <w:pPr>
              <w:pStyle w:val="yTableNAm"/>
            </w:pPr>
            <w:r>
              <w:t>31.939099°S</w:t>
            </w:r>
            <w:r>
              <w:tab/>
              <w:t>115.952240°E</w:t>
            </w:r>
          </w:p>
          <w:p>
            <w:pPr>
              <w:pStyle w:val="yTableNAm"/>
            </w:pPr>
            <w:r>
              <w:t>31.939385°S</w:t>
            </w:r>
            <w:r>
              <w:tab/>
              <w:t>115.952435°E</w:t>
            </w:r>
          </w:p>
          <w:p>
            <w:pPr>
              <w:pStyle w:val="yTableNAm"/>
            </w:pPr>
            <w:r>
              <w:t>31.936838°S</w:t>
            </w:r>
            <w:r>
              <w:tab/>
              <w:t>115.957417°E</w:t>
            </w:r>
          </w:p>
          <w:p>
            <w:pPr>
              <w:pStyle w:val="yTableNAm"/>
            </w:pPr>
            <w:r>
              <w:t>31.937351°S</w:t>
            </w:r>
            <w:r>
              <w:tab/>
              <w:t>115.957803°E</w:t>
            </w:r>
          </w:p>
        </w:tc>
      </w:tr>
      <w:tr>
        <w:tc>
          <w:tcPr>
            <w:tcW w:w="738" w:type="dxa"/>
            <w:noWrap/>
          </w:tcPr>
          <w:p>
            <w:pPr>
              <w:pStyle w:val="yTableNAm"/>
            </w:pPr>
            <w:r>
              <w:t>9.</w:t>
            </w:r>
          </w:p>
        </w:tc>
        <w:tc>
          <w:tcPr>
            <w:tcW w:w="2689" w:type="dxa"/>
            <w:noWrap/>
          </w:tcPr>
          <w:p>
            <w:pPr>
              <w:pStyle w:val="yTableNAm"/>
            </w:pPr>
            <w:r>
              <w:t>Fremantle Port (Inner Harbour)</w:t>
            </w:r>
          </w:p>
          <w:p>
            <w:pPr>
              <w:pStyle w:val="yTableNAm"/>
            </w:pPr>
            <w:r>
              <w:t>Zone 1</w:t>
            </w:r>
          </w:p>
        </w:tc>
        <w:tc>
          <w:tcPr>
            <w:tcW w:w="3548" w:type="dxa"/>
            <w:noWrap/>
          </w:tcPr>
          <w:p>
            <w:pPr>
              <w:pStyle w:val="yTableNAm"/>
            </w:pPr>
            <w:r>
              <w:t xml:space="preserve">The area bounded by a line connecting the following Geocentric Datum of Australia 2020 (GDA2020) coordinates — </w:t>
            </w:r>
          </w:p>
          <w:p>
            <w:pPr>
              <w:pStyle w:val="yTableNAm"/>
            </w:pPr>
            <w:r>
              <w:t>32.047839°S</w:t>
            </w:r>
            <w:r>
              <w:tab/>
              <w:t>115.748680°E</w:t>
            </w:r>
          </w:p>
          <w:p>
            <w:pPr>
              <w:pStyle w:val="yTableNAm"/>
            </w:pPr>
            <w:r>
              <w:t>32.047358°S</w:t>
            </w:r>
            <w:r>
              <w:tab/>
              <w:t>115.748044°E</w:t>
            </w:r>
          </w:p>
          <w:p>
            <w:pPr>
              <w:pStyle w:val="yTableNAm"/>
            </w:pPr>
            <w:r>
              <w:t>32.048656°S</w:t>
            </w:r>
            <w:r>
              <w:tab/>
              <w:t>115.746780°E</w:t>
            </w:r>
          </w:p>
          <w:p>
            <w:pPr>
              <w:pStyle w:val="yTableNAm"/>
            </w:pPr>
            <w:r>
              <w:lastRenderedPageBreak/>
              <w:t>32.049147°S</w:t>
            </w:r>
            <w:r>
              <w:tab/>
              <w:t>115.747456°E</w:t>
            </w:r>
          </w:p>
          <w:p>
            <w:pPr>
              <w:pStyle w:val="yTableNAm"/>
            </w:pPr>
            <w:r>
              <w:t>32.047839°S</w:t>
            </w:r>
            <w:r>
              <w:tab/>
              <w:t>115.748680°E</w:t>
            </w:r>
          </w:p>
        </w:tc>
      </w:tr>
      <w:tr>
        <w:tc>
          <w:tcPr>
            <w:tcW w:w="738" w:type="dxa"/>
            <w:noWrap/>
          </w:tcPr>
          <w:p>
            <w:pPr>
              <w:pStyle w:val="zyTableNAm"/>
            </w:pPr>
          </w:p>
        </w:tc>
        <w:tc>
          <w:tcPr>
            <w:tcW w:w="2689" w:type="dxa"/>
            <w:noWrap/>
          </w:tcPr>
          <w:p>
            <w:pPr>
              <w:pStyle w:val="yTableNAm"/>
            </w:pPr>
            <w:r>
              <w:t>Fremantle Port (Inner Harbour)</w:t>
            </w:r>
          </w:p>
          <w:p>
            <w:pPr>
              <w:pStyle w:val="yTableNAm"/>
            </w:pPr>
            <w:r>
              <w:t>Zone 2</w:t>
            </w:r>
          </w:p>
        </w:tc>
        <w:tc>
          <w:tcPr>
            <w:tcW w:w="3548" w:type="dxa"/>
            <w:noWrap/>
          </w:tcPr>
          <w:p>
            <w:pPr>
              <w:pStyle w:val="yTableNAm"/>
            </w:pPr>
            <w:r>
              <w:t xml:space="preserve">The area bounded by a line connecting the following Geocentric Datum of Australia 2020 (GDA2020) coordinates — </w:t>
            </w:r>
          </w:p>
          <w:p>
            <w:pPr>
              <w:pStyle w:val="yTableNAm"/>
            </w:pPr>
            <w:r>
              <w:t>32.042445°S</w:t>
            </w:r>
            <w:r>
              <w:tab/>
              <w:t>115.753725°E</w:t>
            </w:r>
          </w:p>
          <w:p>
            <w:pPr>
              <w:pStyle w:val="yTableNAm"/>
            </w:pPr>
            <w:r>
              <w:t>32.042168°S</w:t>
            </w:r>
            <w:r>
              <w:tab/>
              <w:t>115.753753°E</w:t>
            </w:r>
          </w:p>
          <w:p>
            <w:pPr>
              <w:pStyle w:val="yTableNAm"/>
            </w:pPr>
            <w:r>
              <w:t>32.042276°S</w:t>
            </w:r>
            <w:r>
              <w:tab/>
              <w:t>115.753342°E</w:t>
            </w:r>
          </w:p>
          <w:p>
            <w:pPr>
              <w:pStyle w:val="yTableNAm"/>
            </w:pPr>
            <w:r>
              <w:t>32.043306°S</w:t>
            </w:r>
            <w:r>
              <w:tab/>
              <w:t>115.753003°E</w:t>
            </w:r>
          </w:p>
          <w:p>
            <w:pPr>
              <w:pStyle w:val="yTableNAm"/>
            </w:pPr>
            <w:r>
              <w:t>32.043387°S</w:t>
            </w:r>
            <w:r>
              <w:tab/>
              <w:t>115.753186°E</w:t>
            </w:r>
          </w:p>
          <w:p>
            <w:pPr>
              <w:pStyle w:val="yTableNAm"/>
            </w:pPr>
            <w:r>
              <w:t>32.042445°S</w:t>
            </w:r>
            <w:r>
              <w:tab/>
              <w:t>115.753725°E</w:t>
            </w:r>
          </w:p>
        </w:tc>
      </w:tr>
      <w:tr>
        <w:tc>
          <w:tcPr>
            <w:tcW w:w="738" w:type="dxa"/>
            <w:noWrap/>
          </w:tcPr>
          <w:p>
            <w:pPr>
              <w:pStyle w:val="zyTableNAm"/>
            </w:pPr>
          </w:p>
        </w:tc>
        <w:tc>
          <w:tcPr>
            <w:tcW w:w="2689" w:type="dxa"/>
            <w:noWrap/>
          </w:tcPr>
          <w:p>
            <w:pPr>
              <w:pStyle w:val="yTableNAm"/>
            </w:pPr>
            <w:r>
              <w:t>Fremantle Port (Inner Harbour)</w:t>
            </w:r>
          </w:p>
          <w:p>
            <w:pPr>
              <w:pStyle w:val="yTableNAm"/>
            </w:pPr>
            <w:r>
              <w:t>Zone 3</w:t>
            </w:r>
          </w:p>
        </w:tc>
        <w:tc>
          <w:tcPr>
            <w:tcW w:w="3548" w:type="dxa"/>
            <w:noWrap/>
          </w:tcPr>
          <w:p>
            <w:pPr>
              <w:pStyle w:val="yTableNAm"/>
            </w:pPr>
            <w:r>
              <w:t xml:space="preserve">The area bounded by a line connecting the following Geocentric Datum of Australia 2020 (GDA2020) coordinates — </w:t>
            </w:r>
          </w:p>
          <w:p>
            <w:pPr>
              <w:pStyle w:val="yTableNAm"/>
            </w:pPr>
            <w:r>
              <w:t>32.037569°S</w:t>
            </w:r>
            <w:r>
              <w:tab/>
              <w:t>115.749676°E</w:t>
            </w:r>
          </w:p>
          <w:p>
            <w:pPr>
              <w:pStyle w:val="yTableNAm"/>
            </w:pPr>
            <w:r>
              <w:t>32.036639°S</w:t>
            </w:r>
            <w:r>
              <w:tab/>
              <w:t>115.748323°E</w:t>
            </w:r>
          </w:p>
          <w:p>
            <w:pPr>
              <w:pStyle w:val="yTableNAm"/>
            </w:pPr>
            <w:r>
              <w:t>32.036908°S</w:t>
            </w:r>
            <w:r>
              <w:tab/>
              <w:t>115.747458°E</w:t>
            </w:r>
          </w:p>
          <w:p>
            <w:pPr>
              <w:pStyle w:val="yTableNAm"/>
            </w:pPr>
            <w:r>
              <w:t>32.037197°S</w:t>
            </w:r>
            <w:r>
              <w:tab/>
              <w:t>115.747632°E</w:t>
            </w:r>
          </w:p>
          <w:p>
            <w:pPr>
              <w:pStyle w:val="yTableNAm"/>
            </w:pPr>
            <w:r>
              <w:t>32.037165°S</w:t>
            </w:r>
            <w:r>
              <w:tab/>
              <w:t>115.748368°E</w:t>
            </w:r>
          </w:p>
          <w:p>
            <w:pPr>
              <w:pStyle w:val="yTableNAm"/>
            </w:pPr>
            <w:r>
              <w:t>32.037567°S</w:t>
            </w:r>
            <w:r>
              <w:tab/>
              <w:t>115.748929°E</w:t>
            </w:r>
          </w:p>
          <w:p>
            <w:pPr>
              <w:pStyle w:val="yTableNAm"/>
            </w:pPr>
            <w:r>
              <w:t>32.038801°S</w:t>
            </w:r>
            <w:r>
              <w:tab/>
              <w:t>115.749250°E</w:t>
            </w:r>
          </w:p>
          <w:p>
            <w:pPr>
              <w:pStyle w:val="yTableNAm"/>
            </w:pPr>
            <w:r>
              <w:t>32.038720°S</w:t>
            </w:r>
            <w:r>
              <w:tab/>
              <w:t>115.749687°E</w:t>
            </w:r>
          </w:p>
          <w:p>
            <w:pPr>
              <w:pStyle w:val="yTableNAm"/>
            </w:pPr>
            <w:r>
              <w:t>32.037569°S</w:t>
            </w:r>
            <w:r>
              <w:tab/>
              <w:t>115.749676°E</w:t>
            </w:r>
          </w:p>
        </w:tc>
      </w:tr>
      <w:tr>
        <w:tc>
          <w:tcPr>
            <w:tcW w:w="738" w:type="dxa"/>
            <w:noWrap/>
          </w:tcPr>
          <w:p>
            <w:pPr>
              <w:pStyle w:val="zyTableNAm"/>
              <w:keepNext/>
            </w:pPr>
          </w:p>
        </w:tc>
        <w:tc>
          <w:tcPr>
            <w:tcW w:w="2689" w:type="dxa"/>
            <w:noWrap/>
          </w:tcPr>
          <w:p>
            <w:pPr>
              <w:pStyle w:val="yTableNAm"/>
              <w:keepNext/>
            </w:pPr>
            <w:r>
              <w:t>Fremantle Port (Inner Harbour)</w:t>
            </w:r>
          </w:p>
          <w:p>
            <w:pPr>
              <w:pStyle w:val="yTableNAm"/>
              <w:keepNext/>
            </w:pPr>
            <w:r>
              <w:t>Zone 4</w:t>
            </w:r>
          </w:p>
        </w:tc>
        <w:tc>
          <w:tcPr>
            <w:tcW w:w="3548" w:type="dxa"/>
            <w:noWrap/>
          </w:tcPr>
          <w:p>
            <w:pPr>
              <w:pStyle w:val="yTableNAm"/>
              <w:keepNext/>
            </w:pPr>
            <w:r>
              <w:t xml:space="preserve">The area bounded by a line connecting the following Geocentric Datum of Australia 2020 (GDA2020) coordinates — </w:t>
            </w:r>
          </w:p>
          <w:p>
            <w:pPr>
              <w:pStyle w:val="yTableNAm"/>
              <w:keepNext/>
            </w:pPr>
            <w:r>
              <w:t>32.038663°S</w:t>
            </w:r>
            <w:r>
              <w:tab/>
              <w:t>115.743898°E</w:t>
            </w:r>
          </w:p>
          <w:p>
            <w:pPr>
              <w:pStyle w:val="yTableNAm"/>
              <w:keepNext/>
            </w:pPr>
            <w:r>
              <w:t>32.038823°S</w:t>
            </w:r>
            <w:r>
              <w:tab/>
              <w:t>115.744296°E</w:t>
            </w:r>
          </w:p>
          <w:p>
            <w:pPr>
              <w:pStyle w:val="yTableNAm"/>
              <w:keepNext/>
            </w:pPr>
            <w:r>
              <w:t>32.036583°S</w:t>
            </w:r>
            <w:r>
              <w:tab/>
              <w:t>115.745436°E</w:t>
            </w:r>
          </w:p>
          <w:p>
            <w:pPr>
              <w:pStyle w:val="yTableNAm"/>
              <w:keepNext/>
            </w:pPr>
            <w:r>
              <w:t>32.036454°S</w:t>
            </w:r>
            <w:r>
              <w:tab/>
              <w:t>115.745013°E</w:t>
            </w:r>
          </w:p>
          <w:p>
            <w:pPr>
              <w:pStyle w:val="yTableNAm"/>
              <w:keepNext/>
            </w:pPr>
            <w:r>
              <w:t>32.038663°S</w:t>
            </w:r>
            <w:r>
              <w:tab/>
              <w:t>115.743898°E</w:t>
            </w:r>
          </w:p>
        </w:tc>
      </w:tr>
      <w:tr>
        <w:tc>
          <w:tcPr>
            <w:tcW w:w="738" w:type="dxa"/>
            <w:noWrap/>
          </w:tcPr>
          <w:p>
            <w:pPr>
              <w:pStyle w:val="yTableNAm"/>
            </w:pPr>
            <w:r>
              <w:t>10.</w:t>
            </w:r>
          </w:p>
        </w:tc>
        <w:tc>
          <w:tcPr>
            <w:tcW w:w="2689" w:type="dxa"/>
            <w:noWrap/>
          </w:tcPr>
          <w:p>
            <w:pPr>
              <w:pStyle w:val="yTableNAm"/>
            </w:pPr>
            <w:r>
              <w:t>Fremantle Port (Outer Harbour)</w:t>
            </w:r>
          </w:p>
          <w:p>
            <w:pPr>
              <w:pStyle w:val="yTableNAm"/>
            </w:pPr>
            <w:r>
              <w:t>Zone 1</w:t>
            </w:r>
          </w:p>
        </w:tc>
        <w:tc>
          <w:tcPr>
            <w:tcW w:w="3548" w:type="dxa"/>
            <w:noWrap/>
          </w:tcPr>
          <w:p>
            <w:pPr>
              <w:pStyle w:val="yTableNAm"/>
            </w:pPr>
            <w:r>
              <w:t xml:space="preserve">The area bounded by a line connecting the following Geocentric Datum of Australia 2020 (GDA2020) coordinates — </w:t>
            </w:r>
          </w:p>
          <w:p>
            <w:pPr>
              <w:pStyle w:val="yTableNAm"/>
            </w:pPr>
            <w:r>
              <w:t>32.258044°S</w:t>
            </w:r>
            <w:r>
              <w:tab/>
              <w:t>115.751293°E</w:t>
            </w:r>
          </w:p>
          <w:p>
            <w:pPr>
              <w:pStyle w:val="yTableNAm"/>
            </w:pPr>
            <w:r>
              <w:t>32.257867°S</w:t>
            </w:r>
            <w:r>
              <w:tab/>
              <w:t>115.751028°E</w:t>
            </w:r>
          </w:p>
          <w:p>
            <w:pPr>
              <w:pStyle w:val="yTableNAm"/>
            </w:pPr>
            <w:r>
              <w:t>32.258336°S</w:t>
            </w:r>
            <w:r>
              <w:tab/>
              <w:t>115.750540°E</w:t>
            </w:r>
          </w:p>
          <w:p>
            <w:pPr>
              <w:pStyle w:val="yTableNAm"/>
            </w:pPr>
            <w:r>
              <w:t>32.258410°S</w:t>
            </w:r>
            <w:r>
              <w:tab/>
              <w:t>115.750650°E</w:t>
            </w:r>
          </w:p>
          <w:p>
            <w:pPr>
              <w:pStyle w:val="yTableNAm"/>
            </w:pPr>
            <w:r>
              <w:t>32.258685°S</w:t>
            </w:r>
            <w:r>
              <w:tab/>
              <w:t>115.750373°E</w:t>
            </w:r>
          </w:p>
          <w:p>
            <w:pPr>
              <w:pStyle w:val="yTableNAm"/>
            </w:pPr>
            <w:r>
              <w:t>32.258801°S</w:t>
            </w:r>
            <w:r>
              <w:tab/>
              <w:t>115.750534°E</w:t>
            </w:r>
          </w:p>
          <w:p>
            <w:pPr>
              <w:pStyle w:val="yTableNAm"/>
              <w:rPr>
                <w:highlight w:val="yellow"/>
              </w:rPr>
            </w:pPr>
            <w:r>
              <w:t>32.258044°S</w:t>
            </w:r>
            <w:r>
              <w:tab/>
              <w:t>115.751293°E</w:t>
            </w:r>
          </w:p>
        </w:tc>
      </w:tr>
      <w:tr>
        <w:tc>
          <w:tcPr>
            <w:tcW w:w="738" w:type="dxa"/>
            <w:noWrap/>
          </w:tcPr>
          <w:p>
            <w:pPr>
              <w:pStyle w:val="zyTableNAm"/>
            </w:pPr>
          </w:p>
        </w:tc>
        <w:tc>
          <w:tcPr>
            <w:tcW w:w="2689" w:type="dxa"/>
            <w:noWrap/>
          </w:tcPr>
          <w:p>
            <w:pPr>
              <w:pStyle w:val="yTableNAm"/>
            </w:pPr>
            <w:r>
              <w:t>Fremantle Port (Outer Harbour)</w:t>
            </w:r>
          </w:p>
          <w:p>
            <w:pPr>
              <w:pStyle w:val="yTableNAm"/>
            </w:pPr>
            <w:r>
              <w:t>Zone 2</w:t>
            </w:r>
          </w:p>
        </w:tc>
        <w:tc>
          <w:tcPr>
            <w:tcW w:w="3548" w:type="dxa"/>
            <w:noWrap/>
          </w:tcPr>
          <w:p>
            <w:pPr>
              <w:pStyle w:val="yTableNAm"/>
            </w:pPr>
            <w:r>
              <w:t xml:space="preserve">The area bounded by a line connecting the following Geocentric Datum of Australia 2020 (GDA2020) coordinates — </w:t>
            </w:r>
          </w:p>
          <w:p>
            <w:pPr>
              <w:pStyle w:val="yTableNAm"/>
            </w:pPr>
            <w:r>
              <w:t>32.242937°S</w:t>
            </w:r>
            <w:r>
              <w:tab/>
              <w:t>115.763466°E</w:t>
            </w:r>
          </w:p>
          <w:p>
            <w:pPr>
              <w:pStyle w:val="yTableNAm"/>
            </w:pPr>
            <w:r>
              <w:t>32.242624°S</w:t>
            </w:r>
            <w:r>
              <w:tab/>
              <w:t>115.763499°E</w:t>
            </w:r>
          </w:p>
          <w:p>
            <w:pPr>
              <w:pStyle w:val="yTableNAm"/>
            </w:pPr>
            <w:r>
              <w:t>32.242126°S</w:t>
            </w:r>
            <w:r>
              <w:tab/>
              <w:t>115.761205°E</w:t>
            </w:r>
          </w:p>
          <w:p>
            <w:pPr>
              <w:pStyle w:val="yTableNAm"/>
            </w:pPr>
            <w:r>
              <w:t>32.242266°S</w:t>
            </w:r>
            <w:r>
              <w:tab/>
              <w:t>115.761169°E</w:t>
            </w:r>
          </w:p>
          <w:p>
            <w:pPr>
              <w:pStyle w:val="yTableNAm"/>
            </w:pPr>
            <w:r>
              <w:lastRenderedPageBreak/>
              <w:t>32.242688°S</w:t>
            </w:r>
            <w:r>
              <w:tab/>
              <w:t>115.762864°E</w:t>
            </w:r>
          </w:p>
          <w:p>
            <w:pPr>
              <w:pStyle w:val="yTableNAm"/>
            </w:pPr>
            <w:r>
              <w:t>32.242915°S</w:t>
            </w:r>
            <w:r>
              <w:tab/>
              <w:t>115.762919°E</w:t>
            </w:r>
          </w:p>
          <w:p>
            <w:pPr>
              <w:pStyle w:val="yTableNAm"/>
            </w:pPr>
            <w:r>
              <w:t>32.243068°S</w:t>
            </w:r>
            <w:r>
              <w:tab/>
              <w:t>115.763200°E</w:t>
            </w:r>
          </w:p>
          <w:p>
            <w:pPr>
              <w:pStyle w:val="yTableNAm"/>
              <w:rPr>
                <w:highlight w:val="yellow"/>
              </w:rPr>
            </w:pPr>
            <w:r>
              <w:t>32.242937°S</w:t>
            </w:r>
            <w:r>
              <w:tab/>
              <w:t>115.763466°E</w:t>
            </w:r>
          </w:p>
        </w:tc>
      </w:tr>
      <w:tr>
        <w:tc>
          <w:tcPr>
            <w:tcW w:w="738" w:type="dxa"/>
            <w:noWrap/>
          </w:tcPr>
          <w:p>
            <w:pPr>
              <w:pStyle w:val="zyTableNAm"/>
            </w:pPr>
          </w:p>
        </w:tc>
        <w:tc>
          <w:tcPr>
            <w:tcW w:w="2689" w:type="dxa"/>
            <w:noWrap/>
          </w:tcPr>
          <w:p>
            <w:pPr>
              <w:pStyle w:val="yTableNAm"/>
            </w:pPr>
            <w:r>
              <w:t>Fremantle Port (Outer Harbour)</w:t>
            </w:r>
          </w:p>
          <w:p>
            <w:pPr>
              <w:pStyle w:val="yTableNAm"/>
            </w:pPr>
            <w:r>
              <w:t>Zone 3</w:t>
            </w:r>
          </w:p>
        </w:tc>
        <w:tc>
          <w:tcPr>
            <w:tcW w:w="3548" w:type="dxa"/>
            <w:noWrap/>
          </w:tcPr>
          <w:p>
            <w:pPr>
              <w:pStyle w:val="yTableNAm"/>
            </w:pPr>
            <w:r>
              <w:t xml:space="preserve">The area bounded by a line connecting the following Geocentric Datum of Australia 2020 (GDA2020) coordinates — </w:t>
            </w:r>
          </w:p>
          <w:p>
            <w:pPr>
              <w:pStyle w:val="yTableNAm"/>
            </w:pPr>
            <w:r>
              <w:t>32.226675°S</w:t>
            </w:r>
            <w:r>
              <w:tab/>
              <w:t>115.776900°E</w:t>
            </w:r>
          </w:p>
          <w:p>
            <w:pPr>
              <w:pStyle w:val="yTableNAm"/>
            </w:pPr>
            <w:r>
              <w:t>32.226575°S</w:t>
            </w:r>
            <w:r>
              <w:tab/>
              <w:t>115.777040°E</w:t>
            </w:r>
          </w:p>
          <w:p>
            <w:pPr>
              <w:pStyle w:val="yTableNAm"/>
            </w:pPr>
            <w:r>
              <w:t>32.225461°S</w:t>
            </w:r>
            <w:r>
              <w:tab/>
              <w:t>115.776404°E</w:t>
            </w:r>
          </w:p>
          <w:p>
            <w:pPr>
              <w:pStyle w:val="yTableNAm"/>
            </w:pPr>
            <w:r>
              <w:t>32.225117°S</w:t>
            </w:r>
            <w:r>
              <w:tab/>
              <w:t>115.776399°E</w:t>
            </w:r>
          </w:p>
          <w:p>
            <w:pPr>
              <w:pStyle w:val="yTableNAm"/>
            </w:pPr>
            <w:r>
              <w:t>32.225119°S</w:t>
            </w:r>
            <w:r>
              <w:tab/>
              <w:t>115.776136°E</w:t>
            </w:r>
          </w:p>
          <w:p>
            <w:pPr>
              <w:pStyle w:val="yTableNAm"/>
            </w:pPr>
            <w:r>
              <w:t>32.225927°S</w:t>
            </w:r>
            <w:r>
              <w:tab/>
              <w:t>115.776127°E</w:t>
            </w:r>
          </w:p>
          <w:p>
            <w:pPr>
              <w:pStyle w:val="yTableNAm"/>
            </w:pPr>
            <w:r>
              <w:t>32.225930°S</w:t>
            </w:r>
            <w:r>
              <w:tab/>
              <w:t>115.776309°E</w:t>
            </w:r>
          </w:p>
          <w:p>
            <w:pPr>
              <w:pStyle w:val="yTableNAm"/>
            </w:pPr>
            <w:r>
              <w:t>32.226675°S</w:t>
            </w:r>
            <w:r>
              <w:tab/>
              <w:t>115.776900°E</w:t>
            </w:r>
          </w:p>
        </w:tc>
      </w:tr>
      <w:tr>
        <w:tc>
          <w:tcPr>
            <w:tcW w:w="738" w:type="dxa"/>
            <w:noWrap/>
          </w:tcPr>
          <w:p>
            <w:pPr>
              <w:pStyle w:val="zyTableNAm"/>
            </w:pPr>
          </w:p>
        </w:tc>
        <w:tc>
          <w:tcPr>
            <w:tcW w:w="2689" w:type="dxa"/>
            <w:noWrap/>
          </w:tcPr>
          <w:p>
            <w:pPr>
              <w:pStyle w:val="yTableNAm"/>
            </w:pPr>
            <w:r>
              <w:t>Fremantle Port (Outer Harbour)</w:t>
            </w:r>
          </w:p>
          <w:p>
            <w:pPr>
              <w:pStyle w:val="yTableNAm"/>
            </w:pPr>
            <w:r>
              <w:t>Zone 4</w:t>
            </w:r>
          </w:p>
        </w:tc>
        <w:tc>
          <w:tcPr>
            <w:tcW w:w="3548" w:type="dxa"/>
            <w:noWrap/>
          </w:tcPr>
          <w:p>
            <w:pPr>
              <w:pStyle w:val="yTableNAm"/>
            </w:pPr>
            <w:r>
              <w:t xml:space="preserve">The area bounded by a line connecting the following Geocentric Datum of Australia 2020 (GDA2020) coordinates — </w:t>
            </w:r>
          </w:p>
          <w:p>
            <w:pPr>
              <w:pStyle w:val="yTableNAm"/>
            </w:pPr>
            <w:r>
              <w:t>32.209989°S</w:t>
            </w:r>
            <w:r>
              <w:tab/>
              <w:t>115.770799°E</w:t>
            </w:r>
          </w:p>
          <w:p>
            <w:pPr>
              <w:pStyle w:val="yTableNAm"/>
            </w:pPr>
            <w:r>
              <w:t>32.209546°S</w:t>
            </w:r>
            <w:r>
              <w:tab/>
              <w:t>115.770890°E</w:t>
            </w:r>
          </w:p>
          <w:p>
            <w:pPr>
              <w:pStyle w:val="yTableNAm"/>
            </w:pPr>
            <w:r>
              <w:t>32.208711°S</w:t>
            </w:r>
            <w:r>
              <w:tab/>
              <w:t>115.771308°E</w:t>
            </w:r>
          </w:p>
          <w:p>
            <w:pPr>
              <w:pStyle w:val="yTableNAm"/>
            </w:pPr>
            <w:r>
              <w:t>32.208629°S</w:t>
            </w:r>
            <w:r>
              <w:tab/>
              <w:t>115.771115°E</w:t>
            </w:r>
          </w:p>
          <w:p>
            <w:pPr>
              <w:pStyle w:val="yTableNAm"/>
            </w:pPr>
            <w:r>
              <w:t>32.209081°S</w:t>
            </w:r>
            <w:r>
              <w:tab/>
              <w:t>115.770691°E</w:t>
            </w:r>
          </w:p>
          <w:p>
            <w:pPr>
              <w:pStyle w:val="yTableNAm"/>
            </w:pPr>
            <w:r>
              <w:t>32.209190°S</w:t>
            </w:r>
            <w:r>
              <w:tab/>
              <w:t>115.770238°E</w:t>
            </w:r>
          </w:p>
          <w:p>
            <w:pPr>
              <w:pStyle w:val="yTableNAm"/>
            </w:pPr>
            <w:r>
              <w:t>32.209499°S</w:t>
            </w:r>
            <w:r>
              <w:tab/>
              <w:t>115.770314°E</w:t>
            </w:r>
          </w:p>
          <w:p>
            <w:pPr>
              <w:pStyle w:val="yTableNAm"/>
            </w:pPr>
            <w:r>
              <w:lastRenderedPageBreak/>
              <w:t>32.209500°S</w:t>
            </w:r>
            <w:r>
              <w:tab/>
              <w:t>115.770588°E</w:t>
            </w:r>
          </w:p>
          <w:p>
            <w:pPr>
              <w:pStyle w:val="yTableNAm"/>
            </w:pPr>
            <w:r>
              <w:t>32.209921°S</w:t>
            </w:r>
            <w:r>
              <w:tab/>
              <w:t>115.770482°E</w:t>
            </w:r>
          </w:p>
          <w:p>
            <w:pPr>
              <w:pStyle w:val="yTableNAm"/>
            </w:pPr>
            <w:r>
              <w:t>32.209989°S</w:t>
            </w:r>
            <w:r>
              <w:tab/>
              <w:t>115.770799°E</w:t>
            </w:r>
          </w:p>
        </w:tc>
      </w:tr>
      <w:tr>
        <w:tc>
          <w:tcPr>
            <w:tcW w:w="738" w:type="dxa"/>
            <w:noWrap/>
          </w:tcPr>
          <w:p>
            <w:pPr>
              <w:pStyle w:val="zyTableNAm"/>
            </w:pPr>
          </w:p>
        </w:tc>
        <w:tc>
          <w:tcPr>
            <w:tcW w:w="2689" w:type="dxa"/>
            <w:noWrap/>
          </w:tcPr>
          <w:p>
            <w:pPr>
              <w:pStyle w:val="yTableNAm"/>
            </w:pPr>
            <w:r>
              <w:t>Fremantle Port (Outer Harbour)</w:t>
            </w:r>
          </w:p>
          <w:p>
            <w:pPr>
              <w:pStyle w:val="yTableNAm"/>
            </w:pPr>
            <w:r>
              <w:t>Zone 5</w:t>
            </w:r>
          </w:p>
        </w:tc>
        <w:tc>
          <w:tcPr>
            <w:tcW w:w="3548" w:type="dxa"/>
            <w:noWrap/>
          </w:tcPr>
          <w:p>
            <w:pPr>
              <w:pStyle w:val="yTableNAm"/>
            </w:pPr>
            <w:r>
              <w:t xml:space="preserve">The area bounded by a line connecting the following Geocentric Datum of Australia 2020 (GDA2020) coordinates — </w:t>
            </w:r>
          </w:p>
          <w:p>
            <w:pPr>
              <w:pStyle w:val="yTableNAm"/>
            </w:pPr>
            <w:r>
              <w:t>32.189416°S</w:t>
            </w:r>
            <w:r>
              <w:tab/>
              <w:t>115.777709°E</w:t>
            </w:r>
          </w:p>
          <w:p>
            <w:pPr>
              <w:pStyle w:val="yTableNAm"/>
            </w:pPr>
            <w:r>
              <w:t>32.189384°S</w:t>
            </w:r>
            <w:r>
              <w:tab/>
              <w:t>115.777916°E</w:t>
            </w:r>
          </w:p>
          <w:p>
            <w:pPr>
              <w:pStyle w:val="yTableNAm"/>
            </w:pPr>
            <w:r>
              <w:t>32.188502°S</w:t>
            </w:r>
            <w:r>
              <w:tab/>
              <w:t>115.777894°E</w:t>
            </w:r>
          </w:p>
          <w:p>
            <w:pPr>
              <w:pStyle w:val="yTableNAm"/>
            </w:pPr>
            <w:r>
              <w:t>32.187758°S</w:t>
            </w:r>
            <w:r>
              <w:tab/>
              <w:t>115.778263°E</w:t>
            </w:r>
          </w:p>
          <w:p>
            <w:pPr>
              <w:pStyle w:val="yTableNAm"/>
            </w:pPr>
            <w:r>
              <w:t>32.187135°S</w:t>
            </w:r>
            <w:r>
              <w:tab/>
              <w:t>115.779271°E</w:t>
            </w:r>
          </w:p>
          <w:p>
            <w:pPr>
              <w:pStyle w:val="yTableNAm"/>
            </w:pPr>
            <w:r>
              <w:t>32.186950°S</w:t>
            </w:r>
            <w:r>
              <w:tab/>
              <w:t>115.779112°E</w:t>
            </w:r>
          </w:p>
          <w:p>
            <w:pPr>
              <w:pStyle w:val="yTableNAm"/>
            </w:pPr>
            <w:r>
              <w:t>32.187231°S</w:t>
            </w:r>
            <w:r>
              <w:tab/>
              <w:t>115.778585°E</w:t>
            </w:r>
          </w:p>
          <w:p>
            <w:pPr>
              <w:pStyle w:val="yTableNAm"/>
            </w:pPr>
            <w:r>
              <w:t>32.186644°S</w:t>
            </w:r>
            <w:r>
              <w:tab/>
              <w:t>115.777444°E</w:t>
            </w:r>
          </w:p>
          <w:p>
            <w:pPr>
              <w:pStyle w:val="yTableNAm"/>
            </w:pPr>
            <w:r>
              <w:t>32.186616°S</w:t>
            </w:r>
            <w:r>
              <w:tab/>
              <w:t>115.776234°E</w:t>
            </w:r>
          </w:p>
          <w:p>
            <w:pPr>
              <w:pStyle w:val="yTableNAm"/>
            </w:pPr>
            <w:r>
              <w:t>32.186863°S</w:t>
            </w:r>
            <w:r>
              <w:tab/>
              <w:t>115.776244°E</w:t>
            </w:r>
          </w:p>
          <w:p>
            <w:pPr>
              <w:pStyle w:val="yTableNAm"/>
            </w:pPr>
            <w:r>
              <w:t>32.186894°S</w:t>
            </w:r>
            <w:r>
              <w:tab/>
              <w:t>115.777391°E</w:t>
            </w:r>
          </w:p>
          <w:p>
            <w:pPr>
              <w:pStyle w:val="yTableNAm"/>
            </w:pPr>
            <w:r>
              <w:t>32.187517°S</w:t>
            </w:r>
            <w:r>
              <w:tab/>
              <w:t>115.778199°E</w:t>
            </w:r>
          </w:p>
          <w:p>
            <w:pPr>
              <w:pStyle w:val="yTableNAm"/>
            </w:pPr>
            <w:r>
              <w:t>32.188193°S</w:t>
            </w:r>
            <w:r>
              <w:tab/>
              <w:t>115.777478°E</w:t>
            </w:r>
          </w:p>
          <w:p>
            <w:pPr>
              <w:pStyle w:val="yTableNAm"/>
            </w:pPr>
            <w:r>
              <w:t>32.189416°S</w:t>
            </w:r>
            <w:r>
              <w:tab/>
              <w:t>115.777709°E</w:t>
            </w:r>
          </w:p>
        </w:tc>
      </w:tr>
      <w:tr>
        <w:tc>
          <w:tcPr>
            <w:tcW w:w="738" w:type="dxa"/>
            <w:noWrap/>
          </w:tcPr>
          <w:p>
            <w:pPr>
              <w:pStyle w:val="zyTableNAm"/>
            </w:pPr>
          </w:p>
        </w:tc>
        <w:tc>
          <w:tcPr>
            <w:tcW w:w="2689" w:type="dxa"/>
            <w:noWrap/>
          </w:tcPr>
          <w:p>
            <w:pPr>
              <w:pStyle w:val="yTableNAm"/>
            </w:pPr>
            <w:r>
              <w:t>Fremantle Port (Outer Harbour)</w:t>
            </w:r>
          </w:p>
          <w:p>
            <w:pPr>
              <w:pStyle w:val="yTableNAm"/>
            </w:pPr>
            <w:r>
              <w:t>Zone 6</w:t>
            </w:r>
          </w:p>
        </w:tc>
        <w:tc>
          <w:tcPr>
            <w:tcW w:w="3548" w:type="dxa"/>
            <w:noWrap/>
          </w:tcPr>
          <w:p>
            <w:pPr>
              <w:pStyle w:val="yTableNAm"/>
            </w:pPr>
            <w:r>
              <w:t xml:space="preserve">The area bounded by a line connecting the following Geocentric Datum of Australia 2020 (GDA2020) coordinates — </w:t>
            </w:r>
          </w:p>
          <w:p>
            <w:pPr>
              <w:pStyle w:val="yTableNAm"/>
            </w:pPr>
            <w:r>
              <w:t>32.189578°S</w:t>
            </w:r>
            <w:r>
              <w:tab/>
              <w:t>115.775523°E</w:t>
            </w:r>
          </w:p>
          <w:p>
            <w:pPr>
              <w:pStyle w:val="yTableNAm"/>
            </w:pPr>
            <w:r>
              <w:t>32.189583°S</w:t>
            </w:r>
            <w:r>
              <w:tab/>
              <w:t>115.775737°E</w:t>
            </w:r>
          </w:p>
          <w:p>
            <w:pPr>
              <w:pStyle w:val="yTableNAm"/>
            </w:pPr>
            <w:r>
              <w:lastRenderedPageBreak/>
              <w:t>32.189122°S</w:t>
            </w:r>
            <w:r>
              <w:tab/>
              <w:t>115.775807°E</w:t>
            </w:r>
          </w:p>
          <w:p>
            <w:pPr>
              <w:pStyle w:val="yTableNAm"/>
            </w:pPr>
            <w:r>
              <w:t>32.188616°S</w:t>
            </w:r>
            <w:r>
              <w:tab/>
              <w:t>115.776225°E</w:t>
            </w:r>
          </w:p>
          <w:p>
            <w:pPr>
              <w:pStyle w:val="yTableNAm"/>
            </w:pPr>
            <w:r>
              <w:t>32.188577°S</w:t>
            </w:r>
            <w:r>
              <w:tab/>
              <w:t>115.775992°E</w:t>
            </w:r>
          </w:p>
          <w:p>
            <w:pPr>
              <w:pStyle w:val="yTableNAm"/>
            </w:pPr>
            <w:r>
              <w:t>32.189054°S</w:t>
            </w:r>
            <w:r>
              <w:tab/>
              <w:t>115.775606°E</w:t>
            </w:r>
          </w:p>
          <w:p>
            <w:pPr>
              <w:pStyle w:val="yTableNAm"/>
            </w:pPr>
            <w:r>
              <w:t>32.189578°S</w:t>
            </w:r>
            <w:r>
              <w:tab/>
              <w:t>115.775523°E</w:t>
            </w:r>
          </w:p>
        </w:tc>
      </w:tr>
      <w:tr>
        <w:tc>
          <w:tcPr>
            <w:tcW w:w="738" w:type="dxa"/>
            <w:noWrap/>
          </w:tcPr>
          <w:p>
            <w:pPr>
              <w:pStyle w:val="zyTableNAm"/>
            </w:pPr>
          </w:p>
        </w:tc>
        <w:tc>
          <w:tcPr>
            <w:tcW w:w="2689" w:type="dxa"/>
            <w:noWrap/>
          </w:tcPr>
          <w:p>
            <w:pPr>
              <w:pStyle w:val="yTableNAm"/>
            </w:pPr>
            <w:r>
              <w:t>Fremantle Port (Outer Harbour)</w:t>
            </w:r>
          </w:p>
          <w:p>
            <w:pPr>
              <w:pStyle w:val="yTableNAm"/>
            </w:pPr>
            <w:r>
              <w:t>Zone 7</w:t>
            </w:r>
          </w:p>
        </w:tc>
        <w:tc>
          <w:tcPr>
            <w:tcW w:w="3548" w:type="dxa"/>
            <w:noWrap/>
          </w:tcPr>
          <w:p>
            <w:pPr>
              <w:pStyle w:val="yTableNAm"/>
            </w:pPr>
            <w:r>
              <w:t xml:space="preserve">The area bounded by a line connecting the following Geocentric Datum of Australia 2020 (GDA2020) coordinates — </w:t>
            </w:r>
          </w:p>
          <w:p>
            <w:pPr>
              <w:pStyle w:val="yTableNAm"/>
            </w:pPr>
            <w:r>
              <w:t>32.198961°S</w:t>
            </w:r>
            <w:r>
              <w:tab/>
              <w:t>115.779122°E</w:t>
            </w:r>
          </w:p>
          <w:p>
            <w:pPr>
              <w:pStyle w:val="yTableNAm"/>
            </w:pPr>
            <w:r>
              <w:t>32.198977°S</w:t>
            </w:r>
            <w:r>
              <w:tab/>
              <w:t>115.779492°E</w:t>
            </w:r>
          </w:p>
          <w:p>
            <w:pPr>
              <w:pStyle w:val="yTableNAm"/>
            </w:pPr>
            <w:r>
              <w:t>32.198346°S</w:t>
            </w:r>
            <w:r>
              <w:tab/>
              <w:t>115.779538°E</w:t>
            </w:r>
          </w:p>
          <w:p>
            <w:pPr>
              <w:pStyle w:val="yTableNAm"/>
            </w:pPr>
            <w:r>
              <w:t>32.197688°S</w:t>
            </w:r>
            <w:r>
              <w:tab/>
              <w:t>115.779396°E</w:t>
            </w:r>
          </w:p>
          <w:p>
            <w:pPr>
              <w:pStyle w:val="yTableNAm"/>
            </w:pPr>
            <w:r>
              <w:t>32.197752°S</w:t>
            </w:r>
            <w:r>
              <w:tab/>
              <w:t>115.779121°E</w:t>
            </w:r>
          </w:p>
          <w:p>
            <w:pPr>
              <w:pStyle w:val="yTableNAm"/>
            </w:pPr>
            <w:r>
              <w:t>32.198202°S</w:t>
            </w:r>
            <w:r>
              <w:tab/>
              <w:t>115.779175°E</w:t>
            </w:r>
          </w:p>
          <w:p>
            <w:pPr>
              <w:pStyle w:val="yTableNAm"/>
            </w:pPr>
            <w:r>
              <w:t>32.198961°S</w:t>
            </w:r>
            <w:r>
              <w:tab/>
              <w:t>115.779122°E</w:t>
            </w:r>
          </w:p>
        </w:tc>
      </w:tr>
      <w:tr>
        <w:tc>
          <w:tcPr>
            <w:tcW w:w="738" w:type="dxa"/>
            <w:noWrap/>
          </w:tcPr>
          <w:p>
            <w:pPr>
              <w:pStyle w:val="yTableNAm"/>
            </w:pPr>
            <w:r>
              <w:t>11.</w:t>
            </w:r>
          </w:p>
        </w:tc>
        <w:tc>
          <w:tcPr>
            <w:tcW w:w="2689" w:type="dxa"/>
            <w:noWrap/>
          </w:tcPr>
          <w:p>
            <w:pPr>
              <w:pStyle w:val="yTableNAm"/>
            </w:pPr>
            <w:r>
              <w:t>Jandakot Airport</w:t>
            </w:r>
          </w:p>
        </w:tc>
        <w:tc>
          <w:tcPr>
            <w:tcW w:w="3548" w:type="dxa"/>
            <w:noWrap/>
          </w:tcPr>
          <w:p>
            <w:pPr>
              <w:pStyle w:val="yTableNAm"/>
            </w:pPr>
            <w:r>
              <w:t xml:space="preserve">The area bounded by a line connecting the following Geocentric Datum of Australia 2020 (GDA2020) coordinates — </w:t>
            </w:r>
          </w:p>
          <w:p>
            <w:pPr>
              <w:pStyle w:val="yTableNAm"/>
            </w:pPr>
            <w:r>
              <w:t>32.094212°S</w:t>
            </w:r>
            <w:r>
              <w:tab/>
              <w:t>115.878021°E</w:t>
            </w:r>
          </w:p>
          <w:p>
            <w:pPr>
              <w:pStyle w:val="yTableNAm"/>
            </w:pPr>
            <w:r>
              <w:t>32.094402°S</w:t>
            </w:r>
            <w:r>
              <w:tab/>
              <w:t>115.878275°E</w:t>
            </w:r>
          </w:p>
          <w:p>
            <w:pPr>
              <w:pStyle w:val="yTableNAm"/>
            </w:pPr>
            <w:r>
              <w:t>32.091818°S</w:t>
            </w:r>
            <w:r>
              <w:tab/>
              <w:t>115.880700°E</w:t>
            </w:r>
          </w:p>
          <w:p>
            <w:pPr>
              <w:pStyle w:val="yTableNAm"/>
            </w:pPr>
            <w:r>
              <w:t>32.091528°S</w:t>
            </w:r>
            <w:r>
              <w:tab/>
              <w:t>115.880339°E</w:t>
            </w:r>
          </w:p>
          <w:p>
            <w:pPr>
              <w:pStyle w:val="yTableNAm"/>
            </w:pPr>
            <w:r>
              <w:t>32.091922°S</w:t>
            </w:r>
            <w:r>
              <w:tab/>
              <w:t>115.879448°E</w:t>
            </w:r>
          </w:p>
          <w:p>
            <w:pPr>
              <w:pStyle w:val="yTableNAm"/>
            </w:pPr>
            <w:r>
              <w:t>32.091870°S</w:t>
            </w:r>
            <w:r>
              <w:tab/>
              <w:t>115.876605°E</w:t>
            </w:r>
          </w:p>
          <w:p>
            <w:pPr>
              <w:pStyle w:val="yTableNAm"/>
            </w:pPr>
            <w:r>
              <w:t>32.091620°S</w:t>
            </w:r>
            <w:r>
              <w:tab/>
              <w:t>115.876525°E</w:t>
            </w:r>
          </w:p>
          <w:p>
            <w:pPr>
              <w:pStyle w:val="yTableNAm"/>
            </w:pPr>
            <w:r>
              <w:lastRenderedPageBreak/>
              <w:t>32.091602°S</w:t>
            </w:r>
            <w:r>
              <w:tab/>
              <w:t>115.876254°E</w:t>
            </w:r>
          </w:p>
          <w:p>
            <w:pPr>
              <w:pStyle w:val="yTableNAm"/>
            </w:pPr>
            <w:r>
              <w:t>32.091839°S</w:t>
            </w:r>
            <w:r>
              <w:tab/>
              <w:t>115.876209°E</w:t>
            </w:r>
          </w:p>
          <w:p>
            <w:pPr>
              <w:pStyle w:val="yTableNAm"/>
            </w:pPr>
            <w:r>
              <w:t>32.091823°S</w:t>
            </w:r>
            <w:r>
              <w:tab/>
              <w:t>115.875791°E</w:t>
            </w:r>
          </w:p>
          <w:p>
            <w:pPr>
              <w:pStyle w:val="yTableNAm"/>
            </w:pPr>
            <w:r>
              <w:t>32.092134°S</w:t>
            </w:r>
            <w:r>
              <w:tab/>
              <w:t>115.875748°E</w:t>
            </w:r>
          </w:p>
          <w:p>
            <w:pPr>
              <w:pStyle w:val="yTableNAm"/>
            </w:pPr>
            <w:r>
              <w:t>32.092300°S</w:t>
            </w:r>
            <w:r>
              <w:tab/>
              <w:t>115.876295°E</w:t>
            </w:r>
          </w:p>
          <w:p>
            <w:pPr>
              <w:pStyle w:val="yTableNAm"/>
            </w:pPr>
            <w:r>
              <w:t>32.094078°S</w:t>
            </w:r>
            <w:r>
              <w:tab/>
              <w:t>115.875020°E</w:t>
            </w:r>
          </w:p>
          <w:p>
            <w:pPr>
              <w:pStyle w:val="yTableNAm"/>
            </w:pPr>
            <w:r>
              <w:t>32.094204°S</w:t>
            </w:r>
            <w:r>
              <w:tab/>
              <w:t>115.875257°E</w:t>
            </w:r>
          </w:p>
          <w:p>
            <w:pPr>
              <w:pStyle w:val="yTableNAm"/>
            </w:pPr>
            <w:r>
              <w:t>32.092224°S</w:t>
            </w:r>
            <w:r>
              <w:tab/>
              <w:t>115.876890°E</w:t>
            </w:r>
          </w:p>
          <w:p>
            <w:pPr>
              <w:pStyle w:val="yTableNAm"/>
            </w:pPr>
            <w:r>
              <w:t>32.092220°S</w:t>
            </w:r>
            <w:r>
              <w:tab/>
              <w:t>115.879344°E</w:t>
            </w:r>
          </w:p>
          <w:p>
            <w:pPr>
              <w:pStyle w:val="yTableNAm"/>
            </w:pPr>
            <w:r>
              <w:t>32.092702°S</w:t>
            </w:r>
            <w:r>
              <w:tab/>
              <w:t>115.879297°E</w:t>
            </w:r>
          </w:p>
          <w:p>
            <w:pPr>
              <w:pStyle w:val="yTableNAm"/>
            </w:pPr>
            <w:r>
              <w:t>32.094212°S</w:t>
            </w:r>
            <w:r>
              <w:tab/>
              <w:t>115.878021°E</w:t>
            </w:r>
          </w:p>
        </w:tc>
      </w:tr>
      <w:tr>
        <w:tc>
          <w:tcPr>
            <w:tcW w:w="738" w:type="dxa"/>
            <w:noWrap/>
          </w:tcPr>
          <w:p>
            <w:pPr>
              <w:pStyle w:val="yTableNAm"/>
            </w:pPr>
            <w:r>
              <w:lastRenderedPageBreak/>
              <w:t>12.</w:t>
            </w:r>
          </w:p>
        </w:tc>
        <w:tc>
          <w:tcPr>
            <w:tcW w:w="2689" w:type="dxa"/>
            <w:noWrap/>
          </w:tcPr>
          <w:p>
            <w:pPr>
              <w:pStyle w:val="yTableNAm"/>
            </w:pPr>
            <w:r>
              <w:t>Wyndham Port</w:t>
            </w:r>
          </w:p>
        </w:tc>
        <w:tc>
          <w:tcPr>
            <w:tcW w:w="3548" w:type="dxa"/>
            <w:noWrap/>
          </w:tcPr>
          <w:p>
            <w:pPr>
              <w:pStyle w:val="yTableNAm"/>
            </w:pPr>
            <w:r>
              <w:t xml:space="preserve">The area bounded by a line connecting the following Geocentric Datum of Australia 2020 (GDA2020) coordinates — </w:t>
            </w:r>
          </w:p>
          <w:p>
            <w:pPr>
              <w:pStyle w:val="yTableNAm"/>
            </w:pPr>
            <w:r>
              <w:t>15.457087°S</w:t>
            </w:r>
            <w:r>
              <w:tab/>
              <w:t>128.103471°E</w:t>
            </w:r>
          </w:p>
          <w:p>
            <w:pPr>
              <w:pStyle w:val="yTableNAm"/>
            </w:pPr>
            <w:r>
              <w:t>15.457135°S</w:t>
            </w:r>
            <w:r>
              <w:tab/>
              <w:t>128.103676°E</w:t>
            </w:r>
          </w:p>
          <w:p>
            <w:pPr>
              <w:pStyle w:val="yTableNAm"/>
            </w:pPr>
            <w:r>
              <w:t>15.454733°S</w:t>
            </w:r>
            <w:r>
              <w:tab/>
              <w:t>128.105741°E</w:t>
            </w:r>
          </w:p>
          <w:p>
            <w:pPr>
              <w:pStyle w:val="yTableNAm"/>
            </w:pPr>
            <w:r>
              <w:t>15.454466°S</w:t>
            </w:r>
            <w:r>
              <w:tab/>
              <w:t>128.104283°E</w:t>
            </w:r>
          </w:p>
          <w:p>
            <w:pPr>
              <w:pStyle w:val="yTableNAm"/>
            </w:pPr>
            <w:r>
              <w:t>15.457087°S</w:t>
            </w:r>
            <w:r>
              <w:tab/>
              <w:t>128.103471°E</w:t>
            </w:r>
          </w:p>
        </w:tc>
      </w:tr>
      <w:tr>
        <w:tc>
          <w:tcPr>
            <w:tcW w:w="738" w:type="dxa"/>
            <w:noWrap/>
          </w:tcPr>
          <w:p>
            <w:pPr>
              <w:pStyle w:val="yTableNAm"/>
            </w:pPr>
            <w:r>
              <w:t>13.</w:t>
            </w:r>
          </w:p>
        </w:tc>
        <w:tc>
          <w:tcPr>
            <w:tcW w:w="2689" w:type="dxa"/>
            <w:noWrap/>
          </w:tcPr>
          <w:p>
            <w:pPr>
              <w:pStyle w:val="yTableNAm"/>
            </w:pPr>
            <w:r>
              <w:t>Bunbury Port</w:t>
            </w:r>
          </w:p>
          <w:p>
            <w:pPr>
              <w:pStyle w:val="yTableNAm"/>
            </w:pPr>
            <w:r>
              <w:t>Zone 1</w:t>
            </w:r>
          </w:p>
        </w:tc>
        <w:tc>
          <w:tcPr>
            <w:tcW w:w="3548" w:type="dxa"/>
            <w:noWrap/>
          </w:tcPr>
          <w:p>
            <w:pPr>
              <w:pStyle w:val="yTableNAm"/>
            </w:pPr>
            <w:r>
              <w:t xml:space="preserve">The area bounded by a line connecting the following Geocentric Datum of Australia 2020 (GDA2020) coordinates — </w:t>
            </w:r>
          </w:p>
          <w:p>
            <w:pPr>
              <w:pStyle w:val="yTableNAm"/>
            </w:pPr>
            <w:r>
              <w:t>33.311212°S</w:t>
            </w:r>
            <w:r>
              <w:tab/>
              <w:t>115.637019°E</w:t>
            </w:r>
          </w:p>
          <w:p>
            <w:pPr>
              <w:pStyle w:val="yTableNAm"/>
            </w:pPr>
            <w:r>
              <w:t>33.311523°S</w:t>
            </w:r>
            <w:r>
              <w:tab/>
              <w:t>115.638459°E</w:t>
            </w:r>
          </w:p>
          <w:p>
            <w:pPr>
              <w:pStyle w:val="yTableNAm"/>
            </w:pPr>
            <w:r>
              <w:t>33.310275°S</w:t>
            </w:r>
            <w:r>
              <w:tab/>
              <w:t>115.639139°E</w:t>
            </w:r>
          </w:p>
          <w:p>
            <w:pPr>
              <w:pStyle w:val="yTableNAm"/>
            </w:pPr>
            <w:r>
              <w:lastRenderedPageBreak/>
              <w:t>33.309142°S</w:t>
            </w:r>
            <w:r>
              <w:tab/>
              <w:t>115.637925°E</w:t>
            </w:r>
          </w:p>
          <w:p>
            <w:pPr>
              <w:pStyle w:val="yTableNAm"/>
            </w:pPr>
            <w:r>
              <w:t>33.310777°S</w:t>
            </w:r>
            <w:r>
              <w:tab/>
              <w:t>115.636420°E</w:t>
            </w:r>
          </w:p>
          <w:p>
            <w:pPr>
              <w:pStyle w:val="yTableNAm"/>
            </w:pPr>
            <w:r>
              <w:t>33.313722°S</w:t>
            </w:r>
            <w:r>
              <w:tab/>
              <w:t>115.635657°E</w:t>
            </w:r>
          </w:p>
          <w:p>
            <w:pPr>
              <w:pStyle w:val="yTableNAm"/>
            </w:pPr>
            <w:r>
              <w:t>33.313832°S</w:t>
            </w:r>
            <w:r>
              <w:tab/>
              <w:t>115.636421°E</w:t>
            </w:r>
          </w:p>
          <w:p>
            <w:pPr>
              <w:pStyle w:val="yTableNAm"/>
              <w:rPr>
                <w:highlight w:val="yellow"/>
              </w:rPr>
            </w:pPr>
            <w:r>
              <w:t>33.311212°S</w:t>
            </w:r>
            <w:r>
              <w:tab/>
              <w:t>115.637019°E</w:t>
            </w:r>
          </w:p>
        </w:tc>
      </w:tr>
      <w:tr>
        <w:tc>
          <w:tcPr>
            <w:tcW w:w="738" w:type="dxa"/>
            <w:noWrap/>
          </w:tcPr>
          <w:p>
            <w:pPr>
              <w:pStyle w:val="zyTableNAm"/>
            </w:pPr>
          </w:p>
        </w:tc>
        <w:tc>
          <w:tcPr>
            <w:tcW w:w="2689" w:type="dxa"/>
            <w:noWrap/>
          </w:tcPr>
          <w:p>
            <w:pPr>
              <w:pStyle w:val="yTableNAm"/>
            </w:pPr>
            <w:r>
              <w:t>Bunbury Port</w:t>
            </w:r>
          </w:p>
          <w:p>
            <w:pPr>
              <w:pStyle w:val="yTableNAm"/>
            </w:pPr>
            <w:r>
              <w:t>Zone 2</w:t>
            </w:r>
          </w:p>
        </w:tc>
        <w:tc>
          <w:tcPr>
            <w:tcW w:w="3548" w:type="dxa"/>
            <w:noWrap/>
          </w:tcPr>
          <w:p>
            <w:pPr>
              <w:pStyle w:val="yTableNAm"/>
            </w:pPr>
            <w:r>
              <w:t xml:space="preserve">The area bounded by a line connecting the following Geocentric Datum of Australia 2020 (GDA2020) coordinates — </w:t>
            </w:r>
          </w:p>
          <w:p>
            <w:pPr>
              <w:pStyle w:val="yTableNAm"/>
            </w:pPr>
            <w:r>
              <w:t>33.331152°S</w:t>
            </w:r>
            <w:r>
              <w:tab/>
              <w:t>115.667251°E</w:t>
            </w:r>
          </w:p>
          <w:p>
            <w:pPr>
              <w:pStyle w:val="yTableNAm"/>
            </w:pPr>
            <w:r>
              <w:t>33.330890°S</w:t>
            </w:r>
            <w:r>
              <w:tab/>
              <w:t>115.667820°E</w:t>
            </w:r>
          </w:p>
          <w:p>
            <w:pPr>
              <w:pStyle w:val="yTableNAm"/>
            </w:pPr>
            <w:r>
              <w:t>33.329864°S</w:t>
            </w:r>
            <w:r>
              <w:tab/>
              <w:t>115.667414°E</w:t>
            </w:r>
          </w:p>
          <w:p>
            <w:pPr>
              <w:pStyle w:val="yTableNAm"/>
            </w:pPr>
            <w:r>
              <w:t>33.324203°S</w:t>
            </w:r>
            <w:r>
              <w:tab/>
              <w:t>115.673767°E</w:t>
            </w:r>
          </w:p>
          <w:p>
            <w:pPr>
              <w:pStyle w:val="yTableNAm"/>
            </w:pPr>
            <w:r>
              <w:t>33.323919°S</w:t>
            </w:r>
            <w:r>
              <w:tab/>
              <w:t>115.673410°E</w:t>
            </w:r>
          </w:p>
          <w:p>
            <w:pPr>
              <w:pStyle w:val="yTableNAm"/>
            </w:pPr>
            <w:r>
              <w:t>33.327822°S</w:t>
            </w:r>
            <w:r>
              <w:tab/>
              <w:t>115.668995°E</w:t>
            </w:r>
          </w:p>
          <w:p>
            <w:pPr>
              <w:pStyle w:val="yTableNAm"/>
            </w:pPr>
            <w:r>
              <w:t>33.329004°S</w:t>
            </w:r>
            <w:r>
              <w:tab/>
              <w:t>115.663743°E</w:t>
            </w:r>
          </w:p>
          <w:p>
            <w:pPr>
              <w:pStyle w:val="yTableNAm"/>
            </w:pPr>
            <w:r>
              <w:t>33.329708°S</w:t>
            </w:r>
            <w:r>
              <w:tab/>
              <w:t>115.663708°E</w:t>
            </w:r>
          </w:p>
          <w:p>
            <w:pPr>
              <w:pStyle w:val="yTableNAm"/>
            </w:pPr>
            <w:r>
              <w:t>33.329824°S</w:t>
            </w:r>
            <w:r>
              <w:tab/>
              <w:t>115.666710°E</w:t>
            </w:r>
          </w:p>
          <w:p>
            <w:pPr>
              <w:pStyle w:val="yTableNAm"/>
              <w:rPr>
                <w:highlight w:val="yellow"/>
              </w:rPr>
            </w:pPr>
            <w:r>
              <w:t>33.331152°S</w:t>
            </w:r>
            <w:r>
              <w:tab/>
              <w:t>115.667251°E</w:t>
            </w:r>
          </w:p>
        </w:tc>
      </w:tr>
      <w:tr>
        <w:tc>
          <w:tcPr>
            <w:tcW w:w="738" w:type="dxa"/>
            <w:noWrap/>
          </w:tcPr>
          <w:p>
            <w:pPr>
              <w:pStyle w:val="zyTableNAm"/>
            </w:pPr>
          </w:p>
        </w:tc>
        <w:tc>
          <w:tcPr>
            <w:tcW w:w="2689" w:type="dxa"/>
            <w:noWrap/>
          </w:tcPr>
          <w:p>
            <w:pPr>
              <w:pStyle w:val="yTableNAm"/>
            </w:pPr>
            <w:r>
              <w:t>Bunbury Port</w:t>
            </w:r>
          </w:p>
          <w:p>
            <w:pPr>
              <w:pStyle w:val="yTableNAm"/>
            </w:pPr>
            <w:r>
              <w:t>Zone 3</w:t>
            </w:r>
          </w:p>
        </w:tc>
        <w:tc>
          <w:tcPr>
            <w:tcW w:w="3548" w:type="dxa"/>
            <w:noWrap/>
          </w:tcPr>
          <w:p>
            <w:pPr>
              <w:pStyle w:val="yTableNAm"/>
            </w:pPr>
            <w:r>
              <w:t xml:space="preserve">The area bounded by a line connecting the following Geocentric Datum of Australia 2020 (GDA2020) coordinates — </w:t>
            </w:r>
          </w:p>
          <w:p>
            <w:pPr>
              <w:pStyle w:val="yTableNAm"/>
            </w:pPr>
            <w:r>
              <w:t>33.321117°S</w:t>
            </w:r>
            <w:r>
              <w:tab/>
              <w:t>115.650779°E</w:t>
            </w:r>
          </w:p>
          <w:p>
            <w:pPr>
              <w:pStyle w:val="yTableNAm"/>
            </w:pPr>
            <w:r>
              <w:t>33.321331°S</w:t>
            </w:r>
            <w:r>
              <w:tab/>
              <w:t>115.652125°E</w:t>
            </w:r>
          </w:p>
          <w:p>
            <w:pPr>
              <w:pStyle w:val="yTableNAm"/>
            </w:pPr>
            <w:r>
              <w:t>33.320277°S</w:t>
            </w:r>
            <w:r>
              <w:tab/>
              <w:t>115.652126°E</w:t>
            </w:r>
          </w:p>
          <w:p>
            <w:pPr>
              <w:pStyle w:val="yTableNAm"/>
            </w:pPr>
            <w:r>
              <w:t>33.320490°S</w:t>
            </w:r>
            <w:r>
              <w:tab/>
              <w:t>115.651119°E</w:t>
            </w:r>
          </w:p>
          <w:p>
            <w:pPr>
              <w:pStyle w:val="yTableNAm"/>
            </w:pPr>
            <w:r>
              <w:lastRenderedPageBreak/>
              <w:t>33.320799°S</w:t>
            </w:r>
            <w:r>
              <w:tab/>
              <w:t>115.651155°E</w:t>
            </w:r>
          </w:p>
          <w:p>
            <w:pPr>
              <w:pStyle w:val="yTableNAm"/>
            </w:pPr>
            <w:r>
              <w:t>33.320775°S</w:t>
            </w:r>
            <w:r>
              <w:tab/>
              <w:t>115.650854°E</w:t>
            </w:r>
          </w:p>
          <w:p>
            <w:pPr>
              <w:pStyle w:val="yTableNAm"/>
              <w:rPr>
                <w:highlight w:val="yellow"/>
              </w:rPr>
            </w:pPr>
            <w:r>
              <w:t>33.321117°S</w:t>
            </w:r>
            <w:r>
              <w:tab/>
              <w:t>115.650779°E</w:t>
            </w:r>
          </w:p>
        </w:tc>
      </w:tr>
      <w:tr>
        <w:tc>
          <w:tcPr>
            <w:tcW w:w="738" w:type="dxa"/>
            <w:noWrap/>
          </w:tcPr>
          <w:p>
            <w:pPr>
              <w:pStyle w:val="yTableNAm"/>
            </w:pPr>
            <w:r>
              <w:lastRenderedPageBreak/>
              <w:t>14.</w:t>
            </w:r>
          </w:p>
        </w:tc>
        <w:tc>
          <w:tcPr>
            <w:tcW w:w="2689" w:type="dxa"/>
            <w:noWrap/>
          </w:tcPr>
          <w:p>
            <w:pPr>
              <w:pStyle w:val="yTableNAm"/>
            </w:pPr>
            <w:r>
              <w:t>Busselton Airport</w:t>
            </w:r>
          </w:p>
        </w:tc>
        <w:tc>
          <w:tcPr>
            <w:tcW w:w="3548" w:type="dxa"/>
            <w:noWrap/>
          </w:tcPr>
          <w:p>
            <w:pPr>
              <w:pStyle w:val="yTableNAm"/>
            </w:pPr>
            <w:r>
              <w:t xml:space="preserve">The area bounded by a line connecting the following Geocentric Datum of Australia 2020 (GDA2020) coordinates — </w:t>
            </w:r>
          </w:p>
          <w:p>
            <w:pPr>
              <w:pStyle w:val="yTableNAm"/>
            </w:pPr>
            <w:r>
              <w:t>33.690023°S</w:t>
            </w:r>
            <w:r>
              <w:tab/>
              <w:t>115.389899°E</w:t>
            </w:r>
          </w:p>
          <w:p>
            <w:pPr>
              <w:pStyle w:val="yTableNAm"/>
            </w:pPr>
            <w:r>
              <w:t>33.695762°S</w:t>
            </w:r>
            <w:r>
              <w:tab/>
              <w:t>115.392592°E</w:t>
            </w:r>
          </w:p>
          <w:p>
            <w:pPr>
              <w:pStyle w:val="yTableNAm"/>
            </w:pPr>
            <w:r>
              <w:t>33.687898°S</w:t>
            </w:r>
            <w:r>
              <w:tab/>
              <w:t>115.396939°E</w:t>
            </w:r>
          </w:p>
          <w:p>
            <w:pPr>
              <w:pStyle w:val="yTableNAm"/>
            </w:pPr>
            <w:r>
              <w:t>33.688091°S</w:t>
            </w:r>
            <w:r>
              <w:tab/>
              <w:t>115.397463°E</w:t>
            </w:r>
          </w:p>
          <w:p>
            <w:pPr>
              <w:pStyle w:val="yTableNAm"/>
            </w:pPr>
            <w:r>
              <w:t>33.685223°S</w:t>
            </w:r>
            <w:r>
              <w:tab/>
              <w:t>115.398968°E</w:t>
            </w:r>
          </w:p>
          <w:p>
            <w:pPr>
              <w:pStyle w:val="yTableNAm"/>
            </w:pPr>
            <w:r>
              <w:t>33.684316°S</w:t>
            </w:r>
            <w:r>
              <w:tab/>
              <w:t>115.396741°E</w:t>
            </w:r>
          </w:p>
          <w:p>
            <w:pPr>
              <w:pStyle w:val="yTableNAm"/>
            </w:pPr>
            <w:r>
              <w:t>33.689542°S</w:t>
            </w:r>
            <w:r>
              <w:tab/>
              <w:t>115.391356°E</w:t>
            </w:r>
          </w:p>
          <w:p>
            <w:pPr>
              <w:pStyle w:val="yTableNAm"/>
            </w:pPr>
            <w:r>
              <w:t>33.690023°S</w:t>
            </w:r>
            <w:r>
              <w:tab/>
              <w:t>115.389899°E</w:t>
            </w:r>
          </w:p>
        </w:tc>
      </w:tr>
      <w:tr>
        <w:tc>
          <w:tcPr>
            <w:tcW w:w="738" w:type="dxa"/>
            <w:noWrap/>
          </w:tcPr>
          <w:p>
            <w:pPr>
              <w:pStyle w:val="yTableNAm"/>
            </w:pPr>
            <w:r>
              <w:t>15.</w:t>
            </w:r>
          </w:p>
        </w:tc>
        <w:tc>
          <w:tcPr>
            <w:tcW w:w="2689" w:type="dxa"/>
            <w:noWrap/>
          </w:tcPr>
          <w:p>
            <w:pPr>
              <w:pStyle w:val="yTableNAm"/>
            </w:pPr>
            <w:r>
              <w:t>Albany Port</w:t>
            </w:r>
          </w:p>
        </w:tc>
        <w:tc>
          <w:tcPr>
            <w:tcW w:w="3548" w:type="dxa"/>
            <w:noWrap/>
          </w:tcPr>
          <w:p>
            <w:pPr>
              <w:pStyle w:val="yTableNAm"/>
            </w:pPr>
            <w:r>
              <w:t xml:space="preserve">The area bounded by a line connecting the following Geocentric Datum of Australia 2020 (GDA2020) coordinates — </w:t>
            </w:r>
          </w:p>
          <w:p>
            <w:pPr>
              <w:pStyle w:val="yTableNAm"/>
            </w:pPr>
            <w:r>
              <w:t>35.033710°S</w:t>
            </w:r>
            <w:r>
              <w:tab/>
              <w:t>117.895011°E</w:t>
            </w:r>
          </w:p>
          <w:p>
            <w:pPr>
              <w:pStyle w:val="yTableNAm"/>
            </w:pPr>
            <w:r>
              <w:t>35.033063°S</w:t>
            </w:r>
            <w:r>
              <w:tab/>
              <w:t>117.895346°E</w:t>
            </w:r>
          </w:p>
          <w:p>
            <w:pPr>
              <w:pStyle w:val="yTableNAm"/>
            </w:pPr>
            <w:r>
              <w:t>35.030881°S</w:t>
            </w:r>
            <w:r>
              <w:tab/>
              <w:t>117.890339°E</w:t>
            </w:r>
          </w:p>
          <w:p>
            <w:pPr>
              <w:pStyle w:val="yTableNAm"/>
            </w:pPr>
            <w:r>
              <w:t>35.030443°S</w:t>
            </w:r>
            <w:r>
              <w:tab/>
              <w:t>117.889809°E</w:t>
            </w:r>
          </w:p>
          <w:p>
            <w:pPr>
              <w:pStyle w:val="yTableNAm"/>
            </w:pPr>
            <w:r>
              <w:t>35.030588°S</w:t>
            </w:r>
            <w:r>
              <w:tab/>
              <w:t>117.889601°E</w:t>
            </w:r>
          </w:p>
          <w:p>
            <w:pPr>
              <w:pStyle w:val="yTableNAm"/>
            </w:pPr>
            <w:r>
              <w:t>35.031025°S</w:t>
            </w:r>
            <w:r>
              <w:tab/>
              <w:t>117.889670°E</w:t>
            </w:r>
          </w:p>
          <w:p>
            <w:pPr>
              <w:pStyle w:val="yTableNAm"/>
            </w:pPr>
            <w:r>
              <w:t>35.031714°S</w:t>
            </w:r>
            <w:r>
              <w:tab/>
              <w:t>117.890992°E</w:t>
            </w:r>
          </w:p>
          <w:p>
            <w:pPr>
              <w:pStyle w:val="yTableNAm"/>
            </w:pPr>
            <w:r>
              <w:t>35.031570°S</w:t>
            </w:r>
            <w:r>
              <w:tab/>
              <w:t>117.891091°E</w:t>
            </w:r>
          </w:p>
          <w:p>
            <w:pPr>
              <w:pStyle w:val="yTableNAm"/>
            </w:pPr>
            <w:r>
              <w:lastRenderedPageBreak/>
              <w:t>35.032435°S</w:t>
            </w:r>
            <w:r>
              <w:tab/>
              <w:t>117.893027°E</w:t>
            </w:r>
          </w:p>
          <w:p>
            <w:pPr>
              <w:pStyle w:val="yTableNAm"/>
            </w:pPr>
            <w:r>
              <w:t>35.033245°S</w:t>
            </w:r>
            <w:r>
              <w:tab/>
              <w:t>117.893815°E</w:t>
            </w:r>
          </w:p>
          <w:p>
            <w:pPr>
              <w:pStyle w:val="yTableNAm"/>
              <w:rPr>
                <w:highlight w:val="yellow"/>
              </w:rPr>
            </w:pPr>
            <w:r>
              <w:t>35.033710°S</w:t>
            </w:r>
            <w:r>
              <w:tab/>
              <w:t>117.895011°E</w:t>
            </w:r>
          </w:p>
        </w:tc>
      </w:tr>
      <w:tr>
        <w:tc>
          <w:tcPr>
            <w:tcW w:w="738" w:type="dxa"/>
            <w:noWrap/>
          </w:tcPr>
          <w:p>
            <w:pPr>
              <w:pStyle w:val="yTableNAm"/>
            </w:pPr>
            <w:r>
              <w:lastRenderedPageBreak/>
              <w:t>16.</w:t>
            </w:r>
          </w:p>
        </w:tc>
        <w:tc>
          <w:tcPr>
            <w:tcW w:w="2689" w:type="dxa"/>
            <w:noWrap/>
          </w:tcPr>
          <w:p>
            <w:pPr>
              <w:pStyle w:val="yTableNAm"/>
            </w:pPr>
            <w:r>
              <w:t>Esperance Port</w:t>
            </w:r>
          </w:p>
          <w:p>
            <w:pPr>
              <w:pStyle w:val="yTableNAm"/>
            </w:pPr>
            <w:r>
              <w:t>Zone 1</w:t>
            </w:r>
          </w:p>
        </w:tc>
        <w:tc>
          <w:tcPr>
            <w:tcW w:w="3548" w:type="dxa"/>
            <w:noWrap/>
          </w:tcPr>
          <w:p>
            <w:pPr>
              <w:pStyle w:val="yTableNAm"/>
            </w:pPr>
            <w:r>
              <w:t xml:space="preserve">The area bounded by a line connecting the following Geocentric Datum of Australia 2020 (GDA2020) coordinates — </w:t>
            </w:r>
          </w:p>
          <w:p>
            <w:pPr>
              <w:pStyle w:val="yTableNAm"/>
            </w:pPr>
            <w:r>
              <w:t>33.869912°S</w:t>
            </w:r>
            <w:r>
              <w:tab/>
              <w:t>121.892980°E</w:t>
            </w:r>
          </w:p>
          <w:p>
            <w:pPr>
              <w:pStyle w:val="yTableNAm"/>
            </w:pPr>
            <w:r>
              <w:t>33.869925°S</w:t>
            </w:r>
            <w:r>
              <w:tab/>
              <w:t>121.893893°E</w:t>
            </w:r>
          </w:p>
          <w:p>
            <w:pPr>
              <w:pStyle w:val="yTableNAm"/>
            </w:pPr>
            <w:r>
              <w:t>33.869779°S</w:t>
            </w:r>
            <w:r>
              <w:tab/>
              <w:t>121.893903°E</w:t>
            </w:r>
          </w:p>
          <w:p>
            <w:pPr>
              <w:pStyle w:val="yTableNAm"/>
            </w:pPr>
            <w:r>
              <w:t>33.869773°S</w:t>
            </w:r>
            <w:r>
              <w:tab/>
              <w:t>121.893468°E</w:t>
            </w:r>
          </w:p>
          <w:p>
            <w:pPr>
              <w:pStyle w:val="yTableNAm"/>
            </w:pPr>
            <w:r>
              <w:t>33.869072°S</w:t>
            </w:r>
            <w:r>
              <w:tab/>
              <w:t>121.893952°E</w:t>
            </w:r>
          </w:p>
          <w:p>
            <w:pPr>
              <w:pStyle w:val="yTableNAm"/>
            </w:pPr>
            <w:r>
              <w:t>33.869196°S</w:t>
            </w:r>
            <w:r>
              <w:tab/>
              <w:t>121.894198°E</w:t>
            </w:r>
          </w:p>
          <w:p>
            <w:pPr>
              <w:pStyle w:val="yTableNAm"/>
            </w:pPr>
            <w:r>
              <w:t>33.868860°S</w:t>
            </w:r>
            <w:r>
              <w:tab/>
              <w:t>121.894420°E</w:t>
            </w:r>
          </w:p>
          <w:p>
            <w:pPr>
              <w:pStyle w:val="yTableNAm"/>
            </w:pPr>
            <w:r>
              <w:t>33.868194°S</w:t>
            </w:r>
            <w:r>
              <w:tab/>
              <w:t>121.894404°E</w:t>
            </w:r>
          </w:p>
          <w:p>
            <w:pPr>
              <w:pStyle w:val="yTableNAm"/>
            </w:pPr>
            <w:r>
              <w:t>33.868211°S</w:t>
            </w:r>
            <w:r>
              <w:tab/>
              <w:t>121.893783°E</w:t>
            </w:r>
          </w:p>
          <w:p>
            <w:pPr>
              <w:pStyle w:val="yTableNAm"/>
            </w:pPr>
            <w:r>
              <w:t>33.868819°S</w:t>
            </w:r>
            <w:r>
              <w:tab/>
              <w:t>121.893793°E</w:t>
            </w:r>
          </w:p>
          <w:p>
            <w:pPr>
              <w:pStyle w:val="yTableNAm"/>
            </w:pPr>
            <w:r>
              <w:t>33.868817°S</w:t>
            </w:r>
            <w:r>
              <w:tab/>
              <w:t>121.892663°E</w:t>
            </w:r>
          </w:p>
          <w:p>
            <w:pPr>
              <w:pStyle w:val="yTableNAm"/>
            </w:pPr>
            <w:r>
              <w:t>33.868951°S</w:t>
            </w:r>
            <w:r>
              <w:tab/>
              <w:t>121.892667°E</w:t>
            </w:r>
          </w:p>
          <w:p>
            <w:pPr>
              <w:pStyle w:val="yTableNAm"/>
            </w:pPr>
            <w:r>
              <w:t>33.868947°S</w:t>
            </w:r>
            <w:r>
              <w:tab/>
              <w:t>121.893816°E</w:t>
            </w:r>
          </w:p>
          <w:p>
            <w:pPr>
              <w:pStyle w:val="yTableNAm"/>
            </w:pPr>
            <w:r>
              <w:t>33.869751°S</w:t>
            </w:r>
            <w:r>
              <w:tab/>
              <w:t>121.893302°E</w:t>
            </w:r>
          </w:p>
          <w:p>
            <w:pPr>
              <w:pStyle w:val="yTableNAm"/>
            </w:pPr>
            <w:r>
              <w:t>33.869753°S</w:t>
            </w:r>
            <w:r>
              <w:tab/>
              <w:t>121.892978°E</w:t>
            </w:r>
          </w:p>
          <w:p>
            <w:pPr>
              <w:pStyle w:val="yTableNAm"/>
            </w:pPr>
            <w:r>
              <w:t>33.869912°S</w:t>
            </w:r>
            <w:r>
              <w:tab/>
              <w:t>121.892980°E</w:t>
            </w:r>
          </w:p>
        </w:tc>
      </w:tr>
      <w:tr>
        <w:tc>
          <w:tcPr>
            <w:tcW w:w="738" w:type="dxa"/>
            <w:noWrap/>
          </w:tcPr>
          <w:p>
            <w:pPr>
              <w:pStyle w:val="zyTableNAm"/>
              <w:keepNext/>
            </w:pPr>
          </w:p>
        </w:tc>
        <w:tc>
          <w:tcPr>
            <w:tcW w:w="2689" w:type="dxa"/>
            <w:noWrap/>
          </w:tcPr>
          <w:p>
            <w:pPr>
              <w:pStyle w:val="yTableNAm"/>
              <w:keepNext/>
            </w:pPr>
            <w:r>
              <w:t>Esperance Port</w:t>
            </w:r>
          </w:p>
          <w:p>
            <w:pPr>
              <w:pStyle w:val="yTableNAm"/>
              <w:keepNext/>
            </w:pPr>
            <w:r>
              <w:t>Zone 2</w:t>
            </w:r>
          </w:p>
        </w:tc>
        <w:tc>
          <w:tcPr>
            <w:tcW w:w="3548" w:type="dxa"/>
            <w:noWrap/>
          </w:tcPr>
          <w:p>
            <w:pPr>
              <w:pStyle w:val="yTableNAm"/>
              <w:keepNext/>
            </w:pPr>
            <w:r>
              <w:t xml:space="preserve">The area bounded by a line connecting the following Geocentric Datum of Australia 2020 (GDA2020) coordinates — </w:t>
            </w:r>
          </w:p>
          <w:p>
            <w:pPr>
              <w:pStyle w:val="yTableNAm"/>
              <w:keepNext/>
            </w:pPr>
            <w:r>
              <w:t>33.875828°S</w:t>
            </w:r>
            <w:r>
              <w:tab/>
              <w:t>121.899520°E</w:t>
            </w:r>
          </w:p>
          <w:p>
            <w:pPr>
              <w:pStyle w:val="yTableNAm"/>
              <w:keepNext/>
            </w:pPr>
            <w:r>
              <w:t>33.875688°S</w:t>
            </w:r>
            <w:r>
              <w:tab/>
              <w:t>121.899665°E</w:t>
            </w:r>
          </w:p>
          <w:p>
            <w:pPr>
              <w:pStyle w:val="yTableNAm"/>
              <w:keepNext/>
            </w:pPr>
            <w:r>
              <w:t>33.874465°S</w:t>
            </w:r>
            <w:r>
              <w:tab/>
              <w:t>121.898185°E</w:t>
            </w:r>
          </w:p>
          <w:p>
            <w:pPr>
              <w:pStyle w:val="yTableNAm"/>
              <w:keepNext/>
            </w:pPr>
            <w:r>
              <w:t>33.874651°S</w:t>
            </w:r>
            <w:r>
              <w:tab/>
              <w:t>121.897952°E</w:t>
            </w:r>
          </w:p>
          <w:p>
            <w:pPr>
              <w:pStyle w:val="yTableNAm"/>
              <w:keepNext/>
            </w:pPr>
            <w:r>
              <w:t>33.875236°S</w:t>
            </w:r>
            <w:r>
              <w:tab/>
              <w:t>121.898719°E</w:t>
            </w:r>
          </w:p>
          <w:p>
            <w:pPr>
              <w:pStyle w:val="yTableNAm"/>
              <w:keepNext/>
            </w:pPr>
            <w:r>
              <w:t>33.875910°S</w:t>
            </w:r>
            <w:r>
              <w:tab/>
              <w:t>121.899000°E</w:t>
            </w:r>
          </w:p>
          <w:p>
            <w:pPr>
              <w:pStyle w:val="yTableNAm"/>
              <w:keepNext/>
            </w:pPr>
            <w:r>
              <w:t>33.875649°S</w:t>
            </w:r>
            <w:r>
              <w:tab/>
              <w:t>121.899293°E</w:t>
            </w:r>
          </w:p>
          <w:p>
            <w:pPr>
              <w:pStyle w:val="yTableNAm"/>
              <w:keepNext/>
            </w:pPr>
            <w:r>
              <w:t>33.875828°S</w:t>
            </w:r>
            <w:r>
              <w:tab/>
              <w:t>121.899520°E</w:t>
            </w:r>
          </w:p>
        </w:tc>
      </w:tr>
      <w:tr>
        <w:tc>
          <w:tcPr>
            <w:tcW w:w="738" w:type="dxa"/>
            <w:noWrap/>
          </w:tcPr>
          <w:p>
            <w:pPr>
              <w:pStyle w:val="yTableNAm"/>
            </w:pPr>
            <w:r>
              <w:t>17.</w:t>
            </w:r>
          </w:p>
        </w:tc>
        <w:tc>
          <w:tcPr>
            <w:tcW w:w="2689" w:type="dxa"/>
            <w:noWrap/>
          </w:tcPr>
          <w:p>
            <w:pPr>
              <w:pStyle w:val="yTableNAm"/>
            </w:pPr>
            <w:r>
              <w:t>Eyre Highway, Eucla (WA/SA border)</w:t>
            </w:r>
          </w:p>
        </w:tc>
        <w:tc>
          <w:tcPr>
            <w:tcW w:w="3548" w:type="dxa"/>
            <w:noWrap/>
          </w:tcPr>
          <w:p>
            <w:pPr>
              <w:pStyle w:val="yTableNAm"/>
            </w:pPr>
            <w:r>
              <w:t xml:space="preserve">The area bounded by a line connecting the following Geocentric Datum of Australia 2020 (GDA2020) coordinates — </w:t>
            </w:r>
          </w:p>
          <w:p>
            <w:pPr>
              <w:pStyle w:val="yTableNAm"/>
            </w:pPr>
            <w:r>
              <w:t>31.641092°S</w:t>
            </w:r>
            <w:r>
              <w:tab/>
              <w:t>129.001961°E</w:t>
            </w:r>
          </w:p>
          <w:p>
            <w:pPr>
              <w:pStyle w:val="yTableNAm"/>
            </w:pPr>
            <w:r>
              <w:t>31.636129°S</w:t>
            </w:r>
            <w:r>
              <w:tab/>
              <w:t>129.001947°E</w:t>
            </w:r>
          </w:p>
          <w:p>
            <w:pPr>
              <w:pStyle w:val="yTableNAm"/>
            </w:pPr>
            <w:r>
              <w:t>31.641512°S</w:t>
            </w:r>
            <w:r>
              <w:tab/>
              <w:t>128.990907°E</w:t>
            </w:r>
          </w:p>
          <w:p>
            <w:pPr>
              <w:pStyle w:val="yTableNAm"/>
            </w:pPr>
            <w:r>
              <w:t>31.644445°S</w:t>
            </w:r>
            <w:r>
              <w:tab/>
              <w:t>128.992598°E</w:t>
            </w:r>
          </w:p>
          <w:p>
            <w:pPr>
              <w:pStyle w:val="yTableNAm"/>
            </w:pPr>
            <w:r>
              <w:t>31.641092°S</w:t>
            </w:r>
            <w:r>
              <w:tab/>
              <w:t>129.001961°E</w:t>
            </w:r>
          </w:p>
        </w:tc>
      </w:tr>
      <w:tr>
        <w:tc>
          <w:tcPr>
            <w:tcW w:w="738" w:type="dxa"/>
            <w:noWrap/>
          </w:tcPr>
          <w:p>
            <w:pPr>
              <w:pStyle w:val="yTableNAm"/>
            </w:pPr>
            <w:r>
              <w:t>18.</w:t>
            </w:r>
          </w:p>
        </w:tc>
        <w:tc>
          <w:tcPr>
            <w:tcW w:w="2689" w:type="dxa"/>
            <w:noWrap/>
          </w:tcPr>
          <w:p>
            <w:pPr>
              <w:pStyle w:val="yTableNAm"/>
            </w:pPr>
            <w:r>
              <w:t>Victoria Highway near Kununurra (WA/NT border)</w:t>
            </w:r>
          </w:p>
        </w:tc>
        <w:tc>
          <w:tcPr>
            <w:tcW w:w="3548" w:type="dxa"/>
            <w:noWrap/>
          </w:tcPr>
          <w:p>
            <w:pPr>
              <w:pStyle w:val="yTableNAm"/>
            </w:pPr>
            <w:r>
              <w:t xml:space="preserve">The area bounded by a line connecting the following Geocentric Datum of Australia 2020 (GDA2020) coordinates — </w:t>
            </w:r>
          </w:p>
          <w:p>
            <w:pPr>
              <w:pStyle w:val="yTableNAm"/>
            </w:pPr>
            <w:r>
              <w:t>15.982567°S</w:t>
            </w:r>
            <w:r>
              <w:tab/>
              <w:t>129.000434°E</w:t>
            </w:r>
          </w:p>
          <w:p>
            <w:pPr>
              <w:pStyle w:val="yTableNAm"/>
            </w:pPr>
            <w:r>
              <w:t>15.980833°S</w:t>
            </w:r>
            <w:r>
              <w:tab/>
              <w:t>129.000403°E</w:t>
            </w:r>
          </w:p>
          <w:p>
            <w:pPr>
              <w:pStyle w:val="yTableNAm"/>
            </w:pPr>
            <w:r>
              <w:t>15.981386°S</w:t>
            </w:r>
            <w:r>
              <w:tab/>
              <w:t>128.995436°E</w:t>
            </w:r>
          </w:p>
          <w:p>
            <w:pPr>
              <w:pStyle w:val="yTableNAm"/>
            </w:pPr>
            <w:r>
              <w:lastRenderedPageBreak/>
              <w:t>15.983490°S</w:t>
            </w:r>
            <w:r>
              <w:tab/>
              <w:t>128.991532°E</w:t>
            </w:r>
          </w:p>
          <w:p>
            <w:pPr>
              <w:pStyle w:val="yTableNAm"/>
            </w:pPr>
            <w:r>
              <w:t>15.983848°S</w:t>
            </w:r>
            <w:r>
              <w:tab/>
              <w:t>128.991686°E</w:t>
            </w:r>
          </w:p>
          <w:p>
            <w:pPr>
              <w:pStyle w:val="yTableNAm"/>
            </w:pPr>
            <w:r>
              <w:t>15.982567°S</w:t>
            </w:r>
            <w:r>
              <w:tab/>
              <w:t>129.000434°E</w:t>
            </w:r>
          </w:p>
        </w:tc>
      </w:tr>
      <w:tr>
        <w:tc>
          <w:tcPr>
            <w:tcW w:w="738" w:type="dxa"/>
            <w:noWrap/>
          </w:tcPr>
          <w:p>
            <w:pPr>
              <w:pStyle w:val="yTableNAm"/>
            </w:pPr>
            <w:r>
              <w:lastRenderedPageBreak/>
              <w:t>19.</w:t>
            </w:r>
          </w:p>
        </w:tc>
        <w:tc>
          <w:tcPr>
            <w:tcW w:w="2689" w:type="dxa"/>
            <w:noWrap/>
          </w:tcPr>
          <w:p>
            <w:pPr>
              <w:pStyle w:val="yTableNAm"/>
            </w:pPr>
            <w:r>
              <w:t>Tanami Road (WA/NT border)</w:t>
            </w:r>
          </w:p>
        </w:tc>
        <w:tc>
          <w:tcPr>
            <w:tcW w:w="3548" w:type="dxa"/>
            <w:noWrap/>
          </w:tcPr>
          <w:p>
            <w:pPr>
              <w:pStyle w:val="yTableNAm"/>
            </w:pPr>
            <w:r>
              <w:t xml:space="preserve">The area bounded by a line connecting the following Geocentric Datum of Australia 2020 (GDA2020) coordinates — </w:t>
            </w:r>
          </w:p>
          <w:p>
            <w:pPr>
              <w:pStyle w:val="yTableNAm"/>
            </w:pPr>
            <w:r>
              <w:t>19.878631°S</w:t>
            </w:r>
            <w:r>
              <w:tab/>
              <w:t>128.200033°E</w:t>
            </w:r>
          </w:p>
          <w:p>
            <w:pPr>
              <w:pStyle w:val="yTableNAm"/>
            </w:pPr>
            <w:r>
              <w:t>19.880070°S</w:t>
            </w:r>
            <w:r>
              <w:tab/>
              <w:t>128.199346°E</w:t>
            </w:r>
          </w:p>
          <w:p>
            <w:pPr>
              <w:pStyle w:val="yTableNAm"/>
            </w:pPr>
            <w:r>
              <w:t>19.883877°S</w:t>
            </w:r>
            <w:r>
              <w:tab/>
              <w:t>128.200062°E</w:t>
            </w:r>
          </w:p>
          <w:p>
            <w:pPr>
              <w:pStyle w:val="yTableNAm"/>
            </w:pPr>
            <w:r>
              <w:t>19.884429°S</w:t>
            </w:r>
            <w:r>
              <w:tab/>
              <w:t>128.201664°E</w:t>
            </w:r>
          </w:p>
          <w:p>
            <w:pPr>
              <w:pStyle w:val="yTableNAm"/>
            </w:pPr>
            <w:r>
              <w:t>19.885895°S</w:t>
            </w:r>
            <w:r>
              <w:tab/>
              <w:t>128.218057°E</w:t>
            </w:r>
          </w:p>
          <w:p>
            <w:pPr>
              <w:pStyle w:val="yTableNAm"/>
            </w:pPr>
            <w:r>
              <w:t>19.884025°S</w:t>
            </w:r>
            <w:r>
              <w:tab/>
              <w:t>128.218744°E</w:t>
            </w:r>
          </w:p>
          <w:p>
            <w:pPr>
              <w:pStyle w:val="yTableNAm"/>
            </w:pPr>
            <w:r>
              <w:t>19.878631°S</w:t>
            </w:r>
            <w:r>
              <w:tab/>
              <w:t>128.200033°E</w:t>
            </w:r>
          </w:p>
        </w:tc>
      </w:tr>
      <w:tr>
        <w:tc>
          <w:tcPr>
            <w:tcW w:w="738" w:type="dxa"/>
            <w:noWrap/>
          </w:tcPr>
          <w:p>
            <w:pPr>
              <w:pStyle w:val="yTableNAm"/>
            </w:pPr>
            <w:r>
              <w:t>20.</w:t>
            </w:r>
          </w:p>
        </w:tc>
        <w:tc>
          <w:tcPr>
            <w:tcW w:w="2689" w:type="dxa"/>
            <w:noWrap/>
          </w:tcPr>
          <w:p>
            <w:pPr>
              <w:pStyle w:val="yTableNAm"/>
            </w:pPr>
            <w:r>
              <w:t>Duncan Road (WA/NT border)</w:t>
            </w:r>
          </w:p>
        </w:tc>
        <w:tc>
          <w:tcPr>
            <w:tcW w:w="3548" w:type="dxa"/>
            <w:noWrap/>
          </w:tcPr>
          <w:p>
            <w:pPr>
              <w:pStyle w:val="yTableNAm"/>
            </w:pPr>
            <w:r>
              <w:t xml:space="preserve">The area bounded by a line connecting the following Geocentric Datum of Australia 2020 (GDA2020) coordinates — </w:t>
            </w:r>
          </w:p>
          <w:p>
            <w:pPr>
              <w:pStyle w:val="yTableNAm"/>
            </w:pPr>
            <w:r>
              <w:t>18.049033°S</w:t>
            </w:r>
            <w:r>
              <w:tab/>
              <w:t>128.888510°E</w:t>
            </w:r>
          </w:p>
          <w:p>
            <w:pPr>
              <w:pStyle w:val="yTableNAm"/>
            </w:pPr>
            <w:r>
              <w:t>18.049876°S</w:t>
            </w:r>
            <w:r>
              <w:tab/>
              <w:t>128.889096°E</w:t>
            </w:r>
          </w:p>
          <w:p>
            <w:pPr>
              <w:pStyle w:val="yTableNAm"/>
            </w:pPr>
            <w:r>
              <w:t>18.044925°S</w:t>
            </w:r>
            <w:r>
              <w:tab/>
              <w:t>128.898180°E</w:t>
            </w:r>
          </w:p>
          <w:p>
            <w:pPr>
              <w:pStyle w:val="yTableNAm"/>
            </w:pPr>
            <w:r>
              <w:t>18.044035°S</w:t>
            </w:r>
            <w:r>
              <w:tab/>
              <w:t>128.898064°E</w:t>
            </w:r>
          </w:p>
          <w:p>
            <w:pPr>
              <w:pStyle w:val="yTableNAm"/>
            </w:pPr>
            <w:r>
              <w:t>18.044452°S</w:t>
            </w:r>
            <w:r>
              <w:tab/>
              <w:t>128.893729°E</w:t>
            </w:r>
          </w:p>
          <w:p>
            <w:pPr>
              <w:pStyle w:val="yTableNAm"/>
            </w:pPr>
            <w:r>
              <w:t>18.039131°S</w:t>
            </w:r>
            <w:r>
              <w:tab/>
              <w:t>128.892673°E</w:t>
            </w:r>
          </w:p>
          <w:p>
            <w:pPr>
              <w:pStyle w:val="yTableNAm"/>
            </w:pPr>
            <w:r>
              <w:t>18.039172°S</w:t>
            </w:r>
            <w:r>
              <w:tab/>
              <w:t>128.891528°E</w:t>
            </w:r>
          </w:p>
          <w:p>
            <w:pPr>
              <w:pStyle w:val="yTableNAm"/>
            </w:pPr>
            <w:r>
              <w:t>18.046041°S</w:t>
            </w:r>
            <w:r>
              <w:tab/>
              <w:t>128.892115°E</w:t>
            </w:r>
          </w:p>
          <w:p>
            <w:pPr>
              <w:pStyle w:val="yTableNAm"/>
            </w:pPr>
            <w:r>
              <w:t>18.049033°S</w:t>
            </w:r>
            <w:r>
              <w:tab/>
              <w:t>128.888510°E</w:t>
            </w:r>
          </w:p>
        </w:tc>
      </w:tr>
      <w:tr>
        <w:tc>
          <w:tcPr>
            <w:tcW w:w="738" w:type="dxa"/>
            <w:noWrap/>
          </w:tcPr>
          <w:p>
            <w:pPr>
              <w:pStyle w:val="yTableNAm"/>
            </w:pPr>
            <w:r>
              <w:lastRenderedPageBreak/>
              <w:t>21.</w:t>
            </w:r>
          </w:p>
        </w:tc>
        <w:tc>
          <w:tcPr>
            <w:tcW w:w="2689" w:type="dxa"/>
            <w:noWrap/>
          </w:tcPr>
          <w:p>
            <w:pPr>
              <w:pStyle w:val="yTableNAm"/>
            </w:pPr>
            <w:r>
              <w:t>Great Central Road (WA/NT border)</w:t>
            </w:r>
          </w:p>
        </w:tc>
        <w:tc>
          <w:tcPr>
            <w:tcW w:w="3548" w:type="dxa"/>
            <w:noWrap/>
          </w:tcPr>
          <w:p>
            <w:pPr>
              <w:pStyle w:val="yTableNAm"/>
            </w:pPr>
            <w:r>
              <w:t xml:space="preserve">The area bounded by a line connecting the following Geocentric Datum of Australia 2020 (GDA2020) coordinates — </w:t>
            </w:r>
          </w:p>
          <w:p>
            <w:pPr>
              <w:pStyle w:val="yTableNAm"/>
            </w:pPr>
            <w:r>
              <w:t>25.059389°S</w:t>
            </w:r>
            <w:r>
              <w:tab/>
              <w:t>128.321413°E</w:t>
            </w:r>
          </w:p>
          <w:p>
            <w:pPr>
              <w:pStyle w:val="yTableNAm"/>
            </w:pPr>
            <w:r>
              <w:t>25.056843°S</w:t>
            </w:r>
            <w:r>
              <w:tab/>
              <w:t>128.322064°E</w:t>
            </w:r>
          </w:p>
          <w:p>
            <w:pPr>
              <w:pStyle w:val="yTableNAm"/>
            </w:pPr>
            <w:r>
              <w:t>25.052294°S</w:t>
            </w:r>
            <w:r>
              <w:tab/>
              <w:t>128.301846°E</w:t>
            </w:r>
          </w:p>
          <w:p>
            <w:pPr>
              <w:pStyle w:val="yTableNAm"/>
            </w:pPr>
            <w:r>
              <w:t>25.054551°S</w:t>
            </w:r>
            <w:r>
              <w:tab/>
              <w:t>128.301248°E</w:t>
            </w:r>
          </w:p>
          <w:p>
            <w:pPr>
              <w:pStyle w:val="yTableNAm"/>
            </w:pPr>
            <w:r>
              <w:t>25.059389°S</w:t>
            </w:r>
            <w:r>
              <w:tab/>
              <w:t>128.321413°E</w:t>
            </w:r>
          </w:p>
        </w:tc>
      </w:tr>
      <w:tr>
        <w:tc>
          <w:tcPr>
            <w:tcW w:w="738" w:type="dxa"/>
            <w:noWrap/>
          </w:tcPr>
          <w:p>
            <w:pPr>
              <w:pStyle w:val="yTableNAm"/>
            </w:pPr>
            <w:r>
              <w:t>22.</w:t>
            </w:r>
          </w:p>
        </w:tc>
        <w:tc>
          <w:tcPr>
            <w:tcW w:w="2689" w:type="dxa"/>
            <w:noWrap/>
          </w:tcPr>
          <w:p>
            <w:pPr>
              <w:pStyle w:val="yTableNAm"/>
            </w:pPr>
            <w:r>
              <w:t>Rawlinna Rail Siding</w:t>
            </w:r>
          </w:p>
        </w:tc>
        <w:tc>
          <w:tcPr>
            <w:tcW w:w="3548" w:type="dxa"/>
            <w:noWrap/>
          </w:tcPr>
          <w:p>
            <w:pPr>
              <w:pStyle w:val="yTableNAm"/>
            </w:pPr>
            <w:r>
              <w:t xml:space="preserve">The area bounded by a line connecting the following Geocentric Datum of Australia 2020 (GDA2020) coordinates — </w:t>
            </w:r>
          </w:p>
          <w:p>
            <w:pPr>
              <w:pStyle w:val="yTableNAm"/>
            </w:pPr>
            <w:r>
              <w:t>31.007942°S</w:t>
            </w:r>
            <w:r>
              <w:tab/>
              <w:t>125.329615°E</w:t>
            </w:r>
          </w:p>
          <w:p>
            <w:pPr>
              <w:pStyle w:val="yTableNAm"/>
            </w:pPr>
            <w:r>
              <w:t>31.009229°S</w:t>
            </w:r>
            <w:r>
              <w:tab/>
              <w:t>125.329565°E</w:t>
            </w:r>
          </w:p>
          <w:p>
            <w:pPr>
              <w:pStyle w:val="yTableNAm"/>
            </w:pPr>
            <w:r>
              <w:t>31.009333°S</w:t>
            </w:r>
            <w:r>
              <w:tab/>
              <w:t>125.340687°E</w:t>
            </w:r>
          </w:p>
          <w:p>
            <w:pPr>
              <w:pStyle w:val="yTableNAm"/>
            </w:pPr>
            <w:r>
              <w:t>31.008027°S</w:t>
            </w:r>
            <w:r>
              <w:tab/>
              <w:t>125.340723°E</w:t>
            </w:r>
          </w:p>
          <w:p>
            <w:pPr>
              <w:pStyle w:val="yTableNAm"/>
            </w:pPr>
            <w:r>
              <w:t>31.007942°S</w:t>
            </w:r>
            <w:r>
              <w:tab/>
              <w:t>125.329615°E</w:t>
            </w:r>
          </w:p>
        </w:tc>
      </w:tr>
    </w:tbl>
    <w:p>
      <w:pPr>
        <w:pStyle w:val="yFootnotesection"/>
      </w:pPr>
      <w:bookmarkStart w:id="297" w:name="_Toc129094842"/>
      <w:bookmarkStart w:id="298" w:name="_Toc129095182"/>
      <w:bookmarkStart w:id="299" w:name="_Toc129100883"/>
      <w:bookmarkStart w:id="300" w:name="_Toc138319022"/>
      <w:bookmarkStart w:id="301" w:name="_Toc138684038"/>
      <w:r>
        <w:tab/>
        <w:t>[Division 1 inserted: No. 16 of 2023 s. 10.]</w:t>
      </w:r>
    </w:p>
    <w:p>
      <w:pPr>
        <w:pStyle w:val="yHeading3"/>
      </w:pPr>
      <w:bookmarkStart w:id="302" w:name="_Toc138691614"/>
      <w:bookmarkStart w:id="303" w:name="_Toc138751177"/>
      <w:r>
        <w:rPr>
          <w:rStyle w:val="CharSDivNo"/>
        </w:rPr>
        <w:lastRenderedPageBreak/>
        <w:t>Division 2</w:t>
      </w:r>
      <w:r>
        <w:rPr>
          <w:b w:val="0"/>
        </w:rPr>
        <w:t> — </w:t>
      </w:r>
      <w:r>
        <w:rPr>
          <w:rStyle w:val="CharSDivText"/>
        </w:rPr>
        <w:t>Plans of BSAs</w:t>
      </w:r>
      <w:bookmarkEnd w:id="297"/>
      <w:bookmarkEnd w:id="298"/>
      <w:bookmarkEnd w:id="299"/>
      <w:bookmarkEnd w:id="300"/>
      <w:bookmarkEnd w:id="301"/>
      <w:bookmarkEnd w:id="302"/>
      <w:bookmarkEnd w:id="303"/>
    </w:p>
    <w:p>
      <w:pPr>
        <w:pStyle w:val="yFootnoteheading"/>
        <w:keepNext/>
      </w:pPr>
      <w:bookmarkStart w:id="304" w:name="_Toc138319023"/>
      <w:bookmarkStart w:id="305" w:name="_Toc138684039"/>
      <w:r>
        <w:tab/>
        <w:t>[Heading inserted: No. 16 of 2023 s. 10.]</w:t>
      </w:r>
    </w:p>
    <w:p>
      <w:pPr>
        <w:pStyle w:val="yHeading5"/>
      </w:pPr>
      <w:bookmarkStart w:id="306" w:name="_Toc138751178"/>
      <w:r>
        <w:t>1.</w:t>
      </w:r>
      <w:r>
        <w:tab/>
        <w:t>Broome Port</w:t>
      </w:r>
      <w:bookmarkEnd w:id="304"/>
      <w:bookmarkEnd w:id="305"/>
      <w:bookmarkEnd w:id="306"/>
    </w:p>
    <w:p>
      <w:pPr>
        <w:pStyle w:val="ySubsection"/>
      </w:pPr>
      <w:r>
        <w:rPr>
          <w:noProof/>
          <w:sz w:val="24"/>
          <w:szCs w:val="24"/>
        </w:rPr>
        <w:drawing>
          <wp:inline distT="0" distB="0" distL="0" distR="0">
            <wp:extent cx="3842796" cy="2484889"/>
            <wp:effectExtent l="0" t="0" r="5715" b="0"/>
            <wp:docPr id="29" name="Picture 29" descr="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 1"/>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b="8557"/>
                    <a:stretch/>
                  </pic:blipFill>
                  <pic:spPr bwMode="auto">
                    <a:xfrm>
                      <a:off x="0" y="0"/>
                      <a:ext cx="3846241" cy="2487117"/>
                    </a:xfrm>
                    <a:prstGeom prst="rect">
                      <a:avLst/>
                    </a:prstGeom>
                    <a:noFill/>
                    <a:ln>
                      <a:noFill/>
                    </a:ln>
                    <a:effectLst/>
                    <a:extLst>
                      <a:ext uri="{53640926-AAD7-44D8-BBD7-CCE9431645EC}">
                        <a14:shadowObscured xmlns:a14="http://schemas.microsoft.com/office/drawing/2010/main"/>
                      </a:ext>
                    </a:extLst>
                  </pic:spPr>
                </pic:pic>
              </a:graphicData>
            </a:graphic>
          </wp:inline>
        </w:drawing>
      </w:r>
    </w:p>
    <w:p>
      <w:pPr>
        <w:pStyle w:val="yHeading5"/>
      </w:pPr>
      <w:bookmarkStart w:id="307" w:name="_Toc138319024"/>
      <w:bookmarkStart w:id="308" w:name="_Toc138684040"/>
      <w:bookmarkStart w:id="309" w:name="_Toc138751179"/>
      <w:r>
        <w:t>2.</w:t>
      </w:r>
      <w:r>
        <w:tab/>
        <w:t>Broome Airport</w:t>
      </w:r>
      <w:bookmarkEnd w:id="307"/>
      <w:bookmarkEnd w:id="308"/>
      <w:bookmarkEnd w:id="309"/>
    </w:p>
    <w:p>
      <w:pPr>
        <w:pStyle w:val="ySubsection"/>
        <w:keepNext/>
      </w:pPr>
      <w:r>
        <w:tab/>
      </w:r>
      <w:r>
        <w:tab/>
        <w:t>Zone 1</w:t>
      </w:r>
    </w:p>
    <w:p>
      <w:pPr>
        <w:pStyle w:val="ySubsection"/>
      </w:pPr>
      <w:r>
        <w:rPr>
          <w:noProof/>
        </w:rPr>
        <w:drawing>
          <wp:inline distT="0" distB="0" distL="0" distR="0">
            <wp:extent cx="3762375" cy="2430341"/>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SA 2 Zone 1 Broome Airport with Legend.jpg"/>
                    <pic:cNvPicPr/>
                  </pic:nvPicPr>
                  <pic:blipFill rotWithShape="1">
                    <a:blip r:embed="rId28" cstate="print">
                      <a:extLst>
                        <a:ext uri="{28A0092B-C50C-407E-A947-70E740481C1C}">
                          <a14:useLocalDpi xmlns:a14="http://schemas.microsoft.com/office/drawing/2010/main" val="0"/>
                        </a:ext>
                      </a:extLst>
                    </a:blip>
                    <a:srcRect b="8679"/>
                    <a:stretch/>
                  </pic:blipFill>
                  <pic:spPr bwMode="auto">
                    <a:xfrm>
                      <a:off x="0" y="0"/>
                      <a:ext cx="3765513" cy="2432368"/>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pPr>
      <w:r>
        <w:lastRenderedPageBreak/>
        <w:tab/>
      </w:r>
      <w:r>
        <w:tab/>
        <w:t>Zone 2</w:t>
      </w:r>
    </w:p>
    <w:p>
      <w:pPr>
        <w:pStyle w:val="ySubsection"/>
      </w:pPr>
      <w:r>
        <w:rPr>
          <w:noProof/>
        </w:rPr>
        <w:drawing>
          <wp:inline distT="0" distB="0" distL="0" distR="0">
            <wp:extent cx="4136065" cy="2684271"/>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SA 2 Zone 2 Broome Airport with Legend.jpg"/>
                    <pic:cNvPicPr/>
                  </pic:nvPicPr>
                  <pic:blipFill rotWithShape="1">
                    <a:blip r:embed="rId29" cstate="print">
                      <a:extLst>
                        <a:ext uri="{28A0092B-C50C-407E-A947-70E740481C1C}">
                          <a14:useLocalDpi xmlns:a14="http://schemas.microsoft.com/office/drawing/2010/main" val="0"/>
                        </a:ext>
                      </a:extLst>
                    </a:blip>
                    <a:srcRect b="8250"/>
                    <a:stretch/>
                  </pic:blipFill>
                  <pic:spPr bwMode="auto">
                    <a:xfrm>
                      <a:off x="0" y="0"/>
                      <a:ext cx="4137992" cy="2685522"/>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310" w:name="_Toc138319025"/>
      <w:bookmarkStart w:id="311" w:name="_Toc138684041"/>
      <w:bookmarkStart w:id="312" w:name="_Toc138751180"/>
      <w:r>
        <w:t>3.</w:t>
      </w:r>
      <w:r>
        <w:tab/>
        <w:t>Port of Port Hedland</w:t>
      </w:r>
      <w:bookmarkEnd w:id="310"/>
      <w:bookmarkEnd w:id="311"/>
      <w:bookmarkEnd w:id="312"/>
    </w:p>
    <w:p>
      <w:pPr>
        <w:pStyle w:val="ySubsection"/>
      </w:pPr>
      <w:r>
        <w:tab/>
      </w:r>
      <w:r>
        <w:tab/>
        <w:t>Zone 1</w:t>
      </w:r>
    </w:p>
    <w:p>
      <w:pPr>
        <w:pStyle w:val="ySubsection"/>
      </w:pPr>
      <w:r>
        <w:rPr>
          <w:noProof/>
        </w:rPr>
        <w:drawing>
          <wp:inline distT="0" distB="0" distL="0" distR="0">
            <wp:extent cx="4160544" cy="268754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SA 3 Zone 1 Port of Port Hedland with Legend.jpg"/>
                    <pic:cNvPicPr/>
                  </pic:nvPicPr>
                  <pic:blipFill rotWithShape="1">
                    <a:blip r:embed="rId30" cstate="print">
                      <a:extLst>
                        <a:ext uri="{28A0092B-C50C-407E-A947-70E740481C1C}">
                          <a14:useLocalDpi xmlns:a14="http://schemas.microsoft.com/office/drawing/2010/main" val="0"/>
                        </a:ext>
                      </a:extLst>
                    </a:blip>
                    <a:srcRect b="8679"/>
                    <a:stretch/>
                  </pic:blipFill>
                  <pic:spPr bwMode="auto">
                    <a:xfrm>
                      <a:off x="0" y="0"/>
                      <a:ext cx="4174312" cy="2696435"/>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pPr>
      <w:r>
        <w:lastRenderedPageBreak/>
        <w:tab/>
      </w:r>
      <w:r>
        <w:tab/>
        <w:t>Zone 2</w:t>
      </w:r>
    </w:p>
    <w:p>
      <w:pPr>
        <w:pStyle w:val="ySubsection"/>
      </w:pPr>
      <w:r>
        <w:rPr>
          <w:noProof/>
        </w:rPr>
        <w:drawing>
          <wp:inline distT="0" distB="0" distL="0" distR="0">
            <wp:extent cx="4221126" cy="2713871"/>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SA 3 Zone 2 Port of Port Hedland with Legend.jpg"/>
                    <pic:cNvPicPr/>
                  </pic:nvPicPr>
                  <pic:blipFill rotWithShape="1">
                    <a:blip r:embed="rId31" cstate="print">
                      <a:extLst>
                        <a:ext uri="{28A0092B-C50C-407E-A947-70E740481C1C}">
                          <a14:useLocalDpi xmlns:a14="http://schemas.microsoft.com/office/drawing/2010/main" val="0"/>
                        </a:ext>
                      </a:extLst>
                    </a:blip>
                    <a:srcRect b="9108"/>
                    <a:stretch/>
                  </pic:blipFill>
                  <pic:spPr bwMode="auto">
                    <a:xfrm>
                      <a:off x="0" y="0"/>
                      <a:ext cx="4225210" cy="2716496"/>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313" w:name="_Toc138319026"/>
      <w:bookmarkStart w:id="314" w:name="_Toc138684042"/>
      <w:bookmarkStart w:id="315" w:name="_Toc138751181"/>
      <w:r>
        <w:t>4.</w:t>
      </w:r>
      <w:r>
        <w:tab/>
        <w:t>Port Hedland International Airport</w:t>
      </w:r>
      <w:bookmarkEnd w:id="313"/>
      <w:bookmarkEnd w:id="314"/>
      <w:bookmarkEnd w:id="315"/>
    </w:p>
    <w:p>
      <w:pPr>
        <w:pStyle w:val="ySubsection"/>
      </w:pPr>
      <w:r>
        <w:rPr>
          <w:noProof/>
        </w:rPr>
        <w:drawing>
          <wp:inline distT="0" distB="0" distL="0" distR="0">
            <wp:extent cx="4266742" cy="274320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SA 4 Port Hedland International Airport with Legend.jpg"/>
                    <pic:cNvPicPr/>
                  </pic:nvPicPr>
                  <pic:blipFill rotWithShape="1">
                    <a:blip r:embed="rId32" cstate="print">
                      <a:extLst>
                        <a:ext uri="{28A0092B-C50C-407E-A947-70E740481C1C}">
                          <a14:useLocalDpi xmlns:a14="http://schemas.microsoft.com/office/drawing/2010/main" val="0"/>
                        </a:ext>
                      </a:extLst>
                    </a:blip>
                    <a:srcRect b="9108"/>
                    <a:stretch/>
                  </pic:blipFill>
                  <pic:spPr bwMode="auto">
                    <a:xfrm>
                      <a:off x="0" y="0"/>
                      <a:ext cx="4269614" cy="2745047"/>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316" w:name="_Toc138319027"/>
      <w:bookmarkStart w:id="317" w:name="_Toc138684043"/>
      <w:bookmarkStart w:id="318" w:name="_Toc138751182"/>
      <w:r>
        <w:lastRenderedPageBreak/>
        <w:t>5.</w:t>
      </w:r>
      <w:r>
        <w:tab/>
        <w:t>Port of Dampier</w:t>
      </w:r>
      <w:bookmarkEnd w:id="316"/>
      <w:bookmarkEnd w:id="317"/>
      <w:bookmarkEnd w:id="318"/>
    </w:p>
    <w:p>
      <w:pPr>
        <w:pStyle w:val="ySubsection"/>
      </w:pPr>
      <w:r>
        <w:rPr>
          <w:noProof/>
        </w:rPr>
        <w:drawing>
          <wp:inline distT="0" distB="0" distL="0" distR="0">
            <wp:extent cx="4500245" cy="2893325"/>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SA 5 Port of Dampier with Legend.jpg"/>
                    <pic:cNvPicPr/>
                  </pic:nvPicPr>
                  <pic:blipFill rotWithShape="1">
                    <a:blip r:embed="rId33" cstate="print">
                      <a:extLst>
                        <a:ext uri="{28A0092B-C50C-407E-A947-70E740481C1C}">
                          <a14:useLocalDpi xmlns:a14="http://schemas.microsoft.com/office/drawing/2010/main" val="0"/>
                        </a:ext>
                      </a:extLst>
                    </a:blip>
                    <a:srcRect b="9108"/>
                    <a:stretch/>
                  </pic:blipFill>
                  <pic:spPr bwMode="auto">
                    <a:xfrm>
                      <a:off x="0" y="0"/>
                      <a:ext cx="4500245" cy="2893325"/>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319" w:name="_Toc138319028"/>
      <w:bookmarkStart w:id="320" w:name="_Toc138684044"/>
      <w:bookmarkStart w:id="321" w:name="_Toc138751183"/>
      <w:r>
        <w:t>6.</w:t>
      </w:r>
      <w:r>
        <w:tab/>
        <w:t>Port of Ashburton (Onslow)</w:t>
      </w:r>
      <w:bookmarkEnd w:id="319"/>
      <w:bookmarkEnd w:id="320"/>
      <w:bookmarkEnd w:id="321"/>
    </w:p>
    <w:p>
      <w:pPr>
        <w:pStyle w:val="ySubsection"/>
      </w:pPr>
      <w:r>
        <w:rPr>
          <w:noProof/>
        </w:rPr>
        <w:drawing>
          <wp:inline distT="0" distB="0" distL="0" distR="0">
            <wp:extent cx="4500245" cy="286024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SA 6 Port of Ashburton (Onslow) with Legend.jpg"/>
                    <pic:cNvPicPr/>
                  </pic:nvPicPr>
                  <pic:blipFill rotWithShape="1">
                    <a:blip r:embed="rId34" cstate="print">
                      <a:extLst>
                        <a:ext uri="{28A0092B-C50C-407E-A947-70E740481C1C}">
                          <a14:useLocalDpi xmlns:a14="http://schemas.microsoft.com/office/drawing/2010/main" val="0"/>
                        </a:ext>
                      </a:extLst>
                    </a:blip>
                    <a:srcRect b="10148"/>
                    <a:stretch/>
                  </pic:blipFill>
                  <pic:spPr bwMode="auto">
                    <a:xfrm>
                      <a:off x="0" y="0"/>
                      <a:ext cx="4500245" cy="2860243"/>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322" w:name="_Toc138319029"/>
      <w:bookmarkStart w:id="323" w:name="_Toc138684045"/>
      <w:bookmarkStart w:id="324" w:name="_Toc138751184"/>
      <w:r>
        <w:lastRenderedPageBreak/>
        <w:t>7.</w:t>
      </w:r>
      <w:r>
        <w:tab/>
        <w:t>Port of Geraldton</w:t>
      </w:r>
      <w:bookmarkEnd w:id="322"/>
      <w:bookmarkEnd w:id="323"/>
      <w:bookmarkEnd w:id="324"/>
    </w:p>
    <w:p>
      <w:pPr>
        <w:pStyle w:val="ySubsection"/>
        <w:keepNext/>
      </w:pPr>
      <w:r>
        <w:tab/>
      </w:r>
      <w:r>
        <w:tab/>
        <w:t>Zone 1</w:t>
      </w:r>
    </w:p>
    <w:p>
      <w:pPr>
        <w:pStyle w:val="ySubsection"/>
      </w:pPr>
      <w:r>
        <w:rPr>
          <w:noProof/>
        </w:rPr>
        <w:drawing>
          <wp:inline distT="0" distB="0" distL="0" distR="0">
            <wp:extent cx="4306186" cy="2742442"/>
            <wp:effectExtent l="0" t="0" r="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SA 7 Zone 1 Port of Geraldton with Legend.jpg"/>
                    <pic:cNvPicPr/>
                  </pic:nvPicPr>
                  <pic:blipFill rotWithShape="1">
                    <a:blip r:embed="rId35" cstate="print">
                      <a:extLst>
                        <a:ext uri="{28A0092B-C50C-407E-A947-70E740481C1C}">
                          <a14:useLocalDpi xmlns:a14="http://schemas.microsoft.com/office/drawing/2010/main" val="0"/>
                        </a:ext>
                      </a:extLst>
                    </a:blip>
                    <a:srcRect b="9965"/>
                    <a:stretch/>
                  </pic:blipFill>
                  <pic:spPr bwMode="auto">
                    <a:xfrm>
                      <a:off x="0" y="0"/>
                      <a:ext cx="4308250" cy="2743756"/>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pPr>
      <w:r>
        <w:tab/>
      </w:r>
      <w:r>
        <w:tab/>
        <w:t>Zone 2</w:t>
      </w:r>
    </w:p>
    <w:p>
      <w:pPr>
        <w:pStyle w:val="ySubsection"/>
      </w:pPr>
      <w:r>
        <w:rPr>
          <w:noProof/>
        </w:rPr>
        <w:drawing>
          <wp:inline distT="0" distB="0" distL="0" distR="0">
            <wp:extent cx="4313482" cy="278633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SA 7 Zone 2 Port of Geraldton with Legend.jpg"/>
                    <pic:cNvPicPr/>
                  </pic:nvPicPr>
                  <pic:blipFill rotWithShape="1">
                    <a:blip r:embed="rId36" cstate="print">
                      <a:extLst>
                        <a:ext uri="{28A0092B-C50C-407E-A947-70E740481C1C}">
                          <a14:useLocalDpi xmlns:a14="http://schemas.microsoft.com/office/drawing/2010/main" val="0"/>
                        </a:ext>
                      </a:extLst>
                    </a:blip>
                    <a:srcRect b="8679"/>
                    <a:stretch/>
                  </pic:blipFill>
                  <pic:spPr bwMode="auto">
                    <a:xfrm>
                      <a:off x="0" y="0"/>
                      <a:ext cx="4319784" cy="2790403"/>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325" w:name="_Toc138319030"/>
      <w:bookmarkStart w:id="326" w:name="_Toc138684046"/>
      <w:bookmarkStart w:id="327" w:name="_Toc138751185"/>
      <w:r>
        <w:lastRenderedPageBreak/>
        <w:t>8.</w:t>
      </w:r>
      <w:r>
        <w:tab/>
        <w:t>Perth Airport</w:t>
      </w:r>
      <w:bookmarkEnd w:id="325"/>
      <w:bookmarkEnd w:id="326"/>
      <w:bookmarkEnd w:id="327"/>
    </w:p>
    <w:p>
      <w:pPr>
        <w:pStyle w:val="ySubsection"/>
      </w:pPr>
      <w:r>
        <w:tab/>
      </w:r>
      <w:r>
        <w:tab/>
        <w:t>Zone 1</w:t>
      </w:r>
    </w:p>
    <w:p>
      <w:pPr>
        <w:pStyle w:val="ySubsection"/>
      </w:pPr>
      <w:r>
        <w:rPr>
          <w:noProof/>
        </w:rPr>
        <w:drawing>
          <wp:inline distT="0" distB="0" distL="0" distR="0">
            <wp:extent cx="3912782" cy="276771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SA 8 Zone 1 Perth Airport with Legend.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919895" cy="2772743"/>
                    </a:xfrm>
                    <a:prstGeom prst="rect">
                      <a:avLst/>
                    </a:prstGeom>
                  </pic:spPr>
                </pic:pic>
              </a:graphicData>
            </a:graphic>
          </wp:inline>
        </w:drawing>
      </w:r>
    </w:p>
    <w:p>
      <w:pPr>
        <w:pStyle w:val="ySubsection"/>
        <w:keepNext/>
      </w:pPr>
      <w:r>
        <w:tab/>
      </w:r>
      <w:r>
        <w:tab/>
        <w:t>Zone 2</w:t>
      </w:r>
    </w:p>
    <w:p>
      <w:pPr>
        <w:pStyle w:val="ySubsection"/>
      </w:pPr>
      <w:r>
        <w:rPr>
          <w:noProof/>
        </w:rPr>
        <w:drawing>
          <wp:inline distT="0" distB="0" distL="0" distR="0">
            <wp:extent cx="3869298" cy="2736955"/>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SA 8 Zone 2 Perth Airport with Legend.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876291" cy="2741902"/>
                    </a:xfrm>
                    <a:prstGeom prst="rect">
                      <a:avLst/>
                    </a:prstGeom>
                  </pic:spPr>
                </pic:pic>
              </a:graphicData>
            </a:graphic>
          </wp:inline>
        </w:drawing>
      </w:r>
    </w:p>
    <w:p>
      <w:pPr>
        <w:pStyle w:val="ySubsection"/>
      </w:pPr>
      <w:r>
        <w:lastRenderedPageBreak/>
        <w:tab/>
      </w:r>
      <w:r>
        <w:tab/>
        <w:t>Zone 3</w:t>
      </w:r>
    </w:p>
    <w:p>
      <w:pPr>
        <w:pStyle w:val="ySubsection"/>
      </w:pPr>
      <w:r>
        <w:rPr>
          <w:noProof/>
        </w:rPr>
        <w:drawing>
          <wp:inline distT="0" distB="0" distL="0" distR="0">
            <wp:extent cx="4029740" cy="2651929"/>
            <wp:effectExtent l="0" t="0" r="889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SA 8 Zone 3 Perth Airport with Legend.jpg"/>
                    <pic:cNvPicPr/>
                  </pic:nvPicPr>
                  <pic:blipFill rotWithShape="1">
                    <a:blip r:embed="rId39" cstate="print">
                      <a:extLst>
                        <a:ext uri="{28A0092B-C50C-407E-A947-70E740481C1C}">
                          <a14:useLocalDpi xmlns:a14="http://schemas.microsoft.com/office/drawing/2010/main" val="0"/>
                        </a:ext>
                      </a:extLst>
                    </a:blip>
                    <a:srcRect b="6965"/>
                    <a:stretch/>
                  </pic:blipFill>
                  <pic:spPr bwMode="auto">
                    <a:xfrm>
                      <a:off x="0" y="0"/>
                      <a:ext cx="4034433" cy="2655017"/>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328" w:name="_Toc138319031"/>
      <w:bookmarkStart w:id="329" w:name="_Toc138684047"/>
      <w:bookmarkStart w:id="330" w:name="_Toc138751186"/>
      <w:r>
        <w:t>9.</w:t>
      </w:r>
      <w:r>
        <w:tab/>
        <w:t>Fremantle Port (Inner Harbour)</w:t>
      </w:r>
      <w:bookmarkEnd w:id="328"/>
      <w:bookmarkEnd w:id="329"/>
      <w:bookmarkEnd w:id="330"/>
    </w:p>
    <w:p>
      <w:pPr>
        <w:pStyle w:val="ySubsection"/>
      </w:pPr>
      <w:r>
        <w:tab/>
      </w:r>
      <w:r>
        <w:tab/>
        <w:t>Zone 1</w:t>
      </w:r>
    </w:p>
    <w:p>
      <w:pPr>
        <w:pStyle w:val="ySubsection"/>
      </w:pPr>
      <w:r>
        <w:rPr>
          <w:noProof/>
        </w:rPr>
        <w:drawing>
          <wp:inline distT="0" distB="0" distL="0" distR="0">
            <wp:extent cx="3821892" cy="2703420"/>
            <wp:effectExtent l="0" t="0" r="7620"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SA 9 Zone 1 Fremantle Port (Inner Harbour) with Legend.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836579" cy="2713809"/>
                    </a:xfrm>
                    <a:prstGeom prst="rect">
                      <a:avLst/>
                    </a:prstGeom>
                  </pic:spPr>
                </pic:pic>
              </a:graphicData>
            </a:graphic>
          </wp:inline>
        </w:drawing>
      </w:r>
    </w:p>
    <w:p>
      <w:pPr>
        <w:pStyle w:val="ySubsection"/>
        <w:keepNext/>
      </w:pPr>
      <w:r>
        <w:lastRenderedPageBreak/>
        <w:tab/>
      </w:r>
      <w:r>
        <w:tab/>
        <w:t>Zone 2</w:t>
      </w:r>
    </w:p>
    <w:p>
      <w:pPr>
        <w:pStyle w:val="ySubsection"/>
      </w:pPr>
      <w:r>
        <w:rPr>
          <w:noProof/>
        </w:rPr>
        <w:drawing>
          <wp:inline distT="0" distB="0" distL="0" distR="0">
            <wp:extent cx="4008475" cy="2835400"/>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SA 9 Zone 2 Fremantle Port (Inner Harbour) with Legend.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012220" cy="2838049"/>
                    </a:xfrm>
                    <a:prstGeom prst="rect">
                      <a:avLst/>
                    </a:prstGeom>
                  </pic:spPr>
                </pic:pic>
              </a:graphicData>
            </a:graphic>
          </wp:inline>
        </w:drawing>
      </w:r>
    </w:p>
    <w:p>
      <w:pPr>
        <w:pStyle w:val="ySubsection"/>
      </w:pPr>
      <w:r>
        <w:tab/>
      </w:r>
      <w:r>
        <w:tab/>
        <w:t>Zone 3</w:t>
      </w:r>
    </w:p>
    <w:p>
      <w:pPr>
        <w:pStyle w:val="ySubsection"/>
      </w:pPr>
      <w:r>
        <w:rPr>
          <w:noProof/>
        </w:rPr>
        <w:drawing>
          <wp:inline distT="0" distB="0" distL="0" distR="0">
            <wp:extent cx="4019107" cy="2842922"/>
            <wp:effectExtent l="0" t="0" r="63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SA 9 Zone 3 Fremantle Port (Inner Harbour) with Legend.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022703" cy="2845466"/>
                    </a:xfrm>
                    <a:prstGeom prst="rect">
                      <a:avLst/>
                    </a:prstGeom>
                  </pic:spPr>
                </pic:pic>
              </a:graphicData>
            </a:graphic>
          </wp:inline>
        </w:drawing>
      </w:r>
    </w:p>
    <w:p>
      <w:pPr>
        <w:pStyle w:val="ySubsection"/>
      </w:pPr>
      <w:r>
        <w:lastRenderedPageBreak/>
        <w:tab/>
      </w:r>
      <w:r>
        <w:tab/>
        <w:t>Zone 4</w:t>
      </w:r>
    </w:p>
    <w:p>
      <w:pPr>
        <w:pStyle w:val="ySubsection"/>
      </w:pPr>
      <w:r>
        <w:rPr>
          <w:noProof/>
        </w:rPr>
        <w:drawing>
          <wp:inline distT="0" distB="0" distL="0" distR="0">
            <wp:extent cx="3827174" cy="2707158"/>
            <wp:effectExtent l="0" t="0" r="190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SA 9 Zone 4 Fremantle Port (Inner Harbour) with Legend.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834065" cy="2712032"/>
                    </a:xfrm>
                    <a:prstGeom prst="rect">
                      <a:avLst/>
                    </a:prstGeom>
                  </pic:spPr>
                </pic:pic>
              </a:graphicData>
            </a:graphic>
          </wp:inline>
        </w:drawing>
      </w:r>
    </w:p>
    <w:p>
      <w:pPr>
        <w:pStyle w:val="yHeading5"/>
      </w:pPr>
      <w:bookmarkStart w:id="331" w:name="_Toc138319032"/>
      <w:bookmarkStart w:id="332" w:name="_Toc138684048"/>
      <w:bookmarkStart w:id="333" w:name="_Toc138751187"/>
      <w:r>
        <w:t>10.</w:t>
      </w:r>
      <w:r>
        <w:tab/>
        <w:t>Fremantle Port (Outer Harbour)</w:t>
      </w:r>
      <w:bookmarkEnd w:id="331"/>
      <w:bookmarkEnd w:id="332"/>
      <w:bookmarkEnd w:id="333"/>
    </w:p>
    <w:p>
      <w:pPr>
        <w:pStyle w:val="ySubsection"/>
      </w:pPr>
      <w:r>
        <w:tab/>
      </w:r>
      <w:r>
        <w:tab/>
        <w:t>Zone 1</w:t>
      </w:r>
    </w:p>
    <w:p>
      <w:pPr>
        <w:pStyle w:val="ySubsection"/>
      </w:pPr>
      <w:r>
        <w:rPr>
          <w:noProof/>
        </w:rPr>
        <w:drawing>
          <wp:inline distT="0" distB="0" distL="0" distR="0">
            <wp:extent cx="3923414" cy="2775231"/>
            <wp:effectExtent l="0" t="0" r="127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SA 10 Zone 1 Fremantle Port (Outer Harbour) with Legend.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926267" cy="2777249"/>
                    </a:xfrm>
                    <a:prstGeom prst="rect">
                      <a:avLst/>
                    </a:prstGeom>
                  </pic:spPr>
                </pic:pic>
              </a:graphicData>
            </a:graphic>
          </wp:inline>
        </w:drawing>
      </w:r>
    </w:p>
    <w:p>
      <w:pPr>
        <w:pStyle w:val="ySubsection"/>
      </w:pPr>
      <w:r>
        <w:lastRenderedPageBreak/>
        <w:tab/>
      </w:r>
      <w:r>
        <w:tab/>
        <w:t>Zone 2</w:t>
      </w:r>
    </w:p>
    <w:p>
      <w:pPr>
        <w:pStyle w:val="ySubsection"/>
      </w:pPr>
      <w:r>
        <w:rPr>
          <w:noProof/>
        </w:rPr>
        <w:drawing>
          <wp:inline distT="0" distB="0" distL="0" distR="0">
            <wp:extent cx="4295554" cy="2735670"/>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SA 10 Zone 2 Fremantle Port (Outer Harbour) with Legend.jpg"/>
                    <pic:cNvPicPr/>
                  </pic:nvPicPr>
                  <pic:blipFill rotWithShape="1">
                    <a:blip r:embed="rId45" cstate="print">
                      <a:extLst>
                        <a:ext uri="{28A0092B-C50C-407E-A947-70E740481C1C}">
                          <a14:useLocalDpi xmlns:a14="http://schemas.microsoft.com/office/drawing/2010/main" val="0"/>
                        </a:ext>
                      </a:extLst>
                    </a:blip>
                    <a:srcRect b="9965"/>
                    <a:stretch/>
                  </pic:blipFill>
                  <pic:spPr bwMode="auto">
                    <a:xfrm>
                      <a:off x="0" y="0"/>
                      <a:ext cx="4303100" cy="2740476"/>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pPr>
      <w:r>
        <w:tab/>
      </w:r>
      <w:r>
        <w:tab/>
        <w:t>Zone 3</w:t>
      </w:r>
    </w:p>
    <w:p>
      <w:pPr>
        <w:pStyle w:val="ySubsection"/>
      </w:pPr>
      <w:r>
        <w:rPr>
          <w:noProof/>
        </w:rPr>
        <w:drawing>
          <wp:inline distT="0" distB="0" distL="0" distR="0">
            <wp:extent cx="4295140" cy="3038174"/>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BSA 10 Zone 3 Fremantle Port (Outer Harbour) with Legend.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299670" cy="3041378"/>
                    </a:xfrm>
                    <a:prstGeom prst="rect">
                      <a:avLst/>
                    </a:prstGeom>
                  </pic:spPr>
                </pic:pic>
              </a:graphicData>
            </a:graphic>
          </wp:inline>
        </w:drawing>
      </w:r>
    </w:p>
    <w:p>
      <w:pPr>
        <w:pStyle w:val="ySubsection"/>
      </w:pPr>
      <w:r>
        <w:lastRenderedPageBreak/>
        <w:tab/>
      </w:r>
      <w:r>
        <w:tab/>
        <w:t>Zone 4</w:t>
      </w:r>
    </w:p>
    <w:p>
      <w:pPr>
        <w:pStyle w:val="ySubsection"/>
      </w:pPr>
      <w:r>
        <w:rPr>
          <w:noProof/>
        </w:rPr>
        <w:drawing>
          <wp:inline distT="0" distB="0" distL="0" distR="0">
            <wp:extent cx="4347376" cy="2819617"/>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BSA 10 Zone 4 Fremantle Port (Outer Harbour) with Legend.jpg"/>
                    <pic:cNvPicPr/>
                  </pic:nvPicPr>
                  <pic:blipFill rotWithShape="1">
                    <a:blip r:embed="rId47" cstate="print">
                      <a:extLst>
                        <a:ext uri="{28A0092B-C50C-407E-A947-70E740481C1C}">
                          <a14:useLocalDpi xmlns:a14="http://schemas.microsoft.com/office/drawing/2010/main" val="0"/>
                        </a:ext>
                      </a:extLst>
                    </a:blip>
                    <a:srcRect b="8309"/>
                    <a:stretch/>
                  </pic:blipFill>
                  <pic:spPr bwMode="auto">
                    <a:xfrm>
                      <a:off x="0" y="0"/>
                      <a:ext cx="4350921" cy="2821916"/>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keepNext/>
      </w:pPr>
      <w:r>
        <w:tab/>
      </w:r>
      <w:r>
        <w:tab/>
        <w:t>Zone 5</w:t>
      </w:r>
    </w:p>
    <w:p>
      <w:pPr>
        <w:pStyle w:val="ySubsection"/>
      </w:pPr>
      <w:r>
        <w:rPr>
          <w:noProof/>
        </w:rPr>
        <w:drawing>
          <wp:inline distT="0" distB="0" distL="0" distR="0">
            <wp:extent cx="4377783" cy="2867803"/>
            <wp:effectExtent l="0" t="0" r="381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SA 10 Zone 5 Fremantle Port (Outer Harbour) with Legend.jpg"/>
                    <pic:cNvPicPr/>
                  </pic:nvPicPr>
                  <pic:blipFill rotWithShape="1">
                    <a:blip r:embed="rId48" cstate="print">
                      <a:extLst>
                        <a:ext uri="{28A0092B-C50C-407E-A947-70E740481C1C}">
                          <a14:useLocalDpi xmlns:a14="http://schemas.microsoft.com/office/drawing/2010/main" val="0"/>
                        </a:ext>
                      </a:extLst>
                    </a:blip>
                    <a:srcRect b="7390"/>
                    <a:stretch/>
                  </pic:blipFill>
                  <pic:spPr bwMode="auto">
                    <a:xfrm>
                      <a:off x="0" y="0"/>
                      <a:ext cx="4381050" cy="2869943"/>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keepNext/>
      </w:pPr>
      <w:r>
        <w:lastRenderedPageBreak/>
        <w:tab/>
      </w:r>
      <w:r>
        <w:tab/>
        <w:t>Zone 6</w:t>
      </w:r>
    </w:p>
    <w:p>
      <w:pPr>
        <w:pStyle w:val="ySubsection"/>
      </w:pPr>
      <w:r>
        <w:rPr>
          <w:noProof/>
        </w:rPr>
        <w:drawing>
          <wp:inline distT="0" distB="0" distL="0" distR="0">
            <wp:extent cx="4500245" cy="2904134"/>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SA 10 Zone 6 Fremantle Port (Outer Harbour) with Legend.jpg"/>
                    <pic:cNvPicPr/>
                  </pic:nvPicPr>
                  <pic:blipFill rotWithShape="1">
                    <a:blip r:embed="rId49" cstate="print">
                      <a:extLst>
                        <a:ext uri="{28A0092B-C50C-407E-A947-70E740481C1C}">
                          <a14:useLocalDpi xmlns:a14="http://schemas.microsoft.com/office/drawing/2010/main" val="0"/>
                        </a:ext>
                      </a:extLst>
                    </a:blip>
                    <a:srcRect b="8769"/>
                    <a:stretch/>
                  </pic:blipFill>
                  <pic:spPr bwMode="auto">
                    <a:xfrm>
                      <a:off x="0" y="0"/>
                      <a:ext cx="4500245" cy="2904134"/>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pPr>
      <w:r>
        <w:tab/>
      </w:r>
      <w:r>
        <w:tab/>
        <w:t>Zone 7</w:t>
      </w:r>
    </w:p>
    <w:p>
      <w:pPr>
        <w:pStyle w:val="ySubsection"/>
      </w:pPr>
      <w:r>
        <w:rPr>
          <w:noProof/>
        </w:rPr>
        <w:drawing>
          <wp:inline distT="0" distB="0" distL="0" distR="0">
            <wp:extent cx="4500245" cy="2882188"/>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BSA 10 Zone 7 Fremantle Port (Outer Harbour) with Legend.jpg"/>
                    <pic:cNvPicPr/>
                  </pic:nvPicPr>
                  <pic:blipFill rotWithShape="1">
                    <a:blip r:embed="rId50" cstate="print">
                      <a:extLst>
                        <a:ext uri="{28A0092B-C50C-407E-A947-70E740481C1C}">
                          <a14:useLocalDpi xmlns:a14="http://schemas.microsoft.com/office/drawing/2010/main" val="0"/>
                        </a:ext>
                      </a:extLst>
                    </a:blip>
                    <a:srcRect b="9458"/>
                    <a:stretch/>
                  </pic:blipFill>
                  <pic:spPr bwMode="auto">
                    <a:xfrm>
                      <a:off x="0" y="0"/>
                      <a:ext cx="4500245" cy="2882188"/>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334" w:name="_Toc138319033"/>
      <w:bookmarkStart w:id="335" w:name="_Toc138684049"/>
      <w:bookmarkStart w:id="336" w:name="_Toc138751188"/>
      <w:r>
        <w:lastRenderedPageBreak/>
        <w:t>11.</w:t>
      </w:r>
      <w:r>
        <w:tab/>
        <w:t>Jandakot Airport</w:t>
      </w:r>
      <w:bookmarkEnd w:id="334"/>
      <w:bookmarkEnd w:id="335"/>
      <w:bookmarkEnd w:id="336"/>
    </w:p>
    <w:p>
      <w:pPr>
        <w:pStyle w:val="ySubsection"/>
      </w:pPr>
      <w:r>
        <w:rPr>
          <w:noProof/>
        </w:rPr>
        <w:drawing>
          <wp:inline distT="0" distB="0" distL="0" distR="0">
            <wp:extent cx="4500245" cy="2823667"/>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SA 11 Jandakot Airport with Legend.jpg"/>
                    <pic:cNvPicPr/>
                  </pic:nvPicPr>
                  <pic:blipFill rotWithShape="1">
                    <a:blip r:embed="rId51" cstate="print">
                      <a:extLst>
                        <a:ext uri="{28A0092B-C50C-407E-A947-70E740481C1C}">
                          <a14:useLocalDpi xmlns:a14="http://schemas.microsoft.com/office/drawing/2010/main" val="0"/>
                        </a:ext>
                      </a:extLst>
                    </a:blip>
                    <a:srcRect b="11296"/>
                    <a:stretch/>
                  </pic:blipFill>
                  <pic:spPr bwMode="auto">
                    <a:xfrm>
                      <a:off x="0" y="0"/>
                      <a:ext cx="4500245" cy="2823667"/>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337" w:name="_Toc138319034"/>
      <w:bookmarkStart w:id="338" w:name="_Toc138684050"/>
      <w:bookmarkStart w:id="339" w:name="_Toc138751189"/>
      <w:r>
        <w:t>12.</w:t>
      </w:r>
      <w:r>
        <w:tab/>
        <w:t>Wyndham Port</w:t>
      </w:r>
      <w:bookmarkEnd w:id="337"/>
      <w:bookmarkEnd w:id="338"/>
      <w:bookmarkEnd w:id="339"/>
    </w:p>
    <w:p>
      <w:pPr>
        <w:pStyle w:val="ySubsection"/>
      </w:pPr>
      <w:r>
        <w:rPr>
          <w:noProof/>
        </w:rPr>
        <w:drawing>
          <wp:inline distT="0" distB="0" distL="0" distR="0">
            <wp:extent cx="4520597" cy="290413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BSA 12 Wyndham Port with Legend.jpg"/>
                    <pic:cNvPicPr/>
                  </pic:nvPicPr>
                  <pic:blipFill rotWithShape="1">
                    <a:blip r:embed="rId52" cstate="print">
                      <a:extLst>
                        <a:ext uri="{28A0092B-C50C-407E-A947-70E740481C1C}">
                          <a14:useLocalDpi xmlns:a14="http://schemas.microsoft.com/office/drawing/2010/main" val="0"/>
                        </a:ext>
                      </a:extLst>
                    </a:blip>
                    <a:srcRect l="813" b="9918"/>
                    <a:stretch/>
                  </pic:blipFill>
                  <pic:spPr bwMode="auto">
                    <a:xfrm>
                      <a:off x="0" y="0"/>
                      <a:ext cx="4532441" cy="2911743"/>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340" w:name="_Toc138319035"/>
      <w:bookmarkStart w:id="341" w:name="_Toc138684051"/>
      <w:bookmarkStart w:id="342" w:name="_Toc138751190"/>
      <w:r>
        <w:lastRenderedPageBreak/>
        <w:t>13.</w:t>
      </w:r>
      <w:r>
        <w:tab/>
        <w:t>Bunbury Port</w:t>
      </w:r>
      <w:bookmarkEnd w:id="340"/>
      <w:bookmarkEnd w:id="341"/>
      <w:bookmarkEnd w:id="342"/>
    </w:p>
    <w:p>
      <w:pPr>
        <w:pStyle w:val="ySubsection"/>
      </w:pPr>
      <w:r>
        <w:tab/>
      </w:r>
      <w:r>
        <w:tab/>
        <w:t>Zone 1</w:t>
      </w:r>
    </w:p>
    <w:p>
      <w:pPr>
        <w:pStyle w:val="ySubsection"/>
      </w:pPr>
      <w:r>
        <w:rPr>
          <w:noProof/>
        </w:rPr>
        <w:drawing>
          <wp:inline distT="0" distB="0" distL="0" distR="0">
            <wp:extent cx="4141448" cy="265239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BSA 13 Zone 1 Bunbury Port with Legend.jpg"/>
                    <pic:cNvPicPr/>
                  </pic:nvPicPr>
                  <pic:blipFill rotWithShape="1">
                    <a:blip r:embed="rId53" cstate="print">
                      <a:extLst>
                        <a:ext uri="{28A0092B-C50C-407E-A947-70E740481C1C}">
                          <a14:useLocalDpi xmlns:a14="http://schemas.microsoft.com/office/drawing/2010/main" val="0"/>
                        </a:ext>
                      </a:extLst>
                    </a:blip>
                    <a:srcRect b="9458"/>
                    <a:stretch/>
                  </pic:blipFill>
                  <pic:spPr bwMode="auto">
                    <a:xfrm>
                      <a:off x="0" y="0"/>
                      <a:ext cx="4155920" cy="2661664"/>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keepNext/>
      </w:pPr>
      <w:r>
        <w:tab/>
      </w:r>
      <w:r>
        <w:tab/>
        <w:t>Zone 2</w:t>
      </w:r>
    </w:p>
    <w:p>
      <w:pPr>
        <w:pStyle w:val="ySubsection"/>
      </w:pPr>
      <w:r>
        <w:rPr>
          <w:noProof/>
        </w:rPr>
        <w:drawing>
          <wp:inline distT="0" distB="0" distL="0" distR="0">
            <wp:extent cx="4107774" cy="2670896"/>
            <wp:effectExtent l="0" t="0" r="762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BSA 13 Zone 2 Bunbury Port with Legend.jpg"/>
                    <pic:cNvPicPr/>
                  </pic:nvPicPr>
                  <pic:blipFill rotWithShape="1">
                    <a:blip r:embed="rId54" cstate="print">
                      <a:extLst>
                        <a:ext uri="{28A0092B-C50C-407E-A947-70E740481C1C}">
                          <a14:useLocalDpi xmlns:a14="http://schemas.microsoft.com/office/drawing/2010/main" val="0"/>
                        </a:ext>
                      </a:extLst>
                    </a:blip>
                    <a:srcRect b="8078"/>
                    <a:stretch/>
                  </pic:blipFill>
                  <pic:spPr bwMode="auto">
                    <a:xfrm>
                      <a:off x="0" y="0"/>
                      <a:ext cx="4123414" cy="2681065"/>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pPr>
      <w:r>
        <w:tab/>
      </w:r>
      <w:r>
        <w:tab/>
        <w:t>Zone 3</w:t>
      </w:r>
    </w:p>
    <w:p>
      <w:pPr>
        <w:pStyle w:val="ySubsection"/>
      </w:pPr>
      <w:r>
        <w:rPr>
          <w:noProof/>
        </w:rPr>
        <w:lastRenderedPageBreak/>
        <w:drawing>
          <wp:inline distT="0" distB="0" distL="0" distR="0">
            <wp:extent cx="4498043" cy="2860158"/>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BSA 13 Zone 3 Binbury Port with Legend.jpg"/>
                    <pic:cNvPicPr/>
                  </pic:nvPicPr>
                  <pic:blipFill rotWithShape="1">
                    <a:blip r:embed="rId55" cstate="print">
                      <a:extLst>
                        <a:ext uri="{28A0092B-C50C-407E-A947-70E740481C1C}">
                          <a14:useLocalDpi xmlns:a14="http://schemas.microsoft.com/office/drawing/2010/main" val="0"/>
                        </a:ext>
                      </a:extLst>
                    </a:blip>
                    <a:srcRect l="813" b="10837"/>
                    <a:stretch/>
                  </pic:blipFill>
                  <pic:spPr bwMode="auto">
                    <a:xfrm>
                      <a:off x="0" y="0"/>
                      <a:ext cx="4503417" cy="2863575"/>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343" w:name="_Toc138319036"/>
      <w:bookmarkStart w:id="344" w:name="_Toc138684052"/>
      <w:bookmarkStart w:id="345" w:name="_Toc138751191"/>
      <w:r>
        <w:t>14.</w:t>
      </w:r>
      <w:r>
        <w:tab/>
        <w:t>Busselton Airport</w:t>
      </w:r>
      <w:bookmarkEnd w:id="343"/>
      <w:bookmarkEnd w:id="344"/>
      <w:bookmarkEnd w:id="345"/>
    </w:p>
    <w:p>
      <w:pPr>
        <w:pStyle w:val="ySubsection"/>
      </w:pPr>
      <w:r>
        <w:rPr>
          <w:noProof/>
        </w:rPr>
        <w:drawing>
          <wp:inline distT="0" distB="0" distL="0" distR="0">
            <wp:extent cx="4500245" cy="2882188"/>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SA 14 Busselton Airport with Legend.jpg"/>
                    <pic:cNvPicPr/>
                  </pic:nvPicPr>
                  <pic:blipFill rotWithShape="1">
                    <a:blip r:embed="rId56" cstate="print">
                      <a:extLst>
                        <a:ext uri="{28A0092B-C50C-407E-A947-70E740481C1C}">
                          <a14:useLocalDpi xmlns:a14="http://schemas.microsoft.com/office/drawing/2010/main" val="0"/>
                        </a:ext>
                      </a:extLst>
                    </a:blip>
                    <a:srcRect b="9458"/>
                    <a:stretch/>
                  </pic:blipFill>
                  <pic:spPr bwMode="auto">
                    <a:xfrm>
                      <a:off x="0" y="0"/>
                      <a:ext cx="4500245" cy="2882188"/>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346" w:name="_Toc138319037"/>
      <w:bookmarkStart w:id="347" w:name="_Toc138684053"/>
      <w:bookmarkStart w:id="348" w:name="_Toc138751192"/>
      <w:r>
        <w:lastRenderedPageBreak/>
        <w:t>15.</w:t>
      </w:r>
      <w:r>
        <w:tab/>
        <w:t>Albany Port</w:t>
      </w:r>
      <w:bookmarkEnd w:id="346"/>
      <w:bookmarkEnd w:id="347"/>
      <w:bookmarkEnd w:id="348"/>
    </w:p>
    <w:p>
      <w:pPr>
        <w:pStyle w:val="ySubsection"/>
      </w:pPr>
      <w:r>
        <w:rPr>
          <w:noProof/>
        </w:rPr>
        <w:drawing>
          <wp:inline distT="0" distB="0" distL="0" distR="0">
            <wp:extent cx="4274289" cy="2730527"/>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BSA 15 Albany Port with Legend.jpg"/>
                    <pic:cNvPicPr/>
                  </pic:nvPicPr>
                  <pic:blipFill rotWithShape="1">
                    <a:blip r:embed="rId57" cstate="print">
                      <a:extLst>
                        <a:ext uri="{28A0092B-C50C-407E-A947-70E740481C1C}">
                          <a14:useLocalDpi xmlns:a14="http://schemas.microsoft.com/office/drawing/2010/main" val="0"/>
                        </a:ext>
                      </a:extLst>
                    </a:blip>
                    <a:srcRect b="9687"/>
                    <a:stretch/>
                  </pic:blipFill>
                  <pic:spPr bwMode="auto">
                    <a:xfrm>
                      <a:off x="0" y="0"/>
                      <a:ext cx="4276055" cy="2731655"/>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349" w:name="_Toc138319038"/>
      <w:bookmarkStart w:id="350" w:name="_Toc138684054"/>
      <w:bookmarkStart w:id="351" w:name="_Toc138751193"/>
      <w:r>
        <w:t>16.</w:t>
      </w:r>
      <w:r>
        <w:tab/>
        <w:t>Esperance Port</w:t>
      </w:r>
      <w:bookmarkEnd w:id="349"/>
      <w:bookmarkEnd w:id="350"/>
      <w:bookmarkEnd w:id="351"/>
    </w:p>
    <w:p>
      <w:pPr>
        <w:pStyle w:val="ySubsection"/>
      </w:pPr>
      <w:r>
        <w:tab/>
      </w:r>
      <w:r>
        <w:tab/>
        <w:t>Zone 1</w:t>
      </w:r>
    </w:p>
    <w:p>
      <w:pPr>
        <w:pStyle w:val="ySubsection"/>
      </w:pPr>
      <w:r>
        <w:rPr>
          <w:noProof/>
        </w:rPr>
        <w:drawing>
          <wp:inline distT="0" distB="0" distL="0" distR="0">
            <wp:extent cx="4306186" cy="2757902"/>
            <wp:effectExtent l="0" t="0" r="0" b="444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BSA 16 Zone 1 Esperance Port with Legend.jpg"/>
                    <pic:cNvPicPr/>
                  </pic:nvPicPr>
                  <pic:blipFill rotWithShape="1">
                    <a:blip r:embed="rId58" cstate="print">
                      <a:extLst>
                        <a:ext uri="{28A0092B-C50C-407E-A947-70E740481C1C}">
                          <a14:useLocalDpi xmlns:a14="http://schemas.microsoft.com/office/drawing/2010/main" val="0"/>
                        </a:ext>
                      </a:extLst>
                    </a:blip>
                    <a:srcRect b="9458"/>
                    <a:stretch/>
                  </pic:blipFill>
                  <pic:spPr bwMode="auto">
                    <a:xfrm>
                      <a:off x="0" y="0"/>
                      <a:ext cx="4313743" cy="2762742"/>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pPr>
      <w:r>
        <w:lastRenderedPageBreak/>
        <w:tab/>
      </w:r>
      <w:r>
        <w:tab/>
        <w:t>Zone 2</w:t>
      </w:r>
    </w:p>
    <w:p>
      <w:pPr>
        <w:pStyle w:val="ySubsection"/>
      </w:pPr>
      <w:r>
        <w:rPr>
          <w:noProof/>
        </w:rPr>
        <w:drawing>
          <wp:inline distT="0" distB="0" distL="0" distR="0">
            <wp:extent cx="4500245" cy="2896819"/>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BSA 16 Zone 2 Esperance Port with Legend.jpg"/>
                    <pic:cNvPicPr/>
                  </pic:nvPicPr>
                  <pic:blipFill rotWithShape="1">
                    <a:blip r:embed="rId59" cstate="print">
                      <a:extLst>
                        <a:ext uri="{28A0092B-C50C-407E-A947-70E740481C1C}">
                          <a14:useLocalDpi xmlns:a14="http://schemas.microsoft.com/office/drawing/2010/main" val="0"/>
                        </a:ext>
                      </a:extLst>
                    </a:blip>
                    <a:srcRect b="8998"/>
                    <a:stretch/>
                  </pic:blipFill>
                  <pic:spPr bwMode="auto">
                    <a:xfrm>
                      <a:off x="0" y="0"/>
                      <a:ext cx="4500245" cy="2896819"/>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352" w:name="_Toc138319039"/>
      <w:bookmarkStart w:id="353" w:name="_Toc138684055"/>
      <w:bookmarkStart w:id="354" w:name="_Toc138751194"/>
      <w:r>
        <w:t>17.</w:t>
      </w:r>
      <w:r>
        <w:tab/>
        <w:t>Eyre Highway, Eucla (WA/SA border)</w:t>
      </w:r>
      <w:bookmarkEnd w:id="352"/>
      <w:bookmarkEnd w:id="353"/>
      <w:bookmarkEnd w:id="354"/>
    </w:p>
    <w:p>
      <w:pPr>
        <w:pStyle w:val="ySubsection"/>
      </w:pPr>
      <w:r>
        <w:rPr>
          <w:noProof/>
        </w:rPr>
        <w:drawing>
          <wp:inline distT="0" distB="0" distL="0" distR="0">
            <wp:extent cx="4500245" cy="2882188"/>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BSA 17 Eyre Highway, Eucla (WA SA border) with Legend.jpg"/>
                    <pic:cNvPicPr/>
                  </pic:nvPicPr>
                  <pic:blipFill rotWithShape="1">
                    <a:blip r:embed="rId60" cstate="print">
                      <a:extLst>
                        <a:ext uri="{28A0092B-C50C-407E-A947-70E740481C1C}">
                          <a14:useLocalDpi xmlns:a14="http://schemas.microsoft.com/office/drawing/2010/main" val="0"/>
                        </a:ext>
                      </a:extLst>
                    </a:blip>
                    <a:srcRect b="9458"/>
                    <a:stretch/>
                  </pic:blipFill>
                  <pic:spPr bwMode="auto">
                    <a:xfrm>
                      <a:off x="0" y="0"/>
                      <a:ext cx="4500245" cy="2882188"/>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355" w:name="_Toc138319040"/>
      <w:bookmarkStart w:id="356" w:name="_Toc138684056"/>
      <w:bookmarkStart w:id="357" w:name="_Toc138751195"/>
      <w:r>
        <w:lastRenderedPageBreak/>
        <w:t>18.</w:t>
      </w:r>
      <w:r>
        <w:tab/>
        <w:t>Victoria Highway near Kununurra (WA/NT border)</w:t>
      </w:r>
      <w:bookmarkEnd w:id="355"/>
      <w:bookmarkEnd w:id="356"/>
      <w:bookmarkEnd w:id="357"/>
    </w:p>
    <w:p>
      <w:pPr>
        <w:pStyle w:val="ySubsection"/>
      </w:pPr>
      <w:r>
        <w:rPr>
          <w:noProof/>
        </w:rPr>
        <w:drawing>
          <wp:inline distT="0" distB="0" distL="0" distR="0">
            <wp:extent cx="4264121" cy="2807208"/>
            <wp:effectExtent l="0" t="0" r="317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BSA 18 Victoria Highway near Kununurra with Legend.jpg"/>
                    <pic:cNvPicPr/>
                  </pic:nvPicPr>
                  <pic:blipFill rotWithShape="1">
                    <a:blip r:embed="rId61" cstate="print">
                      <a:extLst>
                        <a:ext uri="{28A0092B-C50C-407E-A947-70E740481C1C}">
                          <a14:useLocalDpi xmlns:a14="http://schemas.microsoft.com/office/drawing/2010/main" val="0"/>
                        </a:ext>
                      </a:extLst>
                    </a:blip>
                    <a:srcRect b="6930"/>
                    <a:stretch/>
                  </pic:blipFill>
                  <pic:spPr bwMode="auto">
                    <a:xfrm>
                      <a:off x="0" y="0"/>
                      <a:ext cx="4268981" cy="2810408"/>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358" w:name="_Toc138319041"/>
      <w:bookmarkStart w:id="359" w:name="_Toc138684057"/>
      <w:bookmarkStart w:id="360" w:name="_Toc138751196"/>
      <w:r>
        <w:t>19.</w:t>
      </w:r>
      <w:r>
        <w:tab/>
        <w:t>Tanami Road (WA/NT border)</w:t>
      </w:r>
      <w:bookmarkEnd w:id="358"/>
      <w:bookmarkEnd w:id="359"/>
      <w:bookmarkEnd w:id="360"/>
    </w:p>
    <w:p>
      <w:pPr>
        <w:pStyle w:val="ySubsection"/>
      </w:pPr>
      <w:r>
        <w:rPr>
          <w:noProof/>
        </w:rPr>
        <w:drawing>
          <wp:inline distT="0" distB="0" distL="0" distR="0">
            <wp:extent cx="4265217" cy="2806065"/>
            <wp:effectExtent l="0" t="0" r="254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BSA 19 Tanami Road (WA NT border) with Legend.jpg"/>
                    <pic:cNvPicPr/>
                  </pic:nvPicPr>
                  <pic:blipFill rotWithShape="1">
                    <a:blip r:embed="rId62" cstate="print">
                      <a:extLst>
                        <a:ext uri="{28A0092B-C50C-407E-A947-70E740481C1C}">
                          <a14:useLocalDpi xmlns:a14="http://schemas.microsoft.com/office/drawing/2010/main" val="0"/>
                        </a:ext>
                      </a:extLst>
                    </a:blip>
                    <a:srcRect r="1169" b="8078"/>
                    <a:stretch/>
                  </pic:blipFill>
                  <pic:spPr bwMode="auto">
                    <a:xfrm>
                      <a:off x="0" y="0"/>
                      <a:ext cx="4280547" cy="2816151"/>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361" w:name="_Toc138319042"/>
      <w:bookmarkStart w:id="362" w:name="_Toc138684058"/>
      <w:bookmarkStart w:id="363" w:name="_Toc138751197"/>
      <w:r>
        <w:lastRenderedPageBreak/>
        <w:t>20.</w:t>
      </w:r>
      <w:r>
        <w:tab/>
        <w:t>Duncan Road (WA/NT border)</w:t>
      </w:r>
      <w:bookmarkEnd w:id="361"/>
      <w:bookmarkEnd w:id="362"/>
      <w:bookmarkEnd w:id="363"/>
    </w:p>
    <w:p>
      <w:pPr>
        <w:pStyle w:val="ySubsection"/>
      </w:pPr>
      <w:r>
        <w:rPr>
          <w:noProof/>
        </w:rPr>
        <w:drawing>
          <wp:inline distT="0" distB="0" distL="0" distR="0">
            <wp:extent cx="4355906" cy="2775585"/>
            <wp:effectExtent l="0" t="0" r="6985" b="571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BSA 20 Duncan Road (WA NT border) with Legend.jpg"/>
                    <pic:cNvPicPr/>
                  </pic:nvPicPr>
                  <pic:blipFill rotWithShape="1">
                    <a:blip r:embed="rId63" cstate="print">
                      <a:extLst>
                        <a:ext uri="{28A0092B-C50C-407E-A947-70E740481C1C}">
                          <a14:useLocalDpi xmlns:a14="http://schemas.microsoft.com/office/drawing/2010/main" val="0"/>
                        </a:ext>
                      </a:extLst>
                    </a:blip>
                    <a:srcRect b="9918"/>
                    <a:stretch/>
                  </pic:blipFill>
                  <pic:spPr bwMode="auto">
                    <a:xfrm>
                      <a:off x="0" y="0"/>
                      <a:ext cx="4358235" cy="2777069"/>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364" w:name="_Toc138319043"/>
      <w:bookmarkStart w:id="365" w:name="_Toc138684059"/>
      <w:bookmarkStart w:id="366" w:name="_Toc138751198"/>
      <w:r>
        <w:t>21.</w:t>
      </w:r>
      <w:r>
        <w:tab/>
        <w:t>Great Central Road (WA/NT border)</w:t>
      </w:r>
      <w:bookmarkEnd w:id="364"/>
      <w:bookmarkEnd w:id="365"/>
      <w:bookmarkEnd w:id="366"/>
    </w:p>
    <w:p>
      <w:pPr>
        <w:pStyle w:val="ySubsection"/>
      </w:pPr>
      <w:r>
        <w:rPr>
          <w:noProof/>
        </w:rPr>
        <w:drawing>
          <wp:inline distT="0" distB="0" distL="0" distR="0">
            <wp:extent cx="4420235" cy="2866732"/>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BSA 21 Great Central Road (WA NT border) with Legend.jpg"/>
                    <pic:cNvPicPr/>
                  </pic:nvPicPr>
                  <pic:blipFill rotWithShape="1">
                    <a:blip r:embed="rId64" cstate="print">
                      <a:extLst>
                        <a:ext uri="{28A0092B-C50C-407E-A947-70E740481C1C}">
                          <a14:useLocalDpi xmlns:a14="http://schemas.microsoft.com/office/drawing/2010/main" val="0"/>
                        </a:ext>
                      </a:extLst>
                    </a:blip>
                    <a:srcRect r="998" b="9228"/>
                    <a:stretch/>
                  </pic:blipFill>
                  <pic:spPr bwMode="auto">
                    <a:xfrm>
                      <a:off x="0" y="0"/>
                      <a:ext cx="4423971" cy="2869155"/>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367" w:name="_Toc138319044"/>
      <w:bookmarkStart w:id="368" w:name="_Toc138684060"/>
      <w:bookmarkStart w:id="369" w:name="_Toc138751199"/>
      <w:r>
        <w:lastRenderedPageBreak/>
        <w:t>22.</w:t>
      </w:r>
      <w:r>
        <w:tab/>
        <w:t>Rawlinna Rail Siding</w:t>
      </w:r>
      <w:bookmarkEnd w:id="367"/>
      <w:bookmarkEnd w:id="368"/>
      <w:bookmarkEnd w:id="369"/>
    </w:p>
    <w:p>
      <w:pPr>
        <w:pStyle w:val="ySubsection"/>
      </w:pPr>
      <w:r>
        <w:rPr>
          <w:noProof/>
        </w:rPr>
        <w:drawing>
          <wp:inline distT="0" distB="0" distL="0" distR="0">
            <wp:extent cx="4499610" cy="2874461"/>
            <wp:effectExtent l="0" t="0" r="0" b="254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BSA 22 Rawlinna Rail Siding (Alternate) with Legend.jpg"/>
                    <pic:cNvPicPr/>
                  </pic:nvPicPr>
                  <pic:blipFill rotWithShape="1">
                    <a:blip r:embed="rId65" cstate="print">
                      <a:extLst>
                        <a:ext uri="{28A0092B-C50C-407E-A947-70E740481C1C}">
                          <a14:useLocalDpi xmlns:a14="http://schemas.microsoft.com/office/drawing/2010/main" val="0"/>
                        </a:ext>
                      </a:extLst>
                    </a:blip>
                    <a:srcRect t="1379" b="8309"/>
                    <a:stretch/>
                  </pic:blipFill>
                  <pic:spPr bwMode="auto">
                    <a:xfrm>
                      <a:off x="0" y="0"/>
                      <a:ext cx="4500245" cy="2874867"/>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[Division 2 inserted: No. 16 of 2023 s. 10.]</w:t>
      </w:r>
    </w:p>
    <w:p>
      <w:pPr>
        <w:pStyle w:val="yScheduleHeading"/>
      </w:pPr>
      <w:bookmarkStart w:id="370" w:name="_Toc138691637"/>
      <w:bookmarkStart w:id="371" w:name="_Toc138751200"/>
      <w:r>
        <w:rPr>
          <w:rStyle w:val="CharSchNo"/>
        </w:rPr>
        <w:lastRenderedPageBreak/>
        <w:t>Schedule VII</w:t>
      </w:r>
      <w:r>
        <w:t> — </w:t>
      </w:r>
      <w:r>
        <w:rPr>
          <w:rStyle w:val="CharSchText"/>
          <w:bCs/>
        </w:rPr>
        <w:t>Amounts of prohibited drugs for purposes of drug trafficking</w:t>
      </w:r>
      <w:bookmarkEnd w:id="289"/>
      <w:bookmarkEnd w:id="370"/>
      <w:bookmarkEnd w:id="371"/>
    </w:p>
    <w:p>
      <w:pPr>
        <w:pStyle w:val="yShoulderClause"/>
        <w:rPr>
          <w:snapToGrid w:val="0"/>
        </w:rPr>
      </w:pPr>
      <w:r>
        <w:rPr>
          <w:snapToGrid w:val="0"/>
        </w:rPr>
        <w:t>[s. 32A(1)(b)(i)]</w:t>
      </w:r>
    </w:p>
    <w:p>
      <w:pPr>
        <w:pStyle w:val="yFootnoteheading"/>
      </w:pPr>
      <w:r>
        <w:tab/>
        <w:t>[Heading amended: No. 19 of 2010 s. 4.]</w:t>
      </w:r>
    </w:p>
    <w:p>
      <w:pPr>
        <w:pStyle w:val="yHeading3"/>
      </w:pPr>
      <w:bookmarkStart w:id="372" w:name="_Toc138689215"/>
      <w:bookmarkStart w:id="373" w:name="_Toc138691638"/>
      <w:bookmarkStart w:id="374" w:name="_Toc138751201"/>
      <w:r>
        <w:rPr>
          <w:rStyle w:val="CharSDivNo"/>
        </w:rPr>
        <w:t>Division 1</w:t>
      </w:r>
      <w:r>
        <w:rPr>
          <w:b w:val="0"/>
        </w:rPr>
        <w:t> — </w:t>
      </w:r>
      <w:r>
        <w:rPr>
          <w:rStyle w:val="CharSDivText"/>
        </w:rPr>
        <w:t>General</w:t>
      </w:r>
      <w:bookmarkEnd w:id="372"/>
      <w:bookmarkEnd w:id="373"/>
      <w:bookmarkEnd w:id="374"/>
    </w:p>
    <w:p>
      <w:pPr>
        <w:pStyle w:val="yFootnoteheading"/>
      </w:pPr>
      <w:r>
        <w:tab/>
        <w:t>[Heading inserted: Gazette 29 Aug 2018 p. 3025.]</w:t>
      </w:r>
    </w:p>
    <w:tbl>
      <w:tblPr>
        <w:tblW w:w="7421" w:type="dxa"/>
        <w:tblLayout w:type="fixed"/>
        <w:tblCellMar>
          <w:left w:w="113" w:type="dxa"/>
          <w:right w:w="113" w:type="dxa"/>
        </w:tblCellMar>
        <w:tblLook w:val="0000" w:firstRow="0" w:lastRow="0" w:firstColumn="0" w:lastColumn="0" w:noHBand="0" w:noVBand="0"/>
      </w:tblPr>
      <w:tblGrid>
        <w:gridCol w:w="993"/>
        <w:gridCol w:w="4961"/>
        <w:gridCol w:w="284"/>
        <w:gridCol w:w="1134"/>
        <w:gridCol w:w="49"/>
      </w:tblGrid>
      <w:tr>
        <w:trPr>
          <w:cantSplit/>
          <w:tblHeader/>
        </w:trPr>
        <w:tc>
          <w:tcPr>
            <w:tcW w:w="993" w:type="dxa"/>
          </w:tcPr>
          <w:p>
            <w:pPr>
              <w:pStyle w:val="yTableNAm"/>
              <w:rPr>
                <w:i/>
              </w:rPr>
            </w:pPr>
            <w:r>
              <w:rPr>
                <w:i/>
              </w:rPr>
              <w:t>Item</w:t>
            </w:r>
          </w:p>
        </w:tc>
        <w:tc>
          <w:tcPr>
            <w:tcW w:w="5245" w:type="dxa"/>
            <w:gridSpan w:val="2"/>
          </w:tcPr>
          <w:p>
            <w:pPr>
              <w:pStyle w:val="yTableNAm"/>
              <w:jc w:val="center"/>
              <w:rPr>
                <w:i/>
              </w:rPr>
            </w:pPr>
            <w:r>
              <w:rPr>
                <w:i/>
              </w:rPr>
              <w:t>Prohibited drug</w:t>
            </w:r>
          </w:p>
        </w:tc>
        <w:tc>
          <w:tcPr>
            <w:tcW w:w="1183" w:type="dxa"/>
            <w:gridSpan w:val="2"/>
          </w:tcPr>
          <w:p>
            <w:pPr>
              <w:pStyle w:val="yTableNAm"/>
              <w:jc w:val="center"/>
              <w:rPr>
                <w:i/>
              </w:rPr>
            </w:pPr>
            <w:r>
              <w:rPr>
                <w:i/>
              </w:rPr>
              <w:t>Amount</w:t>
            </w:r>
            <w:r>
              <w:rPr>
                <w:i/>
              </w:rPr>
              <w:br/>
              <w:t>(in grams</w:t>
            </w:r>
            <w:r>
              <w:rPr>
                <w:i/>
              </w:rPr>
              <w:br/>
              <w:t>unless</w:t>
            </w:r>
            <w:r>
              <w:rPr>
                <w:i/>
              </w:rPr>
              <w:br/>
              <w:t>otherwise</w:t>
            </w:r>
            <w:r>
              <w:rPr>
                <w:i/>
              </w:rPr>
              <w:br/>
              <w:t>stated)</w:t>
            </w:r>
          </w:p>
        </w:tc>
      </w:tr>
      <w:tr>
        <w:trPr>
          <w:cantSplit/>
        </w:trPr>
        <w:tc>
          <w:tcPr>
            <w:tcW w:w="993" w:type="dxa"/>
          </w:tcPr>
          <w:p>
            <w:pPr>
              <w:pStyle w:val="yTableNAm"/>
            </w:pPr>
            <w:r>
              <w:rPr>
                <w:szCs w:val="22"/>
              </w:rPr>
              <w:t>1A.</w:t>
            </w:r>
          </w:p>
        </w:tc>
        <w:tc>
          <w:tcPr>
            <w:tcW w:w="5245" w:type="dxa"/>
            <w:gridSpan w:val="2"/>
          </w:tcPr>
          <w:p>
            <w:pPr>
              <w:pStyle w:val="yTableNAm"/>
            </w:pPr>
            <w:r>
              <w:rPr>
                <w:szCs w:val="22"/>
              </w:rPr>
              <w:t>ACETYL</w:t>
            </w:r>
            <w:r>
              <w:rPr>
                <w:szCs w:val="22"/>
              </w:rPr>
              <w:noBreakHyphen/>
              <w:t>ALPHA</w:t>
            </w:r>
            <w:r>
              <w:rPr>
                <w:szCs w:val="22"/>
              </w:rPr>
              <w:noBreakHyphen/>
              <w:t>METHYLFENTANYL</w:t>
            </w:r>
          </w:p>
        </w:tc>
        <w:tc>
          <w:tcPr>
            <w:tcW w:w="1183" w:type="dxa"/>
            <w:gridSpan w:val="2"/>
          </w:tcPr>
          <w:p>
            <w:pPr>
              <w:pStyle w:val="yTableNAm"/>
              <w:tabs>
                <w:tab w:val="clear" w:pos="567"/>
                <w:tab w:val="decimal" w:pos="463"/>
              </w:tabs>
            </w:pPr>
            <w:r>
              <w:rPr>
                <w:szCs w:val="22"/>
              </w:rPr>
              <w:t>0.070</w:t>
            </w:r>
          </w:p>
        </w:tc>
      </w:tr>
      <w:tr>
        <w:trPr>
          <w:cantSplit/>
        </w:trPr>
        <w:tc>
          <w:tcPr>
            <w:tcW w:w="993" w:type="dxa"/>
          </w:tcPr>
          <w:p>
            <w:pPr>
              <w:pStyle w:val="yTableNAm"/>
            </w:pPr>
            <w:r>
              <w:t>1.</w:t>
            </w:r>
          </w:p>
        </w:tc>
        <w:tc>
          <w:tcPr>
            <w:tcW w:w="5245" w:type="dxa"/>
            <w:gridSpan w:val="2"/>
          </w:tcPr>
          <w:p>
            <w:pPr>
              <w:pStyle w:val="yTableNAm"/>
            </w:pPr>
            <w:r>
              <w:t>AMPHETAMINE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rPr>
                <w:szCs w:val="22"/>
              </w:rPr>
              <w:t>2AA.</w:t>
            </w:r>
          </w:p>
        </w:tc>
        <w:tc>
          <w:tcPr>
            <w:tcW w:w="5245" w:type="dxa"/>
            <w:gridSpan w:val="2"/>
          </w:tcPr>
          <w:p>
            <w:pPr>
              <w:pStyle w:val="yTableNAm"/>
            </w:pPr>
            <w:r>
              <w:rPr>
                <w:szCs w:val="22"/>
              </w:rPr>
              <w:t>BENZOYLINDOLES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2AB.</w:t>
            </w:r>
          </w:p>
        </w:tc>
        <w:tc>
          <w:tcPr>
            <w:tcW w:w="5245" w:type="dxa"/>
            <w:gridSpan w:val="2"/>
          </w:tcPr>
          <w:p>
            <w:pPr>
              <w:pStyle w:val="yTableNAm"/>
            </w:pPr>
            <w:r>
              <w:rPr>
                <w:szCs w:val="22"/>
              </w:rPr>
              <w:t>BENZOYLINDOLES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t>2A.</w:t>
            </w:r>
          </w:p>
        </w:tc>
        <w:tc>
          <w:tcPr>
            <w:tcW w:w="5245" w:type="dxa"/>
            <w:gridSpan w:val="2"/>
          </w:tcPr>
          <w:p>
            <w:pPr>
              <w:pStyle w:val="yTableNAm"/>
            </w:pPr>
            <w:r>
              <w:t>BENZYLPIPERAZINE (BZP)</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rPr>
                <w:szCs w:val="22"/>
              </w:rPr>
              <w:t>2B.</w:t>
            </w:r>
          </w:p>
        </w:tc>
        <w:tc>
          <w:tcPr>
            <w:tcW w:w="5245" w:type="dxa"/>
            <w:gridSpan w:val="2"/>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073)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2BA.</w:t>
            </w:r>
          </w:p>
        </w:tc>
        <w:tc>
          <w:tcPr>
            <w:tcW w:w="5245" w:type="dxa"/>
            <w:gridSpan w:val="2"/>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 xml:space="preserve">073) </w:t>
            </w:r>
            <w:r>
              <w:rPr>
                <w:szCs w:val="22"/>
              </w:rPr>
              <w:t>(in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rPr>
                <w:szCs w:val="22"/>
              </w:rPr>
            </w:pPr>
            <w:r>
              <w:t>2BB.</w:t>
            </w:r>
          </w:p>
        </w:tc>
        <w:tc>
          <w:tcPr>
            <w:tcW w:w="5245" w:type="dxa"/>
            <w:gridSpan w:val="2"/>
          </w:tcPr>
          <w:p>
            <w:pPr>
              <w:pStyle w:val="yTableNAm"/>
              <w:rPr>
                <w:rFonts w:cs="Arial"/>
                <w:szCs w:val="22"/>
              </w:rPr>
            </w:pPr>
            <w:r>
              <w:rPr>
                <w:color w:val="000000"/>
                <w:szCs w:val="22"/>
              </w:rPr>
              <w:t>1</w:t>
            </w:r>
            <w:r>
              <w:rPr>
                <w:color w:val="000000"/>
                <w:szCs w:val="22"/>
              </w:rPr>
              <w:noBreakHyphen/>
              <w:t>BUTYL</w:t>
            </w:r>
            <w:r>
              <w:rPr>
                <w:color w:val="000000"/>
                <w:szCs w:val="22"/>
              </w:rPr>
              <w:noBreakHyphen/>
              <w:t>N</w:t>
            </w:r>
            <w:r>
              <w:rPr>
                <w:color w:val="000000"/>
                <w:szCs w:val="22"/>
              </w:rPr>
              <w:noBreakHyphen/>
              <w:t>(2</w:t>
            </w:r>
            <w:r>
              <w:rPr>
                <w:color w:val="000000"/>
                <w:szCs w:val="22"/>
              </w:rPr>
              <w:noBreakHyphen/>
              <w:t>PHENYLPROPAN</w:t>
            </w:r>
            <w:r>
              <w:rPr>
                <w:color w:val="000000"/>
                <w:szCs w:val="22"/>
              </w:rPr>
              <w:noBreakHyphen/>
              <w:t>2</w:t>
            </w:r>
            <w:r>
              <w:rPr>
                <w:color w:val="000000"/>
                <w:szCs w:val="22"/>
              </w:rPr>
              <w:noBreakHyphen/>
              <w:t>YL)</w:t>
            </w:r>
            <w:r>
              <w:rPr>
                <w:color w:val="000000"/>
                <w:szCs w:val="22"/>
              </w:rPr>
              <w:noBreakHyphen/>
              <w:t>1H</w:t>
            </w:r>
            <w:r>
              <w:rPr>
                <w:color w:val="000000"/>
                <w:szCs w:val="22"/>
              </w:rPr>
              <w:noBreakHyphen/>
              <w:t>INDOLE</w:t>
            </w:r>
            <w:r>
              <w:rPr>
                <w:color w:val="000000"/>
                <w:szCs w:val="22"/>
              </w:rPr>
              <w:noBreakHyphen/>
              <w:t>3</w:t>
            </w:r>
            <w:r>
              <w:rPr>
                <w:color w:val="000000"/>
                <w:szCs w:val="22"/>
              </w:rPr>
              <w:noBreakHyphen/>
              <w:t>CARBOXAMIDE (CUMYL</w:t>
            </w:r>
            <w:r>
              <w:rPr>
                <w:color w:val="000000"/>
                <w:szCs w:val="22"/>
              </w:rPr>
              <w:noBreakHyphen/>
              <w:t>BICA)</w:t>
            </w:r>
            <w:r>
              <w:rPr>
                <w:rFonts w:cs="Arial"/>
                <w:szCs w:val="22"/>
              </w:rPr>
              <w:t xml:space="preserve"> (</w:t>
            </w:r>
            <w:r>
              <w:rPr>
                <w:rFonts w:cs="Arial"/>
                <w:bCs/>
                <w:szCs w:val="22"/>
              </w:rPr>
              <w:t>plant material</w:t>
            </w:r>
            <w:r>
              <w:rPr>
                <w:rFonts w:cs="Arial"/>
                <w:szCs w:val="22"/>
              </w:rPr>
              <w:t>)</w:t>
            </w:r>
          </w:p>
        </w:tc>
        <w:tc>
          <w:tcPr>
            <w:tcW w:w="1183" w:type="dxa"/>
            <w:gridSpan w:val="2"/>
            <w:vAlign w:val="bottom"/>
          </w:tcPr>
          <w:p>
            <w:pPr>
              <w:pStyle w:val="yTableNAm"/>
              <w:tabs>
                <w:tab w:val="clear" w:pos="567"/>
                <w:tab w:val="decimal" w:pos="463"/>
              </w:tabs>
              <w:rPr>
                <w:szCs w:val="22"/>
              </w:rPr>
            </w:pPr>
            <w:r>
              <w:t>420.0</w:t>
            </w:r>
          </w:p>
        </w:tc>
      </w:tr>
      <w:tr>
        <w:trPr>
          <w:cantSplit/>
        </w:trPr>
        <w:tc>
          <w:tcPr>
            <w:tcW w:w="993" w:type="dxa"/>
          </w:tcPr>
          <w:p>
            <w:pPr>
              <w:pStyle w:val="yTableNAm"/>
              <w:rPr>
                <w:szCs w:val="22"/>
              </w:rPr>
            </w:pPr>
            <w:r>
              <w:t>2BC.</w:t>
            </w:r>
          </w:p>
        </w:tc>
        <w:tc>
          <w:tcPr>
            <w:tcW w:w="5245" w:type="dxa"/>
            <w:gridSpan w:val="2"/>
          </w:tcPr>
          <w:p>
            <w:pPr>
              <w:pStyle w:val="yTableNAm"/>
              <w:rPr>
                <w:rFonts w:cs="Arial"/>
                <w:szCs w:val="22"/>
              </w:rPr>
            </w:pPr>
            <w:r>
              <w:rPr>
                <w:color w:val="000000"/>
                <w:szCs w:val="22"/>
              </w:rPr>
              <w:t>1</w:t>
            </w:r>
            <w:r>
              <w:rPr>
                <w:color w:val="000000"/>
                <w:szCs w:val="22"/>
              </w:rPr>
              <w:noBreakHyphen/>
              <w:t>BUTYL</w:t>
            </w:r>
            <w:r>
              <w:rPr>
                <w:color w:val="000000"/>
                <w:szCs w:val="22"/>
              </w:rPr>
              <w:noBreakHyphen/>
              <w:t>N</w:t>
            </w:r>
            <w:r>
              <w:rPr>
                <w:color w:val="000000"/>
                <w:szCs w:val="22"/>
              </w:rPr>
              <w:noBreakHyphen/>
              <w:t>(2</w:t>
            </w:r>
            <w:r>
              <w:rPr>
                <w:color w:val="000000"/>
                <w:szCs w:val="22"/>
              </w:rPr>
              <w:noBreakHyphen/>
              <w:t>PHENYLPROPAN</w:t>
            </w:r>
            <w:r>
              <w:rPr>
                <w:color w:val="000000"/>
                <w:szCs w:val="22"/>
              </w:rPr>
              <w:noBreakHyphen/>
              <w:t>2</w:t>
            </w:r>
            <w:r>
              <w:rPr>
                <w:color w:val="000000"/>
                <w:szCs w:val="22"/>
              </w:rPr>
              <w:noBreakHyphen/>
              <w:t>YL)</w:t>
            </w:r>
            <w:r>
              <w:rPr>
                <w:color w:val="000000"/>
                <w:szCs w:val="22"/>
              </w:rPr>
              <w:noBreakHyphen/>
              <w:t>1H</w:t>
            </w:r>
            <w:r>
              <w:rPr>
                <w:color w:val="000000"/>
                <w:szCs w:val="22"/>
              </w:rPr>
              <w:noBreakHyphen/>
              <w:t>INDOLE</w:t>
            </w:r>
            <w:r>
              <w:rPr>
                <w:color w:val="000000"/>
                <w:szCs w:val="22"/>
              </w:rPr>
              <w:noBreakHyphen/>
              <w:t>3</w:t>
            </w:r>
            <w:r>
              <w:rPr>
                <w:color w:val="000000"/>
                <w:szCs w:val="22"/>
              </w:rPr>
              <w:noBreakHyphen/>
              <w:t>CARBOXAMIDE (CUMYL</w:t>
            </w:r>
            <w:r>
              <w:rPr>
                <w:color w:val="000000"/>
                <w:szCs w:val="22"/>
              </w:rPr>
              <w:noBreakHyphen/>
              <w:t>BICA)</w:t>
            </w:r>
            <w:r>
              <w:rPr>
                <w:rFonts w:cs="Arial"/>
                <w:szCs w:val="22"/>
              </w:rPr>
              <w:t xml:space="preserve"> </w:t>
            </w:r>
            <w:r>
              <w:rPr>
                <w:szCs w:val="22"/>
              </w:rPr>
              <w:t>(</w:t>
            </w:r>
            <w:r>
              <w:rPr>
                <w:bCs/>
                <w:szCs w:val="22"/>
              </w:rPr>
              <w:t>in any form except plant material</w:t>
            </w:r>
            <w:r>
              <w:rPr>
                <w:szCs w:val="22"/>
              </w:rPr>
              <w:t>)</w:t>
            </w:r>
          </w:p>
        </w:tc>
        <w:tc>
          <w:tcPr>
            <w:tcW w:w="1183" w:type="dxa"/>
            <w:gridSpan w:val="2"/>
            <w:vAlign w:val="bottom"/>
          </w:tcPr>
          <w:p>
            <w:pPr>
              <w:pStyle w:val="yTableNAm"/>
              <w:tabs>
                <w:tab w:val="clear" w:pos="567"/>
                <w:tab w:val="decimal" w:pos="463"/>
              </w:tabs>
              <w:rPr>
                <w:szCs w:val="22"/>
              </w:rPr>
            </w:pPr>
            <w:r>
              <w:t>28.0</w:t>
            </w:r>
          </w:p>
        </w:tc>
      </w:tr>
      <w:tr>
        <w:trPr>
          <w:cantSplit/>
        </w:trPr>
        <w:tc>
          <w:tcPr>
            <w:tcW w:w="993" w:type="dxa"/>
          </w:tcPr>
          <w:p>
            <w:pPr>
              <w:pStyle w:val="yTableNAm"/>
            </w:pPr>
            <w:r>
              <w:t>2.</w:t>
            </w:r>
          </w:p>
        </w:tc>
        <w:tc>
          <w:tcPr>
            <w:tcW w:w="5245" w:type="dxa"/>
            <w:gridSpan w:val="2"/>
          </w:tcPr>
          <w:p>
            <w:pPr>
              <w:pStyle w:val="yTableNAm"/>
            </w:pPr>
            <w:r>
              <w:t>CANNABIS</w:t>
            </w:r>
          </w:p>
        </w:tc>
        <w:tc>
          <w:tcPr>
            <w:tcW w:w="1183" w:type="dxa"/>
            <w:gridSpan w:val="2"/>
          </w:tcPr>
          <w:p>
            <w:pPr>
              <w:pStyle w:val="yTableNAm"/>
              <w:tabs>
                <w:tab w:val="clear" w:pos="567"/>
                <w:tab w:val="decimal" w:pos="463"/>
              </w:tabs>
            </w:pPr>
            <w:r>
              <w:t>3.0 kg</w:t>
            </w:r>
          </w:p>
        </w:tc>
      </w:tr>
      <w:tr>
        <w:trPr>
          <w:cantSplit/>
        </w:trPr>
        <w:tc>
          <w:tcPr>
            <w:tcW w:w="993" w:type="dxa"/>
          </w:tcPr>
          <w:p>
            <w:pPr>
              <w:pStyle w:val="yTableNAm"/>
            </w:pPr>
            <w:r>
              <w:t>3.</w:t>
            </w:r>
          </w:p>
        </w:tc>
        <w:tc>
          <w:tcPr>
            <w:tcW w:w="5245" w:type="dxa"/>
            <w:gridSpan w:val="2"/>
          </w:tcPr>
          <w:p>
            <w:pPr>
              <w:pStyle w:val="yTableNAm"/>
            </w:pPr>
            <w:r>
              <w:t>CANNABIS RESIN</w:t>
            </w:r>
          </w:p>
        </w:tc>
        <w:tc>
          <w:tcPr>
            <w:tcW w:w="1183" w:type="dxa"/>
            <w:gridSpan w:val="2"/>
          </w:tcPr>
          <w:p>
            <w:pPr>
              <w:pStyle w:val="yTableNAm"/>
              <w:tabs>
                <w:tab w:val="clear" w:pos="567"/>
                <w:tab w:val="decimal" w:pos="463"/>
              </w:tabs>
            </w:pPr>
            <w:r>
              <w:t>100.0</w:t>
            </w:r>
          </w:p>
        </w:tc>
      </w:tr>
      <w:tr>
        <w:trPr>
          <w:cantSplit/>
        </w:trPr>
        <w:tc>
          <w:tcPr>
            <w:tcW w:w="993" w:type="dxa"/>
          </w:tcPr>
          <w:p>
            <w:pPr>
              <w:pStyle w:val="yTableNAm"/>
            </w:pPr>
            <w:r>
              <w:t>4.</w:t>
            </w:r>
          </w:p>
        </w:tc>
        <w:tc>
          <w:tcPr>
            <w:tcW w:w="5245" w:type="dxa"/>
            <w:gridSpan w:val="2"/>
          </w:tcPr>
          <w:p>
            <w:pPr>
              <w:pStyle w:val="yTableNAm"/>
            </w:pPr>
            <w:r>
              <w:t>COCAINE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lastRenderedPageBreak/>
              <w:t>4AAA.</w:t>
            </w:r>
          </w:p>
        </w:tc>
        <w:tc>
          <w:tcPr>
            <w:tcW w:w="5245" w:type="dxa"/>
            <w:gridSpan w:val="2"/>
          </w:tcPr>
          <w:p>
            <w:pPr>
              <w:pStyle w:val="yTableNAm"/>
            </w:pPr>
            <w:r>
              <w:rPr>
                <w:rFonts w:cs="Arial"/>
                <w:szCs w:val="24"/>
              </w:rPr>
              <w:t>1</w:t>
            </w:r>
            <w:r>
              <w:rPr>
                <w:rFonts w:cs="Arial"/>
                <w:szCs w:val="24"/>
              </w:rPr>
              <w:noBreakHyphen/>
              <w:t>(4</w:t>
            </w:r>
            <w:r>
              <w:rPr>
                <w:rFonts w:cs="Arial"/>
                <w:szCs w:val="24"/>
              </w:rPr>
              <w:noBreakHyphen/>
              <w:t>CYANOBUTYL)</w:t>
            </w:r>
            <w:r>
              <w:rPr>
                <w:rFonts w:cs="Arial"/>
                <w:szCs w:val="24"/>
              </w:rPr>
              <w:noBreakHyphen/>
              <w:t>N</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1H</w:t>
            </w:r>
            <w:r>
              <w:rPr>
                <w:rFonts w:cs="Arial"/>
                <w:szCs w:val="24"/>
              </w:rPr>
              <w:noBreakHyphen/>
              <w:t>INDAZOLE</w:t>
            </w:r>
            <w:r>
              <w:rPr>
                <w:rFonts w:cs="Arial"/>
                <w:szCs w:val="24"/>
              </w:rPr>
              <w:noBreakHyphen/>
              <w:t>3</w:t>
            </w:r>
            <w:r>
              <w:rPr>
                <w:rFonts w:cs="Arial"/>
                <w:szCs w:val="24"/>
              </w:rPr>
              <w:noBreakHyphen/>
              <w:t>CARBOXAMIDE (SGT</w:t>
            </w:r>
            <w:r>
              <w:rPr>
                <w:rFonts w:cs="Arial"/>
                <w:szCs w:val="24"/>
              </w:rPr>
              <w:noBreakHyphen/>
              <w:t>78; 4</w:t>
            </w:r>
            <w:r>
              <w:rPr>
                <w:rFonts w:cs="Arial"/>
                <w:szCs w:val="24"/>
              </w:rPr>
              <w:noBreakHyphen/>
              <w:t>CN</w:t>
            </w:r>
            <w:r>
              <w:rPr>
                <w:rFonts w:cs="Arial"/>
                <w:szCs w:val="24"/>
              </w:rPr>
              <w:noBreakHyphen/>
              <w:t>CUMYL</w:t>
            </w:r>
            <w:r>
              <w:rPr>
                <w:rFonts w:cs="Arial"/>
                <w:szCs w:val="24"/>
              </w:rPr>
              <w:noBreakHyphen/>
              <w:t>BINACA; CUMYL</w:t>
            </w:r>
            <w:r>
              <w:rPr>
                <w:rFonts w:cs="Arial"/>
                <w:szCs w:val="24"/>
              </w:rPr>
              <w:noBreakHyphen/>
              <w:t>CB</w:t>
            </w:r>
            <w:r>
              <w:rPr>
                <w:rFonts w:cs="Arial"/>
                <w:szCs w:val="24"/>
              </w:rPr>
              <w:noBreakHyphen/>
              <w:t>PINACA; CUMYL</w:t>
            </w:r>
            <w:r>
              <w:rPr>
                <w:rFonts w:cs="Arial"/>
                <w:szCs w:val="24"/>
              </w:rPr>
              <w:noBreakHyphen/>
              <w:t>CYBINACA; 4</w:t>
            </w:r>
            <w:r>
              <w:rPr>
                <w:rFonts w:cs="Arial"/>
                <w:szCs w:val="24"/>
              </w:rPr>
              <w:noBreakHyphen/>
              <w:t>CYANO CUMYL</w:t>
            </w:r>
            <w:r>
              <w:rPr>
                <w:rFonts w:cs="Arial"/>
                <w:szCs w:val="24"/>
              </w:rPr>
              <w:noBreakHyphen/>
              <w:t>BUTINACA) (</w:t>
            </w:r>
            <w:r>
              <w:rPr>
                <w:rFonts w:cs="Arial"/>
                <w:bCs/>
                <w:szCs w:val="24"/>
              </w:rPr>
              <w:t>plant material</w:t>
            </w:r>
            <w:r>
              <w:rPr>
                <w:rFonts w:cs="Arial"/>
                <w:szCs w:val="24"/>
              </w:rPr>
              <w:t>)</w:t>
            </w:r>
          </w:p>
        </w:tc>
        <w:tc>
          <w:tcPr>
            <w:tcW w:w="1183" w:type="dxa"/>
            <w:gridSpan w:val="2"/>
            <w:vAlign w:val="bottom"/>
          </w:tcPr>
          <w:p>
            <w:pPr>
              <w:pStyle w:val="yTableNAm"/>
              <w:tabs>
                <w:tab w:val="clear" w:pos="567"/>
                <w:tab w:val="decimal" w:pos="463"/>
              </w:tabs>
            </w:pPr>
            <w:r>
              <w:t>420.0</w:t>
            </w:r>
          </w:p>
        </w:tc>
      </w:tr>
      <w:tr>
        <w:trPr>
          <w:cantSplit/>
        </w:trPr>
        <w:tc>
          <w:tcPr>
            <w:tcW w:w="993" w:type="dxa"/>
          </w:tcPr>
          <w:p>
            <w:pPr>
              <w:pStyle w:val="yTableNAm"/>
            </w:pPr>
            <w:r>
              <w:t>4AAB.</w:t>
            </w:r>
          </w:p>
        </w:tc>
        <w:tc>
          <w:tcPr>
            <w:tcW w:w="5245" w:type="dxa"/>
            <w:gridSpan w:val="2"/>
          </w:tcPr>
          <w:p>
            <w:pPr>
              <w:pStyle w:val="yTableNAm"/>
            </w:pPr>
            <w:r>
              <w:rPr>
                <w:rFonts w:cs="Arial"/>
                <w:szCs w:val="24"/>
              </w:rPr>
              <w:t>1</w:t>
            </w:r>
            <w:r>
              <w:rPr>
                <w:rFonts w:cs="Arial"/>
                <w:szCs w:val="24"/>
              </w:rPr>
              <w:noBreakHyphen/>
              <w:t>(4</w:t>
            </w:r>
            <w:r>
              <w:rPr>
                <w:rFonts w:cs="Arial"/>
                <w:szCs w:val="24"/>
              </w:rPr>
              <w:noBreakHyphen/>
              <w:t>CYANOBUTYL)</w:t>
            </w:r>
            <w:r>
              <w:rPr>
                <w:rFonts w:cs="Arial"/>
                <w:szCs w:val="24"/>
              </w:rPr>
              <w:noBreakHyphen/>
              <w:t>N</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1H</w:t>
            </w:r>
            <w:r>
              <w:rPr>
                <w:rFonts w:cs="Arial"/>
                <w:szCs w:val="24"/>
              </w:rPr>
              <w:noBreakHyphen/>
              <w:t>INDAZOLE</w:t>
            </w:r>
            <w:r>
              <w:rPr>
                <w:rFonts w:cs="Arial"/>
                <w:szCs w:val="24"/>
              </w:rPr>
              <w:noBreakHyphen/>
              <w:t>3</w:t>
            </w:r>
            <w:r>
              <w:rPr>
                <w:rFonts w:cs="Arial"/>
                <w:szCs w:val="24"/>
              </w:rPr>
              <w:noBreakHyphen/>
              <w:t>CARBOXAMIDE (SGT</w:t>
            </w:r>
            <w:r>
              <w:rPr>
                <w:rFonts w:cs="Arial"/>
                <w:szCs w:val="24"/>
              </w:rPr>
              <w:noBreakHyphen/>
              <w:t>78; 4</w:t>
            </w:r>
            <w:r>
              <w:rPr>
                <w:rFonts w:cs="Arial"/>
                <w:szCs w:val="24"/>
              </w:rPr>
              <w:noBreakHyphen/>
              <w:t>CN</w:t>
            </w:r>
            <w:r>
              <w:rPr>
                <w:rFonts w:cs="Arial"/>
                <w:szCs w:val="24"/>
              </w:rPr>
              <w:noBreakHyphen/>
              <w:t>CUMYL</w:t>
            </w:r>
            <w:r>
              <w:rPr>
                <w:rFonts w:cs="Arial"/>
                <w:szCs w:val="24"/>
              </w:rPr>
              <w:noBreakHyphen/>
              <w:t>BINACA; CUMYL</w:t>
            </w:r>
            <w:r>
              <w:rPr>
                <w:rFonts w:cs="Arial"/>
                <w:szCs w:val="24"/>
              </w:rPr>
              <w:noBreakHyphen/>
              <w:t>CB</w:t>
            </w:r>
            <w:r>
              <w:rPr>
                <w:rFonts w:cs="Arial"/>
                <w:szCs w:val="24"/>
              </w:rPr>
              <w:noBreakHyphen/>
              <w:t>PINACA; CUMYL</w:t>
            </w:r>
            <w:r>
              <w:rPr>
                <w:rFonts w:cs="Arial"/>
                <w:szCs w:val="24"/>
              </w:rPr>
              <w:noBreakHyphen/>
              <w:t>CYBINACA; 4</w:t>
            </w:r>
            <w:r>
              <w:rPr>
                <w:rFonts w:cs="Arial"/>
                <w:szCs w:val="24"/>
              </w:rPr>
              <w:noBreakHyphen/>
              <w:t>CYANO CUMYL</w:t>
            </w:r>
            <w:r>
              <w:rPr>
                <w:rFonts w:cs="Arial"/>
                <w:szCs w:val="24"/>
              </w:rPr>
              <w:noBreakHyphen/>
              <w:t xml:space="preserve">BUTINACA) </w:t>
            </w:r>
            <w:r>
              <w:rPr>
                <w:szCs w:val="22"/>
              </w:rPr>
              <w:t>(</w:t>
            </w:r>
            <w:r>
              <w:rPr>
                <w:bCs/>
                <w:szCs w:val="22"/>
              </w:rPr>
              <w:t>in any form except plant material</w:t>
            </w:r>
            <w:r>
              <w:rPr>
                <w:szCs w:val="22"/>
              </w:rPr>
              <w:t>)</w:t>
            </w:r>
          </w:p>
        </w:tc>
        <w:tc>
          <w:tcPr>
            <w:tcW w:w="1183" w:type="dxa"/>
            <w:gridSpan w:val="2"/>
            <w:vAlign w:val="bottom"/>
          </w:tcPr>
          <w:p>
            <w:pPr>
              <w:pStyle w:val="yTableNAm"/>
              <w:tabs>
                <w:tab w:val="clear" w:pos="567"/>
                <w:tab w:val="decimal" w:pos="463"/>
              </w:tabs>
            </w:pPr>
            <w:r>
              <w:t>28.0</w:t>
            </w:r>
          </w:p>
        </w:tc>
      </w:tr>
      <w:tr>
        <w:trPr>
          <w:cantSplit/>
        </w:trPr>
        <w:tc>
          <w:tcPr>
            <w:tcW w:w="993" w:type="dxa"/>
          </w:tcPr>
          <w:p>
            <w:pPr>
              <w:pStyle w:val="yTableNAm"/>
            </w:pPr>
            <w:r>
              <w:t>4AAC.</w:t>
            </w:r>
          </w:p>
        </w:tc>
        <w:tc>
          <w:tcPr>
            <w:tcW w:w="5245" w:type="dxa"/>
            <w:gridSpan w:val="2"/>
          </w:tcPr>
          <w:p>
            <w:pPr>
              <w:pStyle w:val="yTableNAm"/>
            </w:pPr>
            <w:r>
              <w:rPr>
                <w:rFonts w:cs="Arial"/>
                <w:szCs w:val="24"/>
              </w:rPr>
              <w:t>1</w:t>
            </w:r>
            <w:r>
              <w:rPr>
                <w:rFonts w:cs="Arial"/>
                <w:szCs w:val="24"/>
              </w:rPr>
              <w:noBreakHyphen/>
              <w:t>CYCLOHEXYL</w:t>
            </w:r>
            <w:r>
              <w:rPr>
                <w:rFonts w:cs="Arial"/>
                <w:szCs w:val="24"/>
              </w:rPr>
              <w:noBreakHyphen/>
              <w:t>4</w:t>
            </w:r>
            <w:r>
              <w:rPr>
                <w:rFonts w:cs="Arial"/>
                <w:szCs w:val="24"/>
              </w:rPr>
              <w:noBreakHyphen/>
              <w:t>(1,2</w:t>
            </w:r>
            <w:r>
              <w:rPr>
                <w:rFonts w:cs="Arial"/>
                <w:szCs w:val="24"/>
              </w:rPr>
              <w:noBreakHyphen/>
              <w:t>DIPHENYLETHYL)PIPERAZINE (MT</w:t>
            </w:r>
            <w:r>
              <w:rPr>
                <w:rFonts w:cs="Arial"/>
                <w:szCs w:val="24"/>
              </w:rPr>
              <w:noBreakHyphen/>
              <w:t>45; IC</w:t>
            </w:r>
            <w:r>
              <w:rPr>
                <w:rFonts w:cs="Arial"/>
                <w:szCs w:val="24"/>
              </w:rPr>
              <w:noBreakHyphen/>
              <w:t>6)</w:t>
            </w:r>
          </w:p>
        </w:tc>
        <w:tc>
          <w:tcPr>
            <w:tcW w:w="1183" w:type="dxa"/>
            <w:gridSpan w:val="2"/>
            <w:vAlign w:val="bottom"/>
          </w:tcPr>
          <w:p>
            <w:pPr>
              <w:pStyle w:val="yTableNAm"/>
              <w:tabs>
                <w:tab w:val="clear" w:pos="567"/>
                <w:tab w:val="decimal" w:pos="463"/>
              </w:tabs>
            </w:pPr>
            <w:r>
              <w:t>28.0</w:t>
            </w:r>
          </w:p>
        </w:tc>
      </w:tr>
      <w:tr>
        <w:trPr>
          <w:cantSplit/>
        </w:trPr>
        <w:tc>
          <w:tcPr>
            <w:tcW w:w="993" w:type="dxa"/>
          </w:tcPr>
          <w:p>
            <w:pPr>
              <w:pStyle w:val="yTableNAm"/>
            </w:pPr>
            <w:r>
              <w:rPr>
                <w:szCs w:val="22"/>
              </w:rPr>
              <w:t>4A.</w:t>
            </w:r>
          </w:p>
        </w:tc>
        <w:tc>
          <w:tcPr>
            <w:tcW w:w="5245" w:type="dxa"/>
            <w:gridSpan w:val="2"/>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8) (plant material)</w:t>
            </w:r>
          </w:p>
        </w:tc>
        <w:tc>
          <w:tcPr>
            <w:tcW w:w="1183" w:type="dxa"/>
            <w:gridSpan w:val="2"/>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4AB.</w:t>
            </w:r>
          </w:p>
        </w:tc>
        <w:tc>
          <w:tcPr>
            <w:tcW w:w="5245" w:type="dxa"/>
            <w:gridSpan w:val="2"/>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 xml:space="preserve">8) </w:t>
            </w:r>
            <w:r>
              <w:rPr>
                <w:szCs w:val="22"/>
              </w:rPr>
              <w:t>(in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4B.</w:t>
            </w:r>
          </w:p>
        </w:tc>
        <w:tc>
          <w:tcPr>
            <w:tcW w:w="5245" w:type="dxa"/>
            <w:gridSpan w:val="2"/>
          </w:tcPr>
          <w:p>
            <w:pPr>
              <w:pStyle w:val="yTableNAm"/>
            </w:pPr>
            <w:r>
              <w:rPr>
                <w:rFonts w:cs="Arial"/>
                <w:szCs w:val="22"/>
              </w:rPr>
              <w:t>CYCLOHEXYLPHENOLS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4C.</w:t>
            </w:r>
          </w:p>
        </w:tc>
        <w:tc>
          <w:tcPr>
            <w:tcW w:w="5245" w:type="dxa"/>
            <w:gridSpan w:val="2"/>
          </w:tcPr>
          <w:p>
            <w:pPr>
              <w:pStyle w:val="yTableNAm"/>
            </w:pPr>
            <w:r>
              <w:rPr>
                <w:rFonts w:cs="Arial"/>
                <w:szCs w:val="22"/>
              </w:rPr>
              <w:t xml:space="preserve">CYCLOHEXYLPHENOLS </w:t>
            </w:r>
            <w:r>
              <w:rPr>
                <w:szCs w:val="22"/>
              </w:rPr>
              <w:t>(in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t>5.</w:t>
            </w:r>
          </w:p>
        </w:tc>
        <w:tc>
          <w:tcPr>
            <w:tcW w:w="5245" w:type="dxa"/>
            <w:gridSpan w:val="2"/>
          </w:tcPr>
          <w:p>
            <w:pPr>
              <w:pStyle w:val="yTableNAm"/>
            </w:pPr>
            <w:r>
              <w:t>DIACETYLMORPHINE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rPr>
                <w:szCs w:val="22"/>
              </w:rPr>
              <w:t>5AAA.</w:t>
            </w:r>
          </w:p>
        </w:tc>
        <w:tc>
          <w:tcPr>
            <w:tcW w:w="5245" w:type="dxa"/>
            <w:gridSpan w:val="2"/>
          </w:tcPr>
          <w:p>
            <w:pPr>
              <w:pStyle w:val="yTableNAm"/>
            </w:pPr>
            <w:r>
              <w:rPr>
                <w:rFonts w:cs="Arial"/>
                <w:szCs w:val="22"/>
              </w:rPr>
              <w:t>DIBENZOPYRANS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5AAB.</w:t>
            </w:r>
          </w:p>
        </w:tc>
        <w:tc>
          <w:tcPr>
            <w:tcW w:w="5245" w:type="dxa"/>
            <w:gridSpan w:val="2"/>
          </w:tcPr>
          <w:p>
            <w:pPr>
              <w:pStyle w:val="yTableNAm"/>
            </w:pPr>
            <w:r>
              <w:rPr>
                <w:rFonts w:cs="Arial"/>
                <w:szCs w:val="22"/>
              </w:rPr>
              <w:t xml:space="preserve">DIBENZOPYRANS </w:t>
            </w:r>
            <w:r>
              <w:rPr>
                <w:szCs w:val="22"/>
              </w:rPr>
              <w:t>(in any form except plant material)</w:t>
            </w:r>
          </w:p>
        </w:tc>
        <w:tc>
          <w:tcPr>
            <w:tcW w:w="1183" w:type="dxa"/>
            <w:gridSpan w:val="2"/>
          </w:tcPr>
          <w:p>
            <w:pPr>
              <w:pStyle w:val="yTableNAm"/>
              <w:tabs>
                <w:tab w:val="clear" w:pos="567"/>
                <w:tab w:val="decimal" w:pos="463"/>
              </w:tabs>
            </w:pPr>
            <w:r>
              <w:rPr>
                <w:szCs w:val="22"/>
              </w:rPr>
              <w:t>28.0</w:t>
            </w:r>
          </w:p>
        </w:tc>
      </w:tr>
      <w:tr>
        <w:trPr>
          <w:cantSplit/>
        </w:trPr>
        <w:tc>
          <w:tcPr>
            <w:tcW w:w="993" w:type="dxa"/>
          </w:tcPr>
          <w:p>
            <w:pPr>
              <w:pStyle w:val="yTableNAm"/>
              <w:rPr>
                <w:szCs w:val="22"/>
              </w:rPr>
            </w:pPr>
            <w:r>
              <w:t>5AAC.</w:t>
            </w:r>
          </w:p>
        </w:tc>
        <w:tc>
          <w:tcPr>
            <w:tcW w:w="5245" w:type="dxa"/>
            <w:gridSpan w:val="2"/>
          </w:tcPr>
          <w:p>
            <w:pPr>
              <w:pStyle w:val="yTableNAm"/>
              <w:rPr>
                <w:rFonts w:cs="Arial"/>
                <w:szCs w:val="22"/>
              </w:rPr>
            </w:pPr>
            <w:r>
              <w:rPr>
                <w:rFonts w:cs="Arial"/>
                <w:szCs w:val="24"/>
              </w:rPr>
              <w:t>2,5</w:t>
            </w:r>
            <w:r>
              <w:rPr>
                <w:rFonts w:cs="Arial"/>
                <w:szCs w:val="24"/>
              </w:rPr>
              <w:noBreakHyphen/>
              <w:t>DIHYDRO</w:t>
            </w:r>
            <w:r>
              <w:rPr>
                <w:rFonts w:cs="Arial"/>
                <w:szCs w:val="24"/>
              </w:rPr>
              <w:noBreakHyphen/>
              <w:t>2</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5</w:t>
            </w:r>
            <w:r>
              <w:rPr>
                <w:rFonts w:cs="Arial"/>
                <w:szCs w:val="24"/>
              </w:rPr>
              <w:noBreakHyphen/>
              <w:t>PENTYL</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(CUMYL</w:t>
            </w:r>
            <w:r>
              <w:rPr>
                <w:rFonts w:cs="Arial"/>
                <w:szCs w:val="24"/>
              </w:rPr>
              <w:noBreakHyphen/>
              <w:t>PEGACLONE; SGT</w:t>
            </w:r>
            <w:r>
              <w:rPr>
                <w:rFonts w:cs="Arial"/>
                <w:szCs w:val="24"/>
              </w:rPr>
              <w:noBreakHyphen/>
              <w:t>151) (</w:t>
            </w:r>
            <w:r>
              <w:rPr>
                <w:rFonts w:cs="Arial"/>
                <w:bCs/>
                <w:szCs w:val="24"/>
              </w:rPr>
              <w:t>plant material</w:t>
            </w:r>
            <w:r>
              <w:rPr>
                <w:rFonts w:cs="Arial"/>
                <w:szCs w:val="24"/>
              </w:rPr>
              <w:t>)</w:t>
            </w:r>
          </w:p>
        </w:tc>
        <w:tc>
          <w:tcPr>
            <w:tcW w:w="1183" w:type="dxa"/>
            <w:gridSpan w:val="2"/>
            <w:vAlign w:val="bottom"/>
          </w:tcPr>
          <w:p>
            <w:pPr>
              <w:pStyle w:val="yTableNAm"/>
              <w:tabs>
                <w:tab w:val="clear" w:pos="567"/>
                <w:tab w:val="decimal" w:pos="463"/>
              </w:tabs>
              <w:rPr>
                <w:szCs w:val="22"/>
              </w:rPr>
            </w:pPr>
            <w:r>
              <w:t>420.0</w:t>
            </w:r>
          </w:p>
        </w:tc>
      </w:tr>
      <w:tr>
        <w:trPr>
          <w:cantSplit/>
        </w:trPr>
        <w:tc>
          <w:tcPr>
            <w:tcW w:w="993" w:type="dxa"/>
          </w:tcPr>
          <w:p>
            <w:pPr>
              <w:pStyle w:val="yTableNAm"/>
              <w:rPr>
                <w:szCs w:val="22"/>
              </w:rPr>
            </w:pPr>
            <w:r>
              <w:lastRenderedPageBreak/>
              <w:t>5AAD.</w:t>
            </w:r>
          </w:p>
        </w:tc>
        <w:tc>
          <w:tcPr>
            <w:tcW w:w="5245" w:type="dxa"/>
            <w:gridSpan w:val="2"/>
          </w:tcPr>
          <w:p>
            <w:pPr>
              <w:pStyle w:val="yTableNAm"/>
              <w:rPr>
                <w:rFonts w:cs="Arial"/>
                <w:szCs w:val="22"/>
              </w:rPr>
            </w:pPr>
            <w:r>
              <w:rPr>
                <w:color w:val="000000"/>
                <w:szCs w:val="22"/>
              </w:rPr>
              <w:t>2,5</w:t>
            </w:r>
            <w:r>
              <w:rPr>
                <w:color w:val="000000"/>
                <w:szCs w:val="22"/>
              </w:rPr>
              <w:noBreakHyphen/>
              <w:t>DIHYDRO</w:t>
            </w:r>
            <w:r>
              <w:rPr>
                <w:color w:val="000000"/>
                <w:szCs w:val="22"/>
              </w:rPr>
              <w:noBreakHyphen/>
              <w:t>2</w:t>
            </w:r>
            <w:r>
              <w:rPr>
                <w:color w:val="000000"/>
                <w:szCs w:val="22"/>
              </w:rPr>
              <w:noBreakHyphen/>
              <w:t>(1</w:t>
            </w:r>
            <w:r>
              <w:rPr>
                <w:color w:val="000000"/>
                <w:szCs w:val="22"/>
              </w:rPr>
              <w:noBreakHyphen/>
              <w:t>METHYL</w:t>
            </w:r>
            <w:r>
              <w:rPr>
                <w:color w:val="000000"/>
                <w:szCs w:val="22"/>
              </w:rPr>
              <w:noBreakHyphen/>
              <w:t>1</w:t>
            </w:r>
            <w:r>
              <w:rPr>
                <w:color w:val="000000"/>
                <w:szCs w:val="22"/>
              </w:rPr>
              <w:noBreakHyphen/>
              <w:t>PHENYLETHYL)</w:t>
            </w:r>
            <w:r>
              <w:rPr>
                <w:color w:val="000000"/>
                <w:szCs w:val="22"/>
              </w:rPr>
              <w:noBreakHyphen/>
              <w:t>5</w:t>
            </w:r>
            <w:r>
              <w:rPr>
                <w:color w:val="000000"/>
                <w:szCs w:val="22"/>
              </w:rPr>
              <w:noBreakHyphen/>
              <w:t>PENTYL</w:t>
            </w:r>
            <w:r>
              <w:rPr>
                <w:color w:val="000000"/>
                <w:szCs w:val="22"/>
              </w:rPr>
              <w:noBreakHyphen/>
              <w:t>1H</w:t>
            </w:r>
            <w:r>
              <w:rPr>
                <w:color w:val="000000"/>
                <w:szCs w:val="22"/>
              </w:rPr>
              <w:noBreakHyphen/>
              <w:t>PYRIDO[4,3</w:t>
            </w:r>
            <w:r>
              <w:rPr>
                <w:color w:val="000000"/>
                <w:szCs w:val="22"/>
              </w:rPr>
              <w:noBreakHyphen/>
              <w:t>B]INDOL</w:t>
            </w:r>
            <w:r>
              <w:rPr>
                <w:color w:val="000000"/>
                <w:szCs w:val="22"/>
              </w:rPr>
              <w:noBreakHyphen/>
              <w:t>1</w:t>
            </w:r>
            <w:r>
              <w:rPr>
                <w:color w:val="000000"/>
                <w:szCs w:val="22"/>
              </w:rPr>
              <w:noBreakHyphen/>
              <w:t>ONE (CUMYL</w:t>
            </w:r>
            <w:r>
              <w:rPr>
                <w:color w:val="000000"/>
                <w:szCs w:val="22"/>
              </w:rPr>
              <w:noBreakHyphen/>
              <w:t>PEGACLONE; SGT</w:t>
            </w:r>
            <w:r>
              <w:rPr>
                <w:color w:val="000000"/>
                <w:szCs w:val="22"/>
              </w:rPr>
              <w:noBreakHyphen/>
              <w:t xml:space="preserve">151) </w:t>
            </w:r>
            <w:r>
              <w:rPr>
                <w:szCs w:val="22"/>
              </w:rPr>
              <w:t>(</w:t>
            </w:r>
            <w:r>
              <w:rPr>
                <w:bCs/>
                <w:szCs w:val="22"/>
              </w:rPr>
              <w:t>in any form except plant material</w:t>
            </w:r>
            <w:r>
              <w:rPr>
                <w:szCs w:val="22"/>
              </w:rPr>
              <w:t>)</w:t>
            </w:r>
          </w:p>
        </w:tc>
        <w:tc>
          <w:tcPr>
            <w:tcW w:w="1183" w:type="dxa"/>
            <w:gridSpan w:val="2"/>
            <w:vAlign w:val="bottom"/>
          </w:tcPr>
          <w:p>
            <w:pPr>
              <w:pStyle w:val="yTableNAm"/>
              <w:tabs>
                <w:tab w:val="clear" w:pos="567"/>
                <w:tab w:val="decimal" w:pos="463"/>
              </w:tabs>
              <w:rPr>
                <w:szCs w:val="22"/>
              </w:rPr>
            </w:pPr>
            <w:r>
              <w:t>28.0</w:t>
            </w:r>
          </w:p>
        </w:tc>
      </w:tr>
      <w:tr>
        <w:trPr>
          <w:cantSplit/>
        </w:trPr>
        <w:tc>
          <w:tcPr>
            <w:tcW w:w="993" w:type="dxa"/>
          </w:tcPr>
          <w:p>
            <w:pPr>
              <w:pStyle w:val="yTableNAm"/>
            </w:pPr>
            <w:r>
              <w:t>5AA.</w:t>
            </w:r>
          </w:p>
        </w:tc>
        <w:tc>
          <w:tcPr>
            <w:tcW w:w="5245" w:type="dxa"/>
            <w:gridSpan w:val="2"/>
          </w:tcPr>
          <w:p>
            <w:pPr>
              <w:pStyle w:val="yTableNAm"/>
            </w:pPr>
            <w:r>
              <w:t>DIMETHYLAMPHETAMINE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rPr>
                <w:szCs w:val="22"/>
              </w:rPr>
              <w:t>5AB.</w:t>
            </w:r>
          </w:p>
        </w:tc>
        <w:tc>
          <w:tcPr>
            <w:tcW w:w="5245" w:type="dxa"/>
            <w:gridSpan w:val="2"/>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 (plant material)</w:t>
            </w:r>
          </w:p>
        </w:tc>
        <w:tc>
          <w:tcPr>
            <w:tcW w:w="1183" w:type="dxa"/>
            <w:gridSpan w:val="2"/>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5ACA.</w:t>
            </w:r>
          </w:p>
        </w:tc>
        <w:tc>
          <w:tcPr>
            <w:tcW w:w="5245" w:type="dxa"/>
            <w:gridSpan w:val="2"/>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w:t>
            </w:r>
            <w:r>
              <w:rPr>
                <w:rFonts w:cs="Arial"/>
                <w:szCs w:val="22"/>
              </w:rPr>
              <w:t xml:space="preserve"> </w:t>
            </w:r>
            <w:r>
              <w:rPr>
                <w:szCs w:val="22"/>
              </w:rPr>
              <w:t>(in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5AC.</w:t>
            </w:r>
          </w:p>
        </w:tc>
        <w:tc>
          <w:tcPr>
            <w:tcW w:w="5245" w:type="dxa"/>
            <w:gridSpan w:val="2"/>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3</w:t>
            </w:r>
            <w:r>
              <w:rPr>
                <w:rFonts w:cs="Arial"/>
                <w:szCs w:val="22"/>
              </w:rPr>
              <w:noBreakHyphen/>
            </w:r>
            <w:r>
              <w:rPr>
                <w:rFonts w:cs="Arial"/>
                <w:szCs w:val="22"/>
              </w:rPr>
              <w:br/>
              <w:t>HYDROXYCYCLOHEXYL]</w:t>
            </w:r>
            <w:r>
              <w:rPr>
                <w:rFonts w:cs="Arial"/>
                <w:szCs w:val="22"/>
              </w:rPr>
              <w:noBreakHyphen/>
              <w:t>PHENOL (CANNABICYCLOHEXANOL or CP 47,497 C8 HOMOLOGUE) (plant material)</w:t>
            </w:r>
          </w:p>
        </w:tc>
        <w:tc>
          <w:tcPr>
            <w:tcW w:w="1183" w:type="dxa"/>
            <w:gridSpan w:val="2"/>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5AD.</w:t>
            </w:r>
          </w:p>
        </w:tc>
        <w:tc>
          <w:tcPr>
            <w:tcW w:w="5245" w:type="dxa"/>
            <w:gridSpan w:val="2"/>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3</w:t>
            </w:r>
            <w:r>
              <w:rPr>
                <w:rFonts w:cs="Arial"/>
                <w:szCs w:val="22"/>
              </w:rPr>
              <w:noBreakHyphen/>
            </w:r>
            <w:r>
              <w:rPr>
                <w:rFonts w:cs="Arial"/>
                <w:szCs w:val="22"/>
              </w:rPr>
              <w:br/>
              <w:t>HYDROXYCYCLOHEXYL]</w:t>
            </w:r>
            <w:r>
              <w:rPr>
                <w:rFonts w:cs="Arial"/>
                <w:szCs w:val="22"/>
              </w:rPr>
              <w:noBreakHyphen/>
              <w:t>PHENOL (CANNABICYCLOHEXANOL or CP 47,497 C8 HOMOLOGUE)</w:t>
            </w:r>
            <w:r>
              <w:rPr>
                <w:szCs w:val="22"/>
              </w:rPr>
              <w:t xml:space="preserve"> (in any form except plant material)</w:t>
            </w:r>
          </w:p>
        </w:tc>
        <w:tc>
          <w:tcPr>
            <w:tcW w:w="1183" w:type="dxa"/>
            <w:gridSpan w:val="2"/>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5AE.</w:t>
            </w:r>
          </w:p>
        </w:tc>
        <w:tc>
          <w:tcPr>
            <w:tcW w:w="5245" w:type="dxa"/>
            <w:gridSpan w:val="2"/>
          </w:tcPr>
          <w:p>
            <w:pPr>
              <w:pStyle w:val="yTableNAm"/>
            </w:pPr>
            <w:r>
              <w:rPr>
                <w:rFonts w:cs="Arial"/>
                <w:szCs w:val="22"/>
              </w:rPr>
              <w:t>DIPHENIDINE</w:t>
            </w:r>
          </w:p>
        </w:tc>
        <w:tc>
          <w:tcPr>
            <w:tcW w:w="1183" w:type="dxa"/>
            <w:gridSpan w:val="2"/>
          </w:tcPr>
          <w:p>
            <w:pPr>
              <w:pStyle w:val="yTableNAm"/>
              <w:tabs>
                <w:tab w:val="clear" w:pos="567"/>
                <w:tab w:val="decimal" w:pos="463"/>
              </w:tabs>
            </w:pPr>
            <w:r>
              <w:rPr>
                <w:szCs w:val="22"/>
              </w:rPr>
              <w:t>28.0</w:t>
            </w:r>
          </w:p>
        </w:tc>
      </w:tr>
      <w:tr>
        <w:trPr>
          <w:cantSplit/>
        </w:trPr>
        <w:tc>
          <w:tcPr>
            <w:tcW w:w="993" w:type="dxa"/>
          </w:tcPr>
          <w:p>
            <w:pPr>
              <w:pStyle w:val="yTableNAm"/>
            </w:pPr>
            <w:r>
              <w:rPr>
                <w:szCs w:val="22"/>
              </w:rPr>
              <w:t>5AF.</w:t>
            </w:r>
          </w:p>
        </w:tc>
        <w:tc>
          <w:tcPr>
            <w:tcW w:w="5245" w:type="dxa"/>
            <w:gridSpan w:val="2"/>
          </w:tcPr>
          <w:p>
            <w:pPr>
              <w:pStyle w:val="yTableNAm"/>
            </w:pPr>
            <w:r>
              <w:rPr>
                <w:rFonts w:eastAsia="Calibri" w:cs="Arial"/>
                <w:color w:val="000000"/>
                <w:szCs w:val="22"/>
              </w:rPr>
              <w:t>(E)</w:t>
            </w:r>
            <w:r>
              <w:rPr>
                <w:rFonts w:eastAsia="Calibri" w:cs="Arial"/>
                <w:color w:val="000000"/>
                <w:szCs w:val="22"/>
              </w:rPr>
              <w:noBreakHyphen/>
              <w:t>4</w:t>
            </w:r>
            <w:r>
              <w:rPr>
                <w:rFonts w:eastAsia="Calibri" w:cs="Arial"/>
                <w:color w:val="000000"/>
                <w:szCs w:val="22"/>
              </w:rPr>
              <w:noBreakHyphen/>
              <w:t>CHLORO</w:t>
            </w:r>
            <w:r>
              <w:rPr>
                <w:rFonts w:eastAsia="Calibri" w:cs="Arial"/>
                <w:color w:val="000000"/>
                <w:szCs w:val="22"/>
              </w:rPr>
              <w:noBreakHyphen/>
              <w:t>N</w:t>
            </w:r>
            <w:r>
              <w:rPr>
                <w:rFonts w:eastAsia="Calibri" w:cs="Arial"/>
                <w:color w:val="000000"/>
                <w:szCs w:val="22"/>
              </w:rPr>
              <w:noBreakHyphen/>
              <w:t>(1</w:t>
            </w:r>
            <w:r>
              <w:rPr>
                <w:rFonts w:eastAsia="Calibri" w:cs="Arial"/>
                <w:color w:val="000000"/>
                <w:szCs w:val="22"/>
              </w:rPr>
              <w:noBreakHyphen/>
              <w:t>(4</w:t>
            </w:r>
            <w:r>
              <w:rPr>
                <w:rFonts w:eastAsia="Calibri" w:cs="Arial"/>
                <w:color w:val="000000"/>
                <w:szCs w:val="22"/>
              </w:rPr>
              <w:noBreakHyphen/>
              <w:t>NITROPHENETHYL) PIPERIDIN</w:t>
            </w:r>
            <w:r>
              <w:rPr>
                <w:rFonts w:eastAsia="Calibri" w:cs="Arial"/>
                <w:color w:val="000000"/>
                <w:szCs w:val="22"/>
              </w:rPr>
              <w:noBreakHyphen/>
              <w:t>2</w:t>
            </w:r>
            <w:r>
              <w:rPr>
                <w:rFonts w:eastAsia="Calibri" w:cs="Arial"/>
                <w:color w:val="000000"/>
                <w:szCs w:val="22"/>
              </w:rPr>
              <w:noBreakHyphen/>
              <w:t>YLIDENE)BENZENESULFONAMIDE (W</w:t>
            </w:r>
            <w:r>
              <w:rPr>
                <w:rFonts w:eastAsia="Calibri" w:cs="Arial"/>
                <w:color w:val="000000"/>
                <w:szCs w:val="22"/>
              </w:rPr>
              <w:noBreakHyphen/>
              <w:t>18)</w:t>
            </w:r>
          </w:p>
        </w:tc>
        <w:tc>
          <w:tcPr>
            <w:tcW w:w="1183" w:type="dxa"/>
            <w:gridSpan w:val="2"/>
          </w:tcPr>
          <w:p>
            <w:pPr>
              <w:pStyle w:val="yTableNAm"/>
              <w:tabs>
                <w:tab w:val="clear" w:pos="567"/>
                <w:tab w:val="decimal" w:pos="463"/>
              </w:tabs>
            </w:pPr>
            <w:r>
              <w:rPr>
                <w:szCs w:val="22"/>
              </w:rPr>
              <w:br/>
            </w:r>
            <w:r>
              <w:rPr>
                <w:szCs w:val="22"/>
              </w:rPr>
              <w:br/>
              <w:t>0.070</w:t>
            </w:r>
          </w:p>
        </w:tc>
      </w:tr>
      <w:tr>
        <w:trPr>
          <w:cantSplit/>
        </w:trPr>
        <w:tc>
          <w:tcPr>
            <w:tcW w:w="993" w:type="dxa"/>
          </w:tcPr>
          <w:p>
            <w:pPr>
              <w:pStyle w:val="yTableNAm"/>
            </w:pPr>
            <w:r>
              <w:t>5A.</w:t>
            </w:r>
          </w:p>
        </w:tc>
        <w:tc>
          <w:tcPr>
            <w:tcW w:w="5245" w:type="dxa"/>
            <w:gridSpan w:val="2"/>
          </w:tcPr>
          <w:p>
            <w:pPr>
              <w:pStyle w:val="yTableNAm"/>
            </w:pPr>
            <w:r>
              <w:t>EPHEDRINE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rPr>
                <w:szCs w:val="22"/>
              </w:rPr>
              <w:t>5B.</w:t>
            </w:r>
          </w:p>
        </w:tc>
        <w:tc>
          <w:tcPr>
            <w:tcW w:w="5245" w:type="dxa"/>
            <w:gridSpan w:val="2"/>
          </w:tcPr>
          <w:p>
            <w:pPr>
              <w:pStyle w:val="yTableNAm"/>
            </w:pPr>
            <w:r>
              <w:rPr>
                <w:szCs w:val="22"/>
              </w:rPr>
              <w:t>FENTANYL</w:t>
            </w:r>
          </w:p>
        </w:tc>
        <w:tc>
          <w:tcPr>
            <w:tcW w:w="1183" w:type="dxa"/>
            <w:gridSpan w:val="2"/>
          </w:tcPr>
          <w:p>
            <w:pPr>
              <w:pStyle w:val="yTableNAm"/>
              <w:tabs>
                <w:tab w:val="clear" w:pos="567"/>
                <w:tab w:val="decimal" w:pos="463"/>
              </w:tabs>
            </w:pPr>
            <w:r>
              <w:rPr>
                <w:szCs w:val="22"/>
              </w:rPr>
              <w:t>0.070</w:t>
            </w:r>
          </w:p>
        </w:tc>
      </w:tr>
      <w:tr>
        <w:trPr>
          <w:cantSplit/>
        </w:trPr>
        <w:tc>
          <w:tcPr>
            <w:tcW w:w="993" w:type="dxa"/>
          </w:tcPr>
          <w:p>
            <w:pPr>
              <w:pStyle w:val="yTableNAm"/>
              <w:rPr>
                <w:szCs w:val="22"/>
              </w:rPr>
            </w:pPr>
            <w:r>
              <w:rPr>
                <w:szCs w:val="22"/>
              </w:rPr>
              <w:t>6A.</w:t>
            </w:r>
          </w:p>
        </w:tc>
        <w:tc>
          <w:tcPr>
            <w:tcW w:w="5245" w:type="dxa"/>
            <w:gridSpan w:val="2"/>
          </w:tcPr>
          <w:p>
            <w:pPr>
              <w:pStyle w:val="yTableNAm"/>
              <w:rPr>
                <w:szCs w:val="22"/>
              </w:rPr>
            </w:pPr>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 (plant material)</w:t>
            </w:r>
          </w:p>
        </w:tc>
        <w:tc>
          <w:tcPr>
            <w:tcW w:w="1183" w:type="dxa"/>
            <w:gridSpan w:val="2"/>
          </w:tcPr>
          <w:p>
            <w:pPr>
              <w:pStyle w:val="yTableNAm"/>
              <w:tabs>
                <w:tab w:val="clear" w:pos="567"/>
                <w:tab w:val="decimal" w:pos="463"/>
              </w:tabs>
              <w:rPr>
                <w:szCs w:val="22"/>
              </w:rPr>
            </w:pPr>
            <w:r>
              <w:rPr>
                <w:szCs w:val="22"/>
              </w:rPr>
              <w:br/>
              <w:t>420.0</w:t>
            </w:r>
          </w:p>
        </w:tc>
      </w:tr>
      <w:tr>
        <w:trPr>
          <w:cantSplit/>
        </w:trPr>
        <w:tc>
          <w:tcPr>
            <w:tcW w:w="993" w:type="dxa"/>
          </w:tcPr>
          <w:p>
            <w:pPr>
              <w:pStyle w:val="yTableNAm"/>
              <w:rPr>
                <w:szCs w:val="22"/>
              </w:rPr>
            </w:pPr>
            <w:r>
              <w:rPr>
                <w:szCs w:val="22"/>
              </w:rPr>
              <w:t>6AA.</w:t>
            </w:r>
          </w:p>
        </w:tc>
        <w:tc>
          <w:tcPr>
            <w:tcW w:w="5245" w:type="dxa"/>
            <w:gridSpan w:val="2"/>
          </w:tcPr>
          <w:p>
            <w:pPr>
              <w:pStyle w:val="yTableNAm"/>
              <w:rPr>
                <w:szCs w:val="22"/>
              </w:rPr>
            </w:pPr>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 (in any form except plant material)</w:t>
            </w:r>
          </w:p>
        </w:tc>
        <w:tc>
          <w:tcPr>
            <w:tcW w:w="1183" w:type="dxa"/>
            <w:gridSpan w:val="2"/>
          </w:tcPr>
          <w:p>
            <w:pPr>
              <w:pStyle w:val="yTableNAm"/>
              <w:tabs>
                <w:tab w:val="clear" w:pos="567"/>
                <w:tab w:val="decimal" w:pos="463"/>
              </w:tabs>
              <w:rPr>
                <w:szCs w:val="22"/>
              </w:rPr>
            </w:pPr>
            <w:r>
              <w:rPr>
                <w:szCs w:val="22"/>
              </w:rPr>
              <w:br/>
              <w:t>28.0</w:t>
            </w:r>
          </w:p>
        </w:tc>
      </w:tr>
      <w:tr>
        <w:trPr>
          <w:cantSplit/>
        </w:trPr>
        <w:tc>
          <w:tcPr>
            <w:tcW w:w="993" w:type="dxa"/>
          </w:tcPr>
          <w:p>
            <w:pPr>
              <w:pStyle w:val="yTableNAm"/>
              <w:rPr>
                <w:szCs w:val="22"/>
              </w:rPr>
            </w:pPr>
            <w:r>
              <w:rPr>
                <w:szCs w:val="22"/>
              </w:rPr>
              <w:lastRenderedPageBreak/>
              <w:t>6AB.</w:t>
            </w:r>
          </w:p>
        </w:tc>
        <w:tc>
          <w:tcPr>
            <w:tcW w:w="5245" w:type="dxa"/>
            <w:gridSpan w:val="2"/>
          </w:tcPr>
          <w:p>
            <w:pPr>
              <w:pStyle w:val="yTableNAm"/>
              <w:rPr>
                <w:szCs w:val="22"/>
              </w:rPr>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(plant material)</w:t>
            </w:r>
          </w:p>
        </w:tc>
        <w:tc>
          <w:tcPr>
            <w:tcW w:w="1183" w:type="dxa"/>
            <w:gridSpan w:val="2"/>
          </w:tcPr>
          <w:p>
            <w:pPr>
              <w:pStyle w:val="yTableNAm"/>
              <w:tabs>
                <w:tab w:val="clear" w:pos="567"/>
                <w:tab w:val="decimal" w:pos="463"/>
              </w:tabs>
              <w:rPr>
                <w:szCs w:val="22"/>
              </w:rPr>
            </w:pPr>
            <w:r>
              <w:rPr>
                <w:szCs w:val="22"/>
              </w:rPr>
              <w:br/>
            </w:r>
            <w:r>
              <w:rPr>
                <w:szCs w:val="22"/>
              </w:rPr>
              <w:br/>
              <w:t>420.0</w:t>
            </w:r>
          </w:p>
        </w:tc>
      </w:tr>
      <w:tr>
        <w:trPr>
          <w:cantSplit/>
        </w:trPr>
        <w:tc>
          <w:tcPr>
            <w:tcW w:w="993" w:type="dxa"/>
          </w:tcPr>
          <w:p>
            <w:pPr>
              <w:pStyle w:val="yTableNAm"/>
              <w:rPr>
                <w:szCs w:val="22"/>
              </w:rPr>
            </w:pPr>
            <w:r>
              <w:rPr>
                <w:szCs w:val="22"/>
              </w:rPr>
              <w:t>6AC.</w:t>
            </w:r>
          </w:p>
        </w:tc>
        <w:tc>
          <w:tcPr>
            <w:tcW w:w="5245" w:type="dxa"/>
            <w:gridSpan w:val="2"/>
          </w:tcPr>
          <w:p>
            <w:pPr>
              <w:pStyle w:val="yTableNAm"/>
              <w:rPr>
                <w:szCs w:val="22"/>
              </w:rPr>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(in any form except plant material)</w:t>
            </w:r>
          </w:p>
        </w:tc>
        <w:tc>
          <w:tcPr>
            <w:tcW w:w="1183" w:type="dxa"/>
            <w:gridSpan w:val="2"/>
          </w:tcPr>
          <w:p>
            <w:pPr>
              <w:pStyle w:val="yTableNAm"/>
              <w:tabs>
                <w:tab w:val="clear" w:pos="567"/>
                <w:tab w:val="decimal" w:pos="463"/>
              </w:tabs>
              <w:rPr>
                <w:szCs w:val="22"/>
              </w:rPr>
            </w:pPr>
            <w:r>
              <w:rPr>
                <w:szCs w:val="22"/>
              </w:rPr>
              <w:br/>
            </w:r>
            <w:r>
              <w:rPr>
                <w:szCs w:val="22"/>
              </w:rPr>
              <w:br/>
            </w:r>
            <w:r>
              <w:rPr>
                <w:szCs w:val="22"/>
              </w:rPr>
              <w:br/>
              <w:t>28.0</w:t>
            </w:r>
          </w:p>
        </w:tc>
      </w:tr>
      <w:tr>
        <w:trPr>
          <w:cantSplit/>
        </w:trPr>
        <w:tc>
          <w:tcPr>
            <w:tcW w:w="993" w:type="dxa"/>
          </w:tcPr>
          <w:p>
            <w:pPr>
              <w:pStyle w:val="yTableNAm"/>
            </w:pPr>
            <w:r>
              <w:rPr>
                <w:szCs w:val="22"/>
              </w:rPr>
              <w:t>6B.</w:t>
            </w:r>
          </w:p>
        </w:tc>
        <w:tc>
          <w:tcPr>
            <w:tcW w:w="5245" w:type="dxa"/>
            <w:gridSpan w:val="2"/>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6BA.</w:t>
            </w:r>
          </w:p>
        </w:tc>
        <w:tc>
          <w:tcPr>
            <w:tcW w:w="5245" w:type="dxa"/>
            <w:gridSpan w:val="2"/>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w:t>
            </w:r>
            <w:r>
              <w:rPr>
                <w:rFonts w:ascii="Arial" w:hAnsi="Arial" w:cs="Arial"/>
                <w:szCs w:val="22"/>
              </w:rPr>
              <w:t xml:space="preserve"> </w:t>
            </w:r>
            <w:r>
              <w:rPr>
                <w:szCs w:val="22"/>
              </w:rPr>
              <w:t>(in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rPr>
                <w:szCs w:val="22"/>
              </w:rPr>
            </w:pPr>
            <w:r>
              <w:t>6BAA.</w:t>
            </w:r>
          </w:p>
        </w:tc>
        <w:tc>
          <w:tcPr>
            <w:tcW w:w="5245" w:type="dxa"/>
            <w:gridSpan w:val="2"/>
          </w:tcPr>
          <w:p>
            <w:pPr>
              <w:pStyle w:val="yTableNAm"/>
              <w:rPr>
                <w:szCs w:val="22"/>
              </w:rPr>
            </w:pPr>
            <w:r>
              <w:rPr>
                <w:rFonts w:cs="Arial"/>
                <w:szCs w:val="24"/>
              </w:rPr>
              <w:t>5</w:t>
            </w:r>
            <w:r>
              <w:rPr>
                <w:rFonts w:cs="Arial"/>
                <w:szCs w:val="24"/>
              </w:rPr>
              <w:noBreakHyphen/>
              <w:t>(5</w:t>
            </w:r>
            <w:r>
              <w:rPr>
                <w:rFonts w:cs="Arial"/>
                <w:szCs w:val="24"/>
              </w:rPr>
              <w:noBreakHyphen/>
              <w:t>FLUOROPENTYL)</w:t>
            </w:r>
            <w:r>
              <w:rPr>
                <w:rFonts w:cs="Arial"/>
                <w:szCs w:val="24"/>
              </w:rPr>
              <w:noBreakHyphen/>
              <w:t>2</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2,5</w:t>
            </w:r>
            <w:r>
              <w:rPr>
                <w:rFonts w:cs="Arial"/>
                <w:szCs w:val="24"/>
              </w:rPr>
              <w:noBreakHyphen/>
              <w:t>DIHYDRO</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(5F</w:t>
            </w:r>
            <w:r>
              <w:rPr>
                <w:rFonts w:cs="Arial"/>
                <w:szCs w:val="24"/>
              </w:rPr>
              <w:noBreakHyphen/>
              <w:t>CUMYL</w:t>
            </w:r>
            <w:r>
              <w:rPr>
                <w:rFonts w:cs="Arial"/>
                <w:szCs w:val="24"/>
              </w:rPr>
              <w:noBreakHyphen/>
              <w:t>PEGACLONE; 5F SGT</w:t>
            </w:r>
            <w:r>
              <w:rPr>
                <w:rFonts w:cs="Arial"/>
                <w:szCs w:val="24"/>
              </w:rPr>
              <w:noBreakHyphen/>
              <w:t>151) (</w:t>
            </w:r>
            <w:r>
              <w:rPr>
                <w:rFonts w:cs="Arial"/>
                <w:bCs/>
                <w:szCs w:val="24"/>
              </w:rPr>
              <w:t>plant material</w:t>
            </w:r>
            <w:r>
              <w:rPr>
                <w:rFonts w:cs="Arial"/>
                <w:szCs w:val="24"/>
              </w:rPr>
              <w:t>)</w:t>
            </w:r>
          </w:p>
        </w:tc>
        <w:tc>
          <w:tcPr>
            <w:tcW w:w="1183" w:type="dxa"/>
            <w:gridSpan w:val="2"/>
            <w:vAlign w:val="bottom"/>
          </w:tcPr>
          <w:p>
            <w:pPr>
              <w:pStyle w:val="yTableNAm"/>
              <w:tabs>
                <w:tab w:val="clear" w:pos="567"/>
                <w:tab w:val="decimal" w:pos="463"/>
              </w:tabs>
              <w:rPr>
                <w:szCs w:val="22"/>
              </w:rPr>
            </w:pPr>
            <w:r>
              <w:t>420.0</w:t>
            </w:r>
          </w:p>
        </w:tc>
      </w:tr>
      <w:tr>
        <w:trPr>
          <w:cantSplit/>
        </w:trPr>
        <w:tc>
          <w:tcPr>
            <w:tcW w:w="993" w:type="dxa"/>
          </w:tcPr>
          <w:p>
            <w:pPr>
              <w:pStyle w:val="yTableNAm"/>
              <w:rPr>
                <w:szCs w:val="22"/>
              </w:rPr>
            </w:pPr>
            <w:r>
              <w:t>6BAB.</w:t>
            </w:r>
          </w:p>
        </w:tc>
        <w:tc>
          <w:tcPr>
            <w:tcW w:w="5245" w:type="dxa"/>
            <w:gridSpan w:val="2"/>
          </w:tcPr>
          <w:p>
            <w:pPr>
              <w:pStyle w:val="yTableNAm"/>
              <w:rPr>
                <w:szCs w:val="22"/>
              </w:rPr>
            </w:pPr>
            <w:r>
              <w:rPr>
                <w:rFonts w:cs="Arial"/>
                <w:szCs w:val="24"/>
              </w:rPr>
              <w:t>5</w:t>
            </w:r>
            <w:r>
              <w:rPr>
                <w:rFonts w:cs="Arial"/>
                <w:szCs w:val="24"/>
              </w:rPr>
              <w:noBreakHyphen/>
              <w:t>(5</w:t>
            </w:r>
            <w:r>
              <w:rPr>
                <w:rFonts w:cs="Arial"/>
                <w:szCs w:val="24"/>
              </w:rPr>
              <w:noBreakHyphen/>
              <w:t>FLUOROPENTYL)</w:t>
            </w:r>
            <w:r>
              <w:rPr>
                <w:rFonts w:cs="Arial"/>
                <w:szCs w:val="24"/>
              </w:rPr>
              <w:noBreakHyphen/>
              <w:t>2</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2,5</w:t>
            </w:r>
            <w:r>
              <w:rPr>
                <w:rFonts w:cs="Arial"/>
                <w:szCs w:val="24"/>
              </w:rPr>
              <w:noBreakHyphen/>
              <w:t>DIHYDRO</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(5F</w:t>
            </w:r>
            <w:r>
              <w:rPr>
                <w:rFonts w:cs="Arial"/>
                <w:szCs w:val="24"/>
              </w:rPr>
              <w:noBreakHyphen/>
              <w:t>CUMYL</w:t>
            </w:r>
            <w:r>
              <w:rPr>
                <w:rFonts w:cs="Arial"/>
                <w:szCs w:val="24"/>
              </w:rPr>
              <w:noBreakHyphen/>
              <w:t>PEGACLONE; 5F SGT</w:t>
            </w:r>
            <w:r>
              <w:rPr>
                <w:rFonts w:cs="Arial"/>
                <w:szCs w:val="24"/>
              </w:rPr>
              <w:noBreakHyphen/>
              <w:t>151) (</w:t>
            </w:r>
            <w:r>
              <w:rPr>
                <w:rFonts w:cs="Arial"/>
                <w:bCs/>
                <w:szCs w:val="24"/>
              </w:rPr>
              <w:t>in any form except plant materia</w:t>
            </w:r>
            <w:r>
              <w:rPr>
                <w:rFonts w:cs="Arial"/>
                <w:szCs w:val="24"/>
              </w:rPr>
              <w:t>l)</w:t>
            </w:r>
          </w:p>
        </w:tc>
        <w:tc>
          <w:tcPr>
            <w:tcW w:w="1183" w:type="dxa"/>
            <w:gridSpan w:val="2"/>
            <w:vAlign w:val="bottom"/>
          </w:tcPr>
          <w:p>
            <w:pPr>
              <w:pStyle w:val="yTableNAm"/>
              <w:tabs>
                <w:tab w:val="clear" w:pos="567"/>
                <w:tab w:val="decimal" w:pos="463"/>
              </w:tabs>
              <w:rPr>
                <w:szCs w:val="22"/>
              </w:rPr>
            </w:pPr>
            <w:r>
              <w:t>28.0</w:t>
            </w:r>
          </w:p>
        </w:tc>
      </w:tr>
      <w:tr>
        <w:trPr>
          <w:cantSplit/>
        </w:trPr>
        <w:tc>
          <w:tcPr>
            <w:tcW w:w="993" w:type="dxa"/>
          </w:tcPr>
          <w:p>
            <w:pPr>
              <w:pStyle w:val="yTableNAm"/>
              <w:rPr>
                <w:szCs w:val="22"/>
              </w:rPr>
            </w:pPr>
            <w:r>
              <w:t>6BAC.</w:t>
            </w:r>
          </w:p>
        </w:tc>
        <w:tc>
          <w:tcPr>
            <w:tcW w:w="5245" w:type="dxa"/>
            <w:gridSpan w:val="2"/>
          </w:tcPr>
          <w:p>
            <w:pPr>
              <w:pStyle w:val="yTableNAm"/>
              <w:rPr>
                <w:szCs w:val="22"/>
              </w:rPr>
            </w:pPr>
            <w:r>
              <w:rPr>
                <w:rFonts w:cs="Arial"/>
                <w:szCs w:val="24"/>
              </w:rPr>
              <w:t>2</w:t>
            </w:r>
            <w:r>
              <w:rPr>
                <w:rFonts w:cs="Arial"/>
                <w:szCs w:val="24"/>
              </w:rPr>
              <w:noBreakHyphen/>
              <w:t>(2</w:t>
            </w:r>
            <w:r>
              <w:rPr>
                <w:rFonts w:cs="Arial"/>
                <w:szCs w:val="24"/>
              </w:rPr>
              <w:noBreakHyphen/>
              <w:t>FLUOROPHENYL)</w:t>
            </w:r>
            <w:r>
              <w:rPr>
                <w:rFonts w:cs="Arial"/>
                <w:szCs w:val="24"/>
              </w:rPr>
              <w:noBreakHyphen/>
              <w:t>2</w:t>
            </w:r>
            <w:r>
              <w:rPr>
                <w:rFonts w:cs="Arial"/>
                <w:szCs w:val="24"/>
              </w:rPr>
              <w:noBreakHyphen/>
              <w:t>METHYLAMINO</w:t>
            </w:r>
            <w:r>
              <w:rPr>
                <w:rFonts w:cs="Arial"/>
                <w:szCs w:val="24"/>
              </w:rPr>
              <w:noBreakHyphen/>
              <w:t>CYCLOHEXANONE (2</w:t>
            </w:r>
            <w:r>
              <w:rPr>
                <w:rFonts w:cs="Arial"/>
                <w:szCs w:val="24"/>
              </w:rPr>
              <w:noBreakHyphen/>
              <w:t>FLUORODESCHLOROKETAMINE; 2FDCK)</w:t>
            </w:r>
          </w:p>
        </w:tc>
        <w:tc>
          <w:tcPr>
            <w:tcW w:w="1183" w:type="dxa"/>
            <w:gridSpan w:val="2"/>
            <w:vAlign w:val="bottom"/>
          </w:tcPr>
          <w:p>
            <w:pPr>
              <w:pStyle w:val="yTableNAm"/>
              <w:tabs>
                <w:tab w:val="clear" w:pos="567"/>
                <w:tab w:val="decimal" w:pos="463"/>
              </w:tabs>
              <w:rPr>
                <w:szCs w:val="22"/>
              </w:rPr>
            </w:pPr>
            <w:r>
              <w:t>28.0</w:t>
            </w:r>
          </w:p>
        </w:tc>
      </w:tr>
      <w:tr>
        <w:trPr>
          <w:cantSplit/>
        </w:trPr>
        <w:tc>
          <w:tcPr>
            <w:tcW w:w="993" w:type="dxa"/>
          </w:tcPr>
          <w:p>
            <w:pPr>
              <w:pStyle w:val="yTableNAm"/>
            </w:pPr>
            <w:r>
              <w:rPr>
                <w:szCs w:val="22"/>
              </w:rPr>
              <w:t>6BB.</w:t>
            </w:r>
          </w:p>
        </w:tc>
        <w:tc>
          <w:tcPr>
            <w:tcW w:w="5245" w:type="dxa"/>
            <w:gridSpan w:val="2"/>
          </w:tcPr>
          <w:p>
            <w:pPr>
              <w:pStyle w:val="yTableNAm"/>
            </w:pPr>
            <w:r>
              <w:rPr>
                <w:rFonts w:cs="Arial"/>
                <w:szCs w:val="22"/>
              </w:rPr>
              <w:t>GAMMA HYDROXY BUTRATE (4</w:t>
            </w:r>
            <w:r>
              <w:rPr>
                <w:rFonts w:cs="Arial"/>
                <w:szCs w:val="22"/>
              </w:rPr>
              <w:noBreakHyphen/>
              <w:t>HYDROXYBUTANOIC ACID)</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6BC.</w:t>
            </w:r>
          </w:p>
        </w:tc>
        <w:tc>
          <w:tcPr>
            <w:tcW w:w="5245" w:type="dxa"/>
            <w:gridSpan w:val="2"/>
          </w:tcPr>
          <w:p>
            <w:pPr>
              <w:pStyle w:val="yTableNAm"/>
            </w:pPr>
            <w:r>
              <w:rPr>
                <w:rFonts w:cs="Arial"/>
                <w:szCs w:val="22"/>
              </w:rPr>
              <w:t>HEROIN</w:t>
            </w:r>
          </w:p>
        </w:tc>
        <w:tc>
          <w:tcPr>
            <w:tcW w:w="1183" w:type="dxa"/>
            <w:gridSpan w:val="2"/>
          </w:tcPr>
          <w:p>
            <w:pPr>
              <w:pStyle w:val="yTableNAm"/>
              <w:tabs>
                <w:tab w:val="clear" w:pos="567"/>
                <w:tab w:val="decimal" w:pos="463"/>
              </w:tabs>
            </w:pPr>
            <w:r>
              <w:rPr>
                <w:szCs w:val="22"/>
              </w:rPr>
              <w:t>28.0</w:t>
            </w:r>
          </w:p>
        </w:tc>
      </w:tr>
      <w:tr>
        <w:trPr>
          <w:cantSplit/>
        </w:trPr>
        <w:tc>
          <w:tcPr>
            <w:tcW w:w="993" w:type="dxa"/>
          </w:tcPr>
          <w:p>
            <w:pPr>
              <w:pStyle w:val="yTableNAm"/>
            </w:pPr>
            <w:r>
              <w:rPr>
                <w:szCs w:val="22"/>
              </w:rPr>
              <w:t>6C.</w:t>
            </w:r>
          </w:p>
        </w:tc>
        <w:tc>
          <w:tcPr>
            <w:tcW w:w="5245" w:type="dxa"/>
            <w:gridSpan w:val="2"/>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lastRenderedPageBreak/>
              <w:t>6CA.</w:t>
            </w:r>
          </w:p>
        </w:tc>
        <w:tc>
          <w:tcPr>
            <w:tcW w:w="5245" w:type="dxa"/>
            <w:gridSpan w:val="2"/>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w:t>
            </w:r>
            <w:r>
              <w:rPr>
                <w:szCs w:val="22"/>
              </w:rPr>
              <w:t xml:space="preserve">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6D.</w:t>
            </w:r>
          </w:p>
        </w:tc>
        <w:tc>
          <w:tcPr>
            <w:tcW w:w="5245" w:type="dxa"/>
            <w:gridSpan w:val="2"/>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t>(2</w:t>
            </w:r>
            <w:r>
              <w:rPr>
                <w:szCs w:val="22"/>
              </w:rPr>
              <w:noBreakHyphen/>
            </w:r>
            <w:r>
              <w:rPr>
                <w:szCs w:val="22"/>
              </w:rPr>
              <w:b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(plant material)</w:t>
            </w:r>
          </w:p>
        </w:tc>
        <w:tc>
          <w:tcPr>
            <w:tcW w:w="1183" w:type="dxa"/>
            <w:gridSpan w:val="2"/>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6DA.</w:t>
            </w:r>
          </w:p>
        </w:tc>
        <w:tc>
          <w:tcPr>
            <w:tcW w:w="5245" w:type="dxa"/>
            <w:gridSpan w:val="2"/>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t>(2</w:t>
            </w:r>
            <w:r>
              <w:rPr>
                <w:szCs w:val="22"/>
              </w:rPr>
              <w:noBreakHyphen/>
            </w:r>
            <w:r>
              <w:rPr>
                <w:szCs w:val="22"/>
              </w:rPr>
              <w:b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(in any form except plant material)</w:t>
            </w:r>
          </w:p>
        </w:tc>
        <w:tc>
          <w:tcPr>
            <w:tcW w:w="1183" w:type="dxa"/>
            <w:gridSpan w:val="2"/>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t>6.</w:t>
            </w:r>
          </w:p>
        </w:tc>
        <w:tc>
          <w:tcPr>
            <w:tcW w:w="5245" w:type="dxa"/>
            <w:gridSpan w:val="2"/>
          </w:tcPr>
          <w:p>
            <w:pPr>
              <w:pStyle w:val="yTableNAm"/>
            </w:pPr>
            <w:r>
              <w:t>LYSERGIC ACID DIETHYLAMIDE (LSD)</w:t>
            </w:r>
          </w:p>
        </w:tc>
        <w:tc>
          <w:tcPr>
            <w:tcW w:w="1183" w:type="dxa"/>
            <w:gridSpan w:val="2"/>
          </w:tcPr>
          <w:p>
            <w:pPr>
              <w:pStyle w:val="yTableNAm"/>
              <w:tabs>
                <w:tab w:val="clear" w:pos="567"/>
                <w:tab w:val="decimal" w:pos="463"/>
              </w:tabs>
            </w:pPr>
            <w:r>
              <w:t>0.01</w:t>
            </w:r>
          </w:p>
        </w:tc>
      </w:tr>
      <w:tr>
        <w:trPr>
          <w:cantSplit/>
        </w:trPr>
        <w:tc>
          <w:tcPr>
            <w:tcW w:w="993" w:type="dxa"/>
          </w:tcPr>
          <w:p>
            <w:pPr>
              <w:pStyle w:val="yTableNAm"/>
            </w:pPr>
            <w:r>
              <w:t>7.</w:t>
            </w:r>
          </w:p>
        </w:tc>
        <w:tc>
          <w:tcPr>
            <w:tcW w:w="5245" w:type="dxa"/>
            <w:gridSpan w:val="2"/>
          </w:tcPr>
          <w:p>
            <w:pPr>
              <w:pStyle w:val="yTableNAm"/>
            </w:pPr>
            <w:r>
              <w:t>METHADONE</w:t>
            </w:r>
          </w:p>
        </w:tc>
        <w:tc>
          <w:tcPr>
            <w:tcW w:w="1183" w:type="dxa"/>
            <w:gridSpan w:val="2"/>
          </w:tcPr>
          <w:p>
            <w:pPr>
              <w:pStyle w:val="yTableNAm"/>
              <w:tabs>
                <w:tab w:val="clear" w:pos="567"/>
                <w:tab w:val="decimal" w:pos="463"/>
              </w:tabs>
            </w:pPr>
            <w:r>
              <w:t>5.0</w:t>
            </w:r>
          </w:p>
        </w:tc>
      </w:tr>
      <w:tr>
        <w:trPr>
          <w:cantSplit/>
        </w:trPr>
        <w:tc>
          <w:tcPr>
            <w:tcW w:w="993" w:type="dxa"/>
          </w:tcPr>
          <w:p>
            <w:pPr>
              <w:pStyle w:val="yTableNAm"/>
            </w:pPr>
            <w:r>
              <w:t>8A.</w:t>
            </w:r>
          </w:p>
        </w:tc>
        <w:tc>
          <w:tcPr>
            <w:tcW w:w="5245" w:type="dxa"/>
            <w:gridSpan w:val="2"/>
          </w:tcPr>
          <w:p>
            <w:pPr>
              <w:pStyle w:val="yTableNAm"/>
            </w:pPr>
            <w:r>
              <w:t>METHCATHINONE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rPr>
                <w:szCs w:val="22"/>
              </w:rPr>
              <w:t>8AB.</w:t>
            </w:r>
          </w:p>
        </w:tc>
        <w:tc>
          <w:tcPr>
            <w:tcW w:w="5245" w:type="dxa"/>
            <w:gridSpan w:val="2"/>
          </w:tcPr>
          <w:p>
            <w:pPr>
              <w:pStyle w:val="yTableNAm"/>
            </w:pPr>
            <w:r>
              <w:rPr>
                <w:szCs w:val="22"/>
              </w:rPr>
              <w:t>2</w:t>
            </w:r>
            <w:r>
              <w:rPr>
                <w:szCs w:val="22"/>
              </w:rPr>
              <w:noBreakHyphen/>
              <w:t>METHOXYDIPHENIDINE (2</w:t>
            </w:r>
            <w:r>
              <w:rPr>
                <w:szCs w:val="22"/>
              </w:rPr>
              <w:noBreakHyphen/>
              <w:t xml:space="preserve">MXP or MXP) </w:t>
            </w:r>
            <w:r>
              <w:rPr>
                <w:szCs w:val="22"/>
              </w:rPr>
              <w:br/>
              <w:t>(plant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8AC.</w:t>
            </w:r>
          </w:p>
        </w:tc>
        <w:tc>
          <w:tcPr>
            <w:tcW w:w="5245" w:type="dxa"/>
            <w:gridSpan w:val="2"/>
          </w:tcPr>
          <w:p>
            <w:pPr>
              <w:pStyle w:val="yTableNAm"/>
            </w:pPr>
            <w:r>
              <w:rPr>
                <w:szCs w:val="22"/>
              </w:rPr>
              <w:t>2</w:t>
            </w:r>
            <w:r>
              <w:rPr>
                <w:szCs w:val="22"/>
              </w:rPr>
              <w:noBreakHyphen/>
              <w:t>METHOXYDIPHENIDINE (2</w:t>
            </w:r>
            <w:r>
              <w:rPr>
                <w:szCs w:val="22"/>
              </w:rPr>
              <w:noBreakHyphen/>
              <w:t xml:space="preserve">MXP or MXP) </w:t>
            </w:r>
            <w:r>
              <w:rPr>
                <w:szCs w:val="22"/>
              </w:rPr>
              <w:br/>
              <w:t>(in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rPr>
                <w:szCs w:val="22"/>
              </w:rPr>
            </w:pPr>
            <w:r>
              <w:rPr>
                <w:szCs w:val="22"/>
              </w:rPr>
              <w:t>8BA.</w:t>
            </w:r>
          </w:p>
        </w:tc>
        <w:tc>
          <w:tcPr>
            <w:tcW w:w="5245" w:type="dxa"/>
            <w:gridSpan w:val="2"/>
          </w:tcPr>
          <w:p>
            <w:pPr>
              <w:pStyle w:val="yTableNAm"/>
              <w:rPr>
                <w:szCs w:val="22"/>
              </w:rPr>
            </w:pPr>
            <w:r>
              <w:rPr>
                <w:rFonts w:cs="Arial"/>
                <w:szCs w:val="22"/>
              </w:rPr>
              <w:t>4</w:t>
            </w:r>
            <w:r>
              <w:rPr>
                <w:rFonts w:cs="Arial"/>
                <w:szCs w:val="22"/>
              </w:rPr>
              <w:noBreakHyphen/>
              <w:t>METHOXYPHENYL(1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 (plant material)</w:t>
            </w:r>
          </w:p>
        </w:tc>
        <w:tc>
          <w:tcPr>
            <w:tcW w:w="1183" w:type="dxa"/>
            <w:gridSpan w:val="2"/>
          </w:tcPr>
          <w:p>
            <w:pPr>
              <w:pStyle w:val="yTableNAm"/>
              <w:tabs>
                <w:tab w:val="clear" w:pos="567"/>
                <w:tab w:val="decimal" w:pos="463"/>
              </w:tabs>
              <w:rPr>
                <w:szCs w:val="22"/>
              </w:rPr>
            </w:pPr>
            <w:r>
              <w:rPr>
                <w:szCs w:val="22"/>
              </w:rPr>
              <w:br/>
              <w:t>420.0</w:t>
            </w:r>
          </w:p>
        </w:tc>
      </w:tr>
      <w:tr>
        <w:trPr>
          <w:cantSplit/>
        </w:trPr>
        <w:tc>
          <w:tcPr>
            <w:tcW w:w="993" w:type="dxa"/>
          </w:tcPr>
          <w:p>
            <w:pPr>
              <w:pStyle w:val="yTableNAm"/>
              <w:rPr>
                <w:szCs w:val="22"/>
              </w:rPr>
            </w:pPr>
            <w:r>
              <w:rPr>
                <w:szCs w:val="22"/>
              </w:rPr>
              <w:t>8BAA.</w:t>
            </w:r>
          </w:p>
        </w:tc>
        <w:tc>
          <w:tcPr>
            <w:tcW w:w="5245" w:type="dxa"/>
            <w:gridSpan w:val="2"/>
          </w:tcPr>
          <w:p>
            <w:pPr>
              <w:pStyle w:val="yTableNAm"/>
              <w:rPr>
                <w:szCs w:val="22"/>
              </w:rPr>
            </w:pPr>
            <w:r>
              <w:rPr>
                <w:rFonts w:cs="Arial"/>
                <w:szCs w:val="22"/>
              </w:rPr>
              <w:t>4</w:t>
            </w:r>
            <w:r>
              <w:rPr>
                <w:rFonts w:cs="Arial"/>
                <w:szCs w:val="22"/>
              </w:rPr>
              <w:noBreakHyphen/>
              <w:t>METHOXYPHENYL(1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w:t>
            </w:r>
            <w:r>
              <w:rPr>
                <w:szCs w:val="22"/>
              </w:rPr>
              <w:t xml:space="preserve"> (in any form except plant material)</w:t>
            </w:r>
          </w:p>
        </w:tc>
        <w:tc>
          <w:tcPr>
            <w:tcW w:w="1183" w:type="dxa"/>
            <w:gridSpan w:val="2"/>
          </w:tcPr>
          <w:p>
            <w:pPr>
              <w:pStyle w:val="yTableNAm"/>
              <w:tabs>
                <w:tab w:val="clear" w:pos="567"/>
                <w:tab w:val="decimal" w:pos="463"/>
              </w:tabs>
              <w:rPr>
                <w:szCs w:val="22"/>
              </w:rPr>
            </w:pPr>
            <w:r>
              <w:rPr>
                <w:szCs w:val="22"/>
              </w:rPr>
              <w:br/>
            </w:r>
            <w:r>
              <w:rPr>
                <w:szCs w:val="22"/>
              </w:rPr>
              <w:br/>
              <w:t>28.0</w:t>
            </w:r>
          </w:p>
        </w:tc>
      </w:tr>
      <w:tr>
        <w:trPr>
          <w:cantSplit/>
        </w:trPr>
        <w:tc>
          <w:tcPr>
            <w:tcW w:w="993" w:type="dxa"/>
          </w:tcPr>
          <w:p>
            <w:pPr>
              <w:pStyle w:val="yTableNAm"/>
            </w:pPr>
            <w:r>
              <w:rPr>
                <w:szCs w:val="22"/>
              </w:rPr>
              <w:t>8BB.</w:t>
            </w:r>
          </w:p>
        </w:tc>
        <w:tc>
          <w:tcPr>
            <w:tcW w:w="5245" w:type="dxa"/>
            <w:gridSpan w:val="2"/>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t>1H</w:t>
            </w:r>
            <w:r>
              <w:rPr>
                <w:szCs w:val="22"/>
              </w:rPr>
              <w:noBreakHyphen/>
              <w:t>INDOL</w:t>
            </w:r>
            <w:r>
              <w:rPr>
                <w:szCs w:val="22"/>
              </w:rPr>
              <w:noBreakHyphen/>
              <w:t>3</w:t>
            </w:r>
            <w:r>
              <w:rPr>
                <w:szCs w:val="22"/>
              </w:rPr>
              <w:noBreakHyphen/>
              <w:t>YL)</w:t>
            </w:r>
            <w:r>
              <w:rPr>
                <w:szCs w:val="22"/>
              </w:rPr>
              <w:noBreakHyphen/>
              <w:t>ETHANONE (JWH</w:t>
            </w:r>
            <w:r>
              <w:rPr>
                <w:szCs w:val="22"/>
              </w:rPr>
              <w:noBreakHyphen/>
              <w:t>201)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8BBA.</w:t>
            </w:r>
          </w:p>
        </w:tc>
        <w:tc>
          <w:tcPr>
            <w:tcW w:w="5245" w:type="dxa"/>
            <w:gridSpan w:val="2"/>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t>1H</w:t>
            </w:r>
            <w:r>
              <w:rPr>
                <w:szCs w:val="22"/>
              </w:rPr>
              <w:noBreakHyphen/>
              <w:t>INDOL</w:t>
            </w:r>
            <w:r>
              <w:rPr>
                <w:szCs w:val="22"/>
              </w:rPr>
              <w:noBreakHyphen/>
              <w:t>3</w:t>
            </w:r>
            <w:r>
              <w:rPr>
                <w:szCs w:val="22"/>
              </w:rPr>
              <w:noBreakHyphen/>
              <w:t>YL)</w:t>
            </w:r>
            <w:r>
              <w:rPr>
                <w:szCs w:val="22"/>
              </w:rPr>
              <w:noBreakHyphen/>
              <w:t>ETHANONE (JWH</w:t>
            </w:r>
            <w:r>
              <w:rPr>
                <w:szCs w:val="22"/>
              </w:rPr>
              <w:noBreakHyphen/>
              <w:t>201) (in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lastRenderedPageBreak/>
              <w:t>8B.</w:t>
            </w:r>
          </w:p>
        </w:tc>
        <w:tc>
          <w:tcPr>
            <w:tcW w:w="5245" w:type="dxa"/>
            <w:gridSpan w:val="2"/>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r>
            <w:r>
              <w:rPr>
                <w:szCs w:val="22"/>
              </w:rPr>
              <w:br/>
              <w:t>YL) ETHANONE (JWH</w:t>
            </w:r>
            <w:r>
              <w:rPr>
                <w:szCs w:val="22"/>
              </w:rPr>
              <w:noBreakHyphen/>
              <w:t>250)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8BA.</w:t>
            </w:r>
          </w:p>
        </w:tc>
        <w:tc>
          <w:tcPr>
            <w:tcW w:w="5245" w:type="dxa"/>
            <w:gridSpan w:val="2"/>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r>
            <w:r>
              <w:rPr>
                <w:szCs w:val="22"/>
              </w:rPr>
              <w:br/>
              <w:t>YL) ETHANONE (JWH</w:t>
            </w:r>
            <w:r>
              <w:rPr>
                <w:szCs w:val="22"/>
              </w:rPr>
              <w:noBreakHyphen/>
              <w:t>250) (in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8C.</w:t>
            </w:r>
          </w:p>
        </w:tc>
        <w:tc>
          <w:tcPr>
            <w:tcW w:w="5245" w:type="dxa"/>
            <w:gridSpan w:val="2"/>
          </w:tcPr>
          <w:p>
            <w:pPr>
              <w:pStyle w:val="yTableNAm"/>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r>
            <w:r>
              <w:rPr>
                <w:rFonts w:cs="Arial"/>
                <w:szCs w:val="22"/>
              </w:rPr>
              <w:br/>
              <w:t>YL) ETHANONE (JWH</w:t>
            </w:r>
            <w:r>
              <w:rPr>
                <w:rFonts w:cs="Arial"/>
                <w:szCs w:val="22"/>
              </w:rPr>
              <w:noBreakHyphen/>
              <w:t>302)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8D.</w:t>
            </w:r>
          </w:p>
        </w:tc>
        <w:tc>
          <w:tcPr>
            <w:tcW w:w="5245" w:type="dxa"/>
            <w:gridSpan w:val="2"/>
          </w:tcPr>
          <w:p>
            <w:pPr>
              <w:pStyle w:val="yTableNAm"/>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r>
            <w:r>
              <w:rPr>
                <w:rFonts w:cs="Arial"/>
                <w:szCs w:val="22"/>
              </w:rPr>
              <w:br/>
              <w:t>YL) ETHANONE (JWH</w:t>
            </w:r>
            <w:r>
              <w:rPr>
                <w:rFonts w:cs="Arial"/>
                <w:szCs w:val="22"/>
              </w:rPr>
              <w:noBreakHyphen/>
              <w:t>302)</w:t>
            </w:r>
            <w:r>
              <w:rPr>
                <w:szCs w:val="22"/>
              </w:rPr>
              <w:t xml:space="preserve"> (in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t>8.</w:t>
            </w:r>
          </w:p>
        </w:tc>
        <w:tc>
          <w:tcPr>
            <w:tcW w:w="5245" w:type="dxa"/>
            <w:gridSpan w:val="2"/>
          </w:tcPr>
          <w:p>
            <w:pPr>
              <w:pStyle w:val="yTableNAm"/>
            </w:pPr>
            <w:r>
              <w:t>METHYLAMPHETAMINE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t>8AAA.</w:t>
            </w:r>
          </w:p>
        </w:tc>
        <w:tc>
          <w:tcPr>
            <w:tcW w:w="5245" w:type="dxa"/>
            <w:gridSpan w:val="2"/>
          </w:tcPr>
          <w:p>
            <w:pPr>
              <w:pStyle w:val="yTableNAm"/>
            </w:pPr>
            <w:r>
              <w:rPr>
                <w:rFonts w:cs="Arial"/>
                <w:szCs w:val="24"/>
              </w:rPr>
              <w:t>METHYL 2-(9-(CYCLOHEXYLMETHYL) -9H-CARBAZOLE -3-CARBOXAMIDO)-3,3-DIMETHYLBUTANOATE (MDMB</w:t>
            </w:r>
            <w:r>
              <w:rPr>
                <w:rFonts w:cs="Arial"/>
                <w:szCs w:val="24"/>
              </w:rPr>
              <w:noBreakHyphen/>
              <w:t>CHMCZCA) (</w:t>
            </w:r>
            <w:r>
              <w:rPr>
                <w:rFonts w:cs="Arial"/>
                <w:bCs/>
                <w:szCs w:val="24"/>
              </w:rPr>
              <w:t>plant material</w:t>
            </w:r>
            <w:r>
              <w:rPr>
                <w:rFonts w:cs="Arial"/>
                <w:szCs w:val="24"/>
              </w:rPr>
              <w:t>)</w:t>
            </w:r>
          </w:p>
        </w:tc>
        <w:tc>
          <w:tcPr>
            <w:tcW w:w="1183" w:type="dxa"/>
            <w:gridSpan w:val="2"/>
            <w:vAlign w:val="bottom"/>
          </w:tcPr>
          <w:p>
            <w:pPr>
              <w:pStyle w:val="yTableNAm"/>
              <w:tabs>
                <w:tab w:val="clear" w:pos="567"/>
                <w:tab w:val="decimal" w:pos="463"/>
              </w:tabs>
            </w:pPr>
            <w:r>
              <w:t>420.0</w:t>
            </w:r>
          </w:p>
        </w:tc>
      </w:tr>
      <w:tr>
        <w:trPr>
          <w:cantSplit/>
        </w:trPr>
        <w:tc>
          <w:tcPr>
            <w:tcW w:w="993" w:type="dxa"/>
          </w:tcPr>
          <w:p>
            <w:pPr>
              <w:pStyle w:val="yTableNAm"/>
            </w:pPr>
            <w:r>
              <w:t>8AAB.</w:t>
            </w:r>
          </w:p>
        </w:tc>
        <w:tc>
          <w:tcPr>
            <w:tcW w:w="5245" w:type="dxa"/>
            <w:gridSpan w:val="2"/>
          </w:tcPr>
          <w:p>
            <w:pPr>
              <w:pStyle w:val="yTableNAm"/>
            </w:pPr>
            <w:r>
              <w:rPr>
                <w:rFonts w:cs="Arial"/>
                <w:szCs w:val="24"/>
              </w:rPr>
              <w:t>METHYL 2-(9-(CYCLOHEXYLMETHYL) -9H-CARBAZOLE -3-CARBOXAMIDO)-3,3-DIMETHYLBUTANOATE (MDMB-CHMCZCA) (</w:t>
            </w:r>
            <w:r>
              <w:rPr>
                <w:rFonts w:cs="Arial"/>
                <w:bCs/>
                <w:szCs w:val="24"/>
              </w:rPr>
              <w:t>in any form except plant material</w:t>
            </w:r>
            <w:r>
              <w:rPr>
                <w:rFonts w:cs="Arial"/>
                <w:szCs w:val="24"/>
              </w:rPr>
              <w:t>)</w:t>
            </w:r>
          </w:p>
        </w:tc>
        <w:tc>
          <w:tcPr>
            <w:tcW w:w="1183" w:type="dxa"/>
            <w:gridSpan w:val="2"/>
            <w:vAlign w:val="bottom"/>
          </w:tcPr>
          <w:p>
            <w:pPr>
              <w:pStyle w:val="yTableNAm"/>
              <w:tabs>
                <w:tab w:val="clear" w:pos="567"/>
                <w:tab w:val="decimal" w:pos="463"/>
              </w:tabs>
            </w:pPr>
            <w:r>
              <w:t>28.0</w:t>
            </w:r>
          </w:p>
        </w:tc>
      </w:tr>
      <w:tr>
        <w:tblPrEx>
          <w:tblCellMar>
            <w:left w:w="142" w:type="dxa"/>
            <w:right w:w="142" w:type="dxa"/>
          </w:tblCellMar>
        </w:tblPrEx>
        <w:trPr>
          <w:gridAfter w:val="1"/>
          <w:wAfter w:w="49" w:type="dxa"/>
          <w:cantSplit/>
        </w:trPr>
        <w:tc>
          <w:tcPr>
            <w:tcW w:w="5954" w:type="dxa"/>
            <w:gridSpan w:val="2"/>
          </w:tcPr>
          <w:p>
            <w:pPr>
              <w:pStyle w:val="yEdnoteitem"/>
            </w:pPr>
            <w:r>
              <w:t>[8AAC and 8AAD. deleted]</w:t>
            </w:r>
          </w:p>
        </w:tc>
        <w:tc>
          <w:tcPr>
            <w:tcW w:w="1418" w:type="dxa"/>
            <w:gridSpan w:val="2"/>
            <w:vAlign w:val="bottom"/>
          </w:tcPr>
          <w:p>
            <w:pPr>
              <w:pStyle w:val="yTableNAm"/>
              <w:tabs>
                <w:tab w:val="clear" w:pos="567"/>
                <w:tab w:val="decimal" w:pos="463"/>
              </w:tabs>
            </w:pPr>
          </w:p>
        </w:tc>
      </w:tr>
      <w:tr>
        <w:trPr>
          <w:cantSplit/>
        </w:trPr>
        <w:tc>
          <w:tcPr>
            <w:tcW w:w="993" w:type="dxa"/>
          </w:tcPr>
          <w:p>
            <w:pPr>
              <w:pStyle w:val="yTableNAm"/>
            </w:pPr>
            <w:r>
              <w:t>9.</w:t>
            </w:r>
          </w:p>
        </w:tc>
        <w:tc>
          <w:tcPr>
            <w:tcW w:w="5245" w:type="dxa"/>
            <w:gridSpan w:val="2"/>
          </w:tcPr>
          <w:p>
            <w:pPr>
              <w:pStyle w:val="yTableNAm"/>
              <w:ind w:right="-175"/>
            </w:pPr>
            <w:r>
              <w:t>3, 4</w:t>
            </w:r>
            <w:r>
              <w:noBreakHyphen/>
              <w:t>METHYLENEDIOXYAMPHETAMINE (MDA)</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t>10.</w:t>
            </w:r>
          </w:p>
        </w:tc>
        <w:tc>
          <w:tcPr>
            <w:tcW w:w="5245" w:type="dxa"/>
            <w:gridSpan w:val="2"/>
          </w:tcPr>
          <w:p>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183" w:type="dxa"/>
            <w:gridSpan w:val="2"/>
          </w:tcPr>
          <w:p>
            <w:pPr>
              <w:pStyle w:val="yTableNAm"/>
              <w:tabs>
                <w:tab w:val="clear" w:pos="567"/>
                <w:tab w:val="decimal" w:pos="463"/>
              </w:tabs>
            </w:pPr>
            <w:r>
              <w:br/>
            </w:r>
            <w:r>
              <w:br/>
              <w:t>28.0</w:t>
            </w:r>
          </w:p>
        </w:tc>
      </w:tr>
      <w:tr>
        <w:trPr>
          <w:cantSplit/>
        </w:trPr>
        <w:tc>
          <w:tcPr>
            <w:tcW w:w="993" w:type="dxa"/>
          </w:tcPr>
          <w:p>
            <w:pPr>
              <w:pStyle w:val="yTableNAm"/>
            </w:pPr>
            <w:r>
              <w:t>11A.</w:t>
            </w:r>
          </w:p>
        </w:tc>
        <w:tc>
          <w:tcPr>
            <w:tcW w:w="5245" w:type="dxa"/>
            <w:gridSpan w:val="2"/>
          </w:tcPr>
          <w:p>
            <w:pPr>
              <w:pStyle w:val="yTableNAm"/>
            </w:pPr>
            <w:r>
              <w:t>3, 4</w:t>
            </w:r>
            <w:r>
              <w:noBreakHyphen/>
              <w:t>METHYLENEDIOXYPYROVALERONE (MDPV)</w:t>
            </w:r>
          </w:p>
        </w:tc>
        <w:tc>
          <w:tcPr>
            <w:tcW w:w="1183" w:type="dxa"/>
            <w:gridSpan w:val="2"/>
          </w:tcPr>
          <w:p>
            <w:pPr>
              <w:pStyle w:val="yTableNAm"/>
              <w:tabs>
                <w:tab w:val="clear" w:pos="567"/>
                <w:tab w:val="decimal" w:pos="463"/>
              </w:tabs>
            </w:pPr>
            <w:r>
              <w:br/>
              <w:t>28.0</w:t>
            </w:r>
          </w:p>
        </w:tc>
      </w:tr>
      <w:tr>
        <w:trPr>
          <w:cantSplit/>
        </w:trPr>
        <w:tc>
          <w:tcPr>
            <w:tcW w:w="993" w:type="dxa"/>
          </w:tcPr>
          <w:p>
            <w:pPr>
              <w:pStyle w:val="yTableNAm"/>
            </w:pPr>
            <w:r>
              <w:t>11B.</w:t>
            </w:r>
          </w:p>
        </w:tc>
        <w:tc>
          <w:tcPr>
            <w:tcW w:w="5245" w:type="dxa"/>
            <w:gridSpan w:val="2"/>
          </w:tcPr>
          <w:p>
            <w:pPr>
              <w:pStyle w:val="yTableNAm"/>
            </w:pPr>
            <w:r>
              <w:rPr>
                <w:rFonts w:cs="Arial"/>
                <w:szCs w:val="24"/>
              </w:rPr>
              <w:t>METHYL 2-[1-(4-FLUOROBENZYL)-1H-INDOLE-3-CARBOXAMIDO]-3-METHYLBUTANOATE (MMB-FUBICA; AMB-FUBICA) (</w:t>
            </w:r>
            <w:r>
              <w:rPr>
                <w:rFonts w:cs="Arial"/>
                <w:bCs/>
                <w:szCs w:val="24"/>
              </w:rPr>
              <w:t>plant material</w:t>
            </w:r>
            <w:r>
              <w:rPr>
                <w:rFonts w:cs="Arial"/>
                <w:szCs w:val="24"/>
              </w:rPr>
              <w:t>)</w:t>
            </w:r>
          </w:p>
        </w:tc>
        <w:tc>
          <w:tcPr>
            <w:tcW w:w="1183" w:type="dxa"/>
            <w:gridSpan w:val="2"/>
            <w:vAlign w:val="bottom"/>
          </w:tcPr>
          <w:p>
            <w:pPr>
              <w:pStyle w:val="yTableNAm"/>
              <w:tabs>
                <w:tab w:val="clear" w:pos="567"/>
                <w:tab w:val="decimal" w:pos="463"/>
              </w:tabs>
            </w:pPr>
            <w:r>
              <w:t>420.0</w:t>
            </w:r>
          </w:p>
        </w:tc>
      </w:tr>
      <w:tr>
        <w:trPr>
          <w:cantSplit/>
        </w:trPr>
        <w:tc>
          <w:tcPr>
            <w:tcW w:w="993" w:type="dxa"/>
          </w:tcPr>
          <w:p>
            <w:pPr>
              <w:pStyle w:val="yTableNAm"/>
            </w:pPr>
            <w:r>
              <w:lastRenderedPageBreak/>
              <w:t>11C.</w:t>
            </w:r>
          </w:p>
        </w:tc>
        <w:tc>
          <w:tcPr>
            <w:tcW w:w="5245" w:type="dxa"/>
            <w:gridSpan w:val="2"/>
          </w:tcPr>
          <w:p>
            <w:pPr>
              <w:pStyle w:val="yTableNAm"/>
            </w:pPr>
            <w:r>
              <w:rPr>
                <w:rFonts w:cs="Arial"/>
                <w:szCs w:val="24"/>
              </w:rPr>
              <w:t>METHYL 2-[1-(4-FLUOROBENZYL)-1H-INDOLE-3-CARBOXAMIDO]-3-METHYLBUTANOATE (MMB-FUBICA; AMB-FUBICA) (</w:t>
            </w:r>
            <w:r>
              <w:rPr>
                <w:rFonts w:cs="Arial"/>
                <w:bCs/>
                <w:szCs w:val="24"/>
              </w:rPr>
              <w:t>in any form except plant material</w:t>
            </w:r>
            <w:r>
              <w:rPr>
                <w:rFonts w:cs="Arial"/>
                <w:szCs w:val="24"/>
              </w:rPr>
              <w:t>)</w:t>
            </w:r>
          </w:p>
        </w:tc>
        <w:tc>
          <w:tcPr>
            <w:tcW w:w="1183" w:type="dxa"/>
            <w:gridSpan w:val="2"/>
            <w:vAlign w:val="bottom"/>
          </w:tcPr>
          <w:p>
            <w:pPr>
              <w:pStyle w:val="yTableNAm"/>
              <w:tabs>
                <w:tab w:val="clear" w:pos="567"/>
                <w:tab w:val="decimal" w:pos="463"/>
              </w:tabs>
            </w:pPr>
            <w:r>
              <w:t>28.0</w:t>
            </w:r>
          </w:p>
        </w:tc>
      </w:tr>
      <w:tr>
        <w:trPr>
          <w:cantSplit/>
        </w:trPr>
        <w:tc>
          <w:tcPr>
            <w:tcW w:w="993" w:type="dxa"/>
          </w:tcPr>
          <w:p>
            <w:pPr>
              <w:pStyle w:val="yTableNAm"/>
            </w:pPr>
            <w:r>
              <w:t>11D.</w:t>
            </w:r>
          </w:p>
        </w:tc>
        <w:tc>
          <w:tcPr>
            <w:tcW w:w="5245" w:type="dxa"/>
            <w:gridSpan w:val="2"/>
          </w:tcPr>
          <w:p>
            <w:pPr>
              <w:pStyle w:val="yTableNAm"/>
            </w:pPr>
            <w:r>
              <w:rPr>
                <w:rFonts w:cs="Arial"/>
                <w:szCs w:val="24"/>
              </w:rPr>
              <w:t>METHYL 2-[[1-(4-FLUOROBUTYL)INDAZOLE-3-CARBONYL]AMINO]-3,3-DIMETHYL-BUTANOATE (4F-MDMB-BINACA; 4F-MDMB-BUTINACA) (</w:t>
            </w:r>
            <w:r>
              <w:rPr>
                <w:rFonts w:cs="Arial"/>
                <w:bCs/>
                <w:szCs w:val="24"/>
              </w:rPr>
              <w:t>plant material</w:t>
            </w:r>
            <w:r>
              <w:rPr>
                <w:rFonts w:cs="Arial"/>
                <w:szCs w:val="24"/>
              </w:rPr>
              <w:t>)</w:t>
            </w:r>
          </w:p>
        </w:tc>
        <w:tc>
          <w:tcPr>
            <w:tcW w:w="1183" w:type="dxa"/>
            <w:gridSpan w:val="2"/>
            <w:vAlign w:val="bottom"/>
          </w:tcPr>
          <w:p>
            <w:pPr>
              <w:pStyle w:val="yTableNAm"/>
              <w:tabs>
                <w:tab w:val="clear" w:pos="567"/>
                <w:tab w:val="decimal" w:pos="463"/>
              </w:tabs>
            </w:pPr>
            <w:r>
              <w:t>420.0</w:t>
            </w:r>
          </w:p>
        </w:tc>
      </w:tr>
      <w:tr>
        <w:trPr>
          <w:cantSplit/>
        </w:trPr>
        <w:tc>
          <w:tcPr>
            <w:tcW w:w="993" w:type="dxa"/>
          </w:tcPr>
          <w:p>
            <w:pPr>
              <w:pStyle w:val="yTableNAm"/>
            </w:pPr>
            <w:r>
              <w:t>11E.</w:t>
            </w:r>
          </w:p>
        </w:tc>
        <w:tc>
          <w:tcPr>
            <w:tcW w:w="5245" w:type="dxa"/>
            <w:gridSpan w:val="2"/>
          </w:tcPr>
          <w:p>
            <w:pPr>
              <w:pStyle w:val="yTableNAm"/>
            </w:pPr>
            <w:r>
              <w:rPr>
                <w:rFonts w:cs="Arial"/>
                <w:szCs w:val="24"/>
              </w:rPr>
              <w:t>METHYL 2-[[1-(4-FLUOROBUTYL)INDAZOLE-3-CARBONYL]AMINO]-3,3-DIMETHYL-BUTANOATE (4F-MDMB-BINACA; 4F-MDMB-BUTINACA) (</w:t>
            </w:r>
            <w:r>
              <w:rPr>
                <w:rFonts w:cs="Arial"/>
                <w:bCs/>
                <w:szCs w:val="24"/>
              </w:rPr>
              <w:t>in any form except plant material</w:t>
            </w:r>
            <w:r>
              <w:rPr>
                <w:rFonts w:cs="Arial"/>
                <w:szCs w:val="24"/>
              </w:rPr>
              <w:t>)</w:t>
            </w:r>
          </w:p>
        </w:tc>
        <w:tc>
          <w:tcPr>
            <w:tcW w:w="1183" w:type="dxa"/>
            <w:gridSpan w:val="2"/>
            <w:vAlign w:val="bottom"/>
          </w:tcPr>
          <w:p>
            <w:pPr>
              <w:pStyle w:val="yTableNAm"/>
              <w:tabs>
                <w:tab w:val="clear" w:pos="567"/>
                <w:tab w:val="decimal" w:pos="463"/>
              </w:tabs>
            </w:pPr>
            <w:r>
              <w:t>28.0</w:t>
            </w:r>
          </w:p>
        </w:tc>
      </w:tr>
      <w:tr>
        <w:trPr>
          <w:cantSplit/>
        </w:trPr>
        <w:tc>
          <w:tcPr>
            <w:tcW w:w="993" w:type="dxa"/>
          </w:tcPr>
          <w:p>
            <w:pPr>
              <w:pStyle w:val="yTableNAm"/>
            </w:pPr>
            <w:r>
              <w:t>11F.</w:t>
            </w:r>
          </w:p>
        </w:tc>
        <w:tc>
          <w:tcPr>
            <w:tcW w:w="5245" w:type="dxa"/>
            <w:gridSpan w:val="2"/>
          </w:tcPr>
          <w:p>
            <w:pPr>
              <w:pStyle w:val="yTableNAm"/>
            </w:pPr>
            <w:r>
              <w:rPr>
                <w:szCs w:val="22"/>
              </w:rPr>
              <w:t>METHYL 2-(1-(5-FLUOROPENTYL)-1H-</w:t>
            </w:r>
            <w:r>
              <w:rPr>
                <w:szCs w:val="22"/>
              </w:rPr>
              <w:br/>
              <w:t>INDAZOLE-3-CARBOXAMIDO)-3-</w:t>
            </w:r>
            <w:r>
              <w:rPr>
                <w:szCs w:val="22"/>
              </w:rPr>
              <w:br/>
              <w:t>METHYLBUTANOATE (5F-AMB) (plant material)</w:t>
            </w:r>
          </w:p>
        </w:tc>
        <w:tc>
          <w:tcPr>
            <w:tcW w:w="1183" w:type="dxa"/>
            <w:gridSpan w:val="2"/>
            <w:vAlign w:val="bottom"/>
          </w:tcPr>
          <w:p>
            <w:pPr>
              <w:pStyle w:val="yTableNAm"/>
              <w:tabs>
                <w:tab w:val="clear" w:pos="567"/>
                <w:tab w:val="decimal" w:pos="463"/>
              </w:tabs>
            </w:pPr>
            <w:r>
              <w:t>420.0</w:t>
            </w:r>
          </w:p>
        </w:tc>
      </w:tr>
      <w:tr>
        <w:trPr>
          <w:cantSplit/>
        </w:trPr>
        <w:tc>
          <w:tcPr>
            <w:tcW w:w="993" w:type="dxa"/>
          </w:tcPr>
          <w:p>
            <w:pPr>
              <w:pStyle w:val="yTableNAm"/>
            </w:pPr>
            <w:r>
              <w:t>11G.</w:t>
            </w:r>
          </w:p>
        </w:tc>
        <w:tc>
          <w:tcPr>
            <w:tcW w:w="5245" w:type="dxa"/>
            <w:gridSpan w:val="2"/>
          </w:tcPr>
          <w:p>
            <w:pPr>
              <w:pStyle w:val="yTableNAm"/>
            </w:pPr>
            <w:r>
              <w:rPr>
                <w:szCs w:val="22"/>
              </w:rPr>
              <w:t>METHYL 2-(1-(5-FLUOROPENTYL)-1H-</w:t>
            </w:r>
            <w:r>
              <w:rPr>
                <w:szCs w:val="22"/>
              </w:rPr>
              <w:br/>
              <w:t>INDAZOLE-3-CARBOXAMIDO)-3-</w:t>
            </w:r>
            <w:r>
              <w:rPr>
                <w:szCs w:val="22"/>
              </w:rPr>
              <w:br/>
              <w:t>METHYLBUTANOATE (5F-AMB) (in any form except plant material)</w:t>
            </w:r>
          </w:p>
        </w:tc>
        <w:tc>
          <w:tcPr>
            <w:tcW w:w="1183" w:type="dxa"/>
            <w:gridSpan w:val="2"/>
            <w:vAlign w:val="bottom"/>
          </w:tcPr>
          <w:p>
            <w:pPr>
              <w:pStyle w:val="yTableNAm"/>
              <w:tabs>
                <w:tab w:val="clear" w:pos="567"/>
                <w:tab w:val="decimal" w:pos="463"/>
              </w:tabs>
            </w:pPr>
            <w:r>
              <w:t>28.0</w:t>
            </w:r>
          </w:p>
        </w:tc>
      </w:tr>
      <w:tr>
        <w:trPr>
          <w:cantSplit/>
        </w:trPr>
        <w:tc>
          <w:tcPr>
            <w:tcW w:w="993" w:type="dxa"/>
          </w:tcPr>
          <w:p>
            <w:pPr>
              <w:pStyle w:val="yTableNAm"/>
            </w:pPr>
            <w:r>
              <w:t>11H.</w:t>
            </w:r>
          </w:p>
        </w:tc>
        <w:tc>
          <w:tcPr>
            <w:tcW w:w="5245" w:type="dxa"/>
            <w:gridSpan w:val="2"/>
          </w:tcPr>
          <w:p>
            <w:pPr>
              <w:pStyle w:val="yTableNAm"/>
            </w:pPr>
            <w:r>
              <w:rPr>
                <w:szCs w:val="22"/>
              </w:rPr>
              <w:t>METHYL 2-[[1-(5-FLUOROPENTYL)INDOLE-3-CARBONYL]AMINO]-3,3-DIMETHYL-BUTANOATE (5-FLUORO MDMB</w:t>
            </w:r>
            <w:r>
              <w:rPr>
                <w:szCs w:val="22"/>
              </w:rPr>
              <w:noBreakHyphen/>
              <w:t>PICA; 5F-MDMB</w:t>
            </w:r>
            <w:r>
              <w:rPr>
                <w:szCs w:val="22"/>
              </w:rPr>
              <w:noBreakHyphen/>
              <w:t>PICA) (</w:t>
            </w:r>
            <w:r>
              <w:rPr>
                <w:bCs/>
                <w:szCs w:val="22"/>
              </w:rPr>
              <w:t>plant material</w:t>
            </w:r>
            <w:r>
              <w:rPr>
                <w:szCs w:val="22"/>
              </w:rPr>
              <w:t>)</w:t>
            </w:r>
          </w:p>
        </w:tc>
        <w:tc>
          <w:tcPr>
            <w:tcW w:w="1183" w:type="dxa"/>
            <w:gridSpan w:val="2"/>
            <w:vAlign w:val="bottom"/>
          </w:tcPr>
          <w:p>
            <w:pPr>
              <w:pStyle w:val="yTableNAm"/>
              <w:tabs>
                <w:tab w:val="clear" w:pos="567"/>
                <w:tab w:val="decimal" w:pos="463"/>
              </w:tabs>
            </w:pPr>
            <w:r>
              <w:t>420.0</w:t>
            </w:r>
          </w:p>
        </w:tc>
      </w:tr>
      <w:tr>
        <w:trPr>
          <w:cantSplit/>
        </w:trPr>
        <w:tc>
          <w:tcPr>
            <w:tcW w:w="993" w:type="dxa"/>
          </w:tcPr>
          <w:p>
            <w:pPr>
              <w:pStyle w:val="yTableNAm"/>
            </w:pPr>
            <w:r>
              <w:t>11I.</w:t>
            </w:r>
          </w:p>
        </w:tc>
        <w:tc>
          <w:tcPr>
            <w:tcW w:w="5245" w:type="dxa"/>
            <w:gridSpan w:val="2"/>
          </w:tcPr>
          <w:p>
            <w:pPr>
              <w:pStyle w:val="yTableNAm"/>
            </w:pPr>
            <w:r>
              <w:rPr>
                <w:szCs w:val="22"/>
              </w:rPr>
              <w:t>METHYL 2-[[1-(5-FLUOROPENTYL)INDOLE-3-CARBONYL]AMINO]-3,3-DIMETHYL-BUTANOATE (5-FLUORO MDMB-PICA; 5F-MDMB</w:t>
            </w:r>
            <w:r>
              <w:rPr>
                <w:szCs w:val="22"/>
              </w:rPr>
              <w:noBreakHyphen/>
              <w:t>PICA) (</w:t>
            </w:r>
            <w:r>
              <w:rPr>
                <w:bCs/>
                <w:szCs w:val="22"/>
              </w:rPr>
              <w:t>in any form except plant material</w:t>
            </w:r>
            <w:r>
              <w:rPr>
                <w:szCs w:val="22"/>
              </w:rPr>
              <w:t>)</w:t>
            </w:r>
          </w:p>
        </w:tc>
        <w:tc>
          <w:tcPr>
            <w:tcW w:w="1183" w:type="dxa"/>
            <w:gridSpan w:val="2"/>
            <w:vAlign w:val="bottom"/>
          </w:tcPr>
          <w:p>
            <w:pPr>
              <w:pStyle w:val="yTableNAm"/>
              <w:tabs>
                <w:tab w:val="clear" w:pos="567"/>
                <w:tab w:val="decimal" w:pos="463"/>
              </w:tabs>
            </w:pPr>
            <w:r>
              <w:t>28.0</w:t>
            </w:r>
          </w:p>
        </w:tc>
      </w:tr>
      <w:tr>
        <w:trPr>
          <w:cantSplit/>
        </w:trPr>
        <w:tc>
          <w:tcPr>
            <w:tcW w:w="993" w:type="dxa"/>
          </w:tcPr>
          <w:p>
            <w:pPr>
              <w:pStyle w:val="yTableNAm"/>
            </w:pPr>
            <w:r>
              <w:t>11J.</w:t>
            </w:r>
          </w:p>
        </w:tc>
        <w:tc>
          <w:tcPr>
            <w:tcW w:w="5245" w:type="dxa"/>
            <w:gridSpan w:val="2"/>
          </w:tcPr>
          <w:p>
            <w:pPr>
              <w:pStyle w:val="yTableNAm"/>
            </w:pPr>
            <w:r>
              <w:rPr>
                <w:szCs w:val="22"/>
              </w:rPr>
              <w:t>METHYL (S)-2-[1-(5-FLUOROPENTYL)-1H-</w:t>
            </w:r>
            <w:r>
              <w:rPr>
                <w:szCs w:val="22"/>
              </w:rPr>
              <w:br/>
              <w:t>INDAZOLE-3-CARBOXAMIDO]-3,3-</w:t>
            </w:r>
            <w:r>
              <w:rPr>
                <w:szCs w:val="22"/>
              </w:rPr>
              <w:br/>
              <w:t>DIMETHYLBUTANOATE (5F-ADB) (plant material)</w:t>
            </w:r>
          </w:p>
        </w:tc>
        <w:tc>
          <w:tcPr>
            <w:tcW w:w="1183" w:type="dxa"/>
            <w:gridSpan w:val="2"/>
            <w:vAlign w:val="bottom"/>
          </w:tcPr>
          <w:p>
            <w:pPr>
              <w:pStyle w:val="yTableNAm"/>
              <w:tabs>
                <w:tab w:val="clear" w:pos="567"/>
                <w:tab w:val="decimal" w:pos="463"/>
              </w:tabs>
            </w:pPr>
            <w:r>
              <w:t>420.0</w:t>
            </w:r>
          </w:p>
        </w:tc>
      </w:tr>
      <w:tr>
        <w:trPr>
          <w:cantSplit/>
        </w:trPr>
        <w:tc>
          <w:tcPr>
            <w:tcW w:w="993" w:type="dxa"/>
          </w:tcPr>
          <w:p>
            <w:pPr>
              <w:pStyle w:val="yTableNAm"/>
            </w:pPr>
            <w:r>
              <w:lastRenderedPageBreak/>
              <w:t>11K.</w:t>
            </w:r>
          </w:p>
        </w:tc>
        <w:tc>
          <w:tcPr>
            <w:tcW w:w="5245" w:type="dxa"/>
            <w:gridSpan w:val="2"/>
          </w:tcPr>
          <w:p>
            <w:pPr>
              <w:pStyle w:val="yTableNAm"/>
            </w:pPr>
            <w:r>
              <w:rPr>
                <w:szCs w:val="22"/>
              </w:rPr>
              <w:t>METHYL (S)</w:t>
            </w:r>
            <w:r>
              <w:rPr>
                <w:szCs w:val="22"/>
              </w:rPr>
              <w:noBreakHyphen/>
              <w:t>2</w:t>
            </w:r>
            <w:r>
              <w:rPr>
                <w:szCs w:val="22"/>
              </w:rPr>
              <w:noBreakHyphen/>
              <w:t>[1-(5-FLUOROPENTYL)-1H-</w:t>
            </w:r>
            <w:r>
              <w:rPr>
                <w:szCs w:val="22"/>
              </w:rPr>
              <w:br/>
              <w:t>INDAZOLE-3-CARBOXAMIDO]-3,3-</w:t>
            </w:r>
            <w:r>
              <w:rPr>
                <w:szCs w:val="22"/>
              </w:rPr>
              <w:br/>
              <w:t>DIMETHYLBUTANOATE (5F-ADB) (in any form except plant material)</w:t>
            </w:r>
          </w:p>
        </w:tc>
        <w:tc>
          <w:tcPr>
            <w:tcW w:w="1183" w:type="dxa"/>
            <w:gridSpan w:val="2"/>
            <w:vAlign w:val="bottom"/>
          </w:tcPr>
          <w:p>
            <w:pPr>
              <w:pStyle w:val="yTableNAm"/>
              <w:tabs>
                <w:tab w:val="clear" w:pos="567"/>
                <w:tab w:val="decimal" w:pos="463"/>
              </w:tabs>
            </w:pPr>
            <w:r>
              <w:t>28.0</w:t>
            </w:r>
          </w:p>
        </w:tc>
      </w:tr>
      <w:tr>
        <w:trPr>
          <w:cantSplit/>
        </w:trPr>
        <w:tc>
          <w:tcPr>
            <w:tcW w:w="993" w:type="dxa"/>
          </w:tcPr>
          <w:p>
            <w:pPr>
              <w:pStyle w:val="yTableNAm"/>
            </w:pPr>
            <w:r>
              <w:t>11.</w:t>
            </w:r>
          </w:p>
        </w:tc>
        <w:tc>
          <w:tcPr>
            <w:tcW w:w="5245" w:type="dxa"/>
            <w:gridSpan w:val="2"/>
          </w:tcPr>
          <w:p>
            <w:pPr>
              <w:pStyle w:val="yTableNAm"/>
            </w:pPr>
            <w:r>
              <w:t>MORPHINE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rPr>
                <w:szCs w:val="22"/>
              </w:rPr>
              <w:t>12A.</w:t>
            </w:r>
          </w:p>
        </w:tc>
        <w:tc>
          <w:tcPr>
            <w:tcW w:w="5245" w:type="dxa"/>
            <w:gridSpan w:val="2"/>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r>
            <w:r>
              <w:rPr>
                <w:szCs w:val="22"/>
              </w:rPr>
              <w:br/>
              <w:t>(1</w:t>
            </w:r>
            <w:r>
              <w:rPr>
                <w:szCs w:val="22"/>
              </w:rPr>
              <w:noBreakHyphen/>
              <w:t>NAPHTHOYL) INDOLE (JWH</w:t>
            </w:r>
            <w:r>
              <w:rPr>
                <w:szCs w:val="22"/>
              </w:rPr>
              <w:noBreakHyphen/>
              <w:t>200) (plant material)</w:t>
            </w:r>
          </w:p>
        </w:tc>
        <w:tc>
          <w:tcPr>
            <w:tcW w:w="1183" w:type="dxa"/>
            <w:gridSpan w:val="2"/>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12AB.</w:t>
            </w:r>
          </w:p>
        </w:tc>
        <w:tc>
          <w:tcPr>
            <w:tcW w:w="5245" w:type="dxa"/>
            <w:gridSpan w:val="2"/>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r>
            <w:r>
              <w:rPr>
                <w:szCs w:val="22"/>
              </w:rPr>
              <w:br/>
              <w:t>(1</w:t>
            </w:r>
            <w:r>
              <w:rPr>
                <w:szCs w:val="22"/>
              </w:rPr>
              <w:noBreakHyphen/>
              <w:t>NAPHTHOYL) INDOLE (JWH</w:t>
            </w:r>
            <w:r>
              <w:rPr>
                <w:szCs w:val="22"/>
              </w:rPr>
              <w:noBreakHyphen/>
              <w:t>200) (in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12AC.</w:t>
            </w:r>
          </w:p>
        </w:tc>
        <w:tc>
          <w:tcPr>
            <w:tcW w:w="5245" w:type="dxa"/>
            <w:gridSpan w:val="2"/>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r>
            <w:r>
              <w:rPr>
                <w:szCs w:val="22"/>
              </w:rPr>
              <w:br/>
              <w:t>CARBOXAMIDE (MAB</w:t>
            </w:r>
            <w:r>
              <w:rPr>
                <w:szCs w:val="22"/>
              </w:rPr>
              <w:noBreakHyphen/>
              <w:t>CHMINACA or ADB</w:t>
            </w:r>
            <w:r>
              <w:rPr>
                <w:szCs w:val="22"/>
              </w:rPr>
              <w:noBreakHyphen/>
              <w:t>CHMINACA) (plant material)</w:t>
            </w:r>
          </w:p>
        </w:tc>
        <w:tc>
          <w:tcPr>
            <w:tcW w:w="1183" w:type="dxa"/>
            <w:gridSpan w:val="2"/>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12AD.</w:t>
            </w:r>
          </w:p>
        </w:tc>
        <w:tc>
          <w:tcPr>
            <w:tcW w:w="5245" w:type="dxa"/>
            <w:gridSpan w:val="2"/>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w:t>
            </w:r>
            <w:r>
              <w:rPr>
                <w:szCs w:val="22"/>
              </w:rPr>
              <w:noBreakHyphen/>
              <w:t>DAZOLE</w:t>
            </w:r>
            <w:r>
              <w:rPr>
                <w:szCs w:val="22"/>
              </w:rPr>
              <w:noBreakHyphen/>
              <w:t>3</w:t>
            </w:r>
            <w:r>
              <w:rPr>
                <w:szCs w:val="22"/>
              </w:rPr>
              <w:noBreakHyphen/>
            </w:r>
            <w:r>
              <w:rPr>
                <w:szCs w:val="22"/>
              </w:rPr>
              <w:br/>
              <w:t>CARBOXAMIDE (MAB</w:t>
            </w:r>
            <w:r>
              <w:rPr>
                <w:szCs w:val="22"/>
              </w:rPr>
              <w:noBreakHyphen/>
              <w:t>CHMINACA or ADB</w:t>
            </w:r>
            <w:r>
              <w:rPr>
                <w:szCs w:val="22"/>
              </w:rPr>
              <w:noBreakHyphen/>
              <w:t>CHMINACA) (in any form except plant material)</w:t>
            </w:r>
          </w:p>
        </w:tc>
        <w:tc>
          <w:tcPr>
            <w:tcW w:w="1183" w:type="dxa"/>
            <w:gridSpan w:val="2"/>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12AE.</w:t>
            </w:r>
          </w:p>
        </w:tc>
        <w:tc>
          <w:tcPr>
            <w:tcW w:w="5245" w:type="dxa"/>
            <w:gridSpan w:val="2"/>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(plant material)</w:t>
            </w:r>
          </w:p>
        </w:tc>
        <w:tc>
          <w:tcPr>
            <w:tcW w:w="1183" w:type="dxa"/>
            <w:gridSpan w:val="2"/>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12AF.</w:t>
            </w:r>
          </w:p>
        </w:tc>
        <w:tc>
          <w:tcPr>
            <w:tcW w:w="5245" w:type="dxa"/>
            <w:gridSpan w:val="2"/>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(in any form except plant material)</w:t>
            </w:r>
          </w:p>
        </w:tc>
        <w:tc>
          <w:tcPr>
            <w:tcW w:w="1183" w:type="dxa"/>
            <w:gridSpan w:val="2"/>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12AG.</w:t>
            </w:r>
          </w:p>
        </w:tc>
        <w:tc>
          <w:tcPr>
            <w:tcW w:w="5245" w:type="dxa"/>
            <w:gridSpan w:val="2"/>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(plant material)</w:t>
            </w:r>
          </w:p>
        </w:tc>
        <w:tc>
          <w:tcPr>
            <w:tcW w:w="1183" w:type="dxa"/>
            <w:gridSpan w:val="2"/>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lastRenderedPageBreak/>
              <w:t>12AH.</w:t>
            </w:r>
          </w:p>
        </w:tc>
        <w:tc>
          <w:tcPr>
            <w:tcW w:w="5245" w:type="dxa"/>
            <w:gridSpan w:val="2"/>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(in any form except plant material)</w:t>
            </w:r>
          </w:p>
        </w:tc>
        <w:tc>
          <w:tcPr>
            <w:tcW w:w="1183" w:type="dxa"/>
            <w:gridSpan w:val="2"/>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12AI.</w:t>
            </w:r>
          </w:p>
        </w:tc>
        <w:tc>
          <w:tcPr>
            <w:tcW w:w="5245" w:type="dxa"/>
            <w:gridSpan w:val="2"/>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r>
            <w:r>
              <w:rPr>
                <w:szCs w:val="22"/>
              </w:rPr>
              <w:br/>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(plant material)</w:t>
            </w:r>
          </w:p>
        </w:tc>
        <w:tc>
          <w:tcPr>
            <w:tcW w:w="1183" w:type="dxa"/>
            <w:gridSpan w:val="2"/>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12AJ.</w:t>
            </w:r>
          </w:p>
        </w:tc>
        <w:tc>
          <w:tcPr>
            <w:tcW w:w="5245" w:type="dxa"/>
            <w:gridSpan w:val="2"/>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r>
            <w:r>
              <w:rPr>
                <w:szCs w:val="22"/>
              </w:rPr>
              <w:br/>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(in any form except plant material)</w:t>
            </w:r>
          </w:p>
        </w:tc>
        <w:tc>
          <w:tcPr>
            <w:tcW w:w="1183" w:type="dxa"/>
            <w:gridSpan w:val="2"/>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12AK.</w:t>
            </w:r>
          </w:p>
        </w:tc>
        <w:tc>
          <w:tcPr>
            <w:tcW w:w="5245" w:type="dxa"/>
            <w:gridSpan w:val="2"/>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ABICA) (plant material)</w:t>
            </w:r>
          </w:p>
        </w:tc>
        <w:tc>
          <w:tcPr>
            <w:tcW w:w="1183" w:type="dxa"/>
            <w:gridSpan w:val="2"/>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12AL.</w:t>
            </w:r>
          </w:p>
        </w:tc>
        <w:tc>
          <w:tcPr>
            <w:tcW w:w="5245" w:type="dxa"/>
            <w:gridSpan w:val="2"/>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ABICA) (in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12AM.</w:t>
            </w:r>
          </w:p>
        </w:tc>
        <w:tc>
          <w:tcPr>
            <w:tcW w:w="5245" w:type="dxa"/>
            <w:gridSpan w:val="2"/>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(plant material)</w:t>
            </w:r>
          </w:p>
        </w:tc>
        <w:tc>
          <w:tcPr>
            <w:tcW w:w="1183" w:type="dxa"/>
            <w:gridSpan w:val="2"/>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12AN.</w:t>
            </w:r>
          </w:p>
        </w:tc>
        <w:tc>
          <w:tcPr>
            <w:tcW w:w="5245" w:type="dxa"/>
            <w:gridSpan w:val="2"/>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(in any form except plant material)</w:t>
            </w:r>
          </w:p>
        </w:tc>
        <w:tc>
          <w:tcPr>
            <w:tcW w:w="1183" w:type="dxa"/>
            <w:gridSpan w:val="2"/>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rPr>
                <w:szCs w:val="22"/>
              </w:rPr>
            </w:pPr>
            <w:r>
              <w:t>12AO.</w:t>
            </w:r>
          </w:p>
        </w:tc>
        <w:tc>
          <w:tcPr>
            <w:tcW w:w="5245" w:type="dxa"/>
            <w:gridSpan w:val="2"/>
          </w:tcPr>
          <w:p>
            <w:pPr>
              <w:pStyle w:val="yTableNAm"/>
              <w:rPr>
                <w:szCs w:val="22"/>
              </w:rPr>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(5</w:t>
            </w:r>
            <w:r>
              <w:rPr>
                <w:szCs w:val="22"/>
              </w:rPr>
              <w:noBreakHyphen/>
              <w:t xml:space="preserve">FLUOROPENTYL) </w:t>
            </w:r>
            <w:r>
              <w:rPr>
                <w:szCs w:val="22"/>
              </w:rPr>
              <w:noBreakHyphen/>
              <w:t>1H</w:t>
            </w:r>
            <w:r>
              <w:rPr>
                <w:szCs w:val="22"/>
              </w:rPr>
              <w:noBreakHyphen/>
              <w:t>PYRROLO[2,3</w:t>
            </w:r>
            <w:r>
              <w:rPr>
                <w:szCs w:val="22"/>
              </w:rPr>
              <w:noBreakHyphen/>
              <w:t>B] PYRIDINE</w:t>
            </w:r>
            <w:r>
              <w:rPr>
                <w:szCs w:val="22"/>
              </w:rPr>
              <w:noBreakHyphen/>
              <w:t>3</w:t>
            </w:r>
            <w:r>
              <w:rPr>
                <w:szCs w:val="22"/>
              </w:rPr>
              <w:noBreakHyphen/>
              <w:t>CARBOXAMIDE (5F</w:t>
            </w:r>
            <w:r>
              <w:rPr>
                <w:szCs w:val="22"/>
              </w:rPr>
              <w:noBreakHyphen/>
              <w:t>AB</w:t>
            </w:r>
            <w:r>
              <w:rPr>
                <w:szCs w:val="22"/>
              </w:rPr>
              <w:noBreakHyphen/>
              <w:t>P7AICA) (</w:t>
            </w:r>
            <w:r>
              <w:rPr>
                <w:bCs/>
                <w:szCs w:val="22"/>
              </w:rPr>
              <w:t>plant material</w:t>
            </w:r>
            <w:r>
              <w:rPr>
                <w:szCs w:val="22"/>
              </w:rPr>
              <w:t>)</w:t>
            </w:r>
          </w:p>
        </w:tc>
        <w:tc>
          <w:tcPr>
            <w:tcW w:w="1183" w:type="dxa"/>
            <w:gridSpan w:val="2"/>
            <w:vAlign w:val="bottom"/>
          </w:tcPr>
          <w:p>
            <w:pPr>
              <w:pStyle w:val="yTableNAm"/>
              <w:tabs>
                <w:tab w:val="clear" w:pos="567"/>
                <w:tab w:val="decimal" w:pos="463"/>
              </w:tabs>
              <w:rPr>
                <w:szCs w:val="22"/>
              </w:rPr>
            </w:pPr>
            <w:r>
              <w:t>420.0</w:t>
            </w:r>
          </w:p>
        </w:tc>
      </w:tr>
      <w:tr>
        <w:trPr>
          <w:cantSplit/>
        </w:trPr>
        <w:tc>
          <w:tcPr>
            <w:tcW w:w="993" w:type="dxa"/>
          </w:tcPr>
          <w:p>
            <w:pPr>
              <w:pStyle w:val="yTableNAm"/>
              <w:rPr>
                <w:szCs w:val="22"/>
              </w:rPr>
            </w:pPr>
            <w:r>
              <w:lastRenderedPageBreak/>
              <w:t>12AP.</w:t>
            </w:r>
          </w:p>
        </w:tc>
        <w:tc>
          <w:tcPr>
            <w:tcW w:w="5245" w:type="dxa"/>
            <w:gridSpan w:val="2"/>
          </w:tcPr>
          <w:p>
            <w:pPr>
              <w:pStyle w:val="yTableNAm"/>
              <w:rPr>
                <w:szCs w:val="22"/>
              </w:rPr>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(5</w:t>
            </w:r>
            <w:r>
              <w:rPr>
                <w:szCs w:val="22"/>
              </w:rPr>
              <w:noBreakHyphen/>
              <w:t xml:space="preserve">FLUOROPENTYL) </w:t>
            </w:r>
            <w:r>
              <w:rPr>
                <w:szCs w:val="22"/>
              </w:rPr>
              <w:noBreakHyphen/>
              <w:t>1H</w:t>
            </w:r>
            <w:r>
              <w:rPr>
                <w:szCs w:val="22"/>
              </w:rPr>
              <w:noBreakHyphen/>
              <w:t>PYRROLO[2,3</w:t>
            </w:r>
            <w:r>
              <w:rPr>
                <w:szCs w:val="22"/>
              </w:rPr>
              <w:noBreakHyphen/>
              <w:t>B] PYRIDINE</w:t>
            </w:r>
            <w:r>
              <w:rPr>
                <w:szCs w:val="22"/>
              </w:rPr>
              <w:noBreakHyphen/>
              <w:t>3</w:t>
            </w:r>
            <w:r>
              <w:rPr>
                <w:szCs w:val="22"/>
              </w:rPr>
              <w:noBreakHyphen/>
              <w:t>CARBOXAMIDE (5F</w:t>
            </w:r>
            <w:r>
              <w:rPr>
                <w:szCs w:val="22"/>
              </w:rPr>
              <w:noBreakHyphen/>
              <w:t>AB</w:t>
            </w:r>
            <w:r>
              <w:rPr>
                <w:szCs w:val="22"/>
              </w:rPr>
              <w:noBreakHyphen/>
              <w:t>P7AICA) (</w:t>
            </w:r>
            <w:r>
              <w:rPr>
                <w:bCs/>
                <w:szCs w:val="22"/>
              </w:rPr>
              <w:t>in any form except plant material</w:t>
            </w:r>
            <w:r>
              <w:rPr>
                <w:szCs w:val="22"/>
              </w:rPr>
              <w:t>)</w:t>
            </w:r>
          </w:p>
        </w:tc>
        <w:tc>
          <w:tcPr>
            <w:tcW w:w="1183" w:type="dxa"/>
            <w:gridSpan w:val="2"/>
            <w:vAlign w:val="bottom"/>
          </w:tcPr>
          <w:p>
            <w:pPr>
              <w:pStyle w:val="yTableNAm"/>
              <w:tabs>
                <w:tab w:val="clear" w:pos="567"/>
                <w:tab w:val="decimal" w:pos="463"/>
              </w:tabs>
              <w:rPr>
                <w:szCs w:val="22"/>
              </w:rPr>
            </w:pPr>
            <w:r>
              <w:t>28.0</w:t>
            </w:r>
          </w:p>
        </w:tc>
      </w:tr>
      <w:tr>
        <w:trPr>
          <w:cantSplit/>
        </w:trPr>
        <w:tc>
          <w:tcPr>
            <w:tcW w:w="993" w:type="dxa"/>
          </w:tcPr>
          <w:p>
            <w:pPr>
              <w:pStyle w:val="yTableNAm"/>
            </w:pPr>
            <w:r>
              <w:rPr>
                <w:szCs w:val="22"/>
              </w:rPr>
              <w:t>12B.</w:t>
            </w:r>
          </w:p>
        </w:tc>
        <w:tc>
          <w:tcPr>
            <w:tcW w:w="5245" w:type="dxa"/>
            <w:gridSpan w:val="2"/>
          </w:tcPr>
          <w:p>
            <w:pPr>
              <w:pStyle w:val="yTableNAm"/>
              <w:rPr>
                <w:szCs w:val="24"/>
              </w:rPr>
            </w:pPr>
            <w:r>
              <w:rPr>
                <w:rFonts w:cs="Arial"/>
                <w:szCs w:val="22"/>
              </w:rPr>
              <w:t>NAPHTHOYLINDOLES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12BA.</w:t>
            </w:r>
          </w:p>
        </w:tc>
        <w:tc>
          <w:tcPr>
            <w:tcW w:w="5245" w:type="dxa"/>
            <w:gridSpan w:val="2"/>
          </w:tcPr>
          <w:p>
            <w:pPr>
              <w:pStyle w:val="yTableNAm"/>
              <w:rPr>
                <w:szCs w:val="24"/>
              </w:rPr>
            </w:pPr>
            <w:r>
              <w:rPr>
                <w:rFonts w:cs="Arial"/>
                <w:szCs w:val="22"/>
              </w:rPr>
              <w:t>NAPHTHOYLINDOLES</w:t>
            </w:r>
            <w:r>
              <w:rPr>
                <w:szCs w:val="22"/>
              </w:rPr>
              <w:t xml:space="preserve">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12C.</w:t>
            </w:r>
          </w:p>
        </w:tc>
        <w:tc>
          <w:tcPr>
            <w:tcW w:w="5245" w:type="dxa"/>
            <w:gridSpan w:val="2"/>
          </w:tcPr>
          <w:p>
            <w:pPr>
              <w:pStyle w:val="yTableNAm"/>
            </w:pPr>
            <w:r>
              <w:rPr>
                <w:rFonts w:cs="Arial"/>
                <w:szCs w:val="22"/>
              </w:rPr>
              <w:t>NAPHTHYLMETHYLINDOLES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12CA.</w:t>
            </w:r>
          </w:p>
        </w:tc>
        <w:tc>
          <w:tcPr>
            <w:tcW w:w="5245" w:type="dxa"/>
            <w:gridSpan w:val="2"/>
          </w:tcPr>
          <w:p>
            <w:pPr>
              <w:pStyle w:val="yTableNAm"/>
            </w:pPr>
            <w:r>
              <w:rPr>
                <w:rFonts w:cs="Arial"/>
                <w:szCs w:val="22"/>
              </w:rPr>
              <w:t>NAPHTHYLMETHYLINDOLES</w:t>
            </w:r>
            <w:r>
              <w:rPr>
                <w:szCs w:val="22"/>
              </w:rPr>
              <w:t xml:space="preserve">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12D.</w:t>
            </w:r>
          </w:p>
        </w:tc>
        <w:tc>
          <w:tcPr>
            <w:tcW w:w="5245" w:type="dxa"/>
            <w:gridSpan w:val="2"/>
          </w:tcPr>
          <w:p>
            <w:pPr>
              <w:pStyle w:val="yTableNAm"/>
            </w:pPr>
            <w:r>
              <w:rPr>
                <w:rFonts w:cs="Arial"/>
                <w:szCs w:val="22"/>
              </w:rPr>
              <w:t>NAPHTHOYLPYRROLES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12DA.</w:t>
            </w:r>
          </w:p>
        </w:tc>
        <w:tc>
          <w:tcPr>
            <w:tcW w:w="5245" w:type="dxa"/>
            <w:gridSpan w:val="2"/>
          </w:tcPr>
          <w:p>
            <w:pPr>
              <w:pStyle w:val="yTableNAm"/>
            </w:pPr>
            <w:r>
              <w:rPr>
                <w:rFonts w:cs="Arial"/>
                <w:szCs w:val="22"/>
              </w:rPr>
              <w:t xml:space="preserve">NAPHTHOYLPYRROLES </w:t>
            </w:r>
            <w:r>
              <w:rPr>
                <w:szCs w:val="22"/>
              </w:rPr>
              <w:t>(in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12E.</w:t>
            </w:r>
          </w:p>
        </w:tc>
        <w:tc>
          <w:tcPr>
            <w:tcW w:w="5245" w:type="dxa"/>
            <w:gridSpan w:val="2"/>
          </w:tcPr>
          <w:p>
            <w:pPr>
              <w:pStyle w:val="yTableNAm"/>
            </w:pPr>
            <w:r>
              <w:rPr>
                <w:rFonts w:cs="Arial"/>
                <w:szCs w:val="22"/>
              </w:rPr>
              <w:t>NAPHTHYLMETHYLINDENES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12F.</w:t>
            </w:r>
          </w:p>
        </w:tc>
        <w:tc>
          <w:tcPr>
            <w:tcW w:w="5245" w:type="dxa"/>
            <w:gridSpan w:val="2"/>
          </w:tcPr>
          <w:p>
            <w:pPr>
              <w:pStyle w:val="yTableNAm"/>
            </w:pPr>
            <w:r>
              <w:rPr>
                <w:rFonts w:cs="Arial"/>
                <w:szCs w:val="22"/>
              </w:rPr>
              <w:t>NAPHTHYLMETHYLINDENES</w:t>
            </w:r>
            <w:r>
              <w:rPr>
                <w:szCs w:val="22"/>
              </w:rPr>
              <w:t xml:space="preserve">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rPr>
                <w:szCs w:val="22"/>
              </w:rPr>
            </w:pPr>
            <w:r>
              <w:t>12G.</w:t>
            </w:r>
          </w:p>
        </w:tc>
        <w:tc>
          <w:tcPr>
            <w:tcW w:w="5245" w:type="dxa"/>
            <w:gridSpan w:val="2"/>
          </w:tcPr>
          <w:p>
            <w:pPr>
              <w:pStyle w:val="yTableNAm"/>
              <w:rPr>
                <w:rFonts w:cs="Arial"/>
                <w:szCs w:val="22"/>
              </w:rPr>
            </w:pPr>
            <w:r>
              <w:rPr>
                <w:szCs w:val="22"/>
              </w:rPr>
              <w:t>N</w:t>
            </w:r>
            <w:r>
              <w:rPr>
                <w:szCs w:val="22"/>
              </w:rPr>
              <w:noBreakHyphen/>
              <w:t>METHYL</w:t>
            </w:r>
            <w:r>
              <w:rPr>
                <w:szCs w:val="22"/>
              </w:rPr>
              <w:noBreakHyphen/>
              <w:t>1</w:t>
            </w:r>
            <w:r>
              <w:rPr>
                <w:szCs w:val="22"/>
              </w:rPr>
              <w:noBreakHyphen/>
              <w:t>(THIOPHEN</w:t>
            </w:r>
            <w:r>
              <w:rPr>
                <w:szCs w:val="22"/>
              </w:rPr>
              <w:noBreakHyphen/>
              <w:t>2</w:t>
            </w:r>
            <w:r>
              <w:rPr>
                <w:szCs w:val="22"/>
              </w:rPr>
              <w:noBreakHyphen/>
              <w:t>YL)PROPAN</w:t>
            </w:r>
            <w:r>
              <w:rPr>
                <w:szCs w:val="22"/>
              </w:rPr>
              <w:noBreakHyphen/>
              <w:t>2</w:t>
            </w:r>
            <w:r>
              <w:rPr>
                <w:szCs w:val="22"/>
              </w:rPr>
              <w:noBreakHyphen/>
              <w:t>AMINE (METHIOPROPAMINE; MPA)</w:t>
            </w:r>
          </w:p>
        </w:tc>
        <w:tc>
          <w:tcPr>
            <w:tcW w:w="1183" w:type="dxa"/>
            <w:gridSpan w:val="2"/>
            <w:vAlign w:val="bottom"/>
          </w:tcPr>
          <w:p>
            <w:pPr>
              <w:pStyle w:val="yTableNAm"/>
              <w:tabs>
                <w:tab w:val="clear" w:pos="567"/>
                <w:tab w:val="decimal" w:pos="463"/>
              </w:tabs>
              <w:rPr>
                <w:szCs w:val="22"/>
              </w:rPr>
            </w:pPr>
            <w:r>
              <w:t>28.0</w:t>
            </w:r>
          </w:p>
        </w:tc>
      </w:tr>
      <w:tr>
        <w:trPr>
          <w:cantSplit/>
        </w:trPr>
        <w:tc>
          <w:tcPr>
            <w:tcW w:w="993" w:type="dxa"/>
          </w:tcPr>
          <w:p>
            <w:pPr>
              <w:pStyle w:val="yTableNAm"/>
              <w:rPr>
                <w:szCs w:val="22"/>
              </w:rPr>
            </w:pPr>
            <w:r>
              <w:t>12H.</w:t>
            </w:r>
          </w:p>
        </w:tc>
        <w:tc>
          <w:tcPr>
            <w:tcW w:w="5245" w:type="dxa"/>
            <w:gridSpan w:val="2"/>
          </w:tcPr>
          <w:p>
            <w:pPr>
              <w:pStyle w:val="yTableNAm"/>
              <w:rPr>
                <w:rFonts w:cs="Arial"/>
                <w:szCs w:val="22"/>
              </w:rPr>
            </w:pPr>
            <w:r>
              <w:rPr>
                <w:szCs w:val="22"/>
              </w:rPr>
              <w:t>N</w:t>
            </w:r>
            <w:r>
              <w:rPr>
                <w:szCs w:val="22"/>
              </w:rPr>
              <w:noBreakHyphen/>
              <w:t>(1</w:t>
            </w:r>
            <w:r>
              <w:rPr>
                <w:szCs w:val="22"/>
              </w:rPr>
              <w:noBreakHyphen/>
              <w:t>NAPHTHYL)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NNEI; 5F</w:t>
            </w:r>
            <w:r>
              <w:rPr>
                <w:szCs w:val="22"/>
              </w:rPr>
              <w:noBreakHyphen/>
              <w:t>MN</w:t>
            </w:r>
            <w:r>
              <w:rPr>
                <w:szCs w:val="22"/>
              </w:rPr>
              <w:noBreakHyphen/>
              <w:t>24) (</w:t>
            </w:r>
            <w:r>
              <w:rPr>
                <w:bCs/>
                <w:szCs w:val="22"/>
              </w:rPr>
              <w:t>plant material</w:t>
            </w:r>
            <w:r>
              <w:rPr>
                <w:szCs w:val="22"/>
              </w:rPr>
              <w:t>)</w:t>
            </w:r>
          </w:p>
        </w:tc>
        <w:tc>
          <w:tcPr>
            <w:tcW w:w="1183" w:type="dxa"/>
            <w:gridSpan w:val="2"/>
            <w:vAlign w:val="bottom"/>
          </w:tcPr>
          <w:p>
            <w:pPr>
              <w:pStyle w:val="yTableNAm"/>
              <w:tabs>
                <w:tab w:val="clear" w:pos="567"/>
                <w:tab w:val="decimal" w:pos="463"/>
              </w:tabs>
              <w:rPr>
                <w:szCs w:val="22"/>
              </w:rPr>
            </w:pPr>
            <w:r>
              <w:t>420.0</w:t>
            </w:r>
          </w:p>
        </w:tc>
      </w:tr>
      <w:tr>
        <w:trPr>
          <w:cantSplit/>
        </w:trPr>
        <w:tc>
          <w:tcPr>
            <w:tcW w:w="993" w:type="dxa"/>
          </w:tcPr>
          <w:p>
            <w:pPr>
              <w:pStyle w:val="yTableNAm"/>
              <w:rPr>
                <w:szCs w:val="22"/>
              </w:rPr>
            </w:pPr>
            <w:r>
              <w:t>12I.</w:t>
            </w:r>
          </w:p>
        </w:tc>
        <w:tc>
          <w:tcPr>
            <w:tcW w:w="5245" w:type="dxa"/>
            <w:gridSpan w:val="2"/>
          </w:tcPr>
          <w:p>
            <w:pPr>
              <w:pStyle w:val="yTableNAm"/>
              <w:rPr>
                <w:rFonts w:cs="Arial"/>
                <w:szCs w:val="22"/>
              </w:rPr>
            </w:pPr>
            <w:r>
              <w:rPr>
                <w:szCs w:val="22"/>
              </w:rPr>
              <w:t>N</w:t>
            </w:r>
            <w:r>
              <w:rPr>
                <w:szCs w:val="22"/>
              </w:rPr>
              <w:noBreakHyphen/>
              <w:t>(1</w:t>
            </w:r>
            <w:r>
              <w:rPr>
                <w:szCs w:val="22"/>
              </w:rPr>
              <w:noBreakHyphen/>
              <w:t>NAPHTHYL)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NNEI; 5F</w:t>
            </w:r>
            <w:r>
              <w:rPr>
                <w:szCs w:val="22"/>
              </w:rPr>
              <w:noBreakHyphen/>
              <w:t>MN</w:t>
            </w:r>
            <w:r>
              <w:rPr>
                <w:szCs w:val="22"/>
              </w:rPr>
              <w:noBreakHyphen/>
              <w:t>24) (</w:t>
            </w:r>
            <w:r>
              <w:rPr>
                <w:bCs/>
                <w:szCs w:val="22"/>
              </w:rPr>
              <w:t>in any form except plant material</w:t>
            </w:r>
            <w:r>
              <w:rPr>
                <w:szCs w:val="22"/>
              </w:rPr>
              <w:t>)</w:t>
            </w:r>
          </w:p>
        </w:tc>
        <w:tc>
          <w:tcPr>
            <w:tcW w:w="1183" w:type="dxa"/>
            <w:gridSpan w:val="2"/>
            <w:vAlign w:val="bottom"/>
          </w:tcPr>
          <w:p>
            <w:pPr>
              <w:pStyle w:val="yTableNAm"/>
              <w:tabs>
                <w:tab w:val="clear" w:pos="567"/>
                <w:tab w:val="decimal" w:pos="463"/>
              </w:tabs>
              <w:rPr>
                <w:szCs w:val="22"/>
              </w:rPr>
            </w:pPr>
            <w:r>
              <w:t>28.0</w:t>
            </w:r>
          </w:p>
        </w:tc>
      </w:tr>
      <w:tr>
        <w:trPr>
          <w:cantSplit/>
        </w:trPr>
        <w:tc>
          <w:tcPr>
            <w:tcW w:w="993" w:type="dxa"/>
          </w:tcPr>
          <w:p>
            <w:pPr>
              <w:pStyle w:val="yTableNAm"/>
            </w:pPr>
            <w:r>
              <w:t>12.</w:t>
            </w:r>
          </w:p>
        </w:tc>
        <w:tc>
          <w:tcPr>
            <w:tcW w:w="5245" w:type="dxa"/>
            <w:gridSpan w:val="2"/>
          </w:tcPr>
          <w:p>
            <w:pPr>
              <w:pStyle w:val="yTableNAm"/>
            </w:pPr>
            <w:r>
              <w:t>OPIUM</w:t>
            </w:r>
          </w:p>
        </w:tc>
        <w:tc>
          <w:tcPr>
            <w:tcW w:w="1183" w:type="dxa"/>
            <w:gridSpan w:val="2"/>
          </w:tcPr>
          <w:p>
            <w:pPr>
              <w:pStyle w:val="yTableNAm"/>
              <w:tabs>
                <w:tab w:val="clear" w:pos="567"/>
                <w:tab w:val="decimal" w:pos="463"/>
              </w:tabs>
            </w:pPr>
            <w:r>
              <w:t>100.0</w:t>
            </w:r>
          </w:p>
        </w:tc>
      </w:tr>
      <w:tr>
        <w:trPr>
          <w:cantSplit/>
        </w:trPr>
        <w:tc>
          <w:tcPr>
            <w:tcW w:w="993" w:type="dxa"/>
          </w:tcPr>
          <w:p>
            <w:pPr>
              <w:pStyle w:val="yTableNAm"/>
            </w:pPr>
            <w:r>
              <w:rPr>
                <w:szCs w:val="22"/>
              </w:rPr>
              <w:t>13A.</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lastRenderedPageBreak/>
              <w:t>13AB.</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13B.</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13BA.</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13C.</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13CA.</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13D.</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13DA.</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13E.</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13EA.</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13AA.</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14.</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14A.</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15A.</w:t>
            </w:r>
          </w:p>
        </w:tc>
        <w:tc>
          <w:tcPr>
            <w:tcW w:w="5245" w:type="dxa"/>
            <w:gridSpan w:val="2"/>
          </w:tcPr>
          <w:p>
            <w:pPr>
              <w:pStyle w:val="yTableNAm"/>
            </w:pPr>
            <w:r>
              <w:rPr>
                <w:szCs w:val="22"/>
              </w:rPr>
              <w:t>PHENYLACETYLINDOLES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lastRenderedPageBreak/>
              <w:t>15B.</w:t>
            </w:r>
          </w:p>
        </w:tc>
        <w:tc>
          <w:tcPr>
            <w:tcW w:w="5245" w:type="dxa"/>
            <w:gridSpan w:val="2"/>
          </w:tcPr>
          <w:p>
            <w:pPr>
              <w:pStyle w:val="yTableNAm"/>
            </w:pPr>
            <w:r>
              <w:rPr>
                <w:szCs w:val="22"/>
              </w:rPr>
              <w:t>PHENYLACETYLINDOLES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15.</w:t>
            </w:r>
          </w:p>
        </w:tc>
        <w:tc>
          <w:tcPr>
            <w:tcW w:w="5245" w:type="dxa"/>
            <w:gridSpan w:val="2"/>
          </w:tcPr>
          <w:p>
            <w:pPr>
              <w:pStyle w:val="yTableNAm"/>
            </w:pPr>
            <w:r>
              <w:rPr>
                <w:szCs w:val="22"/>
              </w:rPr>
              <w:t>PRAVADOLINE (WIN 48098)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15AA.</w:t>
            </w:r>
          </w:p>
        </w:tc>
        <w:tc>
          <w:tcPr>
            <w:tcW w:w="5245" w:type="dxa"/>
            <w:gridSpan w:val="2"/>
          </w:tcPr>
          <w:p>
            <w:pPr>
              <w:pStyle w:val="yTableNAm"/>
            </w:pPr>
            <w:r>
              <w:rPr>
                <w:szCs w:val="22"/>
              </w:rPr>
              <w:t>PRAVADOLINE (WIN 48098)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16.</w:t>
            </w:r>
          </w:p>
        </w:tc>
        <w:tc>
          <w:tcPr>
            <w:tcW w:w="5245" w:type="dxa"/>
            <w:gridSpan w:val="2"/>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16A.</w:t>
            </w:r>
          </w:p>
        </w:tc>
        <w:tc>
          <w:tcPr>
            <w:tcW w:w="5245" w:type="dxa"/>
            <w:gridSpan w:val="2"/>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183" w:type="dxa"/>
            <w:gridSpan w:val="2"/>
          </w:tcPr>
          <w:p>
            <w:pPr>
              <w:pStyle w:val="yTableNAm"/>
              <w:tabs>
                <w:tab w:val="clear" w:pos="567"/>
                <w:tab w:val="decimal" w:pos="463"/>
              </w:tabs>
            </w:pPr>
            <w:r>
              <w:rPr>
                <w:szCs w:val="22"/>
              </w:rPr>
              <w:br/>
              <w:t>28.0</w:t>
            </w:r>
          </w:p>
        </w:tc>
      </w:tr>
    </w:tbl>
    <w:p>
      <w:pPr>
        <w:pStyle w:val="yFootnotesection"/>
      </w:pPr>
      <w:r>
        <w:tab/>
        <w:t>[Division 1 inserted: No. 50 of 1990 s. 6; amended: Gazette 29 Nov 1991 p. 6041; 22 Mar 1994 p. 1245; 29 Apr 2011 p. 1533</w:t>
      </w:r>
      <w:r>
        <w:noBreakHyphen/>
        <w:t>4; 1 Jul 2011 p. 2744</w:t>
      </w:r>
      <w:r>
        <w:noBreakHyphen/>
        <w:t>5; 11 Oct 2011 p. 4319</w:t>
      </w:r>
      <w:r>
        <w:noBreakHyphen/>
        <w:t>20; 13 Apr 2012 p. 1665; 30 Oct 2012 p. 5196; 29 Aug 2018 p. 3025-35; SL 2023/48 cl. 6(1).]</w:t>
      </w:r>
    </w:p>
    <w:p>
      <w:pPr>
        <w:pStyle w:val="yHeading3"/>
        <w:keepLines/>
      </w:pPr>
      <w:bookmarkStart w:id="375" w:name="_Toc138689216"/>
      <w:bookmarkStart w:id="376" w:name="_Toc138691639"/>
      <w:bookmarkStart w:id="377" w:name="_Toc138751202"/>
      <w:r>
        <w:rPr>
          <w:rStyle w:val="CharSDivNo"/>
        </w:rPr>
        <w:t>Division 2</w:t>
      </w:r>
      <w:r>
        <w:rPr>
          <w:b w:val="0"/>
        </w:rPr>
        <w:t> — </w:t>
      </w:r>
      <w:r>
        <w:rPr>
          <w:rStyle w:val="CharSDivText"/>
        </w:rPr>
        <w:t>Steroids</w:t>
      </w:r>
      <w:bookmarkEnd w:id="375"/>
      <w:bookmarkEnd w:id="376"/>
      <w:bookmarkEnd w:id="377"/>
    </w:p>
    <w:p>
      <w:pPr>
        <w:pStyle w:val="yFootnoteheading"/>
        <w:keepNext/>
        <w:keepLines/>
      </w:pPr>
      <w:r>
        <w:tab/>
        <w:t>[Heading inserted: Gazette 29 Aug 2018 p. 3036.]</w:t>
      </w:r>
    </w:p>
    <w:tbl>
      <w:tblPr>
        <w:tblW w:w="7018" w:type="dxa"/>
        <w:tblInd w:w="178" w:type="dxa"/>
        <w:tblLayout w:type="fixed"/>
        <w:tblCellMar>
          <w:bottom w:w="113" w:type="dxa"/>
        </w:tblCellMar>
        <w:tblLook w:val="0000" w:firstRow="0" w:lastRow="0" w:firstColumn="0" w:lastColumn="0" w:noHBand="0" w:noVBand="0"/>
      </w:tblPr>
      <w:tblGrid>
        <w:gridCol w:w="781"/>
        <w:gridCol w:w="4961"/>
        <w:gridCol w:w="1276"/>
      </w:tblGrid>
      <w:tr>
        <w:trPr>
          <w:tblHeader/>
        </w:trPr>
        <w:tc>
          <w:tcPr>
            <w:tcW w:w="781" w:type="dxa"/>
            <w:tcBorders>
              <w:top w:val="single" w:sz="4" w:space="0" w:color="auto"/>
              <w:bottom w:val="single" w:sz="4" w:space="0" w:color="auto"/>
            </w:tcBorders>
          </w:tcPr>
          <w:p>
            <w:pPr>
              <w:pStyle w:val="yTableNAm"/>
              <w:keepNext/>
              <w:keepLines/>
            </w:pPr>
            <w:r>
              <w:rPr>
                <w:i/>
              </w:rPr>
              <w:t>Item</w:t>
            </w:r>
          </w:p>
        </w:tc>
        <w:tc>
          <w:tcPr>
            <w:tcW w:w="4961" w:type="dxa"/>
            <w:tcBorders>
              <w:top w:val="single" w:sz="4" w:space="0" w:color="auto"/>
              <w:bottom w:val="single" w:sz="4" w:space="0" w:color="auto"/>
            </w:tcBorders>
          </w:tcPr>
          <w:p>
            <w:pPr>
              <w:pStyle w:val="yTableNAm"/>
              <w:keepNext/>
              <w:keepLines/>
              <w:jc w:val="center"/>
            </w:pPr>
            <w:r>
              <w:rPr>
                <w:i/>
              </w:rPr>
              <w:t>Prohibited drug</w:t>
            </w:r>
          </w:p>
        </w:tc>
        <w:tc>
          <w:tcPr>
            <w:tcW w:w="1276" w:type="dxa"/>
            <w:tcBorders>
              <w:top w:val="single" w:sz="4" w:space="0" w:color="auto"/>
              <w:bottom w:val="single" w:sz="4" w:space="0" w:color="auto"/>
            </w:tcBorders>
          </w:tcPr>
          <w:p>
            <w:pPr>
              <w:pStyle w:val="yTableNAm"/>
              <w:keepNext/>
              <w:keepLines/>
              <w:jc w:val="center"/>
            </w:pPr>
            <w:r>
              <w:rPr>
                <w:i/>
              </w:rPr>
              <w:t>Amount (in grams unless otherwise stated)</w:t>
            </w:r>
          </w:p>
        </w:tc>
      </w:tr>
      <w:tr>
        <w:tc>
          <w:tcPr>
            <w:tcW w:w="781" w:type="dxa"/>
          </w:tcPr>
          <w:p>
            <w:pPr>
              <w:pStyle w:val="yTableNAm"/>
              <w:rPr>
                <w:szCs w:val="22"/>
              </w:rPr>
            </w:pPr>
            <w:r>
              <w:t>1A.</w:t>
            </w:r>
          </w:p>
        </w:tc>
        <w:tc>
          <w:tcPr>
            <w:tcW w:w="4961" w:type="dxa"/>
          </w:tcPr>
          <w:p>
            <w:pPr>
              <w:pStyle w:val="yTableNAm"/>
              <w:rPr>
                <w:szCs w:val="22"/>
              </w:rPr>
            </w:pPr>
            <w:r>
              <w:rPr>
                <w:rFonts w:cs="Arial"/>
                <w:szCs w:val="24"/>
              </w:rPr>
              <w:t>ANDROISOXAZOLE</w:t>
            </w:r>
          </w:p>
        </w:tc>
        <w:tc>
          <w:tcPr>
            <w:tcW w:w="1276" w:type="dxa"/>
          </w:tcPr>
          <w:p>
            <w:pPr>
              <w:pStyle w:val="yTableNAm"/>
              <w:jc w:val="center"/>
              <w:rPr>
                <w:szCs w:val="22"/>
              </w:rPr>
            </w:pPr>
            <w:r>
              <w:t>700.0</w:t>
            </w:r>
          </w:p>
        </w:tc>
      </w:tr>
      <w:tr>
        <w:tc>
          <w:tcPr>
            <w:tcW w:w="781" w:type="dxa"/>
          </w:tcPr>
          <w:p>
            <w:pPr>
              <w:pStyle w:val="yTableNAm"/>
              <w:rPr>
                <w:szCs w:val="22"/>
              </w:rPr>
            </w:pPr>
            <w:r>
              <w:rPr>
                <w:szCs w:val="22"/>
              </w:rPr>
              <w:t>1.</w:t>
            </w:r>
          </w:p>
        </w:tc>
        <w:tc>
          <w:tcPr>
            <w:tcW w:w="4961" w:type="dxa"/>
          </w:tcPr>
          <w:p>
            <w:pPr>
              <w:pStyle w:val="yTableNAm"/>
              <w:rPr>
                <w:szCs w:val="22"/>
              </w:rPr>
            </w:pPr>
            <w:r>
              <w:rPr>
                <w:szCs w:val="22"/>
              </w:rPr>
              <w:t>ATAMESTANE</w:t>
            </w:r>
          </w:p>
        </w:tc>
        <w:tc>
          <w:tcPr>
            <w:tcW w:w="1276" w:type="dxa"/>
          </w:tcPr>
          <w:p>
            <w:pPr>
              <w:pStyle w:val="yTableNAm"/>
              <w:jc w:val="center"/>
              <w:rPr>
                <w:szCs w:val="22"/>
              </w:rPr>
            </w:pPr>
            <w:r>
              <w:rPr>
                <w:szCs w:val="22"/>
              </w:rPr>
              <w:t>700.0</w:t>
            </w:r>
          </w:p>
        </w:tc>
      </w:tr>
      <w:tr>
        <w:tc>
          <w:tcPr>
            <w:tcW w:w="781" w:type="dxa"/>
          </w:tcPr>
          <w:p>
            <w:pPr>
              <w:pStyle w:val="yTableNAm"/>
            </w:pPr>
            <w:r>
              <w:rPr>
                <w:szCs w:val="22"/>
              </w:rPr>
              <w:t>2.</w:t>
            </w:r>
          </w:p>
        </w:tc>
        <w:tc>
          <w:tcPr>
            <w:tcW w:w="4961" w:type="dxa"/>
          </w:tcPr>
          <w:p>
            <w:pPr>
              <w:pStyle w:val="yTableNAm"/>
            </w:pPr>
            <w:r>
              <w:rPr>
                <w:szCs w:val="22"/>
              </w:rPr>
              <w:t>BOLANDIOL</w:t>
            </w:r>
          </w:p>
        </w:tc>
        <w:tc>
          <w:tcPr>
            <w:tcW w:w="1276" w:type="dxa"/>
          </w:tcPr>
          <w:p>
            <w:pPr>
              <w:pStyle w:val="yTableNAm"/>
              <w:jc w:val="center"/>
            </w:pPr>
            <w:r>
              <w:rPr>
                <w:szCs w:val="22"/>
              </w:rPr>
              <w:t>700.0</w:t>
            </w:r>
          </w:p>
        </w:tc>
      </w:tr>
      <w:tr>
        <w:tc>
          <w:tcPr>
            <w:tcW w:w="781" w:type="dxa"/>
          </w:tcPr>
          <w:p>
            <w:pPr>
              <w:pStyle w:val="yTableNAm"/>
            </w:pPr>
            <w:r>
              <w:rPr>
                <w:szCs w:val="22"/>
              </w:rPr>
              <w:t>3.</w:t>
            </w:r>
          </w:p>
        </w:tc>
        <w:tc>
          <w:tcPr>
            <w:tcW w:w="4961" w:type="dxa"/>
          </w:tcPr>
          <w:p>
            <w:pPr>
              <w:pStyle w:val="yTableNAm"/>
            </w:pPr>
            <w:r>
              <w:rPr>
                <w:szCs w:val="22"/>
              </w:rPr>
              <w:t>BOLASTERONE</w:t>
            </w:r>
          </w:p>
        </w:tc>
        <w:tc>
          <w:tcPr>
            <w:tcW w:w="1276" w:type="dxa"/>
          </w:tcPr>
          <w:p>
            <w:pPr>
              <w:pStyle w:val="yTableNAm"/>
              <w:jc w:val="center"/>
            </w:pPr>
            <w:r>
              <w:rPr>
                <w:szCs w:val="22"/>
              </w:rPr>
              <w:t>700.0</w:t>
            </w:r>
          </w:p>
        </w:tc>
      </w:tr>
      <w:tr>
        <w:tc>
          <w:tcPr>
            <w:tcW w:w="781" w:type="dxa"/>
          </w:tcPr>
          <w:p>
            <w:pPr>
              <w:pStyle w:val="yTableNAm"/>
            </w:pPr>
            <w:r>
              <w:rPr>
                <w:szCs w:val="22"/>
              </w:rPr>
              <w:t>4.</w:t>
            </w:r>
          </w:p>
        </w:tc>
        <w:tc>
          <w:tcPr>
            <w:tcW w:w="4961" w:type="dxa"/>
          </w:tcPr>
          <w:p>
            <w:pPr>
              <w:pStyle w:val="yTableNAm"/>
            </w:pPr>
            <w:r>
              <w:rPr>
                <w:szCs w:val="22"/>
              </w:rPr>
              <w:t>BOLANZINE</w:t>
            </w:r>
          </w:p>
        </w:tc>
        <w:tc>
          <w:tcPr>
            <w:tcW w:w="1276" w:type="dxa"/>
          </w:tcPr>
          <w:p>
            <w:pPr>
              <w:pStyle w:val="yTableNAm"/>
              <w:jc w:val="center"/>
            </w:pPr>
            <w:r>
              <w:rPr>
                <w:szCs w:val="22"/>
              </w:rPr>
              <w:t>700.0</w:t>
            </w:r>
          </w:p>
        </w:tc>
      </w:tr>
      <w:tr>
        <w:tc>
          <w:tcPr>
            <w:tcW w:w="781" w:type="dxa"/>
          </w:tcPr>
          <w:p>
            <w:pPr>
              <w:pStyle w:val="yTableNAm"/>
            </w:pPr>
            <w:r>
              <w:rPr>
                <w:szCs w:val="22"/>
              </w:rPr>
              <w:lastRenderedPageBreak/>
              <w:t>5.</w:t>
            </w:r>
          </w:p>
        </w:tc>
        <w:tc>
          <w:tcPr>
            <w:tcW w:w="4961" w:type="dxa"/>
          </w:tcPr>
          <w:p>
            <w:pPr>
              <w:pStyle w:val="yTableNAm"/>
            </w:pPr>
            <w:r>
              <w:rPr>
                <w:szCs w:val="22"/>
              </w:rPr>
              <w:t>BOLDENONE</w:t>
            </w:r>
          </w:p>
        </w:tc>
        <w:tc>
          <w:tcPr>
            <w:tcW w:w="1276" w:type="dxa"/>
          </w:tcPr>
          <w:p>
            <w:pPr>
              <w:pStyle w:val="yTableNAm"/>
              <w:jc w:val="center"/>
            </w:pPr>
            <w:r>
              <w:rPr>
                <w:szCs w:val="22"/>
              </w:rPr>
              <w:t>700.0</w:t>
            </w:r>
          </w:p>
        </w:tc>
      </w:tr>
      <w:tr>
        <w:tc>
          <w:tcPr>
            <w:tcW w:w="781" w:type="dxa"/>
          </w:tcPr>
          <w:p>
            <w:pPr>
              <w:pStyle w:val="yTableNAm"/>
            </w:pPr>
            <w:r>
              <w:rPr>
                <w:szCs w:val="22"/>
              </w:rPr>
              <w:t>6.</w:t>
            </w:r>
          </w:p>
        </w:tc>
        <w:tc>
          <w:tcPr>
            <w:tcW w:w="4961" w:type="dxa"/>
          </w:tcPr>
          <w:p>
            <w:pPr>
              <w:pStyle w:val="yTableNAm"/>
            </w:pPr>
            <w:r>
              <w:rPr>
                <w:szCs w:val="22"/>
              </w:rPr>
              <w:t>BOLENOL</w:t>
            </w:r>
          </w:p>
        </w:tc>
        <w:tc>
          <w:tcPr>
            <w:tcW w:w="1276" w:type="dxa"/>
          </w:tcPr>
          <w:p>
            <w:pPr>
              <w:pStyle w:val="yTableNAm"/>
              <w:jc w:val="center"/>
            </w:pPr>
            <w:r>
              <w:rPr>
                <w:szCs w:val="22"/>
              </w:rPr>
              <w:t>700.0</w:t>
            </w:r>
          </w:p>
        </w:tc>
      </w:tr>
      <w:tr>
        <w:tc>
          <w:tcPr>
            <w:tcW w:w="781" w:type="dxa"/>
          </w:tcPr>
          <w:p>
            <w:pPr>
              <w:pStyle w:val="yTableNAm"/>
            </w:pPr>
            <w:r>
              <w:rPr>
                <w:szCs w:val="22"/>
              </w:rPr>
              <w:t>7.</w:t>
            </w:r>
          </w:p>
        </w:tc>
        <w:tc>
          <w:tcPr>
            <w:tcW w:w="4961" w:type="dxa"/>
          </w:tcPr>
          <w:p>
            <w:pPr>
              <w:pStyle w:val="yTableNAm"/>
            </w:pPr>
            <w:r>
              <w:rPr>
                <w:szCs w:val="22"/>
              </w:rPr>
              <w:t>BOLMANTALATE</w:t>
            </w:r>
          </w:p>
        </w:tc>
        <w:tc>
          <w:tcPr>
            <w:tcW w:w="1276" w:type="dxa"/>
          </w:tcPr>
          <w:p>
            <w:pPr>
              <w:pStyle w:val="yTableNAm"/>
              <w:jc w:val="center"/>
            </w:pPr>
            <w:r>
              <w:rPr>
                <w:szCs w:val="22"/>
              </w:rPr>
              <w:t>700.0</w:t>
            </w:r>
          </w:p>
        </w:tc>
      </w:tr>
      <w:tr>
        <w:tc>
          <w:tcPr>
            <w:tcW w:w="781" w:type="dxa"/>
          </w:tcPr>
          <w:p>
            <w:pPr>
              <w:pStyle w:val="yTableNAm"/>
            </w:pPr>
            <w:r>
              <w:rPr>
                <w:szCs w:val="22"/>
              </w:rPr>
              <w:t>8.</w:t>
            </w:r>
          </w:p>
        </w:tc>
        <w:tc>
          <w:tcPr>
            <w:tcW w:w="4961" w:type="dxa"/>
          </w:tcPr>
          <w:p>
            <w:pPr>
              <w:pStyle w:val="yTableNAm"/>
            </w:pPr>
            <w:r>
              <w:rPr>
                <w:szCs w:val="22"/>
              </w:rPr>
              <w:t>CALUSTERONE</w:t>
            </w:r>
          </w:p>
        </w:tc>
        <w:tc>
          <w:tcPr>
            <w:tcW w:w="1276" w:type="dxa"/>
          </w:tcPr>
          <w:p>
            <w:pPr>
              <w:pStyle w:val="yTableNAm"/>
              <w:jc w:val="center"/>
            </w:pPr>
            <w:r>
              <w:rPr>
                <w:szCs w:val="22"/>
              </w:rPr>
              <w:t>700.0</w:t>
            </w:r>
          </w:p>
        </w:tc>
      </w:tr>
      <w:tr>
        <w:tc>
          <w:tcPr>
            <w:tcW w:w="781" w:type="dxa"/>
          </w:tcPr>
          <w:p>
            <w:pPr>
              <w:pStyle w:val="yTableNAm"/>
            </w:pPr>
            <w:r>
              <w:rPr>
                <w:szCs w:val="22"/>
              </w:rPr>
              <w:t>9.</w:t>
            </w:r>
          </w:p>
        </w:tc>
        <w:tc>
          <w:tcPr>
            <w:tcW w:w="4961" w:type="dxa"/>
          </w:tcPr>
          <w:p>
            <w:pPr>
              <w:pStyle w:val="yTableNAm"/>
            </w:pPr>
            <w:r>
              <w:rPr>
                <w:szCs w:val="22"/>
              </w:rPr>
              <w:t>CHLORANDROSTENOLONE</w:t>
            </w:r>
          </w:p>
        </w:tc>
        <w:tc>
          <w:tcPr>
            <w:tcW w:w="1276" w:type="dxa"/>
          </w:tcPr>
          <w:p>
            <w:pPr>
              <w:pStyle w:val="yTableNAm"/>
              <w:jc w:val="center"/>
            </w:pPr>
            <w:r>
              <w:rPr>
                <w:szCs w:val="22"/>
              </w:rPr>
              <w:t>700.0</w:t>
            </w:r>
          </w:p>
        </w:tc>
      </w:tr>
      <w:tr>
        <w:tc>
          <w:tcPr>
            <w:tcW w:w="781" w:type="dxa"/>
          </w:tcPr>
          <w:p>
            <w:pPr>
              <w:pStyle w:val="yTableNAm"/>
            </w:pPr>
            <w:r>
              <w:rPr>
                <w:szCs w:val="22"/>
              </w:rPr>
              <w:t>10.</w:t>
            </w:r>
          </w:p>
        </w:tc>
        <w:tc>
          <w:tcPr>
            <w:tcW w:w="4961" w:type="dxa"/>
          </w:tcPr>
          <w:p>
            <w:pPr>
              <w:pStyle w:val="yTableNAm"/>
            </w:pPr>
            <w:r>
              <w:rPr>
                <w:szCs w:val="22"/>
              </w:rPr>
              <w:t>CHLOROMETHANDIENONE</w:t>
            </w:r>
          </w:p>
        </w:tc>
        <w:tc>
          <w:tcPr>
            <w:tcW w:w="1276" w:type="dxa"/>
          </w:tcPr>
          <w:p>
            <w:pPr>
              <w:pStyle w:val="yTableNAm"/>
              <w:jc w:val="center"/>
            </w:pPr>
            <w:r>
              <w:rPr>
                <w:szCs w:val="22"/>
              </w:rPr>
              <w:t>700.0</w:t>
            </w:r>
          </w:p>
        </w:tc>
      </w:tr>
      <w:tr>
        <w:tc>
          <w:tcPr>
            <w:tcW w:w="781" w:type="dxa"/>
          </w:tcPr>
          <w:p>
            <w:pPr>
              <w:pStyle w:val="yTableNAm"/>
            </w:pPr>
            <w:r>
              <w:rPr>
                <w:szCs w:val="22"/>
              </w:rPr>
              <w:t>11.</w:t>
            </w:r>
          </w:p>
        </w:tc>
        <w:tc>
          <w:tcPr>
            <w:tcW w:w="4961" w:type="dxa"/>
          </w:tcPr>
          <w:p>
            <w:pPr>
              <w:pStyle w:val="yTableNAm"/>
            </w:pPr>
            <w:r>
              <w:rPr>
                <w:szCs w:val="22"/>
              </w:rPr>
              <w:t>CHLOROXYDIENONE</w:t>
            </w:r>
          </w:p>
        </w:tc>
        <w:tc>
          <w:tcPr>
            <w:tcW w:w="1276" w:type="dxa"/>
          </w:tcPr>
          <w:p>
            <w:pPr>
              <w:pStyle w:val="yTableNAm"/>
              <w:jc w:val="center"/>
            </w:pPr>
            <w:r>
              <w:rPr>
                <w:szCs w:val="22"/>
              </w:rPr>
              <w:t>700.0</w:t>
            </w:r>
          </w:p>
        </w:tc>
      </w:tr>
      <w:tr>
        <w:tc>
          <w:tcPr>
            <w:tcW w:w="781" w:type="dxa"/>
          </w:tcPr>
          <w:p>
            <w:pPr>
              <w:pStyle w:val="yTableNAm"/>
            </w:pPr>
            <w:r>
              <w:rPr>
                <w:szCs w:val="22"/>
              </w:rPr>
              <w:t>12.</w:t>
            </w:r>
          </w:p>
        </w:tc>
        <w:tc>
          <w:tcPr>
            <w:tcW w:w="4961" w:type="dxa"/>
          </w:tcPr>
          <w:p>
            <w:pPr>
              <w:pStyle w:val="yTableNAm"/>
            </w:pPr>
            <w:r>
              <w:rPr>
                <w:szCs w:val="22"/>
              </w:rPr>
              <w:t>CHLOROXYMESTERONE (DEHYDROCHLOROMETHYLTESTOSTERONE)</w:t>
            </w:r>
          </w:p>
        </w:tc>
        <w:tc>
          <w:tcPr>
            <w:tcW w:w="1276" w:type="dxa"/>
          </w:tcPr>
          <w:p>
            <w:pPr>
              <w:pStyle w:val="yTableNAm"/>
              <w:jc w:val="center"/>
            </w:pPr>
            <w:r>
              <w:rPr>
                <w:szCs w:val="22"/>
              </w:rPr>
              <w:br/>
              <w:t>700.0</w:t>
            </w:r>
          </w:p>
        </w:tc>
      </w:tr>
      <w:tr>
        <w:tc>
          <w:tcPr>
            <w:tcW w:w="781" w:type="dxa"/>
          </w:tcPr>
          <w:p>
            <w:pPr>
              <w:pStyle w:val="yTableNAm"/>
            </w:pPr>
            <w:r>
              <w:rPr>
                <w:szCs w:val="22"/>
              </w:rPr>
              <w:t>13.</w:t>
            </w:r>
          </w:p>
        </w:tc>
        <w:tc>
          <w:tcPr>
            <w:tcW w:w="4961" w:type="dxa"/>
          </w:tcPr>
          <w:p>
            <w:pPr>
              <w:pStyle w:val="yTableNAm"/>
            </w:pPr>
            <w:r>
              <w:rPr>
                <w:szCs w:val="22"/>
              </w:rPr>
              <w:t>CLOSTEBOL (4</w:t>
            </w:r>
            <w:r>
              <w:rPr>
                <w:szCs w:val="22"/>
              </w:rPr>
              <w:noBreakHyphen/>
              <w:t>CHLOROTESTOSTERONE)</w:t>
            </w:r>
          </w:p>
        </w:tc>
        <w:tc>
          <w:tcPr>
            <w:tcW w:w="1276" w:type="dxa"/>
          </w:tcPr>
          <w:p>
            <w:pPr>
              <w:pStyle w:val="yTableNAm"/>
              <w:jc w:val="center"/>
            </w:pPr>
            <w:r>
              <w:rPr>
                <w:szCs w:val="22"/>
              </w:rPr>
              <w:t>700.0</w:t>
            </w:r>
          </w:p>
        </w:tc>
      </w:tr>
      <w:tr>
        <w:tc>
          <w:tcPr>
            <w:tcW w:w="781" w:type="dxa"/>
          </w:tcPr>
          <w:p>
            <w:pPr>
              <w:pStyle w:val="yTableNAm"/>
            </w:pPr>
            <w:r>
              <w:rPr>
                <w:szCs w:val="22"/>
              </w:rPr>
              <w:t>14.</w:t>
            </w:r>
          </w:p>
        </w:tc>
        <w:tc>
          <w:tcPr>
            <w:tcW w:w="4961" w:type="dxa"/>
          </w:tcPr>
          <w:p>
            <w:pPr>
              <w:pStyle w:val="yTableNAm"/>
            </w:pPr>
            <w:r>
              <w:rPr>
                <w:szCs w:val="22"/>
              </w:rPr>
              <w:t>DIHYDROLONE</w:t>
            </w:r>
          </w:p>
        </w:tc>
        <w:tc>
          <w:tcPr>
            <w:tcW w:w="1276" w:type="dxa"/>
          </w:tcPr>
          <w:p>
            <w:pPr>
              <w:pStyle w:val="yTableNAm"/>
              <w:jc w:val="center"/>
            </w:pPr>
            <w:r>
              <w:rPr>
                <w:szCs w:val="22"/>
              </w:rPr>
              <w:t>700.0</w:t>
            </w:r>
          </w:p>
        </w:tc>
      </w:tr>
      <w:tr>
        <w:tc>
          <w:tcPr>
            <w:tcW w:w="781" w:type="dxa"/>
          </w:tcPr>
          <w:p>
            <w:pPr>
              <w:pStyle w:val="yTableNAm"/>
            </w:pPr>
            <w:r>
              <w:rPr>
                <w:szCs w:val="22"/>
              </w:rPr>
              <w:t>15.</w:t>
            </w:r>
          </w:p>
        </w:tc>
        <w:tc>
          <w:tcPr>
            <w:tcW w:w="4961" w:type="dxa"/>
          </w:tcPr>
          <w:p>
            <w:pPr>
              <w:pStyle w:val="yTableNAm"/>
            </w:pPr>
            <w:r>
              <w:rPr>
                <w:szCs w:val="22"/>
              </w:rPr>
              <w:t>DIMETHANDROSTANOLONE</w:t>
            </w:r>
          </w:p>
        </w:tc>
        <w:tc>
          <w:tcPr>
            <w:tcW w:w="1276" w:type="dxa"/>
          </w:tcPr>
          <w:p>
            <w:pPr>
              <w:pStyle w:val="yTableNAm"/>
              <w:jc w:val="center"/>
            </w:pPr>
            <w:r>
              <w:rPr>
                <w:szCs w:val="22"/>
              </w:rPr>
              <w:t>700.0</w:t>
            </w:r>
          </w:p>
        </w:tc>
      </w:tr>
      <w:tr>
        <w:tc>
          <w:tcPr>
            <w:tcW w:w="781" w:type="dxa"/>
          </w:tcPr>
          <w:p>
            <w:pPr>
              <w:pStyle w:val="yTableNAm"/>
            </w:pPr>
            <w:r>
              <w:rPr>
                <w:szCs w:val="22"/>
              </w:rPr>
              <w:t>16.</w:t>
            </w:r>
          </w:p>
        </w:tc>
        <w:tc>
          <w:tcPr>
            <w:tcW w:w="4961" w:type="dxa"/>
          </w:tcPr>
          <w:p>
            <w:pPr>
              <w:pStyle w:val="yTableNAm"/>
            </w:pPr>
            <w:r>
              <w:rPr>
                <w:szCs w:val="22"/>
              </w:rPr>
              <w:t>DIMETHAZINE</w:t>
            </w:r>
          </w:p>
        </w:tc>
        <w:tc>
          <w:tcPr>
            <w:tcW w:w="1276" w:type="dxa"/>
          </w:tcPr>
          <w:p>
            <w:pPr>
              <w:pStyle w:val="yTableNAm"/>
              <w:jc w:val="center"/>
            </w:pPr>
            <w:r>
              <w:rPr>
                <w:szCs w:val="22"/>
              </w:rPr>
              <w:t>700.0</w:t>
            </w:r>
          </w:p>
        </w:tc>
      </w:tr>
      <w:tr>
        <w:tc>
          <w:tcPr>
            <w:tcW w:w="781" w:type="dxa"/>
          </w:tcPr>
          <w:p>
            <w:pPr>
              <w:pStyle w:val="yTableNAm"/>
            </w:pPr>
            <w:r>
              <w:rPr>
                <w:szCs w:val="22"/>
              </w:rPr>
              <w:t>17.</w:t>
            </w:r>
          </w:p>
        </w:tc>
        <w:tc>
          <w:tcPr>
            <w:tcW w:w="4961" w:type="dxa"/>
          </w:tcPr>
          <w:p>
            <w:pPr>
              <w:pStyle w:val="yTableNAm"/>
            </w:pPr>
            <w:r>
              <w:rPr>
                <w:szCs w:val="22"/>
              </w:rPr>
              <w:t>DROSTANOLONE</w:t>
            </w:r>
          </w:p>
        </w:tc>
        <w:tc>
          <w:tcPr>
            <w:tcW w:w="1276" w:type="dxa"/>
          </w:tcPr>
          <w:p>
            <w:pPr>
              <w:pStyle w:val="yTableNAm"/>
              <w:jc w:val="center"/>
            </w:pPr>
            <w:r>
              <w:rPr>
                <w:szCs w:val="22"/>
              </w:rPr>
              <w:t>700.0</w:t>
            </w:r>
          </w:p>
        </w:tc>
      </w:tr>
      <w:tr>
        <w:tc>
          <w:tcPr>
            <w:tcW w:w="781" w:type="dxa"/>
          </w:tcPr>
          <w:p>
            <w:pPr>
              <w:pStyle w:val="yTableNAm"/>
            </w:pPr>
            <w:r>
              <w:rPr>
                <w:szCs w:val="22"/>
              </w:rPr>
              <w:t>18.</w:t>
            </w:r>
          </w:p>
        </w:tc>
        <w:tc>
          <w:tcPr>
            <w:tcW w:w="4961" w:type="dxa"/>
          </w:tcPr>
          <w:p>
            <w:pPr>
              <w:pStyle w:val="yTableNAm"/>
            </w:pPr>
            <w:r>
              <w:rPr>
                <w:szCs w:val="22"/>
              </w:rPr>
              <w:t>ENESTEBOL</w:t>
            </w:r>
          </w:p>
        </w:tc>
        <w:tc>
          <w:tcPr>
            <w:tcW w:w="1276" w:type="dxa"/>
          </w:tcPr>
          <w:p>
            <w:pPr>
              <w:pStyle w:val="yTableNAm"/>
              <w:jc w:val="center"/>
            </w:pPr>
            <w:r>
              <w:rPr>
                <w:szCs w:val="22"/>
              </w:rPr>
              <w:t>700.0</w:t>
            </w:r>
          </w:p>
        </w:tc>
      </w:tr>
      <w:tr>
        <w:tc>
          <w:tcPr>
            <w:tcW w:w="781" w:type="dxa"/>
          </w:tcPr>
          <w:p>
            <w:pPr>
              <w:pStyle w:val="yTableNAm"/>
            </w:pPr>
            <w:r>
              <w:rPr>
                <w:szCs w:val="22"/>
              </w:rPr>
              <w:t>19.</w:t>
            </w:r>
          </w:p>
        </w:tc>
        <w:tc>
          <w:tcPr>
            <w:tcW w:w="4961" w:type="dxa"/>
          </w:tcPr>
          <w:p>
            <w:pPr>
              <w:pStyle w:val="yTableNAm"/>
            </w:pPr>
            <w:r>
              <w:rPr>
                <w:szCs w:val="22"/>
              </w:rPr>
              <w:t>EPITIOSTANOL</w:t>
            </w:r>
          </w:p>
        </w:tc>
        <w:tc>
          <w:tcPr>
            <w:tcW w:w="1276" w:type="dxa"/>
          </w:tcPr>
          <w:p>
            <w:pPr>
              <w:pStyle w:val="yTableNAm"/>
              <w:jc w:val="center"/>
            </w:pPr>
            <w:r>
              <w:rPr>
                <w:szCs w:val="22"/>
              </w:rPr>
              <w:t>700.0</w:t>
            </w:r>
          </w:p>
        </w:tc>
      </w:tr>
      <w:tr>
        <w:tc>
          <w:tcPr>
            <w:tcW w:w="781" w:type="dxa"/>
          </w:tcPr>
          <w:p>
            <w:pPr>
              <w:pStyle w:val="yTableNAm"/>
            </w:pPr>
            <w:r>
              <w:rPr>
                <w:szCs w:val="22"/>
              </w:rPr>
              <w:t>20.</w:t>
            </w:r>
          </w:p>
        </w:tc>
        <w:tc>
          <w:tcPr>
            <w:tcW w:w="4961" w:type="dxa"/>
          </w:tcPr>
          <w:p>
            <w:pPr>
              <w:pStyle w:val="yTableNAm"/>
            </w:pPr>
            <w:r>
              <w:rPr>
                <w:szCs w:val="22"/>
              </w:rPr>
              <w:t>ETHYLDIENOLONE</w:t>
            </w:r>
          </w:p>
        </w:tc>
        <w:tc>
          <w:tcPr>
            <w:tcW w:w="1276" w:type="dxa"/>
          </w:tcPr>
          <w:p>
            <w:pPr>
              <w:pStyle w:val="yTableNAm"/>
              <w:jc w:val="center"/>
            </w:pPr>
            <w:r>
              <w:rPr>
                <w:szCs w:val="22"/>
              </w:rPr>
              <w:t>700.0</w:t>
            </w:r>
          </w:p>
        </w:tc>
      </w:tr>
      <w:tr>
        <w:tc>
          <w:tcPr>
            <w:tcW w:w="781" w:type="dxa"/>
          </w:tcPr>
          <w:p>
            <w:pPr>
              <w:pStyle w:val="yTableNAm"/>
            </w:pPr>
            <w:r>
              <w:rPr>
                <w:szCs w:val="22"/>
              </w:rPr>
              <w:t>21.</w:t>
            </w:r>
          </w:p>
        </w:tc>
        <w:tc>
          <w:tcPr>
            <w:tcW w:w="4961" w:type="dxa"/>
          </w:tcPr>
          <w:p>
            <w:pPr>
              <w:pStyle w:val="yTableNAm"/>
            </w:pPr>
            <w:r>
              <w:rPr>
                <w:szCs w:val="22"/>
              </w:rPr>
              <w:t>ETHYLOESTRENOL</w:t>
            </w:r>
          </w:p>
        </w:tc>
        <w:tc>
          <w:tcPr>
            <w:tcW w:w="1276" w:type="dxa"/>
          </w:tcPr>
          <w:p>
            <w:pPr>
              <w:pStyle w:val="yTableNAm"/>
              <w:jc w:val="center"/>
            </w:pPr>
            <w:r>
              <w:rPr>
                <w:szCs w:val="22"/>
              </w:rPr>
              <w:t>700.0</w:t>
            </w:r>
          </w:p>
        </w:tc>
      </w:tr>
      <w:tr>
        <w:tc>
          <w:tcPr>
            <w:tcW w:w="781" w:type="dxa"/>
          </w:tcPr>
          <w:p>
            <w:pPr>
              <w:pStyle w:val="yTableNAm"/>
            </w:pPr>
            <w:r>
              <w:rPr>
                <w:szCs w:val="22"/>
              </w:rPr>
              <w:lastRenderedPageBreak/>
              <w:t>22.</w:t>
            </w:r>
          </w:p>
        </w:tc>
        <w:tc>
          <w:tcPr>
            <w:tcW w:w="4961" w:type="dxa"/>
          </w:tcPr>
          <w:p>
            <w:pPr>
              <w:pStyle w:val="yTableNAm"/>
            </w:pPr>
            <w:r>
              <w:rPr>
                <w:szCs w:val="22"/>
              </w:rPr>
              <w:t>FLUOXYMESTERONE</w:t>
            </w:r>
          </w:p>
        </w:tc>
        <w:tc>
          <w:tcPr>
            <w:tcW w:w="1276" w:type="dxa"/>
          </w:tcPr>
          <w:p>
            <w:pPr>
              <w:pStyle w:val="yTableNAm"/>
              <w:jc w:val="center"/>
            </w:pPr>
            <w:r>
              <w:rPr>
                <w:szCs w:val="22"/>
              </w:rPr>
              <w:t>700.0</w:t>
            </w:r>
          </w:p>
        </w:tc>
      </w:tr>
      <w:tr>
        <w:tc>
          <w:tcPr>
            <w:tcW w:w="781" w:type="dxa"/>
          </w:tcPr>
          <w:p>
            <w:pPr>
              <w:pStyle w:val="yTableNAm"/>
            </w:pPr>
            <w:r>
              <w:rPr>
                <w:szCs w:val="22"/>
              </w:rPr>
              <w:t>23.</w:t>
            </w:r>
          </w:p>
        </w:tc>
        <w:tc>
          <w:tcPr>
            <w:tcW w:w="4961" w:type="dxa"/>
          </w:tcPr>
          <w:p>
            <w:pPr>
              <w:pStyle w:val="yTableNAm"/>
            </w:pPr>
            <w:r>
              <w:rPr>
                <w:szCs w:val="22"/>
              </w:rPr>
              <w:t>FORMEBOLONE</w:t>
            </w:r>
          </w:p>
        </w:tc>
        <w:tc>
          <w:tcPr>
            <w:tcW w:w="1276" w:type="dxa"/>
          </w:tcPr>
          <w:p>
            <w:pPr>
              <w:pStyle w:val="yTableNAm"/>
              <w:jc w:val="center"/>
            </w:pPr>
            <w:r>
              <w:rPr>
                <w:szCs w:val="22"/>
              </w:rPr>
              <w:t>700.0</w:t>
            </w:r>
          </w:p>
        </w:tc>
      </w:tr>
      <w:tr>
        <w:tc>
          <w:tcPr>
            <w:tcW w:w="781" w:type="dxa"/>
          </w:tcPr>
          <w:p>
            <w:pPr>
              <w:pStyle w:val="yTableNAm"/>
            </w:pPr>
            <w:r>
              <w:rPr>
                <w:szCs w:val="22"/>
              </w:rPr>
              <w:t>24.</w:t>
            </w:r>
          </w:p>
        </w:tc>
        <w:tc>
          <w:tcPr>
            <w:tcW w:w="4961" w:type="dxa"/>
          </w:tcPr>
          <w:p>
            <w:pPr>
              <w:pStyle w:val="yTableNAm"/>
            </w:pPr>
            <w:r>
              <w:rPr>
                <w:szCs w:val="22"/>
              </w:rPr>
              <w:t>FORMYLDIENOLONE</w:t>
            </w:r>
          </w:p>
        </w:tc>
        <w:tc>
          <w:tcPr>
            <w:tcW w:w="1276" w:type="dxa"/>
          </w:tcPr>
          <w:p>
            <w:pPr>
              <w:pStyle w:val="yTableNAm"/>
              <w:jc w:val="center"/>
            </w:pPr>
            <w:r>
              <w:rPr>
                <w:szCs w:val="22"/>
              </w:rPr>
              <w:t>700.0</w:t>
            </w:r>
          </w:p>
        </w:tc>
      </w:tr>
      <w:tr>
        <w:tc>
          <w:tcPr>
            <w:tcW w:w="781" w:type="dxa"/>
          </w:tcPr>
          <w:p>
            <w:pPr>
              <w:pStyle w:val="yTableNAm"/>
            </w:pPr>
            <w:r>
              <w:rPr>
                <w:szCs w:val="22"/>
              </w:rPr>
              <w:t>25.</w:t>
            </w:r>
          </w:p>
        </w:tc>
        <w:tc>
          <w:tcPr>
            <w:tcW w:w="4961" w:type="dxa"/>
          </w:tcPr>
          <w:p>
            <w:pPr>
              <w:pStyle w:val="yTableNAm"/>
            </w:pPr>
            <w:r>
              <w:rPr>
                <w:szCs w:val="22"/>
              </w:rPr>
              <w:t>FURAZABOL</w:t>
            </w:r>
          </w:p>
        </w:tc>
        <w:tc>
          <w:tcPr>
            <w:tcW w:w="1276" w:type="dxa"/>
          </w:tcPr>
          <w:p>
            <w:pPr>
              <w:pStyle w:val="yTableNAm"/>
              <w:jc w:val="center"/>
            </w:pPr>
            <w:r>
              <w:rPr>
                <w:szCs w:val="22"/>
              </w:rPr>
              <w:t>700.0</w:t>
            </w:r>
          </w:p>
        </w:tc>
      </w:tr>
      <w:tr>
        <w:tc>
          <w:tcPr>
            <w:tcW w:w="781" w:type="dxa"/>
          </w:tcPr>
          <w:p>
            <w:pPr>
              <w:pStyle w:val="yTableNAm"/>
            </w:pPr>
            <w:r>
              <w:rPr>
                <w:szCs w:val="22"/>
              </w:rPr>
              <w:t>26.</w:t>
            </w:r>
          </w:p>
        </w:tc>
        <w:tc>
          <w:tcPr>
            <w:tcW w:w="4961" w:type="dxa"/>
          </w:tcPr>
          <w:p>
            <w:pPr>
              <w:pStyle w:val="yTableNAm"/>
            </w:pPr>
            <w:r>
              <w:rPr>
                <w:szCs w:val="22"/>
              </w:rPr>
              <w:t>HYDROXYSTENOZOL</w:t>
            </w:r>
          </w:p>
        </w:tc>
        <w:tc>
          <w:tcPr>
            <w:tcW w:w="1276" w:type="dxa"/>
          </w:tcPr>
          <w:p>
            <w:pPr>
              <w:pStyle w:val="yTableNAm"/>
              <w:jc w:val="center"/>
            </w:pPr>
            <w:r>
              <w:rPr>
                <w:szCs w:val="22"/>
              </w:rPr>
              <w:t>700.0</w:t>
            </w:r>
          </w:p>
        </w:tc>
      </w:tr>
      <w:tr>
        <w:tc>
          <w:tcPr>
            <w:tcW w:w="781" w:type="dxa"/>
          </w:tcPr>
          <w:p>
            <w:pPr>
              <w:pStyle w:val="yTableNAm"/>
            </w:pPr>
            <w:r>
              <w:rPr>
                <w:szCs w:val="22"/>
              </w:rPr>
              <w:t>27.</w:t>
            </w:r>
          </w:p>
        </w:tc>
        <w:tc>
          <w:tcPr>
            <w:tcW w:w="4961" w:type="dxa"/>
          </w:tcPr>
          <w:p>
            <w:pPr>
              <w:pStyle w:val="yTableNAm"/>
            </w:pPr>
            <w:r>
              <w:rPr>
                <w:szCs w:val="22"/>
              </w:rPr>
              <w:t>MEBOLAZINE</w:t>
            </w:r>
          </w:p>
        </w:tc>
        <w:tc>
          <w:tcPr>
            <w:tcW w:w="1276" w:type="dxa"/>
          </w:tcPr>
          <w:p>
            <w:pPr>
              <w:pStyle w:val="yTableNAm"/>
              <w:jc w:val="center"/>
            </w:pPr>
            <w:r>
              <w:rPr>
                <w:szCs w:val="22"/>
              </w:rPr>
              <w:t>700.0</w:t>
            </w:r>
          </w:p>
        </w:tc>
      </w:tr>
      <w:tr>
        <w:tc>
          <w:tcPr>
            <w:tcW w:w="781" w:type="dxa"/>
          </w:tcPr>
          <w:p>
            <w:pPr>
              <w:pStyle w:val="yTableNAm"/>
            </w:pPr>
            <w:r>
              <w:rPr>
                <w:szCs w:val="22"/>
              </w:rPr>
              <w:t>28.</w:t>
            </w:r>
          </w:p>
        </w:tc>
        <w:tc>
          <w:tcPr>
            <w:tcW w:w="4961" w:type="dxa"/>
          </w:tcPr>
          <w:p>
            <w:pPr>
              <w:pStyle w:val="yTableNAm"/>
            </w:pPr>
            <w:r>
              <w:rPr>
                <w:szCs w:val="22"/>
              </w:rPr>
              <w:t>MEPITIOSTANE</w:t>
            </w:r>
          </w:p>
        </w:tc>
        <w:tc>
          <w:tcPr>
            <w:tcW w:w="1276" w:type="dxa"/>
          </w:tcPr>
          <w:p>
            <w:pPr>
              <w:pStyle w:val="yTableNAm"/>
              <w:jc w:val="center"/>
            </w:pPr>
            <w:r>
              <w:rPr>
                <w:szCs w:val="22"/>
              </w:rPr>
              <w:t>700.0</w:t>
            </w:r>
          </w:p>
        </w:tc>
      </w:tr>
      <w:tr>
        <w:tc>
          <w:tcPr>
            <w:tcW w:w="781" w:type="dxa"/>
          </w:tcPr>
          <w:p>
            <w:pPr>
              <w:pStyle w:val="yTableNAm"/>
            </w:pPr>
            <w:r>
              <w:rPr>
                <w:szCs w:val="22"/>
              </w:rPr>
              <w:t>29.</w:t>
            </w:r>
          </w:p>
        </w:tc>
        <w:tc>
          <w:tcPr>
            <w:tcW w:w="4961" w:type="dxa"/>
          </w:tcPr>
          <w:p>
            <w:pPr>
              <w:pStyle w:val="yTableNAm"/>
            </w:pPr>
            <w:r>
              <w:rPr>
                <w:szCs w:val="22"/>
              </w:rPr>
              <w:t>MESABOLONE</w:t>
            </w:r>
          </w:p>
        </w:tc>
        <w:tc>
          <w:tcPr>
            <w:tcW w:w="1276" w:type="dxa"/>
          </w:tcPr>
          <w:p>
            <w:pPr>
              <w:pStyle w:val="yTableNAm"/>
              <w:jc w:val="center"/>
            </w:pPr>
            <w:r>
              <w:rPr>
                <w:szCs w:val="22"/>
              </w:rPr>
              <w:t>700.0</w:t>
            </w:r>
          </w:p>
        </w:tc>
      </w:tr>
      <w:tr>
        <w:tc>
          <w:tcPr>
            <w:tcW w:w="781" w:type="dxa"/>
          </w:tcPr>
          <w:p>
            <w:pPr>
              <w:pStyle w:val="yTableNAm"/>
            </w:pPr>
            <w:r>
              <w:rPr>
                <w:szCs w:val="22"/>
              </w:rPr>
              <w:t>30.</w:t>
            </w:r>
          </w:p>
        </w:tc>
        <w:tc>
          <w:tcPr>
            <w:tcW w:w="4961" w:type="dxa"/>
          </w:tcPr>
          <w:p>
            <w:pPr>
              <w:pStyle w:val="yTableNAm"/>
            </w:pPr>
            <w:r>
              <w:rPr>
                <w:szCs w:val="22"/>
              </w:rPr>
              <w:t>MESTANOLONE(ANDROSTALONE)</w:t>
            </w:r>
          </w:p>
        </w:tc>
        <w:tc>
          <w:tcPr>
            <w:tcW w:w="1276" w:type="dxa"/>
          </w:tcPr>
          <w:p>
            <w:pPr>
              <w:pStyle w:val="yTableNAm"/>
              <w:jc w:val="center"/>
            </w:pPr>
            <w:r>
              <w:rPr>
                <w:szCs w:val="22"/>
              </w:rPr>
              <w:t>700.0</w:t>
            </w:r>
          </w:p>
        </w:tc>
      </w:tr>
      <w:tr>
        <w:tc>
          <w:tcPr>
            <w:tcW w:w="781" w:type="dxa"/>
          </w:tcPr>
          <w:p>
            <w:pPr>
              <w:pStyle w:val="yTableNAm"/>
            </w:pPr>
            <w:r>
              <w:rPr>
                <w:szCs w:val="22"/>
              </w:rPr>
              <w:t>31.</w:t>
            </w:r>
          </w:p>
        </w:tc>
        <w:tc>
          <w:tcPr>
            <w:tcW w:w="4961" w:type="dxa"/>
          </w:tcPr>
          <w:p>
            <w:pPr>
              <w:pStyle w:val="yTableNAm"/>
            </w:pPr>
            <w:r>
              <w:rPr>
                <w:szCs w:val="22"/>
              </w:rPr>
              <w:t>MESTEROLONE</w:t>
            </w:r>
          </w:p>
        </w:tc>
        <w:tc>
          <w:tcPr>
            <w:tcW w:w="1276" w:type="dxa"/>
          </w:tcPr>
          <w:p>
            <w:pPr>
              <w:pStyle w:val="yTableNAm"/>
              <w:jc w:val="center"/>
            </w:pPr>
            <w:r>
              <w:rPr>
                <w:szCs w:val="22"/>
              </w:rPr>
              <w:t>700.0</w:t>
            </w:r>
          </w:p>
        </w:tc>
      </w:tr>
      <w:tr>
        <w:tc>
          <w:tcPr>
            <w:tcW w:w="781" w:type="dxa"/>
          </w:tcPr>
          <w:p>
            <w:pPr>
              <w:pStyle w:val="yTableNAm"/>
            </w:pPr>
            <w:r>
              <w:rPr>
                <w:szCs w:val="22"/>
              </w:rPr>
              <w:t>32.</w:t>
            </w:r>
          </w:p>
        </w:tc>
        <w:tc>
          <w:tcPr>
            <w:tcW w:w="4961" w:type="dxa"/>
          </w:tcPr>
          <w:p>
            <w:pPr>
              <w:pStyle w:val="yTableNAm"/>
            </w:pPr>
            <w:r>
              <w:rPr>
                <w:szCs w:val="22"/>
              </w:rPr>
              <w:t>METHANDIENONE</w:t>
            </w:r>
          </w:p>
        </w:tc>
        <w:tc>
          <w:tcPr>
            <w:tcW w:w="1276" w:type="dxa"/>
          </w:tcPr>
          <w:p>
            <w:pPr>
              <w:pStyle w:val="yTableNAm"/>
              <w:jc w:val="center"/>
            </w:pPr>
            <w:r>
              <w:rPr>
                <w:szCs w:val="22"/>
              </w:rPr>
              <w:t>700.0</w:t>
            </w:r>
          </w:p>
        </w:tc>
      </w:tr>
      <w:tr>
        <w:tc>
          <w:tcPr>
            <w:tcW w:w="781" w:type="dxa"/>
          </w:tcPr>
          <w:p>
            <w:pPr>
              <w:pStyle w:val="yTableNAm"/>
            </w:pPr>
            <w:r>
              <w:rPr>
                <w:szCs w:val="22"/>
              </w:rPr>
              <w:t>33.</w:t>
            </w:r>
          </w:p>
        </w:tc>
        <w:tc>
          <w:tcPr>
            <w:tcW w:w="4961" w:type="dxa"/>
          </w:tcPr>
          <w:p>
            <w:pPr>
              <w:pStyle w:val="yTableNAm"/>
            </w:pPr>
            <w:r>
              <w:rPr>
                <w:szCs w:val="22"/>
              </w:rPr>
              <w:t>METHANDRIOL</w:t>
            </w:r>
          </w:p>
        </w:tc>
        <w:tc>
          <w:tcPr>
            <w:tcW w:w="1276" w:type="dxa"/>
          </w:tcPr>
          <w:p>
            <w:pPr>
              <w:pStyle w:val="yTableNAm"/>
              <w:jc w:val="center"/>
            </w:pPr>
            <w:r>
              <w:rPr>
                <w:szCs w:val="22"/>
              </w:rPr>
              <w:t>700.0</w:t>
            </w:r>
          </w:p>
        </w:tc>
      </w:tr>
      <w:tr>
        <w:tc>
          <w:tcPr>
            <w:tcW w:w="781" w:type="dxa"/>
          </w:tcPr>
          <w:p>
            <w:pPr>
              <w:pStyle w:val="yTableNAm"/>
            </w:pPr>
            <w:r>
              <w:rPr>
                <w:szCs w:val="22"/>
              </w:rPr>
              <w:t>34.</w:t>
            </w:r>
          </w:p>
        </w:tc>
        <w:tc>
          <w:tcPr>
            <w:tcW w:w="4961" w:type="dxa"/>
          </w:tcPr>
          <w:p>
            <w:pPr>
              <w:pStyle w:val="yTableNAm"/>
            </w:pPr>
            <w:r>
              <w:rPr>
                <w:szCs w:val="22"/>
              </w:rPr>
              <w:t>METHENOLONE</w:t>
            </w:r>
          </w:p>
        </w:tc>
        <w:tc>
          <w:tcPr>
            <w:tcW w:w="1276" w:type="dxa"/>
          </w:tcPr>
          <w:p>
            <w:pPr>
              <w:pStyle w:val="yTableNAm"/>
              <w:jc w:val="center"/>
            </w:pPr>
            <w:r>
              <w:rPr>
                <w:szCs w:val="22"/>
              </w:rPr>
              <w:t>700.0</w:t>
            </w:r>
          </w:p>
        </w:tc>
      </w:tr>
      <w:tr>
        <w:tc>
          <w:tcPr>
            <w:tcW w:w="781" w:type="dxa"/>
          </w:tcPr>
          <w:p>
            <w:pPr>
              <w:pStyle w:val="yTableNAm"/>
            </w:pPr>
            <w:r>
              <w:rPr>
                <w:szCs w:val="22"/>
              </w:rPr>
              <w:t>35.</w:t>
            </w:r>
          </w:p>
        </w:tc>
        <w:tc>
          <w:tcPr>
            <w:tcW w:w="4961" w:type="dxa"/>
          </w:tcPr>
          <w:p>
            <w:pPr>
              <w:pStyle w:val="yTableNAm"/>
            </w:pPr>
            <w:r>
              <w:rPr>
                <w:szCs w:val="22"/>
              </w:rPr>
              <w:t>METHYLANDROSTANOLONE</w:t>
            </w:r>
          </w:p>
        </w:tc>
        <w:tc>
          <w:tcPr>
            <w:tcW w:w="1276" w:type="dxa"/>
          </w:tcPr>
          <w:p>
            <w:pPr>
              <w:pStyle w:val="yTableNAm"/>
              <w:jc w:val="center"/>
            </w:pPr>
            <w:r>
              <w:rPr>
                <w:szCs w:val="22"/>
              </w:rPr>
              <w:t>700.0</w:t>
            </w:r>
          </w:p>
        </w:tc>
      </w:tr>
      <w:tr>
        <w:tc>
          <w:tcPr>
            <w:tcW w:w="781" w:type="dxa"/>
          </w:tcPr>
          <w:p>
            <w:pPr>
              <w:pStyle w:val="yTableNAm"/>
            </w:pPr>
            <w:r>
              <w:rPr>
                <w:szCs w:val="22"/>
              </w:rPr>
              <w:t>36.</w:t>
            </w:r>
          </w:p>
        </w:tc>
        <w:tc>
          <w:tcPr>
            <w:tcW w:w="4961" w:type="dxa"/>
          </w:tcPr>
          <w:p>
            <w:pPr>
              <w:pStyle w:val="yTableNAm"/>
            </w:pPr>
            <w:r>
              <w:rPr>
                <w:szCs w:val="22"/>
              </w:rPr>
              <w:t>METHYLCLOSTEBOL</w:t>
            </w:r>
          </w:p>
        </w:tc>
        <w:tc>
          <w:tcPr>
            <w:tcW w:w="1276" w:type="dxa"/>
          </w:tcPr>
          <w:p>
            <w:pPr>
              <w:pStyle w:val="yTableNAm"/>
              <w:jc w:val="center"/>
            </w:pPr>
            <w:r>
              <w:rPr>
                <w:szCs w:val="22"/>
              </w:rPr>
              <w:t>700.0</w:t>
            </w:r>
          </w:p>
        </w:tc>
      </w:tr>
      <w:tr>
        <w:tc>
          <w:tcPr>
            <w:tcW w:w="781" w:type="dxa"/>
          </w:tcPr>
          <w:p>
            <w:pPr>
              <w:pStyle w:val="yTableNAm"/>
            </w:pPr>
            <w:r>
              <w:rPr>
                <w:szCs w:val="22"/>
              </w:rPr>
              <w:t>37.</w:t>
            </w:r>
          </w:p>
        </w:tc>
        <w:tc>
          <w:tcPr>
            <w:tcW w:w="4961" w:type="dxa"/>
          </w:tcPr>
          <w:p>
            <w:pPr>
              <w:pStyle w:val="yTableNAm"/>
            </w:pPr>
            <w:r>
              <w:rPr>
                <w:szCs w:val="22"/>
              </w:rPr>
              <w:t>METHYLTESTOSTERONE</w:t>
            </w:r>
          </w:p>
        </w:tc>
        <w:tc>
          <w:tcPr>
            <w:tcW w:w="1276" w:type="dxa"/>
          </w:tcPr>
          <w:p>
            <w:pPr>
              <w:pStyle w:val="yTableNAm"/>
              <w:jc w:val="center"/>
            </w:pPr>
            <w:r>
              <w:rPr>
                <w:szCs w:val="22"/>
              </w:rPr>
              <w:t>700.0</w:t>
            </w:r>
          </w:p>
        </w:tc>
      </w:tr>
      <w:tr>
        <w:tc>
          <w:tcPr>
            <w:tcW w:w="781" w:type="dxa"/>
          </w:tcPr>
          <w:p>
            <w:pPr>
              <w:pStyle w:val="yTableNAm"/>
            </w:pPr>
            <w:r>
              <w:rPr>
                <w:szCs w:val="22"/>
              </w:rPr>
              <w:t>38.</w:t>
            </w:r>
          </w:p>
        </w:tc>
        <w:tc>
          <w:tcPr>
            <w:tcW w:w="4961" w:type="dxa"/>
          </w:tcPr>
          <w:p>
            <w:pPr>
              <w:pStyle w:val="yTableNAm"/>
            </w:pPr>
            <w:r>
              <w:rPr>
                <w:szCs w:val="22"/>
              </w:rPr>
              <w:t>METHYLTRIENOLONE</w:t>
            </w:r>
          </w:p>
        </w:tc>
        <w:tc>
          <w:tcPr>
            <w:tcW w:w="1276" w:type="dxa"/>
          </w:tcPr>
          <w:p>
            <w:pPr>
              <w:pStyle w:val="yTableNAm"/>
              <w:jc w:val="center"/>
            </w:pPr>
            <w:r>
              <w:rPr>
                <w:szCs w:val="22"/>
              </w:rPr>
              <w:t>700.0</w:t>
            </w:r>
          </w:p>
        </w:tc>
      </w:tr>
      <w:tr>
        <w:tc>
          <w:tcPr>
            <w:tcW w:w="781" w:type="dxa"/>
          </w:tcPr>
          <w:p>
            <w:pPr>
              <w:pStyle w:val="yTableNAm"/>
            </w:pPr>
            <w:r>
              <w:rPr>
                <w:szCs w:val="22"/>
              </w:rPr>
              <w:lastRenderedPageBreak/>
              <w:t>39.</w:t>
            </w:r>
          </w:p>
        </w:tc>
        <w:tc>
          <w:tcPr>
            <w:tcW w:w="4961" w:type="dxa"/>
          </w:tcPr>
          <w:p>
            <w:pPr>
              <w:pStyle w:val="yTableNAm"/>
            </w:pPr>
            <w:r>
              <w:rPr>
                <w:szCs w:val="22"/>
              </w:rPr>
              <w:t>METRIBOLONE</w:t>
            </w:r>
          </w:p>
        </w:tc>
        <w:tc>
          <w:tcPr>
            <w:tcW w:w="1276" w:type="dxa"/>
          </w:tcPr>
          <w:p>
            <w:pPr>
              <w:pStyle w:val="yTableNAm"/>
              <w:jc w:val="center"/>
            </w:pPr>
            <w:r>
              <w:rPr>
                <w:szCs w:val="22"/>
              </w:rPr>
              <w:t>700.0</w:t>
            </w:r>
          </w:p>
        </w:tc>
      </w:tr>
      <w:tr>
        <w:tc>
          <w:tcPr>
            <w:tcW w:w="781" w:type="dxa"/>
          </w:tcPr>
          <w:p>
            <w:pPr>
              <w:pStyle w:val="yTableNAm"/>
            </w:pPr>
            <w:r>
              <w:rPr>
                <w:szCs w:val="22"/>
              </w:rPr>
              <w:t>40.</w:t>
            </w:r>
          </w:p>
        </w:tc>
        <w:tc>
          <w:tcPr>
            <w:tcW w:w="4961" w:type="dxa"/>
          </w:tcPr>
          <w:p>
            <w:pPr>
              <w:pStyle w:val="yTableNAm"/>
            </w:pPr>
            <w:r>
              <w:rPr>
                <w:szCs w:val="22"/>
              </w:rPr>
              <w:t>MIBOLERONE</w:t>
            </w:r>
          </w:p>
        </w:tc>
        <w:tc>
          <w:tcPr>
            <w:tcW w:w="1276" w:type="dxa"/>
          </w:tcPr>
          <w:p>
            <w:pPr>
              <w:pStyle w:val="yTableNAm"/>
              <w:jc w:val="center"/>
            </w:pPr>
            <w:r>
              <w:rPr>
                <w:szCs w:val="22"/>
              </w:rPr>
              <w:t>700.0</w:t>
            </w:r>
          </w:p>
        </w:tc>
      </w:tr>
      <w:tr>
        <w:tc>
          <w:tcPr>
            <w:tcW w:w="781" w:type="dxa"/>
          </w:tcPr>
          <w:p>
            <w:pPr>
              <w:pStyle w:val="yTableNAm"/>
            </w:pPr>
            <w:r>
              <w:rPr>
                <w:szCs w:val="22"/>
              </w:rPr>
              <w:t>41.</w:t>
            </w:r>
          </w:p>
        </w:tc>
        <w:tc>
          <w:tcPr>
            <w:tcW w:w="4961" w:type="dxa"/>
          </w:tcPr>
          <w:p>
            <w:pPr>
              <w:pStyle w:val="yTableNAm"/>
            </w:pPr>
            <w:r>
              <w:rPr>
                <w:szCs w:val="22"/>
              </w:rPr>
              <w:t>NANDROLONE</w:t>
            </w:r>
          </w:p>
        </w:tc>
        <w:tc>
          <w:tcPr>
            <w:tcW w:w="1276" w:type="dxa"/>
          </w:tcPr>
          <w:p>
            <w:pPr>
              <w:pStyle w:val="yTableNAm"/>
              <w:jc w:val="center"/>
            </w:pPr>
            <w:r>
              <w:rPr>
                <w:szCs w:val="22"/>
              </w:rPr>
              <w:t>700.0</w:t>
            </w:r>
          </w:p>
        </w:tc>
      </w:tr>
      <w:tr>
        <w:tc>
          <w:tcPr>
            <w:tcW w:w="781" w:type="dxa"/>
          </w:tcPr>
          <w:p>
            <w:pPr>
              <w:pStyle w:val="yTableNAm"/>
            </w:pPr>
            <w:r>
              <w:rPr>
                <w:szCs w:val="22"/>
              </w:rPr>
              <w:t>42.</w:t>
            </w:r>
          </w:p>
        </w:tc>
        <w:tc>
          <w:tcPr>
            <w:tcW w:w="4961" w:type="dxa"/>
          </w:tcPr>
          <w:p>
            <w:pPr>
              <w:pStyle w:val="yTableNAm"/>
            </w:pPr>
            <w:r>
              <w:rPr>
                <w:szCs w:val="22"/>
              </w:rPr>
              <w:t>NORANDROSTENOLONE</w:t>
            </w:r>
          </w:p>
        </w:tc>
        <w:tc>
          <w:tcPr>
            <w:tcW w:w="1276" w:type="dxa"/>
          </w:tcPr>
          <w:p>
            <w:pPr>
              <w:pStyle w:val="yTableNAm"/>
              <w:jc w:val="center"/>
            </w:pPr>
            <w:r>
              <w:rPr>
                <w:szCs w:val="22"/>
              </w:rPr>
              <w:t>700.0</w:t>
            </w:r>
          </w:p>
        </w:tc>
      </w:tr>
      <w:tr>
        <w:tc>
          <w:tcPr>
            <w:tcW w:w="781" w:type="dxa"/>
          </w:tcPr>
          <w:p>
            <w:pPr>
              <w:pStyle w:val="yTableNAm"/>
            </w:pPr>
            <w:r>
              <w:rPr>
                <w:szCs w:val="22"/>
              </w:rPr>
              <w:t>43.</w:t>
            </w:r>
          </w:p>
        </w:tc>
        <w:tc>
          <w:tcPr>
            <w:tcW w:w="4961" w:type="dxa"/>
          </w:tcPr>
          <w:p>
            <w:pPr>
              <w:pStyle w:val="yTableNAm"/>
            </w:pPr>
            <w:r>
              <w:rPr>
                <w:szCs w:val="22"/>
              </w:rPr>
              <w:t>NORBOLETHONE</w:t>
            </w:r>
          </w:p>
        </w:tc>
        <w:tc>
          <w:tcPr>
            <w:tcW w:w="1276" w:type="dxa"/>
          </w:tcPr>
          <w:p>
            <w:pPr>
              <w:pStyle w:val="yTableNAm"/>
              <w:jc w:val="center"/>
            </w:pPr>
            <w:r>
              <w:rPr>
                <w:szCs w:val="22"/>
              </w:rPr>
              <w:t>700.0</w:t>
            </w:r>
          </w:p>
        </w:tc>
      </w:tr>
      <w:tr>
        <w:tc>
          <w:tcPr>
            <w:tcW w:w="781" w:type="dxa"/>
          </w:tcPr>
          <w:p>
            <w:pPr>
              <w:pStyle w:val="yTableNAm"/>
            </w:pPr>
            <w:r>
              <w:rPr>
                <w:szCs w:val="22"/>
              </w:rPr>
              <w:t>44.</w:t>
            </w:r>
          </w:p>
        </w:tc>
        <w:tc>
          <w:tcPr>
            <w:tcW w:w="4961" w:type="dxa"/>
          </w:tcPr>
          <w:p>
            <w:pPr>
              <w:pStyle w:val="yTableNAm"/>
            </w:pPr>
            <w:r>
              <w:rPr>
                <w:szCs w:val="22"/>
              </w:rPr>
              <w:t>NORCLOSTEBOL</w:t>
            </w:r>
          </w:p>
        </w:tc>
        <w:tc>
          <w:tcPr>
            <w:tcW w:w="1276" w:type="dxa"/>
          </w:tcPr>
          <w:p>
            <w:pPr>
              <w:pStyle w:val="yTableNAm"/>
              <w:jc w:val="center"/>
            </w:pPr>
            <w:r>
              <w:rPr>
                <w:szCs w:val="22"/>
              </w:rPr>
              <w:t>700.0</w:t>
            </w:r>
          </w:p>
        </w:tc>
      </w:tr>
      <w:tr>
        <w:tc>
          <w:tcPr>
            <w:tcW w:w="781" w:type="dxa"/>
          </w:tcPr>
          <w:p>
            <w:pPr>
              <w:pStyle w:val="yTableNAm"/>
            </w:pPr>
            <w:r>
              <w:rPr>
                <w:szCs w:val="22"/>
              </w:rPr>
              <w:t>45.</w:t>
            </w:r>
          </w:p>
        </w:tc>
        <w:tc>
          <w:tcPr>
            <w:tcW w:w="4961" w:type="dxa"/>
          </w:tcPr>
          <w:p>
            <w:pPr>
              <w:pStyle w:val="yTableNAm"/>
            </w:pPr>
            <w:r>
              <w:rPr>
                <w:szCs w:val="22"/>
              </w:rPr>
              <w:t>NORETHANDROLONE</w:t>
            </w:r>
          </w:p>
        </w:tc>
        <w:tc>
          <w:tcPr>
            <w:tcW w:w="1276" w:type="dxa"/>
          </w:tcPr>
          <w:p>
            <w:pPr>
              <w:pStyle w:val="yTableNAm"/>
              <w:jc w:val="center"/>
            </w:pPr>
            <w:r>
              <w:rPr>
                <w:szCs w:val="22"/>
              </w:rPr>
              <w:t>700.0</w:t>
            </w:r>
          </w:p>
        </w:tc>
      </w:tr>
      <w:tr>
        <w:tc>
          <w:tcPr>
            <w:tcW w:w="781" w:type="dxa"/>
          </w:tcPr>
          <w:p>
            <w:pPr>
              <w:pStyle w:val="yTableNAm"/>
            </w:pPr>
            <w:r>
              <w:rPr>
                <w:szCs w:val="22"/>
              </w:rPr>
              <w:t>46.</w:t>
            </w:r>
          </w:p>
        </w:tc>
        <w:tc>
          <w:tcPr>
            <w:tcW w:w="4961" w:type="dxa"/>
          </w:tcPr>
          <w:p>
            <w:pPr>
              <w:pStyle w:val="yTableNAm"/>
            </w:pPr>
            <w:r>
              <w:rPr>
                <w:szCs w:val="22"/>
              </w:rPr>
              <w:t>NORMETHANDRONE</w:t>
            </w:r>
          </w:p>
        </w:tc>
        <w:tc>
          <w:tcPr>
            <w:tcW w:w="1276" w:type="dxa"/>
          </w:tcPr>
          <w:p>
            <w:pPr>
              <w:pStyle w:val="yTableNAm"/>
              <w:jc w:val="center"/>
            </w:pPr>
            <w:r>
              <w:rPr>
                <w:szCs w:val="22"/>
              </w:rPr>
              <w:t>700.0</w:t>
            </w:r>
          </w:p>
        </w:tc>
      </w:tr>
      <w:tr>
        <w:tc>
          <w:tcPr>
            <w:tcW w:w="781" w:type="dxa"/>
          </w:tcPr>
          <w:p>
            <w:pPr>
              <w:pStyle w:val="yTableNAm"/>
            </w:pPr>
            <w:r>
              <w:rPr>
                <w:szCs w:val="22"/>
              </w:rPr>
              <w:t>47.</w:t>
            </w:r>
          </w:p>
        </w:tc>
        <w:tc>
          <w:tcPr>
            <w:tcW w:w="4961" w:type="dxa"/>
          </w:tcPr>
          <w:p>
            <w:pPr>
              <w:pStyle w:val="yTableNAm"/>
            </w:pPr>
            <w:r>
              <w:rPr>
                <w:szCs w:val="22"/>
              </w:rPr>
              <w:t>OVANDROTONE</w:t>
            </w:r>
          </w:p>
        </w:tc>
        <w:tc>
          <w:tcPr>
            <w:tcW w:w="1276" w:type="dxa"/>
          </w:tcPr>
          <w:p>
            <w:pPr>
              <w:pStyle w:val="yTableNAm"/>
              <w:jc w:val="center"/>
            </w:pPr>
            <w:r>
              <w:rPr>
                <w:szCs w:val="22"/>
              </w:rPr>
              <w:t>700.0</w:t>
            </w:r>
          </w:p>
        </w:tc>
      </w:tr>
      <w:tr>
        <w:tc>
          <w:tcPr>
            <w:tcW w:w="781" w:type="dxa"/>
          </w:tcPr>
          <w:p>
            <w:pPr>
              <w:pStyle w:val="yTableNAm"/>
            </w:pPr>
            <w:r>
              <w:rPr>
                <w:szCs w:val="22"/>
              </w:rPr>
              <w:t>48.</w:t>
            </w:r>
          </w:p>
        </w:tc>
        <w:tc>
          <w:tcPr>
            <w:tcW w:w="4961" w:type="dxa"/>
          </w:tcPr>
          <w:p>
            <w:pPr>
              <w:pStyle w:val="yTableNAm"/>
            </w:pPr>
            <w:r>
              <w:rPr>
                <w:szCs w:val="22"/>
              </w:rPr>
              <w:t>OXABOLONE</w:t>
            </w:r>
          </w:p>
        </w:tc>
        <w:tc>
          <w:tcPr>
            <w:tcW w:w="1276" w:type="dxa"/>
          </w:tcPr>
          <w:p>
            <w:pPr>
              <w:pStyle w:val="yTableNAm"/>
              <w:jc w:val="center"/>
            </w:pPr>
            <w:r>
              <w:rPr>
                <w:szCs w:val="22"/>
              </w:rPr>
              <w:t>700.0</w:t>
            </w:r>
          </w:p>
        </w:tc>
      </w:tr>
      <w:tr>
        <w:tc>
          <w:tcPr>
            <w:tcW w:w="781" w:type="dxa"/>
          </w:tcPr>
          <w:p>
            <w:pPr>
              <w:pStyle w:val="yTableNAm"/>
            </w:pPr>
            <w:r>
              <w:rPr>
                <w:szCs w:val="22"/>
              </w:rPr>
              <w:t>49.</w:t>
            </w:r>
          </w:p>
        </w:tc>
        <w:tc>
          <w:tcPr>
            <w:tcW w:w="4961" w:type="dxa"/>
          </w:tcPr>
          <w:p>
            <w:pPr>
              <w:pStyle w:val="yTableNAm"/>
            </w:pPr>
            <w:r>
              <w:rPr>
                <w:szCs w:val="22"/>
              </w:rPr>
              <w:t>OXANDROLONE</w:t>
            </w:r>
          </w:p>
        </w:tc>
        <w:tc>
          <w:tcPr>
            <w:tcW w:w="1276" w:type="dxa"/>
          </w:tcPr>
          <w:p>
            <w:pPr>
              <w:pStyle w:val="yTableNAm"/>
              <w:jc w:val="center"/>
            </w:pPr>
            <w:r>
              <w:rPr>
                <w:szCs w:val="22"/>
              </w:rPr>
              <w:t>700.0</w:t>
            </w:r>
          </w:p>
        </w:tc>
      </w:tr>
      <w:tr>
        <w:tc>
          <w:tcPr>
            <w:tcW w:w="781" w:type="dxa"/>
          </w:tcPr>
          <w:p>
            <w:pPr>
              <w:pStyle w:val="yTableNAm"/>
            </w:pPr>
            <w:r>
              <w:rPr>
                <w:szCs w:val="22"/>
              </w:rPr>
              <w:t>50.</w:t>
            </w:r>
          </w:p>
        </w:tc>
        <w:tc>
          <w:tcPr>
            <w:tcW w:w="4961" w:type="dxa"/>
          </w:tcPr>
          <w:p>
            <w:pPr>
              <w:pStyle w:val="yTableNAm"/>
            </w:pPr>
            <w:r>
              <w:rPr>
                <w:szCs w:val="22"/>
              </w:rPr>
              <w:t>OXYMESTERONE</w:t>
            </w:r>
          </w:p>
        </w:tc>
        <w:tc>
          <w:tcPr>
            <w:tcW w:w="1276" w:type="dxa"/>
          </w:tcPr>
          <w:p>
            <w:pPr>
              <w:pStyle w:val="yTableNAm"/>
              <w:jc w:val="center"/>
            </w:pPr>
            <w:r>
              <w:rPr>
                <w:szCs w:val="22"/>
              </w:rPr>
              <w:t>700.0</w:t>
            </w:r>
          </w:p>
        </w:tc>
      </w:tr>
      <w:tr>
        <w:tc>
          <w:tcPr>
            <w:tcW w:w="781" w:type="dxa"/>
          </w:tcPr>
          <w:p>
            <w:pPr>
              <w:pStyle w:val="yTableNAm"/>
            </w:pPr>
            <w:r>
              <w:rPr>
                <w:szCs w:val="22"/>
              </w:rPr>
              <w:t>51.</w:t>
            </w:r>
          </w:p>
        </w:tc>
        <w:tc>
          <w:tcPr>
            <w:tcW w:w="4961" w:type="dxa"/>
          </w:tcPr>
          <w:p>
            <w:pPr>
              <w:pStyle w:val="yTableNAm"/>
            </w:pPr>
            <w:r>
              <w:rPr>
                <w:szCs w:val="22"/>
              </w:rPr>
              <w:t>OXYMETHOLONE</w:t>
            </w:r>
          </w:p>
        </w:tc>
        <w:tc>
          <w:tcPr>
            <w:tcW w:w="1276" w:type="dxa"/>
          </w:tcPr>
          <w:p>
            <w:pPr>
              <w:pStyle w:val="yTableNAm"/>
              <w:jc w:val="center"/>
            </w:pPr>
            <w:r>
              <w:rPr>
                <w:szCs w:val="22"/>
              </w:rPr>
              <w:t>700.0</w:t>
            </w:r>
          </w:p>
        </w:tc>
      </w:tr>
      <w:tr>
        <w:tc>
          <w:tcPr>
            <w:tcW w:w="781" w:type="dxa"/>
          </w:tcPr>
          <w:p>
            <w:pPr>
              <w:pStyle w:val="yTableNAm"/>
            </w:pPr>
            <w:r>
              <w:rPr>
                <w:szCs w:val="22"/>
              </w:rPr>
              <w:t>52.</w:t>
            </w:r>
          </w:p>
        </w:tc>
        <w:tc>
          <w:tcPr>
            <w:tcW w:w="4961" w:type="dxa"/>
          </w:tcPr>
          <w:p>
            <w:pPr>
              <w:pStyle w:val="yTableNAm"/>
            </w:pPr>
            <w:r>
              <w:rPr>
                <w:szCs w:val="22"/>
              </w:rPr>
              <w:t>PRASTERONE (DEHYDROEPIANDROSTERONE, DEHRYDROISOANDROSERONE)</w:t>
            </w:r>
          </w:p>
        </w:tc>
        <w:tc>
          <w:tcPr>
            <w:tcW w:w="1276" w:type="dxa"/>
          </w:tcPr>
          <w:p>
            <w:pPr>
              <w:pStyle w:val="yTableNAm"/>
              <w:jc w:val="center"/>
            </w:pPr>
            <w:r>
              <w:rPr>
                <w:szCs w:val="22"/>
              </w:rPr>
              <w:br/>
            </w:r>
            <w:r>
              <w:rPr>
                <w:szCs w:val="22"/>
              </w:rPr>
              <w:br/>
              <w:t>700.0</w:t>
            </w:r>
          </w:p>
        </w:tc>
      </w:tr>
      <w:tr>
        <w:tc>
          <w:tcPr>
            <w:tcW w:w="781" w:type="dxa"/>
          </w:tcPr>
          <w:p>
            <w:pPr>
              <w:pStyle w:val="yTableNAm"/>
            </w:pPr>
            <w:r>
              <w:rPr>
                <w:szCs w:val="22"/>
              </w:rPr>
              <w:t>53.</w:t>
            </w:r>
          </w:p>
        </w:tc>
        <w:tc>
          <w:tcPr>
            <w:tcW w:w="4961" w:type="dxa"/>
          </w:tcPr>
          <w:p>
            <w:pPr>
              <w:pStyle w:val="yTableNAm"/>
            </w:pPr>
            <w:r>
              <w:rPr>
                <w:szCs w:val="22"/>
              </w:rPr>
              <w:t>PROPETANDROL</w:t>
            </w:r>
          </w:p>
        </w:tc>
        <w:tc>
          <w:tcPr>
            <w:tcW w:w="1276" w:type="dxa"/>
          </w:tcPr>
          <w:p>
            <w:pPr>
              <w:pStyle w:val="yTableNAm"/>
              <w:jc w:val="center"/>
            </w:pPr>
            <w:r>
              <w:rPr>
                <w:szCs w:val="22"/>
              </w:rPr>
              <w:t>700.0</w:t>
            </w:r>
          </w:p>
        </w:tc>
      </w:tr>
      <w:tr>
        <w:tc>
          <w:tcPr>
            <w:tcW w:w="781" w:type="dxa"/>
          </w:tcPr>
          <w:p>
            <w:pPr>
              <w:pStyle w:val="yTableNAm"/>
            </w:pPr>
            <w:r>
              <w:rPr>
                <w:szCs w:val="22"/>
              </w:rPr>
              <w:t>54.</w:t>
            </w:r>
          </w:p>
        </w:tc>
        <w:tc>
          <w:tcPr>
            <w:tcW w:w="4961" w:type="dxa"/>
          </w:tcPr>
          <w:p>
            <w:pPr>
              <w:pStyle w:val="yTableNAm"/>
            </w:pPr>
            <w:r>
              <w:rPr>
                <w:szCs w:val="22"/>
              </w:rPr>
              <w:t>QUINBOLONE</w:t>
            </w:r>
          </w:p>
        </w:tc>
        <w:tc>
          <w:tcPr>
            <w:tcW w:w="1276" w:type="dxa"/>
          </w:tcPr>
          <w:p>
            <w:pPr>
              <w:pStyle w:val="yTableNAm"/>
              <w:jc w:val="center"/>
            </w:pPr>
            <w:r>
              <w:rPr>
                <w:szCs w:val="22"/>
              </w:rPr>
              <w:t>700.0</w:t>
            </w:r>
          </w:p>
        </w:tc>
      </w:tr>
      <w:tr>
        <w:tc>
          <w:tcPr>
            <w:tcW w:w="781" w:type="dxa"/>
          </w:tcPr>
          <w:p>
            <w:pPr>
              <w:pStyle w:val="yTableNAm"/>
            </w:pPr>
            <w:r>
              <w:rPr>
                <w:szCs w:val="22"/>
              </w:rPr>
              <w:lastRenderedPageBreak/>
              <w:t>55.</w:t>
            </w:r>
          </w:p>
        </w:tc>
        <w:tc>
          <w:tcPr>
            <w:tcW w:w="4961" w:type="dxa"/>
          </w:tcPr>
          <w:p>
            <w:pPr>
              <w:pStyle w:val="yTableNAm"/>
            </w:pPr>
            <w:r>
              <w:rPr>
                <w:szCs w:val="22"/>
              </w:rPr>
              <w:t>ROXIBOLONE</w:t>
            </w:r>
          </w:p>
        </w:tc>
        <w:tc>
          <w:tcPr>
            <w:tcW w:w="1276" w:type="dxa"/>
          </w:tcPr>
          <w:p>
            <w:pPr>
              <w:pStyle w:val="yTableNAm"/>
              <w:jc w:val="center"/>
            </w:pPr>
            <w:r>
              <w:rPr>
                <w:szCs w:val="22"/>
              </w:rPr>
              <w:t>700.0</w:t>
            </w:r>
          </w:p>
        </w:tc>
      </w:tr>
      <w:tr>
        <w:tc>
          <w:tcPr>
            <w:tcW w:w="781" w:type="dxa"/>
          </w:tcPr>
          <w:p>
            <w:pPr>
              <w:pStyle w:val="yTableNAm"/>
            </w:pPr>
            <w:r>
              <w:rPr>
                <w:szCs w:val="22"/>
              </w:rPr>
              <w:t>56.</w:t>
            </w:r>
          </w:p>
        </w:tc>
        <w:tc>
          <w:tcPr>
            <w:tcW w:w="4961" w:type="dxa"/>
          </w:tcPr>
          <w:p>
            <w:pPr>
              <w:pStyle w:val="yTableNAm"/>
            </w:pPr>
            <w:r>
              <w:rPr>
                <w:szCs w:val="22"/>
              </w:rPr>
              <w:t>SILANDRONE</w:t>
            </w:r>
          </w:p>
        </w:tc>
        <w:tc>
          <w:tcPr>
            <w:tcW w:w="1276" w:type="dxa"/>
          </w:tcPr>
          <w:p>
            <w:pPr>
              <w:pStyle w:val="yTableNAm"/>
              <w:jc w:val="center"/>
            </w:pPr>
            <w:r>
              <w:rPr>
                <w:szCs w:val="22"/>
              </w:rPr>
              <w:t>700.0</w:t>
            </w:r>
          </w:p>
        </w:tc>
      </w:tr>
      <w:tr>
        <w:tc>
          <w:tcPr>
            <w:tcW w:w="781" w:type="dxa"/>
          </w:tcPr>
          <w:p>
            <w:pPr>
              <w:pStyle w:val="yTableNAm"/>
            </w:pPr>
            <w:r>
              <w:rPr>
                <w:szCs w:val="22"/>
              </w:rPr>
              <w:t>57.</w:t>
            </w:r>
          </w:p>
        </w:tc>
        <w:tc>
          <w:tcPr>
            <w:tcW w:w="4961" w:type="dxa"/>
          </w:tcPr>
          <w:p>
            <w:pPr>
              <w:pStyle w:val="yTableNAm"/>
            </w:pPr>
            <w:r>
              <w:rPr>
                <w:szCs w:val="22"/>
              </w:rPr>
              <w:t>STANOLONE</w:t>
            </w:r>
          </w:p>
        </w:tc>
        <w:tc>
          <w:tcPr>
            <w:tcW w:w="1276" w:type="dxa"/>
          </w:tcPr>
          <w:p>
            <w:pPr>
              <w:pStyle w:val="yTableNAm"/>
              <w:jc w:val="center"/>
            </w:pPr>
            <w:r>
              <w:rPr>
                <w:szCs w:val="22"/>
              </w:rPr>
              <w:t>700.0</w:t>
            </w:r>
          </w:p>
        </w:tc>
      </w:tr>
      <w:tr>
        <w:tc>
          <w:tcPr>
            <w:tcW w:w="781" w:type="dxa"/>
          </w:tcPr>
          <w:p>
            <w:pPr>
              <w:pStyle w:val="yTableNAm"/>
            </w:pPr>
            <w:r>
              <w:rPr>
                <w:szCs w:val="22"/>
              </w:rPr>
              <w:t>58.</w:t>
            </w:r>
          </w:p>
        </w:tc>
        <w:tc>
          <w:tcPr>
            <w:tcW w:w="4961" w:type="dxa"/>
          </w:tcPr>
          <w:p>
            <w:pPr>
              <w:pStyle w:val="yTableNAm"/>
            </w:pPr>
            <w:r>
              <w:rPr>
                <w:szCs w:val="22"/>
              </w:rPr>
              <w:t>STANOZOLOL</w:t>
            </w:r>
          </w:p>
        </w:tc>
        <w:tc>
          <w:tcPr>
            <w:tcW w:w="1276" w:type="dxa"/>
          </w:tcPr>
          <w:p>
            <w:pPr>
              <w:pStyle w:val="yTableNAm"/>
              <w:jc w:val="center"/>
            </w:pPr>
            <w:r>
              <w:rPr>
                <w:szCs w:val="22"/>
              </w:rPr>
              <w:t>700.0</w:t>
            </w:r>
          </w:p>
        </w:tc>
      </w:tr>
      <w:tr>
        <w:tc>
          <w:tcPr>
            <w:tcW w:w="781" w:type="dxa"/>
          </w:tcPr>
          <w:p>
            <w:pPr>
              <w:pStyle w:val="yTableNAm"/>
            </w:pPr>
            <w:r>
              <w:rPr>
                <w:szCs w:val="22"/>
              </w:rPr>
              <w:t>59.</w:t>
            </w:r>
          </w:p>
        </w:tc>
        <w:tc>
          <w:tcPr>
            <w:tcW w:w="4961" w:type="dxa"/>
          </w:tcPr>
          <w:p>
            <w:pPr>
              <w:pStyle w:val="yTableNAm"/>
            </w:pPr>
            <w:r>
              <w:rPr>
                <w:szCs w:val="22"/>
              </w:rPr>
              <w:t>STENBOLONE</w:t>
            </w:r>
          </w:p>
        </w:tc>
        <w:tc>
          <w:tcPr>
            <w:tcW w:w="1276" w:type="dxa"/>
          </w:tcPr>
          <w:p>
            <w:pPr>
              <w:pStyle w:val="yTableNAm"/>
              <w:jc w:val="center"/>
            </w:pPr>
            <w:r>
              <w:rPr>
                <w:szCs w:val="22"/>
              </w:rPr>
              <w:t>700.0</w:t>
            </w:r>
          </w:p>
        </w:tc>
      </w:tr>
      <w:tr>
        <w:tc>
          <w:tcPr>
            <w:tcW w:w="781" w:type="dxa"/>
          </w:tcPr>
          <w:p>
            <w:pPr>
              <w:pStyle w:val="yTableNAm"/>
            </w:pPr>
            <w:r>
              <w:rPr>
                <w:szCs w:val="22"/>
              </w:rPr>
              <w:t>60.</w:t>
            </w:r>
          </w:p>
        </w:tc>
        <w:tc>
          <w:tcPr>
            <w:tcW w:w="4961" w:type="dxa"/>
          </w:tcPr>
          <w:p>
            <w:pPr>
              <w:pStyle w:val="yTableNAm"/>
            </w:pPr>
            <w:r>
              <w:rPr>
                <w:szCs w:val="22"/>
              </w:rPr>
              <w:t>TESTOLACTONE</w:t>
            </w:r>
          </w:p>
        </w:tc>
        <w:tc>
          <w:tcPr>
            <w:tcW w:w="1276" w:type="dxa"/>
          </w:tcPr>
          <w:p>
            <w:pPr>
              <w:pStyle w:val="yTableNAm"/>
              <w:jc w:val="center"/>
            </w:pPr>
            <w:r>
              <w:rPr>
                <w:szCs w:val="22"/>
              </w:rPr>
              <w:t>700.0</w:t>
            </w:r>
          </w:p>
        </w:tc>
      </w:tr>
      <w:tr>
        <w:tc>
          <w:tcPr>
            <w:tcW w:w="781" w:type="dxa"/>
          </w:tcPr>
          <w:p>
            <w:pPr>
              <w:pStyle w:val="yTableNAm"/>
            </w:pPr>
            <w:r>
              <w:rPr>
                <w:szCs w:val="22"/>
              </w:rPr>
              <w:t>61.</w:t>
            </w:r>
          </w:p>
        </w:tc>
        <w:tc>
          <w:tcPr>
            <w:tcW w:w="4961" w:type="dxa"/>
          </w:tcPr>
          <w:p>
            <w:pPr>
              <w:pStyle w:val="yTableNAm"/>
            </w:pPr>
            <w:r>
              <w:rPr>
                <w:szCs w:val="22"/>
              </w:rPr>
              <w:t>TESTOSTERONE</w:t>
            </w:r>
          </w:p>
        </w:tc>
        <w:tc>
          <w:tcPr>
            <w:tcW w:w="1276" w:type="dxa"/>
          </w:tcPr>
          <w:p>
            <w:pPr>
              <w:pStyle w:val="yTableNAm"/>
              <w:jc w:val="center"/>
            </w:pPr>
            <w:r>
              <w:rPr>
                <w:szCs w:val="22"/>
              </w:rPr>
              <w:t>700.0</w:t>
            </w:r>
          </w:p>
        </w:tc>
      </w:tr>
      <w:tr>
        <w:tc>
          <w:tcPr>
            <w:tcW w:w="781" w:type="dxa"/>
          </w:tcPr>
          <w:p>
            <w:pPr>
              <w:pStyle w:val="yTableNAm"/>
            </w:pPr>
            <w:r>
              <w:rPr>
                <w:szCs w:val="22"/>
              </w:rPr>
              <w:t>62.</w:t>
            </w:r>
          </w:p>
        </w:tc>
        <w:tc>
          <w:tcPr>
            <w:tcW w:w="4961" w:type="dxa"/>
          </w:tcPr>
          <w:p>
            <w:pPr>
              <w:pStyle w:val="yTableNAm"/>
            </w:pPr>
            <w:r>
              <w:rPr>
                <w:szCs w:val="22"/>
              </w:rPr>
              <w:t>THIMOSTERONE (TIOMESTERONE)</w:t>
            </w:r>
          </w:p>
        </w:tc>
        <w:tc>
          <w:tcPr>
            <w:tcW w:w="1276" w:type="dxa"/>
          </w:tcPr>
          <w:p>
            <w:pPr>
              <w:pStyle w:val="yTableNAm"/>
              <w:jc w:val="center"/>
            </w:pPr>
            <w:r>
              <w:rPr>
                <w:szCs w:val="22"/>
              </w:rPr>
              <w:t>700.0</w:t>
            </w:r>
          </w:p>
        </w:tc>
      </w:tr>
      <w:tr>
        <w:tc>
          <w:tcPr>
            <w:tcW w:w="781" w:type="dxa"/>
          </w:tcPr>
          <w:p>
            <w:pPr>
              <w:pStyle w:val="yTableNAm"/>
            </w:pPr>
            <w:r>
              <w:rPr>
                <w:szCs w:val="22"/>
              </w:rPr>
              <w:t>63.</w:t>
            </w:r>
          </w:p>
        </w:tc>
        <w:tc>
          <w:tcPr>
            <w:tcW w:w="4961" w:type="dxa"/>
          </w:tcPr>
          <w:p>
            <w:pPr>
              <w:pStyle w:val="yTableNAm"/>
            </w:pPr>
            <w:r>
              <w:rPr>
                <w:szCs w:val="22"/>
              </w:rPr>
              <w:t>TRENBOLONE</w:t>
            </w:r>
          </w:p>
        </w:tc>
        <w:tc>
          <w:tcPr>
            <w:tcW w:w="1276" w:type="dxa"/>
          </w:tcPr>
          <w:p>
            <w:pPr>
              <w:pStyle w:val="yTableNAm"/>
              <w:jc w:val="center"/>
            </w:pPr>
            <w:r>
              <w:rPr>
                <w:szCs w:val="22"/>
              </w:rPr>
              <w:t>700.0</w:t>
            </w:r>
          </w:p>
        </w:tc>
      </w:tr>
      <w:tr>
        <w:tc>
          <w:tcPr>
            <w:tcW w:w="781" w:type="dxa"/>
            <w:tcBorders>
              <w:bottom w:val="single" w:sz="4" w:space="0" w:color="auto"/>
            </w:tcBorders>
          </w:tcPr>
          <w:p>
            <w:pPr>
              <w:pStyle w:val="yTableNAm"/>
            </w:pPr>
            <w:r>
              <w:rPr>
                <w:szCs w:val="22"/>
              </w:rPr>
              <w:t>64.</w:t>
            </w:r>
          </w:p>
        </w:tc>
        <w:tc>
          <w:tcPr>
            <w:tcW w:w="4961" w:type="dxa"/>
            <w:tcBorders>
              <w:bottom w:val="single" w:sz="4" w:space="0" w:color="auto"/>
            </w:tcBorders>
          </w:tcPr>
          <w:p>
            <w:pPr>
              <w:pStyle w:val="yTableNAm"/>
            </w:pPr>
            <w:r>
              <w:rPr>
                <w:szCs w:val="22"/>
              </w:rPr>
              <w:t>TRESTOLONE</w:t>
            </w:r>
          </w:p>
        </w:tc>
        <w:tc>
          <w:tcPr>
            <w:tcW w:w="1276" w:type="dxa"/>
            <w:tcBorders>
              <w:bottom w:val="single" w:sz="4" w:space="0" w:color="auto"/>
            </w:tcBorders>
          </w:tcPr>
          <w:p>
            <w:pPr>
              <w:pStyle w:val="yTableNAm"/>
              <w:jc w:val="center"/>
            </w:pPr>
            <w:r>
              <w:rPr>
                <w:szCs w:val="22"/>
              </w:rPr>
              <w:t>700.0</w:t>
            </w:r>
          </w:p>
        </w:tc>
      </w:tr>
    </w:tbl>
    <w:p>
      <w:pPr>
        <w:pStyle w:val="yFootnotesection"/>
      </w:pPr>
      <w:r>
        <w:tab/>
        <w:t>[Division 2 inserted: Gazette 29 Aug 2018 p. 3036-9; amended: SL 2023/48 cl. 6(2).]</w:t>
      </w:r>
    </w:p>
    <w:p>
      <w:pPr>
        <w:pStyle w:val="yScheduleHeading"/>
      </w:pPr>
      <w:bookmarkStart w:id="378" w:name="_Toc138689217"/>
      <w:bookmarkStart w:id="379" w:name="_Toc138691640"/>
      <w:bookmarkStart w:id="380" w:name="_Toc138751203"/>
      <w:r>
        <w:rPr>
          <w:rStyle w:val="CharSchNo"/>
        </w:rPr>
        <w:lastRenderedPageBreak/>
        <w:t>Schedule VIII</w:t>
      </w:r>
      <w:r>
        <w:rPr>
          <w:rStyle w:val="CharSDivNo"/>
        </w:rPr>
        <w:t> </w:t>
      </w:r>
      <w:r>
        <w:t>—</w:t>
      </w:r>
      <w:r>
        <w:rPr>
          <w:rStyle w:val="CharSDivText"/>
        </w:rPr>
        <w:t> </w:t>
      </w:r>
      <w:r>
        <w:rPr>
          <w:rStyle w:val="CharSchText"/>
          <w:bCs/>
        </w:rPr>
        <w:t>Numbers of prohibited plants for purposes of drug trafficking</w:t>
      </w:r>
      <w:bookmarkEnd w:id="378"/>
      <w:bookmarkEnd w:id="379"/>
      <w:bookmarkEnd w:id="380"/>
    </w:p>
    <w:p>
      <w:pPr>
        <w:pStyle w:val="yShoulderClause"/>
        <w:rPr>
          <w:snapToGrid w:val="0"/>
        </w:rPr>
      </w:pPr>
      <w:r>
        <w:rPr>
          <w:snapToGrid w:val="0"/>
        </w:rPr>
        <w:t>[s. 32A(1)(b)(ii)]</w:t>
      </w:r>
    </w:p>
    <w:p>
      <w:pPr>
        <w:pStyle w:val="yFootnoteheading"/>
      </w:pPr>
      <w:r>
        <w:tab/>
        <w:t>[Heading amended: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Cannabis</w:t>
            </w:r>
          </w:p>
        </w:tc>
        <w:tc>
          <w:tcPr>
            <w:tcW w:w="1350" w:type="dxa"/>
          </w:tcPr>
          <w:p>
            <w:pPr>
              <w:pStyle w:val="yTableNAm"/>
              <w:jc w:val="center"/>
            </w:pPr>
            <w:r>
              <w:t>20</w:t>
            </w:r>
          </w:p>
        </w:tc>
      </w:tr>
    </w:tbl>
    <w:p>
      <w:pPr>
        <w:pStyle w:val="yFootnotesection"/>
      </w:pPr>
      <w:r>
        <w:tab/>
        <w:t>[Schedule VIII inserted: No. 50 of 1990 s. 6; amended: Gazette 15 Apr 2011 p. 1426.]</w:t>
      </w:r>
    </w:p>
    <w:p>
      <w:pPr>
        <w:pStyle w:val="yHeading2"/>
        <w:sectPr>
          <w:headerReference w:type="even" r:id="rId66"/>
          <w:headerReference w:type="default" r:id="rId67"/>
          <w:pgSz w:w="11907" w:h="16840" w:code="9"/>
          <w:pgMar w:top="2381" w:right="2409" w:bottom="3543" w:left="2409" w:header="720" w:footer="3544" w:gutter="0"/>
          <w:cols w:space="720"/>
          <w:noEndnote/>
          <w:docGrid w:linePitch="326"/>
        </w:sectPr>
      </w:pPr>
    </w:p>
    <w:p>
      <w:pPr>
        <w:pStyle w:val="yScheduleHeading"/>
      </w:pPr>
      <w:bookmarkStart w:id="381" w:name="_Toc138689218"/>
      <w:bookmarkStart w:id="382" w:name="_Toc138691641"/>
      <w:bookmarkStart w:id="383" w:name="_Toc138751204"/>
      <w:r>
        <w:rPr>
          <w:rStyle w:val="CharSchNo"/>
        </w:rPr>
        <w:lastRenderedPageBreak/>
        <w:t>Schedule IX</w:t>
      </w:r>
      <w:r>
        <w:t> — </w:t>
      </w:r>
      <w:r>
        <w:rPr>
          <w:rStyle w:val="CharSchText"/>
          <w:bCs/>
        </w:rPr>
        <w:t>Transitional provisions</w:t>
      </w:r>
      <w:bookmarkEnd w:id="381"/>
      <w:bookmarkEnd w:id="382"/>
      <w:bookmarkEnd w:id="383"/>
    </w:p>
    <w:p>
      <w:pPr>
        <w:pStyle w:val="yShoulderClause"/>
      </w:pPr>
      <w:r>
        <w:t>[s. 48]</w:t>
      </w:r>
    </w:p>
    <w:p>
      <w:pPr>
        <w:pStyle w:val="yFootnoteheading"/>
        <w:spacing w:after="60"/>
      </w:pPr>
      <w:r>
        <w:tab/>
        <w:t>[Heading inserted: No. 44 of 2010 s. 10.]</w:t>
      </w:r>
    </w:p>
    <w:p>
      <w:pPr>
        <w:pStyle w:val="yHeading5"/>
      </w:pPr>
      <w:bookmarkStart w:id="384" w:name="_Toc138751205"/>
      <w:r>
        <w:rPr>
          <w:rStyle w:val="CharSClsNo"/>
        </w:rPr>
        <w:t>1</w:t>
      </w:r>
      <w:r>
        <w:t>.</w:t>
      </w:r>
      <w:r>
        <w:rPr>
          <w:b w:val="0"/>
        </w:rPr>
        <w:tab/>
      </w:r>
      <w:r>
        <w:t>Property subject to holding orders under repealed s. 28</w:t>
      </w:r>
      <w:bookmarkEnd w:id="384"/>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No. 44 of 2010 s. 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default" r:id="rId69"/>
          <w:pgSz w:w="11907" w:h="16840" w:code="9"/>
          <w:pgMar w:top="2381" w:right="2409" w:bottom="3543" w:left="2409" w:header="720" w:footer="3544" w:gutter="0"/>
          <w:cols w:space="720"/>
          <w:noEndnote/>
          <w:docGrid w:linePitch="326"/>
        </w:sectPr>
      </w:pPr>
    </w:p>
    <w:p>
      <w:pPr>
        <w:pStyle w:val="nHeading2"/>
      </w:pPr>
      <w:bookmarkStart w:id="385" w:name="_Toc138689220"/>
      <w:bookmarkStart w:id="386" w:name="_Toc138691643"/>
      <w:bookmarkStart w:id="387" w:name="_Toc138751206"/>
      <w:r>
        <w:lastRenderedPageBreak/>
        <w:t>Notes</w:t>
      </w:r>
      <w:bookmarkEnd w:id="385"/>
      <w:bookmarkEnd w:id="386"/>
      <w:bookmarkEnd w:id="387"/>
    </w:p>
    <w:p>
      <w:pPr>
        <w:pStyle w:val="nStatement"/>
      </w:pPr>
      <w:r>
        <w:t xml:space="preserve">This is a compilation of the </w:t>
      </w:r>
      <w:r>
        <w:rPr>
          <w:i/>
          <w:noProof/>
        </w:rPr>
        <w:t>Misuse of Drugs Act 1981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88" w:name="_Toc138751207"/>
      <w:r>
        <w:t>Compilation table</w:t>
      </w:r>
      <w:bookmarkEnd w:id="388"/>
    </w:p>
    <w:tbl>
      <w:tblPr>
        <w:tblW w:w="7089" w:type="dxa"/>
        <w:tblInd w:w="28"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581"/>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06" w:type="dxa"/>
            <w:tcBorders>
              <w:top w:val="single" w:sz="8" w:space="0" w:color="auto"/>
              <w:bottom w:val="single" w:sz="8" w:space="0" w:color="auto"/>
            </w:tcBorders>
            <w:shd w:val="clear" w:color="auto" w:fill="auto"/>
          </w:tcPr>
          <w:p>
            <w:pPr>
              <w:pStyle w:val="nTable"/>
              <w:spacing w:after="40"/>
              <w:rPr>
                <w:b/>
              </w:rPr>
            </w:pPr>
            <w:r>
              <w:rPr>
                <w:b/>
              </w:rPr>
              <w:t>Assent</w:t>
            </w:r>
          </w:p>
        </w:tc>
        <w:tc>
          <w:tcPr>
            <w:tcW w:w="258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Borders>
              <w:top w:val="single" w:sz="8" w:space="0" w:color="auto"/>
            </w:tcBorders>
          </w:tcPr>
          <w:p>
            <w:pPr>
              <w:pStyle w:val="nTable"/>
              <w:spacing w:after="40"/>
              <w:ind w:right="113"/>
            </w:pPr>
            <w:r>
              <w:rPr>
                <w:i/>
              </w:rPr>
              <w:t>Misuse of Drugs Act 1981</w:t>
            </w:r>
          </w:p>
        </w:tc>
        <w:tc>
          <w:tcPr>
            <w:tcW w:w="1134" w:type="dxa"/>
            <w:gridSpan w:val="2"/>
            <w:tcBorders>
              <w:top w:val="single" w:sz="8" w:space="0" w:color="auto"/>
            </w:tcBorders>
          </w:tcPr>
          <w:p>
            <w:pPr>
              <w:pStyle w:val="nTable"/>
              <w:spacing w:after="40"/>
            </w:pPr>
            <w:r>
              <w:t>66 of 1981</w:t>
            </w:r>
          </w:p>
        </w:tc>
        <w:tc>
          <w:tcPr>
            <w:tcW w:w="1106" w:type="dxa"/>
            <w:tcBorders>
              <w:top w:val="single" w:sz="8" w:space="0" w:color="auto"/>
            </w:tcBorders>
          </w:tcPr>
          <w:p>
            <w:pPr>
              <w:pStyle w:val="nTable"/>
              <w:spacing w:after="40"/>
            </w:pPr>
            <w:r>
              <w:t>23 Oct 1981</w:t>
            </w:r>
          </w:p>
        </w:tc>
        <w:tc>
          <w:tcPr>
            <w:tcW w:w="2581" w:type="dxa"/>
            <w:tcBorders>
              <w:top w:val="single" w:sz="8" w:space="0" w:color="auto"/>
            </w:tcBorders>
          </w:tcPr>
          <w:p>
            <w:pPr>
              <w:pStyle w:val="nTable"/>
              <w:spacing w:after="40"/>
            </w:pPr>
            <w:r>
              <w:t xml:space="preserve">1 Sep 1982 (see s. 2 and </w:t>
            </w:r>
            <w:r>
              <w:rPr>
                <w:i/>
              </w:rPr>
              <w:t>Gazette</w:t>
            </w:r>
            <w:r>
              <w:t xml:space="preserve"> 20 Aug 1982 p. 3250)</w:t>
            </w:r>
          </w:p>
        </w:tc>
      </w:tr>
      <w:tr>
        <w:trPr>
          <w:cantSplit/>
        </w:trPr>
        <w:tc>
          <w:tcPr>
            <w:tcW w:w="4508" w:type="dxa"/>
            <w:gridSpan w:val="5"/>
          </w:tcPr>
          <w:p>
            <w:pPr>
              <w:pStyle w:val="nTable"/>
              <w:spacing w:after="40"/>
            </w:pPr>
            <w:r>
              <w:rPr>
                <w:i/>
              </w:rPr>
              <w:t xml:space="preserve">Misuse of Drugs (Amounts of Prohibited Drugs) Order 1990 </w:t>
            </w:r>
            <w:r>
              <w:t xml:space="preserve">published in </w:t>
            </w:r>
            <w:r>
              <w:rPr>
                <w:i/>
              </w:rPr>
              <w:t>Gazette</w:t>
            </w:r>
            <w:r>
              <w:t xml:space="preserve"> 30 Nov 1990 p. 5937</w:t>
            </w:r>
          </w:p>
        </w:tc>
        <w:tc>
          <w:tcPr>
            <w:tcW w:w="2581" w:type="dxa"/>
          </w:tcPr>
          <w:p>
            <w:pPr>
              <w:pStyle w:val="nTable"/>
              <w:spacing w:after="40"/>
            </w:pPr>
            <w:r>
              <w:t>30 Nov 1990</w:t>
            </w:r>
          </w:p>
        </w:tc>
      </w:tr>
      <w:tr>
        <w:trPr>
          <w:cantSplit/>
        </w:trPr>
        <w:tc>
          <w:tcPr>
            <w:tcW w:w="2268" w:type="dxa"/>
            <w:gridSpan w:val="2"/>
          </w:tcPr>
          <w:p>
            <w:pPr>
              <w:pStyle w:val="nTable"/>
              <w:spacing w:after="40"/>
              <w:ind w:right="113"/>
            </w:pPr>
            <w:r>
              <w:rPr>
                <w:i/>
              </w:rPr>
              <w:t>Misuse of Drugs Amendment Act 1990</w:t>
            </w:r>
          </w:p>
        </w:tc>
        <w:tc>
          <w:tcPr>
            <w:tcW w:w="1134" w:type="dxa"/>
            <w:gridSpan w:val="2"/>
          </w:tcPr>
          <w:p>
            <w:pPr>
              <w:pStyle w:val="nTable"/>
              <w:spacing w:after="40"/>
            </w:pPr>
            <w:r>
              <w:t>50 of 1990</w:t>
            </w:r>
          </w:p>
        </w:tc>
        <w:tc>
          <w:tcPr>
            <w:tcW w:w="1106" w:type="dxa"/>
          </w:tcPr>
          <w:p>
            <w:pPr>
              <w:pStyle w:val="nTable"/>
              <w:spacing w:after="40"/>
            </w:pPr>
            <w:r>
              <w:t>4 Dec 1990</w:t>
            </w:r>
          </w:p>
        </w:tc>
        <w:tc>
          <w:tcPr>
            <w:tcW w:w="2581" w:type="dxa"/>
          </w:tcPr>
          <w:p>
            <w:pPr>
              <w:pStyle w:val="nTable"/>
              <w:spacing w:after="40"/>
            </w:pPr>
            <w:r>
              <w:t>4 Dec 1990 (see s. 2)</w:t>
            </w:r>
          </w:p>
        </w:tc>
      </w:tr>
      <w:tr>
        <w:trPr>
          <w:cantSplit/>
        </w:trPr>
        <w:tc>
          <w:tcPr>
            <w:tcW w:w="2268" w:type="dxa"/>
            <w:gridSpan w:val="2"/>
          </w:tcPr>
          <w:p>
            <w:pPr>
              <w:pStyle w:val="nTable"/>
              <w:spacing w:after="40"/>
              <w:ind w:right="113"/>
            </w:pPr>
            <w:r>
              <w:rPr>
                <w:i/>
              </w:rPr>
              <w:t xml:space="preserve">Conservation and Land Management Amendment Act 1991 </w:t>
            </w:r>
            <w:r>
              <w:t>s. 57</w:t>
            </w:r>
          </w:p>
        </w:tc>
        <w:tc>
          <w:tcPr>
            <w:tcW w:w="1134" w:type="dxa"/>
            <w:gridSpan w:val="2"/>
          </w:tcPr>
          <w:p>
            <w:pPr>
              <w:pStyle w:val="nTable"/>
              <w:spacing w:after="40"/>
            </w:pPr>
            <w:r>
              <w:t>20 of 1991</w:t>
            </w:r>
          </w:p>
        </w:tc>
        <w:tc>
          <w:tcPr>
            <w:tcW w:w="1106" w:type="dxa"/>
          </w:tcPr>
          <w:p>
            <w:pPr>
              <w:pStyle w:val="nTable"/>
              <w:spacing w:after="40"/>
            </w:pPr>
            <w:r>
              <w:t>25 Jun 1991</w:t>
            </w:r>
          </w:p>
        </w:tc>
        <w:tc>
          <w:tcPr>
            <w:tcW w:w="2581" w:type="dxa"/>
          </w:tcPr>
          <w:p>
            <w:pPr>
              <w:pStyle w:val="nTable"/>
              <w:spacing w:after="40"/>
            </w:pPr>
            <w:r>
              <w:t xml:space="preserve">23 Aug 1991 (see s. 2 and </w:t>
            </w:r>
            <w:r>
              <w:rPr>
                <w:i/>
              </w:rPr>
              <w:t>Gazette</w:t>
            </w:r>
            <w:r>
              <w:t xml:space="preserve"> 23 Aug 1991 p. 4353)</w:t>
            </w:r>
          </w:p>
        </w:tc>
      </w:tr>
      <w:tr>
        <w:trPr>
          <w:cantSplit/>
        </w:trPr>
        <w:tc>
          <w:tcPr>
            <w:tcW w:w="4508" w:type="dxa"/>
            <w:gridSpan w:val="5"/>
          </w:tcPr>
          <w:p>
            <w:pPr>
              <w:pStyle w:val="nTable"/>
              <w:spacing w:after="40"/>
            </w:pPr>
            <w:r>
              <w:rPr>
                <w:i/>
              </w:rPr>
              <w:t xml:space="preserve">Misuse of Drugs (Amounts of Prohibited Drugs) Order 1991 </w:t>
            </w:r>
            <w:r>
              <w:t xml:space="preserve">published in </w:t>
            </w:r>
            <w:r>
              <w:rPr>
                <w:i/>
              </w:rPr>
              <w:t>Gazette</w:t>
            </w:r>
            <w:r>
              <w:t xml:space="preserve"> 29 Nov 1991 p. 6040</w:t>
            </w:r>
            <w:r>
              <w:noBreakHyphen/>
              <w:t>1</w:t>
            </w:r>
          </w:p>
        </w:tc>
        <w:tc>
          <w:tcPr>
            <w:tcW w:w="2581" w:type="dxa"/>
          </w:tcPr>
          <w:p>
            <w:pPr>
              <w:pStyle w:val="nTable"/>
              <w:spacing w:after="40"/>
            </w:pPr>
            <w:r>
              <w:t>29 Nov 1991</w:t>
            </w:r>
          </w:p>
        </w:tc>
      </w:tr>
      <w:tr>
        <w:trPr>
          <w:cantSplit/>
        </w:trPr>
        <w:tc>
          <w:tcPr>
            <w:tcW w:w="4508" w:type="dxa"/>
            <w:gridSpan w:val="5"/>
          </w:tcPr>
          <w:p>
            <w:pPr>
              <w:pStyle w:val="nTable"/>
              <w:spacing w:after="40"/>
            </w:pPr>
            <w:r>
              <w:rPr>
                <w:i/>
              </w:rPr>
              <w:t xml:space="preserve">Misuse of Drugs (Amounts of Prohibited Drugs) Order 1994 </w:t>
            </w:r>
            <w:r>
              <w:t xml:space="preserve">published in </w:t>
            </w:r>
            <w:r>
              <w:rPr>
                <w:i/>
              </w:rPr>
              <w:t>Gazette</w:t>
            </w:r>
            <w:r>
              <w:t xml:space="preserve"> 22 Mar 1994 p. 1245</w:t>
            </w:r>
          </w:p>
        </w:tc>
        <w:tc>
          <w:tcPr>
            <w:tcW w:w="2581" w:type="dxa"/>
          </w:tcPr>
          <w:p>
            <w:pPr>
              <w:pStyle w:val="nTable"/>
              <w:spacing w:after="40"/>
            </w:pPr>
            <w:r>
              <w:t>22 Mar 1994</w:t>
            </w:r>
          </w:p>
        </w:tc>
      </w:tr>
      <w:tr>
        <w:trPr>
          <w:cantSplit/>
        </w:trPr>
        <w:tc>
          <w:tcPr>
            <w:tcW w:w="2268" w:type="dxa"/>
            <w:gridSpan w:val="2"/>
          </w:tcPr>
          <w:p>
            <w:pPr>
              <w:pStyle w:val="nTable"/>
              <w:spacing w:after="40"/>
              <w:ind w:right="113"/>
            </w:pPr>
            <w:r>
              <w:rPr>
                <w:i/>
              </w:rPr>
              <w:t xml:space="preserve">Poisons Amendment Act 1994 </w:t>
            </w:r>
            <w:r>
              <w:t>s. 11</w:t>
            </w:r>
          </w:p>
        </w:tc>
        <w:tc>
          <w:tcPr>
            <w:tcW w:w="1134" w:type="dxa"/>
            <w:gridSpan w:val="2"/>
          </w:tcPr>
          <w:p>
            <w:pPr>
              <w:pStyle w:val="nTable"/>
              <w:spacing w:after="40"/>
            </w:pPr>
            <w:r>
              <w:t>12 of 1994</w:t>
            </w:r>
          </w:p>
        </w:tc>
        <w:tc>
          <w:tcPr>
            <w:tcW w:w="1106" w:type="dxa"/>
          </w:tcPr>
          <w:p>
            <w:pPr>
              <w:pStyle w:val="nTable"/>
              <w:spacing w:after="40"/>
            </w:pPr>
            <w:r>
              <w:t>15 Apr 1994</w:t>
            </w:r>
          </w:p>
        </w:tc>
        <w:tc>
          <w:tcPr>
            <w:tcW w:w="2581" w:type="dxa"/>
          </w:tcPr>
          <w:p>
            <w:pPr>
              <w:pStyle w:val="nTable"/>
              <w:spacing w:after="40"/>
            </w:pPr>
            <w:r>
              <w:t xml:space="preserve">27 May 1994 (see s. 2 and </w:t>
            </w:r>
            <w:r>
              <w:rPr>
                <w:i/>
              </w:rPr>
              <w:t>Gazette</w:t>
            </w:r>
            <w:r>
              <w:t xml:space="preserve"> 27 May 1994 p. 2205)</w:t>
            </w:r>
          </w:p>
        </w:tc>
      </w:tr>
      <w:tr>
        <w:trPr>
          <w:cantSplit/>
        </w:trPr>
        <w:tc>
          <w:tcPr>
            <w:tcW w:w="2268" w:type="dxa"/>
            <w:gridSpan w:val="2"/>
          </w:tcPr>
          <w:p>
            <w:pPr>
              <w:pStyle w:val="nTable"/>
              <w:spacing w:after="40"/>
              <w:ind w:right="113"/>
            </w:pPr>
            <w:r>
              <w:rPr>
                <w:i/>
              </w:rPr>
              <w:t xml:space="preserve">Acts Amendment (Public Sector Management) Act 1994 </w:t>
            </w:r>
            <w:r>
              <w:t>s. 3(2)</w:t>
            </w:r>
          </w:p>
        </w:tc>
        <w:tc>
          <w:tcPr>
            <w:tcW w:w="1134" w:type="dxa"/>
            <w:gridSpan w:val="2"/>
          </w:tcPr>
          <w:p>
            <w:pPr>
              <w:pStyle w:val="nTable"/>
              <w:spacing w:after="40"/>
            </w:pPr>
            <w:r>
              <w:t>32 of 1994</w:t>
            </w:r>
          </w:p>
        </w:tc>
        <w:tc>
          <w:tcPr>
            <w:tcW w:w="1106" w:type="dxa"/>
          </w:tcPr>
          <w:p>
            <w:pPr>
              <w:pStyle w:val="nTable"/>
              <w:spacing w:after="40"/>
            </w:pPr>
            <w:r>
              <w:t>29 Jun 1994</w:t>
            </w:r>
          </w:p>
        </w:tc>
        <w:tc>
          <w:tcPr>
            <w:tcW w:w="2581" w:type="dxa"/>
          </w:tcPr>
          <w:p>
            <w:pPr>
              <w:pStyle w:val="nTable"/>
              <w:spacing w:after="40"/>
            </w:pPr>
            <w:r>
              <w:t xml:space="preserve">1 Oct 1994 (see s. 2 and </w:t>
            </w:r>
            <w:r>
              <w:rPr>
                <w:i/>
              </w:rPr>
              <w:t>Gazette</w:t>
            </w:r>
            <w:r>
              <w:t xml:space="preserve"> 30 Sep 1994 p. 4948)</w:t>
            </w:r>
          </w:p>
        </w:tc>
      </w:tr>
      <w:tr>
        <w:trPr>
          <w:cantSplit/>
        </w:trPr>
        <w:tc>
          <w:tcPr>
            <w:tcW w:w="2268" w:type="dxa"/>
            <w:gridSpan w:val="2"/>
          </w:tcPr>
          <w:p>
            <w:pPr>
              <w:pStyle w:val="nTable"/>
              <w:spacing w:after="40"/>
              <w:ind w:right="113"/>
            </w:pPr>
            <w:r>
              <w:rPr>
                <w:i/>
              </w:rPr>
              <w:t xml:space="preserve">Statutes (Repeals and Minor Amendments) Act 1994 </w:t>
            </w:r>
            <w:r>
              <w:t>s. 4</w:t>
            </w:r>
          </w:p>
        </w:tc>
        <w:tc>
          <w:tcPr>
            <w:tcW w:w="1134" w:type="dxa"/>
            <w:gridSpan w:val="2"/>
          </w:tcPr>
          <w:p>
            <w:pPr>
              <w:pStyle w:val="nTable"/>
              <w:spacing w:after="40"/>
            </w:pPr>
            <w:r>
              <w:t>73 of 1994</w:t>
            </w:r>
          </w:p>
        </w:tc>
        <w:tc>
          <w:tcPr>
            <w:tcW w:w="1106" w:type="dxa"/>
          </w:tcPr>
          <w:p>
            <w:pPr>
              <w:pStyle w:val="nTable"/>
              <w:spacing w:after="40"/>
            </w:pPr>
            <w:r>
              <w:t>9 Dec 1994</w:t>
            </w:r>
          </w:p>
        </w:tc>
        <w:tc>
          <w:tcPr>
            <w:tcW w:w="2581" w:type="dxa"/>
          </w:tcPr>
          <w:p>
            <w:pPr>
              <w:pStyle w:val="nTable"/>
              <w:spacing w:after="40"/>
            </w:pPr>
            <w:r>
              <w:t>9 Dec 1994 (see s. 2)</w:t>
            </w:r>
          </w:p>
        </w:tc>
      </w:tr>
      <w:tr>
        <w:trPr>
          <w:cantSplit/>
        </w:trPr>
        <w:tc>
          <w:tcPr>
            <w:tcW w:w="2268" w:type="dxa"/>
            <w:gridSpan w:val="2"/>
          </w:tcPr>
          <w:p>
            <w:pPr>
              <w:pStyle w:val="nTable"/>
              <w:spacing w:after="40"/>
              <w:ind w:right="113"/>
            </w:pPr>
            <w:r>
              <w:rPr>
                <w:i/>
              </w:rPr>
              <w:t xml:space="preserve">Acts Amendment (Fines, Penalties and Infringement Notices) Act 1994 </w:t>
            </w:r>
            <w:r>
              <w:t>Pt. 15</w:t>
            </w:r>
          </w:p>
        </w:tc>
        <w:tc>
          <w:tcPr>
            <w:tcW w:w="1134" w:type="dxa"/>
            <w:gridSpan w:val="2"/>
          </w:tcPr>
          <w:p>
            <w:pPr>
              <w:pStyle w:val="nTable"/>
              <w:spacing w:after="40"/>
            </w:pPr>
            <w:r>
              <w:t>92 of 1994</w:t>
            </w:r>
          </w:p>
        </w:tc>
        <w:tc>
          <w:tcPr>
            <w:tcW w:w="1106" w:type="dxa"/>
          </w:tcPr>
          <w:p>
            <w:pPr>
              <w:pStyle w:val="nTable"/>
              <w:spacing w:after="40"/>
            </w:pPr>
            <w:r>
              <w:t>23 Dec 1994</w:t>
            </w:r>
          </w:p>
        </w:tc>
        <w:tc>
          <w:tcPr>
            <w:tcW w:w="2581" w:type="dxa"/>
          </w:tcPr>
          <w:p>
            <w:pPr>
              <w:pStyle w:val="nTable"/>
              <w:spacing w:after="40"/>
            </w:pPr>
            <w:r>
              <w:t xml:space="preserve">1 Jan 1995 (see s. 2(1) and </w:t>
            </w:r>
            <w:r>
              <w:rPr>
                <w:i/>
              </w:rPr>
              <w:t xml:space="preserve">Gazette </w:t>
            </w:r>
            <w:r>
              <w:t>30 Dec 1994 p. 7211)</w:t>
            </w:r>
          </w:p>
        </w:tc>
      </w:tr>
      <w:tr>
        <w:trPr>
          <w:cantSplit/>
        </w:trPr>
        <w:tc>
          <w:tcPr>
            <w:tcW w:w="2268" w:type="dxa"/>
            <w:gridSpan w:val="2"/>
          </w:tcPr>
          <w:p>
            <w:pPr>
              <w:pStyle w:val="nTable"/>
              <w:keepNext/>
              <w:spacing w:after="40"/>
              <w:ind w:right="113"/>
              <w:rPr>
                <w:vertAlign w:val="superscript"/>
              </w:rPr>
            </w:pPr>
            <w:r>
              <w:rPr>
                <w:i/>
              </w:rPr>
              <w:lastRenderedPageBreak/>
              <w:t>Misuse of Drugs Amendment Act 1995</w:t>
            </w:r>
            <w:r>
              <w:rPr>
                <w:vertAlign w:val="superscript"/>
              </w:rPr>
              <w:t> 3</w:t>
            </w:r>
          </w:p>
        </w:tc>
        <w:tc>
          <w:tcPr>
            <w:tcW w:w="1134" w:type="dxa"/>
            <w:gridSpan w:val="2"/>
          </w:tcPr>
          <w:p>
            <w:pPr>
              <w:pStyle w:val="nTable"/>
              <w:keepNext/>
              <w:spacing w:after="40"/>
            </w:pPr>
            <w:r>
              <w:t>44 of 1995</w:t>
            </w:r>
          </w:p>
        </w:tc>
        <w:tc>
          <w:tcPr>
            <w:tcW w:w="1106" w:type="dxa"/>
          </w:tcPr>
          <w:p>
            <w:pPr>
              <w:pStyle w:val="nTable"/>
              <w:keepNext/>
              <w:spacing w:after="40"/>
            </w:pPr>
            <w:r>
              <w:t>18 Oct 1995</w:t>
            </w:r>
          </w:p>
        </w:tc>
        <w:tc>
          <w:tcPr>
            <w:tcW w:w="2581" w:type="dxa"/>
          </w:tcPr>
          <w:p>
            <w:pPr>
              <w:pStyle w:val="nTable"/>
              <w:keepNext/>
              <w:spacing w:after="40"/>
            </w:pPr>
            <w:r>
              <w:t>s. 1 and 2: 18 Oct 1995;</w:t>
            </w:r>
            <w:r>
              <w:br/>
              <w:t xml:space="preserve">Act other than s. 1 and 2: 16 Aug 1996 (see s. 2 and </w:t>
            </w:r>
            <w:r>
              <w:rPr>
                <w:i/>
              </w:rPr>
              <w:t>Gazette</w:t>
            </w:r>
            <w:r>
              <w:t xml:space="preserve"> 16 Aug 1996 p. 4007)</w:t>
            </w:r>
          </w:p>
        </w:tc>
      </w:tr>
      <w:tr>
        <w:trPr>
          <w:cantSplit/>
        </w:trPr>
        <w:tc>
          <w:tcPr>
            <w:tcW w:w="2268" w:type="dxa"/>
            <w:gridSpan w:val="2"/>
          </w:tcPr>
          <w:p>
            <w:pPr>
              <w:pStyle w:val="nTable"/>
              <w:spacing w:after="40"/>
              <w:ind w:right="113"/>
            </w:pPr>
            <w:r>
              <w:rPr>
                <w:i/>
              </w:rPr>
              <w:t xml:space="preserve">Poisons Amendment Act 1995 </w:t>
            </w:r>
            <w:r>
              <w:t>s. 43</w:t>
            </w:r>
          </w:p>
        </w:tc>
        <w:tc>
          <w:tcPr>
            <w:tcW w:w="1134" w:type="dxa"/>
            <w:gridSpan w:val="2"/>
          </w:tcPr>
          <w:p>
            <w:pPr>
              <w:pStyle w:val="nTable"/>
              <w:spacing w:after="40"/>
            </w:pPr>
            <w:r>
              <w:t>48 of 1995</w:t>
            </w:r>
          </w:p>
        </w:tc>
        <w:tc>
          <w:tcPr>
            <w:tcW w:w="1106" w:type="dxa"/>
          </w:tcPr>
          <w:p>
            <w:pPr>
              <w:pStyle w:val="nTable"/>
              <w:spacing w:after="40"/>
            </w:pPr>
            <w:r>
              <w:t>6 Nov 1995</w:t>
            </w:r>
          </w:p>
        </w:tc>
        <w:tc>
          <w:tcPr>
            <w:tcW w:w="2581" w:type="dxa"/>
          </w:tcPr>
          <w:p>
            <w:pPr>
              <w:pStyle w:val="nTable"/>
              <w:spacing w:after="40"/>
            </w:pPr>
            <w:r>
              <w:t xml:space="preserve">20 Mar 1996 (see s. 2 and </w:t>
            </w:r>
            <w:r>
              <w:rPr>
                <w:i/>
              </w:rPr>
              <w:t>Gazette</w:t>
            </w:r>
            <w:r>
              <w:t xml:space="preserve"> 19 Mar 1996 p. 1203)</w:t>
            </w:r>
          </w:p>
        </w:tc>
      </w:tr>
      <w:tr>
        <w:trPr>
          <w:cantSplit/>
        </w:trPr>
        <w:tc>
          <w:tcPr>
            <w:tcW w:w="7089" w:type="dxa"/>
            <w:gridSpan w:val="6"/>
          </w:tcPr>
          <w:p>
            <w:pPr>
              <w:pStyle w:val="nTable"/>
              <w:spacing w:after="40"/>
            </w:pPr>
            <w:r>
              <w:rPr>
                <w:b/>
              </w:rPr>
              <w:t xml:space="preserve">Reprint of the </w:t>
            </w:r>
            <w:r>
              <w:rPr>
                <w:b/>
                <w:i/>
              </w:rPr>
              <w:t>Misuse of Drugs Act 1981</w:t>
            </w:r>
            <w:r>
              <w:rPr>
                <w:b/>
              </w:rPr>
              <w:t xml:space="preserve"> as at 11 Nov 1996</w:t>
            </w:r>
            <w:r>
              <w:t xml:space="preserve"> (includes amendments listed above)</w:t>
            </w:r>
          </w:p>
        </w:tc>
      </w:tr>
      <w:tr>
        <w:trPr>
          <w:cantSplit/>
        </w:trPr>
        <w:tc>
          <w:tcPr>
            <w:tcW w:w="2268" w:type="dxa"/>
            <w:gridSpan w:val="2"/>
          </w:tcPr>
          <w:p>
            <w:pPr>
              <w:pStyle w:val="nTable"/>
              <w:spacing w:after="40"/>
              <w:ind w:right="113"/>
            </w:pPr>
            <w:r>
              <w:rPr>
                <w:i/>
              </w:rPr>
              <w:t>Misuse of Drugs Amendment Act 1998</w:t>
            </w:r>
          </w:p>
        </w:tc>
        <w:tc>
          <w:tcPr>
            <w:tcW w:w="1134" w:type="dxa"/>
            <w:gridSpan w:val="2"/>
          </w:tcPr>
          <w:p>
            <w:pPr>
              <w:pStyle w:val="nTable"/>
              <w:spacing w:after="40"/>
            </w:pPr>
            <w:r>
              <w:t>3 of 1998</w:t>
            </w:r>
          </w:p>
        </w:tc>
        <w:tc>
          <w:tcPr>
            <w:tcW w:w="1106" w:type="dxa"/>
          </w:tcPr>
          <w:p>
            <w:pPr>
              <w:pStyle w:val="nTable"/>
              <w:spacing w:after="40"/>
            </w:pPr>
            <w:r>
              <w:t>26 Mar 1998</w:t>
            </w:r>
          </w:p>
        </w:tc>
        <w:tc>
          <w:tcPr>
            <w:tcW w:w="2581" w:type="dxa"/>
          </w:tcPr>
          <w:p>
            <w:pPr>
              <w:pStyle w:val="nTable"/>
              <w:spacing w:after="40"/>
            </w:pPr>
            <w:r>
              <w:t>26 Mar 1998 (see s. 2)</w:t>
            </w:r>
          </w:p>
        </w:tc>
      </w:tr>
      <w:tr>
        <w:trPr>
          <w:cantSplit/>
        </w:trPr>
        <w:tc>
          <w:tcPr>
            <w:tcW w:w="2268" w:type="dxa"/>
            <w:gridSpan w:val="2"/>
          </w:tcPr>
          <w:p>
            <w:pPr>
              <w:pStyle w:val="nTable"/>
              <w:spacing w:after="40"/>
              <w:ind w:right="113"/>
              <w:rPr>
                <w:i/>
              </w:rPr>
            </w:pPr>
            <w:r>
              <w:rPr>
                <w:i/>
              </w:rPr>
              <w:t xml:space="preserve">Statutes (Repeals and Minor Amendments) Act 2000 </w:t>
            </w:r>
            <w:r>
              <w:t>s. 27</w:t>
            </w:r>
          </w:p>
        </w:tc>
        <w:tc>
          <w:tcPr>
            <w:tcW w:w="1134" w:type="dxa"/>
            <w:gridSpan w:val="2"/>
          </w:tcPr>
          <w:p>
            <w:pPr>
              <w:pStyle w:val="nTable"/>
              <w:spacing w:after="40"/>
            </w:pPr>
            <w:r>
              <w:t>24 of 2000</w:t>
            </w:r>
          </w:p>
        </w:tc>
        <w:tc>
          <w:tcPr>
            <w:tcW w:w="1106" w:type="dxa"/>
          </w:tcPr>
          <w:p>
            <w:pPr>
              <w:pStyle w:val="nTable"/>
              <w:spacing w:after="40"/>
            </w:pPr>
            <w:r>
              <w:t>4 Jul 2000</w:t>
            </w:r>
          </w:p>
        </w:tc>
        <w:tc>
          <w:tcPr>
            <w:tcW w:w="2581" w:type="dxa"/>
          </w:tcPr>
          <w:p>
            <w:pPr>
              <w:pStyle w:val="nTable"/>
              <w:spacing w:after="40"/>
            </w:pPr>
            <w:r>
              <w:t>4 Jul 2000 (see s. 2)</w:t>
            </w:r>
          </w:p>
        </w:tc>
      </w:tr>
      <w:tr>
        <w:trPr>
          <w:cantSplit/>
        </w:trPr>
        <w:tc>
          <w:tcPr>
            <w:tcW w:w="2268" w:type="dxa"/>
            <w:gridSpan w:val="2"/>
          </w:tcPr>
          <w:p>
            <w:pPr>
              <w:pStyle w:val="nTable"/>
              <w:spacing w:after="40"/>
              <w:ind w:right="113"/>
              <w:rPr>
                <w:vertAlign w:val="superscript"/>
              </w:rPr>
            </w:pPr>
            <w:r>
              <w:rPr>
                <w:i/>
              </w:rPr>
              <w:t xml:space="preserve">Criminal Property Confiscation (Consequential Provisions) Act 2000 </w:t>
            </w:r>
            <w:r>
              <w:t>s. 5</w:t>
            </w:r>
            <w:r>
              <w:rPr>
                <w:vertAlign w:val="superscript"/>
              </w:rPr>
              <w:t> 4</w:t>
            </w:r>
          </w:p>
        </w:tc>
        <w:tc>
          <w:tcPr>
            <w:tcW w:w="1134" w:type="dxa"/>
            <w:gridSpan w:val="2"/>
          </w:tcPr>
          <w:p>
            <w:pPr>
              <w:pStyle w:val="nTable"/>
              <w:spacing w:after="40"/>
            </w:pPr>
            <w:r>
              <w:t>69 of 2000</w:t>
            </w:r>
          </w:p>
        </w:tc>
        <w:tc>
          <w:tcPr>
            <w:tcW w:w="1106" w:type="dxa"/>
          </w:tcPr>
          <w:p>
            <w:pPr>
              <w:pStyle w:val="nTable"/>
              <w:spacing w:after="40"/>
            </w:pPr>
            <w:r>
              <w:t>6 Dec 2000</w:t>
            </w:r>
          </w:p>
        </w:tc>
        <w:tc>
          <w:tcPr>
            <w:tcW w:w="2581" w:type="dxa"/>
          </w:tcPr>
          <w:p>
            <w:pPr>
              <w:pStyle w:val="nTable"/>
              <w:spacing w:after="40"/>
            </w:pPr>
            <w:r>
              <w:t xml:space="preserve">1 Jan 2001 (see s. 2 and </w:t>
            </w:r>
            <w:r>
              <w:rPr>
                <w:i/>
              </w:rPr>
              <w:t>Gazette</w:t>
            </w:r>
            <w:r>
              <w:t> 29 Dec 2000 p. 7903)</w:t>
            </w:r>
          </w:p>
        </w:tc>
      </w:tr>
      <w:tr>
        <w:trPr>
          <w:cantSplit/>
        </w:trPr>
        <w:tc>
          <w:tcPr>
            <w:tcW w:w="7089" w:type="dxa"/>
            <w:gridSpan w:val="6"/>
          </w:tcPr>
          <w:p>
            <w:pPr>
              <w:pStyle w:val="nTable"/>
              <w:spacing w:after="40"/>
            </w:pPr>
            <w:r>
              <w:rPr>
                <w:b/>
              </w:rPr>
              <w:t xml:space="preserve">Reprint of the </w:t>
            </w:r>
            <w:r>
              <w:rPr>
                <w:b/>
                <w:i/>
              </w:rPr>
              <w:t>Misuse of Drugs Act 1981</w:t>
            </w:r>
            <w:r>
              <w:rPr>
                <w:b/>
              </w:rPr>
              <w:t xml:space="preserve"> as at 11 Jan 2002</w:t>
            </w:r>
            <w:r>
              <w:t xml:space="preserve"> (includes amendments listed above)</w:t>
            </w:r>
          </w:p>
        </w:tc>
      </w:tr>
      <w:tr>
        <w:trPr>
          <w:cantSplit/>
        </w:trPr>
        <w:tc>
          <w:tcPr>
            <w:tcW w:w="2268" w:type="dxa"/>
            <w:gridSpan w:val="2"/>
          </w:tcPr>
          <w:p>
            <w:pPr>
              <w:pStyle w:val="nTable"/>
              <w:spacing w:after="40"/>
            </w:pPr>
            <w:r>
              <w:rPr>
                <w:i/>
              </w:rPr>
              <w:t>Nurses Amendment Act 2003</w:t>
            </w:r>
            <w:r>
              <w:t xml:space="preserve"> Pt. 3 Div. 2</w:t>
            </w:r>
          </w:p>
        </w:tc>
        <w:tc>
          <w:tcPr>
            <w:tcW w:w="1134" w:type="dxa"/>
            <w:gridSpan w:val="2"/>
          </w:tcPr>
          <w:p>
            <w:pPr>
              <w:pStyle w:val="nTable"/>
              <w:spacing w:after="40"/>
            </w:pPr>
            <w:r>
              <w:t>9 of 2003</w:t>
            </w:r>
          </w:p>
        </w:tc>
        <w:tc>
          <w:tcPr>
            <w:tcW w:w="1106" w:type="dxa"/>
          </w:tcPr>
          <w:p>
            <w:pPr>
              <w:pStyle w:val="nTable"/>
              <w:spacing w:after="40"/>
            </w:pPr>
            <w:r>
              <w:t>9 Apr 2003</w:t>
            </w:r>
          </w:p>
        </w:tc>
        <w:tc>
          <w:tcPr>
            <w:tcW w:w="2581" w:type="dxa"/>
          </w:tcPr>
          <w:p>
            <w:pPr>
              <w:pStyle w:val="nTable"/>
              <w:spacing w:after="40"/>
            </w:pPr>
            <w:r>
              <w:t>9 Apr 2003 (see s. 2)</w:t>
            </w:r>
          </w:p>
        </w:tc>
      </w:tr>
      <w:tr>
        <w:trPr>
          <w:cantSplit/>
        </w:trPr>
        <w:tc>
          <w:tcPr>
            <w:tcW w:w="2268" w:type="dxa"/>
            <w:gridSpan w:val="2"/>
          </w:tcPr>
          <w:p>
            <w:pPr>
              <w:pStyle w:val="nTable"/>
              <w:spacing w:after="40"/>
            </w:pPr>
            <w:r>
              <w:rPr>
                <w:i/>
              </w:rPr>
              <w:t>Cannabis Control Act 2003</w:t>
            </w:r>
            <w:r>
              <w:t xml:space="preserve"> Pt. 5</w:t>
            </w:r>
          </w:p>
        </w:tc>
        <w:tc>
          <w:tcPr>
            <w:tcW w:w="1134" w:type="dxa"/>
            <w:gridSpan w:val="2"/>
          </w:tcPr>
          <w:p>
            <w:pPr>
              <w:pStyle w:val="nTable"/>
              <w:spacing w:after="40"/>
            </w:pPr>
            <w:r>
              <w:t>52 of 2003</w:t>
            </w:r>
          </w:p>
        </w:tc>
        <w:tc>
          <w:tcPr>
            <w:tcW w:w="1106" w:type="dxa"/>
          </w:tcPr>
          <w:p>
            <w:pPr>
              <w:pStyle w:val="nTable"/>
              <w:spacing w:after="40"/>
            </w:pPr>
            <w:r>
              <w:t>1 Oct 2003</w:t>
            </w:r>
          </w:p>
        </w:tc>
        <w:tc>
          <w:tcPr>
            <w:tcW w:w="2581" w:type="dxa"/>
          </w:tcPr>
          <w:p>
            <w:pPr>
              <w:pStyle w:val="nTable"/>
              <w:spacing w:after="40"/>
            </w:pPr>
            <w:r>
              <w:t xml:space="preserve">22 Mar 2004 (see s. 2 and </w:t>
            </w:r>
            <w:r>
              <w:rPr>
                <w:i/>
              </w:rPr>
              <w:t>Gazette</w:t>
            </w:r>
            <w:r>
              <w:t xml:space="preserve"> 9 Mar 2004 p. 733)</w:t>
            </w:r>
          </w:p>
        </w:tc>
      </w:tr>
      <w:tr>
        <w:trPr>
          <w:cantSplit/>
        </w:trPr>
        <w:tc>
          <w:tcPr>
            <w:tcW w:w="2268" w:type="dxa"/>
            <w:gridSpan w:val="2"/>
          </w:tcPr>
          <w:p>
            <w:pPr>
              <w:pStyle w:val="nTable"/>
              <w:spacing w:after="40"/>
            </w:pPr>
            <w:r>
              <w:rPr>
                <w:i/>
              </w:rPr>
              <w:t>Industrial Hemp Act 2004</w:t>
            </w:r>
            <w:r>
              <w:t xml:space="preserve"> Pt. 7</w:t>
            </w:r>
          </w:p>
        </w:tc>
        <w:tc>
          <w:tcPr>
            <w:tcW w:w="1134" w:type="dxa"/>
            <w:gridSpan w:val="2"/>
          </w:tcPr>
          <w:p>
            <w:pPr>
              <w:pStyle w:val="nTable"/>
              <w:spacing w:after="40"/>
            </w:pPr>
            <w:r>
              <w:t>1 of 2004</w:t>
            </w:r>
          </w:p>
        </w:tc>
        <w:tc>
          <w:tcPr>
            <w:tcW w:w="1106" w:type="dxa"/>
          </w:tcPr>
          <w:p>
            <w:pPr>
              <w:pStyle w:val="nTable"/>
              <w:spacing w:after="40"/>
            </w:pPr>
            <w:r>
              <w:t>12 Mar 2004</w:t>
            </w:r>
          </w:p>
        </w:tc>
        <w:tc>
          <w:tcPr>
            <w:tcW w:w="2581" w:type="dxa"/>
          </w:tcPr>
          <w:p>
            <w:pPr>
              <w:pStyle w:val="nTable"/>
              <w:spacing w:after="40"/>
            </w:pPr>
            <w:r>
              <w:t xml:space="preserve">19 May 2004 (see s. 2 and </w:t>
            </w:r>
            <w:r>
              <w:rPr>
                <w:i/>
              </w:rPr>
              <w:t>Gazette</w:t>
            </w:r>
            <w:r>
              <w:t xml:space="preserve"> 18 May 2004 p. 1561)</w:t>
            </w:r>
          </w:p>
        </w:tc>
      </w:tr>
      <w:tr>
        <w:trPr>
          <w:cantSplit/>
        </w:trPr>
        <w:tc>
          <w:tcPr>
            <w:tcW w:w="2268" w:type="dxa"/>
            <w:gridSpan w:val="2"/>
          </w:tcPr>
          <w:p>
            <w:pPr>
              <w:pStyle w:val="nTable"/>
              <w:spacing w:after="40"/>
              <w:rPr>
                <w:i/>
              </w:rPr>
            </w:pPr>
            <w:r>
              <w:rPr>
                <w:i/>
                <w:noProof/>
                <w:snapToGrid w:val="0"/>
              </w:rPr>
              <w:t xml:space="preserve">Criminal Code Amendment Act 2004 </w:t>
            </w:r>
            <w:r>
              <w:rPr>
                <w:noProof/>
                <w:snapToGrid w:val="0"/>
              </w:rPr>
              <w:t>s. 58</w:t>
            </w:r>
          </w:p>
        </w:tc>
        <w:tc>
          <w:tcPr>
            <w:tcW w:w="1134" w:type="dxa"/>
            <w:gridSpan w:val="2"/>
          </w:tcPr>
          <w:p>
            <w:pPr>
              <w:pStyle w:val="nTable"/>
              <w:spacing w:after="40"/>
            </w:pPr>
            <w:r>
              <w:t>4 of 2004</w:t>
            </w:r>
          </w:p>
        </w:tc>
        <w:tc>
          <w:tcPr>
            <w:tcW w:w="1106" w:type="dxa"/>
          </w:tcPr>
          <w:p>
            <w:pPr>
              <w:pStyle w:val="nTable"/>
              <w:spacing w:after="40"/>
            </w:pPr>
            <w:r>
              <w:t>23 Apr 2004</w:t>
            </w:r>
          </w:p>
        </w:tc>
        <w:tc>
          <w:tcPr>
            <w:tcW w:w="2581" w:type="dxa"/>
          </w:tcPr>
          <w:p>
            <w:pPr>
              <w:pStyle w:val="nTable"/>
              <w:spacing w:after="40"/>
            </w:pPr>
            <w:r>
              <w:t>21 May 2004 (see s. 2)</w:t>
            </w:r>
          </w:p>
        </w:tc>
      </w:tr>
      <w:tr>
        <w:trPr>
          <w:cantSplit/>
        </w:trPr>
        <w:tc>
          <w:tcPr>
            <w:tcW w:w="2268" w:type="dxa"/>
            <w:gridSpan w:val="2"/>
          </w:tcPr>
          <w:p>
            <w:pPr>
              <w:pStyle w:val="nTable"/>
              <w:spacing w:after="40"/>
              <w:rPr>
                <w:i/>
                <w:noProof/>
                <w:snapToGrid w:val="0"/>
              </w:rPr>
            </w:pPr>
            <w:r>
              <w:rPr>
                <w:i/>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06" w:type="dxa"/>
          </w:tcPr>
          <w:p>
            <w:pPr>
              <w:pStyle w:val="nTable"/>
              <w:spacing w:after="40"/>
            </w:pPr>
            <w:r>
              <w:t>23 Nov 2004</w:t>
            </w:r>
          </w:p>
        </w:tc>
        <w:tc>
          <w:tcPr>
            <w:tcW w:w="258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gridSpan w:val="2"/>
          </w:tcPr>
          <w:p>
            <w:pPr>
              <w:pStyle w:val="nTable"/>
              <w:spacing w:after="40"/>
              <w:rPr>
                <w:noProof/>
                <w:snapToGrid w:val="0"/>
              </w:rPr>
            </w:pPr>
            <w:r>
              <w:rPr>
                <w:i/>
                <w:snapToGrid w:val="0"/>
              </w:rPr>
              <w:t>Misuse of Drugs Amendment Act 2004</w:t>
            </w:r>
            <w:r>
              <w:rPr>
                <w:snapToGrid w:val="0"/>
              </w:rPr>
              <w:t xml:space="preserve"> </w:t>
            </w:r>
          </w:p>
        </w:tc>
        <w:tc>
          <w:tcPr>
            <w:tcW w:w="1134" w:type="dxa"/>
            <w:gridSpan w:val="2"/>
          </w:tcPr>
          <w:p>
            <w:pPr>
              <w:pStyle w:val="nTable"/>
              <w:spacing w:after="40"/>
            </w:pPr>
            <w:r>
              <w:rPr>
                <w:snapToGrid w:val="0"/>
              </w:rPr>
              <w:t>62 of 2004</w:t>
            </w:r>
          </w:p>
        </w:tc>
        <w:tc>
          <w:tcPr>
            <w:tcW w:w="1106" w:type="dxa"/>
          </w:tcPr>
          <w:p>
            <w:pPr>
              <w:pStyle w:val="nTable"/>
              <w:spacing w:after="40"/>
            </w:pPr>
            <w:r>
              <w:t>24 Nov 2004</w:t>
            </w:r>
          </w:p>
        </w:tc>
        <w:tc>
          <w:tcPr>
            <w:tcW w:w="2581" w:type="dxa"/>
          </w:tcPr>
          <w:p>
            <w:pPr>
              <w:pStyle w:val="nTable"/>
              <w:spacing w:after="40"/>
            </w:pPr>
            <w:r>
              <w:t>s. 1 and 2: 24 Nov 2004;</w:t>
            </w:r>
            <w:r>
              <w:br/>
              <w:t xml:space="preserve">Act other than s. 1 and 2: </w:t>
            </w:r>
            <w:r>
              <w:br/>
              <w:t xml:space="preserve">1 Jan 2005 (see s. 2 and </w:t>
            </w:r>
            <w:r>
              <w:rPr>
                <w:i/>
              </w:rPr>
              <w:t xml:space="preserve">Gazette </w:t>
            </w:r>
            <w:r>
              <w:t>10 Dec 2004 p. 5965)</w:t>
            </w:r>
          </w:p>
        </w:tc>
      </w:tr>
      <w:tr>
        <w:trPr>
          <w:cantSplit/>
        </w:trPr>
        <w:tc>
          <w:tcPr>
            <w:tcW w:w="2268"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82</w:t>
            </w:r>
          </w:p>
        </w:tc>
        <w:tc>
          <w:tcPr>
            <w:tcW w:w="1134" w:type="dxa"/>
            <w:gridSpan w:val="2"/>
          </w:tcPr>
          <w:p>
            <w:pPr>
              <w:pStyle w:val="nTable"/>
              <w:spacing w:after="40"/>
              <w:rPr>
                <w:snapToGrid w:val="0"/>
              </w:rPr>
            </w:pPr>
            <w:r>
              <w:rPr>
                <w:snapToGrid w:val="0"/>
              </w:rPr>
              <w:t>84 of 2004</w:t>
            </w:r>
          </w:p>
        </w:tc>
        <w:tc>
          <w:tcPr>
            <w:tcW w:w="1106" w:type="dxa"/>
          </w:tcPr>
          <w:p>
            <w:pPr>
              <w:pStyle w:val="nTable"/>
              <w:spacing w:after="40"/>
            </w:pPr>
            <w:r>
              <w:t>16 Dec 2004</w:t>
            </w:r>
          </w:p>
        </w:tc>
        <w:tc>
          <w:tcPr>
            <w:tcW w:w="258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6"/>
          </w:tcPr>
          <w:p>
            <w:pPr>
              <w:pStyle w:val="nTable"/>
              <w:spacing w:after="40"/>
              <w:rPr>
                <w:snapToGrid w:val="0"/>
              </w:rPr>
            </w:pPr>
            <w:r>
              <w:rPr>
                <w:b/>
              </w:rPr>
              <w:lastRenderedPageBreak/>
              <w:t xml:space="preserve">Reprint 3: The </w:t>
            </w:r>
            <w:r>
              <w:rPr>
                <w:b/>
                <w:i/>
              </w:rPr>
              <w:t>Misuse of Drugs Act 1981</w:t>
            </w:r>
            <w:r>
              <w:rPr>
                <w:b/>
              </w:rPr>
              <w:t xml:space="preserve"> as at 1 Jul 2005</w:t>
            </w:r>
            <w:r>
              <w:t xml:space="preserve"> (includes amendments listed above)</w:t>
            </w:r>
          </w:p>
        </w:tc>
      </w:tr>
      <w:tr>
        <w:trPr>
          <w:cantSplit/>
        </w:trPr>
        <w:tc>
          <w:tcPr>
            <w:tcW w:w="2268" w:type="dxa"/>
            <w:gridSpan w:val="2"/>
          </w:tcPr>
          <w:p>
            <w:pPr>
              <w:pStyle w:val="nTable"/>
              <w:spacing w:after="40"/>
              <w:rPr>
                <w:i/>
                <w:snapToGrid w:val="0"/>
                <w:vertAlign w:val="superscript"/>
              </w:rPr>
            </w:pPr>
            <w:r>
              <w:rPr>
                <w:i/>
                <w:snapToGrid w:val="0"/>
              </w:rPr>
              <w:t xml:space="preserve">Machinery of Government (Miscellaneous Amendments) Act 2006 </w:t>
            </w:r>
            <w:r>
              <w:rPr>
                <w:snapToGrid w:val="0"/>
              </w:rPr>
              <w:t>Pt. 14 Div. 2</w:t>
            </w:r>
          </w:p>
        </w:tc>
        <w:tc>
          <w:tcPr>
            <w:tcW w:w="1134" w:type="dxa"/>
            <w:gridSpan w:val="2"/>
          </w:tcPr>
          <w:p>
            <w:pPr>
              <w:pStyle w:val="nTable"/>
              <w:spacing w:after="40"/>
              <w:rPr>
                <w:snapToGrid w:val="0"/>
              </w:rPr>
            </w:pPr>
            <w:r>
              <w:rPr>
                <w:snapToGrid w:val="0"/>
              </w:rPr>
              <w:t>28 of 2006</w:t>
            </w:r>
          </w:p>
        </w:tc>
        <w:tc>
          <w:tcPr>
            <w:tcW w:w="1106" w:type="dxa"/>
          </w:tcPr>
          <w:p>
            <w:pPr>
              <w:pStyle w:val="nTable"/>
              <w:spacing w:after="40"/>
            </w:pPr>
            <w:r>
              <w:t>26 Jun 2006</w:t>
            </w:r>
          </w:p>
        </w:tc>
        <w:tc>
          <w:tcPr>
            <w:tcW w:w="2581" w:type="dxa"/>
          </w:tcPr>
          <w:p>
            <w:pPr>
              <w:pStyle w:val="nTable"/>
              <w:spacing w:after="40"/>
            </w:pPr>
            <w:r>
              <w:rPr>
                <w:snapToGrid w:val="0"/>
              </w:rPr>
              <w:t xml:space="preserve">1 Jul 2006 (see s. 2 and </w:t>
            </w:r>
            <w:r>
              <w:rPr>
                <w:i/>
                <w:snapToGrid w:val="0"/>
              </w:rPr>
              <w:t>Gazette</w:t>
            </w:r>
            <w:r>
              <w:rPr>
                <w:snapToGrid w:val="0"/>
              </w:rPr>
              <w:t xml:space="preserve"> 27 Jun 2006 p. 2347)</w:t>
            </w:r>
          </w:p>
        </w:tc>
      </w:tr>
      <w:tr>
        <w:trPr>
          <w:cantSplit/>
        </w:trPr>
        <w:tc>
          <w:tcPr>
            <w:tcW w:w="2268" w:type="dxa"/>
            <w:gridSpan w:val="2"/>
          </w:tcPr>
          <w:p>
            <w:pPr>
              <w:pStyle w:val="nTable"/>
              <w:spacing w:after="40"/>
              <w:rPr>
                <w:i/>
                <w:snapToGrid w:val="0"/>
              </w:rPr>
            </w:pPr>
            <w:r>
              <w:rPr>
                <w:i/>
                <w:snapToGrid w:val="0"/>
              </w:rPr>
              <w:t>Misuse of Drugs Amendment Act 2006</w:t>
            </w:r>
            <w:r>
              <w:rPr>
                <w:snapToGrid w:val="0"/>
              </w:rPr>
              <w:t xml:space="preserve"> </w:t>
            </w:r>
          </w:p>
        </w:tc>
        <w:tc>
          <w:tcPr>
            <w:tcW w:w="1134" w:type="dxa"/>
            <w:gridSpan w:val="2"/>
          </w:tcPr>
          <w:p>
            <w:pPr>
              <w:pStyle w:val="nTable"/>
              <w:spacing w:after="40"/>
              <w:rPr>
                <w:snapToGrid w:val="0"/>
              </w:rPr>
            </w:pPr>
            <w:r>
              <w:rPr>
                <w:snapToGrid w:val="0"/>
              </w:rPr>
              <w:t>40 of 2006</w:t>
            </w:r>
          </w:p>
        </w:tc>
        <w:tc>
          <w:tcPr>
            <w:tcW w:w="1106" w:type="dxa"/>
          </w:tcPr>
          <w:p>
            <w:pPr>
              <w:pStyle w:val="nTable"/>
              <w:spacing w:after="40"/>
            </w:pPr>
            <w:r>
              <w:rPr>
                <w:snapToGrid w:val="0"/>
              </w:rPr>
              <w:t>22 Sep 2006</w:t>
            </w:r>
          </w:p>
        </w:tc>
        <w:tc>
          <w:tcPr>
            <w:tcW w:w="2581" w:type="dxa"/>
          </w:tcPr>
          <w:p>
            <w:pPr>
              <w:pStyle w:val="nTable"/>
              <w:spacing w:after="40"/>
              <w:rPr>
                <w:snapToGrid w:val="0"/>
              </w:rPr>
            </w:pPr>
            <w:r>
              <w:t>s. 1 and 2: 22 Sep 2006;</w:t>
            </w:r>
            <w:r>
              <w:br/>
              <w:t xml:space="preserve">Act other than s. 1 and 2: </w:t>
            </w:r>
            <w:r>
              <w:br/>
              <w:t xml:space="preserve">28 Apr 2007 (see s. 2 and </w:t>
            </w:r>
            <w:r>
              <w:rPr>
                <w:i/>
                <w:iCs/>
              </w:rPr>
              <w:t>Gazette</w:t>
            </w:r>
            <w:r>
              <w:t xml:space="preserve"> 27 Apr 2007 p. 1775)</w:t>
            </w:r>
          </w:p>
        </w:tc>
      </w:tr>
      <w:tr>
        <w:trPr>
          <w:cantSplit/>
        </w:trPr>
        <w:tc>
          <w:tcPr>
            <w:tcW w:w="2268" w:type="dxa"/>
            <w:gridSpan w:val="2"/>
          </w:tcPr>
          <w:p>
            <w:pPr>
              <w:pStyle w:val="nTable"/>
              <w:spacing w:after="40"/>
              <w:rPr>
                <w:i/>
                <w:snapToGrid w:val="0"/>
              </w:rPr>
            </w:pPr>
            <w:r>
              <w:rPr>
                <w:i/>
                <w:snapToGrid w:val="0"/>
              </w:rPr>
              <w:t>Nurses and Midwives Act 2006</w:t>
            </w:r>
            <w:r>
              <w:rPr>
                <w:snapToGrid w:val="0"/>
              </w:rPr>
              <w:t xml:space="preserve"> Sch. 3 cl. 15</w:t>
            </w:r>
          </w:p>
        </w:tc>
        <w:tc>
          <w:tcPr>
            <w:tcW w:w="1134" w:type="dxa"/>
            <w:gridSpan w:val="2"/>
          </w:tcPr>
          <w:p>
            <w:pPr>
              <w:pStyle w:val="nTable"/>
              <w:spacing w:after="40"/>
              <w:rPr>
                <w:snapToGrid w:val="0"/>
              </w:rPr>
            </w:pPr>
            <w:r>
              <w:rPr>
                <w:snapToGrid w:val="0"/>
              </w:rPr>
              <w:t>50 of 2006</w:t>
            </w:r>
          </w:p>
        </w:tc>
        <w:tc>
          <w:tcPr>
            <w:tcW w:w="1106" w:type="dxa"/>
          </w:tcPr>
          <w:p>
            <w:pPr>
              <w:pStyle w:val="nTable"/>
              <w:spacing w:after="40"/>
              <w:rPr>
                <w:snapToGrid w:val="0"/>
              </w:rPr>
            </w:pPr>
            <w:r>
              <w:rPr>
                <w:snapToGrid w:val="0"/>
              </w:rPr>
              <w:t>6 Oct 2006</w:t>
            </w:r>
          </w:p>
        </w:tc>
        <w:tc>
          <w:tcPr>
            <w:tcW w:w="2581" w:type="dxa"/>
          </w:tcPr>
          <w:p>
            <w:pPr>
              <w:pStyle w:val="nTable"/>
              <w:spacing w:after="40"/>
            </w:pPr>
            <w:r>
              <w:t xml:space="preserve">19 Sep 2007 (see s. 2 and </w:t>
            </w:r>
            <w:r>
              <w:rPr>
                <w:i/>
                <w:iCs/>
              </w:rPr>
              <w:t>Gazette</w:t>
            </w:r>
            <w:r>
              <w:t xml:space="preserve"> 18 Sep 2007 p. 4711)</w:t>
            </w:r>
          </w:p>
        </w:tc>
      </w:tr>
      <w:tr>
        <w:trPr>
          <w:cantSplit/>
        </w:trPr>
        <w:tc>
          <w:tcPr>
            <w:tcW w:w="4508" w:type="dxa"/>
            <w:gridSpan w:val="5"/>
          </w:tcPr>
          <w:p>
            <w:pPr>
              <w:pStyle w:val="nTable"/>
              <w:spacing w:after="40"/>
              <w:rPr>
                <w:snapToGrid w:val="0"/>
              </w:rPr>
            </w:pPr>
            <w:r>
              <w:rPr>
                <w:i/>
                <w:iCs/>
                <w:snapToGrid w:val="0"/>
              </w:rPr>
              <w:t>Misuse of Drugs (Amounts of Prohibited Drugs) Order 2007</w:t>
            </w:r>
            <w:r>
              <w:rPr>
                <w:snapToGrid w:val="0"/>
              </w:rPr>
              <w:t xml:space="preserve"> published in </w:t>
            </w:r>
            <w:r>
              <w:rPr>
                <w:i/>
                <w:iCs/>
                <w:snapToGrid w:val="0"/>
              </w:rPr>
              <w:t>Gazette</w:t>
            </w:r>
            <w:r>
              <w:rPr>
                <w:snapToGrid w:val="0"/>
              </w:rPr>
              <w:t xml:space="preserve"> 7 Dec 2007 p. 5985</w:t>
            </w:r>
          </w:p>
        </w:tc>
        <w:tc>
          <w:tcPr>
            <w:tcW w:w="2581" w:type="dxa"/>
          </w:tcPr>
          <w:p>
            <w:pPr>
              <w:pStyle w:val="nTable"/>
              <w:spacing w:after="40"/>
            </w:pPr>
            <w:r>
              <w:t>cl. 1 and 2: 7 Dec 2007 (see cl. 2(a));</w:t>
            </w:r>
            <w:r>
              <w:br/>
              <w:t>Order other than cl. 1 and 2: 8 Dec 2007 (see cl. 2(b))</w:t>
            </w:r>
          </w:p>
        </w:tc>
      </w:tr>
      <w:tr>
        <w:trPr>
          <w:cantSplit/>
        </w:trPr>
        <w:tc>
          <w:tcPr>
            <w:tcW w:w="7089" w:type="dxa"/>
            <w:gridSpan w:val="6"/>
          </w:tcPr>
          <w:p>
            <w:pPr>
              <w:pStyle w:val="nTable"/>
              <w:spacing w:after="40"/>
            </w:pPr>
            <w:r>
              <w:rPr>
                <w:b/>
              </w:rPr>
              <w:t xml:space="preserve">Reprint 4: The </w:t>
            </w:r>
            <w:r>
              <w:rPr>
                <w:b/>
                <w:i/>
              </w:rPr>
              <w:t>Misuse of Drugs Act 1981</w:t>
            </w:r>
            <w:r>
              <w:rPr>
                <w:b/>
              </w:rPr>
              <w:t xml:space="preserve"> as at 29 Feb 2008</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pPr>
            <w:r>
              <w:rPr>
                <w:i/>
                <w:snapToGrid w:val="0"/>
              </w:rPr>
              <w:t>Medical Practitioners Act 2008</w:t>
            </w:r>
            <w:r>
              <w:t xml:space="preserve"> Sch. 3 cl. 37</w:t>
            </w:r>
          </w:p>
        </w:tc>
        <w:tc>
          <w:tcPr>
            <w:tcW w:w="1134" w:type="dxa"/>
            <w:gridSpan w:val="2"/>
            <w:tcBorders>
              <w:top w:val="nil"/>
              <w:bottom w:val="nil"/>
            </w:tcBorders>
          </w:tcPr>
          <w:p>
            <w:pPr>
              <w:pStyle w:val="nTable"/>
              <w:spacing w:after="40"/>
            </w:pPr>
            <w:r>
              <w:t>22 of 2008</w:t>
            </w:r>
          </w:p>
        </w:tc>
        <w:tc>
          <w:tcPr>
            <w:tcW w:w="1106" w:type="dxa"/>
            <w:tcBorders>
              <w:top w:val="nil"/>
              <w:bottom w:val="nil"/>
            </w:tcBorders>
          </w:tcPr>
          <w:p>
            <w:pPr>
              <w:pStyle w:val="nTable"/>
              <w:spacing w:after="40"/>
            </w:pPr>
            <w:r>
              <w:t>27 May 2008</w:t>
            </w:r>
          </w:p>
        </w:tc>
        <w:tc>
          <w:tcPr>
            <w:tcW w:w="258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21</w:t>
            </w:r>
          </w:p>
        </w:tc>
        <w:tc>
          <w:tcPr>
            <w:tcW w:w="1134" w:type="dxa"/>
            <w:gridSpan w:val="2"/>
            <w:tcBorders>
              <w:top w:val="nil"/>
              <w:bottom w:val="nil"/>
            </w:tcBorders>
          </w:tcPr>
          <w:p>
            <w:pPr>
              <w:pStyle w:val="nTable"/>
              <w:spacing w:after="40"/>
            </w:pPr>
            <w:r>
              <w:rPr>
                <w:snapToGrid w:val="0"/>
              </w:rPr>
              <w:t>42 of 2009</w:t>
            </w:r>
          </w:p>
        </w:tc>
        <w:tc>
          <w:tcPr>
            <w:tcW w:w="1106" w:type="dxa"/>
            <w:tcBorders>
              <w:top w:val="nil"/>
              <w:bottom w:val="nil"/>
            </w:tcBorders>
          </w:tcPr>
          <w:p>
            <w:pPr>
              <w:pStyle w:val="nTable"/>
              <w:spacing w:after="40"/>
            </w:pPr>
            <w:r>
              <w:rPr>
                <w:snapToGrid w:val="0"/>
              </w:rPr>
              <w:t>3 Dec 2009</w:t>
            </w:r>
          </w:p>
        </w:tc>
        <w:tc>
          <w:tcPr>
            <w:tcW w:w="2581"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06" w:type="dxa"/>
          </w:tcPr>
          <w:p>
            <w:pPr>
              <w:pStyle w:val="nTable"/>
              <w:spacing w:after="40"/>
              <w:rPr>
                <w:snapToGrid w:val="0"/>
              </w:rPr>
            </w:pPr>
            <w:r>
              <w:rPr>
                <w:snapToGrid w:val="0"/>
              </w:rPr>
              <w:t>28 Jun 2010</w:t>
            </w:r>
          </w:p>
        </w:tc>
        <w:tc>
          <w:tcPr>
            <w:tcW w:w="258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37</w:t>
            </w:r>
          </w:p>
        </w:tc>
        <w:tc>
          <w:tcPr>
            <w:tcW w:w="1134" w:type="dxa"/>
            <w:gridSpan w:val="2"/>
          </w:tcPr>
          <w:p>
            <w:pPr>
              <w:pStyle w:val="nTable"/>
              <w:spacing w:after="40"/>
              <w:rPr>
                <w:snapToGrid w:val="0"/>
              </w:rPr>
            </w:pPr>
            <w:r>
              <w:rPr>
                <w:snapToGrid w:val="0"/>
              </w:rPr>
              <w:t>35 of 2010</w:t>
            </w:r>
          </w:p>
        </w:tc>
        <w:tc>
          <w:tcPr>
            <w:tcW w:w="1106" w:type="dxa"/>
          </w:tcPr>
          <w:p>
            <w:pPr>
              <w:pStyle w:val="nTable"/>
              <w:spacing w:after="40"/>
              <w:rPr>
                <w:snapToGrid w:val="0"/>
              </w:rPr>
            </w:pPr>
            <w:r>
              <w:rPr>
                <w:snapToGrid w:val="0"/>
              </w:rPr>
              <w:t>30 Aug 2010</w:t>
            </w:r>
          </w:p>
        </w:tc>
        <w:tc>
          <w:tcPr>
            <w:tcW w:w="258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gridSpan w:val="2"/>
          </w:tcPr>
          <w:p>
            <w:pPr>
              <w:pStyle w:val="nTable"/>
              <w:spacing w:after="40"/>
              <w:ind w:right="113"/>
              <w:rPr>
                <w:iCs/>
                <w:snapToGrid w:val="0"/>
              </w:rPr>
            </w:pPr>
            <w:r>
              <w:rPr>
                <w:i/>
                <w:snapToGrid w:val="0"/>
              </w:rPr>
              <w:t>Misuse of Drugs Amendment Act 2010</w:t>
            </w:r>
            <w:r>
              <w:rPr>
                <w:iCs/>
                <w:snapToGrid w:val="0"/>
              </w:rPr>
              <w:t xml:space="preserve"> </w:t>
            </w:r>
          </w:p>
        </w:tc>
        <w:tc>
          <w:tcPr>
            <w:tcW w:w="1134" w:type="dxa"/>
            <w:gridSpan w:val="2"/>
          </w:tcPr>
          <w:p>
            <w:pPr>
              <w:pStyle w:val="nTable"/>
              <w:spacing w:after="40"/>
              <w:rPr>
                <w:snapToGrid w:val="0"/>
              </w:rPr>
            </w:pPr>
            <w:r>
              <w:rPr>
                <w:snapToGrid w:val="0"/>
              </w:rPr>
              <w:t>44 of 2010</w:t>
            </w:r>
          </w:p>
        </w:tc>
        <w:tc>
          <w:tcPr>
            <w:tcW w:w="1106" w:type="dxa"/>
          </w:tcPr>
          <w:p>
            <w:pPr>
              <w:pStyle w:val="nTable"/>
              <w:spacing w:after="40"/>
              <w:rPr>
                <w:snapToGrid w:val="0"/>
              </w:rPr>
            </w:pPr>
            <w:r>
              <w:rPr>
                <w:snapToGrid w:val="0"/>
              </w:rPr>
              <w:t>28 Oct 2010</w:t>
            </w:r>
          </w:p>
        </w:tc>
        <w:tc>
          <w:tcPr>
            <w:tcW w:w="2581" w:type="dxa"/>
          </w:tcPr>
          <w:p>
            <w:pPr>
              <w:pStyle w:val="nTable"/>
              <w:spacing w:after="40"/>
              <w:rPr>
                <w:snapToGrid w:val="0"/>
              </w:rPr>
            </w:pPr>
            <w:r>
              <w:rPr>
                <w:snapToGrid w:val="0"/>
              </w:rPr>
              <w:t>s. 1 and 2: 28 Oct 2010 (see s. 2(a));</w:t>
            </w:r>
            <w:r>
              <w:rPr>
                <w:snapToGrid w:val="0"/>
              </w:rPr>
              <w:br/>
              <w:t xml:space="preserve">s. 3, 4 and 7(3) and (4): 22 Jan 2011 (see s. 2(b) and </w:t>
            </w:r>
            <w:r>
              <w:rPr>
                <w:i/>
                <w:iCs/>
                <w:snapToGrid w:val="0"/>
              </w:rPr>
              <w:t>Gazette</w:t>
            </w:r>
            <w:r>
              <w:rPr>
                <w:snapToGrid w:val="0"/>
              </w:rPr>
              <w:t xml:space="preserve"> 21 Jan 2011 p. 157);</w:t>
            </w:r>
            <w:r>
              <w:rPr>
                <w:snapToGrid w:val="0"/>
              </w:rPr>
              <w:br/>
              <w:t>s. 5</w:t>
            </w:r>
            <w:r>
              <w:rPr>
                <w:snapToGrid w:val="0"/>
              </w:rPr>
              <w:noBreakHyphen/>
              <w:t>7(1) and (2) and 8</w:t>
            </w:r>
            <w:r>
              <w:rPr>
                <w:snapToGrid w:val="0"/>
              </w:rPr>
              <w:noBreakHyphen/>
              <w:t xml:space="preserve">10: 9 Jul 2011 (see s. 2(b) and </w:t>
            </w:r>
            <w:r>
              <w:rPr>
                <w:i/>
                <w:snapToGrid w:val="0"/>
              </w:rPr>
              <w:t>Gazette</w:t>
            </w:r>
            <w:r>
              <w:rPr>
                <w:snapToGrid w:val="0"/>
              </w:rPr>
              <w:t xml:space="preserve"> 8 Jul 2011 p. 2895)</w:t>
            </w:r>
          </w:p>
        </w:tc>
      </w:tr>
      <w:tr>
        <w:trPr>
          <w:cantSplit/>
        </w:trPr>
        <w:tc>
          <w:tcPr>
            <w:tcW w:w="2268" w:type="dxa"/>
            <w:gridSpan w:val="2"/>
          </w:tcPr>
          <w:p>
            <w:pPr>
              <w:pStyle w:val="nTable"/>
              <w:spacing w:after="40"/>
              <w:ind w:right="113"/>
              <w:rPr>
                <w:i/>
                <w:snapToGrid w:val="0"/>
              </w:rPr>
            </w:pPr>
            <w:r>
              <w:rPr>
                <w:i/>
                <w:iCs/>
                <w:snapToGrid w:val="0"/>
              </w:rPr>
              <w:t>Cannabis Law Reform Act 2010</w:t>
            </w:r>
            <w:r>
              <w:rPr>
                <w:snapToGrid w:val="0"/>
              </w:rPr>
              <w:t xml:space="preserve"> Pt. 3 </w:t>
            </w:r>
          </w:p>
        </w:tc>
        <w:tc>
          <w:tcPr>
            <w:tcW w:w="1134" w:type="dxa"/>
            <w:gridSpan w:val="2"/>
          </w:tcPr>
          <w:p>
            <w:pPr>
              <w:pStyle w:val="nTable"/>
              <w:spacing w:after="40"/>
              <w:rPr>
                <w:snapToGrid w:val="0"/>
              </w:rPr>
            </w:pPr>
            <w:r>
              <w:rPr>
                <w:snapToGrid w:val="0"/>
              </w:rPr>
              <w:t>45 of 2010</w:t>
            </w:r>
          </w:p>
        </w:tc>
        <w:tc>
          <w:tcPr>
            <w:tcW w:w="1106" w:type="dxa"/>
          </w:tcPr>
          <w:p>
            <w:pPr>
              <w:pStyle w:val="nTable"/>
              <w:spacing w:after="40"/>
              <w:rPr>
                <w:snapToGrid w:val="0"/>
              </w:rPr>
            </w:pPr>
            <w:r>
              <w:rPr>
                <w:snapToGrid w:val="0"/>
              </w:rPr>
              <w:t>28 Oct 2010</w:t>
            </w:r>
          </w:p>
        </w:tc>
        <w:tc>
          <w:tcPr>
            <w:tcW w:w="258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gridSpan w:val="2"/>
          </w:tcPr>
          <w:p>
            <w:pPr>
              <w:pStyle w:val="nTable"/>
              <w:spacing w:after="40"/>
              <w:ind w:right="113"/>
              <w:rPr>
                <w:i/>
                <w:snapToGrid w:val="0"/>
              </w:rPr>
            </w:pPr>
            <w:r>
              <w:rPr>
                <w:i/>
                <w:iCs/>
                <w:snapToGrid w:val="0"/>
              </w:rPr>
              <w:lastRenderedPageBreak/>
              <w:t>Misuse of Drugs Amendment Act (No. 2) 2010</w:t>
            </w:r>
            <w:r>
              <w:rPr>
                <w:snapToGrid w:val="0"/>
              </w:rPr>
              <w:t xml:space="preserve"> Pt. 2</w:t>
            </w:r>
          </w:p>
        </w:tc>
        <w:tc>
          <w:tcPr>
            <w:tcW w:w="1134" w:type="dxa"/>
            <w:gridSpan w:val="2"/>
          </w:tcPr>
          <w:p>
            <w:pPr>
              <w:pStyle w:val="nTable"/>
              <w:spacing w:after="40"/>
              <w:rPr>
                <w:snapToGrid w:val="0"/>
              </w:rPr>
            </w:pPr>
            <w:r>
              <w:rPr>
                <w:snapToGrid w:val="0"/>
              </w:rPr>
              <w:t>50 of 2010</w:t>
            </w:r>
          </w:p>
        </w:tc>
        <w:tc>
          <w:tcPr>
            <w:tcW w:w="1106" w:type="dxa"/>
          </w:tcPr>
          <w:p>
            <w:pPr>
              <w:pStyle w:val="nTable"/>
              <w:spacing w:after="40"/>
              <w:rPr>
                <w:snapToGrid w:val="0"/>
              </w:rPr>
            </w:pPr>
            <w:r>
              <w:rPr>
                <w:snapToGrid w:val="0"/>
              </w:rPr>
              <w:t>24 Nov 2010</w:t>
            </w:r>
          </w:p>
        </w:tc>
        <w:tc>
          <w:tcPr>
            <w:tcW w:w="2581" w:type="dxa"/>
          </w:tcPr>
          <w:p>
            <w:pPr>
              <w:pStyle w:val="nTable"/>
              <w:spacing w:after="40"/>
              <w:rPr>
                <w:snapToGrid w:val="0"/>
              </w:rPr>
            </w:pPr>
            <w:r>
              <w:rPr>
                <w:snapToGrid w:val="0"/>
              </w:rPr>
              <w:t>25 Nov 2010 (see s. 2(b))</w:t>
            </w:r>
          </w:p>
        </w:tc>
      </w:tr>
      <w:tr>
        <w:trPr>
          <w:cantSplit/>
        </w:trPr>
        <w:tc>
          <w:tcPr>
            <w:tcW w:w="4508" w:type="dxa"/>
            <w:gridSpan w:val="5"/>
          </w:tcPr>
          <w:p>
            <w:pPr>
              <w:pStyle w:val="nTable"/>
              <w:spacing w:after="40"/>
            </w:pPr>
            <w:r>
              <w:rPr>
                <w:i/>
              </w:rPr>
              <w:t xml:space="preserve">Misuse of Drugs (Numbers of Cannabis Plants) Order 2010 </w:t>
            </w:r>
            <w:r>
              <w:t xml:space="preserve">published in </w:t>
            </w:r>
            <w:r>
              <w:rPr>
                <w:i/>
              </w:rPr>
              <w:t>Gazette</w:t>
            </w:r>
            <w:r>
              <w:t xml:space="preserve"> 15 Apr 2011 p. 1425</w:t>
            </w:r>
            <w:r>
              <w:noBreakHyphen/>
              <w:t>6</w:t>
            </w:r>
          </w:p>
        </w:tc>
        <w:tc>
          <w:tcPr>
            <w:tcW w:w="2581" w:type="dxa"/>
          </w:tcPr>
          <w:p>
            <w:pPr>
              <w:pStyle w:val="nTable"/>
              <w:spacing w:after="40"/>
            </w:pPr>
            <w:r>
              <w:t>cl. 1 and 2: 15 Apr 2011 (see cl. 2(a));</w:t>
            </w:r>
            <w:r>
              <w:br/>
              <w:t>Order other than cl. 1 and 2: 16 Apr 2011 (see cl. 2(b))</w:t>
            </w:r>
          </w:p>
        </w:tc>
      </w:tr>
      <w:tr>
        <w:trPr>
          <w:cantSplit/>
        </w:trPr>
        <w:tc>
          <w:tcPr>
            <w:tcW w:w="4508" w:type="dxa"/>
            <w:gridSpan w:val="5"/>
          </w:tcPr>
          <w:p>
            <w:pPr>
              <w:pStyle w:val="nTable"/>
              <w:spacing w:after="40"/>
              <w:rPr>
                <w:i/>
              </w:rPr>
            </w:pPr>
            <w:r>
              <w:rPr>
                <w:i/>
                <w:iCs/>
                <w:snapToGrid w:val="0"/>
              </w:rPr>
              <w:t>Misuse of Drugs (Amounts of Prohibited Drugs) Order 2011</w:t>
            </w:r>
            <w:r>
              <w:rPr>
                <w:snapToGrid w:val="0"/>
              </w:rPr>
              <w:t xml:space="preserve"> </w:t>
            </w:r>
            <w:r>
              <w:t xml:space="preserve">published in </w:t>
            </w:r>
            <w:r>
              <w:rPr>
                <w:i/>
              </w:rPr>
              <w:t>Gazette</w:t>
            </w:r>
            <w:r>
              <w:t xml:space="preserve"> 29 Apr 2011 p. 1532</w:t>
            </w:r>
            <w:r>
              <w:noBreakHyphen/>
              <w:t>4</w:t>
            </w:r>
          </w:p>
        </w:tc>
        <w:tc>
          <w:tcPr>
            <w:tcW w:w="2581" w:type="dxa"/>
          </w:tcPr>
          <w:p>
            <w:pPr>
              <w:pStyle w:val="nTable"/>
              <w:spacing w:after="40"/>
            </w:pPr>
            <w:r>
              <w:t>cl. 1 and 2: 29 Apr 2011 (see cl. 2(a));</w:t>
            </w:r>
            <w:r>
              <w:br/>
              <w:t>Order other than cl. 1 and 2: 30 Apr 2011 (see cl. 2(b))</w:t>
            </w:r>
          </w:p>
        </w:tc>
      </w:tr>
      <w:tr>
        <w:trPr>
          <w:cantSplit/>
        </w:trPr>
        <w:tc>
          <w:tcPr>
            <w:tcW w:w="4508" w:type="dxa"/>
            <w:gridSpan w:val="5"/>
          </w:tcPr>
          <w:p>
            <w:pPr>
              <w:pStyle w:val="nTable"/>
              <w:spacing w:after="40"/>
              <w:rPr>
                <w:i/>
                <w:iCs/>
                <w:snapToGrid w:val="0"/>
              </w:rPr>
            </w:pPr>
            <w:r>
              <w:rPr>
                <w:i/>
                <w:iCs/>
                <w:snapToGrid w:val="0"/>
              </w:rPr>
              <w:t>Misuse of Drugs (Amounts of Prohibited Drugs) Order (No. 2) 2011</w:t>
            </w:r>
            <w:r>
              <w:rPr>
                <w:snapToGrid w:val="0"/>
              </w:rPr>
              <w:t xml:space="preserve"> </w:t>
            </w:r>
            <w:r>
              <w:t xml:space="preserve">published in </w:t>
            </w:r>
            <w:r>
              <w:rPr>
                <w:i/>
              </w:rPr>
              <w:t>Gazette</w:t>
            </w:r>
            <w:r>
              <w:t xml:space="preserve"> 1 Jul 2011 p. 2742</w:t>
            </w:r>
            <w:r>
              <w:noBreakHyphen/>
              <w:t>5</w:t>
            </w:r>
          </w:p>
        </w:tc>
        <w:tc>
          <w:tcPr>
            <w:tcW w:w="2581" w:type="dxa"/>
          </w:tcPr>
          <w:p>
            <w:pPr>
              <w:pStyle w:val="nTable"/>
              <w:spacing w:after="40"/>
            </w:pPr>
            <w:r>
              <w:t>cl. 1 and 2: 1 Jul 2011 (see cl. 2(a));</w:t>
            </w:r>
            <w:r>
              <w:br/>
              <w:t>Order other than cl. 1 and 2: 2 Jul 2011 (see cl. 2(b))</w:t>
            </w:r>
          </w:p>
        </w:tc>
      </w:tr>
      <w:tr>
        <w:trPr>
          <w:cantSplit/>
        </w:trPr>
        <w:tc>
          <w:tcPr>
            <w:tcW w:w="7089" w:type="dxa"/>
            <w:gridSpan w:val="6"/>
          </w:tcPr>
          <w:p>
            <w:pPr>
              <w:pStyle w:val="nTable"/>
              <w:spacing w:after="40"/>
            </w:pPr>
            <w:r>
              <w:rPr>
                <w:b/>
              </w:rPr>
              <w:t xml:space="preserve">Reprint 5: The </w:t>
            </w:r>
            <w:r>
              <w:rPr>
                <w:b/>
                <w:i/>
              </w:rPr>
              <w:t>Misuse of Drugs Act 1981</w:t>
            </w:r>
            <w:r>
              <w:rPr>
                <w:b/>
              </w:rPr>
              <w:t xml:space="preserve"> as at 16 Sep 2011</w:t>
            </w:r>
            <w:r>
              <w:t xml:space="preserve"> (includes amendments listed above)</w:t>
            </w:r>
          </w:p>
        </w:tc>
      </w:tr>
      <w:tr>
        <w:trPr>
          <w:cantSplit/>
        </w:trPr>
        <w:tc>
          <w:tcPr>
            <w:tcW w:w="4508" w:type="dxa"/>
            <w:gridSpan w:val="5"/>
          </w:tcPr>
          <w:p>
            <w:pPr>
              <w:pStyle w:val="nTable"/>
              <w:spacing w:after="40"/>
              <w:rPr>
                <w:i/>
                <w:iCs/>
                <w:snapToGrid w:val="0"/>
              </w:rPr>
            </w:pPr>
            <w:r>
              <w:rPr>
                <w:i/>
                <w:iCs/>
                <w:snapToGrid w:val="0"/>
              </w:rPr>
              <w:t>Misuse of Drugs (Amounts of Prohibited Drugs) Order (No. 3) 2011</w:t>
            </w:r>
            <w:r>
              <w:rPr>
                <w:snapToGrid w:val="0"/>
              </w:rPr>
              <w:t xml:space="preserve"> </w:t>
            </w:r>
            <w:r>
              <w:t xml:space="preserve">published in </w:t>
            </w:r>
            <w:r>
              <w:rPr>
                <w:i/>
              </w:rPr>
              <w:t>Gazette</w:t>
            </w:r>
            <w:r>
              <w:t xml:space="preserve"> 11 Oct 2011 p. 4316</w:t>
            </w:r>
            <w:r>
              <w:noBreakHyphen/>
              <w:t>20</w:t>
            </w:r>
          </w:p>
        </w:tc>
        <w:tc>
          <w:tcPr>
            <w:tcW w:w="2581" w:type="dxa"/>
          </w:tcPr>
          <w:p>
            <w:pPr>
              <w:pStyle w:val="nTable"/>
              <w:spacing w:after="40"/>
            </w:pPr>
            <w:r>
              <w:t>cl. 1 and 2: 11 Oct 2011 (see cl. 2(a));</w:t>
            </w:r>
            <w:r>
              <w:br/>
              <w:t>Order other than cl. 1 and 2: 12 Oct 2011 (see cl. 2(b))</w:t>
            </w:r>
          </w:p>
        </w:tc>
      </w:tr>
      <w:tr>
        <w:trPr>
          <w:cantSplit/>
        </w:trPr>
        <w:tc>
          <w:tcPr>
            <w:tcW w:w="2268" w:type="dxa"/>
            <w:gridSpan w:val="2"/>
          </w:tcPr>
          <w:p>
            <w:pPr>
              <w:pStyle w:val="nTable"/>
              <w:spacing w:after="40"/>
              <w:ind w:right="113"/>
              <w:rPr>
                <w:i/>
                <w:snapToGrid w:val="0"/>
              </w:rPr>
            </w:pPr>
            <w:r>
              <w:rPr>
                <w:i/>
                <w:snapToGrid w:val="0"/>
              </w:rPr>
              <w:t>Misuse of Drugs Amendment Act 2011</w:t>
            </w:r>
            <w:r>
              <w:rPr>
                <w:snapToGrid w:val="0"/>
              </w:rPr>
              <w:t xml:space="preserve"> Pt. 2</w:t>
            </w:r>
          </w:p>
        </w:tc>
        <w:tc>
          <w:tcPr>
            <w:tcW w:w="1134" w:type="dxa"/>
            <w:gridSpan w:val="2"/>
          </w:tcPr>
          <w:p>
            <w:pPr>
              <w:pStyle w:val="nTable"/>
              <w:spacing w:after="40"/>
              <w:rPr>
                <w:snapToGrid w:val="0"/>
              </w:rPr>
            </w:pPr>
            <w:r>
              <w:rPr>
                <w:snapToGrid w:val="0"/>
              </w:rPr>
              <w:t>56 of 2011</w:t>
            </w:r>
          </w:p>
        </w:tc>
        <w:tc>
          <w:tcPr>
            <w:tcW w:w="1106" w:type="dxa"/>
          </w:tcPr>
          <w:p>
            <w:pPr>
              <w:pStyle w:val="nTable"/>
              <w:spacing w:after="40"/>
              <w:rPr>
                <w:snapToGrid w:val="0"/>
              </w:rPr>
            </w:pPr>
            <w:r>
              <w:rPr>
                <w:snapToGrid w:val="0"/>
              </w:rPr>
              <w:t>21 Nov 2011</w:t>
            </w:r>
          </w:p>
        </w:tc>
        <w:tc>
          <w:tcPr>
            <w:tcW w:w="2581" w:type="dxa"/>
          </w:tcPr>
          <w:p>
            <w:pPr>
              <w:pStyle w:val="nTable"/>
              <w:spacing w:after="40"/>
              <w:rPr>
                <w:snapToGrid w:val="0"/>
              </w:rPr>
            </w:pPr>
            <w:r>
              <w:rPr>
                <w:snapToGrid w:val="0"/>
              </w:rPr>
              <w:t xml:space="preserve">s. 3, 4 and 9: 24 Mar 2012 (see s. 2(b) and </w:t>
            </w:r>
            <w:r>
              <w:rPr>
                <w:i/>
                <w:snapToGrid w:val="0"/>
              </w:rPr>
              <w:t xml:space="preserve">Gazette </w:t>
            </w:r>
            <w:r>
              <w:rPr>
                <w:snapToGrid w:val="0"/>
              </w:rPr>
              <w:t>23 Mar 2012 p. 1363);</w:t>
            </w:r>
            <w:r>
              <w:rPr>
                <w:snapToGrid w:val="0"/>
              </w:rPr>
              <w:br/>
              <w:t xml:space="preserve">s. 5-8: 30 Jan 2013 (see s. 2(b) and </w:t>
            </w:r>
            <w:r>
              <w:rPr>
                <w:i/>
                <w:snapToGrid w:val="0"/>
              </w:rPr>
              <w:t xml:space="preserve">Gazette </w:t>
            </w:r>
            <w:r>
              <w:rPr>
                <w:snapToGrid w:val="0"/>
              </w:rPr>
              <w:t>29 Jan 2013 p. 324</w:t>
            </w:r>
            <w:r>
              <w:rPr>
                <w:snapToGrid w:val="0"/>
              </w:rPr>
              <w:noBreakHyphen/>
              <w:t>5)</w:t>
            </w:r>
          </w:p>
        </w:tc>
      </w:tr>
      <w:tr>
        <w:trPr>
          <w:cantSplit/>
        </w:trPr>
        <w:tc>
          <w:tcPr>
            <w:tcW w:w="4508" w:type="dxa"/>
            <w:gridSpan w:val="5"/>
          </w:tcPr>
          <w:p>
            <w:pPr>
              <w:pStyle w:val="nTable"/>
              <w:spacing w:after="40"/>
              <w:rPr>
                <w:i/>
                <w:iCs/>
                <w:snapToGrid w:val="0"/>
              </w:rPr>
            </w:pPr>
            <w:r>
              <w:rPr>
                <w:i/>
                <w:iCs/>
                <w:snapToGrid w:val="0"/>
              </w:rPr>
              <w:t>Misuse of Drugs (Amounts of Prohibited Drugs) Order 2012</w:t>
            </w:r>
            <w:r>
              <w:rPr>
                <w:snapToGrid w:val="0"/>
              </w:rPr>
              <w:t xml:space="preserve"> </w:t>
            </w:r>
            <w:r>
              <w:t xml:space="preserve">published in </w:t>
            </w:r>
            <w:r>
              <w:rPr>
                <w:i/>
              </w:rPr>
              <w:t>Gazette</w:t>
            </w:r>
            <w:r>
              <w:t xml:space="preserve"> 13 Apr 2012 p. 1664</w:t>
            </w:r>
            <w:r>
              <w:noBreakHyphen/>
              <w:t>5</w:t>
            </w:r>
          </w:p>
        </w:tc>
        <w:tc>
          <w:tcPr>
            <w:tcW w:w="2581" w:type="dxa"/>
          </w:tcPr>
          <w:p>
            <w:pPr>
              <w:pStyle w:val="nTable"/>
              <w:spacing w:after="40"/>
            </w:pPr>
            <w:r>
              <w:t>cl. 1 and 2: 13 Apr 2012 (see cl. 2(a));</w:t>
            </w:r>
            <w:r>
              <w:br/>
              <w:t>Order other than cl. 1 and 2: 14 Apr 2012 (see cl. 2(b))</w:t>
            </w:r>
          </w:p>
        </w:tc>
      </w:tr>
      <w:tr>
        <w:trPr>
          <w:cantSplit/>
        </w:trPr>
        <w:tc>
          <w:tcPr>
            <w:tcW w:w="2268" w:type="dxa"/>
            <w:gridSpan w:val="2"/>
          </w:tcPr>
          <w:p>
            <w:pPr>
              <w:pStyle w:val="nTable"/>
              <w:spacing w:after="40"/>
              <w:ind w:right="113"/>
              <w:rPr>
                <w:i/>
                <w:snapToGrid w:val="0"/>
              </w:rPr>
            </w:pPr>
            <w:r>
              <w:rPr>
                <w:i/>
                <w:snapToGrid w:val="0"/>
              </w:rPr>
              <w:t>Criminal Appeals Amendment (Double Jeopardy) Act 2012</w:t>
            </w:r>
            <w:r>
              <w:rPr>
                <w:snapToGrid w:val="0"/>
              </w:rPr>
              <w:t xml:space="preserve"> s. 10</w:t>
            </w:r>
          </w:p>
        </w:tc>
        <w:tc>
          <w:tcPr>
            <w:tcW w:w="1134" w:type="dxa"/>
            <w:gridSpan w:val="2"/>
          </w:tcPr>
          <w:p>
            <w:pPr>
              <w:pStyle w:val="nTable"/>
              <w:spacing w:after="40"/>
              <w:rPr>
                <w:snapToGrid w:val="0"/>
              </w:rPr>
            </w:pPr>
            <w:r>
              <w:rPr>
                <w:snapToGrid w:val="0"/>
              </w:rPr>
              <w:t>9 of 2012</w:t>
            </w:r>
          </w:p>
        </w:tc>
        <w:tc>
          <w:tcPr>
            <w:tcW w:w="1106" w:type="dxa"/>
          </w:tcPr>
          <w:p>
            <w:pPr>
              <w:pStyle w:val="nTable"/>
              <w:spacing w:after="40"/>
              <w:rPr>
                <w:snapToGrid w:val="0"/>
              </w:rPr>
            </w:pPr>
            <w:r>
              <w:t>21 May 2012</w:t>
            </w:r>
          </w:p>
        </w:tc>
        <w:tc>
          <w:tcPr>
            <w:tcW w:w="258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4508" w:type="dxa"/>
            <w:gridSpan w:val="5"/>
          </w:tcPr>
          <w:p>
            <w:pPr>
              <w:pStyle w:val="nTable"/>
              <w:spacing w:after="40"/>
              <w:rPr>
                <w:i/>
                <w:iCs/>
                <w:snapToGrid w:val="0"/>
              </w:rPr>
            </w:pPr>
            <w:r>
              <w:rPr>
                <w:i/>
                <w:iCs/>
                <w:snapToGrid w:val="0"/>
              </w:rPr>
              <w:t>Misuse of Drugs (Amounts of Prohibited Drugs) Order (No. 2) 2012</w:t>
            </w:r>
            <w:r>
              <w:rPr>
                <w:snapToGrid w:val="0"/>
              </w:rPr>
              <w:t xml:space="preserve"> </w:t>
            </w:r>
            <w:r>
              <w:t xml:space="preserve">published in </w:t>
            </w:r>
            <w:r>
              <w:rPr>
                <w:i/>
              </w:rPr>
              <w:t>Gazette</w:t>
            </w:r>
            <w:r>
              <w:t xml:space="preserve"> 30 Oct 2012 p. 5194-6</w:t>
            </w:r>
          </w:p>
        </w:tc>
        <w:tc>
          <w:tcPr>
            <w:tcW w:w="2581" w:type="dxa"/>
          </w:tcPr>
          <w:p>
            <w:pPr>
              <w:pStyle w:val="nTable"/>
              <w:spacing w:after="40"/>
            </w:pPr>
            <w:r>
              <w:t>cl. 1 and 2: 30 Oct 2012 (see cl. 2(a));</w:t>
            </w:r>
            <w:r>
              <w:br/>
              <w:t>Order other than cl. 1 and 2: 31 Oct 2012 (see cl. 2(b))</w:t>
            </w:r>
          </w:p>
        </w:tc>
      </w:tr>
      <w:tr>
        <w:trPr>
          <w:cantSplit/>
        </w:trPr>
        <w:tc>
          <w:tcPr>
            <w:tcW w:w="2268" w:type="dxa"/>
            <w:gridSpan w:val="2"/>
            <w:shd w:val="clear" w:color="auto" w:fill="auto"/>
          </w:tcPr>
          <w:p>
            <w:pPr>
              <w:pStyle w:val="nTable"/>
              <w:spacing w:after="40"/>
              <w:ind w:right="113"/>
              <w:rPr>
                <w:i/>
                <w:snapToGrid w:val="0"/>
              </w:rPr>
            </w:pPr>
            <w:r>
              <w:rPr>
                <w:i/>
                <w:snapToGrid w:val="0"/>
              </w:rPr>
              <w:t>Criminal Organisations Control Act 2012</w:t>
            </w:r>
            <w:r>
              <w:rPr>
                <w:snapToGrid w:val="0"/>
              </w:rPr>
              <w:t xml:space="preserve"> s. 179</w:t>
            </w:r>
          </w:p>
        </w:tc>
        <w:tc>
          <w:tcPr>
            <w:tcW w:w="1134" w:type="dxa"/>
            <w:gridSpan w:val="2"/>
            <w:shd w:val="clear" w:color="auto" w:fill="auto"/>
          </w:tcPr>
          <w:p>
            <w:pPr>
              <w:pStyle w:val="nTable"/>
              <w:spacing w:after="40"/>
              <w:rPr>
                <w:snapToGrid w:val="0"/>
              </w:rPr>
            </w:pPr>
            <w:r>
              <w:rPr>
                <w:snapToGrid w:val="0"/>
              </w:rPr>
              <w:t>49 of 2012</w:t>
            </w:r>
          </w:p>
        </w:tc>
        <w:tc>
          <w:tcPr>
            <w:tcW w:w="1106" w:type="dxa"/>
            <w:shd w:val="clear" w:color="auto" w:fill="auto"/>
          </w:tcPr>
          <w:p>
            <w:pPr>
              <w:pStyle w:val="nTable"/>
              <w:spacing w:after="40"/>
              <w:rPr>
                <w:snapToGrid w:val="0"/>
              </w:rPr>
            </w:pPr>
            <w:r>
              <w:rPr>
                <w:snapToGrid w:val="0"/>
              </w:rPr>
              <w:t>29 Nov 2012</w:t>
            </w:r>
          </w:p>
        </w:tc>
        <w:tc>
          <w:tcPr>
            <w:tcW w:w="2581" w:type="dxa"/>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gridSpan w:val="2"/>
            <w:shd w:val="clear" w:color="auto" w:fill="auto"/>
          </w:tcPr>
          <w:p>
            <w:pPr>
              <w:pStyle w:val="nTable"/>
              <w:spacing w:after="40"/>
              <w:ind w:right="113"/>
              <w:rPr>
                <w:i/>
                <w:snapToGrid w:val="0"/>
              </w:rPr>
            </w:pPr>
            <w:r>
              <w:rPr>
                <w:i/>
                <w:snapToGrid w:val="0"/>
              </w:rPr>
              <w:lastRenderedPageBreak/>
              <w:t>Criminal Investigation (Covert Powers) Act 2012</w:t>
            </w:r>
            <w:r>
              <w:rPr>
                <w:snapToGrid w:val="0"/>
              </w:rPr>
              <w:t xml:space="preserve"> Pt. 9</w:t>
            </w:r>
            <w:r>
              <w:rPr>
                <w:snapToGrid w:val="0"/>
                <w:vertAlign w:val="superscript"/>
              </w:rPr>
              <w:t> 5</w:t>
            </w:r>
          </w:p>
        </w:tc>
        <w:tc>
          <w:tcPr>
            <w:tcW w:w="1134" w:type="dxa"/>
            <w:gridSpan w:val="2"/>
            <w:shd w:val="clear" w:color="auto" w:fill="auto"/>
          </w:tcPr>
          <w:p>
            <w:pPr>
              <w:pStyle w:val="nTable"/>
              <w:spacing w:after="40"/>
              <w:rPr>
                <w:snapToGrid w:val="0"/>
              </w:rPr>
            </w:pPr>
            <w:r>
              <w:t>55 of 2012</w:t>
            </w:r>
          </w:p>
        </w:tc>
        <w:tc>
          <w:tcPr>
            <w:tcW w:w="1106" w:type="dxa"/>
            <w:shd w:val="clear" w:color="auto" w:fill="auto"/>
          </w:tcPr>
          <w:p>
            <w:pPr>
              <w:pStyle w:val="nTable"/>
              <w:spacing w:after="40"/>
              <w:rPr>
                <w:snapToGrid w:val="0"/>
              </w:rPr>
            </w:pPr>
            <w:r>
              <w:t>3 Dec 2012</w:t>
            </w:r>
          </w:p>
        </w:tc>
        <w:tc>
          <w:tcPr>
            <w:tcW w:w="2581" w:type="dxa"/>
            <w:shd w:val="clear" w:color="auto" w:fill="auto"/>
          </w:tcPr>
          <w:p>
            <w:pPr>
              <w:pStyle w:val="nTable"/>
              <w:spacing w:after="40"/>
              <w:rPr>
                <w:snapToGrid w:val="0"/>
              </w:rPr>
            </w:pPr>
            <w:r>
              <w:t xml:space="preserve">1 Mar 2013 (see s. 2(b) and </w:t>
            </w:r>
            <w:r>
              <w:rPr>
                <w:i/>
              </w:rPr>
              <w:t>Gazette</w:t>
            </w:r>
            <w:r>
              <w:t xml:space="preserve"> 25 Jan 2013 p. 271)</w:t>
            </w:r>
          </w:p>
        </w:tc>
      </w:tr>
      <w:tr>
        <w:trPr>
          <w:cantSplit/>
        </w:trPr>
        <w:tc>
          <w:tcPr>
            <w:tcW w:w="7089" w:type="dxa"/>
            <w:gridSpan w:val="6"/>
            <w:shd w:val="clear" w:color="auto" w:fill="auto"/>
          </w:tcPr>
          <w:p>
            <w:pPr>
              <w:pStyle w:val="nTable"/>
              <w:spacing w:after="40"/>
            </w:pPr>
            <w:r>
              <w:rPr>
                <w:b/>
              </w:rPr>
              <w:t xml:space="preserve">Reprint 6: The </w:t>
            </w:r>
            <w:r>
              <w:rPr>
                <w:b/>
                <w:i/>
              </w:rPr>
              <w:t>Misuse of Drugs Act 1981</w:t>
            </w:r>
            <w:r>
              <w:rPr>
                <w:b/>
              </w:rPr>
              <w:t xml:space="preserve"> as at 19 Apr 2013</w:t>
            </w:r>
            <w:r>
              <w:t xml:space="preserve"> (includes amendments listed above except those in the </w:t>
            </w:r>
            <w:r>
              <w:rPr>
                <w:i/>
                <w:snapToGrid w:val="0"/>
              </w:rPr>
              <w:t>Criminal Organisations Control Act 2012</w:t>
            </w:r>
            <w:r>
              <w:t>)</w:t>
            </w:r>
          </w:p>
        </w:tc>
      </w:tr>
      <w:tr>
        <w:trPr>
          <w:cantSplit/>
        </w:trPr>
        <w:tc>
          <w:tcPr>
            <w:tcW w:w="2268" w:type="dxa"/>
            <w:gridSpan w:val="2"/>
            <w:shd w:val="clear" w:color="auto" w:fill="auto"/>
          </w:tcPr>
          <w:p>
            <w:pPr>
              <w:pStyle w:val="nTable"/>
              <w:keepNext/>
              <w:spacing w:after="40"/>
              <w:ind w:right="113"/>
              <w:rPr>
                <w:i/>
                <w:noProof/>
                <w:snapToGrid w:val="0"/>
              </w:rPr>
            </w:pPr>
            <w:r>
              <w:rPr>
                <w:i/>
                <w:noProof/>
                <w:snapToGrid w:val="0"/>
              </w:rPr>
              <w:t>Medicines and Poisons Act 2014</w:t>
            </w:r>
            <w:r>
              <w:rPr>
                <w:noProof/>
                <w:snapToGrid w:val="0"/>
              </w:rPr>
              <w:t xml:space="preserve"> Pt. 11 Div. 3</w:t>
            </w:r>
          </w:p>
        </w:tc>
        <w:tc>
          <w:tcPr>
            <w:tcW w:w="1134" w:type="dxa"/>
            <w:gridSpan w:val="2"/>
            <w:shd w:val="clear" w:color="auto" w:fill="auto"/>
          </w:tcPr>
          <w:p>
            <w:pPr>
              <w:pStyle w:val="nTable"/>
              <w:spacing w:after="40"/>
            </w:pPr>
            <w:r>
              <w:t>13 of 2014</w:t>
            </w:r>
          </w:p>
        </w:tc>
        <w:tc>
          <w:tcPr>
            <w:tcW w:w="1106" w:type="dxa"/>
            <w:shd w:val="clear" w:color="auto" w:fill="auto"/>
          </w:tcPr>
          <w:p>
            <w:pPr>
              <w:pStyle w:val="nTable"/>
              <w:spacing w:after="40"/>
            </w:pPr>
            <w:r>
              <w:t>2 Jul 2014</w:t>
            </w:r>
          </w:p>
        </w:tc>
        <w:tc>
          <w:tcPr>
            <w:tcW w:w="2581"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gridSpan w:val="2"/>
            <w:shd w:val="clear" w:color="auto" w:fill="auto"/>
          </w:tcPr>
          <w:p>
            <w:pPr>
              <w:pStyle w:val="nTable"/>
              <w:spacing w:after="40"/>
              <w:ind w:right="113"/>
              <w:rPr>
                <w:i/>
                <w:snapToGrid w:val="0"/>
              </w:rPr>
            </w:pPr>
            <w:r>
              <w:rPr>
                <w:i/>
                <w:noProof/>
                <w:snapToGrid w:val="0"/>
              </w:rPr>
              <w:t>Misuse of Drugs Amendment (Psychoactive Substances) Act 2015</w:t>
            </w:r>
          </w:p>
        </w:tc>
        <w:tc>
          <w:tcPr>
            <w:tcW w:w="1134" w:type="dxa"/>
            <w:gridSpan w:val="2"/>
            <w:shd w:val="clear" w:color="auto" w:fill="auto"/>
          </w:tcPr>
          <w:p>
            <w:pPr>
              <w:pStyle w:val="nTable"/>
              <w:spacing w:after="40"/>
              <w:rPr>
                <w:snapToGrid w:val="0"/>
              </w:rPr>
            </w:pPr>
            <w:r>
              <w:t>29 of 2015</w:t>
            </w:r>
          </w:p>
        </w:tc>
        <w:tc>
          <w:tcPr>
            <w:tcW w:w="1106" w:type="dxa"/>
            <w:shd w:val="clear" w:color="auto" w:fill="auto"/>
          </w:tcPr>
          <w:p>
            <w:pPr>
              <w:pStyle w:val="nTable"/>
              <w:spacing w:after="40"/>
              <w:rPr>
                <w:snapToGrid w:val="0"/>
              </w:rPr>
            </w:pPr>
            <w:r>
              <w:t>21 Oct 2015</w:t>
            </w:r>
          </w:p>
        </w:tc>
        <w:tc>
          <w:tcPr>
            <w:tcW w:w="2581" w:type="dxa"/>
            <w:shd w:val="clear" w:color="auto" w:fill="auto"/>
          </w:tcPr>
          <w:p>
            <w:pPr>
              <w:pStyle w:val="nTable"/>
              <w:spacing w:after="40"/>
              <w:rPr>
                <w:snapToGrid w:val="0"/>
              </w:rPr>
            </w:pPr>
            <w:r>
              <w:t>s. 1 and 2: 21 Oct 2015 (see s. 2(a));</w:t>
            </w:r>
            <w:r>
              <w:br/>
              <w:t xml:space="preserve">Act other than s. 1 and 2: 18 Nov 2015 (see s. 2(b) and </w:t>
            </w:r>
            <w:r>
              <w:rPr>
                <w:i/>
              </w:rPr>
              <w:t>Gazette</w:t>
            </w:r>
            <w:r>
              <w:t xml:space="preserve"> 17 Nov 2015 p. 4693</w:t>
            </w:r>
            <w:r>
              <w:noBreakHyphen/>
              <w:t>4)</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Note"/>
              <w:spacing w:before="40" w:after="40"/>
              <w:ind w:left="0" w:firstLine="0"/>
              <w:rPr>
                <w:i/>
                <w:noProof/>
                <w:snapToGrid w:val="0"/>
                <w:sz w:val="19"/>
              </w:rPr>
            </w:pPr>
            <w:r>
              <w:rPr>
                <w:i/>
                <w:sz w:val="19"/>
              </w:rPr>
              <w:t>Public Health (Consequential Provisions) Act 2016</w:t>
            </w:r>
            <w:r>
              <w:rPr>
                <w:sz w:val="19"/>
              </w:rPr>
              <w:t xml:space="preserve"> s. 101</w:t>
            </w:r>
          </w:p>
        </w:tc>
        <w:tc>
          <w:tcPr>
            <w:tcW w:w="1134" w:type="dxa"/>
            <w:gridSpan w:val="2"/>
            <w:tcBorders>
              <w:top w:val="nil"/>
              <w:bottom w:val="nil"/>
            </w:tcBorders>
          </w:tcPr>
          <w:p>
            <w:pPr>
              <w:pStyle w:val="nTable"/>
              <w:spacing w:after="40"/>
            </w:pPr>
            <w:r>
              <w:t>19 of 2016</w:t>
            </w:r>
          </w:p>
        </w:tc>
        <w:tc>
          <w:tcPr>
            <w:tcW w:w="1106" w:type="dxa"/>
            <w:tcBorders>
              <w:top w:val="nil"/>
              <w:bottom w:val="nil"/>
            </w:tcBorders>
          </w:tcPr>
          <w:p>
            <w:pPr>
              <w:pStyle w:val="nTable"/>
              <w:spacing w:after="40"/>
            </w:pPr>
            <w:r>
              <w:t>25 Jul 2016</w:t>
            </w:r>
          </w:p>
        </w:tc>
        <w:tc>
          <w:tcPr>
            <w:tcW w:w="2581"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gridSpan w:val="2"/>
            <w:shd w:val="clear" w:color="auto" w:fill="auto"/>
          </w:tcPr>
          <w:p>
            <w:pPr>
              <w:pStyle w:val="nTable"/>
              <w:spacing w:after="40"/>
              <w:ind w:right="113"/>
              <w:rPr>
                <w:i/>
                <w:noProof/>
                <w:snapToGrid w:val="0"/>
              </w:rPr>
            </w:pPr>
            <w:r>
              <w:rPr>
                <w:i/>
              </w:rPr>
              <w:t>Misuse of Drugs Amendment (Search Powers) Act 2016</w:t>
            </w:r>
          </w:p>
        </w:tc>
        <w:tc>
          <w:tcPr>
            <w:tcW w:w="1134" w:type="dxa"/>
            <w:gridSpan w:val="2"/>
            <w:shd w:val="clear" w:color="auto" w:fill="auto"/>
          </w:tcPr>
          <w:p>
            <w:pPr>
              <w:pStyle w:val="nTable"/>
              <w:spacing w:after="40"/>
            </w:pPr>
            <w:r>
              <w:t>47 of 2016</w:t>
            </w:r>
          </w:p>
        </w:tc>
        <w:tc>
          <w:tcPr>
            <w:tcW w:w="1106" w:type="dxa"/>
            <w:shd w:val="clear" w:color="auto" w:fill="auto"/>
          </w:tcPr>
          <w:p>
            <w:pPr>
              <w:pStyle w:val="nTable"/>
              <w:spacing w:after="40"/>
            </w:pPr>
            <w:r>
              <w:t>28 Nov 2016</w:t>
            </w:r>
          </w:p>
        </w:tc>
        <w:tc>
          <w:tcPr>
            <w:tcW w:w="2581" w:type="dxa"/>
            <w:shd w:val="clear" w:color="auto" w:fill="auto"/>
          </w:tcPr>
          <w:p>
            <w:pPr>
              <w:pStyle w:val="nTable"/>
              <w:spacing w:after="40"/>
            </w:pPr>
            <w:r>
              <w:t>s. 1 and 2: 28 Nov 2016 (see s. 2(a));</w:t>
            </w:r>
            <w:r>
              <w:br/>
              <w:t xml:space="preserve">Act other than s. 1 and 2: 14 Jan 2017 (see s. 2(b) and </w:t>
            </w:r>
            <w:r>
              <w:rPr>
                <w:i/>
              </w:rPr>
              <w:t>Gazette</w:t>
            </w:r>
            <w:r>
              <w:t xml:space="preserve"> 13 Jan 2017 p. 337)</w:t>
            </w:r>
          </w:p>
        </w:tc>
      </w:tr>
      <w:tr>
        <w:trPr>
          <w:cantSplit/>
        </w:trPr>
        <w:tc>
          <w:tcPr>
            <w:tcW w:w="2268" w:type="dxa"/>
            <w:gridSpan w:val="2"/>
            <w:shd w:val="clear" w:color="auto" w:fill="auto"/>
          </w:tcPr>
          <w:p>
            <w:pPr>
              <w:pStyle w:val="nTable"/>
              <w:spacing w:after="40"/>
              <w:ind w:right="113"/>
              <w:rPr>
                <w:i/>
              </w:rPr>
            </w:pPr>
            <w:r>
              <w:rPr>
                <w:i/>
              </w:rPr>
              <w:t>Misuse of Drugs Amendment (Methylamphetamine Offences) Act 2017</w:t>
            </w:r>
            <w:r>
              <w:t xml:space="preserve"> Pt. 2</w:t>
            </w:r>
          </w:p>
        </w:tc>
        <w:tc>
          <w:tcPr>
            <w:tcW w:w="1134" w:type="dxa"/>
            <w:gridSpan w:val="2"/>
            <w:shd w:val="clear" w:color="auto" w:fill="auto"/>
          </w:tcPr>
          <w:p>
            <w:pPr>
              <w:pStyle w:val="nTable"/>
              <w:spacing w:after="40"/>
            </w:pPr>
            <w:r>
              <w:t>3 of 2017</w:t>
            </w:r>
          </w:p>
        </w:tc>
        <w:tc>
          <w:tcPr>
            <w:tcW w:w="1106" w:type="dxa"/>
            <w:shd w:val="clear" w:color="auto" w:fill="auto"/>
          </w:tcPr>
          <w:p>
            <w:pPr>
              <w:pStyle w:val="nTable"/>
              <w:spacing w:after="40"/>
            </w:pPr>
            <w:r>
              <w:t>21 Aug 2017</w:t>
            </w:r>
          </w:p>
        </w:tc>
        <w:tc>
          <w:tcPr>
            <w:tcW w:w="2581" w:type="dxa"/>
            <w:shd w:val="clear" w:color="auto" w:fill="auto"/>
          </w:tcPr>
          <w:p>
            <w:pPr>
              <w:pStyle w:val="nTable"/>
              <w:spacing w:after="40"/>
            </w:pPr>
            <w:r>
              <w:t>18 Sep 2017 (see s. 2(b))</w:t>
            </w:r>
          </w:p>
        </w:tc>
      </w:tr>
      <w:tr>
        <w:trPr>
          <w:cantSplit/>
        </w:trPr>
        <w:tc>
          <w:tcPr>
            <w:tcW w:w="7089" w:type="dxa"/>
            <w:gridSpan w:val="6"/>
            <w:shd w:val="clear" w:color="auto" w:fill="auto"/>
          </w:tcPr>
          <w:p>
            <w:pPr>
              <w:pStyle w:val="nTable"/>
              <w:spacing w:after="40"/>
            </w:pPr>
            <w:r>
              <w:rPr>
                <w:b/>
              </w:rPr>
              <w:t xml:space="preserve">Reprint 7: The </w:t>
            </w:r>
            <w:r>
              <w:rPr>
                <w:b/>
                <w:i/>
                <w:noProof/>
              </w:rPr>
              <w:t>Misuse of Drugs Act 1981</w:t>
            </w:r>
            <w:r>
              <w:rPr>
                <w:b/>
              </w:rPr>
              <w:t xml:space="preserve"> as at 1 Dec 2017</w:t>
            </w:r>
            <w:r>
              <w:t xml:space="preserve"> (includes amendments listed above)</w:t>
            </w:r>
          </w:p>
        </w:tc>
      </w:tr>
      <w:tr>
        <w:trPr>
          <w:cantSplit/>
        </w:trPr>
        <w:tc>
          <w:tcPr>
            <w:tcW w:w="2268" w:type="dxa"/>
            <w:gridSpan w:val="2"/>
            <w:shd w:val="clear" w:color="auto" w:fill="auto"/>
          </w:tcPr>
          <w:p>
            <w:pPr>
              <w:pStyle w:val="nTable"/>
              <w:spacing w:after="40"/>
              <w:ind w:right="113"/>
              <w:rPr>
                <w:i/>
              </w:rPr>
            </w:pPr>
            <w:r>
              <w:rPr>
                <w:i/>
              </w:rPr>
              <w:t>Industrial Hemp Amendment Act 2018</w:t>
            </w:r>
            <w:r>
              <w:t xml:space="preserve"> Pt. 3</w:t>
            </w:r>
          </w:p>
        </w:tc>
        <w:tc>
          <w:tcPr>
            <w:tcW w:w="1134" w:type="dxa"/>
            <w:gridSpan w:val="2"/>
            <w:shd w:val="clear" w:color="auto" w:fill="auto"/>
          </w:tcPr>
          <w:p>
            <w:pPr>
              <w:pStyle w:val="nTable"/>
              <w:spacing w:after="40"/>
            </w:pPr>
            <w:r>
              <w:t>15 of 2018</w:t>
            </w:r>
          </w:p>
        </w:tc>
        <w:tc>
          <w:tcPr>
            <w:tcW w:w="1106" w:type="dxa"/>
            <w:shd w:val="clear" w:color="auto" w:fill="auto"/>
          </w:tcPr>
          <w:p>
            <w:pPr>
              <w:pStyle w:val="nTable"/>
              <w:spacing w:after="40"/>
            </w:pPr>
            <w:r>
              <w:t>28 Aug 2018</w:t>
            </w:r>
          </w:p>
        </w:tc>
        <w:tc>
          <w:tcPr>
            <w:tcW w:w="2581" w:type="dxa"/>
            <w:shd w:val="clear" w:color="auto" w:fill="auto"/>
          </w:tcPr>
          <w:p>
            <w:pPr>
              <w:pStyle w:val="nTable"/>
              <w:spacing w:after="40"/>
            </w:pPr>
            <w:r>
              <w:t xml:space="preserve">22 Sep 2018 (see s. 2(b) and </w:t>
            </w:r>
            <w:r>
              <w:rPr>
                <w:i/>
              </w:rPr>
              <w:t>Gazette</w:t>
            </w:r>
            <w:r>
              <w:t xml:space="preserve"> 21 Sep 2018 p. 3533)</w:t>
            </w:r>
          </w:p>
        </w:tc>
      </w:tr>
      <w:tr>
        <w:trPr>
          <w:cantSplit/>
        </w:trPr>
        <w:tc>
          <w:tcPr>
            <w:tcW w:w="4508" w:type="dxa"/>
            <w:gridSpan w:val="5"/>
          </w:tcPr>
          <w:p>
            <w:pPr>
              <w:pStyle w:val="nTable"/>
              <w:spacing w:after="40"/>
              <w:rPr>
                <w:i/>
                <w:iCs/>
                <w:snapToGrid w:val="0"/>
              </w:rPr>
            </w:pPr>
            <w:r>
              <w:rPr>
                <w:i/>
              </w:rPr>
              <w:t>Misuse of Drugs (Amounts of Prohibited Drugs) Order 2018</w:t>
            </w:r>
            <w:r>
              <w:rPr>
                <w:snapToGrid w:val="0"/>
              </w:rPr>
              <w:t xml:space="preserve"> </w:t>
            </w:r>
            <w:r>
              <w:t xml:space="preserve">published in </w:t>
            </w:r>
            <w:r>
              <w:rPr>
                <w:i/>
              </w:rPr>
              <w:t>Gazette</w:t>
            </w:r>
            <w:r>
              <w:t xml:space="preserve"> 29 Aug 2018 p. 2995</w:t>
            </w:r>
            <w:r>
              <w:noBreakHyphen/>
              <w:t>3039</w:t>
            </w:r>
          </w:p>
        </w:tc>
        <w:tc>
          <w:tcPr>
            <w:tcW w:w="2581" w:type="dxa"/>
          </w:tcPr>
          <w:p>
            <w:pPr>
              <w:pStyle w:val="nTable"/>
              <w:spacing w:after="40"/>
            </w:pPr>
            <w:r>
              <w:t>cl. 1 and 2: 29 Aug 2018 (see cl. 2);</w:t>
            </w:r>
            <w:r>
              <w:br/>
              <w:t>Order other than cl. 1 and 2: 30 Aug 2018 (see cl. 2)</w:t>
            </w:r>
          </w:p>
        </w:tc>
      </w:tr>
      <w:tr>
        <w:trPr>
          <w:cantSplit/>
        </w:trPr>
        <w:tc>
          <w:tcPr>
            <w:tcW w:w="7089" w:type="dxa"/>
            <w:gridSpan w:val="6"/>
            <w:shd w:val="clear" w:color="auto" w:fill="auto"/>
          </w:tcPr>
          <w:p>
            <w:pPr>
              <w:pStyle w:val="nTable"/>
              <w:spacing w:after="40"/>
            </w:pPr>
            <w:r>
              <w:rPr>
                <w:b/>
              </w:rPr>
              <w:t xml:space="preserve">Reprint 8: The </w:t>
            </w:r>
            <w:r>
              <w:rPr>
                <w:b/>
                <w:i/>
                <w:noProof/>
              </w:rPr>
              <w:t>Misuse of Drugs Act 1981</w:t>
            </w:r>
            <w:r>
              <w:rPr>
                <w:b/>
              </w:rPr>
              <w:t xml:space="preserve"> as at 19 Jul 2019</w:t>
            </w:r>
            <w:r>
              <w:t xml:space="preserve"> (includes amendments listed above)</w:t>
            </w:r>
          </w:p>
        </w:tc>
      </w:tr>
      <w:tr>
        <w:trPr>
          <w:cantSplit/>
        </w:trPr>
        <w:tc>
          <w:tcPr>
            <w:tcW w:w="2240" w:type="dxa"/>
            <w:shd w:val="clear" w:color="auto" w:fill="auto"/>
          </w:tcPr>
          <w:p>
            <w:pPr>
              <w:pStyle w:val="nTable"/>
              <w:spacing w:after="40"/>
            </w:pPr>
            <w:r>
              <w:rPr>
                <w:i/>
              </w:rPr>
              <w:t xml:space="preserve">Voluntary Assisted Dying Act 2019 </w:t>
            </w:r>
            <w:r>
              <w:t>Pt. 12 Div. 6</w:t>
            </w:r>
          </w:p>
        </w:tc>
        <w:tc>
          <w:tcPr>
            <w:tcW w:w="1134" w:type="dxa"/>
            <w:gridSpan w:val="2"/>
            <w:shd w:val="clear" w:color="auto" w:fill="auto"/>
          </w:tcPr>
          <w:p>
            <w:pPr>
              <w:pStyle w:val="nTable"/>
              <w:spacing w:after="40"/>
            </w:pPr>
            <w:r>
              <w:t>27 of 2019</w:t>
            </w:r>
          </w:p>
        </w:tc>
        <w:tc>
          <w:tcPr>
            <w:tcW w:w="1134" w:type="dxa"/>
            <w:gridSpan w:val="2"/>
            <w:shd w:val="clear" w:color="auto" w:fill="auto"/>
          </w:tcPr>
          <w:p>
            <w:pPr>
              <w:pStyle w:val="nTable"/>
              <w:spacing w:after="40"/>
            </w:pPr>
            <w:r>
              <w:t>19 Dec 2019</w:t>
            </w:r>
          </w:p>
        </w:tc>
        <w:tc>
          <w:tcPr>
            <w:tcW w:w="2581" w:type="dxa"/>
            <w:shd w:val="clear" w:color="auto" w:fill="auto"/>
          </w:tcPr>
          <w:p>
            <w:pPr>
              <w:pStyle w:val="nTable"/>
              <w:spacing w:after="40"/>
            </w:pPr>
            <w:r>
              <w:t>1 Jul 2021 (see s. 2(b) and SL 2021/83 cl. 2)</w:t>
            </w:r>
          </w:p>
        </w:tc>
      </w:tr>
      <w:tr>
        <w:trPr>
          <w:cantSplit/>
        </w:trPr>
        <w:tc>
          <w:tcPr>
            <w:tcW w:w="2240" w:type="dxa"/>
            <w:shd w:val="clear" w:color="auto" w:fill="auto"/>
          </w:tcPr>
          <w:p>
            <w:pPr>
              <w:pStyle w:val="nTable"/>
              <w:spacing w:after="40"/>
            </w:pPr>
            <w:r>
              <w:rPr>
                <w:i/>
              </w:rPr>
              <w:t>Directors’ Liability Reform Act 2023</w:t>
            </w:r>
            <w:r>
              <w:t xml:space="preserve"> Pt. 3 Div. 42</w:t>
            </w:r>
          </w:p>
        </w:tc>
        <w:tc>
          <w:tcPr>
            <w:tcW w:w="1134" w:type="dxa"/>
            <w:gridSpan w:val="2"/>
            <w:shd w:val="clear" w:color="auto" w:fill="auto"/>
          </w:tcPr>
          <w:p>
            <w:pPr>
              <w:pStyle w:val="nTable"/>
              <w:spacing w:after="40"/>
            </w:pPr>
            <w:r>
              <w:t>9 of 2023</w:t>
            </w:r>
          </w:p>
        </w:tc>
        <w:tc>
          <w:tcPr>
            <w:tcW w:w="1134" w:type="dxa"/>
            <w:gridSpan w:val="2"/>
            <w:shd w:val="clear" w:color="auto" w:fill="auto"/>
          </w:tcPr>
          <w:p>
            <w:pPr>
              <w:pStyle w:val="nTable"/>
              <w:spacing w:after="40"/>
            </w:pPr>
            <w:r>
              <w:t>4 Apr 2023</w:t>
            </w:r>
          </w:p>
        </w:tc>
        <w:tc>
          <w:tcPr>
            <w:tcW w:w="2581" w:type="dxa"/>
            <w:shd w:val="clear" w:color="auto" w:fill="auto"/>
          </w:tcPr>
          <w:p>
            <w:pPr>
              <w:pStyle w:val="nTable"/>
              <w:spacing w:after="40"/>
            </w:pPr>
            <w:r>
              <w:t>5 Apr 2023 (see s. 2(j))</w:t>
            </w:r>
          </w:p>
        </w:tc>
      </w:tr>
      <w:tr>
        <w:trPr>
          <w:cantSplit/>
        </w:trPr>
        <w:tc>
          <w:tcPr>
            <w:tcW w:w="4508" w:type="dxa"/>
            <w:gridSpan w:val="5"/>
            <w:shd w:val="clear" w:color="auto" w:fill="auto"/>
          </w:tcPr>
          <w:p>
            <w:pPr>
              <w:pStyle w:val="nTable"/>
              <w:spacing w:after="40"/>
            </w:pPr>
            <w:r>
              <w:rPr>
                <w:i/>
              </w:rPr>
              <w:lastRenderedPageBreak/>
              <w:t>Misuse of Drugs (Amounts of Prohibited Drugs) Order 2023</w:t>
            </w:r>
            <w:r>
              <w:t xml:space="preserve"> (SL 2023/48)</w:t>
            </w:r>
          </w:p>
        </w:tc>
        <w:tc>
          <w:tcPr>
            <w:tcW w:w="2581" w:type="dxa"/>
            <w:shd w:val="clear" w:color="auto" w:fill="auto"/>
          </w:tcPr>
          <w:p>
            <w:pPr>
              <w:pStyle w:val="nTable"/>
              <w:spacing w:after="40"/>
            </w:pPr>
            <w:r>
              <w:t>cl. 1 and 2: 19 May 2023 (see cl. 2(a));</w:t>
            </w:r>
            <w:r>
              <w:br/>
              <w:t>Order other than cl. 1 and 2: 20 May 2023 (see cl. 2(b))</w:t>
            </w:r>
          </w:p>
        </w:tc>
      </w:tr>
      <w:tr>
        <w:trPr>
          <w:cantSplit/>
        </w:trPr>
        <w:tc>
          <w:tcPr>
            <w:tcW w:w="2240" w:type="dxa"/>
            <w:tcBorders>
              <w:bottom w:val="single" w:sz="4" w:space="0" w:color="auto"/>
            </w:tcBorders>
            <w:shd w:val="clear" w:color="auto" w:fill="auto"/>
          </w:tcPr>
          <w:p>
            <w:pPr>
              <w:pStyle w:val="nTable"/>
              <w:spacing w:after="40"/>
            </w:pPr>
            <w:r>
              <w:rPr>
                <w:i/>
              </w:rPr>
              <w:t xml:space="preserve">Misuse of Drugs Amendment Act 2023 </w:t>
            </w:r>
            <w:r>
              <w:t>Pt. 2</w:t>
            </w:r>
          </w:p>
        </w:tc>
        <w:tc>
          <w:tcPr>
            <w:tcW w:w="1134" w:type="dxa"/>
            <w:gridSpan w:val="2"/>
            <w:tcBorders>
              <w:bottom w:val="single" w:sz="4" w:space="0" w:color="auto"/>
            </w:tcBorders>
            <w:shd w:val="clear" w:color="auto" w:fill="auto"/>
          </w:tcPr>
          <w:p>
            <w:pPr>
              <w:pStyle w:val="nTable"/>
              <w:spacing w:after="40"/>
            </w:pPr>
            <w:r>
              <w:t>16 of 2023</w:t>
            </w:r>
          </w:p>
        </w:tc>
        <w:tc>
          <w:tcPr>
            <w:tcW w:w="1134" w:type="dxa"/>
            <w:gridSpan w:val="2"/>
            <w:tcBorders>
              <w:bottom w:val="single" w:sz="4" w:space="0" w:color="auto"/>
            </w:tcBorders>
            <w:shd w:val="clear" w:color="auto" w:fill="auto"/>
          </w:tcPr>
          <w:p>
            <w:pPr>
              <w:pStyle w:val="nTable"/>
              <w:spacing w:after="40"/>
            </w:pPr>
            <w:r>
              <w:t>26 Jun 2023</w:t>
            </w:r>
          </w:p>
        </w:tc>
        <w:tc>
          <w:tcPr>
            <w:tcW w:w="2581" w:type="dxa"/>
            <w:tcBorders>
              <w:bottom w:val="single" w:sz="4" w:space="0" w:color="auto"/>
            </w:tcBorders>
            <w:shd w:val="clear" w:color="auto" w:fill="auto"/>
          </w:tcPr>
          <w:p>
            <w:pPr>
              <w:pStyle w:val="nTable"/>
              <w:spacing w:after="40"/>
            </w:pPr>
            <w:r>
              <w:t>27 Jun 2023 (see s. 2(b))</w:t>
            </w:r>
          </w:p>
        </w:tc>
      </w:tr>
    </w:tbl>
    <w:p>
      <w:pPr>
        <w:pStyle w:val="nHeading3"/>
      </w:pPr>
      <w:bookmarkStart w:id="389" w:name="_Toc138751208"/>
      <w:r>
        <w:t>Uncommenced provisions table</w:t>
      </w:r>
      <w:bookmarkEnd w:id="389"/>
    </w:p>
    <w:p>
      <w:pPr>
        <w:pStyle w:val="nStatement"/>
        <w:keepNext/>
        <w:spacing w:after="240"/>
      </w:pPr>
      <w:r>
        <w:t xml:space="preserve">To view the text of the uncommenced provisions see </w:t>
      </w:r>
      <w:r>
        <w:rPr>
          <w:i/>
        </w:rPr>
        <w:t>Acts as passed</w:t>
      </w:r>
      <w:r>
        <w:t xml:space="preserve"> on the WA Legislation website.</w:t>
      </w:r>
    </w:p>
    <w:tbl>
      <w:tblPr>
        <w:tblW w:w="7072"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keepNext/>
              <w:keepLines/>
              <w:spacing w:after="40"/>
              <w:rPr>
                <w:b/>
                <w:snapToGrid w:val="0"/>
              </w:rPr>
            </w:pPr>
            <w:r>
              <w:rPr>
                <w:b/>
                <w:snapToGrid w:val="0"/>
              </w:rPr>
              <w:t>Short title</w:t>
            </w:r>
          </w:p>
        </w:tc>
        <w:tc>
          <w:tcPr>
            <w:tcW w:w="1118" w:type="dxa"/>
            <w:tcBorders>
              <w:bottom w:val="single" w:sz="4" w:space="0" w:color="auto"/>
            </w:tcBorders>
          </w:tcPr>
          <w:p>
            <w:pPr>
              <w:pStyle w:val="nTable"/>
              <w:keepNext/>
              <w:keepLines/>
              <w:spacing w:after="40"/>
              <w:rPr>
                <w:b/>
                <w:snapToGrid w:val="0"/>
              </w:rPr>
            </w:pPr>
            <w:r>
              <w:rPr>
                <w:b/>
                <w:snapToGrid w:val="0"/>
              </w:rPr>
              <w:t>Number and year</w:t>
            </w:r>
          </w:p>
        </w:tc>
        <w:tc>
          <w:tcPr>
            <w:tcW w:w="1134" w:type="dxa"/>
            <w:tcBorders>
              <w:bottom w:val="single" w:sz="4" w:space="0" w:color="auto"/>
            </w:tcBorders>
          </w:tcPr>
          <w:p>
            <w:pPr>
              <w:pStyle w:val="nTable"/>
              <w:keepNext/>
              <w:keepLines/>
              <w:spacing w:after="40"/>
              <w:rPr>
                <w:b/>
                <w:snapToGrid w:val="0"/>
              </w:rPr>
            </w:pPr>
            <w:r>
              <w:rPr>
                <w:b/>
                <w:snapToGrid w:val="0"/>
              </w:rPr>
              <w:t>Assent</w:t>
            </w:r>
          </w:p>
        </w:tc>
        <w:tc>
          <w:tcPr>
            <w:tcW w:w="2552" w:type="dxa"/>
            <w:tcBorders>
              <w:bottom w:val="single" w:sz="4" w:space="0" w:color="auto"/>
            </w:tcBorders>
          </w:tcPr>
          <w:p>
            <w:pPr>
              <w:pStyle w:val="nTable"/>
              <w:keepNext/>
              <w:keepLines/>
              <w:spacing w:after="40"/>
              <w:rPr>
                <w:b/>
                <w:snapToGrid w:val="0"/>
              </w:rPr>
            </w:pPr>
            <w:r>
              <w:rPr>
                <w:b/>
                <w:snapToGrid w:val="0"/>
              </w:rPr>
              <w:t>Commencement</w:t>
            </w:r>
          </w:p>
        </w:tc>
      </w:tr>
      <w:tr>
        <w:tc>
          <w:tcPr>
            <w:tcW w:w="2268" w:type="dxa"/>
            <w:tcBorders>
              <w:top w:val="single" w:sz="4" w:space="0" w:color="auto"/>
              <w:bottom w:val="nil"/>
            </w:tcBorders>
          </w:tcPr>
          <w:p>
            <w:pPr>
              <w:pStyle w:val="nNote"/>
              <w:keepNext/>
              <w:keepLines/>
              <w:spacing w:before="40" w:after="40"/>
              <w:ind w:left="0" w:firstLine="0"/>
              <w:rPr>
                <w:i/>
                <w:noProof/>
                <w:snapToGrid w:val="0"/>
              </w:rPr>
            </w:pPr>
            <w:r>
              <w:rPr>
                <w:i/>
              </w:rPr>
              <w:t>Public Health (Consequential Provisions) Act 2016</w:t>
            </w:r>
            <w:r>
              <w:t xml:space="preserve"> Pt. 5 Div. 16</w:t>
            </w:r>
          </w:p>
        </w:tc>
        <w:tc>
          <w:tcPr>
            <w:tcW w:w="1118" w:type="dxa"/>
            <w:tcBorders>
              <w:top w:val="single" w:sz="4" w:space="0" w:color="auto"/>
              <w:bottom w:val="nil"/>
            </w:tcBorders>
          </w:tcPr>
          <w:p>
            <w:pPr>
              <w:pStyle w:val="nTable"/>
              <w:keepNext/>
              <w:keepLines/>
              <w:spacing w:after="40"/>
            </w:pPr>
            <w:r>
              <w:t>19 of 2016</w:t>
            </w:r>
          </w:p>
        </w:tc>
        <w:tc>
          <w:tcPr>
            <w:tcW w:w="1134" w:type="dxa"/>
            <w:tcBorders>
              <w:top w:val="single" w:sz="4" w:space="0" w:color="auto"/>
              <w:bottom w:val="nil"/>
            </w:tcBorders>
          </w:tcPr>
          <w:p>
            <w:pPr>
              <w:pStyle w:val="nTable"/>
              <w:keepNext/>
              <w:keepLines/>
              <w:spacing w:after="40"/>
            </w:pPr>
            <w:r>
              <w:t>25 Jul 2016</w:t>
            </w:r>
          </w:p>
        </w:tc>
        <w:tc>
          <w:tcPr>
            <w:tcW w:w="2552" w:type="dxa"/>
            <w:tcBorders>
              <w:top w:val="single" w:sz="4" w:space="0" w:color="auto"/>
              <w:bottom w:val="nil"/>
            </w:tcBorders>
          </w:tcPr>
          <w:p>
            <w:pPr>
              <w:pStyle w:val="nTable"/>
              <w:keepNext/>
              <w:keepLines/>
              <w:spacing w:after="40"/>
              <w:rPr>
                <w:snapToGrid w:val="0"/>
              </w:rPr>
            </w:pPr>
            <w:r>
              <w:t>To</w:t>
            </w:r>
            <w:r>
              <w:rPr>
                <w:snapToGrid w:val="0"/>
              </w:rPr>
              <w:t xml:space="preserve"> be proclaimed (see s. 2(1)(c))</w:t>
            </w:r>
          </w:p>
        </w:tc>
      </w:tr>
      <w:tr>
        <w:tc>
          <w:tcPr>
            <w:tcW w:w="2268" w:type="dxa"/>
            <w:tcBorders>
              <w:top w:val="nil"/>
              <w:bottom w:val="single" w:sz="4" w:space="0" w:color="auto"/>
            </w:tcBorders>
          </w:tcPr>
          <w:p>
            <w:pPr>
              <w:pStyle w:val="nNote"/>
              <w:keepNext/>
              <w:keepLines/>
              <w:spacing w:before="40" w:after="40"/>
              <w:ind w:left="0" w:firstLine="0"/>
              <w:rPr>
                <w:i/>
              </w:rPr>
            </w:pPr>
            <w:r>
              <w:rPr>
                <w:i/>
              </w:rPr>
              <w:t xml:space="preserve">Misuse of Drugs Amendment Act 2023 </w:t>
            </w:r>
            <w:r>
              <w:t>Pt. 3</w:t>
            </w:r>
          </w:p>
        </w:tc>
        <w:tc>
          <w:tcPr>
            <w:tcW w:w="1118" w:type="dxa"/>
            <w:tcBorders>
              <w:top w:val="nil"/>
              <w:bottom w:val="single" w:sz="4" w:space="0" w:color="auto"/>
            </w:tcBorders>
          </w:tcPr>
          <w:p>
            <w:pPr>
              <w:pStyle w:val="nTable"/>
              <w:keepNext/>
              <w:keepLines/>
              <w:spacing w:after="40"/>
            </w:pPr>
            <w:r>
              <w:t>16 of 2023</w:t>
            </w:r>
          </w:p>
        </w:tc>
        <w:tc>
          <w:tcPr>
            <w:tcW w:w="1134" w:type="dxa"/>
            <w:tcBorders>
              <w:top w:val="nil"/>
              <w:bottom w:val="single" w:sz="4" w:space="0" w:color="auto"/>
            </w:tcBorders>
          </w:tcPr>
          <w:p>
            <w:pPr>
              <w:pStyle w:val="nTable"/>
              <w:keepNext/>
              <w:keepLines/>
              <w:spacing w:after="40"/>
            </w:pPr>
            <w:r>
              <w:t>26 Jun 2023</w:t>
            </w:r>
          </w:p>
        </w:tc>
        <w:tc>
          <w:tcPr>
            <w:tcW w:w="2552" w:type="dxa"/>
            <w:tcBorders>
              <w:top w:val="nil"/>
              <w:bottom w:val="single" w:sz="4" w:space="0" w:color="auto"/>
            </w:tcBorders>
          </w:tcPr>
          <w:p>
            <w:pPr>
              <w:pStyle w:val="nTable"/>
              <w:keepNext/>
              <w:keepLines/>
              <w:spacing w:after="40"/>
            </w:pPr>
            <w:r>
              <w:t>27 Jun 2028 (see s. 2(c))</w:t>
            </w:r>
          </w:p>
        </w:tc>
      </w:tr>
    </w:tbl>
    <w:p>
      <w:pPr>
        <w:pStyle w:val="nHeading3"/>
      </w:pPr>
      <w:bookmarkStart w:id="390" w:name="_Toc138751209"/>
      <w:r>
        <w:t>Other notes</w:t>
      </w:r>
      <w:bookmarkEnd w:id="390"/>
    </w:p>
    <w:p>
      <w:pPr>
        <w:pStyle w:val="nNote"/>
        <w:spacing w:before="140"/>
      </w:pPr>
      <w:r>
        <w:rPr>
          <w:vertAlign w:val="superscript"/>
        </w:rPr>
        <w:t>1</w:t>
      </w:r>
      <w:r>
        <w:tab/>
        <w:t xml:space="preserve">The </w:t>
      </w:r>
      <w:r>
        <w:rPr>
          <w:i/>
        </w:rPr>
        <w:t>Poisons Act 1964</w:t>
      </w:r>
      <w:r>
        <w:t xml:space="preserve"> was repealed by the </w:t>
      </w:r>
      <w:r>
        <w:rPr>
          <w:i/>
        </w:rPr>
        <w:t>Medicines and Poisons Act 2014</w:t>
      </w:r>
      <w:r>
        <w:t xml:space="preserve"> s. 137.</w:t>
      </w:r>
    </w:p>
    <w:p>
      <w:pPr>
        <w:pStyle w:val="nNote"/>
        <w:spacing w:before="140"/>
      </w:pPr>
      <w:r>
        <w:rPr>
          <w:vertAlign w:val="superscript"/>
        </w:rPr>
        <w:t>2</w:t>
      </w:r>
      <w:r>
        <w:tab/>
        <w:t xml:space="preserve">This provision was renumbered under the </w:t>
      </w:r>
      <w:r>
        <w:rPr>
          <w:i/>
        </w:rPr>
        <w:t xml:space="preserve">Reprints Act 1984 </w:t>
      </w:r>
      <w:r>
        <w:t>s. 7(5)(c)(ii).</w:t>
      </w:r>
    </w:p>
    <w:p>
      <w:pPr>
        <w:pStyle w:val="nNote"/>
        <w:spacing w:before="140"/>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Note"/>
        <w:keepNext/>
        <w:spacing w:before="140"/>
      </w:pPr>
      <w:r>
        <w:rPr>
          <w:vertAlign w:val="superscript"/>
        </w:rPr>
        <w:t>4</w:t>
      </w:r>
      <w:r>
        <w:tab/>
        <w:t xml:space="preserve">The </w:t>
      </w:r>
      <w:r>
        <w:rPr>
          <w:i/>
        </w:rPr>
        <w:t>Criminal Property Confiscation (Consequential Provisions) Act 2000</w:t>
      </w:r>
      <w:r>
        <w:t xml:space="preserve"> s. 3 and 6</w:t>
      </w:r>
      <w:r>
        <w:noBreakHyphen/>
        <w:t>11 are savings and transitional provisions.</w:t>
      </w:r>
    </w:p>
    <w:p>
      <w:pPr>
        <w:pStyle w:val="nNote"/>
        <w:keepNext/>
        <w:spacing w:before="140"/>
        <w:rPr>
          <w:snapToGrid w:val="0"/>
        </w:rPr>
      </w:pPr>
      <w:r>
        <w:rPr>
          <w:vertAlign w:val="superscript"/>
        </w:rPr>
        <w:t>5</w:t>
      </w:r>
      <w:r>
        <w:tab/>
      </w:r>
      <w:r>
        <w:rPr>
          <w:snapToGrid w:val="0"/>
        </w:rPr>
        <w:t xml:space="preserve">The </w:t>
      </w:r>
      <w:r>
        <w:rPr>
          <w:i/>
          <w:snapToGrid w:val="0"/>
        </w:rPr>
        <w:t>Criminal Investigation (Covert Powers) Act 2012</w:t>
      </w:r>
      <w:r>
        <w:rPr>
          <w:snapToGrid w:val="0"/>
        </w:rPr>
        <w:t xml:space="preserve"> s. 108 and 109 read as follows:</w:t>
      </w:r>
    </w:p>
    <w:p>
      <w:pPr>
        <w:pStyle w:val="BlankOpen"/>
      </w:pPr>
    </w:p>
    <w:p>
      <w:pPr>
        <w:pStyle w:val="nzHeading5"/>
      </w:pPr>
      <w:r>
        <w:t>108.</w:t>
      </w:r>
      <w:r>
        <w:tab/>
        <w:t>Term used: commencement day</w:t>
      </w:r>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i/>
        </w:rPr>
      </w:pPr>
      <w:r>
        <w:rPr>
          <w:rStyle w:val="CharSectno"/>
        </w:rPr>
        <w:lastRenderedPageBreak/>
        <w:t>109</w:t>
      </w:r>
      <w:r>
        <w:t>.</w:t>
      </w:r>
      <w:r>
        <w:tab/>
        <w:t xml:space="preserve">Savings provision relating to </w:t>
      </w:r>
      <w:r>
        <w:rPr>
          <w:i/>
        </w:rPr>
        <w:t>Misuse of Drugs Act 1981</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nzSubsection"/>
        <w:keepNext/>
        <w:keepLines/>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pPr>
    </w:p>
    <w:p>
      <w:pPr>
        <w:sectPr>
          <w:headerReference w:type="even" r:id="rId70"/>
          <w:headerReference w:type="default" r:id="rId71"/>
          <w:pgSz w:w="11907" w:h="16840" w:code="9"/>
          <w:pgMar w:top="2376" w:right="2405" w:bottom="3542" w:left="2405" w:header="706" w:footer="3544" w:gutter="0"/>
          <w:cols w:space="720"/>
          <w:noEndnote/>
          <w:docGrid w:linePitch="326"/>
        </w:sectPr>
      </w:pPr>
    </w:p>
    <w:p>
      <w:pPr>
        <w:pStyle w:val="nHeading2"/>
        <w:rPr>
          <w:sz w:val="28"/>
        </w:rPr>
      </w:pPr>
      <w:bookmarkStart w:id="392" w:name="_Toc138751210"/>
      <w:r>
        <w:rPr>
          <w:sz w:val="28"/>
        </w:rPr>
        <w:lastRenderedPageBreak/>
        <w:t>Defined terms</w:t>
      </w:r>
      <w:bookmarkEnd w:id="3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3(1), 8B(1)</w:t>
      </w:r>
    </w:p>
    <w:p>
      <w:pPr>
        <w:pStyle w:val="DefinedTerms"/>
      </w:pPr>
      <w:r>
        <w:t>Agvet Code of Western Australia</w:t>
      </w:r>
      <w:r>
        <w:tab/>
        <w:t>8N(1)</w:t>
      </w:r>
    </w:p>
    <w:p>
      <w:pPr>
        <w:pStyle w:val="DefinedTerms"/>
      </w:pPr>
      <w:r>
        <w:t>amending Act</w:t>
      </w:r>
      <w:r>
        <w:tab/>
        <w:t>44(1)</w:t>
      </w:r>
    </w:p>
    <w:p>
      <w:pPr>
        <w:pStyle w:val="DefinedTerms"/>
      </w:pPr>
      <w:r>
        <w:t>analyst</w:t>
      </w:r>
      <w:r>
        <w:tab/>
        <w:t>3(1)</w:t>
      </w:r>
    </w:p>
    <w:p>
      <w:pPr>
        <w:pStyle w:val="DefinedTerms"/>
      </w:pPr>
      <w:r>
        <w:t>appropriate licence</w:t>
      </w:r>
      <w:r>
        <w:tab/>
        <w:t>5B(1)</w:t>
      </w:r>
    </w:p>
    <w:p>
      <w:pPr>
        <w:pStyle w:val="DefinedTerms"/>
      </w:pPr>
      <w:r>
        <w:t>appropriate permit</w:t>
      </w:r>
      <w:r>
        <w:tab/>
        <w:t>5B(1)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Australia Post</w:t>
      </w:r>
      <w:r>
        <w:tab/>
        <w:t>20A</w:t>
      </w:r>
    </w:p>
    <w:p>
      <w:pPr>
        <w:pStyle w:val="DefinedTerms"/>
      </w:pPr>
      <w:r>
        <w:t>authorised officer</w:t>
      </w:r>
      <w:r>
        <w:tab/>
        <w:t>20M, 20R(1)</w:t>
      </w:r>
    </w:p>
    <w:p>
      <w:pPr>
        <w:pStyle w:val="DefinedTerms"/>
      </w:pPr>
      <w:r>
        <w:t>authorised person</w:t>
      </w:r>
      <w:r>
        <w:tab/>
        <w:t>8B(1)</w:t>
      </w:r>
    </w:p>
    <w:p>
      <w:pPr>
        <w:pStyle w:val="DefinedTerms"/>
      </w:pPr>
      <w:r>
        <w:t>authorised prescription</w:t>
      </w:r>
      <w:r>
        <w:tab/>
        <w:t>3(1)</w:t>
      </w:r>
    </w:p>
    <w:p>
      <w:pPr>
        <w:pStyle w:val="DefinedTerms"/>
      </w:pPr>
      <w:r>
        <w:t>Border Search Area</w:t>
      </w:r>
      <w:r>
        <w:tab/>
        <w:t>3(1), 20N(1)</w:t>
      </w:r>
    </w:p>
    <w:p>
      <w:pPr>
        <w:pStyle w:val="DefinedTerms"/>
      </w:pPr>
      <w:r>
        <w:t>botanist</w:t>
      </w:r>
      <w:r>
        <w:tab/>
        <w:t>3(1)</w:t>
      </w:r>
    </w:p>
    <w:p>
      <w:pPr>
        <w:pStyle w:val="DefinedTerms"/>
      </w:pPr>
      <w:r>
        <w:t>BSA</w:t>
      </w:r>
      <w:r>
        <w:tab/>
        <w:t>3(1), 20N(1)</w:t>
      </w:r>
    </w:p>
    <w:p>
      <w:pPr>
        <w:pStyle w:val="DefinedTerms"/>
      </w:pPr>
      <w:r>
        <w:t>BSA authorisation</w:t>
      </w:r>
      <w:r>
        <w:tab/>
        <w:t>20R(1)</w:t>
      </w:r>
    </w:p>
    <w:p>
      <w:pPr>
        <w:pStyle w:val="DefinedTerms"/>
      </w:pPr>
      <w:r>
        <w:t>cannabis</w:t>
      </w:r>
      <w:r>
        <w:tab/>
        <w:t>3(1)</w:t>
      </w:r>
    </w:p>
    <w:p>
      <w:pPr>
        <w:pStyle w:val="DefinedTerms"/>
      </w:pPr>
      <w:r>
        <w:t>cannabis intervention requirement</w:t>
      </w:r>
      <w:r>
        <w:tab/>
        <w:t>8B(1)</w:t>
      </w:r>
    </w:p>
    <w:p>
      <w:pPr>
        <w:pStyle w:val="DefinedTerms"/>
      </w:pPr>
      <w:r>
        <w:t>cannabis intervention session</w:t>
      </w:r>
      <w:r>
        <w:tab/>
        <w:t>8B(1)</w:t>
      </w:r>
    </w:p>
    <w:p>
      <w:pPr>
        <w:pStyle w:val="DefinedTerms"/>
      </w:pPr>
      <w:r>
        <w:t>cannabis resin</w:t>
      </w:r>
      <w:r>
        <w:tab/>
        <w:t>3(1)</w:t>
      </w:r>
    </w:p>
    <w:p>
      <w:pPr>
        <w:pStyle w:val="DefinedTerms"/>
      </w:pPr>
      <w:r>
        <w:t>category 1 item</w:t>
      </w:r>
      <w:r>
        <w:tab/>
        <w:t>3(1), 12</w:t>
      </w:r>
    </w:p>
    <w:p>
      <w:pPr>
        <w:pStyle w:val="DefinedTerms"/>
      </w:pPr>
      <w:r>
        <w:t>category 2 item</w:t>
      </w:r>
      <w:r>
        <w:tab/>
        <w:t>3(1), 11</w:t>
      </w:r>
    </w:p>
    <w:p>
      <w:pPr>
        <w:pStyle w:val="DefinedTerms"/>
      </w:pPr>
      <w:r>
        <w:t>CEO (Health)</w:t>
      </w:r>
      <w:r>
        <w:tab/>
        <w:t>8B(1), 38D(1)</w:t>
      </w:r>
    </w:p>
    <w:p>
      <w:pPr>
        <w:pStyle w:val="DefinedTerms"/>
      </w:pPr>
      <w:r>
        <w:t>child</w:t>
      </w:r>
      <w:r>
        <w:tab/>
        <w:t>3(1)</w:t>
      </w:r>
    </w:p>
    <w:p>
      <w:pPr>
        <w:pStyle w:val="DefinedTerms"/>
      </w:pPr>
      <w:r>
        <w:t>CIN</w:t>
      </w:r>
      <w:r>
        <w:tab/>
        <w:t>45</w:t>
      </w:r>
    </w:p>
    <w:p>
      <w:pPr>
        <w:pStyle w:val="DefinedTerms"/>
      </w:pPr>
      <w:r>
        <w:t>CIR</w:t>
      </w:r>
      <w:r>
        <w:tab/>
        <w:t>8B(2)</w:t>
      </w:r>
    </w:p>
    <w:p>
      <w:pPr>
        <w:pStyle w:val="DefinedTerms"/>
      </w:pPr>
      <w:r>
        <w:t>CIS</w:t>
      </w:r>
      <w:r>
        <w:tab/>
        <w:t>8B(2)</w:t>
      </w:r>
    </w:p>
    <w:p>
      <w:pPr>
        <w:pStyle w:val="DefinedTerms"/>
      </w:pPr>
      <w:r>
        <w:t>claimant</w:t>
      </w:r>
      <w:r>
        <w:tab/>
        <w:t>27(1)</w:t>
      </w:r>
    </w:p>
    <w:p>
      <w:pPr>
        <w:pStyle w:val="DefinedTerms"/>
      </w:pPr>
      <w:r>
        <w:t>commencement day</w:t>
      </w:r>
      <w:r>
        <w:tab/>
        <w:t>42B(1), 45</w:t>
      </w:r>
    </w:p>
    <w:p>
      <w:pPr>
        <w:pStyle w:val="DefinedTerms"/>
      </w:pPr>
      <w:r>
        <w:t>Commissioner</w:t>
      </w:r>
      <w:r>
        <w:tab/>
        <w:t>3(1)</w:t>
      </w:r>
    </w:p>
    <w:p>
      <w:pPr>
        <w:pStyle w:val="DefinedTerms"/>
      </w:pPr>
      <w:r>
        <w:t>confidential information</w:t>
      </w:r>
      <w:r>
        <w:tab/>
        <w:t>27B(1)</w:t>
      </w:r>
    </w:p>
    <w:p>
      <w:pPr>
        <w:pStyle w:val="DefinedTerms"/>
      </w:pPr>
      <w:r>
        <w:t>consigned article</w:t>
      </w:r>
      <w:r>
        <w:tab/>
        <w:t>20A</w:t>
      </w:r>
    </w:p>
    <w:p>
      <w:pPr>
        <w:pStyle w:val="DefinedTerms"/>
      </w:pPr>
      <w:r>
        <w:t>consume</w:t>
      </w:r>
      <w:r>
        <w:tab/>
        <w:t>8N(1)</w:t>
      </w:r>
    </w:p>
    <w:p>
      <w:pPr>
        <w:pStyle w:val="DefinedTerms"/>
      </w:pPr>
      <w:r>
        <w:t>controlled precursor</w:t>
      </w:r>
      <w:r>
        <w:tab/>
        <w:t>3(1)</w:t>
      </w:r>
    </w:p>
    <w:p>
      <w:pPr>
        <w:pStyle w:val="DefinedTerms"/>
      </w:pPr>
      <w:r>
        <w:t>Corruption and Crime Commission</w:t>
      </w:r>
      <w:r>
        <w:tab/>
        <w:t>20M</w:t>
      </w:r>
    </w:p>
    <w:p>
      <w:pPr>
        <w:pStyle w:val="DefinedTerms"/>
      </w:pPr>
      <w:r>
        <w:t>dangerous substance</w:t>
      </w:r>
      <w:r>
        <w:tab/>
        <w:t>2(1)</w:t>
      </w:r>
    </w:p>
    <w:p>
      <w:pPr>
        <w:pStyle w:val="DefinedTerms"/>
      </w:pPr>
      <w:r>
        <w:t>declared criminal organisation</w:t>
      </w:r>
      <w:r>
        <w:tab/>
        <w:t>32A(3)</w:t>
      </w:r>
    </w:p>
    <w:p>
      <w:pPr>
        <w:pStyle w:val="DefinedTerms"/>
      </w:pPr>
      <w:r>
        <w:t xml:space="preserve">delivery business </w:t>
      </w:r>
      <w:r>
        <w:tab/>
        <w:t>20A</w:t>
      </w:r>
    </w:p>
    <w:p>
      <w:pPr>
        <w:pStyle w:val="DefinedTerms"/>
      </w:pPr>
      <w:r>
        <w:lastRenderedPageBreak/>
        <w:t>Department</w:t>
      </w:r>
      <w:r>
        <w:tab/>
        <w:t>20Z(1)</w:t>
      </w:r>
    </w:p>
    <w:p>
      <w:pPr>
        <w:pStyle w:val="DefinedTerms"/>
      </w:pPr>
      <w:r>
        <w:t>destruction notice</w:t>
      </w:r>
      <w:r>
        <w:tab/>
        <w:t>8T(1)</w:t>
      </w:r>
    </w:p>
    <w:p>
      <w:pPr>
        <w:pStyle w:val="DefinedTerms"/>
      </w:pPr>
      <w:r>
        <w:t>display</w:t>
      </w:r>
      <w:r>
        <w:tab/>
        <w:t>7B(1)</w:t>
      </w:r>
    </w:p>
    <w:p>
      <w:pPr>
        <w:pStyle w:val="DefinedTerms"/>
      </w:pPr>
      <w:r>
        <w:t>drug detection area</w:t>
      </w:r>
      <w:r>
        <w:tab/>
        <w:t>20A, 20B(2)</w:t>
      </w:r>
    </w:p>
    <w:p>
      <w:pPr>
        <w:pStyle w:val="DefinedTerms"/>
      </w:pPr>
      <w:r>
        <w:t>drug detection device</w:t>
      </w:r>
      <w:r>
        <w:tab/>
        <w:t>3(1)</w:t>
      </w:r>
    </w:p>
    <w:p>
      <w:pPr>
        <w:pStyle w:val="DefinedTerms"/>
      </w:pPr>
      <w:r>
        <w:t>drug detection dog</w:t>
      </w:r>
      <w:r>
        <w:tab/>
        <w:t>3(1)</w:t>
      </w:r>
    </w:p>
    <w:p>
      <w:pPr>
        <w:pStyle w:val="DefinedTerms"/>
      </w:pPr>
      <w:r>
        <w:t>drug of addiction</w:t>
      </w:r>
      <w:r>
        <w:tab/>
        <w:t>3(1)</w:t>
      </w:r>
    </w:p>
    <w:p>
      <w:pPr>
        <w:pStyle w:val="DefinedTerms"/>
      </w:pPr>
      <w:r>
        <w:t>drug paraphernalia</w:t>
      </w:r>
      <w:r>
        <w:tab/>
        <w:t>7B(1)</w:t>
      </w:r>
    </w:p>
    <w:p>
      <w:pPr>
        <w:pStyle w:val="DefinedTerms"/>
      </w:pPr>
      <w:r>
        <w:t>external serious drug offence</w:t>
      </w:r>
      <w:r>
        <w:tab/>
        <w:t>32A(3)</w:t>
      </w:r>
    </w:p>
    <w:p>
      <w:pPr>
        <w:pStyle w:val="DefinedTerms"/>
      </w:pPr>
      <w:r>
        <w:t>heroin</w:t>
      </w:r>
      <w:r>
        <w:tab/>
        <w:t>3(1)</w:t>
      </w:r>
    </w:p>
    <w:p>
      <w:pPr>
        <w:pStyle w:val="DefinedTerms"/>
      </w:pPr>
      <w:r>
        <w:t>industrial hemp</w:t>
      </w:r>
      <w:r>
        <w:tab/>
        <w:t>3(1)</w:t>
      </w:r>
    </w:p>
    <w:p>
      <w:pPr>
        <w:pStyle w:val="DefinedTerms"/>
      </w:pPr>
      <w:r>
        <w:t>industrial hemp seed</w:t>
      </w:r>
      <w:r>
        <w:tab/>
        <w:t>3(1)</w:t>
      </w:r>
    </w:p>
    <w:p>
      <w:pPr>
        <w:pStyle w:val="DefinedTerms"/>
      </w:pPr>
      <w:r>
        <w:t>issuing officer</w:t>
      </w:r>
      <w:r>
        <w:tab/>
        <w:t>20R(1)</w:t>
      </w:r>
    </w:p>
    <w:p>
      <w:pPr>
        <w:pStyle w:val="DefinedTerms"/>
      </w:pPr>
      <w:r>
        <w:t>manufacture</w:t>
      </w:r>
      <w:r>
        <w:tab/>
        <w:t>8N(1)</w:t>
      </w:r>
    </w:p>
    <w:p>
      <w:pPr>
        <w:pStyle w:val="DefinedTerms"/>
      </w:pPr>
      <w:r>
        <w:t>medical practitioner</w:t>
      </w:r>
      <w:r>
        <w:tab/>
        <w:t>3(1)</w:t>
      </w:r>
    </w:p>
    <w:p>
      <w:pPr>
        <w:pStyle w:val="DefinedTerms"/>
      </w:pPr>
      <w:r>
        <w:t>member</w:t>
      </w:r>
      <w:r>
        <w:tab/>
        <w:t>32A(3)</w:t>
      </w:r>
    </w:p>
    <w:p>
      <w:pPr>
        <w:pStyle w:val="DefinedTerms"/>
      </w:pPr>
      <w:r>
        <w:t>methylamphetamine</w:t>
      </w:r>
      <w:r>
        <w:tab/>
        <w:t>3(1)</w:t>
      </w:r>
    </w:p>
    <w:p>
      <w:pPr>
        <w:pStyle w:val="DefinedTerms"/>
      </w:pPr>
      <w:r>
        <w:t>metropolitan region</w:t>
      </w:r>
      <w:r>
        <w:tab/>
        <w:t>20A</w:t>
      </w:r>
    </w:p>
    <w:p>
      <w:pPr>
        <w:pStyle w:val="DefinedTerms"/>
      </w:pPr>
      <w:r>
        <w:t>minor cannabis related offence</w:t>
      </w:r>
      <w:r>
        <w:tab/>
        <w:t>8B(1)</w:t>
      </w:r>
    </w:p>
    <w:p>
      <w:pPr>
        <w:pStyle w:val="DefinedTerms"/>
      </w:pPr>
      <w:r>
        <w:t>new offence</w:t>
      </w:r>
      <w:r>
        <w:tab/>
        <w:t>8E(4), 8G(1)</w:t>
      </w:r>
    </w:p>
    <w:p>
      <w:pPr>
        <w:pStyle w:val="DefinedTerms"/>
      </w:pPr>
      <w:r>
        <w:t>officer</w:t>
      </w:r>
      <w:r>
        <w:tab/>
        <w:t>20Z(1)</w:t>
      </w:r>
    </w:p>
    <w:p>
      <w:pPr>
        <w:pStyle w:val="DefinedTerms"/>
      </w:pPr>
      <w:r>
        <w:t>opium</w:t>
      </w:r>
      <w:r>
        <w:tab/>
        <w:t>3(1)</w:t>
      </w:r>
    </w:p>
    <w:p>
      <w:pPr>
        <w:pStyle w:val="DefinedTerms"/>
      </w:pPr>
      <w:r>
        <w:t>owner</w:t>
      </w:r>
      <w:r>
        <w:tab/>
        <w:t>5(2)</w:t>
      </w:r>
    </w:p>
    <w:p>
      <w:pPr>
        <w:pStyle w:val="DefinedTerms"/>
      </w:pPr>
      <w:r>
        <w:t>police officer</w:t>
      </w:r>
      <w:r>
        <w:tab/>
        <w:t>8B(1)</w:t>
      </w:r>
    </w:p>
    <w:p>
      <w:pPr>
        <w:pStyle w:val="DefinedTerms"/>
      </w:pPr>
      <w:r>
        <w:t>preliminary drug detection test</w:t>
      </w:r>
      <w:r>
        <w:tab/>
        <w:t>3(1)</w:t>
      </w:r>
    </w:p>
    <w:p>
      <w:pPr>
        <w:pStyle w:val="DefinedTerms"/>
      </w:pPr>
      <w:r>
        <w:t>premises</w:t>
      </w:r>
      <w:r>
        <w:tab/>
        <w:t>20I(1)</w:t>
      </w:r>
    </w:p>
    <w:p>
      <w:pPr>
        <w:pStyle w:val="DefinedTerms"/>
      </w:pPr>
      <w:r>
        <w:t>premises search authorisation</w:t>
      </w:r>
      <w:r>
        <w:tab/>
        <w:t>20A</w:t>
      </w:r>
    </w:p>
    <w:p>
      <w:pPr>
        <w:pStyle w:val="DefinedTerms"/>
      </w:pPr>
      <w:r>
        <w:t>principal offence</w:t>
      </w:r>
      <w:r>
        <w:tab/>
        <w:t>33(1), (2), (3)</w:t>
      </w:r>
    </w:p>
    <w:p>
      <w:pPr>
        <w:pStyle w:val="DefinedTerms"/>
      </w:pPr>
      <w:r>
        <w:t>processed industrial hemp</w:t>
      </w:r>
      <w:r>
        <w:tab/>
        <w:t>3(1)</w:t>
      </w:r>
    </w:p>
    <w:p>
      <w:pPr>
        <w:pStyle w:val="DefinedTerms"/>
      </w:pPr>
      <w:r>
        <w:t>professional authority</w:t>
      </w:r>
      <w:r>
        <w:tab/>
        <w:t>5B(1)</w:t>
      </w:r>
    </w:p>
    <w:p>
      <w:pPr>
        <w:pStyle w:val="DefinedTerms"/>
      </w:pPr>
      <w:r>
        <w:t>prohibited drug</w:t>
      </w:r>
      <w:r>
        <w:tab/>
        <w:t>3(1)</w:t>
      </w:r>
    </w:p>
    <w:p>
      <w:pPr>
        <w:pStyle w:val="DefinedTerms"/>
      </w:pPr>
      <w:r>
        <w:t>prohibited plant</w:t>
      </w:r>
      <w:r>
        <w:tab/>
        <w:t>3(1)</w:t>
      </w:r>
    </w:p>
    <w:p>
      <w:pPr>
        <w:pStyle w:val="DefinedTerms"/>
      </w:pPr>
      <w:r>
        <w:t>psychoactive effect</w:t>
      </w:r>
      <w:r>
        <w:tab/>
        <w:t>8N(1)</w:t>
      </w:r>
    </w:p>
    <w:p>
      <w:pPr>
        <w:pStyle w:val="DefinedTerms"/>
      </w:pPr>
      <w:r>
        <w:t>psychoactive substance</w:t>
      </w:r>
      <w:r>
        <w:tab/>
        <w:t>8N(1)</w:t>
      </w:r>
    </w:p>
    <w:p>
      <w:pPr>
        <w:pStyle w:val="DefinedTerms"/>
      </w:pPr>
      <w:r>
        <w:t>public place</w:t>
      </w:r>
      <w:r>
        <w:tab/>
        <w:t>20M</w:t>
      </w:r>
    </w:p>
    <w:p>
      <w:pPr>
        <w:pStyle w:val="DefinedTerms"/>
      </w:pPr>
      <w:r>
        <w:t>recipient</w:t>
      </w:r>
      <w:r>
        <w:tab/>
        <w:t>12</w:t>
      </w:r>
    </w:p>
    <w:p>
      <w:pPr>
        <w:pStyle w:val="DefinedTerms"/>
      </w:pPr>
      <w:r>
        <w:t>relevant drug offence</w:t>
      </w:r>
      <w:r>
        <w:tab/>
        <w:t>32A(3)</w:t>
      </w:r>
    </w:p>
    <w:p>
      <w:pPr>
        <w:pStyle w:val="DefinedTerms"/>
      </w:pPr>
      <w:r>
        <w:t>relevant thing</w:t>
      </w:r>
      <w:r>
        <w:tab/>
        <w:t>27(6)</w:t>
      </w:r>
    </w:p>
    <w:p>
      <w:pPr>
        <w:pStyle w:val="DefinedTerms"/>
      </w:pPr>
      <w:r>
        <w:t>repeal day</w:t>
      </w:r>
      <w:r>
        <w:tab/>
        <w:t>Sch. IX cl. 1(1)</w:t>
      </w:r>
    </w:p>
    <w:p>
      <w:pPr>
        <w:pStyle w:val="DefinedTerms"/>
      </w:pPr>
      <w:r>
        <w:t>responsible adult</w:t>
      </w:r>
      <w:r>
        <w:tab/>
        <w:t>8B(1)</w:t>
      </w:r>
    </w:p>
    <w:p>
      <w:pPr>
        <w:pStyle w:val="DefinedTerms"/>
      </w:pPr>
      <w:r>
        <w:t>sample</w:t>
      </w:r>
      <w:r>
        <w:tab/>
        <w:t>3(1)</w:t>
      </w:r>
    </w:p>
    <w:p>
      <w:pPr>
        <w:pStyle w:val="DefinedTerms"/>
      </w:pPr>
      <w:r>
        <w:t>search</w:t>
      </w:r>
      <w:r>
        <w:tab/>
        <w:t>20G(1), 20U(1)</w:t>
      </w:r>
    </w:p>
    <w:p>
      <w:pPr>
        <w:pStyle w:val="DefinedTerms"/>
      </w:pPr>
      <w:r>
        <w:t>search warrant</w:t>
      </w:r>
      <w:r>
        <w:tab/>
        <w:t>21</w:t>
      </w:r>
    </w:p>
    <w:p>
      <w:pPr>
        <w:pStyle w:val="DefinedTerms"/>
      </w:pPr>
      <w:r>
        <w:t>seized property</w:t>
      </w:r>
      <w:r>
        <w:tab/>
        <w:t>28(1)</w:t>
      </w:r>
    </w:p>
    <w:p>
      <w:pPr>
        <w:pStyle w:val="DefinedTerms"/>
      </w:pPr>
      <w:r>
        <w:lastRenderedPageBreak/>
        <w:t>senior police officer</w:t>
      </w:r>
      <w:r>
        <w:tab/>
        <w:t>20A</w:t>
      </w:r>
    </w:p>
    <w:p>
      <w:pPr>
        <w:pStyle w:val="DefinedTerms"/>
      </w:pPr>
      <w:r>
        <w:t>serious drug offence</w:t>
      </w:r>
      <w:r>
        <w:tab/>
        <w:t>32(3)</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8N(1), 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trafficable quantity of methylamphetamine</w:t>
      </w:r>
      <w:r>
        <w:tab/>
        <w:t>34(1A)</w:t>
      </w:r>
    </w:p>
    <w:p>
      <w:pPr>
        <w:pStyle w:val="DefinedTerms"/>
      </w:pPr>
      <w:r>
        <w:t>undercover officer</w:t>
      </w:r>
      <w:r>
        <w:tab/>
        <w:t>3(1)</w:t>
      </w:r>
    </w:p>
    <w:p>
      <w:pPr>
        <w:pStyle w:val="DefinedTerms"/>
      </w:pPr>
      <w:r>
        <w:t>undercover operation</w:t>
      </w:r>
      <w:r>
        <w:tab/>
        <w:t>3(1)</w:t>
      </w:r>
    </w:p>
    <w:p>
      <w:pPr>
        <w:pStyle w:val="DefinedTerms"/>
      </w:pPr>
      <w:r>
        <w:t>vehicle</w:t>
      </w:r>
      <w:r>
        <w:tab/>
        <w:t>3(1)</w:t>
      </w:r>
    </w:p>
    <w:p>
      <w:pPr>
        <w:pStyle w:val="DefinedTerms"/>
      </w:pPr>
      <w:r>
        <w:t>vehicle search authorisation</w:t>
      </w:r>
      <w:r>
        <w:tab/>
        <w:t>20A</w:t>
      </w:r>
    </w:p>
    <w:p>
      <w:pPr>
        <w:pStyle w:val="DefinedTerms"/>
      </w:pPr>
      <w:r>
        <w:t>young person</w:t>
      </w:r>
      <w:r>
        <w:tab/>
        <w:t>8B(1)</w:t>
      </w:r>
    </w:p>
    <w:p>
      <w:pPr>
        <w:pStyle w:val="DefinedTerms"/>
      </w:pPr>
      <w:r>
        <w:t>young person at risk</w:t>
      </w:r>
      <w:r>
        <w:tab/>
        <w:t>8H(2)</w:t>
      </w:r>
    </w:p>
    <w:p/>
    <w:p>
      <w:pPr>
        <w:sectPr>
          <w:headerReference w:type="even" r:id="rId72"/>
          <w:headerReference w:type="default" r:id="rId73"/>
          <w:pgSz w:w="11907" w:h="16840" w:code="9"/>
          <w:pgMar w:top="2381" w:right="2409" w:bottom="3543" w:left="2409" w:header="720" w:footer="3544" w:gutter="0"/>
          <w:cols w:space="720"/>
          <w:noEndnote/>
          <w:docGrid w:linePitch="326"/>
        </w:sectPr>
      </w:pPr>
    </w:p>
    <w:p/>
    <w:sectPr>
      <w:headerReference w:type="even" r:id="rId74"/>
      <w:headerReference w:type="default" r:id="rId75"/>
      <w:footerReference w:type="even" r:id="rId76"/>
      <w:footerReference w:type="default" r:id="rId77"/>
      <w:headerReference w:type="first" r:id="rId78"/>
      <w:footerReference w:type="first" r:id="rId79"/>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rPr>
        <w:jc w:val="center"/>
      </w:trPr>
      <w:tc>
        <w:tcPr>
          <w:tcW w:w="1490" w:type="dxa"/>
        </w:tcPr>
        <w:p>
          <w:pPr>
            <w:pStyle w:val="Header"/>
            <w:spacing w:before="40"/>
          </w:pPr>
        </w:p>
      </w:tc>
      <w:tc>
        <w:tcPr>
          <w:tcW w:w="5773" w:type="dxa"/>
          <w:vAlign w:val="bottom"/>
        </w:tcPr>
        <w:p>
          <w:pPr>
            <w:pStyle w:val="Header"/>
            <w:spacing w:before="40"/>
          </w:pPr>
        </w:p>
      </w:tc>
    </w:tr>
    <w:tr>
      <w:trPr>
        <w:jc w:val="center"/>
      </w:trP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vAlign w:val="bottom"/>
        </w:tcPr>
        <w:p>
          <w:pPr>
            <w:pStyle w:val="Header"/>
            <w:spacing w:before="40"/>
            <w:jc w:val="right"/>
          </w:pPr>
        </w:p>
      </w:tc>
      <w:tc>
        <w:tcPr>
          <w:tcW w:w="1521" w:type="dxa"/>
        </w:tcPr>
        <w:p>
          <w:pPr>
            <w:pStyle w:val="Header"/>
            <w:spacing w:before="40"/>
            <w:ind w:right="17"/>
            <w:jc w:val="right"/>
          </w:pPr>
        </w:p>
      </w:tc>
    </w:tr>
    <w:tr>
      <w:trPr>
        <w:jc w:val="center"/>
      </w:trP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54" w:name="Schedule"/>
    <w:bookmarkEnd w:id="2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separate"/>
          </w:r>
          <w:r>
            <w:rPr>
              <w:b/>
            </w:rPr>
            <w:t>Schedule I</w:t>
          </w:r>
          <w:r>
            <w:rPr>
              <w:b/>
            </w:rPr>
            <w:fldChar w:fldCharType="end"/>
          </w:r>
        </w:p>
      </w:tc>
      <w:tc>
        <w:tcPr>
          <w:tcW w:w="5773" w:type="dxa"/>
          <w:vAlign w:val="bottom"/>
        </w:tcPr>
        <w:p>
          <w:pPr>
            <w:pStyle w:val="Header"/>
            <w:spacing w:before="40"/>
          </w:pPr>
          <w:r>
            <w:fldChar w:fldCharType="begin"/>
          </w:r>
          <w:r>
            <w:instrText>STYLEREF CharSchText</w:instrText>
          </w:r>
          <w:r>
            <w:fldChar w:fldCharType="separate"/>
          </w:r>
          <w:r>
            <w:t>Drugs to which Act applies, notwithstanding anything in Medicines and Poisons Act 2014</w:t>
          </w:r>
          <w:r>
            <w:fldChar w:fldCharType="end"/>
          </w:r>
        </w:p>
      </w:tc>
    </w:tr>
    <w:tr>
      <w:trPr>
        <w:jc w:val="center"/>
      </w:trPr>
      <w:tc>
        <w:tcPr>
          <w:tcW w:w="1490" w:type="dxa"/>
        </w:tcPr>
        <w:p>
          <w:pPr>
            <w:pStyle w:val="Header"/>
            <w:spacing w:before="40"/>
          </w:pPr>
          <w:r>
            <w:rPr>
              <w:b/>
            </w:rPr>
            <w:fldChar w:fldCharType="begin"/>
          </w:r>
          <w:r>
            <w:rPr>
              <w:b/>
            </w:rPr>
            <w:instrText xml:space="preserve"> STYLEREF CharSDivNo \* charformat</w:instrText>
          </w:r>
          <w:r>
            <w:rPr>
              <w:b/>
            </w:rPr>
            <w:fldChar w:fldCharType="end"/>
          </w:r>
        </w:p>
      </w:tc>
      <w:tc>
        <w:tcPr>
          <w:tcW w:w="5773" w:type="dxa"/>
          <w:vAlign w:val="bottom"/>
        </w:tcPr>
        <w:p>
          <w:pPr>
            <w:pStyle w:val="Header"/>
            <w:spacing w:before="40"/>
          </w:pPr>
          <w:r>
            <w:fldChar w:fldCharType="begin"/>
          </w:r>
          <w:r>
            <w:instrText xml:space="preserve"> styleref CharSDivText </w:instrText>
          </w:r>
          <w:r>
            <w:fldChar w:fldCharType="end"/>
          </w:r>
        </w:p>
      </w:tc>
    </w:tr>
    <w:tr>
      <w:trPr>
        <w:jc w:val="center"/>
      </w:trP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5742" w:type="dxa"/>
          <w:vAlign w:val="bottom"/>
        </w:tcPr>
        <w:p>
          <w:pPr>
            <w:pStyle w:val="Header"/>
            <w:spacing w:before="40"/>
            <w:jc w:val="right"/>
          </w:pPr>
          <w:r>
            <w:fldChar w:fldCharType="begin"/>
          </w:r>
          <w:r>
            <w:instrText>STYLEREF CharSchText</w:instrText>
          </w:r>
          <w:r>
            <w:fldChar w:fldCharType="separate"/>
          </w:r>
          <w:r>
            <w:t>Drugs to which Act applies, notwithstanding anything in Medicines and Poisons Act 2014</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I</w: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CharSDivText </w:instrText>
          </w:r>
          <w:r>
            <w:fldChar w:fldCharType="end"/>
          </w:r>
        </w:p>
      </w:tc>
      <w:tc>
        <w:tcPr>
          <w:tcW w:w="152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5742" w:type="dxa"/>
          <w:vAlign w:val="bottom"/>
        </w:tcPr>
        <w:p>
          <w:pPr>
            <w:pStyle w:val="Header"/>
            <w:spacing w:before="40"/>
            <w:jc w:val="right"/>
          </w:pPr>
          <w:r>
            <w:fldChar w:fldCharType="begin"/>
          </w:r>
          <w:r>
            <w:instrText>STYLEREF CharSchText</w:instrText>
          </w:r>
          <w:r>
            <w:fldChar w:fldCharType="separate"/>
          </w:r>
          <w:r>
            <w:t>Numbers of prohibited plants for purposes of drug trafficking</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VIII</w:t>
          </w:r>
          <w:r>
            <w:rPr>
              <w:b/>
            </w:rPr>
            <w:fldChar w:fldCharType="end"/>
          </w:r>
        </w:p>
      </w:tc>
    </w:tr>
    <w:tr>
      <w:trPr>
        <w:jc w:val="center"/>
      </w:trPr>
      <w:tc>
        <w:tcPr>
          <w:tcW w:w="5742" w:type="dxa"/>
          <w:vAlign w:val="bottom"/>
        </w:tcPr>
        <w:p>
          <w:pPr>
            <w:pStyle w:val="Header"/>
            <w:spacing w:before="40"/>
            <w:jc w:val="right"/>
          </w:pPr>
        </w:p>
      </w:tc>
      <w:tc>
        <w:tcPr>
          <w:tcW w:w="1521" w:type="dxa"/>
        </w:tcPr>
        <w:p>
          <w:pPr>
            <w:pStyle w:val="Header"/>
            <w:spacing w:before="40"/>
            <w:ind w:right="17"/>
            <w:jc w:val="right"/>
          </w:pPr>
        </w:p>
      </w:tc>
    </w:tr>
    <w:tr>
      <w:trPr>
        <w:jc w:val="center"/>
      </w:trPr>
      <w:tc>
        <w:tcPr>
          <w:tcW w:w="5742" w:type="dxa"/>
          <w:vAlign w:val="bottom"/>
        </w:tcPr>
        <w:p>
          <w:pPr>
            <w:pStyle w:val="Header"/>
            <w:spacing w:before="40"/>
            <w:jc w:val="right"/>
          </w:pPr>
        </w:p>
      </w:tc>
      <w:tc>
        <w:tcPr>
          <w:tcW w:w="1521" w:type="dxa"/>
        </w:tcPr>
        <w:p>
          <w:pPr>
            <w:pStyle w:val="Header"/>
            <w:spacing w:before="40"/>
            <w:ind w:right="17"/>
            <w:jc w:val="right"/>
          </w:pPr>
          <w:r>
            <w:rPr>
              <w:b/>
            </w:rPr>
            <w:t xml:space="preserve">c.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91" w:name="Compilation"/>
    <w:bookmarkEnd w:id="39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3" w:name="DefinedTerms"/>
    <w:bookmarkEnd w:id="393"/>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94" w:name="Coversheet"/>
    <w:bookmarkEnd w:id="3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A78FE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087B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E63E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D24B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84FE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A06A7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622E09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63A00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8EC7A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F1A9B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C5E674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26162039"/>
    <w:docVar w:name="WAFER_20140115162029" w:val="RemoveTocBookmarks,RemoveUnusedBookmarks,RemoveLanguageTags,UsedStyles,ResetPageSize,UpdateArrangement"/>
    <w:docVar w:name="WAFER_20140115162029_GUID" w:val="d63a699a-48f6-4e27-99f7-c9b4028cfe44"/>
    <w:docVar w:name="WAFER_20140115162413" w:val="RemoveTocBookmarks,RunningHeaders"/>
    <w:docVar w:name="WAFER_20140115162413_GUID" w:val="de3e7a00-6f66-4cde-b104-fdc270ed892c"/>
    <w:docVar w:name="WAFER_20140704133827" w:val="RemoveTocBookmarks,RunningHeaders"/>
    <w:docVar w:name="WAFER_20140704133827_GUID" w:val="f15371f6-a554-4046-b015-5962e5b1e0d7"/>
    <w:docVar w:name="WAFER_20150605152836" w:val="ResetPageSize,UpdateArrangement,UpdateNTable"/>
    <w:docVar w:name="WAFER_20150605152836_GUID" w:val="ce8d800c-c307-4714-855e-3f3d59e003ec"/>
    <w:docVar w:name="WAFER_20151106161313" w:val="UpdateStyles,UsedStyles"/>
    <w:docVar w:name="WAFER_20151106161313_GUID" w:val="9547d14e-3d2e-4d55-82b3-12e6a9d8fd1d"/>
    <w:docVar w:name="WAFER_20160418102940" w:val="UsedStyles"/>
    <w:docVar w:name="WAFER_20160418102940_GUID" w:val="efc9f7f7-e290-47af-aad2-d5f42268c09b"/>
    <w:docVar w:name="WAFER_20170113104816" w:val="RemoveTocBookmarks,RemoveUnusedBookmarks,RemoveLanguageTags,UsedStyles,ResetPageSize"/>
    <w:docVar w:name="WAFER_20170113104816_GUID" w:val="2bb2251a-6d3c-488d-9146-ea1182196b4d"/>
    <w:docVar w:name="WAFER_20170120155436" w:val="RemoveTocBookmarks,RemoveUnusedBookmarks,RemoveLanguageTags,UsedStyles,ResetPageSize"/>
    <w:docVar w:name="WAFER_20170120155436_GUID" w:val="3f1902fb-6daa-4e78-ba57-3ef803e7b670"/>
    <w:docVar w:name="WAFER_20170921143944" w:val="RemoveTocBookmarks,RemoveUnusedBookmarks,RemoveLanguageTags,UsedStyles,ResetPageSize,RemoveCustomizations"/>
    <w:docVar w:name="WAFER_20170921143944_GUID" w:val="a0bce4d8-673f-4a6d-86a1-4b822e6b842a"/>
    <w:docVar w:name="WAFER_20180828162052" w:val="RemoveTocBookmarks,RemoveUnusedBookmarks,RemoveLanguageTags,UsedStyles,ResetPageSize"/>
    <w:docVar w:name="WAFER_20180828162052_GUID" w:val="c60de1d7-3663-4c91-8717-873d33750658"/>
    <w:docVar w:name="WAFER_20180829115109" w:val="RemoveTocBookmarks,RemoveUnusedBookmarks,RemoveLanguageTags,UsedStyles,ResetPageSize"/>
    <w:docVar w:name="WAFER_20180829115109_GUID" w:val="7923305e-8eed-4a4c-954d-50783fdfa195"/>
    <w:docVar w:name="WAFER_20190430142606" w:val="RemoveTocBookmarks,RemoveUnusedBookmarks,RemoveLanguageTags,ResetPageSize,RunningHeaders,UpdateStyles,UsedStyles"/>
    <w:docVar w:name="WAFER_20190430142606_GUID" w:val="e916486d-2515-41c0-9959-d357c2286d69"/>
    <w:docVar w:name="WAFER_20190606110746" w:val="RemoveTocBookmarks,RemoveUnusedBookmarks,RemoveLanguageTags,ResetPageSize,RunningHeaders,UpdateStyles,UsedStyles"/>
    <w:docVar w:name="WAFER_20190606110746_GUID" w:val="06fffbc8-455d-414c-b80b-f664d25694e8"/>
    <w:docVar w:name="WAFER_20191220115425" w:val="RemoveTocBookmarks,RemoveUnusedBookmarks,RemoveLanguageTags,ResetPageSize,RunningHeaders,UpdateStyles,UsedStyles"/>
    <w:docVar w:name="WAFER_20191220115425_GUID" w:val="bf26ca98-8ec5-4242-96fd-94d762f467c7"/>
    <w:docVar w:name="WAFER_202002101605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0515_GUID" w:val="1415d129-c247-40ac-b876-1ccd44574ebe"/>
    <w:docVar w:name="WAFER_202106171213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121324_GUID" w:val="44bd26a4-02d6-400c-99e4-1eca4f42af0d"/>
    <w:docVar w:name="WAFER_20210625144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612_GUID" w:val="88fc8ee4-6857-47ed-810d-ba86b895dbf4"/>
    <w:docVar w:name="WAFER_202305161546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4625_GUID" w:val="8593cc71-a96d-4599-8479-d577150bf860"/>
    <w:docVar w:name="WAFER_20230626162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6162039_GUID" w:val="751ee923-ae83-4a8d-ada0-ac188d48ce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594484">
      <w:bodyDiv w:val="1"/>
      <w:marLeft w:val="0"/>
      <w:marRight w:val="0"/>
      <w:marTop w:val="0"/>
      <w:marBottom w:val="0"/>
      <w:divBdr>
        <w:top w:val="none" w:sz="0" w:space="0" w:color="auto"/>
        <w:left w:val="none" w:sz="0" w:space="0" w:color="auto"/>
        <w:bottom w:val="none" w:sz="0" w:space="0" w:color="auto"/>
        <w:right w:val="none" w:sz="0" w:space="0" w:color="auto"/>
      </w:divBdr>
    </w:div>
    <w:div w:id="147215260">
      <w:bodyDiv w:val="1"/>
      <w:marLeft w:val="0"/>
      <w:marRight w:val="0"/>
      <w:marTop w:val="0"/>
      <w:marBottom w:val="0"/>
      <w:divBdr>
        <w:top w:val="none" w:sz="0" w:space="0" w:color="auto"/>
        <w:left w:val="none" w:sz="0" w:space="0" w:color="auto"/>
        <w:bottom w:val="none" w:sz="0" w:space="0" w:color="auto"/>
        <w:right w:val="none" w:sz="0" w:space="0" w:color="auto"/>
      </w:divBdr>
    </w:div>
    <w:div w:id="169687728">
      <w:bodyDiv w:val="1"/>
      <w:marLeft w:val="0"/>
      <w:marRight w:val="0"/>
      <w:marTop w:val="0"/>
      <w:marBottom w:val="0"/>
      <w:divBdr>
        <w:top w:val="none" w:sz="0" w:space="0" w:color="auto"/>
        <w:left w:val="none" w:sz="0" w:space="0" w:color="auto"/>
        <w:bottom w:val="none" w:sz="0" w:space="0" w:color="auto"/>
        <w:right w:val="none" w:sz="0" w:space="0" w:color="auto"/>
      </w:divBdr>
    </w:div>
    <w:div w:id="354305229">
      <w:bodyDiv w:val="1"/>
      <w:marLeft w:val="0"/>
      <w:marRight w:val="0"/>
      <w:marTop w:val="0"/>
      <w:marBottom w:val="0"/>
      <w:divBdr>
        <w:top w:val="none" w:sz="0" w:space="0" w:color="auto"/>
        <w:left w:val="none" w:sz="0" w:space="0" w:color="auto"/>
        <w:bottom w:val="none" w:sz="0" w:space="0" w:color="auto"/>
        <w:right w:val="none" w:sz="0" w:space="0" w:color="auto"/>
      </w:divBdr>
    </w:div>
    <w:div w:id="360863912">
      <w:bodyDiv w:val="1"/>
      <w:marLeft w:val="0"/>
      <w:marRight w:val="0"/>
      <w:marTop w:val="0"/>
      <w:marBottom w:val="0"/>
      <w:divBdr>
        <w:top w:val="none" w:sz="0" w:space="0" w:color="auto"/>
        <w:left w:val="none" w:sz="0" w:space="0" w:color="auto"/>
        <w:bottom w:val="none" w:sz="0" w:space="0" w:color="auto"/>
        <w:right w:val="none" w:sz="0" w:space="0" w:color="auto"/>
      </w:divBdr>
    </w:div>
    <w:div w:id="432672591">
      <w:bodyDiv w:val="1"/>
      <w:marLeft w:val="0"/>
      <w:marRight w:val="0"/>
      <w:marTop w:val="0"/>
      <w:marBottom w:val="0"/>
      <w:divBdr>
        <w:top w:val="none" w:sz="0" w:space="0" w:color="auto"/>
        <w:left w:val="none" w:sz="0" w:space="0" w:color="auto"/>
        <w:bottom w:val="none" w:sz="0" w:space="0" w:color="auto"/>
        <w:right w:val="none" w:sz="0" w:space="0" w:color="auto"/>
      </w:divBdr>
    </w:div>
    <w:div w:id="625814918">
      <w:bodyDiv w:val="1"/>
      <w:marLeft w:val="0"/>
      <w:marRight w:val="0"/>
      <w:marTop w:val="0"/>
      <w:marBottom w:val="0"/>
      <w:divBdr>
        <w:top w:val="none" w:sz="0" w:space="0" w:color="auto"/>
        <w:left w:val="none" w:sz="0" w:space="0" w:color="auto"/>
        <w:bottom w:val="none" w:sz="0" w:space="0" w:color="auto"/>
        <w:right w:val="none" w:sz="0" w:space="0" w:color="auto"/>
      </w:divBdr>
    </w:div>
    <w:div w:id="648439373">
      <w:bodyDiv w:val="1"/>
      <w:marLeft w:val="0"/>
      <w:marRight w:val="0"/>
      <w:marTop w:val="0"/>
      <w:marBottom w:val="0"/>
      <w:divBdr>
        <w:top w:val="none" w:sz="0" w:space="0" w:color="auto"/>
        <w:left w:val="none" w:sz="0" w:space="0" w:color="auto"/>
        <w:bottom w:val="none" w:sz="0" w:space="0" w:color="auto"/>
        <w:right w:val="none" w:sz="0" w:space="0" w:color="auto"/>
      </w:divBdr>
    </w:div>
    <w:div w:id="659501003">
      <w:bodyDiv w:val="1"/>
      <w:marLeft w:val="0"/>
      <w:marRight w:val="0"/>
      <w:marTop w:val="0"/>
      <w:marBottom w:val="0"/>
      <w:divBdr>
        <w:top w:val="none" w:sz="0" w:space="0" w:color="auto"/>
        <w:left w:val="none" w:sz="0" w:space="0" w:color="auto"/>
        <w:bottom w:val="none" w:sz="0" w:space="0" w:color="auto"/>
        <w:right w:val="none" w:sz="0" w:space="0" w:color="auto"/>
      </w:divBdr>
    </w:div>
    <w:div w:id="681930995">
      <w:bodyDiv w:val="1"/>
      <w:marLeft w:val="0"/>
      <w:marRight w:val="0"/>
      <w:marTop w:val="0"/>
      <w:marBottom w:val="0"/>
      <w:divBdr>
        <w:top w:val="none" w:sz="0" w:space="0" w:color="auto"/>
        <w:left w:val="none" w:sz="0" w:space="0" w:color="auto"/>
        <w:bottom w:val="none" w:sz="0" w:space="0" w:color="auto"/>
        <w:right w:val="none" w:sz="0" w:space="0" w:color="auto"/>
      </w:divBdr>
    </w:div>
    <w:div w:id="682321692">
      <w:bodyDiv w:val="1"/>
      <w:marLeft w:val="0"/>
      <w:marRight w:val="0"/>
      <w:marTop w:val="0"/>
      <w:marBottom w:val="0"/>
      <w:divBdr>
        <w:top w:val="none" w:sz="0" w:space="0" w:color="auto"/>
        <w:left w:val="none" w:sz="0" w:space="0" w:color="auto"/>
        <w:bottom w:val="none" w:sz="0" w:space="0" w:color="auto"/>
        <w:right w:val="none" w:sz="0" w:space="0" w:color="auto"/>
      </w:divBdr>
    </w:div>
    <w:div w:id="719861529">
      <w:bodyDiv w:val="1"/>
      <w:marLeft w:val="0"/>
      <w:marRight w:val="0"/>
      <w:marTop w:val="0"/>
      <w:marBottom w:val="0"/>
      <w:divBdr>
        <w:top w:val="none" w:sz="0" w:space="0" w:color="auto"/>
        <w:left w:val="none" w:sz="0" w:space="0" w:color="auto"/>
        <w:bottom w:val="none" w:sz="0" w:space="0" w:color="auto"/>
        <w:right w:val="none" w:sz="0" w:space="0" w:color="auto"/>
      </w:divBdr>
    </w:div>
    <w:div w:id="839933922">
      <w:bodyDiv w:val="1"/>
      <w:marLeft w:val="0"/>
      <w:marRight w:val="0"/>
      <w:marTop w:val="0"/>
      <w:marBottom w:val="0"/>
      <w:divBdr>
        <w:top w:val="none" w:sz="0" w:space="0" w:color="auto"/>
        <w:left w:val="none" w:sz="0" w:space="0" w:color="auto"/>
        <w:bottom w:val="none" w:sz="0" w:space="0" w:color="auto"/>
        <w:right w:val="none" w:sz="0" w:space="0" w:color="auto"/>
      </w:divBdr>
    </w:div>
    <w:div w:id="1194802921">
      <w:bodyDiv w:val="1"/>
      <w:marLeft w:val="0"/>
      <w:marRight w:val="0"/>
      <w:marTop w:val="0"/>
      <w:marBottom w:val="0"/>
      <w:divBdr>
        <w:top w:val="none" w:sz="0" w:space="0" w:color="auto"/>
        <w:left w:val="none" w:sz="0" w:space="0" w:color="auto"/>
        <w:bottom w:val="none" w:sz="0" w:space="0" w:color="auto"/>
        <w:right w:val="none" w:sz="0" w:space="0" w:color="auto"/>
      </w:divBdr>
    </w:div>
    <w:div w:id="1228612750">
      <w:bodyDiv w:val="1"/>
      <w:marLeft w:val="0"/>
      <w:marRight w:val="0"/>
      <w:marTop w:val="0"/>
      <w:marBottom w:val="0"/>
      <w:divBdr>
        <w:top w:val="none" w:sz="0" w:space="0" w:color="auto"/>
        <w:left w:val="none" w:sz="0" w:space="0" w:color="auto"/>
        <w:bottom w:val="none" w:sz="0" w:space="0" w:color="auto"/>
        <w:right w:val="none" w:sz="0" w:space="0" w:color="auto"/>
      </w:divBdr>
    </w:div>
    <w:div w:id="1319267269">
      <w:bodyDiv w:val="1"/>
      <w:marLeft w:val="0"/>
      <w:marRight w:val="0"/>
      <w:marTop w:val="0"/>
      <w:marBottom w:val="0"/>
      <w:divBdr>
        <w:top w:val="none" w:sz="0" w:space="0" w:color="auto"/>
        <w:left w:val="none" w:sz="0" w:space="0" w:color="auto"/>
        <w:bottom w:val="none" w:sz="0" w:space="0" w:color="auto"/>
        <w:right w:val="none" w:sz="0" w:space="0" w:color="auto"/>
      </w:divBdr>
    </w:div>
    <w:div w:id="1480227005">
      <w:bodyDiv w:val="1"/>
      <w:marLeft w:val="0"/>
      <w:marRight w:val="0"/>
      <w:marTop w:val="0"/>
      <w:marBottom w:val="0"/>
      <w:divBdr>
        <w:top w:val="none" w:sz="0" w:space="0" w:color="auto"/>
        <w:left w:val="none" w:sz="0" w:space="0" w:color="auto"/>
        <w:bottom w:val="none" w:sz="0" w:space="0" w:color="auto"/>
        <w:right w:val="none" w:sz="0" w:space="0" w:color="auto"/>
      </w:divBdr>
    </w:div>
    <w:div w:id="1506018628">
      <w:bodyDiv w:val="1"/>
      <w:marLeft w:val="0"/>
      <w:marRight w:val="0"/>
      <w:marTop w:val="0"/>
      <w:marBottom w:val="0"/>
      <w:divBdr>
        <w:top w:val="none" w:sz="0" w:space="0" w:color="auto"/>
        <w:left w:val="none" w:sz="0" w:space="0" w:color="auto"/>
        <w:bottom w:val="none" w:sz="0" w:space="0" w:color="auto"/>
        <w:right w:val="none" w:sz="0" w:space="0" w:color="auto"/>
      </w:divBdr>
    </w:div>
    <w:div w:id="1579485285">
      <w:bodyDiv w:val="1"/>
      <w:marLeft w:val="0"/>
      <w:marRight w:val="0"/>
      <w:marTop w:val="0"/>
      <w:marBottom w:val="0"/>
      <w:divBdr>
        <w:top w:val="none" w:sz="0" w:space="0" w:color="auto"/>
        <w:left w:val="none" w:sz="0" w:space="0" w:color="auto"/>
        <w:bottom w:val="none" w:sz="0" w:space="0" w:color="auto"/>
        <w:right w:val="none" w:sz="0" w:space="0" w:color="auto"/>
      </w:divBdr>
    </w:div>
    <w:div w:id="1635019092">
      <w:bodyDiv w:val="1"/>
      <w:marLeft w:val="0"/>
      <w:marRight w:val="0"/>
      <w:marTop w:val="0"/>
      <w:marBottom w:val="0"/>
      <w:divBdr>
        <w:top w:val="none" w:sz="0" w:space="0" w:color="auto"/>
        <w:left w:val="none" w:sz="0" w:space="0" w:color="auto"/>
        <w:bottom w:val="none" w:sz="0" w:space="0" w:color="auto"/>
        <w:right w:val="none" w:sz="0" w:space="0" w:color="auto"/>
      </w:divBdr>
    </w:div>
    <w:div w:id="1649363521">
      <w:bodyDiv w:val="1"/>
      <w:marLeft w:val="0"/>
      <w:marRight w:val="0"/>
      <w:marTop w:val="0"/>
      <w:marBottom w:val="0"/>
      <w:divBdr>
        <w:top w:val="none" w:sz="0" w:space="0" w:color="auto"/>
        <w:left w:val="none" w:sz="0" w:space="0" w:color="auto"/>
        <w:bottom w:val="none" w:sz="0" w:space="0" w:color="auto"/>
        <w:right w:val="none" w:sz="0" w:space="0" w:color="auto"/>
      </w:divBdr>
    </w:div>
    <w:div w:id="1701396561">
      <w:bodyDiv w:val="1"/>
      <w:marLeft w:val="0"/>
      <w:marRight w:val="0"/>
      <w:marTop w:val="0"/>
      <w:marBottom w:val="0"/>
      <w:divBdr>
        <w:top w:val="none" w:sz="0" w:space="0" w:color="auto"/>
        <w:left w:val="none" w:sz="0" w:space="0" w:color="auto"/>
        <w:bottom w:val="none" w:sz="0" w:space="0" w:color="auto"/>
        <w:right w:val="none" w:sz="0" w:space="0" w:color="auto"/>
      </w:divBdr>
    </w:div>
    <w:div w:id="1805198320">
      <w:bodyDiv w:val="1"/>
      <w:marLeft w:val="0"/>
      <w:marRight w:val="0"/>
      <w:marTop w:val="0"/>
      <w:marBottom w:val="0"/>
      <w:divBdr>
        <w:top w:val="none" w:sz="0" w:space="0" w:color="auto"/>
        <w:left w:val="none" w:sz="0" w:space="0" w:color="auto"/>
        <w:bottom w:val="none" w:sz="0" w:space="0" w:color="auto"/>
        <w:right w:val="none" w:sz="0" w:space="0" w:color="auto"/>
      </w:divBdr>
    </w:div>
    <w:div w:id="204945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12.xml"/><Relationship Id="rId21" Type="http://schemas.openxmlformats.org/officeDocument/2006/relationships/header" Target="header7.xml"/><Relationship Id="rId42" Type="http://schemas.openxmlformats.org/officeDocument/2006/relationships/image" Target="media/image17.jpeg"/><Relationship Id="rId47" Type="http://schemas.openxmlformats.org/officeDocument/2006/relationships/image" Target="media/image22.jpeg"/><Relationship Id="rId63" Type="http://schemas.openxmlformats.org/officeDocument/2006/relationships/image" Target="media/image38.jpeg"/><Relationship Id="rId68" Type="http://schemas.openxmlformats.org/officeDocument/2006/relationships/image" Target="media/image41.png"/><Relationship Id="rId16" Type="http://schemas.openxmlformats.org/officeDocument/2006/relationships/header" Target="header5.xml"/><Relationship Id="rId11" Type="http://schemas.openxmlformats.org/officeDocument/2006/relationships/footer" Target="footer1.xml"/><Relationship Id="rId32" Type="http://schemas.openxmlformats.org/officeDocument/2006/relationships/image" Target="media/image7.jpeg"/><Relationship Id="rId37" Type="http://schemas.openxmlformats.org/officeDocument/2006/relationships/image" Target="media/image12.jpeg"/><Relationship Id="rId53" Type="http://schemas.openxmlformats.org/officeDocument/2006/relationships/image" Target="media/image28.jpeg"/><Relationship Id="rId58" Type="http://schemas.openxmlformats.org/officeDocument/2006/relationships/image" Target="media/image33.jpeg"/><Relationship Id="rId74" Type="http://schemas.openxmlformats.org/officeDocument/2006/relationships/header" Target="header20.xml"/><Relationship Id="rId79" Type="http://schemas.openxmlformats.org/officeDocument/2006/relationships/footer" Target="footer9.xml"/><Relationship Id="rId5" Type="http://schemas.openxmlformats.org/officeDocument/2006/relationships/webSettings" Target="webSettings.xml"/><Relationship Id="rId61" Type="http://schemas.openxmlformats.org/officeDocument/2006/relationships/image" Target="media/image36.jpeg"/><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image" Target="media/image5.jpeg"/><Relationship Id="rId35" Type="http://schemas.openxmlformats.org/officeDocument/2006/relationships/image" Target="media/image10.jpeg"/><Relationship Id="rId43" Type="http://schemas.openxmlformats.org/officeDocument/2006/relationships/image" Target="media/image18.jpeg"/><Relationship Id="rId48" Type="http://schemas.openxmlformats.org/officeDocument/2006/relationships/image" Target="media/image23.jpeg"/><Relationship Id="rId56" Type="http://schemas.openxmlformats.org/officeDocument/2006/relationships/image" Target="media/image31.jpeg"/><Relationship Id="rId64" Type="http://schemas.openxmlformats.org/officeDocument/2006/relationships/image" Target="media/image39.jpeg"/><Relationship Id="rId69" Type="http://schemas.openxmlformats.org/officeDocument/2006/relationships/header" Target="header15.xml"/><Relationship Id="rId77"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image" Target="media/image26.jpeg"/><Relationship Id="rId72" Type="http://schemas.openxmlformats.org/officeDocument/2006/relationships/header" Target="header18.xm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8.jpeg"/><Relationship Id="rId38" Type="http://schemas.openxmlformats.org/officeDocument/2006/relationships/image" Target="media/image13.jpeg"/><Relationship Id="rId46" Type="http://schemas.openxmlformats.org/officeDocument/2006/relationships/image" Target="media/image21.jpeg"/><Relationship Id="rId59" Type="http://schemas.openxmlformats.org/officeDocument/2006/relationships/image" Target="media/image34.jpeg"/><Relationship Id="rId67" Type="http://schemas.openxmlformats.org/officeDocument/2006/relationships/header" Target="header14.xml"/><Relationship Id="rId20" Type="http://schemas.openxmlformats.org/officeDocument/2006/relationships/footer" Target="footer6.xml"/><Relationship Id="rId41" Type="http://schemas.openxmlformats.org/officeDocument/2006/relationships/image" Target="media/image16.jpeg"/><Relationship Id="rId54" Type="http://schemas.openxmlformats.org/officeDocument/2006/relationships/image" Target="media/image29.jpeg"/><Relationship Id="rId62" Type="http://schemas.openxmlformats.org/officeDocument/2006/relationships/image" Target="media/image37.jpeg"/><Relationship Id="rId70" Type="http://schemas.openxmlformats.org/officeDocument/2006/relationships/header" Target="header16.xml"/><Relationship Id="rId75"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3.jpeg"/><Relationship Id="rId36" Type="http://schemas.openxmlformats.org/officeDocument/2006/relationships/image" Target="media/image11.jpeg"/><Relationship Id="rId49" Type="http://schemas.openxmlformats.org/officeDocument/2006/relationships/image" Target="media/image24.jpeg"/><Relationship Id="rId57" Type="http://schemas.openxmlformats.org/officeDocument/2006/relationships/image" Target="media/image32.jpeg"/><Relationship Id="rId10" Type="http://schemas.openxmlformats.org/officeDocument/2006/relationships/header" Target="header2.xml"/><Relationship Id="rId31" Type="http://schemas.openxmlformats.org/officeDocument/2006/relationships/image" Target="media/image6.jpeg"/><Relationship Id="rId44" Type="http://schemas.openxmlformats.org/officeDocument/2006/relationships/image" Target="media/image19.jpeg"/><Relationship Id="rId52" Type="http://schemas.openxmlformats.org/officeDocument/2006/relationships/image" Target="media/image27.jpeg"/><Relationship Id="rId60" Type="http://schemas.openxmlformats.org/officeDocument/2006/relationships/image" Target="media/image35.jpeg"/><Relationship Id="rId65" Type="http://schemas.openxmlformats.org/officeDocument/2006/relationships/image" Target="media/image40.jpeg"/><Relationship Id="rId73" Type="http://schemas.openxmlformats.org/officeDocument/2006/relationships/header" Target="header19.xml"/><Relationship Id="rId78" Type="http://schemas.openxmlformats.org/officeDocument/2006/relationships/header" Target="header22.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image" Target="media/image14.jpeg"/><Relationship Id="rId34" Type="http://schemas.openxmlformats.org/officeDocument/2006/relationships/image" Target="media/image9.jpeg"/><Relationship Id="rId50" Type="http://schemas.openxmlformats.org/officeDocument/2006/relationships/image" Target="media/image25.jpeg"/><Relationship Id="rId55" Type="http://schemas.openxmlformats.org/officeDocument/2006/relationships/image" Target="media/image30.jpeg"/><Relationship Id="rId76" Type="http://schemas.openxmlformats.org/officeDocument/2006/relationships/footer" Target="footer7.xml"/><Relationship Id="rId7" Type="http://schemas.openxmlformats.org/officeDocument/2006/relationships/endnotes" Target="endnotes.xml"/><Relationship Id="rId71" Type="http://schemas.openxmlformats.org/officeDocument/2006/relationships/header" Target="header17.xml"/><Relationship Id="rId2" Type="http://schemas.openxmlformats.org/officeDocument/2006/relationships/numbering" Target="numbering.xml"/><Relationship Id="rId29" Type="http://schemas.openxmlformats.org/officeDocument/2006/relationships/image" Target="media/image4.jpeg"/><Relationship Id="rId24" Type="http://schemas.openxmlformats.org/officeDocument/2006/relationships/header" Target="header10.xml"/><Relationship Id="rId40" Type="http://schemas.openxmlformats.org/officeDocument/2006/relationships/image" Target="media/image15.jpeg"/><Relationship Id="rId45" Type="http://schemas.openxmlformats.org/officeDocument/2006/relationships/image" Target="media/image20.jpeg"/><Relationship Id="rId66"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92CA8F-62CC-4045-B6BF-28F6720A1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35825</Words>
  <Characters>194534</Characters>
  <Application>Microsoft Office Word</Application>
  <DocSecurity>0</DocSecurity>
  <Lines>8842</Lines>
  <Paragraphs>6062</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224297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1981 - 08-f0-02</dc:title>
  <dc:subject/>
  <dc:creator/>
  <cp:keywords/>
  <dc:description/>
  <cp:lastModifiedBy>Master Repository Process</cp:lastModifiedBy>
  <cp:revision>4</cp:revision>
  <cp:lastPrinted>2019-07-10T03:33:00Z</cp:lastPrinted>
  <dcterms:created xsi:type="dcterms:W3CDTF">2025-06-16T04:53:00Z</dcterms:created>
  <dcterms:modified xsi:type="dcterms:W3CDTF">2025-06-16T04:54:00Z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DocumentType">
    <vt:lpwstr>Act</vt:lpwstr>
  </property>
  <property fmtid="{D5CDD505-2E9C-101B-9397-08002B2CF9AE}" pid="4" name="OwlsUID">
    <vt:i4>522</vt:i4>
  </property>
  <property fmtid="{D5CDD505-2E9C-101B-9397-08002B2CF9AE}" pid="5" name="ReprintedAsAt">
    <vt:filetime>2019-07-18T16:00:00Z</vt:filetime>
  </property>
  <property fmtid="{D5CDD505-2E9C-101B-9397-08002B2CF9AE}" pid="6" name="ReprintNo">
    <vt:lpwstr>8</vt:lpwstr>
  </property>
  <property fmtid="{D5CDD505-2E9C-101B-9397-08002B2CF9AE}" pid="7" name="AsAtDate">
    <vt:lpwstr>27 Jun 2023</vt:lpwstr>
  </property>
  <property fmtid="{D5CDD505-2E9C-101B-9397-08002B2CF9AE}" pid="8" name="Suffix">
    <vt:lpwstr>08-f0-02</vt:lpwstr>
  </property>
  <property fmtid="{D5CDD505-2E9C-101B-9397-08002B2CF9AE}" pid="9" name="CommencementDate">
    <vt:lpwstr>20230627</vt:lpwstr>
  </property>
</Properties>
</file>