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Aboriginal Heritage (Marandoo) Act 1992</w:t>
      </w:r>
      <w:r>
        <w:fldChar w:fldCharType="end"/>
      </w:r>
    </w:p>
    <w:p>
      <w:pPr>
        <w:pStyle w:val="Subsection"/>
      </w:pPr>
      <w:r>
        <w:tab/>
      </w:r>
      <w:r>
        <w:tab/>
        <w:t xml:space="preserve">This Act was repealed by the </w:t>
      </w:r>
      <w:r>
        <w:rPr>
          <w:i/>
        </w:rPr>
        <w:t>Aboriginal Cultural Heritage Act 2021</w:t>
      </w:r>
      <w:r>
        <w:t xml:space="preserve"> s. 312 (No. 27 of 2021) on 1 Jul 2023 (see s. 2(e) and SL 2023/40 cl. 2(b)).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Aboriginal Heritage (Marandoo) Act 1992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Short title</w:t>
      </w:r>
      <w:r>
        <w:tab/>
      </w:r>
      <w:r>
        <w:fldChar w:fldCharType="begin"/>
      </w:r>
      <w:r>
        <w:instrText xml:space="preserve"> PAGEREF _Toc154742944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r>
        <w:tab/>
      </w:r>
      <w:r>
        <w:fldChar w:fldCharType="begin"/>
      </w:r>
      <w:r>
        <w:instrText xml:space="preserve"> PAGEREF _Toc154742945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 xml:space="preserve">Disapplication of </w:t>
      </w:r>
      <w:r>
        <w:rPr>
          <w:i/>
          <w:snapToGrid w:val="0"/>
        </w:rPr>
        <w:t>Aboriginal Heritage Act 1972</w:t>
      </w:r>
      <w:r>
        <w:tab/>
      </w:r>
      <w:r>
        <w:fldChar w:fldCharType="begin"/>
      </w:r>
      <w:r>
        <w:instrText xml:space="preserve"> PAGEREF _Toc154742946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pos="7077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r>
        <w:rPr>
          <w:noProof/>
        </w:rPr>
        <w:t>Schedule 1 — Temporary Reserve 5623H and construction camp</w:t>
      </w:r>
    </w:p>
    <w:p>
      <w:pPr>
        <w:pStyle w:val="TOC2"/>
        <w:tabs>
          <w:tab w:val="right" w:pos="7077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r>
        <w:rPr>
          <w:noProof/>
        </w:rPr>
        <w:t>Schedule 2 — Infrastructure corridor</w:t>
      </w:r>
    </w:p>
    <w:p>
      <w:pPr>
        <w:pStyle w:val="TOC2"/>
        <w:tabs>
          <w:tab w:val="right" w:pos="7077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r>
        <w:rPr>
          <w:noProof/>
        </w:rPr>
        <w:t>Schedule 3 — Power line route</w:t>
      </w:r>
    </w:p>
    <w:p>
      <w:pPr>
        <w:pStyle w:val="TOC2"/>
        <w:tabs>
          <w:tab w:val="right" w:pos="7077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r>
        <w:rPr>
          <w:noProof/>
        </w:rP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Compilation table</w:t>
      </w:r>
      <w:r>
        <w:tab/>
      </w:r>
      <w:r>
        <w:fldChar w:fldCharType="begin"/>
      </w:r>
      <w:r>
        <w:instrText xml:space="preserve"> PAGEREF _Toc154742951 \h </w:instrText>
      </w:r>
      <w:r>
        <w:fldChar w:fldCharType="separate"/>
      </w:r>
      <w:r>
        <w:t>7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"/>
      </w:pPr>
      <w:r>
        <w:t xml:space="preserve">Aboriginal Heritage (Marandoo) Act 1992 </w:t>
      </w:r>
    </w:p>
    <w:p>
      <w:pPr>
        <w:pStyle w:val="LongTitle"/>
        <w:rPr>
          <w:snapToGrid w:val="0"/>
        </w:rPr>
      </w:pPr>
      <w:r>
        <w:rPr>
          <w:snapToGrid w:val="0"/>
        </w:rPr>
        <w:t xml:space="preserve">An Act concerning the application of the </w:t>
      </w:r>
      <w:r>
        <w:rPr>
          <w:i/>
          <w:snapToGrid w:val="0"/>
        </w:rPr>
        <w:t>Aboriginal Heritage Act 1972</w:t>
      </w:r>
      <w:r>
        <w:rPr>
          <w:snapToGrid w:val="0"/>
        </w:rPr>
        <w:t xml:space="preserve"> and for related purposes. </w:t>
      </w:r>
    </w:p>
    <w:p>
      <w:pPr>
        <w:pStyle w:val="Heading5"/>
        <w:rPr>
          <w:snapToGrid w:val="0"/>
        </w:rPr>
      </w:pPr>
      <w:bookmarkStart w:id="3" w:name="_Toc154742944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Short title</w:t>
      </w:r>
      <w:bookmarkEnd w:id="3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This Act may be cited as the </w:t>
      </w:r>
      <w:r>
        <w:rPr>
          <w:i/>
          <w:snapToGrid w:val="0"/>
        </w:rPr>
        <w:t>Aboriginal Heritage (Marandoo) Act 1992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4" w:name="_Toc154742945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This Act shall come into operation on the day on which it receives the Royal Assent.</w:t>
      </w:r>
    </w:p>
    <w:p>
      <w:pPr>
        <w:pStyle w:val="Heading5"/>
        <w:rPr>
          <w:snapToGrid w:val="0"/>
        </w:rPr>
      </w:pPr>
      <w:bookmarkStart w:id="5" w:name="_Toc154742946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 xml:space="preserve">Disapplication of </w:t>
      </w:r>
      <w:r>
        <w:rPr>
          <w:i/>
          <w:snapToGrid w:val="0"/>
        </w:rPr>
        <w:t>Aboriginal Heritage Act 1972</w:t>
      </w:r>
      <w:bookmarkEnd w:id="5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 xml:space="preserve">The </w:t>
      </w:r>
      <w:r>
        <w:rPr>
          <w:i/>
          <w:snapToGrid w:val="0"/>
        </w:rPr>
        <w:t>Aboriginal Heritage Act 1972</w:t>
      </w:r>
      <w:r>
        <w:rPr>
          <w:snapToGrid w:val="0"/>
        </w:rPr>
        <w:t xml:space="preserve"> does not apply to any place that is on land described in Part 1 of Schedule 1, Part 1 of Schedule 2, or Part 1 of Schedule 3, or to any object situated on or under any of that land.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 xml:space="preserve">The reference in subsection (1) to the </w:t>
      </w:r>
      <w:r>
        <w:rPr>
          <w:i/>
          <w:snapToGrid w:val="0"/>
        </w:rPr>
        <w:t>Aboriginal Heritage Act 1972</w:t>
      </w:r>
      <w:r>
        <w:rPr>
          <w:snapToGrid w:val="0"/>
        </w:rPr>
        <w:t xml:space="preserve"> includes a reference to any condition imposed or other thing done under that Act before the commencement of this Act.</w:t>
      </w:r>
    </w:p>
    <w:p>
      <w:pPr>
        <w:pStyle w:val="Subsection"/>
        <w:rPr>
          <w:rStyle w:val="CharDivText"/>
        </w:rPr>
        <w:sectPr>
          <w:headerReference w:type="even" r:id="rId20"/>
          <w:headerReference w:type="default" r:id="rId21"/>
          <w:headerReference w:type="first" r:id="rId22"/>
          <w:pgSz w:w="11907" w:h="16840" w:code="9"/>
          <w:pgMar w:top="2376" w:right="2405" w:bottom="3542" w:left="2405" w:header="706" w:footer="3544" w:gutter="0"/>
          <w:pgNumType w:start="1"/>
          <w:cols w:space="720"/>
          <w:noEndnote/>
          <w:titlePg/>
          <w:docGrid w:linePitch="326"/>
        </w:sectPr>
      </w:pPr>
      <w:r>
        <w:rPr>
          <w:snapToGrid w:val="0"/>
        </w:rPr>
        <w:tab/>
        <w:t>(3)</w:t>
      </w:r>
      <w:r>
        <w:rPr>
          <w:snapToGrid w:val="0"/>
        </w:rPr>
        <w:tab/>
        <w:t>No</w:t>
      </w:r>
      <w:r>
        <w:t>t</w:t>
      </w:r>
      <w:r>
        <w:rPr>
          <w:snapToGrid w:val="0"/>
        </w:rPr>
        <w:t xml:space="preserve">hing in the </w:t>
      </w:r>
      <w:r>
        <w:rPr>
          <w:i/>
          <w:snapToGrid w:val="0"/>
        </w:rPr>
        <w:t>Government Agreements Act 1979</w:t>
      </w:r>
      <w:r>
        <w:rPr>
          <w:snapToGrid w:val="0"/>
        </w:rPr>
        <w:t xml:space="preserve"> or any Government agreement within the meaning given to that expression by that Act affects the operation of this Act.</w:t>
      </w:r>
    </w:p>
    <w:p>
      <w:pPr>
        <w:pStyle w:val="yScheduleHeading"/>
      </w:pPr>
      <w:bookmarkStart w:id="6" w:name="_Toc154742947"/>
      <w:r>
        <w:rPr>
          <w:rStyle w:val="CharSchNo"/>
        </w:rPr>
        <w:lastRenderedPageBreak/>
        <w:t>Schedule 1</w:t>
      </w:r>
      <w:r>
        <w:t xml:space="preserve"> — </w:t>
      </w:r>
      <w:r>
        <w:rPr>
          <w:rStyle w:val="CharSchText"/>
        </w:rPr>
        <w:t>Temporary Reserve 5623H and construction camp</w:t>
      </w:r>
      <w:bookmarkEnd w:id="6"/>
    </w:p>
    <w:p>
      <w:pPr>
        <w:pStyle w:val="yShoulderClause"/>
      </w:pPr>
      <w:r>
        <w:t>[s. 3(1)]</w:t>
      </w:r>
    </w:p>
    <w:p>
      <w:pPr>
        <w:pStyle w:val="yFootnoteheading"/>
      </w:pPr>
      <w:r>
        <w:tab/>
        <w:t>[Heading amended: No. 19 of 2010 s. 4.]</w:t>
      </w:r>
    </w:p>
    <w:p>
      <w:pPr>
        <w:pStyle w:val="yMiscellaneousHeading"/>
        <w:rPr>
          <w:b/>
          <w:snapToGrid w:val="0"/>
        </w:rPr>
      </w:pPr>
      <w:r>
        <w:rPr>
          <w:b/>
          <w:snapToGrid w:val="0"/>
        </w:rPr>
        <w:t xml:space="preserve">Part 1 — Portion of Temporary Reserve 5623H (“the TR”) </w:t>
      </w:r>
      <w:r>
        <w:rPr>
          <w:b/>
          <w:snapToGrid w:val="0"/>
        </w:rPr>
        <w:br/>
        <w:t>and construction camp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Windell Locations 122 and 130 but excluding the land described in Parts 2 and 3.</w:t>
      </w:r>
    </w:p>
    <w:p>
      <w:pPr>
        <w:pStyle w:val="yMiscellaneousHeading"/>
        <w:rPr>
          <w:b/>
          <w:snapToGrid w:val="0"/>
        </w:rPr>
      </w:pPr>
      <w:r>
        <w:rPr>
          <w:b/>
          <w:snapToGrid w:val="0"/>
        </w:rPr>
        <w:t>Part 2 — Thoongarie Burial Site Complex (PO 6725)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The land enclosed by a line starting at a point 2 014 metres at 119° 48′ from the south</w:t>
      </w:r>
      <w:r>
        <w:rPr>
          <w:snapToGrid w:val="0"/>
        </w:rPr>
        <w:noBreakHyphen/>
        <w:t>west corner of Windell Location 122 on the south boundary of Windell Location 122 and extending</w:t>
      </w:r>
    </w:p>
    <w:p>
      <w:pPr>
        <w:pStyle w:val="yMiscellaneousBody"/>
        <w:ind w:left="1134" w:hanging="567"/>
        <w:rPr>
          <w:snapToGrid w:val="0"/>
        </w:rPr>
      </w:pPr>
      <w:r>
        <w:rPr>
          <w:snapToGrid w:val="0"/>
        </w:rPr>
        <w:t>163 metres at 29° 48′</w:t>
      </w:r>
    </w:p>
    <w:p>
      <w:pPr>
        <w:pStyle w:val="yMiscellaneousBody"/>
        <w:spacing w:before="0"/>
        <w:ind w:left="1134" w:hanging="567"/>
        <w:rPr>
          <w:snapToGrid w:val="0"/>
        </w:rPr>
      </w:pPr>
      <w:r>
        <w:rPr>
          <w:snapToGrid w:val="0"/>
        </w:rPr>
        <w:t>300 metres at 119° 48′</w:t>
      </w:r>
    </w:p>
    <w:p>
      <w:pPr>
        <w:pStyle w:val="yMiscellaneousBody"/>
        <w:spacing w:before="0"/>
        <w:ind w:left="1134" w:hanging="567"/>
        <w:rPr>
          <w:snapToGrid w:val="0"/>
        </w:rPr>
      </w:pPr>
      <w:r>
        <w:rPr>
          <w:snapToGrid w:val="0"/>
        </w:rPr>
        <w:t>then at 209° 48′ to a point on the south boundary of Windell Location 122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(true bearings) then back along that boundary to the starting point.</w:t>
      </w:r>
    </w:p>
    <w:p>
      <w:pPr>
        <w:pStyle w:val="yMiscellaneousHeading"/>
        <w:rPr>
          <w:b/>
          <w:snapToGrid w:val="0"/>
        </w:rPr>
      </w:pPr>
      <w:r>
        <w:rPr>
          <w:b/>
          <w:snapToGrid w:val="0"/>
        </w:rPr>
        <w:t>Part 3 — Land surrounding Barndayn (Bunjima Pool) </w:t>
      </w:r>
      <w:r>
        <w:rPr>
          <w:b/>
          <w:snapToGrid w:val="0"/>
        </w:rPr>
        <w:br/>
        <w:t>(PO 0164)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So much of Windell Location 122 as is on the land enclosed by a line starting at a point on the south boundary of Windell Location 122 with AMG coordinates of E621 168.57 N7 490 867.17 and extending successively to points with AMG coordinates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E621 594.96 N7 492 138.78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E623 965.26 N7 491 343.98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E623 753.19 N7 490 711.52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E624 871.49 N7 489 268.65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E624 656.80 N7 488 833.80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then back to the starting point.</w:t>
      </w:r>
    </w:p>
    <w:p>
      <w:pPr>
        <w:pStyle w:val="yScheduleHeading"/>
      </w:pPr>
      <w:bookmarkStart w:id="7" w:name="_Toc154742948"/>
      <w:r>
        <w:rPr>
          <w:rStyle w:val="CharSchNo"/>
        </w:rPr>
        <w:lastRenderedPageBreak/>
        <w:t>Schedule 2</w:t>
      </w:r>
      <w:r>
        <w:t> — </w:t>
      </w:r>
      <w:r>
        <w:rPr>
          <w:rStyle w:val="CharSchText"/>
        </w:rPr>
        <w:t>Infrastructure corridor</w:t>
      </w:r>
      <w:bookmarkEnd w:id="7"/>
    </w:p>
    <w:p>
      <w:pPr>
        <w:pStyle w:val="yShoulderClause"/>
      </w:pPr>
      <w:r>
        <w:t>[s. 3(1)]</w:t>
      </w:r>
    </w:p>
    <w:p>
      <w:pPr>
        <w:pStyle w:val="yFootnoteheading"/>
      </w:pPr>
      <w:r>
        <w:tab/>
        <w:t>[Heading amended: No. 19 of 2010 s. 4.]</w:t>
      </w:r>
    </w:p>
    <w:p>
      <w:pPr>
        <w:pStyle w:val="yMiscellaneousHeading"/>
        <w:rPr>
          <w:b/>
          <w:snapToGrid w:val="0"/>
        </w:rPr>
      </w:pPr>
      <w:r>
        <w:rPr>
          <w:b/>
          <w:snapToGrid w:val="0"/>
        </w:rPr>
        <w:t>Part 1 — Infrastructure corridor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Windell Location 121 and the land enclosed by a line starting at Latitude 22° 24′ 28″ South and Longitude 117° 41′ 9″ (a point about 9.5 km at 285° from Red Hill) and extending</w:t>
      </w:r>
    </w:p>
    <w:p>
      <w:pPr>
        <w:pStyle w:val="yMiscellaneousBody"/>
        <w:ind w:left="567"/>
        <w:rPr>
          <w:snapToGrid w:val="0"/>
        </w:rPr>
      </w:pPr>
      <w:r>
        <w:rPr>
          <w:snapToGrid w:val="0"/>
        </w:rPr>
        <w:t>16 391.9 metres at 106° 53′ 12″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2 872.1 metres at 140° 0′ 56″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4 021.2 metres at 98° 35′ 01″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5 660.3 metres at 133° 34′ 04″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4 505.7 metres at 182° 32′ 41″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5 624.1 metres at 133° 55′ 08″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3 150.9 metres at 90° 00′ 00″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7 964.5 metres at 101° 35′ 31″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1 450.4 metres at 180° 00′ 00″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3 800.9 metres at 270° 00′ 00″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4 356.7 metres at 283° 56′ 59″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3 730.3 metres at 270° 00′ 00″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7 334.5 metres at 313° 55′ 09″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4 498.3 metres at 2° 32′ 38″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4 118.6 metres at 313° 34′ 09″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4 151.5 metres at 278° 26′ 01″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7 025.6 metres at 290° 37′ 56″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9 036.7 metres at 287° 49′ 37″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(true bearings) then back to the starting point, but excluding the land described in Part 2.</w:t>
      </w:r>
    </w:p>
    <w:p>
      <w:pPr>
        <w:pStyle w:val="yMiscellaneousHeading"/>
        <w:rPr>
          <w:b/>
          <w:snapToGrid w:val="0"/>
        </w:rPr>
      </w:pPr>
      <w:r>
        <w:rPr>
          <w:b/>
          <w:snapToGrid w:val="0"/>
        </w:rPr>
        <w:t xml:space="preserve">Part 2 — Portion of Mount Bruce Aboriginal Site </w:t>
      </w:r>
      <w:r>
        <w:rPr>
          <w:b/>
          <w:snapToGrid w:val="0"/>
        </w:rPr>
        <w:br/>
        <w:t>(PO 4344)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The land enclosed by a line starting at a point 3 670 metres at 100° 38′ 00″ from the north</w:t>
      </w:r>
      <w:r>
        <w:rPr>
          <w:snapToGrid w:val="0"/>
        </w:rPr>
        <w:noBreakHyphen/>
        <w:t>west corner of Windell Location 122 and extending</w:t>
      </w:r>
    </w:p>
    <w:p>
      <w:pPr>
        <w:pStyle w:val="yMiscellaneousBody"/>
        <w:ind w:left="1134" w:hanging="567"/>
        <w:rPr>
          <w:snapToGrid w:val="0"/>
        </w:rPr>
      </w:pPr>
      <w:r>
        <w:rPr>
          <w:snapToGrid w:val="0"/>
        </w:rPr>
        <w:t>2 950 metres at 300° 11′ to a point on Windell Location 121 boundary</w:t>
      </w:r>
    </w:p>
    <w:p>
      <w:pPr>
        <w:pStyle w:val="yMiscellaneousBody"/>
        <w:spacing w:before="0"/>
        <w:ind w:left="1134" w:hanging="567"/>
        <w:rPr>
          <w:snapToGrid w:val="0"/>
        </w:rPr>
      </w:pPr>
      <w:r>
        <w:rPr>
          <w:snapToGrid w:val="0"/>
        </w:rPr>
        <w:t>then along that boundary 3 670 metres at 100° 38′ to a point on Windell Location 121 boundary</w:t>
      </w:r>
    </w:p>
    <w:p>
      <w:pPr>
        <w:pStyle w:val="yMiscellaneousBody"/>
        <w:spacing w:before="0"/>
        <w:ind w:left="1134" w:hanging="567"/>
        <w:rPr>
          <w:snapToGrid w:val="0"/>
        </w:rPr>
      </w:pPr>
      <w:r>
        <w:rPr>
          <w:snapToGrid w:val="0"/>
        </w:rPr>
        <w:lastRenderedPageBreak/>
        <w:t>then along that boundary 750 metres at 119° 35′ to a point on Windell Location 121 boundary</w:t>
      </w:r>
    </w:p>
    <w:p>
      <w:pPr>
        <w:pStyle w:val="yMiscellaneousBody"/>
        <w:spacing w:before="0"/>
        <w:ind w:left="1134" w:hanging="567"/>
        <w:rPr>
          <w:snapToGrid w:val="0"/>
        </w:rPr>
      </w:pPr>
      <w:r>
        <w:rPr>
          <w:snapToGrid w:val="0"/>
        </w:rPr>
        <w:t>then 770 metres at 209° 35′ to a point on Windell Location 121 boundary</w:t>
      </w:r>
    </w:p>
    <w:p>
      <w:pPr>
        <w:pStyle w:val="yMiscellaneousBody"/>
        <w:spacing w:before="0"/>
        <w:ind w:left="1134" w:hanging="567"/>
        <w:rPr>
          <w:snapToGrid w:val="0"/>
        </w:rPr>
      </w:pPr>
      <w:r>
        <w:rPr>
          <w:snapToGrid w:val="0"/>
        </w:rPr>
        <w:t>then 425 metres at 270° 00′ to a point on the TR boundary</w:t>
      </w:r>
    </w:p>
    <w:p>
      <w:pPr>
        <w:pStyle w:val="yMiscellaneousBody"/>
        <w:spacing w:before="0"/>
        <w:ind w:left="1134" w:hanging="567"/>
        <w:rPr>
          <w:snapToGrid w:val="0"/>
        </w:rPr>
      </w:pPr>
      <w:r>
        <w:rPr>
          <w:snapToGrid w:val="0"/>
        </w:rPr>
        <w:t>then along that boundary 194 metres at 299° 35′ to a point on Windell Location 121 boundary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(true bearings) then back to the starting point.</w:t>
      </w:r>
    </w:p>
    <w:p>
      <w:pPr>
        <w:pStyle w:val="yScheduleHeading"/>
      </w:pPr>
      <w:bookmarkStart w:id="8" w:name="_Toc154742949"/>
      <w:r>
        <w:rPr>
          <w:rStyle w:val="CharSchNo"/>
        </w:rPr>
        <w:lastRenderedPageBreak/>
        <w:t>Schedule 3</w:t>
      </w:r>
      <w:r>
        <w:t> — </w:t>
      </w:r>
      <w:r>
        <w:rPr>
          <w:rStyle w:val="CharSchText"/>
        </w:rPr>
        <w:t>Power line route</w:t>
      </w:r>
      <w:bookmarkEnd w:id="8"/>
    </w:p>
    <w:p>
      <w:pPr>
        <w:pStyle w:val="yShoulderClause"/>
      </w:pPr>
      <w:r>
        <w:t>[s. 3(1)]</w:t>
      </w:r>
    </w:p>
    <w:p>
      <w:pPr>
        <w:pStyle w:val="yFootnoteheading"/>
      </w:pPr>
      <w:r>
        <w:tab/>
        <w:t>[Heading amended: No. 19 of 2010 s. 4.]</w:t>
      </w:r>
    </w:p>
    <w:p>
      <w:pPr>
        <w:pStyle w:val="yMiscellaneousHeading"/>
        <w:rPr>
          <w:b/>
          <w:snapToGrid w:val="0"/>
        </w:rPr>
      </w:pPr>
      <w:r>
        <w:rPr>
          <w:b/>
          <w:snapToGrid w:val="0"/>
        </w:rPr>
        <w:t>Part 1 — Power line route</w:t>
      </w:r>
    </w:p>
    <w:p>
      <w:pPr>
        <w:pStyle w:val="yMiscellaneousBody"/>
        <w:rPr>
          <w:snapToGrid w:val="0"/>
        </w:rPr>
      </w:pPr>
      <w:r>
        <w:rPr>
          <w:snapToGrid w:val="0"/>
        </w:rPr>
        <w:t xml:space="preserve">The land enclosed by a line starting at a point 2 947.42 metres at 239° 33′ 12″ from Control Station MD 15 on the north boundary of Section 3 of Miscellaneous Licence 4 issued under the </w:t>
      </w:r>
      <w:r>
        <w:rPr>
          <w:i/>
          <w:snapToGrid w:val="0"/>
        </w:rPr>
        <w:t>Mining Act 1978</w:t>
      </w:r>
      <w:r>
        <w:rPr>
          <w:snapToGrid w:val="0"/>
        </w:rPr>
        <w:t xml:space="preserve"> and extending</w:t>
      </w:r>
    </w:p>
    <w:p>
      <w:pPr>
        <w:pStyle w:val="yMiscellaneousBody"/>
        <w:ind w:left="567"/>
        <w:rPr>
          <w:snapToGrid w:val="0"/>
        </w:rPr>
      </w:pPr>
      <w:r>
        <w:rPr>
          <w:snapToGrid w:val="0"/>
        </w:rPr>
        <w:t>1 160.76 metres at 51° 38′ 55″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930.29 metres at 90° 00′ 00″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4 158.28 metres at 16° 46′ 42″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2 845.69 metres at 73° 40′ 02″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2 389.22 metres at 41° 05′ 44″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3 516.3 metres at 62° 55′ 29″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5 004.38 metres at 1° 56′ 50″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3 000.88 metres at 90° 00′ 00″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3 962.71 metres at 67° 07′ 27″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2 216.73 metres at 134° 01′ 12″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4 433.81 metres at 247° 26′ 53″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2 750.8 metres at 270° 00′ 00″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900.26 metres at 180° 00′ 00″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600.18 metres at 270° 00′ 00″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2 900.86 metres at 180° 00′ 00″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3 937.23 metres at 244° 24′ 41″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2 565.23 metres at 221° 31′ 20″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2 604.05 metres at 250° 14′ 33″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4 267.77 metres at 196° 03′ 21″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1 420.45 metres at 270° 00′ 00″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438.43 metres at 235° 13′ 20″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(true bearings) then back to the starting point, but excluding the land described in Part 2.</w:t>
      </w:r>
    </w:p>
    <w:p>
      <w:pPr>
        <w:pStyle w:val="yMiscellaneousHeading"/>
        <w:rPr>
          <w:b/>
          <w:snapToGrid w:val="0"/>
        </w:rPr>
      </w:pPr>
      <w:r>
        <w:rPr>
          <w:b/>
          <w:snapToGrid w:val="0"/>
        </w:rPr>
        <w:t>Part 2 — Rock Art Complex (PO 5757)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The land enclosed by a line starting at a point 100 metres at 0° 00′ 00″ from a point with AMG coordinates of E587 800 N7 492 900 and extending</w:t>
      </w:r>
    </w:p>
    <w:p>
      <w:pPr>
        <w:pStyle w:val="yMiscellaneousBody"/>
        <w:ind w:left="567"/>
        <w:rPr>
          <w:snapToGrid w:val="0"/>
        </w:rPr>
      </w:pPr>
      <w:r>
        <w:rPr>
          <w:snapToGrid w:val="0"/>
        </w:rPr>
        <w:t>100 metres at 90° 00′ 00″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lastRenderedPageBreak/>
        <w:t>200 metres at 180° 00′ 00″</w:t>
      </w:r>
    </w:p>
    <w:p>
      <w:pPr>
        <w:pStyle w:val="yMiscellaneousBody"/>
        <w:keepNext/>
        <w:spacing w:before="0"/>
        <w:ind w:left="567"/>
        <w:rPr>
          <w:snapToGrid w:val="0"/>
        </w:rPr>
      </w:pPr>
      <w:r>
        <w:rPr>
          <w:snapToGrid w:val="0"/>
        </w:rPr>
        <w:t>200 metres at 270° 00′ 00″</w:t>
      </w:r>
    </w:p>
    <w:p>
      <w:pPr>
        <w:pStyle w:val="yMiscellaneousBody"/>
        <w:keepNext/>
        <w:spacing w:before="0"/>
        <w:ind w:left="567"/>
        <w:rPr>
          <w:snapToGrid w:val="0"/>
        </w:rPr>
      </w:pPr>
      <w:r>
        <w:rPr>
          <w:snapToGrid w:val="0"/>
        </w:rPr>
        <w:t>200 metres at 0° 00′ 00″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(true bearings) then back to the starting point.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yMiscellaneousBody"/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5" w:bottom="3542" w:left="2405" w:header="706" w:footer="3544" w:gutter="0"/>
          <w:cols w:space="720"/>
          <w:noEndnote/>
          <w:docGrid w:linePitch="326"/>
        </w:sectPr>
      </w:pPr>
    </w:p>
    <w:p>
      <w:pPr>
        <w:pStyle w:val="nHeading2"/>
      </w:pPr>
      <w:bookmarkStart w:id="10" w:name="_Toc154742950"/>
      <w:r>
        <w:lastRenderedPageBreak/>
        <w:t>Notes</w:t>
      </w:r>
      <w:bookmarkEnd w:id="10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Aboriginal Heritage (Marandoo) Act 1992</w:t>
      </w:r>
      <w:r>
        <w:t xml:space="preserve"> and includes amendments made by other written laws. For provisions that have come into operation, and for information about any reprints, see the compilation table.</w:t>
      </w:r>
    </w:p>
    <w:p>
      <w:pPr>
        <w:pStyle w:val="nHeading3"/>
      </w:pPr>
      <w:bookmarkStart w:id="11" w:name="_Toc154742951"/>
      <w:r>
        <w:t>Compilation table</w:t>
      </w:r>
      <w:bookmarkEnd w:id="11"/>
    </w:p>
    <w:tbl>
      <w:tblPr>
        <w:tblW w:w="7144" w:type="dxa"/>
        <w:tblBorders>
          <w:top w:val="single" w:sz="8" w:space="0" w:color="auto"/>
          <w:bottom w:val="single" w:sz="8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324"/>
        <w:gridCol w:w="1134"/>
        <w:gridCol w:w="1134"/>
        <w:gridCol w:w="2552"/>
      </w:tblGrid>
      <w:tr>
        <w:trPr>
          <w:tblHeader/>
        </w:trPr>
        <w:tc>
          <w:tcPr>
            <w:tcW w:w="232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Number and year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2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2324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Aboriginal Heritage (Marandoo) Act 1992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2 of 1992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7 Feb 1992</w:t>
            </w:r>
          </w:p>
        </w:tc>
        <w:tc>
          <w:tcPr>
            <w:tcW w:w="2552" w:type="dxa"/>
          </w:tcPr>
          <w:p>
            <w:pPr>
              <w:pStyle w:val="nTable"/>
              <w:spacing w:after="40"/>
            </w:pPr>
            <w:r>
              <w:t>7 Feb 1992 (see s.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144" w:type="dxa"/>
            <w:gridSpan w:val="4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 xml:space="preserve">Reprint 1: The </w:t>
            </w:r>
            <w:r>
              <w:rPr>
                <w:b/>
                <w:i/>
              </w:rPr>
              <w:t>Aboriginal Heritage (Marandoo) Act 1992</w:t>
            </w:r>
            <w:r>
              <w:rPr>
                <w:b/>
              </w:rPr>
              <w:t xml:space="preserve"> as at 14 Nov 2003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2324" w:type="dxa"/>
          </w:tcPr>
          <w:p>
            <w:pPr>
              <w:pStyle w:val="nTable"/>
              <w:spacing w:after="40"/>
              <w:ind w:right="113"/>
              <w:rPr>
                <w:iCs/>
                <w:snapToGrid w:val="0"/>
              </w:rPr>
            </w:pPr>
            <w:r>
              <w:rPr>
                <w:i/>
                <w:snapToGrid w:val="0"/>
              </w:rPr>
              <w:t>Standardisation of Formatting Act 2010</w:t>
            </w:r>
            <w:r>
              <w:rPr>
                <w:iCs/>
                <w:snapToGrid w:val="0"/>
              </w:rPr>
              <w:t xml:space="preserve"> s. 4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19 of 2010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28 Jun 2010</w:t>
            </w:r>
          </w:p>
        </w:tc>
        <w:tc>
          <w:tcPr>
            <w:tcW w:w="2552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 xml:space="preserve">11 Sep 2010 (see s. 2(b) and </w:t>
            </w:r>
            <w:r>
              <w:rPr>
                <w:i/>
                <w:iCs/>
                <w:snapToGrid w:val="0"/>
              </w:rPr>
              <w:t>Gazette</w:t>
            </w:r>
            <w:r>
              <w:rPr>
                <w:snapToGrid w:val="0"/>
              </w:rPr>
              <w:t xml:space="preserve"> 10 Sep 2010 p. 4341)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144" w:type="dxa"/>
            <w:gridSpan w:val="4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  <w:snapToGrid w:val="0"/>
              </w:rPr>
            </w:pPr>
            <w:r>
              <w:rPr>
                <w:b/>
                <w:color w:val="FF0000"/>
              </w:rPr>
              <w:t xml:space="preserve">This Act was repealed by the </w:t>
            </w:r>
            <w:r>
              <w:rPr>
                <w:b/>
                <w:i/>
                <w:color w:val="FF0000"/>
              </w:rPr>
              <w:t>Aboriginal Cultural Heritage Act 2021</w:t>
            </w:r>
            <w:r>
              <w:rPr>
                <w:b/>
                <w:color w:val="FF0000"/>
              </w:rPr>
              <w:t xml:space="preserve"> s. 312 (No. 27 of 2021) on 1 Jul 2023 (see s. 2(e) and SL 2023/40 cl. 2(b))</w:t>
            </w:r>
          </w:p>
        </w:tc>
      </w:tr>
    </w:tbl>
    <w:p/>
    <w:p>
      <w:pPr>
        <w:sectPr>
          <w:headerReference w:type="even" r:id="rId27"/>
          <w:headerReference w:type="default" r:id="rId28"/>
          <w:pgSz w:w="11907" w:h="16840" w:code="9"/>
          <w:pgMar w:top="2376" w:right="2405" w:bottom="3542" w:left="2405" w:header="706" w:footer="3544" w:gutter="0"/>
          <w:cols w:space="720"/>
          <w:noEndnote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type w14:anchorId="39BAC0B1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12A9D530" w14:textId="7BBE310D" w:rsidR="00DF4418" w:rsidRDefault="00DF441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86441B8" w14:textId="77777777" w:rsidR="00DF4418" w:rsidRDefault="00DF441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939FAEC" w14:textId="4C685EA1" w:rsidR="00DF4418" w:rsidRDefault="00DF441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05C09BA" w14:textId="77777777" w:rsidR="00DF4418" w:rsidRDefault="00DF4418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continuous"/>
      <w:pgSz w:w="11907" w:h="16840" w:code="9"/>
      <w:pgMar w:top="2376" w:right="2404" w:bottom="3544" w:left="2404" w:header="720" w:footer="354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Ceased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01-e0-01</w:t>
    </w:r>
    <w:r>
      <w:rPr>
        <w:sz w:val="16"/>
      </w:rPr>
      <w:fldChar w:fldCharType="end"/>
    </w:r>
    <w:r>
      <w:rPr>
        <w:sz w:val="16"/>
      </w:rPr>
      <w:t>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01-e0-01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01-e0-01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vi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Ceased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01-e0-01</w:t>
    </w:r>
    <w:r>
      <w:rPr>
        <w:sz w:val="16"/>
      </w:rPr>
      <w:fldChar w:fldCharType="end"/>
    </w:r>
    <w:r>
      <w:rPr>
        <w:sz w:val="16"/>
      </w:rPr>
      <w:t>]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vii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01-e0-01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01-e0-01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Aboriginal Heritage (Marandoo) Act 1992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Aboriginal Heritage (Marandoo) Act 1992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Aboriginal Heritage (Marandoo) Act 1992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Aboriginal Heritage (Marandoo) Act 1992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Aboriginal Heritage (Marandoo) Act 1992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Aboriginal Heritage (Marandoo) Act 1992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9" w:name="Schedule"/>
    <w:bookmarkEnd w:id="9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Aboriginal Heritage (Marandoo) Act 1992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64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Aboriginal Heritage (Marandoo) Act 1992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2" w:name="Compilation"/>
    <w:bookmarkEnd w:id="12"/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3" w:name="Coversheet"/>
    <w:bookmarkEnd w:id="1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271237A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F1235F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39ABEB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26C060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43EB71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84869F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31EED4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A80347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86262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F4830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EFC4F8B0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44B76088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31221162526"/>
    <w:docVar w:name="WAFER_20140117121030" w:val="RemoveTocBookmarks,RemoveUnusedBookmarks,RemoveLanguageTags,UsedStyles,ResetPageSize,UpdateArrangement"/>
    <w:docVar w:name="WAFER_20140117121030_GUID" w:val="b61c9587-85ab-4237-8726-cfc92b685de5"/>
    <w:docVar w:name="WAFER_20140117121818" w:val="RemoveTocBookmarks,RunningHeaders"/>
    <w:docVar w:name="WAFER_20140117121818_GUID" w:val="00cce493-1f59-4624-a117-6198a9b5a875"/>
    <w:docVar w:name="WAFER_20150224142427" w:val="ResetPageSize,UpdateArrangement,UpdateNTable"/>
    <w:docVar w:name="WAFER_20150224142427_GUID" w:val="c812be05-5e73-4967-ab7a-9fbc7bcc9b96"/>
    <w:docVar w:name="WAFER_20151102104101" w:val="UpdateStyles,UsedStyles"/>
    <w:docVar w:name="WAFER_20151102104101_GUID" w:val="c63a4cfb-eac9-4001-bee1-0329c5686d60"/>
    <w:docVar w:name="WAFER_20151130151635" w:val="RemoveTrackChanges"/>
    <w:docVar w:name="WAFER_20151130151635_GUID" w:val="33915155-80c5-45e0-8f42-3a463514d9af"/>
    <w:docVar w:name="WAFER_20211222082709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11222082709_GUID" w:val="d9877d63-c4c2-4f68-8dcf-fdf500032336"/>
    <w:docVar w:name="WAFER_2023051510135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30515101358_GUID" w:val="3e0bea4b-2a2f-4be7-82cc-fa7122030c8c"/>
    <w:docVar w:name="WAFER_2023062710171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0627101710_GUID" w:val="6b61bf3b-20cf-4acb-b470-f4f2dc45c780"/>
    <w:docVar w:name="WAFER_2023122116252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"/>
    <w:docVar w:name="WAFER_20231221162526_GUID" w:val="8825f52b-98b8-4451-8a83-74529589f4c9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5:docId w15:val="{57D19BC9-45C4-4B74-8719-013BB8AAA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uiPriority w:val="39"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semiHidden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34" Type="http://schemas.openxmlformats.org/officeDocument/2006/relationships/footer" Target="footer9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openxmlformats.org/officeDocument/2006/relationships/header" Target="header1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footer" Target="footer8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image" Target="media/image2.jpeg"/><Relationship Id="rId28" Type="http://schemas.openxmlformats.org/officeDocument/2006/relationships/header" Target="header14.xml"/><Relationship Id="rId36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oter" Target="footer7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fontTable" Target="fontTable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1313</Words>
  <Characters>5663</Characters>
  <Application>Microsoft Office Word</Application>
  <DocSecurity>0</DocSecurity>
  <Lines>195</Lines>
  <Paragraphs>170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6806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1026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Aboriginal Heritage (Marandoo) Act 1992 - 01-e0-01</dc:title>
  <dc:subject/>
  <dc:creator/>
  <cp:keywords/>
  <dc:description/>
  <cp:lastModifiedBy>Master Repository Process</cp:lastModifiedBy>
  <cp:revision>4</cp:revision>
  <cp:lastPrinted>2003-11-06T05:57:00Z</cp:lastPrinted>
  <dcterms:created xsi:type="dcterms:W3CDTF">2023-12-29T03:48:00Z</dcterms:created>
  <dcterms:modified xsi:type="dcterms:W3CDTF">2023-12-29T03:48:00Z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2 of 1992</vt:lpwstr>
  </property>
  <property fmtid="{D5CDD505-2E9C-101B-9397-08002B2CF9AE}" pid="3" name="DocumentType">
    <vt:lpwstr>Act</vt:lpwstr>
  </property>
  <property fmtid="{D5CDD505-2E9C-101B-9397-08002B2CF9AE}" pid="4" name="OwlsUID">
    <vt:i4>4</vt:i4>
  </property>
  <property fmtid="{D5CDD505-2E9C-101B-9397-08002B2CF9AE}" pid="5" name="AsAtDate">
    <vt:lpwstr>01 Jul 2023</vt:lpwstr>
  </property>
  <property fmtid="{D5CDD505-2E9C-101B-9397-08002B2CF9AE}" pid="6" name="Suffix">
    <vt:lpwstr>01-e0-01</vt:lpwstr>
  </property>
  <property fmtid="{D5CDD505-2E9C-101B-9397-08002B2CF9AE}" pid="7" name="Official">
    <vt:lpwstr/>
  </property>
  <property fmtid="{D5CDD505-2E9C-101B-9397-08002B2CF9AE}" pid="8" name="Status">
    <vt:lpwstr>NIF</vt:lpwstr>
  </property>
  <property fmtid="{D5CDD505-2E9C-101B-9397-08002B2CF9AE}" pid="9" name="CommencementDate">
    <vt:lpwstr>20230701</vt:lpwstr>
  </property>
  <property fmtid="{D5CDD505-2E9C-101B-9397-08002B2CF9AE}" pid="10" name="CommencementYear">
    <vt:lpwstr>2023</vt:lpwstr>
  </property>
</Properties>
</file>