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(Elections) Regulations 1997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(Elections) Regulations 1997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_Toc200026094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Application</w:t>
      </w:r>
      <w:r>
        <w:tab/>
      </w:r>
      <w:r>
        <w:fldChar w:fldCharType="begin"/>
      </w:r>
      <w:r>
        <w:instrText xml:space="preserve"> PAGEREF _Toc200026095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_Toc200026096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Forms</w:t>
      </w:r>
      <w:r>
        <w:tab/>
      </w:r>
      <w:r>
        <w:fldChar w:fldCharType="begin"/>
      </w:r>
      <w:r>
        <w:instrText xml:space="preserve"> PAGEREF _Toc200026097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Delivery of documents</w:t>
      </w:r>
      <w:r>
        <w:tab/>
      </w:r>
      <w:r>
        <w:fldChar w:fldCharType="begin"/>
      </w:r>
      <w:r>
        <w:instrText xml:space="preserve"> PAGEREF _Toc200026098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Electoral officers</w:t>
      </w:r>
    </w:p>
    <w:p>
      <w:pPr>
        <w:pStyle w:val="TOC8"/>
        <w:rPr>
          <w:rFonts w:asciiTheme="minorHAnsi" w:eastAsiaTheme="minorEastAsia" w:hAnsiTheme="minorHAnsi" w:cstheme="minorBidi"/>
          <w:szCs w:val="22"/>
        </w:rPr>
      </w:pPr>
      <w:r>
        <w:t>6</w:t>
      </w:r>
      <w:r>
        <w:rPr>
          <w:snapToGrid w:val="0"/>
        </w:rPr>
        <w:t>.</w:t>
      </w:r>
      <w:r>
        <w:rPr>
          <w:snapToGrid w:val="0"/>
        </w:rPr>
        <w:tab/>
        <w:t>Appointment of electoral officers — s. 4.27(1)(a) and (b)</w:t>
      </w:r>
      <w:r>
        <w:tab/>
      </w:r>
      <w:r>
        <w:fldChar w:fldCharType="begin"/>
      </w:r>
      <w:r>
        <w:instrText xml:space="preserve"> PAGEREF _Toc200026100 \h </w:instrText>
      </w:r>
      <w:r>
        <w:fldChar w:fldCharType="separate"/>
      </w:r>
      <w:r>
        <w:t>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Declaration by electoral officer — s. 4.27(1)(c)</w:t>
      </w:r>
      <w:r>
        <w:tab/>
      </w:r>
      <w:r>
        <w:fldChar w:fldCharType="begin"/>
      </w:r>
      <w:r>
        <w:instrText xml:space="preserve"> PAGEREF _Toc200026101 \h </w:instrText>
      </w:r>
      <w:r>
        <w:fldChar w:fldCharType="separate"/>
      </w:r>
      <w:r>
        <w:t>6</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Electoral codes of conduct — s. 4.27(1)(d)</w:t>
      </w:r>
      <w:r>
        <w:tab/>
      </w:r>
      <w:r>
        <w:fldChar w:fldCharType="begin"/>
      </w:r>
      <w:r>
        <w:instrText xml:space="preserve"> PAGEREF _Toc200026102 \h </w:instrText>
      </w:r>
      <w:r>
        <w:fldChar w:fldCharType="separate"/>
      </w:r>
      <w:r>
        <w:t>7</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Fees and expenses of electoral officers — s. 4.28</w:t>
      </w:r>
      <w:r>
        <w:tab/>
      </w:r>
      <w:r>
        <w:fldChar w:fldCharType="begin"/>
      </w:r>
      <w:r>
        <w:instrText xml:space="preserve"> PAGEREF _Toc200026103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Enrolment</w:t>
      </w:r>
    </w:p>
    <w:p>
      <w:pPr>
        <w:pStyle w:val="TOC8"/>
        <w:rPr>
          <w:rFonts w:asciiTheme="minorHAnsi" w:eastAsiaTheme="minorEastAsia" w:hAnsiTheme="minorHAnsi" w:cstheme="minorBidi"/>
          <w:szCs w:val="22"/>
        </w:rPr>
      </w:pPr>
      <w:r>
        <w:t>10</w:t>
      </w:r>
      <w:r>
        <w:rPr>
          <w:snapToGrid w:val="0"/>
        </w:rPr>
        <w:t>.</w:t>
      </w:r>
      <w:r>
        <w:rPr>
          <w:snapToGrid w:val="0"/>
        </w:rPr>
        <w:tab/>
        <w:t>Nomination of ward — s. 4.31</w:t>
      </w:r>
      <w:r>
        <w:tab/>
      </w:r>
      <w:r>
        <w:fldChar w:fldCharType="begin"/>
      </w:r>
      <w:r>
        <w:instrText xml:space="preserve"> PAGEREF _Toc200026105 \h </w:instrText>
      </w:r>
      <w:r>
        <w:fldChar w:fldCharType="separate"/>
      </w:r>
      <w:r>
        <w:t>9</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Nomination of co</w:t>
      </w:r>
      <w:r>
        <w:rPr>
          <w:snapToGrid w:val="0"/>
        </w:rPr>
        <w:noBreakHyphen/>
        <w:t>owners or co</w:t>
      </w:r>
      <w:r>
        <w:rPr>
          <w:snapToGrid w:val="0"/>
        </w:rPr>
        <w:noBreakHyphen/>
        <w:t>occupiers — s. 4.31</w:t>
      </w:r>
      <w:r>
        <w:tab/>
      </w:r>
      <w:r>
        <w:fldChar w:fldCharType="begin"/>
      </w:r>
      <w:r>
        <w:instrText xml:space="preserve"> PAGEREF _Toc200026106 \h </w:instrText>
      </w:r>
      <w:r>
        <w:fldChar w:fldCharType="separate"/>
      </w:r>
      <w:r>
        <w:t>9</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Enrolment eligibility claim — s. 4.32(1)</w:t>
      </w:r>
      <w:r>
        <w:tab/>
      </w:r>
      <w:r>
        <w:fldChar w:fldCharType="begin"/>
      </w:r>
      <w:r>
        <w:instrText xml:space="preserve"> PAGEREF _Toc200026107 \h </w:instrText>
      </w:r>
      <w:r>
        <w:fldChar w:fldCharType="separate"/>
      </w:r>
      <w:r>
        <w:t>10</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Register — s. 4.32(6)</w:t>
      </w:r>
      <w:r>
        <w:tab/>
      </w:r>
      <w:r>
        <w:fldChar w:fldCharType="begin"/>
      </w:r>
      <w:r>
        <w:instrText xml:space="preserve"> PAGEREF _Toc200026108 \h </w:instrText>
      </w:r>
      <w:r>
        <w:fldChar w:fldCharType="separate"/>
      </w:r>
      <w:r>
        <w:t>10</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Appeal form to be sent with notice of rejection or expiry of enrolment eligibility claim — s. </w:t>
      </w:r>
      <w:r>
        <w:t>4</w:t>
      </w:r>
      <w:r>
        <w:rPr>
          <w:snapToGrid w:val="0"/>
        </w:rPr>
        <w:t>.32(6) and s. 4.35(3)</w:t>
      </w:r>
      <w:r>
        <w:tab/>
      </w:r>
      <w:r>
        <w:fldChar w:fldCharType="begin"/>
      </w:r>
      <w:r>
        <w:instrText xml:space="preserve"> PAGEREF _Toc200026109 \h </w:instrText>
      </w:r>
      <w:r>
        <w:fldChar w:fldCharType="separate"/>
      </w:r>
      <w:r>
        <w:t>12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Appeals to Electoral Commissioner — s. 4.32(8) and s. </w:t>
      </w:r>
      <w:r>
        <w:t>4</w:t>
      </w:r>
      <w:r>
        <w:rPr>
          <w:snapToGrid w:val="0"/>
        </w:rPr>
        <w:t>.35(4)</w:t>
      </w:r>
      <w:r>
        <w:tab/>
      </w:r>
      <w:r>
        <w:fldChar w:fldCharType="begin"/>
      </w:r>
      <w:r>
        <w:instrText xml:space="preserve"> PAGEREF _Toc200026110 \h </w:instrText>
      </w:r>
      <w:r>
        <w:fldChar w:fldCharType="separate"/>
      </w:r>
      <w:r>
        <w:t>12</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Confidentiality</w:t>
      </w:r>
      <w:r>
        <w:tab/>
      </w:r>
      <w:r>
        <w:fldChar w:fldCharType="begin"/>
      </w:r>
      <w:r>
        <w:instrText xml:space="preserve"> PAGEREF _Toc200026111 \h </w:instrText>
      </w:r>
      <w:r>
        <w:fldChar w:fldCharType="separate"/>
      </w:r>
      <w:r>
        <w:t>13</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Retention of documents</w:t>
      </w:r>
      <w:r>
        <w:tab/>
      </w:r>
      <w:r>
        <w:fldChar w:fldCharType="begin"/>
      </w:r>
      <w:r>
        <w:instrText xml:space="preserve"> PAGEREF _Toc200026112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The rolls</w:t>
      </w:r>
    </w:p>
    <w:p>
      <w:pPr>
        <w:pStyle w:val="TOC8"/>
        <w:rPr>
          <w:rFonts w:asciiTheme="minorHAnsi" w:eastAsiaTheme="minorEastAsia" w:hAnsiTheme="minorHAnsi" w:cstheme="minorBidi"/>
          <w:szCs w:val="22"/>
        </w:rPr>
      </w:pPr>
      <w:r>
        <w:t>18</w:t>
      </w:r>
      <w:r>
        <w:rPr>
          <w:snapToGrid w:val="0"/>
        </w:rPr>
        <w:t>.</w:t>
      </w:r>
      <w:r>
        <w:rPr>
          <w:snapToGrid w:val="0"/>
        </w:rPr>
        <w:tab/>
        <w:t>Consolidation of residents roll with owners and occupiers roll — s. </w:t>
      </w:r>
      <w:r>
        <w:t>4</w:t>
      </w:r>
      <w:r>
        <w:rPr>
          <w:snapToGrid w:val="0"/>
        </w:rPr>
        <w:t>.38(1)</w:t>
      </w:r>
      <w:r>
        <w:tab/>
      </w:r>
      <w:r>
        <w:fldChar w:fldCharType="begin"/>
      </w:r>
      <w:r>
        <w:instrText xml:space="preserve"> PAGEREF _Toc200026114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District rolls, ward rolls and combined ward rolls — s. </w:t>
      </w:r>
      <w:r>
        <w:t>4</w:t>
      </w:r>
      <w:r>
        <w:rPr>
          <w:snapToGrid w:val="0"/>
        </w:rPr>
        <w:t>.38(2)</w:t>
      </w:r>
      <w:r>
        <w:tab/>
      </w:r>
      <w:r>
        <w:fldChar w:fldCharType="begin"/>
      </w:r>
      <w:r>
        <w:instrText xml:space="preserve"> PAGEREF _Toc200026115 \h </w:instrText>
      </w:r>
      <w:r>
        <w:fldChar w:fldCharType="separate"/>
      </w:r>
      <w:r>
        <w:t>14</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Elector’s details on roll — s. 4.38(2)</w:t>
      </w:r>
      <w:r>
        <w:tab/>
      </w:r>
      <w:r>
        <w:fldChar w:fldCharType="begin"/>
      </w:r>
      <w:r>
        <w:instrText xml:space="preserve"> PAGEREF _Toc200026116 \h </w:instrText>
      </w:r>
      <w:r>
        <w:fldChar w:fldCharType="separate"/>
      </w:r>
      <w:r>
        <w:t>15</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Form of rolls — s. 4.38(2)</w:t>
      </w:r>
      <w:r>
        <w:tab/>
      </w:r>
      <w:r>
        <w:fldChar w:fldCharType="begin"/>
      </w:r>
      <w:r>
        <w:instrText xml:space="preserve"> PAGEREF _Toc200026117 \h </w:instrText>
      </w:r>
      <w:r>
        <w:fldChar w:fldCharType="separate"/>
      </w:r>
      <w:r>
        <w:t>16</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Supply of rolls — s. 4.42(2)</w:t>
      </w:r>
      <w:r>
        <w:tab/>
      </w:r>
      <w:r>
        <w:fldChar w:fldCharType="begin"/>
      </w:r>
      <w:r>
        <w:instrText xml:space="preserve"> PAGEREF _Toc200026118 \h </w:instrText>
      </w:r>
      <w:r>
        <w:fldChar w:fldCharType="separate"/>
      </w:r>
      <w:r>
        <w:t>16</w:t>
      </w:r>
      <w:r>
        <w:fldChar w:fldCharType="end"/>
      </w:r>
    </w:p>
    <w:p>
      <w:pPr>
        <w:pStyle w:val="TOC8"/>
        <w:rPr>
          <w:rFonts w:asciiTheme="minorHAnsi" w:eastAsiaTheme="minorEastAsia" w:hAnsiTheme="minorHAnsi" w:cstheme="minorBidi"/>
          <w:szCs w:val="22"/>
        </w:rPr>
      </w:pPr>
      <w:r>
        <w:t>22AA.</w:t>
      </w:r>
      <w:r>
        <w:tab/>
        <w:t>Destruction and deletion of copies of rolls — s. 4.42(3)</w:t>
      </w:r>
      <w:r>
        <w:tab/>
      </w:r>
      <w:r>
        <w:fldChar w:fldCharType="begin"/>
      </w:r>
      <w:r>
        <w:instrText xml:space="preserve"> PAGEREF _Toc200026119 \h </w:instrText>
      </w:r>
      <w:r>
        <w:fldChar w:fldCharType="separate"/>
      </w:r>
      <w:r>
        <w:t>16</w:t>
      </w:r>
      <w:r>
        <w:fldChar w:fldCharType="end"/>
      </w:r>
    </w:p>
    <w:p>
      <w:pPr>
        <w:pStyle w:val="TOC8"/>
        <w:rPr>
          <w:rFonts w:asciiTheme="minorHAnsi" w:eastAsiaTheme="minorEastAsia" w:hAnsiTheme="minorHAnsi" w:cstheme="minorBidi"/>
          <w:szCs w:val="22"/>
        </w:rPr>
      </w:pPr>
      <w:r>
        <w:t>22A.</w:t>
      </w:r>
      <w:r>
        <w:tab/>
        <w:t>Certification of corrections to roll — s. 4.43(4)</w:t>
      </w:r>
      <w:r>
        <w:tab/>
      </w:r>
      <w:r>
        <w:fldChar w:fldCharType="begin"/>
      </w:r>
      <w:r>
        <w:instrText xml:space="preserve"> PAGEREF _Toc200026120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5 — Nominations</w:t>
      </w:r>
    </w:p>
    <w:p>
      <w:pPr>
        <w:pStyle w:val="TOC8"/>
        <w:rPr>
          <w:rFonts w:asciiTheme="minorHAnsi" w:eastAsiaTheme="minorEastAsia" w:hAnsiTheme="minorHAnsi" w:cstheme="minorBidi"/>
          <w:szCs w:val="22"/>
        </w:rPr>
      </w:pPr>
      <w:r>
        <w:t>22B.</w:t>
      </w:r>
      <w:r>
        <w:tab/>
        <w:t>Course of induction — s. 4.48(1) and (2)</w:t>
      </w:r>
      <w:r>
        <w:tab/>
      </w:r>
      <w:r>
        <w:fldChar w:fldCharType="begin"/>
      </w:r>
      <w:r>
        <w:instrText xml:space="preserve"> PAGEREF _Toc200026122 \h </w:instrText>
      </w:r>
      <w:r>
        <w:fldChar w:fldCharType="separate"/>
      </w:r>
      <w:r>
        <w:t>21</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Means of sending nomination or withdrawal — s. 4.49(a) and s. </w:t>
      </w:r>
      <w:r>
        <w:t>4</w:t>
      </w:r>
      <w:r>
        <w:rPr>
          <w:snapToGrid w:val="0"/>
        </w:rPr>
        <w:t>.53(2)(a)</w:t>
      </w:r>
      <w:r>
        <w:tab/>
      </w:r>
      <w:r>
        <w:fldChar w:fldCharType="begin"/>
      </w:r>
      <w:r>
        <w:instrText xml:space="preserve"> PAGEREF _Toc200026123 \h </w:instrText>
      </w:r>
      <w:r>
        <w:fldChar w:fldCharType="separate"/>
      </w:r>
      <w:r>
        <w:t>21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Candidate’s profile — s. 4.49(b)</w:t>
      </w:r>
      <w:r>
        <w:tab/>
      </w:r>
      <w:r>
        <w:fldChar w:fldCharType="begin"/>
      </w:r>
      <w:r>
        <w:instrText xml:space="preserve"> PAGEREF _Toc200026124 \h </w:instrText>
      </w:r>
      <w:r>
        <w:fldChar w:fldCharType="separate"/>
      </w:r>
      <w:r>
        <w:t>21</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Evidence of candidate’s consent to nomination or withdrawal — s. </w:t>
      </w:r>
      <w:r>
        <w:t>4</w:t>
      </w:r>
      <w:r>
        <w:rPr>
          <w:snapToGrid w:val="0"/>
        </w:rPr>
        <w:t>.49(c) and s. 4.53(2)(b)</w:t>
      </w:r>
      <w:r>
        <w:tab/>
      </w:r>
      <w:r>
        <w:fldChar w:fldCharType="begin"/>
      </w:r>
      <w:r>
        <w:instrText xml:space="preserve"> PAGEREF _Toc200026125 \h </w:instrText>
      </w:r>
      <w:r>
        <w:fldChar w:fldCharType="separate"/>
      </w:r>
      <w:r>
        <w:t>22</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Deposits — s. 4.49(d) and s. 4.50</w:t>
      </w:r>
      <w:r>
        <w:tab/>
      </w:r>
      <w:r>
        <w:fldChar w:fldCharType="begin"/>
      </w:r>
      <w:r>
        <w:instrText xml:space="preserve"> PAGEREF _Toc200026126 \h </w:instrText>
      </w:r>
      <w:r>
        <w:fldChar w:fldCharType="separate"/>
      </w:r>
      <w:r>
        <w:t>23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Cases in which deposits refunded — s. 4.50</w:t>
      </w:r>
      <w:r>
        <w:tab/>
      </w:r>
      <w:r>
        <w:fldChar w:fldCharType="begin"/>
      </w:r>
      <w:r>
        <w:instrText xml:space="preserve"> PAGEREF _Toc200026127 \h </w:instrText>
      </w:r>
      <w:r>
        <w:fldChar w:fldCharType="separate"/>
      </w:r>
      <w:r>
        <w:t>23</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How deposits refunded — s. 4.50</w:t>
      </w:r>
      <w:r>
        <w:tab/>
      </w:r>
      <w:r>
        <w:fldChar w:fldCharType="begin"/>
      </w:r>
      <w:r>
        <w:instrText xml:space="preserve"> PAGEREF _Toc200026128 \h </w:instrText>
      </w:r>
      <w:r>
        <w:fldChar w:fldCharType="separate"/>
      </w:r>
      <w:r>
        <w:t>24</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Local government to retain deposits in other cases</w:t>
      </w:r>
      <w:r>
        <w:tab/>
      </w:r>
      <w:r>
        <w:fldChar w:fldCharType="begin"/>
      </w:r>
      <w:r>
        <w:instrText xml:space="preserve"> PAGEREF _Toc200026129 \h </w:instrText>
      </w:r>
      <w:r>
        <w:fldChar w:fldCharType="separate"/>
      </w:r>
      <w:r>
        <w:t>25</w:t>
      </w:r>
      <w:r>
        <w:fldChar w:fldCharType="end"/>
      </w:r>
    </w:p>
    <w:p>
      <w:pPr>
        <w:pStyle w:val="TOC8"/>
        <w:rPr>
          <w:rFonts w:asciiTheme="minorHAnsi" w:eastAsiaTheme="minorEastAsia" w:hAnsiTheme="minorHAnsi" w:cstheme="minorBidi"/>
          <w:szCs w:val="22"/>
        </w:rPr>
      </w:pPr>
      <w:r>
        <w:t>29A.</w:t>
      </w:r>
      <w:r>
        <w:tab/>
        <w:t>Publication of information about candidates — s. 4.52</w:t>
      </w:r>
      <w:r>
        <w:tab/>
      </w:r>
      <w:r>
        <w:fldChar w:fldCharType="begin"/>
      </w:r>
      <w:r>
        <w:instrText xml:space="preserve"> PAGEREF _Toc200026130 \h </w:instrText>
      </w:r>
      <w:r>
        <w:fldChar w:fldCharType="separate"/>
      </w:r>
      <w:r>
        <w:t>26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Drawing lots for positions on ballot paper — s. 4.56(a)</w:t>
      </w:r>
      <w:r>
        <w:tab/>
      </w:r>
      <w:r>
        <w:fldChar w:fldCharType="begin"/>
      </w:r>
      <w:r>
        <w:instrText xml:space="preserve"> PAGEREF _Toc200026131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5A — Disclosure of gifts</w:t>
      </w:r>
    </w:p>
    <w:p>
      <w:pPr>
        <w:pStyle w:val="TOC8"/>
        <w:rPr>
          <w:rFonts w:asciiTheme="minorHAnsi" w:eastAsiaTheme="minorEastAsia" w:hAnsiTheme="minorHAnsi" w:cstheme="minorBidi"/>
          <w:szCs w:val="22"/>
        </w:rPr>
      </w:pPr>
      <w:r>
        <w:t>30A.</w:t>
      </w:r>
      <w:r>
        <w:tab/>
        <w:t>Terms used</w:t>
      </w:r>
      <w:r>
        <w:tab/>
      </w:r>
      <w:r>
        <w:fldChar w:fldCharType="begin"/>
      </w:r>
      <w:r>
        <w:instrText xml:space="preserve"> PAGEREF _Toc200026133 \h </w:instrText>
      </w:r>
      <w:r>
        <w:fldChar w:fldCharType="separate"/>
      </w:r>
      <w:r>
        <w:t>29</w:t>
      </w:r>
      <w:r>
        <w:fldChar w:fldCharType="end"/>
      </w:r>
    </w:p>
    <w:p>
      <w:pPr>
        <w:pStyle w:val="TOC8"/>
        <w:rPr>
          <w:rFonts w:asciiTheme="minorHAnsi" w:eastAsiaTheme="minorEastAsia" w:hAnsiTheme="minorHAnsi" w:cstheme="minorBidi"/>
          <w:szCs w:val="22"/>
        </w:rPr>
      </w:pPr>
      <w:r>
        <w:t>30BA.</w:t>
      </w:r>
      <w:r>
        <w:tab/>
        <w:t>Candidates not to receive gifts from unidentified donors</w:t>
      </w:r>
      <w:r>
        <w:tab/>
      </w:r>
      <w:r>
        <w:fldChar w:fldCharType="begin"/>
      </w:r>
      <w:r>
        <w:instrText xml:space="preserve"> PAGEREF _Toc200026134 \h </w:instrText>
      </w:r>
      <w:r>
        <w:fldChar w:fldCharType="separate"/>
      </w:r>
      <w:r>
        <w:t>30</w:t>
      </w:r>
      <w:r>
        <w:fldChar w:fldCharType="end"/>
      </w:r>
    </w:p>
    <w:p>
      <w:pPr>
        <w:pStyle w:val="TOC8"/>
        <w:rPr>
          <w:rFonts w:asciiTheme="minorHAnsi" w:eastAsiaTheme="minorEastAsia" w:hAnsiTheme="minorHAnsi" w:cstheme="minorBidi"/>
          <w:szCs w:val="22"/>
        </w:rPr>
      </w:pPr>
      <w:r>
        <w:t>30B.</w:t>
      </w:r>
      <w:r>
        <w:tab/>
        <w:t>Candidates to disclose gifts — s. 4.59</w:t>
      </w:r>
      <w:r>
        <w:tab/>
      </w:r>
      <w:r>
        <w:fldChar w:fldCharType="begin"/>
      </w:r>
      <w:r>
        <w:instrText xml:space="preserve"> PAGEREF _Toc200026135 \h </w:instrText>
      </w:r>
      <w:r>
        <w:fldChar w:fldCharType="separate"/>
      </w:r>
      <w:r>
        <w:t>30</w:t>
      </w:r>
      <w:r>
        <w:fldChar w:fldCharType="end"/>
      </w:r>
    </w:p>
    <w:p>
      <w:pPr>
        <w:pStyle w:val="TOC8"/>
        <w:rPr>
          <w:rFonts w:asciiTheme="minorHAnsi" w:eastAsiaTheme="minorEastAsia" w:hAnsiTheme="minorHAnsi" w:cstheme="minorBidi"/>
          <w:szCs w:val="22"/>
        </w:rPr>
      </w:pPr>
      <w:r>
        <w:t>30CA.</w:t>
      </w:r>
      <w:r>
        <w:tab/>
        <w:t>Donors to disclose gifts — s. 4.59</w:t>
      </w:r>
      <w:r>
        <w:tab/>
      </w:r>
      <w:r>
        <w:fldChar w:fldCharType="begin"/>
      </w:r>
      <w:r>
        <w:instrText xml:space="preserve"> PAGEREF _Toc200026136 \h </w:instrText>
      </w:r>
      <w:r>
        <w:fldChar w:fldCharType="separate"/>
      </w:r>
      <w:r>
        <w:t>31</w:t>
      </w:r>
      <w:r>
        <w:fldChar w:fldCharType="end"/>
      </w:r>
    </w:p>
    <w:p>
      <w:pPr>
        <w:pStyle w:val="TOC8"/>
        <w:rPr>
          <w:rFonts w:asciiTheme="minorHAnsi" w:eastAsiaTheme="minorEastAsia" w:hAnsiTheme="minorHAnsi" w:cstheme="minorBidi"/>
          <w:szCs w:val="22"/>
        </w:rPr>
      </w:pPr>
      <w:r>
        <w:t>30C.</w:t>
      </w:r>
      <w:r>
        <w:tab/>
        <w:t>Disclosure period</w:t>
      </w:r>
      <w:r>
        <w:tab/>
      </w:r>
      <w:r>
        <w:fldChar w:fldCharType="begin"/>
      </w:r>
      <w:r>
        <w:instrText xml:space="preserve"> PAGEREF _Toc200026137 \h </w:instrText>
      </w:r>
      <w:r>
        <w:fldChar w:fldCharType="separate"/>
      </w:r>
      <w:r>
        <w:t>31</w:t>
      </w:r>
      <w:r>
        <w:fldChar w:fldCharType="end"/>
      </w:r>
    </w:p>
    <w:p>
      <w:pPr>
        <w:pStyle w:val="TOC8"/>
        <w:rPr>
          <w:rFonts w:asciiTheme="minorHAnsi" w:eastAsiaTheme="minorEastAsia" w:hAnsiTheme="minorHAnsi" w:cstheme="minorBidi"/>
          <w:szCs w:val="22"/>
        </w:rPr>
      </w:pPr>
      <w:r>
        <w:t>30D.</w:t>
      </w:r>
      <w:r>
        <w:tab/>
        <w:t>Manner and time of disclosure</w:t>
      </w:r>
      <w:r>
        <w:tab/>
      </w:r>
      <w:r>
        <w:fldChar w:fldCharType="begin"/>
      </w:r>
      <w:r>
        <w:instrText xml:space="preserve"> PAGEREF _Toc200026138 \h </w:instrText>
      </w:r>
      <w:r>
        <w:fldChar w:fldCharType="separate"/>
      </w:r>
      <w:r>
        <w:t>32</w:t>
      </w:r>
      <w:r>
        <w:fldChar w:fldCharType="end"/>
      </w:r>
    </w:p>
    <w:p>
      <w:pPr>
        <w:pStyle w:val="TOC8"/>
        <w:rPr>
          <w:rFonts w:asciiTheme="minorHAnsi" w:eastAsiaTheme="minorEastAsia" w:hAnsiTheme="minorHAnsi" w:cstheme="minorBidi"/>
          <w:szCs w:val="22"/>
        </w:rPr>
      </w:pPr>
      <w:r>
        <w:t>30F.</w:t>
      </w:r>
      <w:r>
        <w:tab/>
        <w:t>Information to be provided</w:t>
      </w:r>
      <w:r>
        <w:tab/>
      </w:r>
      <w:r>
        <w:fldChar w:fldCharType="begin"/>
      </w:r>
      <w:r>
        <w:instrText xml:space="preserve"> PAGEREF _Toc200026139 \h </w:instrText>
      </w:r>
      <w:r>
        <w:fldChar w:fldCharType="separate"/>
      </w:r>
      <w:r>
        <w:t>33</w:t>
      </w:r>
      <w:r>
        <w:fldChar w:fldCharType="end"/>
      </w:r>
    </w:p>
    <w:p>
      <w:pPr>
        <w:pStyle w:val="TOC8"/>
        <w:rPr>
          <w:rFonts w:asciiTheme="minorHAnsi" w:eastAsiaTheme="minorEastAsia" w:hAnsiTheme="minorHAnsi" w:cstheme="minorBidi"/>
          <w:szCs w:val="22"/>
        </w:rPr>
      </w:pPr>
      <w:r>
        <w:t>30G.</w:t>
      </w:r>
      <w:r>
        <w:tab/>
        <w:t>Electoral gift register</w:t>
      </w:r>
      <w:r>
        <w:tab/>
      </w:r>
      <w:r>
        <w:fldChar w:fldCharType="begin"/>
      </w:r>
      <w:r>
        <w:instrText xml:space="preserve"> PAGEREF _Toc200026140 \h </w:instrText>
      </w:r>
      <w:r>
        <w:fldChar w:fldCharType="separate"/>
      </w:r>
      <w:r>
        <w:t>33</w:t>
      </w:r>
      <w:r>
        <w:fldChar w:fldCharType="end"/>
      </w:r>
    </w:p>
    <w:p>
      <w:pPr>
        <w:pStyle w:val="TOC8"/>
        <w:rPr>
          <w:rFonts w:asciiTheme="minorHAnsi" w:eastAsiaTheme="minorEastAsia" w:hAnsiTheme="minorHAnsi" w:cstheme="minorBidi"/>
          <w:szCs w:val="22"/>
        </w:rPr>
      </w:pPr>
      <w:r>
        <w:t>30H.</w:t>
      </w:r>
      <w:r>
        <w:tab/>
        <w:t>Public to have access to electoral gift register</w:t>
      </w:r>
      <w:r>
        <w:tab/>
      </w:r>
      <w:r>
        <w:fldChar w:fldCharType="begin"/>
      </w:r>
      <w:r>
        <w:instrText xml:space="preserve"> PAGEREF _Toc200026141 \h </w:instrText>
      </w:r>
      <w:r>
        <w:fldChar w:fldCharType="separate"/>
      </w:r>
      <w:r>
        <w:t>34</w:t>
      </w:r>
      <w:r>
        <w:fldChar w:fldCharType="end"/>
      </w:r>
    </w:p>
    <w:p>
      <w:pPr>
        <w:pStyle w:val="TOC8"/>
        <w:rPr>
          <w:rFonts w:asciiTheme="minorHAnsi" w:eastAsiaTheme="minorEastAsia" w:hAnsiTheme="minorHAnsi" w:cstheme="minorBidi"/>
          <w:szCs w:val="22"/>
        </w:rPr>
      </w:pPr>
      <w:r>
        <w:t>30I.</w:t>
      </w:r>
      <w:r>
        <w:tab/>
        <w:t>Offence to publish information in certain cases</w:t>
      </w:r>
      <w:r>
        <w:tab/>
      </w:r>
      <w:r>
        <w:fldChar w:fldCharType="begin"/>
      </w:r>
      <w:r>
        <w:instrText xml:space="preserve"> PAGEREF _Toc200026142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6 — Election notices</w:t>
      </w:r>
    </w:p>
    <w:p>
      <w:pPr>
        <w:pStyle w:val="TOC8"/>
        <w:rPr>
          <w:rFonts w:asciiTheme="minorHAnsi" w:eastAsiaTheme="minorEastAsia" w:hAnsiTheme="minorHAnsi" w:cstheme="minorBidi"/>
          <w:szCs w:val="22"/>
        </w:rPr>
      </w:pPr>
      <w:r>
        <w:t>31</w:t>
      </w:r>
      <w:r>
        <w:rPr>
          <w:snapToGrid w:val="0"/>
        </w:rPr>
        <w:t>.</w:t>
      </w:r>
      <w:r>
        <w:rPr>
          <w:snapToGrid w:val="0"/>
        </w:rPr>
        <w:tab/>
        <w:t>Contents of election notice — s. 4.64</w:t>
      </w:r>
      <w:r>
        <w:tab/>
      </w:r>
      <w:r>
        <w:fldChar w:fldCharType="begin"/>
      </w:r>
      <w:r>
        <w:instrText xml:space="preserve"> PAGEREF _Toc200026144 \h </w:instrText>
      </w:r>
      <w:r>
        <w:fldChar w:fldCharType="separate"/>
      </w:r>
      <w:r>
        <w:t>36</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Other notices</w:t>
      </w:r>
      <w:r>
        <w:tab/>
      </w:r>
      <w:r>
        <w:fldChar w:fldCharType="begin"/>
      </w:r>
      <w:r>
        <w:instrText xml:space="preserve"> PAGEREF _Toc200026145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7 — Ballot papers</w:t>
      </w:r>
    </w:p>
    <w:p>
      <w:pPr>
        <w:pStyle w:val="TOC8"/>
        <w:rPr>
          <w:rFonts w:asciiTheme="minorHAnsi" w:eastAsiaTheme="minorEastAsia" w:hAnsiTheme="minorHAnsi" w:cstheme="minorBidi"/>
          <w:szCs w:val="22"/>
        </w:rPr>
      </w:pPr>
      <w:r>
        <w:t>33</w:t>
      </w:r>
      <w:r>
        <w:rPr>
          <w:snapToGrid w:val="0"/>
        </w:rPr>
        <w:t>.</w:t>
      </w:r>
      <w:r>
        <w:rPr>
          <w:snapToGrid w:val="0"/>
        </w:rPr>
        <w:tab/>
        <w:t>RO to print ballot papers — s. 4.71(1)(a)</w:t>
      </w:r>
      <w:r>
        <w:tab/>
      </w:r>
      <w:r>
        <w:fldChar w:fldCharType="begin"/>
      </w:r>
      <w:r>
        <w:instrText xml:space="preserve"> PAGEREF _Toc200026147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8 — Postal voting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 to vote by post — s. 4.71(1)(c)</w:t>
      </w:r>
    </w:p>
    <w:p>
      <w:pPr>
        <w:pStyle w:val="TOC8"/>
        <w:rPr>
          <w:rFonts w:asciiTheme="minorHAnsi" w:eastAsiaTheme="minorEastAsia" w:hAnsiTheme="minorHAnsi" w:cstheme="minorBidi"/>
          <w:szCs w:val="22"/>
        </w:rPr>
      </w:pPr>
      <w:r>
        <w:t>36</w:t>
      </w:r>
      <w:r>
        <w:rPr>
          <w:snapToGrid w:val="0"/>
        </w:rPr>
        <w:t>.</w:t>
      </w:r>
      <w:r>
        <w:rPr>
          <w:snapToGrid w:val="0"/>
        </w:rPr>
        <w:tab/>
        <w:t>No application required for postal election</w:t>
      </w:r>
      <w:r>
        <w:tab/>
      </w:r>
      <w:r>
        <w:fldChar w:fldCharType="begin"/>
      </w:r>
      <w:r>
        <w:instrText xml:space="preserve"> PAGEREF _Toc200026150 \h </w:instrText>
      </w:r>
      <w:r>
        <w:fldChar w:fldCharType="separate"/>
      </w:r>
      <w:r>
        <w:t>39</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How to apply to vote by post at voting in person elections</w:t>
      </w:r>
      <w:r>
        <w:tab/>
      </w:r>
      <w:r>
        <w:fldChar w:fldCharType="begin"/>
      </w:r>
      <w:r>
        <w:instrText xml:space="preserve"> PAGEREF _Toc200026151 \h </w:instrText>
      </w:r>
      <w:r>
        <w:fldChar w:fldCharType="separate"/>
      </w:r>
      <w:r>
        <w:t>39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How applications dealt with</w:t>
      </w:r>
      <w:r>
        <w:tab/>
      </w:r>
      <w:r>
        <w:fldChar w:fldCharType="begin"/>
      </w:r>
      <w:r>
        <w:instrText xml:space="preserve"> PAGEREF _Toc200026152 \h </w:instrText>
      </w:r>
      <w:r>
        <w:fldChar w:fldCharType="separate"/>
      </w:r>
      <w:r>
        <w:t>40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Notice of rejection</w:t>
      </w:r>
      <w:r>
        <w:tab/>
      </w:r>
      <w:r>
        <w:fldChar w:fldCharType="begin"/>
      </w:r>
      <w:r>
        <w:instrText xml:space="preserve"> PAGEREF _Toc200026153 \h </w:instrText>
      </w:r>
      <w:r>
        <w:fldChar w:fldCharType="separate"/>
      </w:r>
      <w:r>
        <w:t>40</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Postal voters register</w:t>
      </w:r>
      <w:r>
        <w:tab/>
      </w:r>
      <w:r>
        <w:fldChar w:fldCharType="begin"/>
      </w:r>
      <w:r>
        <w:instrText xml:space="preserve"> PAGEREF _Toc200026154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Issue of postal voting papers — s. 4.71(1)(c)</w:t>
      </w:r>
    </w:p>
    <w:p>
      <w:pPr>
        <w:pStyle w:val="TOC8"/>
        <w:rPr>
          <w:rFonts w:asciiTheme="minorHAnsi" w:eastAsiaTheme="minorEastAsia" w:hAnsiTheme="minorHAnsi" w:cstheme="minorBidi"/>
          <w:szCs w:val="22"/>
        </w:rPr>
      </w:pPr>
      <w:r>
        <w:t>41</w:t>
      </w:r>
      <w:r>
        <w:rPr>
          <w:snapToGrid w:val="0"/>
        </w:rPr>
        <w:t>.</w:t>
      </w:r>
      <w:r>
        <w:rPr>
          <w:snapToGrid w:val="0"/>
        </w:rPr>
        <w:tab/>
        <w:t>Postal election</w:t>
      </w:r>
      <w:r>
        <w:tab/>
      </w:r>
      <w:r>
        <w:fldChar w:fldCharType="begin"/>
      </w:r>
      <w:r>
        <w:instrText xml:space="preserve"> PAGEREF _Toc200026156 \h </w:instrText>
      </w:r>
      <w:r>
        <w:fldChar w:fldCharType="separate"/>
      </w:r>
      <w:r>
        <w:t>41</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Voting in person election</w:t>
      </w:r>
      <w:r>
        <w:tab/>
      </w:r>
      <w:r>
        <w:fldChar w:fldCharType="begin"/>
      </w:r>
      <w:r>
        <w:instrText xml:space="preserve"> PAGEREF _Toc200026157 \h </w:instrText>
      </w:r>
      <w:r>
        <w:fldChar w:fldCharType="separate"/>
      </w:r>
      <w:r>
        <w:t>41</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Contents of election package</w:t>
      </w:r>
      <w:r>
        <w:tab/>
      </w:r>
      <w:r>
        <w:fldChar w:fldCharType="begin"/>
      </w:r>
      <w:r>
        <w:instrText xml:space="preserve"> PAGEREF _Toc200026158 \h </w:instrText>
      </w:r>
      <w:r>
        <w:fldChar w:fldCharType="separate"/>
      </w:r>
      <w:r>
        <w:t>41</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Time and record of issue of election packages</w:t>
      </w:r>
      <w:r>
        <w:tab/>
      </w:r>
      <w:r>
        <w:fldChar w:fldCharType="begin"/>
      </w:r>
      <w:r>
        <w:instrText xml:space="preserve"> PAGEREF _Toc200026159 \h </w:instrText>
      </w:r>
      <w:r>
        <w:fldChar w:fldCharType="separate"/>
      </w:r>
      <w:r>
        <w:t>42</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How to apply for postal voting papers to replace missing or spoilt papers</w:t>
      </w:r>
      <w:r>
        <w:tab/>
      </w:r>
      <w:r>
        <w:fldChar w:fldCharType="begin"/>
      </w:r>
      <w:r>
        <w:instrText xml:space="preserve"> PAGEREF _Toc200026160 \h </w:instrText>
      </w:r>
      <w:r>
        <w:fldChar w:fldCharType="separate"/>
      </w:r>
      <w:r>
        <w:t>43</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How to apply for provisional postal voting papers</w:t>
      </w:r>
      <w:r>
        <w:tab/>
      </w:r>
      <w:r>
        <w:fldChar w:fldCharType="begin"/>
      </w:r>
      <w:r>
        <w:instrText xml:space="preserve"> PAGEREF _Toc200026161 \h </w:instrText>
      </w:r>
      <w:r>
        <w:fldChar w:fldCharType="separate"/>
      </w:r>
      <w:r>
        <w:t>44</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Elections on same day</w:t>
      </w:r>
      <w:r>
        <w:tab/>
      </w:r>
      <w:r>
        <w:fldChar w:fldCharType="begin"/>
      </w:r>
      <w:r>
        <w:instrText xml:space="preserve"> PAGEREF _Toc200026162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How postal voting papers are to be completed, transmitted and dealt with — s. 4.71(1)(d)</w:t>
      </w:r>
    </w:p>
    <w:p>
      <w:pPr>
        <w:pStyle w:val="TOC8"/>
        <w:rPr>
          <w:rFonts w:asciiTheme="minorHAnsi" w:eastAsiaTheme="minorEastAsia" w:hAnsiTheme="minorHAnsi" w:cstheme="minorBidi"/>
          <w:szCs w:val="22"/>
        </w:rPr>
      </w:pPr>
      <w:r>
        <w:t>48</w:t>
      </w:r>
      <w:r>
        <w:rPr>
          <w:snapToGrid w:val="0"/>
        </w:rPr>
        <w:t>.</w:t>
      </w:r>
      <w:r>
        <w:rPr>
          <w:snapToGrid w:val="0"/>
        </w:rPr>
        <w:tab/>
        <w:t>Voting instructions to be followed</w:t>
      </w:r>
      <w:r>
        <w:tab/>
      </w:r>
      <w:r>
        <w:fldChar w:fldCharType="begin"/>
      </w:r>
      <w:r>
        <w:instrText xml:space="preserve"> PAGEREF _Toc200026164 \h </w:instrText>
      </w:r>
      <w:r>
        <w:fldChar w:fldCharType="separate"/>
      </w:r>
      <w:r>
        <w:t>46</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Candidates not to assist or interfere with electors</w:t>
      </w:r>
      <w:r>
        <w:tab/>
      </w:r>
      <w:r>
        <w:fldChar w:fldCharType="begin"/>
      </w:r>
      <w:r>
        <w:instrText xml:space="preserve"> PAGEREF _Toc200026165 \h </w:instrText>
      </w:r>
      <w:r>
        <w:fldChar w:fldCharType="separate"/>
      </w:r>
      <w:r>
        <w:t>46</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Duty to send or deliver voting papers</w:t>
      </w:r>
      <w:r>
        <w:tab/>
      </w:r>
      <w:r>
        <w:fldChar w:fldCharType="begin"/>
      </w:r>
      <w:r>
        <w:instrText xml:space="preserve"> PAGEREF _Toc200026166 \h </w:instrText>
      </w:r>
      <w:r>
        <w:fldChar w:fldCharType="separate"/>
      </w:r>
      <w:r>
        <w:t>46</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Times and places for checking postal voting papers</w:t>
      </w:r>
      <w:r>
        <w:tab/>
      </w:r>
      <w:r>
        <w:fldChar w:fldCharType="begin"/>
      </w:r>
      <w:r>
        <w:instrText xml:space="preserve"> PAGEREF _Toc200026167 \h </w:instrText>
      </w:r>
      <w:r>
        <w:fldChar w:fldCharType="separate"/>
      </w:r>
      <w:r>
        <w:t>46</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Procedure for checking postal voting papers</w:t>
      </w:r>
      <w:r>
        <w:tab/>
      </w:r>
      <w:r>
        <w:fldChar w:fldCharType="begin"/>
      </w:r>
      <w:r>
        <w:instrText xml:space="preserve"> PAGEREF _Toc200026168 \h </w:instrText>
      </w:r>
      <w:r>
        <w:fldChar w:fldCharType="separate"/>
      </w:r>
      <w:r>
        <w:t>47</w:t>
      </w:r>
      <w:r>
        <w:fldChar w:fldCharType="end"/>
      </w:r>
    </w:p>
    <w:p>
      <w:pPr>
        <w:pStyle w:val="TOC8"/>
        <w:rPr>
          <w:rFonts w:asciiTheme="minorHAnsi" w:eastAsiaTheme="minorEastAsia" w:hAnsiTheme="minorHAnsi" w:cstheme="minorBidi"/>
          <w:szCs w:val="22"/>
        </w:rPr>
      </w:pPr>
      <w:r>
        <w:t>52A.</w:t>
      </w:r>
      <w:r>
        <w:tab/>
        <w:t>Preparation of postal ballot papers for count</w:t>
      </w:r>
      <w:r>
        <w:tab/>
      </w:r>
      <w:r>
        <w:fldChar w:fldCharType="begin"/>
      </w:r>
      <w:r>
        <w:instrText xml:space="preserve"> PAGEREF _Toc200026169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Absent voting and early voting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 — s. 4.67</w:t>
      </w:r>
    </w:p>
    <w:p>
      <w:pPr>
        <w:pStyle w:val="TOC8"/>
        <w:rPr>
          <w:rFonts w:asciiTheme="minorHAnsi" w:eastAsiaTheme="minorEastAsia" w:hAnsiTheme="minorHAnsi" w:cstheme="minorBidi"/>
          <w:szCs w:val="22"/>
        </w:rPr>
      </w:pPr>
      <w:r>
        <w:t>53</w:t>
      </w:r>
      <w:r>
        <w:rPr>
          <w:snapToGrid w:val="0"/>
        </w:rPr>
        <w:t>.</w:t>
      </w:r>
      <w:r>
        <w:rPr>
          <w:snapToGrid w:val="0"/>
        </w:rPr>
        <w:tab/>
        <w:t>Application of Part — voting in person elections only</w:t>
      </w:r>
      <w:r>
        <w:tab/>
      </w:r>
      <w:r>
        <w:fldChar w:fldCharType="begin"/>
      </w:r>
      <w:r>
        <w:instrText xml:space="preserve"> PAGEREF _Toc200026172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Absent voting — s. 4.71(1)(e)</w:t>
      </w:r>
    </w:p>
    <w:p>
      <w:pPr>
        <w:pStyle w:val="TOC8"/>
        <w:rPr>
          <w:rFonts w:asciiTheme="minorHAnsi" w:eastAsiaTheme="minorEastAsia" w:hAnsiTheme="minorHAnsi" w:cstheme="minorBidi"/>
          <w:szCs w:val="22"/>
        </w:rPr>
      </w:pPr>
      <w:r>
        <w:t>54</w:t>
      </w:r>
      <w:r>
        <w:rPr>
          <w:snapToGrid w:val="0"/>
        </w:rPr>
        <w:t>.</w:t>
      </w:r>
      <w:r>
        <w:rPr>
          <w:snapToGrid w:val="0"/>
        </w:rPr>
        <w:tab/>
        <w:t>How to apply for absent voting papers</w:t>
      </w:r>
      <w:r>
        <w:tab/>
      </w:r>
      <w:r>
        <w:fldChar w:fldCharType="begin"/>
      </w:r>
      <w:r>
        <w:instrText xml:space="preserve"> PAGEREF _Toc200026174 \h </w:instrText>
      </w:r>
      <w:r>
        <w:fldChar w:fldCharType="separate"/>
      </w:r>
      <w:r>
        <w:t>50</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Issue of absent voting papers</w:t>
      </w:r>
      <w:r>
        <w:tab/>
      </w:r>
      <w:r>
        <w:fldChar w:fldCharType="begin"/>
      </w:r>
      <w:r>
        <w:instrText xml:space="preserve"> PAGEREF _Toc200026175 \h </w:instrText>
      </w:r>
      <w:r>
        <w:fldChar w:fldCharType="separate"/>
      </w:r>
      <w:r>
        <w:t>50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How to complete absent voting papers</w:t>
      </w:r>
      <w:r>
        <w:tab/>
      </w:r>
      <w:r>
        <w:fldChar w:fldCharType="begin"/>
      </w:r>
      <w:r>
        <w:instrText xml:space="preserve"> PAGEREF _Toc200026176 \h </w:instrText>
      </w:r>
      <w:r>
        <w:fldChar w:fldCharType="separate"/>
      </w:r>
      <w:r>
        <w:t>51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on same day</w:t>
      </w:r>
      <w:r>
        <w:tab/>
      </w:r>
      <w:r>
        <w:fldChar w:fldCharType="begin"/>
      </w:r>
      <w:r>
        <w:instrText xml:space="preserve"> PAGEREF _Toc200026177 \h </w:instrText>
      </w:r>
      <w:r>
        <w:fldChar w:fldCharType="separate"/>
      </w:r>
      <w:r>
        <w:t>51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How completed absent voting papers dealt with</w:t>
      </w:r>
      <w:r>
        <w:tab/>
      </w:r>
      <w:r>
        <w:fldChar w:fldCharType="begin"/>
      </w:r>
      <w:r>
        <w:instrText xml:space="preserve"> PAGEREF _Toc200026178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Early voting — s. 4.71(1)(e)</w:t>
      </w:r>
    </w:p>
    <w:p>
      <w:pPr>
        <w:pStyle w:val="TOC8"/>
        <w:rPr>
          <w:rFonts w:asciiTheme="minorHAnsi" w:eastAsiaTheme="minorEastAsia" w:hAnsiTheme="minorHAnsi" w:cstheme="minorBidi"/>
          <w:szCs w:val="22"/>
        </w:rPr>
      </w:pPr>
      <w:r>
        <w:t>59</w:t>
      </w:r>
      <w:r>
        <w:rPr>
          <w:snapToGrid w:val="0"/>
        </w:rPr>
        <w:t>.</w:t>
      </w:r>
      <w:r>
        <w:rPr>
          <w:snapToGrid w:val="0"/>
        </w:rPr>
        <w:tab/>
        <w:t>How to cast an early vote</w:t>
      </w:r>
      <w:r>
        <w:tab/>
      </w:r>
      <w:r>
        <w:fldChar w:fldCharType="begin"/>
      </w:r>
      <w:r>
        <w:instrText xml:space="preserve"> PAGEREF _Toc200026180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10 — Voting in person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w:t>
      </w:r>
    </w:p>
    <w:p>
      <w:pPr>
        <w:pStyle w:val="TOC8"/>
        <w:rPr>
          <w:rFonts w:asciiTheme="minorHAnsi" w:eastAsiaTheme="minorEastAsia" w:hAnsiTheme="minorHAnsi" w:cstheme="minorBidi"/>
          <w:szCs w:val="22"/>
        </w:rPr>
      </w:pPr>
      <w:r>
        <w:t>60</w:t>
      </w:r>
      <w:r>
        <w:rPr>
          <w:snapToGrid w:val="0"/>
        </w:rPr>
        <w:t>.</w:t>
      </w:r>
      <w:r>
        <w:rPr>
          <w:snapToGrid w:val="0"/>
        </w:rPr>
        <w:tab/>
        <w:t>Application</w:t>
      </w:r>
      <w:r>
        <w:tab/>
      </w:r>
      <w:r>
        <w:fldChar w:fldCharType="begin"/>
      </w:r>
      <w:r>
        <w:instrText xml:space="preserve"> PAGEREF _Toc200026183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Obtaining ballot papers — s. 4.71(1)(f)</w:t>
      </w:r>
    </w:p>
    <w:p>
      <w:pPr>
        <w:pStyle w:val="TOC8"/>
        <w:rPr>
          <w:rFonts w:asciiTheme="minorHAnsi" w:eastAsiaTheme="minorEastAsia" w:hAnsiTheme="minorHAnsi" w:cstheme="minorBidi"/>
          <w:szCs w:val="22"/>
        </w:rPr>
      </w:pPr>
      <w:r>
        <w:t>61</w:t>
      </w:r>
      <w:r>
        <w:rPr>
          <w:snapToGrid w:val="0"/>
        </w:rPr>
        <w:t>.</w:t>
      </w:r>
      <w:r>
        <w:rPr>
          <w:snapToGrid w:val="0"/>
        </w:rPr>
        <w:tab/>
        <w:t>How to obtain ballot paper to vote in person on election day</w:t>
      </w:r>
      <w:r>
        <w:tab/>
      </w:r>
      <w:r>
        <w:fldChar w:fldCharType="begin"/>
      </w:r>
      <w:r>
        <w:instrText xml:space="preserve"> PAGEREF _Toc200026185 \h </w:instrText>
      </w:r>
      <w:r>
        <w:fldChar w:fldCharType="separate"/>
      </w:r>
      <w:r>
        <w:t>54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How to obtain provisional ballot paper</w:t>
      </w:r>
      <w:r>
        <w:tab/>
      </w:r>
      <w:r>
        <w:fldChar w:fldCharType="begin"/>
      </w:r>
      <w:r>
        <w:instrText xml:space="preserve"> PAGEREF _Toc200026186 \h </w:instrText>
      </w:r>
      <w:r>
        <w:fldChar w:fldCharType="separate"/>
      </w:r>
      <w:r>
        <w:t>55</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Spoilt ballot papers</w:t>
      </w:r>
      <w:r>
        <w:tab/>
      </w:r>
      <w:r>
        <w:fldChar w:fldCharType="begin"/>
      </w:r>
      <w:r>
        <w:instrText xml:space="preserve"> PAGEREF _Toc200026187 \h </w:instrText>
      </w:r>
      <w:r>
        <w:fldChar w:fldCharType="separate"/>
      </w:r>
      <w:r>
        <w:t>56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Ballot papers to be authentic</w:t>
      </w:r>
      <w:r>
        <w:tab/>
      </w:r>
      <w:r>
        <w:fldChar w:fldCharType="begin"/>
      </w:r>
      <w:r>
        <w:instrText xml:space="preserve"> PAGEREF _Toc200026188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Voting arrangements — s. 4.71(1)(g) and (i)</w:t>
      </w:r>
    </w:p>
    <w:p>
      <w:pPr>
        <w:pStyle w:val="TOC8"/>
        <w:rPr>
          <w:rFonts w:asciiTheme="minorHAnsi" w:eastAsiaTheme="minorEastAsia" w:hAnsiTheme="minorHAnsi" w:cstheme="minorBidi"/>
          <w:szCs w:val="22"/>
        </w:rPr>
      </w:pPr>
      <w:r>
        <w:t>65</w:t>
      </w:r>
      <w:r>
        <w:rPr>
          <w:snapToGrid w:val="0"/>
        </w:rPr>
        <w:t>.</w:t>
      </w:r>
      <w:r>
        <w:rPr>
          <w:snapToGrid w:val="0"/>
        </w:rPr>
        <w:tab/>
        <w:t>Arrangements for secret voting</w:t>
      </w:r>
      <w:r>
        <w:tab/>
      </w:r>
      <w:r>
        <w:fldChar w:fldCharType="begin"/>
      </w:r>
      <w:r>
        <w:instrText xml:space="preserve"> PAGEREF _Toc200026190 \h </w:instrText>
      </w:r>
      <w:r>
        <w:fldChar w:fldCharType="separate"/>
      </w:r>
      <w:r>
        <w:t>56</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Marking and dealing with ballot paper</w:t>
      </w:r>
      <w:r>
        <w:tab/>
      </w:r>
      <w:r>
        <w:fldChar w:fldCharType="begin"/>
      </w:r>
      <w:r>
        <w:instrText xml:space="preserve"> PAGEREF _Toc200026191 \h </w:instrText>
      </w:r>
      <w:r>
        <w:fldChar w:fldCharType="separate"/>
      </w:r>
      <w:r>
        <w:t>57</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Assistance to be given to electors who cannot otherwise vote</w:t>
      </w:r>
      <w:r>
        <w:tab/>
      </w:r>
      <w:r>
        <w:fldChar w:fldCharType="begin"/>
      </w:r>
      <w:r>
        <w:instrText xml:space="preserve"> PAGEREF _Toc200026192 \h </w:instrText>
      </w:r>
      <w:r>
        <w:fldChar w:fldCharType="separate"/>
      </w:r>
      <w:r>
        <w:t>58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Checking provisional voting papers</w:t>
      </w:r>
      <w:r>
        <w:tab/>
      </w:r>
      <w:r>
        <w:fldChar w:fldCharType="begin"/>
      </w:r>
      <w:r>
        <w:instrText xml:space="preserve"> PAGEREF _Toc200026193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11 — Scrutineers</w:t>
      </w:r>
    </w:p>
    <w:p>
      <w:pPr>
        <w:pStyle w:val="TOC8"/>
        <w:rPr>
          <w:rFonts w:asciiTheme="minorHAnsi" w:eastAsiaTheme="minorEastAsia" w:hAnsiTheme="minorHAnsi" w:cstheme="minorBidi"/>
          <w:szCs w:val="22"/>
        </w:rPr>
      </w:pPr>
      <w:r>
        <w:t>69</w:t>
      </w:r>
      <w:r>
        <w:rPr>
          <w:snapToGrid w:val="0"/>
        </w:rPr>
        <w:t>.</w:t>
      </w:r>
      <w:r>
        <w:rPr>
          <w:snapToGrid w:val="0"/>
        </w:rPr>
        <w:tab/>
        <w:t>Appointment of scrutineers and declarations by them — s. </w:t>
      </w:r>
      <w:r>
        <w:t>4</w:t>
      </w:r>
      <w:r>
        <w:rPr>
          <w:snapToGrid w:val="0"/>
        </w:rPr>
        <w:t>.71(1)(j)</w:t>
      </w:r>
      <w:r>
        <w:tab/>
      </w:r>
      <w:r>
        <w:fldChar w:fldCharType="begin"/>
      </w:r>
      <w:r>
        <w:instrText xml:space="preserve"> PAGEREF _Toc200026195 \h </w:instrText>
      </w:r>
      <w:r>
        <w:fldChar w:fldCharType="separate"/>
      </w:r>
      <w:r>
        <w:t>61</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Verification of appointment — s. 4.71(1)(j)</w:t>
      </w:r>
      <w:r>
        <w:tab/>
      </w:r>
      <w:r>
        <w:fldChar w:fldCharType="begin"/>
      </w:r>
      <w:r>
        <w:instrText xml:space="preserve"> PAGEREF _Toc200026196 \h </w:instrText>
      </w:r>
      <w:r>
        <w:fldChar w:fldCharType="separate"/>
      </w:r>
      <w:r>
        <w:t>62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Rights of scrutineers — s. 4.71(1)(j)</w:t>
      </w:r>
      <w:r>
        <w:tab/>
      </w:r>
      <w:r>
        <w:fldChar w:fldCharType="begin"/>
      </w:r>
      <w:r>
        <w:instrText xml:space="preserve"> PAGEREF _Toc200026197 \h </w:instrText>
      </w:r>
      <w:r>
        <w:fldChar w:fldCharType="separate"/>
      </w:r>
      <w:r>
        <w:t>62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Restrictions on scrutineers — s. 4.71(1)(j)</w:t>
      </w:r>
      <w:r>
        <w:tab/>
      </w:r>
      <w:r>
        <w:fldChar w:fldCharType="begin"/>
      </w:r>
      <w:r>
        <w:instrText xml:space="preserve"> PAGEREF _Toc200026198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12 — Delay or interruption of election</w:t>
      </w:r>
    </w:p>
    <w:p>
      <w:pPr>
        <w:pStyle w:val="TOC8"/>
        <w:rPr>
          <w:rFonts w:asciiTheme="minorHAnsi" w:eastAsiaTheme="minorEastAsia" w:hAnsiTheme="minorHAnsi" w:cstheme="minorBidi"/>
          <w:szCs w:val="22"/>
        </w:rPr>
      </w:pPr>
      <w:r>
        <w:t>73</w:t>
      </w:r>
      <w:r>
        <w:rPr>
          <w:snapToGrid w:val="0"/>
        </w:rPr>
        <w:t>.</w:t>
      </w:r>
      <w:r>
        <w:rPr>
          <w:snapToGrid w:val="0"/>
        </w:rPr>
        <w:tab/>
        <w:t>Adjournment or postponement of poll — s. 4.71(1)(k)</w:t>
      </w:r>
      <w:r>
        <w:tab/>
      </w:r>
      <w:r>
        <w:fldChar w:fldCharType="begin"/>
      </w:r>
      <w:r>
        <w:instrText xml:space="preserve"> PAGEREF _Toc200026200 \h </w:instrText>
      </w:r>
      <w:r>
        <w:fldChar w:fldCharType="separate"/>
      </w:r>
      <w:r>
        <w:t>64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Notice of postponement or adjournment — s. 4.71(1)(k)</w:t>
      </w:r>
      <w:r>
        <w:tab/>
      </w:r>
      <w:r>
        <w:fldChar w:fldCharType="begin"/>
      </w:r>
      <w:r>
        <w:instrText xml:space="preserve"> PAGEREF _Toc200026201 \h </w:instrText>
      </w:r>
      <w:r>
        <w:fldChar w:fldCharType="separate"/>
      </w:r>
      <w:r>
        <w:t>65</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Security of papers during adjournment — s. 4.71(1)(k)</w:t>
      </w:r>
      <w:r>
        <w:tab/>
      </w:r>
      <w:r>
        <w:fldChar w:fldCharType="begin"/>
      </w:r>
      <w:r>
        <w:instrText xml:space="preserve"> PAGEREF _Toc200026202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Part 12A — Electronic counting of votes</w:t>
      </w:r>
    </w:p>
    <w:p>
      <w:pPr>
        <w:pStyle w:val="TOC8"/>
        <w:rPr>
          <w:rFonts w:asciiTheme="minorHAnsi" w:eastAsiaTheme="minorEastAsia" w:hAnsiTheme="minorHAnsi" w:cstheme="minorBidi"/>
          <w:szCs w:val="22"/>
        </w:rPr>
      </w:pPr>
      <w:r>
        <w:t>75B.</w:t>
      </w:r>
      <w:r>
        <w:tab/>
        <w:t>Use of electronic counting system</w:t>
      </w:r>
      <w:r>
        <w:tab/>
      </w:r>
      <w:r>
        <w:fldChar w:fldCharType="begin"/>
      </w:r>
      <w:r>
        <w:instrText xml:space="preserve"> PAGEREF _Toc200026204 \h </w:instrText>
      </w:r>
      <w:r>
        <w:fldChar w:fldCharType="separate"/>
      </w:r>
      <w:r>
        <w:t>66</w:t>
      </w:r>
      <w:r>
        <w:fldChar w:fldCharType="end"/>
      </w:r>
    </w:p>
    <w:p>
      <w:pPr>
        <w:pStyle w:val="TOC8"/>
        <w:rPr>
          <w:rFonts w:asciiTheme="minorHAnsi" w:eastAsiaTheme="minorEastAsia" w:hAnsiTheme="minorHAnsi" w:cstheme="minorBidi"/>
          <w:szCs w:val="22"/>
        </w:rPr>
      </w:pPr>
      <w:r>
        <w:t>75C.</w:t>
      </w:r>
      <w:r>
        <w:tab/>
        <w:t>Electronic counting places</w:t>
      </w:r>
      <w:r>
        <w:tab/>
      </w:r>
      <w:r>
        <w:fldChar w:fldCharType="begin"/>
      </w:r>
      <w:r>
        <w:instrText xml:space="preserve"> PAGEREF _Toc200026205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12B — Acceptance of ballot papers</w:t>
      </w:r>
    </w:p>
    <w:p>
      <w:pPr>
        <w:pStyle w:val="TOC8"/>
        <w:rPr>
          <w:rFonts w:asciiTheme="minorHAnsi" w:eastAsiaTheme="minorEastAsia" w:hAnsiTheme="minorHAnsi" w:cstheme="minorBidi"/>
          <w:szCs w:val="22"/>
        </w:rPr>
      </w:pPr>
      <w:r>
        <w:t>75D.</w:t>
      </w:r>
      <w:r>
        <w:tab/>
        <w:t>Circumstances in which RO must accept ballot paper in election with more than 2 candidates — s. 4.75</w:t>
      </w:r>
      <w:r>
        <w:tab/>
      </w:r>
      <w:r>
        <w:fldChar w:fldCharType="begin"/>
      </w:r>
      <w:r>
        <w:instrText xml:space="preserve"> PAGEREF _Toc200026207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12C — Drawing of lots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75E.</w:t>
      </w:r>
      <w:r>
        <w:tab/>
        <w:t>Steps for drawing lots</w:t>
      </w:r>
      <w:r>
        <w:tab/>
      </w:r>
      <w:r>
        <w:fldChar w:fldCharType="begin"/>
      </w:r>
      <w:r>
        <w:instrText xml:space="preserve"> PAGEREF _Toc200026210 \h </w:instrText>
      </w:r>
      <w:r>
        <w:fldChar w:fldCharType="separate"/>
      </w:r>
      <w:r>
        <w:t>69</w:t>
      </w:r>
      <w:r>
        <w:fldChar w:fldCharType="end"/>
      </w:r>
    </w:p>
    <w:p>
      <w:pPr>
        <w:pStyle w:val="TOC8"/>
        <w:rPr>
          <w:rFonts w:asciiTheme="minorHAnsi" w:eastAsiaTheme="minorEastAsia" w:hAnsiTheme="minorHAnsi" w:cstheme="minorBidi"/>
          <w:szCs w:val="22"/>
        </w:rPr>
      </w:pPr>
      <w:r>
        <w:t>75F.</w:t>
      </w:r>
      <w:r>
        <w:tab/>
        <w:t>References to Schedules</w:t>
      </w:r>
      <w:r>
        <w:tab/>
      </w:r>
      <w:r>
        <w:fldChar w:fldCharType="begin"/>
      </w:r>
      <w:r>
        <w:instrText xml:space="preserve"> PAGEREF _Toc200026211 \h </w:instrText>
      </w:r>
      <w:r>
        <w:fldChar w:fldCharType="separate"/>
      </w:r>
      <w:r>
        <w:t>70</w:t>
      </w:r>
      <w:r>
        <w:fldChar w:fldCharType="end"/>
      </w:r>
    </w:p>
    <w:p>
      <w:pPr>
        <w:pStyle w:val="TOC4"/>
        <w:tabs>
          <w:tab w:val="right" w:leader="dot" w:pos="7077"/>
        </w:tabs>
        <w:rPr>
          <w:rFonts w:asciiTheme="minorHAnsi" w:eastAsiaTheme="minorEastAsia" w:hAnsiTheme="minorHAnsi" w:cstheme="minorBidi"/>
          <w:b w:val="0"/>
          <w:szCs w:val="22"/>
        </w:rPr>
      </w:pPr>
      <w:r>
        <w:t>Division 2 — Provisions for Schedule 4.1A</w:t>
      </w:r>
    </w:p>
    <w:p>
      <w:pPr>
        <w:pStyle w:val="TOC8"/>
        <w:rPr>
          <w:rFonts w:asciiTheme="minorHAnsi" w:eastAsiaTheme="minorEastAsia" w:hAnsiTheme="minorHAnsi" w:cstheme="minorBidi"/>
          <w:szCs w:val="22"/>
        </w:rPr>
      </w:pPr>
      <w:r>
        <w:t>75G.</w:t>
      </w:r>
      <w:r>
        <w:tab/>
        <w:t>Drawing lots under Sch. 4.1A cl. 5(3)</w:t>
      </w:r>
      <w:r>
        <w:tab/>
      </w:r>
      <w:r>
        <w:fldChar w:fldCharType="begin"/>
      </w:r>
      <w:r>
        <w:instrText xml:space="preserve"> PAGEREF _Toc200026213 \h </w:instrText>
      </w:r>
      <w:r>
        <w:fldChar w:fldCharType="separate"/>
      </w:r>
      <w:r>
        <w:t>70</w:t>
      </w:r>
      <w:r>
        <w:fldChar w:fldCharType="end"/>
      </w:r>
    </w:p>
    <w:p>
      <w:pPr>
        <w:pStyle w:val="TOC8"/>
        <w:rPr>
          <w:rFonts w:asciiTheme="minorHAnsi" w:eastAsiaTheme="minorEastAsia" w:hAnsiTheme="minorHAnsi" w:cstheme="minorBidi"/>
          <w:szCs w:val="22"/>
        </w:rPr>
      </w:pPr>
      <w:r>
        <w:t>75H.</w:t>
      </w:r>
      <w:r>
        <w:tab/>
        <w:t>Drawing lots under Sch. 4.1A cl. 8(3)</w:t>
      </w:r>
      <w:r>
        <w:tab/>
      </w:r>
      <w:r>
        <w:fldChar w:fldCharType="begin"/>
      </w:r>
      <w:r>
        <w:instrText xml:space="preserve"> PAGEREF _Toc200026214 \h </w:instrText>
      </w:r>
      <w:r>
        <w:fldChar w:fldCharType="separate"/>
      </w:r>
      <w:r>
        <w:t>71</w:t>
      </w:r>
      <w:r>
        <w:fldChar w:fldCharType="end"/>
      </w:r>
    </w:p>
    <w:p>
      <w:pPr>
        <w:pStyle w:val="TOC8"/>
        <w:rPr>
          <w:rFonts w:asciiTheme="minorHAnsi" w:eastAsiaTheme="minorEastAsia" w:hAnsiTheme="minorHAnsi" w:cstheme="minorBidi"/>
          <w:szCs w:val="22"/>
        </w:rPr>
      </w:pPr>
      <w:r>
        <w:t>75I.</w:t>
      </w:r>
      <w:r>
        <w:tab/>
        <w:t>Drawing lots under Sch. 4.1A cl. 11(4)(b)</w:t>
      </w:r>
      <w:r>
        <w:tab/>
      </w:r>
      <w:r>
        <w:fldChar w:fldCharType="begin"/>
      </w:r>
      <w:r>
        <w:instrText xml:space="preserve"> PAGEREF _Toc200026215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3 — Provisions for Schedule 4.1B</w:t>
      </w:r>
    </w:p>
    <w:p>
      <w:pPr>
        <w:pStyle w:val="TOC8"/>
        <w:rPr>
          <w:rFonts w:asciiTheme="minorHAnsi" w:eastAsiaTheme="minorEastAsia" w:hAnsiTheme="minorHAnsi" w:cstheme="minorBidi"/>
          <w:szCs w:val="22"/>
        </w:rPr>
      </w:pPr>
      <w:r>
        <w:t>75J.</w:t>
      </w:r>
      <w:r>
        <w:tab/>
        <w:t>Drawing lots under Sch. 4.1B cl. 3(3)(b)</w:t>
      </w:r>
      <w:r>
        <w:tab/>
      </w:r>
      <w:r>
        <w:fldChar w:fldCharType="begin"/>
      </w:r>
      <w:r>
        <w:instrText xml:space="preserve"> PAGEREF _Toc200026217 \h </w:instrText>
      </w:r>
      <w:r>
        <w:fldChar w:fldCharType="separate"/>
      </w:r>
      <w:r>
        <w:t>73</w:t>
      </w:r>
      <w:r>
        <w:fldChar w:fldCharType="end"/>
      </w:r>
    </w:p>
    <w:p>
      <w:pPr>
        <w:pStyle w:val="TOC8"/>
        <w:rPr>
          <w:rFonts w:asciiTheme="minorHAnsi" w:eastAsiaTheme="minorEastAsia" w:hAnsiTheme="minorHAnsi" w:cstheme="minorBidi"/>
          <w:szCs w:val="22"/>
        </w:rPr>
      </w:pPr>
      <w:r>
        <w:t>75K.</w:t>
      </w:r>
      <w:r>
        <w:tab/>
        <w:t>Drawing lots under Sch. 4.1B cl. 4(4)</w:t>
      </w:r>
      <w:r>
        <w:tab/>
      </w:r>
      <w:r>
        <w:fldChar w:fldCharType="begin"/>
      </w:r>
      <w:r>
        <w:instrText xml:space="preserve"> PAGEREF _Toc200026218 \h </w:instrText>
      </w:r>
      <w:r>
        <w:fldChar w:fldCharType="separate"/>
      </w:r>
      <w:r>
        <w:t>74</w:t>
      </w:r>
      <w:r>
        <w:fldChar w:fldCharType="end"/>
      </w:r>
    </w:p>
    <w:p>
      <w:pPr>
        <w:pStyle w:val="TOC8"/>
        <w:rPr>
          <w:rFonts w:asciiTheme="minorHAnsi" w:eastAsiaTheme="minorEastAsia" w:hAnsiTheme="minorHAnsi" w:cstheme="minorBidi"/>
          <w:szCs w:val="22"/>
        </w:rPr>
      </w:pPr>
      <w:r>
        <w:t>75L.</w:t>
      </w:r>
      <w:r>
        <w:tab/>
        <w:t>Drawing lots under Sch. 4.1B cl. 5(5)(b)</w:t>
      </w:r>
      <w:r>
        <w:tab/>
      </w:r>
      <w:r>
        <w:fldChar w:fldCharType="begin"/>
      </w:r>
      <w:r>
        <w:instrText xml:space="preserve"> PAGEREF _Toc200026219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4 — Provisions for Schedule 4.1</w:t>
      </w:r>
    </w:p>
    <w:p>
      <w:pPr>
        <w:pStyle w:val="TOC8"/>
        <w:rPr>
          <w:rFonts w:asciiTheme="minorHAnsi" w:eastAsiaTheme="minorEastAsia" w:hAnsiTheme="minorHAnsi" w:cstheme="minorBidi"/>
          <w:szCs w:val="22"/>
        </w:rPr>
      </w:pPr>
      <w:r>
        <w:t>75M.</w:t>
      </w:r>
      <w:r>
        <w:tab/>
        <w:t>Drawing lots under Sch. 4.1 cl. 2(2)</w:t>
      </w:r>
      <w:r>
        <w:tab/>
      </w:r>
      <w:r>
        <w:fldChar w:fldCharType="begin"/>
      </w:r>
      <w:r>
        <w:instrText xml:space="preserve"> PAGEREF _Toc200026221 \h </w:instrText>
      </w:r>
      <w:r>
        <w:fldChar w:fldCharType="separate"/>
      </w:r>
      <w:r>
        <w:t>75</w:t>
      </w:r>
      <w:r>
        <w:fldChar w:fldCharType="end"/>
      </w:r>
    </w:p>
    <w:p>
      <w:pPr>
        <w:pStyle w:val="TOC8"/>
        <w:rPr>
          <w:rFonts w:asciiTheme="minorHAnsi" w:eastAsiaTheme="minorEastAsia" w:hAnsiTheme="minorHAnsi" w:cstheme="minorBidi"/>
          <w:szCs w:val="22"/>
        </w:rPr>
      </w:pPr>
      <w:r>
        <w:t>75N.</w:t>
      </w:r>
      <w:r>
        <w:tab/>
        <w:t>Drawing lots under Sch. 4.1 cl. 5(6): determining candidate to be excluded</w:t>
      </w:r>
      <w:r>
        <w:tab/>
      </w:r>
      <w:r>
        <w:fldChar w:fldCharType="begin"/>
      </w:r>
      <w:r>
        <w:instrText xml:space="preserve"> PAGEREF _Toc200026222 \h </w:instrText>
      </w:r>
      <w:r>
        <w:fldChar w:fldCharType="separate"/>
      </w:r>
      <w:r>
        <w:t>75</w:t>
      </w:r>
      <w:r>
        <w:fldChar w:fldCharType="end"/>
      </w:r>
    </w:p>
    <w:p>
      <w:pPr>
        <w:pStyle w:val="TOC8"/>
        <w:rPr>
          <w:rFonts w:asciiTheme="minorHAnsi" w:eastAsiaTheme="minorEastAsia" w:hAnsiTheme="minorHAnsi" w:cstheme="minorBidi"/>
          <w:szCs w:val="22"/>
        </w:rPr>
      </w:pPr>
      <w:r>
        <w:t>75O.</w:t>
      </w:r>
      <w:r>
        <w:tab/>
        <w:t>Drawing lots under Sch. 4.1 cl. 5(6): determining candidate to be elected</w:t>
      </w:r>
      <w:r>
        <w:tab/>
      </w:r>
      <w:r>
        <w:fldChar w:fldCharType="begin"/>
      </w:r>
      <w:r>
        <w:instrText xml:space="preserve"> PAGEREF _Toc200026223 \h </w:instrText>
      </w:r>
      <w:r>
        <w:fldChar w:fldCharType="separate"/>
      </w:r>
      <w:r>
        <w:t>75</w:t>
      </w:r>
      <w:r>
        <w:fldChar w:fldCharType="end"/>
      </w:r>
    </w:p>
    <w:p>
      <w:pPr>
        <w:pStyle w:val="TOC8"/>
        <w:rPr>
          <w:rFonts w:asciiTheme="minorHAnsi" w:eastAsiaTheme="minorEastAsia" w:hAnsiTheme="minorHAnsi" w:cstheme="minorBidi"/>
          <w:szCs w:val="22"/>
        </w:rPr>
      </w:pPr>
      <w:r>
        <w:lastRenderedPageBreak/>
        <w:t>75P.</w:t>
      </w:r>
      <w:r>
        <w:tab/>
        <w:t>Drawing lots under Sch. 4.1 cl. 13(3)</w:t>
      </w:r>
      <w:r>
        <w:tab/>
      </w:r>
      <w:r>
        <w:fldChar w:fldCharType="begin"/>
      </w:r>
      <w:r>
        <w:instrText xml:space="preserve"> PAGEREF _Toc200026224 \h </w:instrText>
      </w:r>
      <w:r>
        <w:fldChar w:fldCharType="separate"/>
      </w:r>
      <w:r>
        <w:t>76</w:t>
      </w:r>
      <w:r>
        <w:fldChar w:fldCharType="end"/>
      </w:r>
    </w:p>
    <w:p>
      <w:pPr>
        <w:pStyle w:val="TOC8"/>
        <w:rPr>
          <w:rFonts w:asciiTheme="minorHAnsi" w:eastAsiaTheme="minorEastAsia" w:hAnsiTheme="minorHAnsi" w:cstheme="minorBidi"/>
          <w:szCs w:val="22"/>
        </w:rPr>
      </w:pPr>
      <w:r>
        <w:t>75Q.</w:t>
      </w:r>
      <w:r>
        <w:tab/>
        <w:t>Drawing lots under Sch. 4.1 cl. 15(2)(b)</w:t>
      </w:r>
      <w:r>
        <w:tab/>
      </w:r>
      <w:r>
        <w:fldChar w:fldCharType="begin"/>
      </w:r>
      <w:r>
        <w:instrText xml:space="preserve"> PAGEREF _Toc200026225 \h </w:instrText>
      </w:r>
      <w:r>
        <w:fldChar w:fldCharType="separate"/>
      </w:r>
      <w:r>
        <w:t>76</w:t>
      </w:r>
      <w:r>
        <w:fldChar w:fldCharType="end"/>
      </w:r>
    </w:p>
    <w:p>
      <w:pPr>
        <w:pStyle w:val="TOC8"/>
        <w:rPr>
          <w:rFonts w:asciiTheme="minorHAnsi" w:eastAsiaTheme="minorEastAsia" w:hAnsiTheme="minorHAnsi" w:cstheme="minorBidi"/>
          <w:szCs w:val="22"/>
        </w:rPr>
      </w:pPr>
      <w:r>
        <w:t>75R.</w:t>
      </w:r>
      <w:r>
        <w:tab/>
        <w:t>Drawing lots under Sch. 4.1 cl. 16(3)</w:t>
      </w:r>
      <w:r>
        <w:tab/>
      </w:r>
      <w:r>
        <w:fldChar w:fldCharType="begin"/>
      </w:r>
      <w:r>
        <w:instrText xml:space="preserve"> PAGEREF _Toc200026226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5 — Provisions for Schedule 4.2</w:t>
      </w:r>
    </w:p>
    <w:p>
      <w:pPr>
        <w:pStyle w:val="TOC8"/>
        <w:rPr>
          <w:rFonts w:asciiTheme="minorHAnsi" w:eastAsiaTheme="minorEastAsia" w:hAnsiTheme="minorHAnsi" w:cstheme="minorBidi"/>
          <w:szCs w:val="22"/>
        </w:rPr>
      </w:pPr>
      <w:r>
        <w:t>75S.</w:t>
      </w:r>
      <w:r>
        <w:tab/>
        <w:t>Drawing lots under Sch. 4.2 cl. 6, 7, 7A(a)(ii) or (d)(ii) or 7B(b)</w:t>
      </w:r>
      <w:r>
        <w:tab/>
      </w:r>
      <w:r>
        <w:fldChar w:fldCharType="begin"/>
      </w:r>
      <w:r>
        <w:instrText xml:space="preserve"> PAGEREF _Toc200026228 \h </w:instrText>
      </w:r>
      <w:r>
        <w:fldChar w:fldCharType="separate"/>
      </w:r>
      <w:r>
        <w:t>77</w:t>
      </w:r>
      <w:r>
        <w:fldChar w:fldCharType="end"/>
      </w:r>
    </w:p>
    <w:p>
      <w:pPr>
        <w:pStyle w:val="TOC8"/>
        <w:rPr>
          <w:rFonts w:asciiTheme="minorHAnsi" w:eastAsiaTheme="minorEastAsia" w:hAnsiTheme="minorHAnsi" w:cstheme="minorBidi"/>
          <w:szCs w:val="22"/>
        </w:rPr>
      </w:pPr>
      <w:r>
        <w:t>75T.</w:t>
      </w:r>
      <w:r>
        <w:tab/>
        <w:t>Drawing lots under Sch. 4.2 cl. 8(b) or 9(a)</w:t>
      </w:r>
      <w:r>
        <w:tab/>
      </w:r>
      <w:r>
        <w:fldChar w:fldCharType="begin"/>
      </w:r>
      <w:r>
        <w:instrText xml:space="preserve"> PAGEREF _Toc200026229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Part 13 — Other matters relating to the holding of an election</w:t>
      </w:r>
    </w:p>
    <w:p>
      <w:pPr>
        <w:pStyle w:val="TOC8"/>
        <w:rPr>
          <w:rFonts w:asciiTheme="minorHAnsi" w:eastAsiaTheme="minorEastAsia" w:hAnsiTheme="minorHAnsi" w:cstheme="minorBidi"/>
          <w:szCs w:val="22"/>
        </w:rPr>
      </w:pPr>
      <w:r>
        <w:t>76</w:t>
      </w:r>
      <w:r>
        <w:rPr>
          <w:snapToGrid w:val="0"/>
        </w:rPr>
        <w:t>.</w:t>
      </w:r>
      <w:r>
        <w:rPr>
          <w:snapToGrid w:val="0"/>
        </w:rPr>
        <w:tab/>
        <w:t>Provision, design and preparation of ballot boxes — s. </w:t>
      </w:r>
      <w:r>
        <w:t>4</w:t>
      </w:r>
      <w:r>
        <w:rPr>
          <w:snapToGrid w:val="0"/>
        </w:rPr>
        <w:t>.71(1)(h)</w:t>
      </w:r>
      <w:r>
        <w:tab/>
      </w:r>
      <w:r>
        <w:fldChar w:fldCharType="begin"/>
      </w:r>
      <w:r>
        <w:instrText xml:space="preserve"> PAGEREF _Toc200026231 \h </w:instrText>
      </w:r>
      <w:r>
        <w:fldChar w:fldCharType="separate"/>
      </w:r>
      <w:r>
        <w:t>81</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Ballot boxes used on election day — s. 4.71(1)(h)</w:t>
      </w:r>
      <w:r>
        <w:tab/>
      </w:r>
      <w:r>
        <w:fldChar w:fldCharType="begin"/>
      </w:r>
      <w:r>
        <w:instrText xml:space="preserve"> PAGEREF _Toc200026232 \h </w:instrText>
      </w:r>
      <w:r>
        <w:fldChar w:fldCharType="separate"/>
      </w:r>
      <w:r>
        <w:t>81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Exempt electoral material — s. 4.87</w:t>
      </w:r>
      <w:r>
        <w:tab/>
      </w:r>
      <w:r>
        <w:fldChar w:fldCharType="begin"/>
      </w:r>
      <w:r>
        <w:instrText xml:space="preserve"> PAGEREF _Toc200026233 \h </w:instrText>
      </w:r>
      <w:r>
        <w:fldChar w:fldCharType="separate"/>
      </w:r>
      <w:r>
        <w:t>82</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Display of candidates’ profiles</w:t>
      </w:r>
      <w:r>
        <w:tab/>
      </w:r>
      <w:r>
        <w:fldChar w:fldCharType="begin"/>
      </w:r>
      <w:r>
        <w:instrText xml:space="preserve"> PAGEREF _Toc200026234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14 — Declaring the election result and subsequent matters</w:t>
      </w:r>
    </w:p>
    <w:p>
      <w:pPr>
        <w:pStyle w:val="TOC8"/>
        <w:rPr>
          <w:rFonts w:asciiTheme="minorHAnsi" w:eastAsiaTheme="minorEastAsia" w:hAnsiTheme="minorHAnsi" w:cstheme="minorBidi"/>
          <w:szCs w:val="22"/>
        </w:rPr>
      </w:pPr>
      <w:r>
        <w:t>80.</w:t>
      </w:r>
      <w:r>
        <w:tab/>
        <w:t>Declaration and notice of result — s. 4.77</w:t>
      </w:r>
      <w:r>
        <w:tab/>
      </w:r>
      <w:r>
        <w:fldChar w:fldCharType="begin"/>
      </w:r>
      <w:r>
        <w:instrText xml:space="preserve"> PAGEREF _Toc200026236 \h </w:instrText>
      </w:r>
      <w:r>
        <w:fldChar w:fldCharType="separate"/>
      </w:r>
      <w:r>
        <w:t>83</w:t>
      </w:r>
      <w:r>
        <w:fldChar w:fldCharType="end"/>
      </w:r>
    </w:p>
    <w:p>
      <w:pPr>
        <w:pStyle w:val="TOC8"/>
        <w:rPr>
          <w:rFonts w:asciiTheme="minorHAnsi" w:eastAsiaTheme="minorEastAsia" w:hAnsiTheme="minorHAnsi" w:cstheme="minorBidi"/>
          <w:szCs w:val="22"/>
        </w:rPr>
      </w:pPr>
      <w:r>
        <w:t>80AA.</w:t>
      </w:r>
      <w:r>
        <w:tab/>
        <w:t>Declaration and notice required under Sch. 4.1A cl. 19</w:t>
      </w:r>
      <w:r>
        <w:tab/>
      </w:r>
      <w:r>
        <w:fldChar w:fldCharType="begin"/>
      </w:r>
      <w:r>
        <w:instrText xml:space="preserve"> PAGEREF _Toc200026237 \h </w:instrText>
      </w:r>
      <w:r>
        <w:fldChar w:fldCharType="separate"/>
      </w:r>
      <w:r>
        <w:t>85</w:t>
      </w:r>
      <w:r>
        <w:fldChar w:fldCharType="end"/>
      </w:r>
    </w:p>
    <w:p>
      <w:pPr>
        <w:pStyle w:val="TOC8"/>
        <w:rPr>
          <w:rFonts w:asciiTheme="minorHAnsi" w:eastAsiaTheme="minorEastAsia" w:hAnsiTheme="minorHAnsi" w:cstheme="minorBidi"/>
          <w:szCs w:val="22"/>
        </w:rPr>
      </w:pPr>
      <w:r>
        <w:t>80AB.</w:t>
      </w:r>
      <w:r>
        <w:tab/>
        <w:t>Declaration and notice required under Sch. 4.1B cl. 1(5)</w:t>
      </w:r>
      <w:r>
        <w:tab/>
      </w:r>
      <w:r>
        <w:fldChar w:fldCharType="begin"/>
      </w:r>
      <w:r>
        <w:instrText xml:space="preserve"> PAGEREF _Toc200026238 \h </w:instrText>
      </w:r>
      <w:r>
        <w:fldChar w:fldCharType="separate"/>
      </w:r>
      <w:r>
        <w:t>86</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Report to Minister — s. 4.79</w:t>
      </w:r>
      <w:r>
        <w:tab/>
      </w:r>
      <w:r>
        <w:fldChar w:fldCharType="begin"/>
      </w:r>
      <w:r>
        <w:instrText xml:space="preserve"> PAGEREF _Toc200026239 \h </w:instrText>
      </w:r>
      <w:r>
        <w:fldChar w:fldCharType="separate"/>
      </w:r>
      <w:r>
        <w:t>87</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Keeping election papers — s. 4.84(a)</w:t>
      </w:r>
      <w:r>
        <w:tab/>
      </w:r>
      <w:r>
        <w:fldChar w:fldCharType="begin"/>
      </w:r>
      <w:r>
        <w:instrText xml:space="preserve"> PAGEREF _Toc200026240 \h </w:instrText>
      </w:r>
      <w:r>
        <w:fldChar w:fldCharType="separate"/>
      </w:r>
      <w:r>
        <w:t>87</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Inspection of election papers — s. 4.84(b)</w:t>
      </w:r>
      <w:r>
        <w:tab/>
      </w:r>
      <w:r>
        <w:fldChar w:fldCharType="begin"/>
      </w:r>
      <w:r>
        <w:instrText xml:space="preserve"> PAGEREF _Toc200026241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15 — Disputed returns</w:t>
      </w:r>
    </w:p>
    <w:p>
      <w:pPr>
        <w:pStyle w:val="TOC8"/>
        <w:rPr>
          <w:rFonts w:asciiTheme="minorHAnsi" w:eastAsiaTheme="minorEastAsia" w:hAnsiTheme="minorHAnsi" w:cstheme="minorBidi"/>
          <w:szCs w:val="22"/>
        </w:rPr>
      </w:pPr>
      <w:r>
        <w:t>84</w:t>
      </w:r>
      <w:r>
        <w:rPr>
          <w:snapToGrid w:val="0"/>
        </w:rPr>
        <w:t>.</w:t>
      </w:r>
      <w:r>
        <w:rPr>
          <w:snapToGrid w:val="0"/>
        </w:rPr>
        <w:tab/>
        <w:t>How invalidity complaints made — s. 4.81(2)</w:t>
      </w:r>
      <w:r>
        <w:tab/>
      </w:r>
      <w:r>
        <w:fldChar w:fldCharType="begin"/>
      </w:r>
      <w:r>
        <w:instrText xml:space="preserve"> PAGEREF _Toc200026243 \h </w:instrText>
      </w:r>
      <w:r>
        <w:fldChar w:fldCharType="separate"/>
      </w:r>
      <w:r>
        <w:t>89</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Declarations that Court can make — s. 4.81(2)</w:t>
      </w:r>
      <w:r>
        <w:tab/>
      </w:r>
      <w:r>
        <w:fldChar w:fldCharType="begin"/>
      </w:r>
      <w:r>
        <w:instrText xml:space="preserve"> PAGEREF _Toc200026244 \h </w:instrText>
      </w:r>
      <w:r>
        <w:fldChar w:fldCharType="separate"/>
      </w:r>
      <w:r>
        <w:t>89</w:t>
      </w:r>
      <w:r>
        <w:fldChar w:fldCharType="end"/>
      </w:r>
    </w:p>
    <w:p>
      <w:pPr>
        <w:pStyle w:val="TOC8"/>
        <w:rPr>
          <w:rFonts w:asciiTheme="minorHAnsi" w:eastAsiaTheme="minorEastAsia" w:hAnsiTheme="minorHAnsi" w:cstheme="minorBidi"/>
          <w:szCs w:val="22"/>
        </w:rPr>
      </w:pPr>
      <w:r>
        <w:t>86.</w:t>
      </w:r>
      <w:r>
        <w:tab/>
        <w:t>Notice and report of effect of Court’s decision — s. 4.81(2) and (4)</w:t>
      </w:r>
      <w:r>
        <w:tab/>
      </w:r>
      <w:r>
        <w:fldChar w:fldCharType="begin"/>
      </w:r>
      <w:r>
        <w:instrText xml:space="preserve"> PAGEREF _Toc200026245 \h </w:instrText>
      </w:r>
      <w:r>
        <w:fldChar w:fldCharType="separate"/>
      </w:r>
      <w:r>
        <w:t>90</w:t>
      </w:r>
      <w:r>
        <w:fldChar w:fldCharType="end"/>
      </w:r>
    </w:p>
    <w:p>
      <w:pPr>
        <w:pStyle w:val="TOC8"/>
        <w:rPr>
          <w:rFonts w:asciiTheme="minorHAnsi" w:eastAsiaTheme="minorEastAsia" w:hAnsiTheme="minorHAnsi" w:cstheme="minorBidi"/>
          <w:szCs w:val="22"/>
        </w:rPr>
      </w:pPr>
      <w:r>
        <w:t>86A.</w:t>
      </w:r>
      <w:r>
        <w:tab/>
        <w:t>Publication of Court’s declaration under s. 4.81(5)(a) — s. 4.81(5)(b)(ii)</w:t>
      </w:r>
      <w:r>
        <w:tab/>
      </w:r>
      <w:r>
        <w:fldChar w:fldCharType="begin"/>
      </w:r>
      <w:r>
        <w:instrText xml:space="preserve"> PAGEREF _Toc200026246 \h </w:instrText>
      </w:r>
      <w:r>
        <w:fldChar w:fldCharType="separate"/>
      </w:r>
      <w:r>
        <w:t>90</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Orders as to costs — s. 4.81(2)</w:t>
      </w:r>
      <w:r>
        <w:tab/>
      </w:r>
      <w:r>
        <w:fldChar w:fldCharType="begin"/>
      </w:r>
      <w:r>
        <w:instrText xml:space="preserve"> PAGEREF _Toc200026247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15A — Provisions for Schedule 4.1A of Act</w:t>
      </w:r>
    </w:p>
    <w:p>
      <w:pPr>
        <w:pStyle w:val="TOC4"/>
        <w:tabs>
          <w:tab w:val="right" w:leader="dot" w:pos="7077"/>
        </w:tabs>
        <w:rPr>
          <w:rFonts w:asciiTheme="minorHAnsi" w:eastAsiaTheme="minorEastAsia" w:hAnsiTheme="minorHAnsi" w:cstheme="minorBidi"/>
          <w:b w:val="0"/>
          <w:szCs w:val="22"/>
        </w:rPr>
      </w:pPr>
      <w:r>
        <w:t>Division 1 — Provisions for Schedule 4.1A clause 2(4) of Act</w:t>
      </w:r>
    </w:p>
    <w:p>
      <w:pPr>
        <w:pStyle w:val="TOC8"/>
        <w:rPr>
          <w:rFonts w:asciiTheme="minorHAnsi" w:eastAsiaTheme="minorEastAsia" w:hAnsiTheme="minorHAnsi" w:cstheme="minorBidi"/>
          <w:szCs w:val="22"/>
        </w:rPr>
      </w:pPr>
      <w:r>
        <w:t>87A.</w:t>
      </w:r>
      <w:r>
        <w:tab/>
        <w:t>Declaration and notice of election</w:t>
      </w:r>
      <w:r>
        <w:tab/>
      </w:r>
      <w:r>
        <w:fldChar w:fldCharType="begin"/>
      </w:r>
      <w:r>
        <w:instrText xml:space="preserve"> PAGEREF _Toc200026250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2 — Provisions for Schedule 4.1A clause 18 of Act</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87B.</w:t>
      </w:r>
      <w:r>
        <w:tab/>
        <w:t>Terms used</w:t>
      </w:r>
      <w:r>
        <w:tab/>
      </w:r>
      <w:r>
        <w:fldChar w:fldCharType="begin"/>
      </w:r>
      <w:r>
        <w:instrText xml:space="preserve"> PAGEREF _Toc200026253 \h </w:instrText>
      </w:r>
      <w:r>
        <w:fldChar w:fldCharType="separate"/>
      </w:r>
      <w:r>
        <w:t>92</w:t>
      </w:r>
      <w:r>
        <w:fldChar w:fldCharType="end"/>
      </w:r>
    </w:p>
    <w:p>
      <w:pPr>
        <w:pStyle w:val="TOC6"/>
        <w:tabs>
          <w:tab w:val="right" w:leader="dot" w:pos="7077"/>
        </w:tabs>
        <w:rPr>
          <w:rFonts w:asciiTheme="minorHAnsi" w:eastAsiaTheme="minorEastAsia" w:hAnsiTheme="minorHAnsi" w:cstheme="minorBidi"/>
          <w:b w:val="0"/>
          <w:sz w:val="22"/>
          <w:szCs w:val="22"/>
        </w:rPr>
      </w:pPr>
      <w:r>
        <w:t>Subdivision 2 — Notifications</w:t>
      </w:r>
    </w:p>
    <w:p>
      <w:pPr>
        <w:pStyle w:val="TOC8"/>
        <w:rPr>
          <w:rFonts w:asciiTheme="minorHAnsi" w:eastAsiaTheme="minorEastAsia" w:hAnsiTheme="minorHAnsi" w:cstheme="minorBidi"/>
          <w:szCs w:val="22"/>
        </w:rPr>
      </w:pPr>
      <w:r>
        <w:t>87C.</w:t>
      </w:r>
      <w:r>
        <w:tab/>
        <w:t>Notification from CEO to candidate</w:t>
      </w:r>
      <w:r>
        <w:tab/>
      </w:r>
      <w:r>
        <w:fldChar w:fldCharType="begin"/>
      </w:r>
      <w:r>
        <w:instrText xml:space="preserve"> PAGEREF _Toc200026255 \h </w:instrText>
      </w:r>
      <w:r>
        <w:fldChar w:fldCharType="separate"/>
      </w:r>
      <w:r>
        <w:t>93</w:t>
      </w:r>
      <w:r>
        <w:fldChar w:fldCharType="end"/>
      </w:r>
    </w:p>
    <w:p>
      <w:pPr>
        <w:pStyle w:val="TOC8"/>
        <w:rPr>
          <w:rFonts w:asciiTheme="minorHAnsi" w:eastAsiaTheme="minorEastAsia" w:hAnsiTheme="minorHAnsi" w:cstheme="minorBidi"/>
          <w:szCs w:val="22"/>
        </w:rPr>
      </w:pPr>
      <w:r>
        <w:t>87D.</w:t>
      </w:r>
      <w:r>
        <w:tab/>
        <w:t>Notification from candidate to CEO</w:t>
      </w:r>
      <w:r>
        <w:tab/>
      </w:r>
      <w:r>
        <w:fldChar w:fldCharType="begin"/>
      </w:r>
      <w:r>
        <w:instrText xml:space="preserve"> PAGEREF _Toc200026256 \h </w:instrText>
      </w:r>
      <w:r>
        <w:fldChar w:fldCharType="separate"/>
      </w:r>
      <w:r>
        <w:t>95</w:t>
      </w:r>
      <w:r>
        <w:fldChar w:fldCharType="end"/>
      </w:r>
    </w:p>
    <w:p>
      <w:pPr>
        <w:pStyle w:val="TOC8"/>
        <w:rPr>
          <w:rFonts w:asciiTheme="minorHAnsi" w:eastAsiaTheme="minorEastAsia" w:hAnsiTheme="minorHAnsi" w:cstheme="minorBidi"/>
          <w:szCs w:val="22"/>
        </w:rPr>
      </w:pPr>
      <w:r>
        <w:t>87E.</w:t>
      </w:r>
      <w:r>
        <w:tab/>
        <w:t>Copies of notifications to be provided to Minister</w:t>
      </w:r>
      <w:r>
        <w:tab/>
      </w:r>
      <w:r>
        <w:fldChar w:fldCharType="begin"/>
      </w:r>
      <w:r>
        <w:instrText xml:space="preserve"> PAGEREF _Toc200026257 \h </w:instrText>
      </w:r>
      <w:r>
        <w:fldChar w:fldCharType="separate"/>
      </w:r>
      <w:r>
        <w:t>96</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Extension of time periods</w:t>
      </w:r>
    </w:p>
    <w:p>
      <w:pPr>
        <w:pStyle w:val="TOC8"/>
        <w:rPr>
          <w:rFonts w:asciiTheme="minorHAnsi" w:eastAsiaTheme="minorEastAsia" w:hAnsiTheme="minorHAnsi" w:cstheme="minorBidi"/>
          <w:szCs w:val="22"/>
        </w:rPr>
      </w:pPr>
      <w:r>
        <w:t>87F.</w:t>
      </w:r>
      <w:r>
        <w:tab/>
        <w:t>Extension to take account of delay in CEO becoming aware of vacancy</w:t>
      </w:r>
      <w:r>
        <w:tab/>
      </w:r>
      <w:r>
        <w:fldChar w:fldCharType="begin"/>
      </w:r>
      <w:r>
        <w:instrText xml:space="preserve"> PAGEREF _Toc200026259 \h </w:instrText>
      </w:r>
      <w:r>
        <w:fldChar w:fldCharType="separate"/>
      </w:r>
      <w:r>
        <w:t>97</w:t>
      </w:r>
      <w:r>
        <w:fldChar w:fldCharType="end"/>
      </w:r>
    </w:p>
    <w:p>
      <w:pPr>
        <w:pStyle w:val="TOC8"/>
        <w:rPr>
          <w:rFonts w:asciiTheme="minorHAnsi" w:eastAsiaTheme="minorEastAsia" w:hAnsiTheme="minorHAnsi" w:cstheme="minorBidi"/>
          <w:szCs w:val="22"/>
        </w:rPr>
      </w:pPr>
      <w:r>
        <w:t>87G.</w:t>
      </w:r>
      <w:r>
        <w:tab/>
        <w:t>Extension to take account of method of notification used by CEO</w:t>
      </w:r>
      <w:r>
        <w:tab/>
      </w:r>
      <w:r>
        <w:fldChar w:fldCharType="begin"/>
      </w:r>
      <w:r>
        <w:instrText xml:space="preserve"> PAGEREF _Toc200026260 \h </w:instrText>
      </w:r>
      <w:r>
        <w:fldChar w:fldCharType="separate"/>
      </w:r>
      <w:r>
        <w:t>97</w:t>
      </w:r>
      <w:r>
        <w:fldChar w:fldCharType="end"/>
      </w:r>
    </w:p>
    <w:p>
      <w:pPr>
        <w:pStyle w:val="TOC8"/>
        <w:rPr>
          <w:rFonts w:asciiTheme="minorHAnsi" w:eastAsiaTheme="minorEastAsia" w:hAnsiTheme="minorHAnsi" w:cstheme="minorBidi"/>
          <w:szCs w:val="22"/>
        </w:rPr>
      </w:pPr>
      <w:r>
        <w:t>87H.</w:t>
      </w:r>
      <w:r>
        <w:tab/>
        <w:t>Extension to take account of method of notification used by candidate</w:t>
      </w:r>
      <w:r>
        <w:tab/>
      </w:r>
      <w:r>
        <w:fldChar w:fldCharType="begin"/>
      </w:r>
      <w:r>
        <w:instrText xml:space="preserve"> PAGEREF _Toc200026261 \h </w:instrText>
      </w:r>
      <w:r>
        <w:fldChar w:fldCharType="separate"/>
      </w:r>
      <w:r>
        <w:t>98</w:t>
      </w:r>
      <w:r>
        <w:fldChar w:fldCharType="end"/>
      </w:r>
    </w:p>
    <w:p>
      <w:pPr>
        <w:pStyle w:val="TOC8"/>
        <w:rPr>
          <w:rFonts w:asciiTheme="minorHAnsi" w:eastAsiaTheme="minorEastAsia" w:hAnsiTheme="minorHAnsi" w:cstheme="minorBidi"/>
          <w:szCs w:val="22"/>
        </w:rPr>
      </w:pPr>
      <w:r>
        <w:t>87I.</w:t>
      </w:r>
      <w:r>
        <w:tab/>
        <w:t>Consequential extensions</w:t>
      </w:r>
      <w:r>
        <w:tab/>
      </w:r>
      <w:r>
        <w:fldChar w:fldCharType="begin"/>
      </w:r>
      <w:r>
        <w:instrText xml:space="preserve"> PAGEREF _Toc200026262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16 — Polls and referendums</w:t>
      </w:r>
    </w:p>
    <w:p>
      <w:pPr>
        <w:pStyle w:val="TOC8"/>
        <w:rPr>
          <w:rFonts w:asciiTheme="minorHAnsi" w:eastAsiaTheme="minorEastAsia" w:hAnsiTheme="minorHAnsi" w:cstheme="minorBidi"/>
          <w:szCs w:val="22"/>
        </w:rPr>
      </w:pPr>
      <w:r>
        <w:t>88</w:t>
      </w:r>
      <w:r>
        <w:rPr>
          <w:snapToGrid w:val="0"/>
        </w:rPr>
        <w:t>.</w:t>
      </w:r>
      <w:r>
        <w:rPr>
          <w:snapToGrid w:val="0"/>
        </w:rPr>
        <w:tab/>
        <w:t>Election procedures apply to polls and referendums not required under Act — s. </w:t>
      </w:r>
      <w:r>
        <w:t>4</w:t>
      </w:r>
      <w:r>
        <w:rPr>
          <w:snapToGrid w:val="0"/>
        </w:rPr>
        <w:t>.99(3) and (4)</w:t>
      </w:r>
      <w:r>
        <w:tab/>
      </w:r>
      <w:r>
        <w:fldChar w:fldCharType="begin"/>
      </w:r>
      <w:r>
        <w:instrText xml:space="preserve"> PAGEREF _Toc200026264 \h </w:instrText>
      </w:r>
      <w:r>
        <w:fldChar w:fldCharType="separate"/>
      </w:r>
      <w:r>
        <w:t>100</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Election procedures need not be applied in certain cases — s. </w:t>
      </w:r>
      <w:r>
        <w:t>4</w:t>
      </w:r>
      <w:r>
        <w:rPr>
          <w:snapToGrid w:val="0"/>
        </w:rPr>
        <w:t>.99(2) to (4)</w:t>
      </w:r>
      <w:r>
        <w:tab/>
      </w:r>
      <w:r>
        <w:fldChar w:fldCharType="begin"/>
      </w:r>
      <w:r>
        <w:instrText xml:space="preserve"> PAGEREF _Toc200026265 \h </w:instrText>
      </w:r>
      <w:r>
        <w:fldChar w:fldCharType="separate"/>
      </w:r>
      <w:r>
        <w:t>100</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Electoral Commissioner may assist</w:t>
      </w:r>
      <w:r>
        <w:tab/>
      </w:r>
      <w:r>
        <w:fldChar w:fldCharType="begin"/>
      </w:r>
      <w:r>
        <w:instrText xml:space="preserve"> PAGEREF _Toc200026266 \h </w:instrText>
      </w:r>
      <w:r>
        <w:fldChar w:fldCharType="separate"/>
      </w:r>
      <w:r>
        <w:t>101</w:t>
      </w:r>
      <w:r>
        <w:fldChar w:fldCharType="end"/>
      </w:r>
    </w:p>
    <w:p>
      <w:pPr>
        <w:pStyle w:val="TOC8"/>
        <w:rPr>
          <w:rFonts w:asciiTheme="minorHAnsi" w:eastAsiaTheme="minorEastAsia" w:hAnsiTheme="minorHAnsi" w:cstheme="minorBidi"/>
          <w:szCs w:val="22"/>
        </w:rPr>
      </w:pPr>
      <w:r>
        <w:t>91.</w:t>
      </w:r>
      <w:r>
        <w:tab/>
        <w:t>Expenses of Electoral Commissioner — s. 2.12A(2)(c)</w:t>
      </w:r>
      <w:r>
        <w:tab/>
      </w:r>
      <w:r>
        <w:fldChar w:fldCharType="begin"/>
      </w:r>
      <w:r>
        <w:instrText xml:space="preserve"> PAGEREF _Toc200026267 \h </w:instrText>
      </w:r>
      <w:r>
        <w:fldChar w:fldCharType="separate"/>
      </w:r>
      <w:r>
        <w:t>101</w:t>
      </w:r>
      <w:r>
        <w:fldChar w:fldCharType="end"/>
      </w:r>
    </w:p>
    <w:p>
      <w:pPr>
        <w:pStyle w:val="TOC8"/>
        <w:rPr>
          <w:rFonts w:asciiTheme="minorHAnsi" w:eastAsiaTheme="minorEastAsia" w:hAnsiTheme="minorHAnsi" w:cstheme="minorBidi"/>
          <w:szCs w:val="22"/>
        </w:rPr>
      </w:pPr>
      <w:r>
        <w:t>92.</w:t>
      </w:r>
      <w:r>
        <w:tab/>
        <w:t>Declaration and notice of results of poll under s. 2.12A</w:t>
      </w:r>
      <w:r>
        <w:tab/>
      </w:r>
      <w:r>
        <w:fldChar w:fldCharType="begin"/>
      </w:r>
      <w:r>
        <w:instrText xml:space="preserve"> PAGEREF _Toc200026268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16A — Transitional provisions for </w:t>
      </w:r>
      <w:r>
        <w:rPr>
          <w:i/>
        </w:rPr>
        <w:t>Local Government Amendment Act 2023</w:t>
      </w:r>
      <w:r>
        <w:t xml:space="preserve"> and </w:t>
      </w:r>
      <w:r>
        <w:rPr>
          <w:i/>
        </w:rPr>
        <w:t xml:space="preserve">Local Government Regulations </w:t>
      </w:r>
      <w:r>
        <w:rPr>
          <w:i/>
        </w:rPr>
        <w:lastRenderedPageBreak/>
        <w:t>Amendment Regulations (No. 2) 2023</w:t>
      </w:r>
    </w:p>
    <w:p>
      <w:pPr>
        <w:pStyle w:val="TOC8"/>
        <w:rPr>
          <w:rFonts w:asciiTheme="minorHAnsi" w:eastAsiaTheme="minorEastAsia" w:hAnsiTheme="minorHAnsi" w:cstheme="minorBidi"/>
          <w:szCs w:val="22"/>
        </w:rPr>
      </w:pPr>
      <w:r>
        <w:t>92A.</w:t>
      </w:r>
      <w:r>
        <w:tab/>
        <w:t>Terms used</w:t>
      </w:r>
      <w:r>
        <w:tab/>
      </w:r>
      <w:r>
        <w:fldChar w:fldCharType="begin"/>
      </w:r>
      <w:r>
        <w:instrText xml:space="preserve"> PAGEREF _Toc200026270 \h </w:instrText>
      </w:r>
      <w:r>
        <w:fldChar w:fldCharType="separate"/>
      </w:r>
      <w:r>
        <w:t>102</w:t>
      </w:r>
      <w:r>
        <w:fldChar w:fldCharType="end"/>
      </w:r>
    </w:p>
    <w:p>
      <w:pPr>
        <w:pStyle w:val="TOC8"/>
        <w:rPr>
          <w:rFonts w:asciiTheme="minorHAnsi" w:eastAsiaTheme="minorEastAsia" w:hAnsiTheme="minorHAnsi" w:cstheme="minorBidi"/>
          <w:szCs w:val="22"/>
        </w:rPr>
      </w:pPr>
      <w:r>
        <w:t>92B.</w:t>
      </w:r>
      <w:r>
        <w:tab/>
        <w:t>Pre</w:t>
      </w:r>
      <w:r>
        <w:noBreakHyphen/>
        <w:t>21 October 2023 elections</w:t>
      </w:r>
      <w:r>
        <w:tab/>
      </w:r>
      <w:r>
        <w:fldChar w:fldCharType="begin"/>
      </w:r>
      <w:r>
        <w:instrText xml:space="preserve"> PAGEREF _Toc200026271 \h </w:instrText>
      </w:r>
      <w:r>
        <w:fldChar w:fldCharType="separate"/>
      </w:r>
      <w:r>
        <w:t>102</w:t>
      </w:r>
      <w:r>
        <w:fldChar w:fldCharType="end"/>
      </w:r>
    </w:p>
    <w:p>
      <w:pPr>
        <w:pStyle w:val="TOC8"/>
        <w:rPr>
          <w:rFonts w:asciiTheme="minorHAnsi" w:eastAsiaTheme="minorEastAsia" w:hAnsiTheme="minorHAnsi" w:cstheme="minorBidi"/>
          <w:szCs w:val="22"/>
        </w:rPr>
      </w:pPr>
      <w:r>
        <w:t>92C.</w:t>
      </w:r>
      <w:r>
        <w:tab/>
        <w:t>Pre</w:t>
      </w:r>
      <w:r>
        <w:noBreakHyphen/>
        <w:t>21 October 2023 Schedule 2.3 elections</w:t>
      </w:r>
      <w:r>
        <w:tab/>
      </w:r>
      <w:r>
        <w:fldChar w:fldCharType="begin"/>
      </w:r>
      <w:r>
        <w:instrText xml:space="preserve"> PAGEREF _Toc200026272 \h </w:instrText>
      </w:r>
      <w:r>
        <w:fldChar w:fldCharType="separate"/>
      </w:r>
      <w:r>
        <w:t>103</w:t>
      </w:r>
      <w:r>
        <w:fldChar w:fldCharType="end"/>
      </w:r>
    </w:p>
    <w:p>
      <w:pPr>
        <w:pStyle w:val="TOC8"/>
        <w:rPr>
          <w:rFonts w:asciiTheme="minorHAnsi" w:eastAsiaTheme="minorEastAsia" w:hAnsiTheme="minorHAnsi" w:cstheme="minorBidi"/>
          <w:szCs w:val="22"/>
        </w:rPr>
      </w:pPr>
      <w:r>
        <w:t>92D.</w:t>
      </w:r>
      <w:r>
        <w:tab/>
        <w:t>Pre</w:t>
      </w:r>
      <w:r>
        <w:noBreakHyphen/>
        <w:t>existing councillor vacancies</w:t>
      </w:r>
      <w:r>
        <w:tab/>
      </w:r>
      <w:r>
        <w:fldChar w:fldCharType="begin"/>
      </w:r>
      <w:r>
        <w:instrText xml:space="preserve"> PAGEREF _Toc200026273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_Toc200026276 \h </w:instrText>
      </w:r>
      <w:r>
        <w:fldChar w:fldCharType="separate"/>
      </w:r>
      <w:r>
        <w:t>158</w:t>
      </w:r>
      <w:r>
        <w:fldChar w:fldCharType="end"/>
      </w:r>
    </w:p>
    <w:p>
      <w:pPr>
        <w:pStyle w:val="TOC8"/>
        <w:rPr>
          <w:rFonts w:asciiTheme="minorHAnsi" w:eastAsiaTheme="minorEastAsia" w:hAnsiTheme="minorHAnsi" w:cstheme="minorBidi"/>
          <w:szCs w:val="22"/>
        </w:rPr>
      </w:pPr>
      <w:r>
        <w:t>Other notes</w:t>
      </w:r>
      <w:r>
        <w:tab/>
      </w:r>
      <w:r>
        <w:fldChar w:fldCharType="begin"/>
      </w:r>
      <w:r>
        <w:instrText xml:space="preserve"> PAGEREF _Toc200026277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Local Government Act 1995</w:t>
      </w:r>
    </w:p>
    <w:p>
      <w:pPr>
        <w:pStyle w:val="NameofActReg"/>
        <w:spacing w:before="600" w:after="720"/>
      </w:pPr>
      <w:r>
        <w:t>Local Government (Elections) Regulations 1997</w:t>
      </w:r>
    </w:p>
    <w:p>
      <w:pPr>
        <w:pStyle w:val="Heading2"/>
        <w:pageBreakBefore w:val="0"/>
        <w:spacing w:before="240"/>
      </w:pPr>
      <w:bookmarkStart w:id="2" w:name="_Toc200026093"/>
      <w:r>
        <w:rPr>
          <w:rStyle w:val="CharPartNo"/>
        </w:rPr>
        <w:t>Part 1</w:t>
      </w:r>
      <w:r>
        <w:rPr>
          <w:rStyle w:val="CharDivNo"/>
        </w:rPr>
        <w:t> </w:t>
      </w:r>
      <w:r>
        <w:t>—</w:t>
      </w:r>
      <w:r>
        <w:rPr>
          <w:rStyle w:val="CharDivText"/>
        </w:rPr>
        <w:t> </w:t>
      </w:r>
      <w:r>
        <w:rPr>
          <w:rStyle w:val="CharPartText"/>
        </w:rPr>
        <w:t>Preliminary</w:t>
      </w:r>
      <w:bookmarkEnd w:id="2"/>
    </w:p>
    <w:p>
      <w:pPr>
        <w:pStyle w:val="Heading5"/>
        <w:spacing w:before="240"/>
        <w:rPr>
          <w:snapToGrid w:val="0"/>
        </w:rPr>
      </w:pPr>
      <w:bookmarkStart w:id="3" w:name="_Toc200026094"/>
      <w:r>
        <w:rPr>
          <w:rStyle w:val="CharSectno"/>
        </w:rPr>
        <w:t>1</w:t>
      </w:r>
      <w:r>
        <w:rPr>
          <w:snapToGrid w:val="0"/>
        </w:rPr>
        <w:t>.</w:t>
      </w:r>
      <w:r>
        <w:rPr>
          <w:snapToGrid w:val="0"/>
        </w:rPr>
        <w:tab/>
        <w:t>Citation</w:t>
      </w:r>
      <w:bookmarkEnd w:id="3"/>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rPr>
        <w:t>.</w:t>
      </w:r>
    </w:p>
    <w:p>
      <w:pPr>
        <w:pStyle w:val="Heading5"/>
        <w:rPr>
          <w:snapToGrid w:val="0"/>
        </w:rPr>
      </w:pPr>
      <w:bookmarkStart w:id="4" w:name="_Toc200026095"/>
      <w:r>
        <w:rPr>
          <w:rStyle w:val="CharSectno"/>
        </w:rPr>
        <w:t>2</w:t>
      </w:r>
      <w:r>
        <w:rPr>
          <w:snapToGrid w:val="0"/>
        </w:rPr>
        <w:t>.</w:t>
      </w:r>
      <w:r>
        <w:rPr>
          <w:snapToGrid w:val="0"/>
        </w:rPr>
        <w:tab/>
        <w:t>Application</w:t>
      </w:r>
      <w:bookmarkEnd w:id="4"/>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5" w:name="_Toc200026096"/>
      <w:r>
        <w:rPr>
          <w:rStyle w:val="CharSectno"/>
        </w:rPr>
        <w:t>3</w:t>
      </w:r>
      <w:r>
        <w:rPr>
          <w:snapToGrid w:val="0"/>
        </w:rPr>
        <w:t>.</w:t>
      </w:r>
      <w:r>
        <w:rPr>
          <w:snapToGrid w:val="0"/>
        </w:rPr>
        <w:tab/>
        <w:t>Terms used</w:t>
      </w:r>
      <w:bookmarkEnd w:id="5"/>
    </w:p>
    <w:p>
      <w:pPr>
        <w:pStyle w:val="Subsection"/>
        <w:rPr>
          <w:snapToGrid w:val="0"/>
        </w:rPr>
      </w:pPr>
      <w:r>
        <w:rPr>
          <w:snapToGrid w:val="0"/>
        </w:rPr>
        <w:tab/>
      </w:r>
      <w:r>
        <w:rPr>
          <w:snapToGrid w:val="0"/>
        </w:rPr>
        <w:tab/>
        <w:t>In these regulations —</w:t>
      </w:r>
    </w:p>
    <w:p>
      <w:pPr>
        <w:pStyle w:val="Defstart"/>
      </w:pPr>
      <w:r>
        <w:rPr>
          <w:b/>
        </w:rPr>
        <w:tab/>
      </w:r>
      <w:r>
        <w:rPr>
          <w:rStyle w:val="CharDefText"/>
        </w:rPr>
        <w:t>contact number</w:t>
      </w:r>
      <w:r>
        <w:t xml:space="preserve"> includes a phone number, fax number or electronic mail address;</w:t>
      </w:r>
    </w:p>
    <w:p>
      <w:pPr>
        <w:pStyle w:val="Defstart"/>
        <w:keepNex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keepNex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Defpara"/>
      </w:pPr>
      <w:r>
        <w:lastRenderedPageBreak/>
        <w:tab/>
        <w:t>(ba)</w:t>
      </w:r>
      <w:r>
        <w:tab/>
        <w:t>a paper record that shows the number of first</w:t>
      </w:r>
      <w:r>
        <w:noBreakHyphen/>
        <w:t>preference votes that each candidate in the election had; and</w:t>
      </w:r>
    </w:p>
    <w:p>
      <w:pPr>
        <w:pStyle w:val="Defpara"/>
      </w:pPr>
      <w:r>
        <w:tab/>
        <w:t>(bb)</w:t>
      </w:r>
      <w:r>
        <w:tab/>
        <w:t xml:space="preserve">if the result of the election is ascertained under Schedule 4.1 clause 5 of the Act — a paper record that shows — </w:t>
      </w:r>
    </w:p>
    <w:p>
      <w:pPr>
        <w:pStyle w:val="Defsubpara"/>
      </w:pPr>
      <w:r>
        <w:tab/>
        <w:t>(i)</w:t>
      </w:r>
      <w:r>
        <w:tab/>
        <w:t>each candidate who was excluded under Schedule 4.1 clause 5(2)(a) of the Act; and</w:t>
      </w:r>
    </w:p>
    <w:p>
      <w:pPr>
        <w:pStyle w:val="Defsubpara"/>
      </w:pPr>
      <w:r>
        <w:tab/>
        <w:t>(ii)</w:t>
      </w:r>
      <w:r>
        <w:tab/>
        <w:t>details of the setting aside or transfer of ballot papers under Schedule 4.1 clause 5(2)(b) or (c) of the Act; and</w:t>
      </w:r>
    </w:p>
    <w:p>
      <w:pPr>
        <w:pStyle w:val="Defsubpara"/>
      </w:pPr>
      <w:r>
        <w:tab/>
        <w:t>(iii)</w:t>
      </w:r>
      <w:r>
        <w:tab/>
        <w:t>the number of votes that each candidate who was not excluded had on the last count under Schedule 4.1 clause 5(2)(d) of the Act;</w:t>
      </w:r>
    </w:p>
    <w:p>
      <w:pPr>
        <w:pStyle w:val="Defpara"/>
      </w:pPr>
      <w:r>
        <w:tab/>
      </w:r>
      <w:r>
        <w:tab/>
        <w:t>and</w:t>
      </w:r>
    </w:p>
    <w:p>
      <w:pPr>
        <w:pStyle w:val="Defpara"/>
      </w:pPr>
      <w:r>
        <w:tab/>
        <w:t>(bc)</w:t>
      </w:r>
      <w:r>
        <w:tab/>
        <w:t xml:space="preserve">if the result of the election is ascertained under Schedule 4.1 Division 3 of the Act — a paper record that shows — </w:t>
      </w:r>
    </w:p>
    <w:p>
      <w:pPr>
        <w:pStyle w:val="Defsubpara"/>
      </w:pPr>
      <w:r>
        <w:tab/>
        <w:t>(i)</w:t>
      </w:r>
      <w:r>
        <w:tab/>
        <w:t>for each candidate who was elected — the number of votes that the candidate had when they were elected; and</w:t>
      </w:r>
    </w:p>
    <w:p>
      <w:pPr>
        <w:pStyle w:val="Defsubpara"/>
      </w:pPr>
      <w:r>
        <w:tab/>
        <w:t>(ii)</w:t>
      </w:r>
      <w:r>
        <w:tab/>
        <w:t>details of any transfers of surplus votes under Schedule 4.1 clause 9 or 10 of the Act; and</w:t>
      </w:r>
    </w:p>
    <w:p>
      <w:pPr>
        <w:pStyle w:val="Defsubpara"/>
      </w:pPr>
      <w:r>
        <w:tab/>
        <w:t>(iii)</w:t>
      </w:r>
      <w:r>
        <w:tab/>
        <w:t>each candidate who was excluded under Schedule 4.1 clause 11 of the Act and details of the transfer of the candidate’s first</w:t>
      </w:r>
      <w:r>
        <w:noBreakHyphen/>
        <w:t>preference votes and preference votes under that clause; and</w:t>
      </w:r>
    </w:p>
    <w:p>
      <w:pPr>
        <w:pStyle w:val="Defsubpara"/>
      </w:pPr>
      <w:r>
        <w:tab/>
        <w:t>(iv)</w:t>
      </w:r>
      <w:r>
        <w:tab/>
        <w:t>for each candidate who was neither elected nor excluded — the number of votes that the candidate had when the last office to be filled at the election was filled; and</w:t>
      </w:r>
    </w:p>
    <w:p>
      <w:pPr>
        <w:pStyle w:val="Defsubpara"/>
      </w:pPr>
      <w:r>
        <w:tab/>
        <w:t>(v)</w:t>
      </w:r>
      <w:r>
        <w:tab/>
        <w:t>details of the setting aside of any ballot papers under Schedule 4.1 clause 17 of the Act;</w:t>
      </w:r>
    </w:p>
    <w:p>
      <w:pPr>
        <w:pStyle w:val="Defpara"/>
      </w:pPr>
      <w:r>
        <w:tab/>
      </w:r>
      <w:r>
        <w:tab/>
        <w:t>and</w:t>
      </w:r>
    </w:p>
    <w:p>
      <w:pPr>
        <w:pStyle w:val="Defpara"/>
      </w:pPr>
      <w:r>
        <w:lastRenderedPageBreak/>
        <w:tab/>
        <w:t>(bd)</w:t>
      </w:r>
      <w:r>
        <w:tab/>
        <w:t>a paper record that shows details of any matter required to be declared under Schedule 4.1A clause 19 of the Act or Schedule 4.1B clause 1(5) of the Act;</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tab/>
      </w:r>
      <w:r>
        <w:rPr>
          <w:rStyle w:val="CharDefText"/>
        </w:rPr>
        <w:t>electronic counting place</w:t>
      </w:r>
      <w:r>
        <w:t xml:space="preserve"> has the meaning given in regulation 75C(1A);</w:t>
      </w:r>
    </w:p>
    <w:p>
      <w:pPr>
        <w:pStyle w:val="Defstart"/>
      </w:pPr>
      <w:r>
        <w:tab/>
      </w:r>
      <w:r>
        <w:rPr>
          <w:rStyle w:val="CharDefText"/>
        </w:rPr>
        <w:t>electronic counting system</w:t>
      </w:r>
      <w:r>
        <w:t xml:space="preserve"> means an electronic system to be used in counting votes, which may include either or both of the following — </w:t>
      </w:r>
    </w:p>
    <w:p>
      <w:pPr>
        <w:pStyle w:val="Defpara"/>
      </w:pPr>
      <w:r>
        <w:tab/>
        <w:t>(a)</w:t>
      </w:r>
      <w:r>
        <w:tab/>
        <w:t>a process for recording votes indicated on ballot papers;</w:t>
      </w:r>
    </w:p>
    <w:p>
      <w:pPr>
        <w:pStyle w:val="Defpara"/>
      </w:pPr>
      <w:r>
        <w:tab/>
        <w:t>(b)</w:t>
      </w:r>
      <w:r>
        <w:tab/>
        <w:t xml:space="preserve">a counting system for ascertaining any of the following — </w:t>
      </w:r>
    </w:p>
    <w:p>
      <w:pPr>
        <w:pStyle w:val="Defsubpara"/>
      </w:pPr>
      <w:r>
        <w:tab/>
        <w:t>(i)</w:t>
      </w:r>
      <w:r>
        <w:tab/>
        <w:t>the number of first</w:t>
      </w:r>
      <w:r>
        <w:noBreakHyphen/>
        <w:t>preference votes that each candidate has;</w:t>
      </w:r>
    </w:p>
    <w:p>
      <w:pPr>
        <w:pStyle w:val="Defsubpara"/>
      </w:pPr>
      <w:r>
        <w:tab/>
        <w:t>(ii)</w:t>
      </w:r>
      <w:r>
        <w:tab/>
        <w:t>the number of votes that a candidate has on a count under Schedule 4.1 clause 5(2)(d) of the Act;</w:t>
      </w:r>
    </w:p>
    <w:p>
      <w:pPr>
        <w:pStyle w:val="Defsubpara"/>
      </w:pPr>
      <w:r>
        <w:tab/>
        <w:t>(iii)</w:t>
      </w:r>
      <w:r>
        <w:tab/>
        <w:t>the result of any transfer of surplus votes under Schedule 4.1 clause 9 or 10 of the Act;</w:t>
      </w:r>
    </w:p>
    <w:p>
      <w:pPr>
        <w:pStyle w:val="Defsubpara"/>
      </w:pPr>
      <w:r>
        <w:tab/>
        <w:t>(iv)</w:t>
      </w:r>
      <w:r>
        <w:tab/>
        <w:t>the result of any transfer of first</w:t>
      </w:r>
      <w:r>
        <w:noBreakHyphen/>
        <w:t>preference votes or preference votes under Schedule 4.1 clause 11 of the Act;</w:t>
      </w:r>
    </w:p>
    <w:p>
      <w:pPr>
        <w:pStyle w:val="Defstart"/>
      </w:pPr>
      <w:r>
        <w:tab/>
      </w:r>
      <w:r>
        <w:rPr>
          <w:rStyle w:val="CharDefText"/>
        </w:rPr>
        <w:t>first</w:t>
      </w:r>
      <w:r>
        <w:rPr>
          <w:rStyle w:val="CharDefText"/>
        </w:rPr>
        <w:noBreakHyphen/>
        <w:t>preference vote</w:t>
      </w:r>
      <w:r>
        <w:t xml:space="preserve"> has the meaning given in Schedule 4.1 clause 1 of the Act;</w:t>
      </w:r>
    </w:p>
    <w:p>
      <w:pPr>
        <w:pStyle w:val="Defstart"/>
      </w:pPr>
      <w:r>
        <w:rPr>
          <w:b/>
        </w:rPr>
        <w:tab/>
      </w:r>
      <w:r>
        <w:rPr>
          <w:rStyle w:val="CharDefText"/>
        </w:rPr>
        <w:t>form</w:t>
      </w:r>
      <w:r>
        <w:t xml:space="preserve"> means a form in Schedule 1;</w:t>
      </w:r>
    </w:p>
    <w:p>
      <w:pPr>
        <w:pStyle w:val="Defstart"/>
      </w:pPr>
      <w:r>
        <w:rPr>
          <w:b/>
        </w:rPr>
        <w:tab/>
      </w:r>
      <w:r>
        <w:rPr>
          <w:rStyle w:val="CharDefText"/>
        </w:rPr>
        <w:t>owners and occupiers register</w:t>
      </w:r>
      <w:r>
        <w:t xml:space="preserve"> means the register referred to in section 4.32(6);</w:t>
      </w:r>
    </w:p>
    <w:p>
      <w:pPr>
        <w:pStyle w:val="Defstart"/>
      </w:pPr>
      <w:r>
        <w:rPr>
          <w:b/>
        </w:rPr>
        <w:lastRenderedPageBreak/>
        <w:tab/>
      </w:r>
      <w:r>
        <w:rPr>
          <w:rStyle w:val="CharDefText"/>
        </w:rPr>
        <w:t>postal voters register</w:t>
      </w:r>
      <w:r>
        <w:t xml:space="preserve"> has the meaning given by regulation 40(1);</w:t>
      </w:r>
    </w:p>
    <w:p>
      <w:pPr>
        <w:pStyle w:val="Defstart"/>
      </w:pPr>
      <w:r>
        <w:tab/>
      </w:r>
      <w:r>
        <w:rPr>
          <w:rStyle w:val="CharDefText"/>
        </w:rPr>
        <w:t>preference vote</w:t>
      </w:r>
      <w:r>
        <w:t xml:space="preserve"> has the meaning given in Schedule 4.1 clause 1 of the Act;</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tab/>
      </w:r>
      <w:r>
        <w:rPr>
          <w:rStyle w:val="CharDefText"/>
        </w:rPr>
        <w:t>votes</w:t>
      </w:r>
      <w:r>
        <w:t>, when used in the context of an election the result of which is ascertained under Schedule 4.1 Division 3 of the Act, has the meaning given in Schedule 4.1 clause 7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Gazette 20 Nov 1998 p. 6275; 21 Jan 2005 p. 264; 3 Aug 2007 p. 3990; 28 Aug 2009 p. 3359</w:t>
      </w:r>
      <w:r>
        <w:noBreakHyphen/>
        <w:t>60; SL 2023/102 r. 24.]</w:t>
      </w:r>
    </w:p>
    <w:p>
      <w:pPr>
        <w:pStyle w:val="Heading5"/>
        <w:rPr>
          <w:snapToGrid w:val="0"/>
        </w:rPr>
      </w:pPr>
      <w:bookmarkStart w:id="6" w:name="_Toc200026097"/>
      <w:r>
        <w:rPr>
          <w:rStyle w:val="CharSectno"/>
        </w:rPr>
        <w:t>4</w:t>
      </w:r>
      <w:r>
        <w:rPr>
          <w:snapToGrid w:val="0"/>
        </w:rPr>
        <w:t>.</w:t>
      </w:r>
      <w:r>
        <w:rPr>
          <w:snapToGrid w:val="0"/>
        </w:rPr>
        <w:tab/>
        <w:t>Forms</w:t>
      </w:r>
      <w:bookmarkEnd w:id="6"/>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snapToGrid w:val="0"/>
        </w:rPr>
      </w:pPr>
      <w:r>
        <w:rPr>
          <w:snapToGrid w:val="0"/>
        </w:rPr>
        <w:lastRenderedPageBreak/>
        <w:tab/>
        <w:t>(5)</w:t>
      </w:r>
      <w:r>
        <w:rPr>
          <w:snapToGrid w:val="0"/>
        </w:rPr>
        <w:tab/>
        <w:t>In these regulations a reference to a Form followed by a designation is a reference to the form that has that designation.</w:t>
      </w:r>
    </w:p>
    <w:p>
      <w:pPr>
        <w:pStyle w:val="Heading5"/>
        <w:rPr>
          <w:snapToGrid w:val="0"/>
        </w:rPr>
      </w:pPr>
      <w:bookmarkStart w:id="7" w:name="_Toc200026098"/>
      <w:r>
        <w:rPr>
          <w:rStyle w:val="CharSectno"/>
        </w:rPr>
        <w:t>5</w:t>
      </w:r>
      <w:r>
        <w:rPr>
          <w:snapToGrid w:val="0"/>
        </w:rPr>
        <w:t>.</w:t>
      </w:r>
      <w:r>
        <w:rPr>
          <w:snapToGrid w:val="0"/>
        </w:rPr>
        <w:tab/>
        <w:t>Delivery of documents</w:t>
      </w:r>
      <w:bookmarkEnd w:id="7"/>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8" w:name="_Toc200026099"/>
      <w:r>
        <w:rPr>
          <w:rStyle w:val="CharPartNo"/>
        </w:rPr>
        <w:lastRenderedPageBreak/>
        <w:t>Part 2</w:t>
      </w:r>
      <w:r>
        <w:rPr>
          <w:rStyle w:val="CharDivNo"/>
        </w:rPr>
        <w:t> </w:t>
      </w:r>
      <w:r>
        <w:t>—</w:t>
      </w:r>
      <w:r>
        <w:rPr>
          <w:rStyle w:val="CharDivText"/>
        </w:rPr>
        <w:t> </w:t>
      </w:r>
      <w:r>
        <w:rPr>
          <w:rStyle w:val="CharPartText"/>
        </w:rPr>
        <w:t>Electoral officers</w:t>
      </w:r>
      <w:bookmarkEnd w:id="8"/>
    </w:p>
    <w:p>
      <w:pPr>
        <w:pStyle w:val="Heading5"/>
        <w:rPr>
          <w:snapToGrid w:val="0"/>
        </w:rPr>
      </w:pPr>
      <w:bookmarkStart w:id="9" w:name="_Toc200026100"/>
      <w:r>
        <w:rPr>
          <w:rStyle w:val="CharSectno"/>
        </w:rPr>
        <w:t>6</w:t>
      </w:r>
      <w:r>
        <w:rPr>
          <w:snapToGrid w:val="0"/>
        </w:rPr>
        <w:t>.</w:t>
      </w:r>
      <w:r>
        <w:rPr>
          <w:snapToGrid w:val="0"/>
        </w:rPr>
        <w:tab/>
        <w:t>Appointment of electoral officers — s. 4.27(1)(a) and (b)</w:t>
      </w:r>
      <w:bookmarkEnd w:id="9"/>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 or</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10" w:name="_Toc200026101"/>
      <w:r>
        <w:rPr>
          <w:rStyle w:val="CharSectno"/>
        </w:rPr>
        <w:t>7</w:t>
      </w:r>
      <w:r>
        <w:rPr>
          <w:snapToGrid w:val="0"/>
        </w:rPr>
        <w:t>.</w:t>
      </w:r>
      <w:r>
        <w:rPr>
          <w:snapToGrid w:val="0"/>
        </w:rPr>
        <w:tab/>
        <w:t>Declaration by electoral officer — s. 4.27(1)(c)</w:t>
      </w:r>
      <w:bookmarkEnd w:id="10"/>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lastRenderedPageBreak/>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 or</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Gazette 3 Aug 2007 p. 4006.]</w:t>
      </w:r>
    </w:p>
    <w:p>
      <w:pPr>
        <w:pStyle w:val="Heading5"/>
        <w:rPr>
          <w:snapToGrid w:val="0"/>
        </w:rPr>
      </w:pPr>
      <w:bookmarkStart w:id="11" w:name="_Toc200026102"/>
      <w:r>
        <w:rPr>
          <w:rStyle w:val="CharSectno"/>
        </w:rPr>
        <w:t>8</w:t>
      </w:r>
      <w:r>
        <w:rPr>
          <w:snapToGrid w:val="0"/>
        </w:rPr>
        <w:t>.</w:t>
      </w:r>
      <w:r>
        <w:rPr>
          <w:snapToGrid w:val="0"/>
        </w:rPr>
        <w:tab/>
        <w:t>Electoral codes of conduct — s. 4.27(1)(d)</w:t>
      </w:r>
      <w:bookmarkEnd w:id="11"/>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 and</w:t>
      </w:r>
    </w:p>
    <w:p>
      <w:pPr>
        <w:pStyle w:val="Indenta"/>
        <w:rPr>
          <w:snapToGrid w:val="0"/>
        </w:rPr>
      </w:pPr>
      <w:r>
        <w:rPr>
          <w:snapToGrid w:val="0"/>
        </w:rPr>
        <w:tab/>
        <w:t>(b)</w:t>
      </w:r>
      <w:r>
        <w:rPr>
          <w:snapToGrid w:val="0"/>
        </w:rPr>
        <w:tab/>
        <w:t>professionally; and</w:t>
      </w:r>
    </w:p>
    <w:p>
      <w:pPr>
        <w:pStyle w:val="Indenta"/>
        <w:rPr>
          <w:snapToGrid w:val="0"/>
        </w:rPr>
      </w:pPr>
      <w:r>
        <w:rPr>
          <w:snapToGrid w:val="0"/>
        </w:rPr>
        <w:tab/>
        <w:t>(c)</w:t>
      </w:r>
      <w:r>
        <w:rPr>
          <w:snapToGrid w:val="0"/>
        </w:rPr>
        <w:tab/>
        <w:t>fairly and impartially; and</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12" w:name="_Toc200026103"/>
      <w:r>
        <w:rPr>
          <w:rStyle w:val="CharSectno"/>
        </w:rPr>
        <w:t>9</w:t>
      </w:r>
      <w:r>
        <w:rPr>
          <w:snapToGrid w:val="0"/>
        </w:rPr>
        <w:t>.</w:t>
      </w:r>
      <w:r>
        <w:rPr>
          <w:snapToGrid w:val="0"/>
        </w:rPr>
        <w:tab/>
        <w:t>Fees and expenses of electoral officers — s. 4.28</w:t>
      </w:r>
      <w:bookmarkEnd w:id="12"/>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lastRenderedPageBreak/>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13" w:name="_Toc200026104"/>
      <w:r>
        <w:rPr>
          <w:rStyle w:val="CharPartNo"/>
        </w:rPr>
        <w:lastRenderedPageBreak/>
        <w:t>Part 3</w:t>
      </w:r>
      <w:r>
        <w:rPr>
          <w:rStyle w:val="CharDivNo"/>
        </w:rPr>
        <w:t> </w:t>
      </w:r>
      <w:r>
        <w:t>—</w:t>
      </w:r>
      <w:r>
        <w:rPr>
          <w:rStyle w:val="CharDivText"/>
        </w:rPr>
        <w:t> </w:t>
      </w:r>
      <w:r>
        <w:rPr>
          <w:rStyle w:val="CharPartText"/>
        </w:rPr>
        <w:t>Enrolment</w:t>
      </w:r>
      <w:bookmarkEnd w:id="13"/>
    </w:p>
    <w:p>
      <w:pPr>
        <w:pStyle w:val="Heading5"/>
        <w:rPr>
          <w:snapToGrid w:val="0"/>
        </w:rPr>
      </w:pPr>
      <w:bookmarkStart w:id="14" w:name="_Toc200026105"/>
      <w:r>
        <w:rPr>
          <w:rStyle w:val="CharSectno"/>
        </w:rPr>
        <w:t>10</w:t>
      </w:r>
      <w:r>
        <w:rPr>
          <w:snapToGrid w:val="0"/>
        </w:rPr>
        <w:t>.</w:t>
      </w:r>
      <w:r>
        <w:rPr>
          <w:snapToGrid w:val="0"/>
        </w:rPr>
        <w:tab/>
        <w:t>Nomination of ward — s. 4.31</w:t>
      </w:r>
      <w:bookmarkEnd w:id="14"/>
    </w:p>
    <w:p>
      <w:pPr>
        <w:pStyle w:val="Subsection"/>
        <w:rPr>
          <w:snapToGrid w:val="0"/>
        </w:rPr>
      </w:pPr>
      <w:r>
        <w:rPr>
          <w:snapToGrid w:val="0"/>
        </w:rPr>
        <w:tab/>
        <w:t>(1)</w:t>
      </w:r>
      <w:r>
        <w:rPr>
          <w:snapToGrid w:val="0"/>
        </w:rPr>
        <w:tab/>
        <w:t>A nomination under section </w:t>
      </w:r>
      <w:r>
        <w:t xml:space="preserve">4.31(1B)(a) </w:t>
      </w:r>
      <w:r>
        <w:rPr>
          <w:snapToGrid w:val="0"/>
        </w:rPr>
        <w:t>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Footnotesection"/>
      </w:pPr>
      <w:r>
        <w:tab/>
        <w:t>[Regulation 10 amended: Gazette 21 Dec 2012 p. 6642.]</w:t>
      </w:r>
    </w:p>
    <w:p>
      <w:pPr>
        <w:pStyle w:val="Heading5"/>
        <w:rPr>
          <w:snapToGrid w:val="0"/>
        </w:rPr>
      </w:pPr>
      <w:bookmarkStart w:id="15" w:name="_Toc200026106"/>
      <w:r>
        <w:rPr>
          <w:rStyle w:val="CharSectno"/>
        </w:rPr>
        <w:t>11</w:t>
      </w:r>
      <w:r>
        <w:rPr>
          <w:snapToGrid w:val="0"/>
        </w:rPr>
        <w:t>.</w:t>
      </w:r>
      <w:r>
        <w:rPr>
          <w:snapToGrid w:val="0"/>
        </w:rPr>
        <w:tab/>
        <w:t>Nomination of co</w:t>
      </w:r>
      <w:r>
        <w:rPr>
          <w:snapToGrid w:val="0"/>
        </w:rPr>
        <w:noBreakHyphen/>
        <w:t>owners or co</w:t>
      </w:r>
      <w:r>
        <w:rPr>
          <w:snapToGrid w:val="0"/>
        </w:rPr>
        <w:noBreakHyphen/>
        <w:t>occupiers — s. 4.31</w:t>
      </w:r>
      <w:bookmarkEnd w:id="15"/>
    </w:p>
    <w:p>
      <w:pPr>
        <w:pStyle w:val="Subsection"/>
        <w:rPr>
          <w:snapToGrid w:val="0"/>
        </w:rPr>
      </w:pPr>
      <w:r>
        <w:rPr>
          <w:snapToGrid w:val="0"/>
        </w:rPr>
        <w:tab/>
        <w:t>(1)</w:t>
      </w:r>
      <w:r>
        <w:rPr>
          <w:snapToGrid w:val="0"/>
        </w:rPr>
        <w:tab/>
        <w:t>A nomination under section </w:t>
      </w:r>
      <w:r>
        <w:t xml:space="preserve">4.31(1E), (1F) or (1G) </w:t>
      </w:r>
      <w:r>
        <w:rPr>
          <w:snapToGrid w:val="0"/>
        </w:rPr>
        <w:t>is to be made by written notice given to the CEO.</w:t>
      </w:r>
    </w:p>
    <w:p>
      <w:pPr>
        <w:pStyle w:val="Subsection"/>
      </w:pPr>
      <w:r>
        <w:tab/>
        <w:t>(1a)</w:t>
      </w:r>
      <w:r>
        <w:tab/>
        <w:t>The CEO may require the written notice referred to in subregulation (1) to be incorporated into Form 2 in such form as the CEO requires.</w:t>
      </w:r>
    </w:p>
    <w:p>
      <w:pPr>
        <w:pStyle w:val="Subsection"/>
        <w:rPr>
          <w:snapToGrid w:val="0"/>
        </w:rPr>
      </w:pPr>
      <w:r>
        <w:rPr>
          <w:snapToGrid w:val="0"/>
        </w:rPr>
        <w:tab/>
        <w:t>(2)</w:t>
      </w:r>
      <w:r>
        <w:rPr>
          <w:snapToGrid w:val="0"/>
        </w:rPr>
        <w:tab/>
        <w:t>A nomination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the people who make it.</w:t>
      </w:r>
    </w:p>
    <w:p>
      <w:pPr>
        <w:pStyle w:val="Subsection"/>
        <w:rPr>
          <w:snapToGrid w:val="0"/>
        </w:rPr>
      </w:pPr>
      <w:r>
        <w:rPr>
          <w:snapToGrid w:val="0"/>
        </w:rPr>
        <w:tab/>
        <w:t>(3)</w:t>
      </w:r>
      <w:r>
        <w:rPr>
          <w:snapToGrid w:val="0"/>
        </w:rPr>
        <w:tab/>
        <w:t>A nomination remains in force until —</w:t>
      </w:r>
    </w:p>
    <w:p>
      <w:pPr>
        <w:pStyle w:val="Indenta"/>
        <w:rPr>
          <w:snapToGrid w:val="0"/>
        </w:rPr>
      </w:pPr>
      <w:r>
        <w:rPr>
          <w:snapToGrid w:val="0"/>
        </w:rPr>
        <w:tab/>
        <w:t>(a)</w:t>
      </w:r>
      <w:r>
        <w:rPr>
          <w:snapToGrid w:val="0"/>
        </w:rPr>
        <w:tab/>
        <w:t>if it is expressed to be for a limited period, that period ends; or</w:t>
      </w:r>
    </w:p>
    <w:p>
      <w:pPr>
        <w:pStyle w:val="Indenta"/>
        <w:rPr>
          <w:snapToGrid w:val="0"/>
        </w:rPr>
      </w:pPr>
      <w:r>
        <w:rPr>
          <w:snapToGrid w:val="0"/>
        </w:rPr>
        <w:lastRenderedPageBreak/>
        <w:tab/>
        <w:t>(b)</w:t>
      </w:r>
      <w:r>
        <w:rPr>
          <w:snapToGrid w:val="0"/>
        </w:rPr>
        <w:tab/>
        <w:t>it is withdrawn by written notice given to the CEO; or</w:t>
      </w:r>
    </w:p>
    <w:p>
      <w:pPr>
        <w:pStyle w:val="Indenta"/>
        <w:rPr>
          <w:snapToGrid w:val="0"/>
        </w:rPr>
      </w:pPr>
      <w:r>
        <w:rPr>
          <w:snapToGrid w:val="0"/>
        </w:rPr>
        <w:tab/>
        <w:t>(c)</w:t>
      </w:r>
      <w:r>
        <w:rPr>
          <w:snapToGrid w:val="0"/>
        </w:rPr>
        <w:tab/>
        <w:t>an enrolment eligibility claim made by the nominee expires or is rejected; or</w:t>
      </w:r>
    </w:p>
    <w:p>
      <w:pPr>
        <w:pStyle w:val="Indenta"/>
        <w:rPr>
          <w:snapToGrid w:val="0"/>
        </w:rPr>
      </w:pPr>
      <w:r>
        <w:rPr>
          <w:snapToGrid w:val="0"/>
        </w:rPr>
        <w:tab/>
        <w:t>(d)</w:t>
      </w:r>
      <w:r>
        <w:rPr>
          <w:snapToGrid w:val="0"/>
        </w:rPr>
        <w:tab/>
        <w:t>the nominee ceases to be eligible to be nominated,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all or a majority of the people who own the property or occupy the property.</w:t>
      </w:r>
    </w:p>
    <w:p>
      <w:pPr>
        <w:pStyle w:val="Footnotesection"/>
      </w:pPr>
      <w:r>
        <w:tab/>
        <w:t>[Regulation 11 amended: Gazette 25 Jan 2001 p. 587; 21 Dec 2012 p. 6642.]</w:t>
      </w:r>
    </w:p>
    <w:p>
      <w:pPr>
        <w:pStyle w:val="Heading5"/>
        <w:rPr>
          <w:snapToGrid w:val="0"/>
        </w:rPr>
      </w:pPr>
      <w:bookmarkStart w:id="16" w:name="_Toc200026107"/>
      <w:r>
        <w:rPr>
          <w:rStyle w:val="CharSectno"/>
        </w:rPr>
        <w:t>12</w:t>
      </w:r>
      <w:r>
        <w:rPr>
          <w:snapToGrid w:val="0"/>
        </w:rPr>
        <w:t>.</w:t>
      </w:r>
      <w:r>
        <w:rPr>
          <w:snapToGrid w:val="0"/>
        </w:rPr>
        <w:tab/>
        <w:t>Enrolment eligibility claim — s. 4.32(1)</w:t>
      </w:r>
      <w:bookmarkEnd w:id="16"/>
    </w:p>
    <w:p>
      <w:pPr>
        <w:pStyle w:val="Subsection"/>
        <w:rPr>
          <w:snapToGrid w:val="0"/>
        </w:rPr>
      </w:pPr>
      <w:r>
        <w:rPr>
          <w:snapToGrid w:val="0"/>
        </w:rPr>
        <w:tab/>
      </w:r>
      <w:r>
        <w:rPr>
          <w:snapToGrid w:val="0"/>
        </w:rPr>
        <w:tab/>
        <w:t>An enrolment eligibility claim under section 4.32(1) may claim eligibility based on each of 2 or more parcels of rateable property.</w:t>
      </w:r>
    </w:p>
    <w:p>
      <w:pPr>
        <w:pStyle w:val="Heading5"/>
        <w:rPr>
          <w:snapToGrid w:val="0"/>
        </w:rPr>
      </w:pPr>
      <w:bookmarkStart w:id="17" w:name="_Toc200026108"/>
      <w:r>
        <w:rPr>
          <w:rStyle w:val="CharSectno"/>
        </w:rPr>
        <w:t>13</w:t>
      </w:r>
      <w:r>
        <w:rPr>
          <w:snapToGrid w:val="0"/>
        </w:rPr>
        <w:t>.</w:t>
      </w:r>
      <w:r>
        <w:rPr>
          <w:snapToGrid w:val="0"/>
        </w:rPr>
        <w:tab/>
        <w:t>Register — s. 4.32(6)</w:t>
      </w:r>
      <w:bookmarkEnd w:id="17"/>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rPr>
          <w:snapToGrid w:val="0"/>
        </w:rPr>
      </w:pPr>
      <w:r>
        <w:rPr>
          <w:snapToGrid w:val="0"/>
        </w:rPr>
        <w:tab/>
        <w:t>(a)</w:t>
      </w:r>
      <w:r>
        <w:rPr>
          <w:snapToGrid w:val="0"/>
        </w:rPr>
        <w:tab/>
        <w:t>the full name (family name and other names) and postal address of each person making an enrolment eligibility claim;</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rPr>
          <w:snapToGrid w:val="0"/>
        </w:rPr>
      </w:pPr>
      <w:r>
        <w:rPr>
          <w:snapToGrid w:val="0"/>
        </w:rPr>
        <w:tab/>
        <w:t>(i)</w:t>
      </w:r>
      <w:r>
        <w:rPr>
          <w:snapToGrid w:val="0"/>
        </w:rPr>
        <w:tab/>
        <w:t>the expiry date of the claim as set out in section 4.33;</w:t>
      </w:r>
    </w:p>
    <w:p>
      <w:pPr>
        <w:pStyle w:val="Indenti"/>
        <w:rPr>
          <w:snapToGrid w:val="0"/>
        </w:rPr>
      </w:pPr>
      <w:r>
        <w:rPr>
          <w:snapToGrid w:val="0"/>
        </w:rPr>
        <w:lastRenderedPageBreak/>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the ward to which the claim applies.</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an elector gives the CEO a declaration made before —</w:t>
      </w:r>
    </w:p>
    <w:p>
      <w:pPr>
        <w:pStyle w:val="Indenti"/>
        <w:rPr>
          <w:snapToGrid w:val="0"/>
        </w:rPr>
      </w:pPr>
      <w:r>
        <w:rPr>
          <w:snapToGrid w:val="0"/>
        </w:rPr>
        <w:tab/>
        <w:t>(i)</w:t>
      </w:r>
      <w:r>
        <w:rPr>
          <w:snapToGrid w:val="0"/>
        </w:rPr>
        <w:tab/>
        <w:t>a justice; or</w:t>
      </w:r>
    </w:p>
    <w:p>
      <w:pPr>
        <w:pStyle w:val="Indenti"/>
        <w:rPr>
          <w:snapToGrid w:val="0"/>
        </w:rPr>
      </w:pPr>
      <w:r>
        <w:rPr>
          <w:snapToGrid w:val="0"/>
        </w:rPr>
        <w:tab/>
        <w:t>(ii)</w:t>
      </w:r>
      <w:r>
        <w:rPr>
          <w:snapToGrid w:val="0"/>
        </w:rPr>
        <w:tab/>
        <w:t xml:space="preserve">a person who has authority under the </w:t>
      </w:r>
      <w:r>
        <w:rPr>
          <w:i/>
          <w:iCs/>
        </w:rPr>
        <w:t>Oaths, Affidavits and Statutory Declarations Act 2005</w:t>
      </w:r>
      <w:r>
        <w:t xml:space="preserve"> </w:t>
      </w:r>
      <w:r>
        <w:rPr>
          <w:snapToGrid w:val="0"/>
        </w:rPr>
        <w:t>to take statutory declarations,</w:t>
      </w:r>
    </w:p>
    <w:p>
      <w:pPr>
        <w:pStyle w:val="Indenta"/>
        <w:rPr>
          <w:snapToGrid w:val="0"/>
        </w:rPr>
      </w:pPr>
      <w:r>
        <w:rPr>
          <w:snapToGrid w:val="0"/>
        </w:rPr>
        <w:tab/>
      </w:r>
      <w:r>
        <w:rPr>
          <w:snapToGrid w:val="0"/>
        </w:rPr>
        <w:tab/>
        <w:t>in which the elector states that publication of the elector’s address would place or places the elector’s safety, or the safety of the elector’s family at risk; and</w:t>
      </w:r>
    </w:p>
    <w:p>
      <w:pPr>
        <w:pStyle w:val="Indenta"/>
        <w:rPr>
          <w:snapToGrid w:val="0"/>
        </w:rPr>
      </w:pPr>
      <w:r>
        <w:rPr>
          <w:snapToGrid w:val="0"/>
        </w:rPr>
        <w:tab/>
        <w:t>(b)</w:t>
      </w:r>
      <w:r>
        <w:rPr>
          <w:snapToGrid w:val="0"/>
        </w:rPr>
        <w:tab/>
        <w:t>the elector requests that the address be omitted from the register and from rolls; and</w:t>
      </w:r>
    </w:p>
    <w:p>
      <w:pPr>
        <w:pStyle w:val="Indenta"/>
        <w:rPr>
          <w:snapToGrid w:val="0"/>
        </w:rPr>
      </w:pPr>
      <w:r>
        <w:rPr>
          <w:snapToGrid w:val="0"/>
        </w:rPr>
        <w:tab/>
        <w:t>(c)</w:t>
      </w:r>
      <w:r>
        <w:rPr>
          <w:snapToGrid w:val="0"/>
        </w:rPr>
        <w:tab/>
        <w:t>the CEO approves of the omission,</w:t>
      </w:r>
    </w:p>
    <w:p>
      <w:pPr>
        <w:pStyle w:val="Subsection"/>
        <w:rPr>
          <w:snapToGrid w:val="0"/>
        </w:rPr>
      </w:pPr>
      <w:r>
        <w:rPr>
          <w:snapToGrid w:val="0"/>
        </w:rPr>
        <w:tab/>
      </w:r>
      <w:r>
        <w:rPr>
          <w:snapToGrid w:val="0"/>
        </w:rPr>
        <w:tab/>
        <w:t>the notation “</w:t>
      </w:r>
      <w:r>
        <w:rPr>
          <w:i/>
          <w:snapToGrid w:val="0"/>
        </w:rPr>
        <w:t>address omitted under regulation 13(2)</w:t>
      </w:r>
      <w:r>
        <w:rPr>
          <w:snapToGrid w:val="0"/>
        </w:rPr>
        <w:t>”, is to be included in the register instead of the elector’s address and subregulation (1)(d)(ii) does not apply.</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Footnotesection"/>
      </w:pPr>
      <w:r>
        <w:tab/>
        <w:t>[Regulation 13 amended: Gazette 3 Aug 2007 p. 4006.]</w:t>
      </w:r>
    </w:p>
    <w:p>
      <w:pPr>
        <w:pStyle w:val="Heading5"/>
        <w:rPr>
          <w:snapToGrid w:val="0"/>
        </w:rPr>
      </w:pPr>
      <w:bookmarkStart w:id="18" w:name="_Toc200026109"/>
      <w:r>
        <w:rPr>
          <w:rStyle w:val="CharSectno"/>
        </w:rPr>
        <w:lastRenderedPageBreak/>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18"/>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19" w:name="_Toc200026110"/>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19"/>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20" w:name="_Toc200026111"/>
      <w:r>
        <w:rPr>
          <w:rStyle w:val="CharSectno"/>
        </w:rPr>
        <w:lastRenderedPageBreak/>
        <w:t>16</w:t>
      </w:r>
      <w:r>
        <w:rPr>
          <w:snapToGrid w:val="0"/>
        </w:rPr>
        <w:t>.</w:t>
      </w:r>
      <w:r>
        <w:rPr>
          <w:snapToGrid w:val="0"/>
        </w:rPr>
        <w:tab/>
        <w:t>Confidentiality</w:t>
      </w:r>
      <w:bookmarkEnd w:id="20"/>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21" w:name="_Toc200026112"/>
      <w:r>
        <w:rPr>
          <w:rStyle w:val="CharSectno"/>
        </w:rPr>
        <w:t>17</w:t>
      </w:r>
      <w:r>
        <w:rPr>
          <w:snapToGrid w:val="0"/>
        </w:rPr>
        <w:t>.</w:t>
      </w:r>
      <w:r>
        <w:rPr>
          <w:snapToGrid w:val="0"/>
        </w:rPr>
        <w:tab/>
        <w:t>Retention of documents</w:t>
      </w:r>
      <w:bookmarkEnd w:id="21"/>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an enrolment eligibility claim form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Heading2"/>
      </w:pPr>
      <w:bookmarkStart w:id="22" w:name="_Toc200026113"/>
      <w:r>
        <w:rPr>
          <w:rStyle w:val="CharPartNo"/>
        </w:rPr>
        <w:lastRenderedPageBreak/>
        <w:t>Part 4</w:t>
      </w:r>
      <w:r>
        <w:rPr>
          <w:rStyle w:val="CharDivNo"/>
        </w:rPr>
        <w:t> </w:t>
      </w:r>
      <w:r>
        <w:t>—</w:t>
      </w:r>
      <w:r>
        <w:rPr>
          <w:rStyle w:val="CharDivText"/>
        </w:rPr>
        <w:t> </w:t>
      </w:r>
      <w:r>
        <w:rPr>
          <w:rStyle w:val="CharPartText"/>
        </w:rPr>
        <w:t>The rolls</w:t>
      </w:r>
      <w:bookmarkEnd w:id="22"/>
    </w:p>
    <w:p>
      <w:pPr>
        <w:pStyle w:val="Heading5"/>
        <w:rPr>
          <w:snapToGrid w:val="0"/>
        </w:rPr>
      </w:pPr>
      <w:bookmarkStart w:id="23" w:name="_Toc200026114"/>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23"/>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Gazette 22 Dec 1998 p. 6869.]</w:t>
      </w:r>
    </w:p>
    <w:p>
      <w:pPr>
        <w:pStyle w:val="Heading5"/>
        <w:rPr>
          <w:snapToGrid w:val="0"/>
        </w:rPr>
      </w:pPr>
      <w:bookmarkStart w:id="24" w:name="_Toc200026115"/>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24"/>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25" w:name="_Toc200026116"/>
      <w:r>
        <w:rPr>
          <w:rStyle w:val="CharSectno"/>
        </w:rPr>
        <w:lastRenderedPageBreak/>
        <w:t>20</w:t>
      </w:r>
      <w:r>
        <w:rPr>
          <w:snapToGrid w:val="0"/>
        </w:rPr>
        <w:t>.</w:t>
      </w:r>
      <w:r>
        <w:rPr>
          <w:snapToGrid w:val="0"/>
        </w:rPr>
        <w:tab/>
        <w:t>Elector’s details on roll — s. 4.38(2)</w:t>
      </w:r>
      <w:bookmarkEnd w:id="25"/>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snapToGrid w:val="0"/>
        </w:rPr>
      </w:pPr>
      <w:r>
        <w:rPr>
          <w:snapToGrid w:val="0"/>
        </w:rPr>
        <w:tab/>
        <w:t>(c)</w:t>
      </w:r>
      <w:r>
        <w:rPr>
          <w:snapToGrid w:val="0"/>
        </w:rPr>
        <w:tab/>
        <w:t>postal address;</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p>
    <w:p>
      <w:pPr>
        <w:pStyle w:val="Indenti"/>
        <w:rPr>
          <w:snapToGrid w:val="0"/>
        </w:rPr>
      </w:pPr>
      <w:r>
        <w:rPr>
          <w:snapToGrid w:val="0"/>
        </w:rPr>
        <w:tab/>
        <w:t>(i)</w:t>
      </w:r>
      <w:r>
        <w:rPr>
          <w:snapToGrid w:val="0"/>
        </w:rPr>
        <w:tab/>
        <w:t>an owner; or</w:t>
      </w:r>
    </w:p>
    <w:p>
      <w:pPr>
        <w:pStyle w:val="Indenti"/>
        <w:rPr>
          <w:snapToGrid w:val="0"/>
        </w:rPr>
      </w:pPr>
      <w:r>
        <w:rPr>
          <w:snapToGrid w:val="0"/>
        </w:rPr>
        <w:tab/>
        <w:t>(ii)</w:t>
      </w:r>
      <w:r>
        <w:rPr>
          <w:snapToGrid w:val="0"/>
        </w:rPr>
        <w:tab/>
        <w:t>an occupier; or</w:t>
      </w:r>
    </w:p>
    <w:p>
      <w:pPr>
        <w:pStyle w:val="Indenti"/>
        <w:rPr>
          <w:snapToGrid w:val="0"/>
        </w:rPr>
      </w:pPr>
      <w:r>
        <w:rPr>
          <w:snapToGrid w:val="0"/>
        </w:rPr>
        <w:tab/>
        <w:t>(iii)</w:t>
      </w:r>
      <w:r>
        <w:rPr>
          <w:snapToGrid w:val="0"/>
        </w:rPr>
        <w:tab/>
        <w:t>a nominee of joint owners; or</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(3)(c) and (d) do not apply if the owners and occupiers register contains the notation mentioned in regulation 13(2).</w:t>
      </w:r>
    </w:p>
    <w:p>
      <w:pPr>
        <w:pStyle w:val="Subsection"/>
        <w:rPr>
          <w:snapToGrid w:val="0"/>
        </w:rPr>
      </w:pPr>
      <w:r>
        <w:rPr>
          <w:snapToGrid w:val="0"/>
        </w:rPr>
        <w:lastRenderedPageBreak/>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Gazette 21 Jan 2005 p. 264.]</w:t>
      </w:r>
    </w:p>
    <w:p>
      <w:pPr>
        <w:pStyle w:val="Heading5"/>
        <w:rPr>
          <w:snapToGrid w:val="0"/>
        </w:rPr>
      </w:pPr>
      <w:bookmarkStart w:id="26" w:name="_Toc200026117"/>
      <w:r>
        <w:rPr>
          <w:rStyle w:val="CharSectno"/>
        </w:rPr>
        <w:t>21</w:t>
      </w:r>
      <w:r>
        <w:rPr>
          <w:snapToGrid w:val="0"/>
        </w:rPr>
        <w:t>.</w:t>
      </w:r>
      <w:r>
        <w:rPr>
          <w:snapToGrid w:val="0"/>
        </w:rPr>
        <w:tab/>
        <w:t>Form of rolls — s. 4.38(2)</w:t>
      </w:r>
      <w:bookmarkEnd w:id="26"/>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27" w:name="_Toc200026118"/>
      <w:r>
        <w:rPr>
          <w:rStyle w:val="CharSectno"/>
        </w:rPr>
        <w:t>22</w:t>
      </w:r>
      <w:r>
        <w:rPr>
          <w:snapToGrid w:val="0"/>
        </w:rPr>
        <w:t>.</w:t>
      </w:r>
      <w:r>
        <w:rPr>
          <w:snapToGrid w:val="0"/>
        </w:rPr>
        <w:tab/>
        <w:t>Supply of rolls — s. 4.42(2)</w:t>
      </w:r>
      <w:bookmarkEnd w:id="27"/>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28" w:name="_Toc200026119"/>
      <w:r>
        <w:rPr>
          <w:rStyle w:val="CharSectno"/>
        </w:rPr>
        <w:t>22AA</w:t>
      </w:r>
      <w:r>
        <w:t>.</w:t>
      </w:r>
      <w:r>
        <w:tab/>
        <w:t>Destruction and deletion of copies of rolls — s. 4.42(3)</w:t>
      </w:r>
      <w:bookmarkEnd w:id="28"/>
    </w:p>
    <w:p>
      <w:pPr>
        <w:pStyle w:val="Subsection"/>
      </w:pPr>
      <w:r>
        <w:tab/>
        <w:t>(1)</w:t>
      </w:r>
      <w:r>
        <w:tab/>
        <w:t xml:space="preserve">In this regulation — </w:t>
      </w:r>
    </w:p>
    <w:p>
      <w:pPr>
        <w:pStyle w:val="Defstart"/>
      </w:pPr>
      <w:r>
        <w:tab/>
      </w:r>
      <w:r>
        <w:rPr>
          <w:rStyle w:val="CharDefText"/>
        </w:rPr>
        <w:t>authorised person</w:t>
      </w:r>
      <w:r>
        <w:t xml:space="preserve"> means — </w:t>
      </w:r>
    </w:p>
    <w:p>
      <w:pPr>
        <w:pStyle w:val="Defpara"/>
      </w:pPr>
      <w:r>
        <w:tab/>
        <w:t>(a)</w:t>
      </w:r>
      <w:r>
        <w:tab/>
        <w:t>the CEO; or</w:t>
      </w:r>
    </w:p>
    <w:p>
      <w:pPr>
        <w:pStyle w:val="Defpara"/>
      </w:pPr>
      <w:r>
        <w:tab/>
        <w:t>(b)</w:t>
      </w:r>
      <w:r>
        <w:tab/>
        <w:t>the Electoral Commissioner;</w:t>
      </w:r>
    </w:p>
    <w:p>
      <w:pPr>
        <w:pStyle w:val="Defstart"/>
      </w:pPr>
      <w:r>
        <w:tab/>
      </w:r>
      <w:r>
        <w:rPr>
          <w:rStyle w:val="CharDefText"/>
        </w:rPr>
        <w:t>recipient</w:t>
      </w:r>
      <w:r>
        <w:t xml:space="preserve"> means a member of the council or a candidate to whom a copy of a roll is supplied under section 4.42(2);</w:t>
      </w:r>
    </w:p>
    <w:p>
      <w:pPr>
        <w:pStyle w:val="Defstart"/>
      </w:pPr>
      <w:r>
        <w:tab/>
      </w:r>
      <w:r>
        <w:rPr>
          <w:rStyle w:val="CharDefText"/>
        </w:rPr>
        <w:t>relevant period</w:t>
      </w:r>
      <w:r>
        <w:t> — see subregulations (8) and (9);</w:t>
      </w:r>
    </w:p>
    <w:p>
      <w:pPr>
        <w:pStyle w:val="Defstart"/>
        <w:keepNext/>
      </w:pPr>
      <w:r>
        <w:lastRenderedPageBreak/>
        <w:tab/>
      </w:r>
      <w:r>
        <w:rPr>
          <w:rStyle w:val="CharDefText"/>
        </w:rPr>
        <w:t>supplied copy</w:t>
      </w:r>
      <w:r>
        <w:t xml:space="preserve">, in relation to a recipient — </w:t>
      </w:r>
    </w:p>
    <w:p>
      <w:pPr>
        <w:pStyle w:val="Defpara"/>
        <w:keepNext/>
      </w:pPr>
      <w:r>
        <w:tab/>
        <w:t>(a)</w:t>
      </w:r>
      <w:r>
        <w:tab/>
        <w:t xml:space="preserve">means any of the following — </w:t>
      </w:r>
    </w:p>
    <w:p>
      <w:pPr>
        <w:pStyle w:val="Defsubpara"/>
      </w:pPr>
      <w:r>
        <w:tab/>
        <w:t>(i)</w:t>
      </w:r>
      <w:r>
        <w:tab/>
        <w:t>the copy of a roll supplied to the recipient under section 4.42(2);</w:t>
      </w:r>
    </w:p>
    <w:p>
      <w:pPr>
        <w:pStyle w:val="Defsubpara"/>
      </w:pPr>
      <w:r>
        <w:tab/>
        <w:t>(ii)</w:t>
      </w:r>
      <w:r>
        <w:tab/>
        <w:t>a copy of the roll derived (directly or indirectly and wholly or partly) from the copy supplied under section 4.42(2);</w:t>
      </w:r>
    </w:p>
    <w:p>
      <w:pPr>
        <w:pStyle w:val="Defsubpara"/>
      </w:pPr>
      <w:r>
        <w:tab/>
        <w:t>(iii)</w:t>
      </w:r>
      <w:r>
        <w:tab/>
        <w:t>any other document or information derived (directly or indirectly and wholly or partly) from the copy supplied under section 4.42(2);</w:t>
      </w:r>
    </w:p>
    <w:p>
      <w:pPr>
        <w:pStyle w:val="Defsubpara"/>
      </w:pPr>
      <w:r>
        <w:tab/>
        <w:t>(iv)</w:t>
      </w:r>
      <w:r>
        <w:tab/>
        <w:t>a document or information containing details supplied to the recipient under section 4.43(3b) relating to the roll;</w:t>
      </w:r>
    </w:p>
    <w:p>
      <w:pPr>
        <w:pStyle w:val="Defpara"/>
      </w:pPr>
      <w:r>
        <w:tab/>
      </w:r>
      <w:r>
        <w:tab/>
        <w:t>but</w:t>
      </w:r>
    </w:p>
    <w:p>
      <w:pPr>
        <w:pStyle w:val="Defpara"/>
      </w:pPr>
      <w:r>
        <w:tab/>
        <w:t>(b)</w:t>
      </w:r>
      <w:r>
        <w:tab/>
        <w:t>does not include any envelope, package or correspondence sent to an elector by, or on behalf of, the recipient just because the envelope, package or correspondence shows the elector’s name and address as included in the roll;</w:t>
      </w:r>
    </w:p>
    <w:p>
      <w:pPr>
        <w:pStyle w:val="Defstart"/>
      </w:pPr>
      <w:r>
        <w:tab/>
      </w:r>
      <w:r>
        <w:rPr>
          <w:rStyle w:val="CharDefText"/>
        </w:rPr>
        <w:t>working day</w:t>
      </w:r>
      <w:r>
        <w:t xml:space="preserve"> means a day other than — </w:t>
      </w:r>
    </w:p>
    <w:p>
      <w:pPr>
        <w:pStyle w:val="Defpara"/>
      </w:pPr>
      <w:r>
        <w:tab/>
        <w:t>(a)</w:t>
      </w:r>
      <w:r>
        <w:tab/>
        <w:t>a Saturday or Sunday; or</w:t>
      </w:r>
    </w:p>
    <w:p>
      <w:pPr>
        <w:pStyle w:val="Defpara"/>
      </w:pPr>
      <w:r>
        <w:tab/>
        <w:t>(b)</w:t>
      </w:r>
      <w:r>
        <w:tab/>
        <w:t>a public holiday throughout the State; or</w:t>
      </w:r>
    </w:p>
    <w:p>
      <w:pPr>
        <w:pStyle w:val="Defpara"/>
      </w:pPr>
      <w:r>
        <w:tab/>
        <w:t>(c)</w:t>
      </w:r>
      <w:r>
        <w:tab/>
        <w:t>a public holiday in an area that is or includes the district or any part of the district.</w:t>
      </w:r>
    </w:p>
    <w:p>
      <w:pPr>
        <w:pStyle w:val="Subsection"/>
      </w:pPr>
      <w:r>
        <w:tab/>
        <w:t>(2)</w:t>
      </w:r>
      <w:r>
        <w:tab/>
        <w:t>This regulation applies for the purposes of section 4.42(3).</w:t>
      </w:r>
    </w:p>
    <w:p>
      <w:pPr>
        <w:pStyle w:val="Subsection"/>
      </w:pPr>
      <w:r>
        <w:tab/>
        <w:t>(3)</w:t>
      </w:r>
      <w:r>
        <w:tab/>
        <w:t xml:space="preserve">A recipient must ensure that every supplied copy is, before the end of the relevant period — </w:t>
      </w:r>
    </w:p>
    <w:p>
      <w:pPr>
        <w:pStyle w:val="Indenta"/>
      </w:pPr>
      <w:r>
        <w:tab/>
        <w:t>(a)</w:t>
      </w:r>
      <w:r>
        <w:tab/>
        <w:t>destroyed; or</w:t>
      </w:r>
    </w:p>
    <w:p>
      <w:pPr>
        <w:pStyle w:val="Indenta"/>
      </w:pPr>
      <w:r>
        <w:tab/>
        <w:t>(b)</w:t>
      </w:r>
      <w:r>
        <w:tab/>
        <w:t>in the case of a supplied copy that is in electronic form — deleted from any computer, device, medium or other storage system on or in which the supplied copy is held, retained or stored.</w:t>
      </w:r>
    </w:p>
    <w:p>
      <w:pPr>
        <w:pStyle w:val="Subsection"/>
        <w:keepNext/>
      </w:pPr>
      <w:r>
        <w:lastRenderedPageBreak/>
        <w:tab/>
        <w:t>(4)</w:t>
      </w:r>
      <w:r>
        <w:tab/>
        <w:t xml:space="preserve">If a recipient fails to comply with subregulation (3), the recipient commits an offence, which continues from the end of the relevant period until every supplied copy is — </w:t>
      </w:r>
    </w:p>
    <w:p>
      <w:pPr>
        <w:pStyle w:val="Indenta"/>
      </w:pPr>
      <w:r>
        <w:tab/>
        <w:t>(a)</w:t>
      </w:r>
      <w:r>
        <w:tab/>
        <w:t>destroyed; or</w:t>
      </w:r>
    </w:p>
    <w:p>
      <w:pPr>
        <w:pStyle w:val="Indenta"/>
      </w:pPr>
      <w:r>
        <w:tab/>
        <w:t>(b)</w:t>
      </w:r>
      <w:r>
        <w:tab/>
        <w:t>in the case of a supplied copy that is in electronic form — deleted from any computer, device, medium or other storage system on or in which the supplied copy is held, retained or stored.</w:t>
      </w:r>
    </w:p>
    <w:p>
      <w:pPr>
        <w:pStyle w:val="Penstart"/>
      </w:pPr>
      <w:r>
        <w:tab/>
        <w:t>Penalty for this subregulation:</w:t>
      </w:r>
    </w:p>
    <w:p>
      <w:pPr>
        <w:pStyle w:val="Penpara"/>
      </w:pPr>
      <w:r>
        <w:tab/>
        <w:t>(a)</w:t>
      </w:r>
      <w:r>
        <w:tab/>
        <w:t>a fine of $5 000;</w:t>
      </w:r>
    </w:p>
    <w:p>
      <w:pPr>
        <w:pStyle w:val="Penpara"/>
      </w:pPr>
      <w:r>
        <w:tab/>
        <w:t>(b)</w:t>
      </w:r>
      <w:r>
        <w:tab/>
        <w:t xml:space="preserve">a daily penalty of </w:t>
      </w:r>
      <w:r>
        <w:rPr>
          <w:snapToGrid w:val="0"/>
        </w:rPr>
        <w:t xml:space="preserve">a fine of $50 </w:t>
      </w:r>
      <w:r>
        <w:t>for each day or part of a day during which the offence continues.</w:t>
      </w:r>
    </w:p>
    <w:p>
      <w:pPr>
        <w:pStyle w:val="Subsection"/>
      </w:pPr>
      <w:r>
        <w:tab/>
        <w:t>(5)</w:t>
      </w:r>
      <w:r>
        <w:tab/>
        <w:t xml:space="preserve">A recipient must, before the end of the relevant period, provide an authorised person with a statutory declaration made by the recipient — </w:t>
      </w:r>
    </w:p>
    <w:p>
      <w:pPr>
        <w:pStyle w:val="Indenta"/>
      </w:pPr>
      <w:r>
        <w:tab/>
        <w:t>(a)</w:t>
      </w:r>
      <w:r>
        <w:tab/>
        <w:t xml:space="preserve">that confirms, in effect, that every supplied copy has been — </w:t>
      </w:r>
    </w:p>
    <w:p>
      <w:pPr>
        <w:pStyle w:val="Indenti"/>
      </w:pPr>
      <w:r>
        <w:tab/>
        <w:t>(i)</w:t>
      </w:r>
      <w:r>
        <w:tab/>
        <w:t>destroyed; or</w:t>
      </w:r>
    </w:p>
    <w:p>
      <w:pPr>
        <w:pStyle w:val="Indenti"/>
      </w:pPr>
      <w:r>
        <w:tab/>
        <w:t>(ii)</w:t>
      </w:r>
      <w:r>
        <w:tab/>
        <w:t>in the case of a supplied copy that is in electronic form — deleted from any computer, device, medium or other storage system on or in which the supplied copy was held, retained or stored;</w:t>
      </w:r>
    </w:p>
    <w:p>
      <w:pPr>
        <w:pStyle w:val="Indenta"/>
      </w:pPr>
      <w:r>
        <w:tab/>
      </w:r>
      <w:r>
        <w:tab/>
        <w:t>and</w:t>
      </w:r>
    </w:p>
    <w:p>
      <w:pPr>
        <w:pStyle w:val="Indenta"/>
      </w:pPr>
      <w:r>
        <w:tab/>
        <w:t>(b)</w:t>
      </w:r>
      <w:r>
        <w:tab/>
        <w:t>that complies with subregulation (6).</w:t>
      </w:r>
    </w:p>
    <w:p>
      <w:pPr>
        <w:pStyle w:val="Subsection"/>
      </w:pPr>
      <w:r>
        <w:tab/>
        <w:t>(6)</w:t>
      </w:r>
      <w:r>
        <w:tab/>
        <w:t xml:space="preserve">For the purposes of subregulation (5)(b), the statutory declaration must — </w:t>
      </w:r>
    </w:p>
    <w:p>
      <w:pPr>
        <w:pStyle w:val="Indenta"/>
      </w:pPr>
      <w:r>
        <w:tab/>
        <w:t>(a)</w:t>
      </w:r>
      <w:r>
        <w:tab/>
        <w:t>identify the election; and</w:t>
      </w:r>
    </w:p>
    <w:p>
      <w:pPr>
        <w:pStyle w:val="Indenta"/>
      </w:pPr>
      <w:r>
        <w:tab/>
        <w:t>(b)</w:t>
      </w:r>
      <w:r>
        <w:tab/>
        <w:t>include a description of every supplied copy, including whether the supplied copy was in electronic form; and</w:t>
      </w:r>
    </w:p>
    <w:p>
      <w:pPr>
        <w:pStyle w:val="Indenta"/>
      </w:pPr>
      <w:r>
        <w:tab/>
        <w:t>(c)</w:t>
      </w:r>
      <w:r>
        <w:tab/>
        <w:t>in relation to every supplied copy, describe the steps taken to destroy or delete it.</w:t>
      </w:r>
    </w:p>
    <w:p>
      <w:pPr>
        <w:pStyle w:val="Subsection"/>
      </w:pPr>
      <w:r>
        <w:lastRenderedPageBreak/>
        <w:tab/>
        <w:t>(7)</w:t>
      </w:r>
      <w:r>
        <w:tab/>
        <w:t>If a recipient fails to comply with subregulation (5), the recipient commits an offence, which continues from the end of the relevant period until the required statutory declaration is provided to an authorised person.</w:t>
      </w:r>
    </w:p>
    <w:p>
      <w:pPr>
        <w:pStyle w:val="Penstart"/>
      </w:pPr>
      <w:r>
        <w:tab/>
        <w:t>Penalty for this subregulation:</w:t>
      </w:r>
    </w:p>
    <w:p>
      <w:pPr>
        <w:pStyle w:val="Penpara"/>
      </w:pPr>
      <w:r>
        <w:tab/>
        <w:t>(a)</w:t>
      </w:r>
      <w:r>
        <w:tab/>
        <w:t>a fine of $5 000;</w:t>
      </w:r>
    </w:p>
    <w:p>
      <w:pPr>
        <w:pStyle w:val="Penpara"/>
      </w:pPr>
      <w:r>
        <w:tab/>
        <w:t>(b)</w:t>
      </w:r>
      <w:r>
        <w:tab/>
        <w:t xml:space="preserve">a daily penalty of </w:t>
      </w:r>
      <w:r>
        <w:rPr>
          <w:snapToGrid w:val="0"/>
        </w:rPr>
        <w:t xml:space="preserve">a fine of $50 </w:t>
      </w:r>
      <w:r>
        <w:t>for each day or part of a day during which the offence continues.</w:t>
      </w:r>
    </w:p>
    <w:p>
      <w:pPr>
        <w:pStyle w:val="Subsection"/>
      </w:pPr>
      <w:r>
        <w:tab/>
        <w:t>(8)</w:t>
      </w:r>
      <w:r>
        <w:tab/>
        <w:t xml:space="preserve">For the purposes of subregulations (3) to (7) but subject to subregulation (9), the </w:t>
      </w:r>
      <w:r>
        <w:rPr>
          <w:rStyle w:val="CharDefText"/>
        </w:rPr>
        <w:t>relevant period</w:t>
      </w:r>
      <w:r>
        <w:t xml:space="preserve"> is — </w:t>
      </w:r>
    </w:p>
    <w:p>
      <w:pPr>
        <w:pStyle w:val="Indenta"/>
      </w:pPr>
      <w:r>
        <w:tab/>
        <w:t>(a)</w:t>
      </w:r>
      <w:r>
        <w:tab/>
        <w:t>if the recipient is a candidate in the election who is not elected at the election — the period of 5 working days after the day on which the result of the election is declared under section 4.77; or</w:t>
      </w:r>
    </w:p>
    <w:p>
      <w:pPr>
        <w:pStyle w:val="Indenta"/>
      </w:pPr>
      <w:r>
        <w:tab/>
        <w:t>(b)</w:t>
      </w:r>
      <w:r>
        <w:tab/>
        <w:t xml:space="preserve">if the recipient is a candidate in the election who is elected at the election — the period of 5 working days after the day on which, as the case requires — </w:t>
      </w:r>
    </w:p>
    <w:p>
      <w:pPr>
        <w:pStyle w:val="Indenti"/>
      </w:pPr>
      <w:r>
        <w:tab/>
        <w:t>(i)</w:t>
      </w:r>
      <w:r>
        <w:tab/>
        <w:t>the term of the office to which the recipient is elected ends; or</w:t>
      </w:r>
    </w:p>
    <w:p>
      <w:pPr>
        <w:pStyle w:val="Indenti"/>
      </w:pPr>
      <w:r>
        <w:tab/>
        <w:t>(ii)</w:t>
      </w:r>
      <w:r>
        <w:tab/>
        <w:t>if that office becomes vacant before the end of that term — the day on which that office becomes vacant;</w:t>
      </w:r>
    </w:p>
    <w:p>
      <w:pPr>
        <w:pStyle w:val="Indenta"/>
      </w:pPr>
      <w:r>
        <w:tab/>
      </w:r>
      <w:r>
        <w:tab/>
        <w:t>or</w:t>
      </w:r>
    </w:p>
    <w:p>
      <w:pPr>
        <w:pStyle w:val="Indenta"/>
      </w:pPr>
      <w:r>
        <w:tab/>
        <w:t>(c)</w:t>
      </w:r>
      <w:r>
        <w:tab/>
        <w:t xml:space="preserve">if the recipient is a member of the council who is not a candidate in the election — the period of 5 working days after the day on which, as the case requires — </w:t>
      </w:r>
    </w:p>
    <w:p>
      <w:pPr>
        <w:pStyle w:val="Indenti"/>
      </w:pPr>
      <w:r>
        <w:tab/>
        <w:t>(i)</w:t>
      </w:r>
      <w:r>
        <w:tab/>
        <w:t>the term of the recipient’s current office ends; or</w:t>
      </w:r>
    </w:p>
    <w:p>
      <w:pPr>
        <w:pStyle w:val="Indenti"/>
      </w:pPr>
      <w:r>
        <w:tab/>
        <w:t>(ii)</w:t>
      </w:r>
      <w:r>
        <w:tab/>
        <w:t>if that office becomes vacant before the end of that term — the day on which that office becomes vacant.</w:t>
      </w:r>
    </w:p>
    <w:p>
      <w:pPr>
        <w:pStyle w:val="Subsection"/>
        <w:keepNext/>
      </w:pPr>
      <w:r>
        <w:lastRenderedPageBreak/>
        <w:tab/>
        <w:t>(9)</w:t>
      </w:r>
      <w:r>
        <w:tab/>
        <w:t xml:space="preserve">If the election becomes void under section 4.58, the </w:t>
      </w:r>
      <w:r>
        <w:rPr>
          <w:rStyle w:val="CharDefText"/>
        </w:rPr>
        <w:t>relevant period</w:t>
      </w:r>
      <w:r>
        <w:t xml:space="preserve"> is the period of 5 working days after the day on which the candidate dies.</w:t>
      </w:r>
    </w:p>
    <w:p>
      <w:pPr>
        <w:pStyle w:val="Footnotesection"/>
      </w:pPr>
      <w:r>
        <w:tab/>
        <w:t>[Regulation 22AA inserted: SL 2023/102 r. 25.]</w:t>
      </w:r>
    </w:p>
    <w:p>
      <w:pPr>
        <w:pStyle w:val="Heading5"/>
      </w:pPr>
      <w:bookmarkStart w:id="29" w:name="_Toc200026120"/>
      <w:r>
        <w:rPr>
          <w:rStyle w:val="CharSectno"/>
        </w:rPr>
        <w:t>22A</w:t>
      </w:r>
      <w:r>
        <w:t>.</w:t>
      </w:r>
      <w:r>
        <w:tab/>
        <w:t>Certification of corrections to roll — s. 4.43(4)</w:t>
      </w:r>
      <w:bookmarkEnd w:id="29"/>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Gazette 21 Jan 2005 p. 264.]</w:t>
      </w:r>
    </w:p>
    <w:p>
      <w:pPr>
        <w:pStyle w:val="Heading2"/>
      </w:pPr>
      <w:bookmarkStart w:id="30" w:name="_Toc200026121"/>
      <w:r>
        <w:rPr>
          <w:rStyle w:val="CharPartNo"/>
        </w:rPr>
        <w:lastRenderedPageBreak/>
        <w:t>Part 5</w:t>
      </w:r>
      <w:r>
        <w:rPr>
          <w:rStyle w:val="CharDivNo"/>
        </w:rPr>
        <w:t> </w:t>
      </w:r>
      <w:r>
        <w:t>—</w:t>
      </w:r>
      <w:r>
        <w:rPr>
          <w:rStyle w:val="CharDivText"/>
        </w:rPr>
        <w:t> </w:t>
      </w:r>
      <w:r>
        <w:rPr>
          <w:rStyle w:val="CharPartText"/>
        </w:rPr>
        <w:t>Nominations</w:t>
      </w:r>
      <w:bookmarkEnd w:id="30"/>
    </w:p>
    <w:p>
      <w:pPr>
        <w:pStyle w:val="Heading5"/>
      </w:pPr>
      <w:bookmarkStart w:id="31" w:name="_Toc200026122"/>
      <w:r>
        <w:rPr>
          <w:rStyle w:val="CharSectno"/>
        </w:rPr>
        <w:t>22B</w:t>
      </w:r>
      <w:r>
        <w:t>.</w:t>
      </w:r>
      <w:r>
        <w:tab/>
        <w:t>Course of induction — s. 4.48(1) and (2)</w:t>
      </w:r>
      <w:bookmarkEnd w:id="31"/>
    </w:p>
    <w:p>
      <w:pPr>
        <w:pStyle w:val="Subsection"/>
      </w:pPr>
      <w:r>
        <w:tab/>
        <w:t>(1)</w:t>
      </w:r>
      <w:r>
        <w:tab/>
        <w:t xml:space="preserve">For the purposes of section 4.48(1) and (2), the course of induction is the course titled </w:t>
      </w:r>
      <w:r>
        <w:rPr>
          <w:i/>
        </w:rPr>
        <w:t>Local Government Candidate Induction</w:t>
      </w:r>
      <w:r>
        <w:t xml:space="preserve"> that is available on the Department’s official website after 30 June 2023.</w:t>
      </w:r>
    </w:p>
    <w:p>
      <w:pPr>
        <w:pStyle w:val="Subsection"/>
      </w:pPr>
      <w:r>
        <w:tab/>
        <w:t>(2)</w:t>
      </w:r>
      <w:r>
        <w:tab/>
        <w:t>The course of induction prescribed under subregulation (1) must be completed by the person referred to in section 4.48(1)(d) or (2)(b) even if the person has completed a previously prescribed course of induction.</w:t>
      </w:r>
    </w:p>
    <w:p>
      <w:pPr>
        <w:pStyle w:val="Footnotesection"/>
      </w:pPr>
      <w:r>
        <w:tab/>
        <w:t>[Regulation 22B inserted: SL 2023/102 r. 26.]</w:t>
      </w:r>
    </w:p>
    <w:p>
      <w:pPr>
        <w:pStyle w:val="Heading5"/>
        <w:spacing w:before="180"/>
        <w:rPr>
          <w:snapToGrid w:val="0"/>
        </w:rPr>
      </w:pPr>
      <w:bookmarkStart w:id="32" w:name="_Toc200026123"/>
      <w:r>
        <w:rPr>
          <w:rStyle w:val="CharSectno"/>
        </w:rPr>
        <w:t>23</w:t>
      </w:r>
      <w:r>
        <w:rPr>
          <w:snapToGrid w:val="0"/>
        </w:rPr>
        <w:t>.</w:t>
      </w:r>
      <w:r>
        <w:rPr>
          <w:snapToGrid w:val="0"/>
        </w:rPr>
        <w:tab/>
        <w:t>Means of sending nomination or withdrawal — s. 4.49(a) and s. </w:t>
      </w:r>
      <w:r>
        <w:rPr>
          <w:rStyle w:val="CharSectno"/>
        </w:rPr>
        <w:t>4</w:t>
      </w:r>
      <w:r>
        <w:rPr>
          <w:snapToGrid w:val="0"/>
        </w:rPr>
        <w:t>.53(2)(a)</w:t>
      </w:r>
      <w:bookmarkEnd w:id="32"/>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spacing w:before="120"/>
        <w:rPr>
          <w:snapToGrid w:val="0"/>
        </w:rPr>
      </w:pPr>
      <w:r>
        <w:rPr>
          <w:snapToGrid w:val="0"/>
        </w:rPr>
        <w:tab/>
      </w:r>
      <w:r>
        <w:rPr>
          <w:snapToGrid w:val="0"/>
        </w:rPr>
        <w:tab/>
        <w:t>can be received.</w:t>
      </w:r>
    </w:p>
    <w:p>
      <w:pPr>
        <w:pStyle w:val="Heading5"/>
        <w:spacing w:before="180"/>
        <w:rPr>
          <w:snapToGrid w:val="0"/>
        </w:rPr>
      </w:pPr>
      <w:bookmarkStart w:id="33" w:name="_Toc200026124"/>
      <w:r>
        <w:rPr>
          <w:rStyle w:val="CharSectno"/>
        </w:rPr>
        <w:t>24</w:t>
      </w:r>
      <w:r>
        <w:rPr>
          <w:snapToGrid w:val="0"/>
        </w:rPr>
        <w:t>.</w:t>
      </w:r>
      <w:r>
        <w:rPr>
          <w:snapToGrid w:val="0"/>
        </w:rPr>
        <w:tab/>
        <w:t>Candidate’s profile — s. 4.49(b)</w:t>
      </w:r>
      <w:bookmarkEnd w:id="33"/>
    </w:p>
    <w:p>
      <w:pPr>
        <w:pStyle w:val="Subsection"/>
        <w:spacing w:before="120"/>
        <w:rPr>
          <w:snapToGrid w:val="0"/>
        </w:rPr>
      </w:pPr>
      <w:r>
        <w:rPr>
          <w:snapToGrid w:val="0"/>
        </w:rPr>
        <w:tab/>
      </w:r>
      <w:r>
        <w:rPr>
          <w:snapToGrid w:val="0"/>
        </w:rPr>
        <w:tab/>
        <w:t>The profile of a candidate required by section 4.49(b) —</w:t>
      </w:r>
    </w:p>
    <w:p>
      <w:pPr>
        <w:pStyle w:val="Indenta"/>
        <w:rPr>
          <w:snapToGrid w:val="0"/>
        </w:rPr>
      </w:pPr>
      <w:r>
        <w:rPr>
          <w:snapToGrid w:val="0"/>
        </w:rPr>
        <w:tab/>
        <w:t>(a)</w:t>
      </w:r>
      <w:r>
        <w:rPr>
          <w:snapToGrid w:val="0"/>
        </w:rPr>
        <w:tab/>
        <w:t xml:space="preserve">is to be in the English language and is not to contain more than </w:t>
      </w:r>
      <w:r>
        <w:t>1 000 characters and spaces (but not counting the characters and spaces</w:t>
      </w:r>
      <w:r>
        <w:rPr>
          <w:snapToGrid w:val="0"/>
        </w:rPr>
        <w:t xml:space="preserve"> needed to comply with paragraph (d)); and</w:t>
      </w:r>
    </w:p>
    <w:p>
      <w:pPr>
        <w:pStyle w:val="Indenta"/>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 and</w:t>
      </w:r>
    </w:p>
    <w:p>
      <w:pPr>
        <w:pStyle w:val="Indenta"/>
        <w:rPr>
          <w:snapToGrid w:val="0"/>
        </w:rPr>
      </w:pPr>
      <w:r>
        <w:rPr>
          <w:snapToGrid w:val="0"/>
        </w:rPr>
        <w:lastRenderedPageBreak/>
        <w:tab/>
        <w:t>(c)</w:t>
      </w:r>
      <w:r>
        <w:rPr>
          <w:snapToGrid w:val="0"/>
        </w:rPr>
        <w:tab/>
        <w:t>is to be hand written, typed or printed on a single A4 page, or if it is delivered electronically, is to be capable of being printed on a single A4 page; and</w:t>
      </w:r>
    </w:p>
    <w:p>
      <w:pPr>
        <w:pStyle w:val="Indenta"/>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keepNext/>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spacing w:before="80"/>
        <w:ind w:left="890" w:hanging="890"/>
      </w:pPr>
      <w:r>
        <w:tab/>
        <w:t>[Regulation 24 amended: Gazette 25 Jan 2001 p. 588; SL 2021/141 r. 5; SL 2023/102 r. 27.]</w:t>
      </w:r>
    </w:p>
    <w:p>
      <w:pPr>
        <w:pStyle w:val="Heading5"/>
        <w:rPr>
          <w:snapToGrid w:val="0"/>
        </w:rPr>
      </w:pPr>
      <w:bookmarkStart w:id="34" w:name="_Toc200026125"/>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34"/>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35" w:name="_Toc200026126"/>
      <w:r>
        <w:rPr>
          <w:rStyle w:val="CharSectno"/>
        </w:rPr>
        <w:lastRenderedPageBreak/>
        <w:t>26</w:t>
      </w:r>
      <w:r>
        <w:rPr>
          <w:snapToGrid w:val="0"/>
        </w:rPr>
        <w:t>.</w:t>
      </w:r>
      <w:r>
        <w:rPr>
          <w:snapToGrid w:val="0"/>
        </w:rPr>
        <w:tab/>
        <w:t>Deposits — s. 4.49(d) and s. 4.50</w:t>
      </w:r>
      <w:bookmarkEnd w:id="35"/>
    </w:p>
    <w:p>
      <w:pPr>
        <w:pStyle w:val="Subsection"/>
        <w:rPr>
          <w:snapToGrid w:val="0"/>
        </w:rPr>
      </w:pPr>
      <w:r>
        <w:rPr>
          <w:snapToGrid w:val="0"/>
        </w:rPr>
        <w:tab/>
        <w:t>(1)</w:t>
      </w:r>
      <w:r>
        <w:rPr>
          <w:snapToGrid w:val="0"/>
        </w:rPr>
        <w:tab/>
        <w:t xml:space="preserve">The deposit to be paid in respect of the nomination of a candidate is </w:t>
      </w:r>
      <w:r>
        <w:t>$100.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Gazette 22 Dec 1998 p. 6869; 21 Jan 2005 p. 265; 18 Mar 2005 p. 975; SL 2023/102 r. 28.]</w:t>
      </w:r>
    </w:p>
    <w:p>
      <w:pPr>
        <w:pStyle w:val="Heading5"/>
        <w:rPr>
          <w:snapToGrid w:val="0"/>
        </w:rPr>
      </w:pPr>
      <w:bookmarkStart w:id="36" w:name="_Toc200026127"/>
      <w:r>
        <w:rPr>
          <w:rStyle w:val="CharSectno"/>
        </w:rPr>
        <w:t>27</w:t>
      </w:r>
      <w:r>
        <w:rPr>
          <w:snapToGrid w:val="0"/>
        </w:rPr>
        <w:t>.</w:t>
      </w:r>
      <w:r>
        <w:rPr>
          <w:snapToGrid w:val="0"/>
        </w:rPr>
        <w:tab/>
        <w:t>Cases in which deposits refunded — s. 4.50</w:t>
      </w:r>
      <w:bookmarkEnd w:id="36"/>
    </w:p>
    <w:p>
      <w:pPr>
        <w:pStyle w:val="Subsection"/>
        <w:rPr>
          <w:snapToGrid w:val="0"/>
        </w:rPr>
      </w:pPr>
      <w:r>
        <w:rPr>
          <w:snapToGrid w:val="0"/>
        </w:rPr>
        <w:tab/>
        <w:t>(1)</w:t>
      </w:r>
      <w:r>
        <w:rPr>
          <w:snapToGrid w:val="0"/>
        </w:rPr>
        <w:tab/>
        <w:t>A successful candidate’s deposit is to be refunded.</w:t>
      </w:r>
    </w:p>
    <w:p>
      <w:pPr>
        <w:pStyle w:val="Subsection"/>
      </w:pPr>
      <w:r>
        <w:tab/>
        <w:t>(2)</w:t>
      </w:r>
      <w:r>
        <w:tab/>
        <w:t>If the number of first</w:t>
      </w:r>
      <w:r>
        <w:noBreakHyphen/>
        <w:t>preference votes received by a candidate is at least 5% of the total number of first</w:t>
      </w:r>
      <w:r>
        <w:noBreakHyphen/>
        <w:t>preference votes included in the count, that candidate’s deposit is to be refunded.</w:t>
      </w:r>
    </w:p>
    <w:p>
      <w:pPr>
        <w:pStyle w:val="Ednotesubsection"/>
      </w:pPr>
      <w:r>
        <w:tab/>
        <w:t>[(3)</w:t>
      </w:r>
      <w:r>
        <w:tab/>
        <w:t>deleted]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pPr>
      <w:r>
        <w:lastRenderedPageBreak/>
        <w:tab/>
        <w:t>(5)</w:t>
      </w:r>
      <w:r>
        <w:tab/>
        <w:t>A candidate’s deposit must be refunded if the candidate’s nomination is withdrawn under section 4.53 before the close of nominations.</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Gazette 18 Mar 2005 p. 975; 3 Aug 2007 p. 3990-1; 28 Aug 2009 p. 3360; SL 2023/102 r. 29.]</w:t>
      </w:r>
    </w:p>
    <w:p>
      <w:pPr>
        <w:pStyle w:val="Heading5"/>
        <w:rPr>
          <w:snapToGrid w:val="0"/>
        </w:rPr>
      </w:pPr>
      <w:bookmarkStart w:id="37" w:name="_Toc200026128"/>
      <w:r>
        <w:rPr>
          <w:rStyle w:val="CharSectno"/>
        </w:rPr>
        <w:t>28</w:t>
      </w:r>
      <w:r>
        <w:rPr>
          <w:snapToGrid w:val="0"/>
        </w:rPr>
        <w:t>.</w:t>
      </w:r>
      <w:r>
        <w:rPr>
          <w:snapToGrid w:val="0"/>
        </w:rPr>
        <w:tab/>
        <w:t>How deposits refunded — s. 4.50</w:t>
      </w:r>
      <w:bookmarkEnd w:id="37"/>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 or</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keepNext/>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 or</w:t>
      </w:r>
    </w:p>
    <w:p>
      <w:pPr>
        <w:pStyle w:val="Indenta"/>
      </w:pPr>
      <w:r>
        <w:lastRenderedPageBreak/>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keepNext/>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Gazette 21 Jan 2005 p. 265-6; 18 Mar 2005 p. 976.]</w:t>
      </w:r>
    </w:p>
    <w:p>
      <w:pPr>
        <w:pStyle w:val="Heading5"/>
        <w:rPr>
          <w:snapToGrid w:val="0"/>
        </w:rPr>
      </w:pPr>
      <w:bookmarkStart w:id="38" w:name="_Toc200026129"/>
      <w:r>
        <w:rPr>
          <w:rStyle w:val="CharSectno"/>
        </w:rPr>
        <w:t>29</w:t>
      </w:r>
      <w:r>
        <w:rPr>
          <w:snapToGrid w:val="0"/>
        </w:rPr>
        <w:t>.</w:t>
      </w:r>
      <w:r>
        <w:rPr>
          <w:snapToGrid w:val="0"/>
        </w:rPr>
        <w:tab/>
        <w:t>Local government to retain deposits in other cases</w:t>
      </w:r>
      <w:bookmarkEnd w:id="38"/>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pPr>
      <w:bookmarkStart w:id="39" w:name="_Toc200026130"/>
      <w:r>
        <w:rPr>
          <w:rStyle w:val="CharSectno"/>
        </w:rPr>
        <w:lastRenderedPageBreak/>
        <w:t>29A</w:t>
      </w:r>
      <w:r>
        <w:t>.</w:t>
      </w:r>
      <w:r>
        <w:tab/>
        <w:t>Publication of information about candidates — s. 4.52</w:t>
      </w:r>
      <w:bookmarkEnd w:id="39"/>
    </w:p>
    <w:p>
      <w:pPr>
        <w:pStyle w:val="Subsection"/>
        <w:keepNext/>
      </w:pPr>
      <w:r>
        <w:tab/>
        <w:t>(1)</w:t>
      </w:r>
      <w:r>
        <w:tab/>
        <w:t xml:space="preserve">The following are prescribed for the purposes of paragraph (d) of the definition of </w:t>
      </w:r>
      <w:r>
        <w:rPr>
          <w:b/>
          <w:i/>
        </w:rPr>
        <w:t>relevant information</w:t>
      </w:r>
      <w:r>
        <w:t xml:space="preserve"> in section 4.52(1) — </w:t>
      </w:r>
    </w:p>
    <w:p>
      <w:pPr>
        <w:pStyle w:val="Indenta"/>
      </w:pPr>
      <w:r>
        <w:tab/>
        <w:t>(a)</w:t>
      </w:r>
      <w:r>
        <w:tab/>
        <w:t>the written statement that the RO is required to prepare under subregulation (2), (3) or (4) (as the case requires);</w:t>
      </w:r>
    </w:p>
    <w:p>
      <w:pPr>
        <w:pStyle w:val="Indenta"/>
      </w:pPr>
      <w:r>
        <w:tab/>
        <w:t>(b)</w:t>
      </w:r>
      <w:r>
        <w:tab/>
        <w:t>the written statement (if any) provided by the candidate in accordance with subregulations (5) and (6), unless the RO considers that the statement contains something that is false, misleading or defamatory.</w:t>
      </w:r>
    </w:p>
    <w:p>
      <w:pPr>
        <w:pStyle w:val="Subsection"/>
        <w:keepNext/>
      </w:pPr>
      <w:r>
        <w:tab/>
        <w:t>(2)</w:t>
      </w:r>
      <w:r>
        <w:tab/>
        <w:t xml:space="preserve">If the candidate is eligible to be a candidate because they are an elector under section 4.29 of the district, or of any ward in the district,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a resident of [INSERT NAME OF DISTRICT].</w:t>
      </w:r>
    </w:p>
    <w:p>
      <w:pPr>
        <w:pStyle w:val="BlankClose"/>
      </w:pPr>
    </w:p>
    <w:p>
      <w:pPr>
        <w:pStyle w:val="Subsection"/>
        <w:keepNext/>
      </w:pPr>
      <w:r>
        <w:tab/>
        <w:t>(3)</w:t>
      </w:r>
      <w:r>
        <w:tab/>
        <w:t xml:space="preserve">If the candidate is eligible to be a candidate because they are an elector under section 4.30 of the district, or of any ward in the district, on the basis of ownership of rateable property,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the owner of rateable property in [INSERT NAME OF DISTRICT].</w:t>
      </w:r>
    </w:p>
    <w:p>
      <w:pPr>
        <w:pStyle w:val="BlankClose"/>
      </w:pPr>
    </w:p>
    <w:p>
      <w:pPr>
        <w:pStyle w:val="Subsection"/>
        <w:keepNext/>
      </w:pPr>
      <w:r>
        <w:tab/>
        <w:t>(4)</w:t>
      </w:r>
      <w:r>
        <w:tab/>
        <w:t xml:space="preserve">If the candidate is eligible to be a candidate because they are an elector under section 4.30 of the district, or of any ward in the district, on the basis of occupation of rateable property, for the </w:t>
      </w:r>
      <w:r>
        <w:lastRenderedPageBreak/>
        <w:t xml:space="preserve">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the occupier of rateable property in [INSERT NAME OF DISTRICT].</w:t>
      </w:r>
    </w:p>
    <w:p>
      <w:pPr>
        <w:pStyle w:val="BlankClose"/>
      </w:pPr>
    </w:p>
    <w:p>
      <w:pPr>
        <w:pStyle w:val="Subsection"/>
      </w:pPr>
      <w:r>
        <w:tab/>
        <w:t>(5)</w:t>
      </w:r>
      <w:r>
        <w:tab/>
        <w:t>For the purposes of subregulation (1)(b), a candidate may provide, for publication on the local government’s official website, a written statement that contains information that the candidate considers to be relevant to their candidature in addition to any information included in their profile under section 4.49(b) or provided by them under section 4.49(ba).</w:t>
      </w:r>
    </w:p>
    <w:p>
      <w:pPr>
        <w:pStyle w:val="Subsection"/>
        <w:keepNext/>
      </w:pPr>
      <w:r>
        <w:tab/>
        <w:t>(6)</w:t>
      </w:r>
      <w:r>
        <w:tab/>
        <w:t xml:space="preserve">The written statement must — </w:t>
      </w:r>
    </w:p>
    <w:p>
      <w:pPr>
        <w:pStyle w:val="Indenta"/>
      </w:pPr>
      <w:r>
        <w:tab/>
        <w:t>(a)</w:t>
      </w:r>
      <w:r>
        <w:tab/>
        <w:t>accompany the nomination paper for the candidate; and</w:t>
      </w:r>
    </w:p>
    <w:p>
      <w:pPr>
        <w:pStyle w:val="Indenta"/>
      </w:pPr>
      <w:r>
        <w:tab/>
        <w:t>(b)</w:t>
      </w:r>
      <w:r>
        <w:tab/>
        <w:t>be in the English language; and</w:t>
      </w:r>
    </w:p>
    <w:p>
      <w:pPr>
        <w:pStyle w:val="Indenta"/>
      </w:pPr>
      <w:r>
        <w:tab/>
        <w:t>(c)</w:t>
      </w:r>
      <w:r>
        <w:tab/>
        <w:t>contain no more than 2 000 characters and spaces.</w:t>
      </w:r>
    </w:p>
    <w:p>
      <w:pPr>
        <w:pStyle w:val="Subsection"/>
        <w:keepNext/>
      </w:pPr>
      <w:r>
        <w:tab/>
        <w:t>(7)</w:t>
      </w:r>
      <w:r>
        <w:tab/>
        <w:t xml:space="preserve">Section 4.87(1) does not apply to the written statement when it is — </w:t>
      </w:r>
    </w:p>
    <w:p>
      <w:pPr>
        <w:pStyle w:val="Indenta"/>
      </w:pPr>
      <w:r>
        <w:tab/>
        <w:t>(a)</w:t>
      </w:r>
      <w:r>
        <w:tab/>
        <w:t>being provided with the nomination paper; or</w:t>
      </w:r>
    </w:p>
    <w:p>
      <w:pPr>
        <w:pStyle w:val="Indenta"/>
      </w:pPr>
      <w:r>
        <w:tab/>
        <w:t>(b)</w:t>
      </w:r>
      <w:r>
        <w:tab/>
        <w:t>being published by the RO or the local government on the local government’s official website; or</w:t>
      </w:r>
    </w:p>
    <w:p>
      <w:pPr>
        <w:pStyle w:val="Indenta"/>
        <w:keepNext/>
      </w:pPr>
      <w:r>
        <w:tab/>
        <w:t>(c)</w:t>
      </w:r>
      <w:r>
        <w:tab/>
        <w:t>being printed (as defined in section 4.87(3)), supplied or distributed by the RO or the local government for the purpose of publishing it on the local government’s official website or for any other purpose related to the election.</w:t>
      </w:r>
    </w:p>
    <w:p>
      <w:pPr>
        <w:pStyle w:val="Footnotesection"/>
      </w:pPr>
      <w:r>
        <w:tab/>
        <w:t>[Regulation 29A inserted: SL 2023/102 r. 30.]</w:t>
      </w:r>
    </w:p>
    <w:p>
      <w:pPr>
        <w:pStyle w:val="Heading5"/>
        <w:rPr>
          <w:snapToGrid w:val="0"/>
        </w:rPr>
      </w:pPr>
      <w:bookmarkStart w:id="40" w:name="_Toc200026131"/>
      <w:r>
        <w:rPr>
          <w:rStyle w:val="CharSectno"/>
        </w:rPr>
        <w:lastRenderedPageBreak/>
        <w:t>30</w:t>
      </w:r>
      <w:r>
        <w:rPr>
          <w:snapToGrid w:val="0"/>
        </w:rPr>
        <w:t>.</w:t>
      </w:r>
      <w:r>
        <w:rPr>
          <w:snapToGrid w:val="0"/>
        </w:rPr>
        <w:tab/>
        <w:t>Drawing lots for positions on ballot paper — s. 4.56(a)</w:t>
      </w:r>
      <w:bookmarkEnd w:id="40"/>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41" w:name="_Toc200026132"/>
      <w:r>
        <w:rPr>
          <w:rStyle w:val="CharPartNo"/>
        </w:rPr>
        <w:lastRenderedPageBreak/>
        <w:t>Part 5A</w:t>
      </w:r>
      <w:r>
        <w:rPr>
          <w:rStyle w:val="CharDivNo"/>
        </w:rPr>
        <w:t> </w:t>
      </w:r>
      <w:r>
        <w:t>—</w:t>
      </w:r>
      <w:r>
        <w:rPr>
          <w:rStyle w:val="CharDivText"/>
        </w:rPr>
        <w:t> </w:t>
      </w:r>
      <w:r>
        <w:rPr>
          <w:rStyle w:val="CharPartText"/>
        </w:rPr>
        <w:t>Disclosure of gifts</w:t>
      </w:r>
      <w:bookmarkEnd w:id="41"/>
    </w:p>
    <w:p>
      <w:pPr>
        <w:pStyle w:val="Footnoteheading"/>
        <w:ind w:left="890"/>
      </w:pPr>
      <w:r>
        <w:tab/>
        <w:t>[Heading inserted: Gazette 20 Nov 1998 p. 6275.]</w:t>
      </w:r>
    </w:p>
    <w:p>
      <w:pPr>
        <w:pStyle w:val="Heading5"/>
      </w:pPr>
      <w:bookmarkStart w:id="42" w:name="_Toc200026133"/>
      <w:r>
        <w:rPr>
          <w:rStyle w:val="CharSectno"/>
        </w:rPr>
        <w:t>30A</w:t>
      </w:r>
      <w:r>
        <w:t>.</w:t>
      </w:r>
      <w:r>
        <w:tab/>
        <w:t>Terms used</w:t>
      </w:r>
      <w:bookmarkEnd w:id="42"/>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$300 worth), financial or other contribution to travel, the provision of a service for no consideration or for inadequate consideration, and a firm promise or agreement to give a gift at some future time.</w:t>
      </w:r>
    </w:p>
    <w:p>
      <w:pPr>
        <w:pStyle w:val="Subsection"/>
      </w:pPr>
      <w:r>
        <w:tab/>
        <w:t>(3)</w:t>
      </w:r>
      <w:r>
        <w:tab/>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$300 or more; or</w:t>
      </w:r>
    </w:p>
    <w:p>
      <w:pPr>
        <w:pStyle w:val="Indenta"/>
      </w:pPr>
      <w:r>
        <w:tab/>
        <w:t>(b)</w:t>
      </w:r>
      <w:r>
        <w:tab/>
        <w:t>the value of the gift is less than $300, but the gift is one of 2 or more gifts, with a total value of $300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lastRenderedPageBreak/>
        <w:tab/>
        <w:t>(b)</w:t>
      </w:r>
      <w:r>
        <w:tab/>
        <w:t>a gift by a relative (as defined in section 5.74(1) of the Act); or</w:t>
      </w:r>
    </w:p>
    <w:p>
      <w:pPr>
        <w:pStyle w:val="Indenta"/>
      </w:pPr>
      <w:r>
        <w:tab/>
        <w:t>(c)</w:t>
      </w:r>
      <w:r>
        <w:tab/>
        <w:t>a gift that does not relate to the candidate’s candidature; or</w:t>
      </w:r>
    </w:p>
    <w:p>
      <w:pPr>
        <w:pStyle w:val="Indenta"/>
      </w:pPr>
      <w:r>
        <w:tab/>
        <w:t>(d)</w:t>
      </w:r>
      <w:r>
        <w:tab/>
        <w:t>the provision of volunteer labour.</w:t>
      </w:r>
    </w:p>
    <w:p>
      <w:pPr>
        <w:pStyle w:val="Footnotesection"/>
      </w:pPr>
      <w:r>
        <w:tab/>
        <w:t>[Regulation 30A inserted: Gazette 20 Nov 1998 p. 6275; amended: Gazette 14 Aug 2009 p. 3216; SL 2023/102 r. 31.]</w:t>
      </w:r>
    </w:p>
    <w:p>
      <w:pPr>
        <w:pStyle w:val="Heading5"/>
      </w:pPr>
      <w:bookmarkStart w:id="43" w:name="_Toc200026134"/>
      <w:r>
        <w:rPr>
          <w:rStyle w:val="CharSectno"/>
        </w:rPr>
        <w:t>30BA</w:t>
      </w:r>
      <w:r>
        <w:t>.</w:t>
      </w:r>
      <w:r>
        <w:tab/>
        <w:t>Candidates not to receive gifts from unidentified donors</w:t>
      </w:r>
      <w:bookmarkEnd w:id="43"/>
    </w:p>
    <w:p>
      <w:pPr>
        <w:pStyle w:val="Subsection"/>
      </w:pPr>
      <w:r>
        <w:tab/>
        <w:t>(1)</w:t>
      </w:r>
      <w:r>
        <w:tab/>
        <w:t>A candidate must not receive a gift during the period set out in regulation 30C unless the name and address of each donor are known to the candidate.</w:t>
      </w:r>
    </w:p>
    <w:p>
      <w:pPr>
        <w:pStyle w:val="Penstart"/>
      </w:pPr>
      <w:r>
        <w:tab/>
        <w:t>Penalty: $5 000.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 Gazette 14 Aug 2009 p. 3216-17.]</w:t>
      </w:r>
    </w:p>
    <w:p>
      <w:pPr>
        <w:pStyle w:val="Heading5"/>
      </w:pPr>
      <w:bookmarkStart w:id="44" w:name="_Toc200026135"/>
      <w:r>
        <w:rPr>
          <w:rStyle w:val="CharSectno"/>
        </w:rPr>
        <w:t>30B</w:t>
      </w:r>
      <w:r>
        <w:t>.</w:t>
      </w:r>
      <w:r>
        <w:tab/>
        <w:t>Candidates to disclose gifts — s. 4.59</w:t>
      </w:r>
      <w:bookmarkEnd w:id="44"/>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Ednotesubsection"/>
      </w:pPr>
      <w:r>
        <w:lastRenderedPageBreak/>
        <w:tab/>
        <w:t>[(3)</w:t>
      </w:r>
      <w:r>
        <w:tab/>
        <w:t>deleted]</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Gazette 20 Nov 1998 p. 6275; amended: Gazette 14 Aug 2009 p. 3217.]</w:t>
      </w:r>
    </w:p>
    <w:p>
      <w:pPr>
        <w:pStyle w:val="Heading5"/>
      </w:pPr>
      <w:bookmarkStart w:id="45" w:name="_Toc200026136"/>
      <w:r>
        <w:rPr>
          <w:rStyle w:val="CharSectno"/>
        </w:rPr>
        <w:t>30CA</w:t>
      </w:r>
      <w:r>
        <w:t>.</w:t>
      </w:r>
      <w:r>
        <w:tab/>
        <w:t>Donors to disclose gifts — s. 4.59</w:t>
      </w:r>
      <w:bookmarkEnd w:id="45"/>
    </w:p>
    <w:p>
      <w:pPr>
        <w:pStyle w:val="Subsection"/>
      </w:pPr>
      <w:r>
        <w:tab/>
        <w:t>(1)</w:t>
      </w:r>
      <w:r>
        <w:tab/>
        <w:t>A donor must disclose to the CEO a gift to a candidate promised or made during the period set out in regulation 30C.</w:t>
      </w:r>
    </w:p>
    <w:p>
      <w:pPr>
        <w:pStyle w:val="Penstart"/>
      </w:pPr>
      <w:r>
        <w:tab/>
        <w:t>Penalty: $5 000.</w:t>
      </w:r>
    </w:p>
    <w:p>
      <w:pPr>
        <w:pStyle w:val="Subsection"/>
      </w:pPr>
      <w:r>
        <w:tab/>
        <w:t>(2)</w:t>
      </w:r>
      <w:r>
        <w:tab/>
        <w:t>A donor must make a disclosure to the CEO in the manner set out in regulation 30D(1), and within the time set out in regulation 30D(2).</w:t>
      </w:r>
    </w:p>
    <w:p>
      <w:pPr>
        <w:pStyle w:val="Penstart"/>
      </w:pPr>
      <w:r>
        <w:tab/>
        <w:t>Penalty: $5 000.</w:t>
      </w:r>
    </w:p>
    <w:p>
      <w:pPr>
        <w:pStyle w:val="Subsection"/>
      </w:pPr>
      <w:r>
        <w:tab/>
        <w:t>(3)</w:t>
      </w:r>
      <w:r>
        <w:tab/>
        <w:t>A donor must provide the information set out in regulation 30F(1) relating to the gift, and the donor must ensure that the information provided is not false or misleading.</w:t>
      </w:r>
    </w:p>
    <w:p>
      <w:pPr>
        <w:pStyle w:val="Penstart"/>
      </w:pPr>
      <w:r>
        <w:tab/>
        <w:t>Penalty: $5 000.</w:t>
      </w:r>
    </w:p>
    <w:p>
      <w:pPr>
        <w:pStyle w:val="Footnotesection"/>
      </w:pPr>
      <w:r>
        <w:tab/>
        <w:t>[Regulation 30CA inserted: Gazette 14 Aug 2009 p. 3217.]</w:t>
      </w:r>
    </w:p>
    <w:p>
      <w:pPr>
        <w:pStyle w:val="Heading5"/>
      </w:pPr>
      <w:bookmarkStart w:id="46" w:name="_Toc200026137"/>
      <w:r>
        <w:rPr>
          <w:rStyle w:val="CharSectno"/>
        </w:rPr>
        <w:t>30C</w:t>
      </w:r>
      <w:r>
        <w:t>.</w:t>
      </w:r>
      <w:r>
        <w:tab/>
        <w:t>Disclosure period</w:t>
      </w:r>
      <w:bookmarkEnd w:id="46"/>
    </w:p>
    <w:p>
      <w:pPr>
        <w:pStyle w:val="Subsection"/>
      </w:pPr>
      <w:r>
        <w:tab/>
        <w:t>(1)</w:t>
      </w:r>
      <w:r>
        <w:tab/>
        <w:t>For the purposes of regulation 30B(1) and 30CA(1),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lastRenderedPageBreak/>
        <w:tab/>
        <w:t>(2)</w:t>
      </w:r>
      <w:r>
        <w:tab/>
        <w:t>Where a delay results from a declaration from the Court of Disputed Returns the period of delay is to be added to the 6 month period set out in subregulation (1).</w:t>
      </w:r>
    </w:p>
    <w:p>
      <w:pPr>
        <w:pStyle w:val="Subsection"/>
      </w:pPr>
      <w:r>
        <w:tab/>
        <w:t>(3)</w:t>
      </w:r>
      <w:r>
        <w:tab/>
        <w:t xml:space="preserve">If the day the </w:t>
      </w:r>
      <w:r>
        <w:rPr>
          <w:i/>
        </w:rPr>
        <w:t>Local Government (Elections) Amendment Regulations 2009</w:t>
      </w:r>
      <w:r>
        <w:rPr>
          <w:iCs/>
        </w:rPr>
        <w:t xml:space="preserve"> regulation 3 comes into operation (the </w:t>
      </w:r>
      <w:r>
        <w:rPr>
          <w:rStyle w:val="CharDefText"/>
        </w:rPr>
        <w:t>commencement day</w:t>
      </w:r>
      <w:r>
        <w:t>) is</w:t>
      </w:r>
      <w:r>
        <w:rPr>
          <w:iCs/>
        </w:rPr>
        <w:t xml:space="preserve"> less than 6 months before a relevant election day, the period set out in subregulation (1) commences on the commencement day.</w:t>
      </w:r>
    </w:p>
    <w:p>
      <w:pPr>
        <w:pStyle w:val="Footnotesection"/>
      </w:pPr>
      <w:r>
        <w:tab/>
        <w:t>[Regulation 30C inserted: Gazette 20 Nov 1998 p. 6276; amended: Gazette 14 Aug 2009 p. 3217.]</w:t>
      </w:r>
    </w:p>
    <w:p>
      <w:pPr>
        <w:pStyle w:val="Heading5"/>
      </w:pPr>
      <w:bookmarkStart w:id="47" w:name="_Toc200026138"/>
      <w:r>
        <w:rPr>
          <w:rStyle w:val="CharSectno"/>
        </w:rPr>
        <w:t>30D</w:t>
      </w:r>
      <w:r>
        <w:t>.</w:t>
      </w:r>
      <w:r>
        <w:tab/>
        <w:t>Manner and time of disclosure</w:t>
      </w:r>
      <w:bookmarkEnd w:id="47"/>
    </w:p>
    <w:p>
      <w:pPr>
        <w:pStyle w:val="Subsection"/>
      </w:pPr>
      <w:r>
        <w:tab/>
        <w:t>(1)</w:t>
      </w:r>
      <w:r>
        <w:tab/>
        <w:t>For the purposes of regulation 30B(2) or 30CA(2), a disclosure is to be made by completing Form 9A and lodging it with the CEO.</w:t>
      </w:r>
    </w:p>
    <w:p>
      <w:pPr>
        <w:pStyle w:val="Subsection"/>
      </w:pPr>
      <w:r>
        <w:tab/>
        <w:t>(2)</w:t>
      </w:r>
      <w:r>
        <w:tab/>
        <w:t>For the purposes of regulation 30B(2) or 30CA(2), a disclosure is to be made —</w:t>
      </w:r>
    </w:p>
    <w:p>
      <w:pPr>
        <w:pStyle w:val="Indenta"/>
      </w:pPr>
      <w:r>
        <w:tab/>
        <w:t>(a)</w:t>
      </w:r>
      <w:r>
        <w:tab/>
        <w:t>within 3 days of the making, receipt (or promise) of the gift, once nominations are made; or</w:t>
      </w:r>
    </w:p>
    <w:p>
      <w:pPr>
        <w:pStyle w:val="Indenta"/>
      </w:pPr>
      <w:r>
        <w:tab/>
        <w:t>(b)</w:t>
      </w:r>
      <w:r>
        <w:tab/>
        <w:t>within 3 days of nomination, for gifts made,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control of the person who is required to make the disclosure.</w:t>
      </w:r>
    </w:p>
    <w:p>
      <w:pPr>
        <w:pStyle w:val="Footnotesection"/>
      </w:pPr>
      <w:r>
        <w:tab/>
        <w:t>[Regulation 30D inserted: Gazette 20 Nov 1998 p. 6276; amended: Gazette 14 Aug 2009 p. 3218.]</w:t>
      </w:r>
    </w:p>
    <w:p>
      <w:pPr>
        <w:pStyle w:val="Ednotesection"/>
      </w:pPr>
      <w:r>
        <w:t>[</w:t>
      </w:r>
      <w:r>
        <w:rPr>
          <w:b/>
          <w:bCs/>
        </w:rPr>
        <w:t>30E.</w:t>
      </w:r>
      <w:r>
        <w:tab/>
        <w:t>Deleted: Gazette 14 Aug 2009 p. 3218.]</w:t>
      </w:r>
    </w:p>
    <w:p>
      <w:pPr>
        <w:pStyle w:val="Heading5"/>
      </w:pPr>
      <w:bookmarkStart w:id="48" w:name="_Toc200026139"/>
      <w:r>
        <w:rPr>
          <w:rStyle w:val="CharSectno"/>
        </w:rPr>
        <w:lastRenderedPageBreak/>
        <w:t>30F</w:t>
      </w:r>
      <w:r>
        <w:t>.</w:t>
      </w:r>
      <w:r>
        <w:tab/>
        <w:t>Information to be provided</w:t>
      </w:r>
      <w:bookmarkEnd w:id="48"/>
    </w:p>
    <w:p>
      <w:pPr>
        <w:pStyle w:val="Subsection"/>
      </w:pPr>
      <w:r>
        <w:tab/>
        <w:t>(1)</w:t>
      </w:r>
      <w:r>
        <w:tab/>
        <w:t>For the purposes of regulation 30B(4) and 30CA(3), a disclosure is to contain the following information —</w:t>
      </w:r>
    </w:p>
    <w:p>
      <w:pPr>
        <w:pStyle w:val="Indenta"/>
      </w:pPr>
      <w:r>
        <w:tab/>
        <w:t>(a)</w:t>
      </w:r>
      <w:r>
        <w:tab/>
        <w:t>a description of the gift;</w:t>
      </w:r>
    </w:p>
    <w:p>
      <w:pPr>
        <w:pStyle w:val="Indenta"/>
      </w:pPr>
      <w:r>
        <w:tab/>
        <w:t>(b)</w:t>
      </w:r>
      <w:r>
        <w:tab/>
        <w:t>the date the gift was made, received or promised;</w:t>
      </w:r>
    </w:p>
    <w:p>
      <w:pPr>
        <w:pStyle w:val="Indenta"/>
      </w:pPr>
      <w:r>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pPr>
      <w:r>
        <w:tab/>
        <w:t>(a)</w:t>
      </w:r>
      <w:r>
        <w:tab/>
        <w:t>provides as much of the information as is available to the candidate; and</w:t>
      </w:r>
    </w:p>
    <w:p>
      <w:pPr>
        <w:pStyle w:val="Indenta"/>
      </w:pPr>
      <w:r>
        <w:tab/>
        <w:t>(b)</w:t>
      </w:r>
      <w:r>
        <w:tab/>
        <w:t>indicates what of the required information has not been provided; and</w:t>
      </w:r>
    </w:p>
    <w:p>
      <w:pPr>
        <w:pStyle w:val="Indenta"/>
      </w:pPr>
      <w:r>
        <w:tab/>
        <w:t>(c)</w:t>
      </w:r>
      <w:r>
        <w:tab/>
        <w:t>sets out the reasons for not being able to provide the information.</w:t>
      </w:r>
    </w:p>
    <w:p>
      <w:pPr>
        <w:pStyle w:val="Subsection"/>
      </w:pPr>
      <w:r>
        <w:tab/>
        <w:t>(3)</w:t>
      </w:r>
      <w:r>
        <w:tab/>
        <w:t>In subregulation (2) —</w:t>
      </w:r>
    </w:p>
    <w:p>
      <w:pPr>
        <w:pStyle w:val="Defstart"/>
      </w:pPr>
      <w:r>
        <w:tab/>
      </w:r>
      <w:r>
        <w:rPr>
          <w:rStyle w:val="CharDefText"/>
        </w:rPr>
        <w:t>reasons</w:t>
      </w:r>
      <w:r>
        <w:t xml:space="preserve"> must be, in the opinion of the CEO, sufficient and appropriate.</w:t>
      </w:r>
    </w:p>
    <w:p>
      <w:pPr>
        <w:pStyle w:val="Footnotesection"/>
        <w:ind w:left="890" w:hanging="890"/>
      </w:pPr>
      <w:r>
        <w:tab/>
        <w:t>[Regulation 30F inserted: Gazette 20 Nov 1998 p. 6276; amended: Gazette 14 Aug 2009 p. 3218.]</w:t>
      </w:r>
    </w:p>
    <w:p>
      <w:pPr>
        <w:pStyle w:val="Heading5"/>
      </w:pPr>
      <w:bookmarkStart w:id="49" w:name="_Toc200026140"/>
      <w:r>
        <w:rPr>
          <w:rStyle w:val="CharSectno"/>
        </w:rPr>
        <w:t>30G</w:t>
      </w:r>
      <w:r>
        <w:t>.</w:t>
      </w:r>
      <w:r>
        <w:tab/>
        <w:t>Electoral gift register</w:t>
      </w:r>
      <w:bookmarkEnd w:id="49"/>
    </w:p>
    <w:p>
      <w:pPr>
        <w:pStyle w:val="Subsection"/>
      </w:pPr>
      <w:r>
        <w:tab/>
        <w:t>(1)</w:t>
      </w:r>
      <w:r>
        <w:tab/>
        <w:t>The CEO is to establish and maintain an electoral gift register.</w:t>
      </w:r>
    </w:p>
    <w:p>
      <w:pPr>
        <w:pStyle w:val="Subsection"/>
      </w:pPr>
      <w:r>
        <w:tab/>
        <w:t>(2)</w:t>
      </w:r>
      <w:r>
        <w:tab/>
        <w:t>The CEO is to ensure that all ‘disclosure of gifts’ forms completed by candidates and donors and received by the CEO are placed on the electoral gift register —</w:t>
      </w:r>
    </w:p>
    <w:p>
      <w:pPr>
        <w:pStyle w:val="Indenta"/>
      </w:pPr>
      <w:r>
        <w:tab/>
        <w:t>(a)</w:t>
      </w:r>
      <w:r>
        <w:tab/>
        <w:t>upon receipt by the CEO; and</w:t>
      </w:r>
    </w:p>
    <w:p>
      <w:pPr>
        <w:pStyle w:val="Indenta"/>
      </w:pPr>
      <w:r>
        <w:tab/>
        <w:t>(b)</w:t>
      </w:r>
      <w:r>
        <w:tab/>
        <w:t>in a manner that clearly identifies and distinguishes the forms relating to each candidate.</w:t>
      </w:r>
    </w:p>
    <w:p>
      <w:pPr>
        <w:pStyle w:val="Subsection"/>
      </w:pPr>
      <w:r>
        <w:lastRenderedPageBreak/>
        <w:tab/>
        <w:t>(3)</w:t>
      </w:r>
      <w:r>
        <w:tab/>
        <w:t>Any ‘disclosure of gifts’ forms relating to a candidate must be kept on the electoral gift register until the end of the period of 4 years after the relevant election day.</w:t>
      </w:r>
    </w:p>
    <w:p>
      <w:pPr>
        <w:pStyle w:val="Subsection"/>
      </w:pPr>
      <w:r>
        <w:tab/>
        <w:t>(4)</w:t>
      </w:r>
      <w:r>
        <w:tab/>
        <w:t xml:space="preserve">The CEO must — </w:t>
      </w:r>
    </w:p>
    <w:p>
      <w:pPr>
        <w:pStyle w:val="Indenta"/>
      </w:pPr>
      <w:r>
        <w:tab/>
        <w:t>(a)</w:t>
      </w:r>
      <w:r>
        <w:tab/>
        <w:t>remove those forms from the electoral gift register at the end of that 4</w:t>
      </w:r>
      <w:r>
        <w:noBreakHyphen/>
        <w:t>year period; and</w:t>
      </w:r>
    </w:p>
    <w:p>
      <w:pPr>
        <w:pStyle w:val="Indenta"/>
      </w:pPr>
      <w:r>
        <w:tab/>
        <w:t>(b)</w:t>
      </w:r>
      <w:r>
        <w:tab/>
        <w:t>retain them separately for a period of at least 2 years.</w:t>
      </w:r>
    </w:p>
    <w:p>
      <w:pPr>
        <w:pStyle w:val="Subsection"/>
      </w:pPr>
      <w:r>
        <w:tab/>
        <w:t>(5)</w:t>
      </w:r>
      <w:r>
        <w:tab/>
        <w:t>The CEO must publish an up</w:t>
      </w:r>
      <w:r>
        <w:noBreakHyphen/>
        <w:t>to</w:t>
      </w:r>
      <w:r>
        <w:noBreakHyphen/>
        <w:t>date version of the electoral gift register on the local government’s official website.</w:t>
      </w:r>
    </w:p>
    <w:p>
      <w:pPr>
        <w:pStyle w:val="Subsection"/>
      </w:pPr>
      <w:r>
        <w:tab/>
        <w:t>(6)</w:t>
      </w:r>
      <w:r>
        <w:tab/>
        <w:t>The version of the electoral gift register published under subregulation (5) must not include the address of an individual included in a ‘disclosure of gifts’ form and must instead include the town or suburb mentioned in the address.</w:t>
      </w:r>
    </w:p>
    <w:p>
      <w:pPr>
        <w:pStyle w:val="Footnotesection"/>
        <w:keepLines w:val="0"/>
        <w:ind w:left="890" w:hanging="890"/>
      </w:pPr>
      <w:r>
        <w:tab/>
        <w:t>[Regulation 30G inserted as regulation 30H: Gazette 20 Nov 1998 p. 6276; renumbered as regulation 30G: Gazette 22 Dec 1998 p. 6869; amended: 14 Aug 2009 p. 3219; SL 2020/213 r. 27; SL 2023/102 r. 32.]</w:t>
      </w:r>
    </w:p>
    <w:p>
      <w:pPr>
        <w:pStyle w:val="Heading5"/>
        <w:spacing w:before="180"/>
      </w:pPr>
      <w:bookmarkStart w:id="50" w:name="_Toc200026141"/>
      <w:r>
        <w:rPr>
          <w:rStyle w:val="CharSectno"/>
        </w:rPr>
        <w:t>30H</w:t>
      </w:r>
      <w:r>
        <w:t>.</w:t>
      </w:r>
      <w:r>
        <w:tab/>
        <w:t>Public to have access to electoral gift register</w:t>
      </w:r>
      <w:bookmarkEnd w:id="50"/>
    </w:p>
    <w:p>
      <w:pPr>
        <w:pStyle w:val="Subsection"/>
        <w:keepNext/>
      </w:pPr>
      <w:r>
        <w:tab/>
      </w:r>
      <w:r>
        <w:tab/>
        <w:t>The electoral gift register is to be kept at the appropriate local government offices.</w:t>
      </w:r>
    </w:p>
    <w:p>
      <w:pPr>
        <w:pStyle w:val="Footnotesection"/>
        <w:ind w:left="890" w:hanging="890"/>
      </w:pPr>
      <w:r>
        <w:tab/>
        <w:t>[Regulation 30H inserted as regulation 30I: Gazette 20 Nov 1998 p. 6276; renumbered as regulation 30H: Gazette 22 Dec 1998 p. 6869.]</w:t>
      </w:r>
    </w:p>
    <w:p>
      <w:pPr>
        <w:pStyle w:val="Heading5"/>
        <w:spacing w:before="180"/>
      </w:pPr>
      <w:bookmarkStart w:id="51" w:name="_Toc200026142"/>
      <w:r>
        <w:rPr>
          <w:rStyle w:val="CharSectno"/>
        </w:rPr>
        <w:t>30I</w:t>
      </w:r>
      <w:r>
        <w:t>.</w:t>
      </w:r>
      <w:r>
        <w:tab/>
        <w:t>Offence to publish information in certain cases</w:t>
      </w:r>
      <w:bookmarkEnd w:id="51"/>
    </w:p>
    <w:p>
      <w:pPr>
        <w:pStyle w:val="Subsection"/>
        <w:keepNext/>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keepNext/>
      </w:pPr>
      <w:r>
        <w:lastRenderedPageBreak/>
        <w:tab/>
        <w:t>(b)</w:t>
      </w:r>
      <w:r>
        <w:tab/>
        <w:t>any comment on the facts set forth in an electoral gift register unless that comment is fair and published in good faith.</w:t>
      </w:r>
    </w:p>
    <w:p>
      <w:pPr>
        <w:pStyle w:val="Penstart"/>
      </w:pPr>
      <w:r>
        <w:tab/>
        <w:t>Penalty: $5 000.</w:t>
      </w:r>
    </w:p>
    <w:p>
      <w:pPr>
        <w:pStyle w:val="Subsection"/>
        <w:keepNext/>
      </w:pPr>
      <w:r>
        <w:tab/>
        <w:t>(2)</w:t>
      </w:r>
      <w:r>
        <w:tab/>
        <w:t>In subregulation (1) —</w:t>
      </w:r>
    </w:p>
    <w:p>
      <w:pPr>
        <w:pStyle w:val="Defstart"/>
        <w:keepNext/>
      </w:pPr>
      <w:r>
        <w:tab/>
      </w:r>
      <w:r>
        <w:rPr>
          <w:rStyle w:val="CharDefText"/>
        </w:rPr>
        <w:t>publish</w:t>
      </w:r>
      <w:r>
        <w:t xml:space="preserve"> has the meaning that the term has in the law of tort (as modified by the </w:t>
      </w:r>
      <w:r>
        <w:rPr>
          <w:i/>
        </w:rPr>
        <w:t>Defamation Act 2005</w:t>
      </w:r>
      <w:r>
        <w:t>) relating to defamation.</w:t>
      </w:r>
    </w:p>
    <w:p>
      <w:pPr>
        <w:pStyle w:val="Footnotesection"/>
        <w:ind w:left="890" w:hanging="890"/>
      </w:pPr>
      <w:r>
        <w:tab/>
        <w:t>[Regulation 30I inserted as regulation 30J: Gazette 20 Nov 1998 p. 6276</w:t>
      </w:r>
      <w:r>
        <w:noBreakHyphen/>
        <w:t>7; renumbered as regulation 30I: Gazette 22 Dec 1998 p. 6869; amended: SL 2020/213 r. 28.]</w:t>
      </w:r>
    </w:p>
    <w:p>
      <w:pPr>
        <w:pStyle w:val="Heading2"/>
      </w:pPr>
      <w:bookmarkStart w:id="52" w:name="_Toc200026143"/>
      <w:r>
        <w:rPr>
          <w:rStyle w:val="CharPartNo"/>
        </w:rPr>
        <w:lastRenderedPageBreak/>
        <w:t>Part 6</w:t>
      </w:r>
      <w:r>
        <w:rPr>
          <w:rStyle w:val="CharDivNo"/>
        </w:rPr>
        <w:t> </w:t>
      </w:r>
      <w:r>
        <w:t>—</w:t>
      </w:r>
      <w:r>
        <w:rPr>
          <w:rStyle w:val="CharDivText"/>
        </w:rPr>
        <w:t> </w:t>
      </w:r>
      <w:r>
        <w:rPr>
          <w:rStyle w:val="CharPartText"/>
        </w:rPr>
        <w:t>Election notices</w:t>
      </w:r>
      <w:bookmarkEnd w:id="52"/>
    </w:p>
    <w:p>
      <w:pPr>
        <w:pStyle w:val="Heading5"/>
        <w:rPr>
          <w:snapToGrid w:val="0"/>
        </w:rPr>
      </w:pPr>
      <w:bookmarkStart w:id="53" w:name="_Toc200026144"/>
      <w:r>
        <w:rPr>
          <w:rStyle w:val="CharSectno"/>
        </w:rPr>
        <w:t>31</w:t>
      </w:r>
      <w:r>
        <w:rPr>
          <w:snapToGrid w:val="0"/>
        </w:rPr>
        <w:t>.</w:t>
      </w:r>
      <w:r>
        <w:rPr>
          <w:snapToGrid w:val="0"/>
        </w:rPr>
        <w:tab/>
        <w:t>Contents of election notice — s. 4.64</w:t>
      </w:r>
      <w:bookmarkEnd w:id="53"/>
    </w:p>
    <w:p>
      <w:pPr>
        <w:pStyle w:val="Subsection"/>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votes indicated on ballot papers are to be recorded electronically;</w:t>
      </w:r>
    </w:p>
    <w:p>
      <w:pPr>
        <w:pStyle w:val="Indenti"/>
      </w:pPr>
      <w:r>
        <w:tab/>
        <w:t>(iii)</w:t>
      </w:r>
      <w:r>
        <w:tab/>
        <w:t>any electronic counting place or places.</w:t>
      </w:r>
    </w:p>
    <w:p>
      <w:pPr>
        <w:pStyle w:val="Subsection"/>
        <w:keepNext/>
        <w:rPr>
          <w:snapToGrid w:val="0"/>
        </w:rPr>
      </w:pPr>
      <w:r>
        <w:rPr>
          <w:snapToGrid w:val="0"/>
        </w:rPr>
        <w:tab/>
        <w:t>(2)</w:t>
      </w:r>
      <w:r>
        <w:rPr>
          <w:snapToGrid w:val="0"/>
        </w:rPr>
        <w:tab/>
        <w:t xml:space="preserve">If the same election day is fixed for 2 or more elections a combined election notice can be given and, in that case, the </w:t>
      </w:r>
      <w:r>
        <w:rPr>
          <w:snapToGrid w:val="0"/>
        </w:rPr>
        <w:lastRenderedPageBreak/>
        <w:t>notice is to give details of the respective offices for which the candidates are seeking election.</w:t>
      </w:r>
    </w:p>
    <w:p>
      <w:pPr>
        <w:pStyle w:val="Footnotesection"/>
        <w:ind w:left="890" w:hanging="890"/>
      </w:pPr>
      <w:r>
        <w:tab/>
        <w:t>[Regulation 31 amended: Gazette 3 Aug 2007 p. 3991; 28 Aug 2009 p. 3360; SL 2023/102 r. 33.]</w:t>
      </w:r>
    </w:p>
    <w:p>
      <w:pPr>
        <w:pStyle w:val="Heading5"/>
        <w:rPr>
          <w:snapToGrid w:val="0"/>
        </w:rPr>
      </w:pPr>
      <w:bookmarkStart w:id="54" w:name="_Toc200026145"/>
      <w:r>
        <w:rPr>
          <w:rStyle w:val="CharSectno"/>
        </w:rPr>
        <w:t>32</w:t>
      </w:r>
      <w:r>
        <w:rPr>
          <w:snapToGrid w:val="0"/>
        </w:rPr>
        <w:t>.</w:t>
      </w:r>
      <w:r>
        <w:rPr>
          <w:snapToGrid w:val="0"/>
        </w:rPr>
        <w:tab/>
        <w:t>Other notices</w:t>
      </w:r>
      <w:bookmarkEnd w:id="54"/>
    </w:p>
    <w:p>
      <w:pPr>
        <w:pStyle w:val="Subsection"/>
        <w:rPr>
          <w:snapToGrid w:val="0"/>
        </w:rPr>
      </w:pPr>
      <w:r>
        <w:rPr>
          <w:snapToGrid w:val="0"/>
        </w:rPr>
        <w:tab/>
        <w:t>(1)</w:t>
      </w:r>
      <w:r>
        <w:rPr>
          <w:snapToGrid w:val="0"/>
        </w:rPr>
        <w:tab/>
        <w:t>The RO may give such other notices about the election as the RO thinks fit.</w:t>
      </w:r>
    </w:p>
    <w:p>
      <w:pPr>
        <w:pStyle w:val="Subsection"/>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55" w:name="_Toc200026146"/>
      <w:r>
        <w:rPr>
          <w:rStyle w:val="CharPartNo"/>
        </w:rPr>
        <w:lastRenderedPageBreak/>
        <w:t>Part 7</w:t>
      </w:r>
      <w:r>
        <w:rPr>
          <w:rStyle w:val="CharDivNo"/>
        </w:rPr>
        <w:t> </w:t>
      </w:r>
      <w:r>
        <w:t>—</w:t>
      </w:r>
      <w:r>
        <w:rPr>
          <w:rStyle w:val="CharDivText"/>
        </w:rPr>
        <w:t> </w:t>
      </w:r>
      <w:r>
        <w:rPr>
          <w:rStyle w:val="CharPartText"/>
        </w:rPr>
        <w:t>Ballot papers</w:t>
      </w:r>
      <w:bookmarkEnd w:id="55"/>
    </w:p>
    <w:p>
      <w:pPr>
        <w:pStyle w:val="Footnoteheading"/>
      </w:pPr>
      <w:r>
        <w:tab/>
        <w:t>[Heading amended: SL 2023/102 r. 34.]</w:t>
      </w:r>
    </w:p>
    <w:p>
      <w:pPr>
        <w:pStyle w:val="Heading5"/>
        <w:rPr>
          <w:snapToGrid w:val="0"/>
        </w:rPr>
      </w:pPr>
      <w:bookmarkStart w:id="56" w:name="_Toc200026147"/>
      <w:r>
        <w:rPr>
          <w:rStyle w:val="CharSectno"/>
        </w:rPr>
        <w:t>33</w:t>
      </w:r>
      <w:r>
        <w:rPr>
          <w:snapToGrid w:val="0"/>
        </w:rPr>
        <w:t>.</w:t>
      </w:r>
      <w:r>
        <w:rPr>
          <w:snapToGrid w:val="0"/>
        </w:rPr>
        <w:tab/>
        <w:t>RO to print ballot papers — s. 4.71(1)(a)</w:t>
      </w:r>
      <w:bookmarkEnd w:id="56"/>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Ednotesection"/>
      </w:pPr>
      <w:r>
        <w:t>[</w:t>
      </w:r>
      <w:r>
        <w:rPr>
          <w:b/>
        </w:rPr>
        <w:t>34, 35.</w:t>
      </w:r>
      <w:r>
        <w:rPr>
          <w:b/>
        </w:rPr>
        <w:tab/>
      </w:r>
      <w:r>
        <w:t>Deleted: SL 2023/102 r. 35.]</w:t>
      </w:r>
    </w:p>
    <w:p>
      <w:pPr>
        <w:pStyle w:val="Heading2"/>
      </w:pPr>
      <w:bookmarkStart w:id="57" w:name="_Toc200026148"/>
      <w:r>
        <w:rPr>
          <w:rStyle w:val="CharPartNo"/>
        </w:rPr>
        <w:lastRenderedPageBreak/>
        <w:t>Part 8</w:t>
      </w:r>
      <w:r>
        <w:t> — </w:t>
      </w:r>
      <w:r>
        <w:rPr>
          <w:rStyle w:val="CharPartText"/>
        </w:rPr>
        <w:t>Postal voting</w:t>
      </w:r>
      <w:bookmarkEnd w:id="57"/>
    </w:p>
    <w:p>
      <w:pPr>
        <w:pStyle w:val="Heading3"/>
        <w:rPr>
          <w:snapToGrid w:val="0"/>
          <w:sz w:val="30"/>
        </w:rPr>
      </w:pPr>
      <w:bookmarkStart w:id="58" w:name="_Toc200026149"/>
      <w:r>
        <w:rPr>
          <w:rStyle w:val="CharDivNo"/>
        </w:rPr>
        <w:t>Division 1</w:t>
      </w:r>
      <w:r>
        <w:rPr>
          <w:snapToGrid w:val="0"/>
        </w:rPr>
        <w:t> — </w:t>
      </w:r>
      <w:r>
        <w:rPr>
          <w:rStyle w:val="CharDivText"/>
        </w:rPr>
        <w:t>Application to vote by post — s. 4.71(1)(c)</w:t>
      </w:r>
      <w:bookmarkEnd w:id="58"/>
    </w:p>
    <w:p>
      <w:pPr>
        <w:pStyle w:val="Heading5"/>
        <w:rPr>
          <w:snapToGrid w:val="0"/>
        </w:rPr>
      </w:pPr>
      <w:bookmarkStart w:id="59" w:name="_Toc200026150"/>
      <w:r>
        <w:rPr>
          <w:rStyle w:val="CharSectno"/>
        </w:rPr>
        <w:t>36</w:t>
      </w:r>
      <w:r>
        <w:rPr>
          <w:snapToGrid w:val="0"/>
        </w:rPr>
        <w:t>.</w:t>
      </w:r>
      <w:r>
        <w:rPr>
          <w:snapToGrid w:val="0"/>
        </w:rPr>
        <w:tab/>
        <w:t>No application required for postal election</w:t>
      </w:r>
      <w:bookmarkEnd w:id="59"/>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60" w:name="_Toc200026151"/>
      <w:r>
        <w:rPr>
          <w:rStyle w:val="CharSectno"/>
        </w:rPr>
        <w:t>37</w:t>
      </w:r>
      <w:r>
        <w:rPr>
          <w:snapToGrid w:val="0"/>
        </w:rPr>
        <w:t>.</w:t>
      </w:r>
      <w:r>
        <w:rPr>
          <w:snapToGrid w:val="0"/>
        </w:rPr>
        <w:tab/>
        <w:t>How to apply to vote by post at voting in person elections</w:t>
      </w:r>
      <w:bookmarkEnd w:id="60"/>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 xml:space="preserve">An application made on or after the </w:t>
      </w:r>
      <w:r>
        <w:t>43</w:t>
      </w:r>
      <w:r>
        <w:rPr>
          <w:vertAlign w:val="superscript"/>
        </w:rPr>
        <w:t>rd</w:t>
      </w:r>
      <w:r>
        <w:rPr>
          <w:snapToGrid w:val="0"/>
        </w:rPr>
        <w:t xml:space="preserve">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Footnotesection"/>
      </w:pPr>
      <w:r>
        <w:tab/>
        <w:t>[Regulation 37 amended: SL 2023/102 r. 36.]</w:t>
      </w:r>
    </w:p>
    <w:p>
      <w:pPr>
        <w:pStyle w:val="Heading5"/>
        <w:rPr>
          <w:snapToGrid w:val="0"/>
        </w:rPr>
      </w:pPr>
      <w:bookmarkStart w:id="61" w:name="_Toc200026152"/>
      <w:r>
        <w:rPr>
          <w:rStyle w:val="CharSectno"/>
        </w:rPr>
        <w:lastRenderedPageBreak/>
        <w:t>38</w:t>
      </w:r>
      <w:r>
        <w:rPr>
          <w:snapToGrid w:val="0"/>
        </w:rPr>
        <w:t>.</w:t>
      </w:r>
      <w:r>
        <w:rPr>
          <w:snapToGrid w:val="0"/>
        </w:rPr>
        <w:tab/>
        <w:t>How applications dealt with</w:t>
      </w:r>
      <w:bookmarkEnd w:id="61"/>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 and</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62" w:name="_Toc200026153"/>
      <w:r>
        <w:rPr>
          <w:rStyle w:val="CharSectno"/>
        </w:rPr>
        <w:t>39</w:t>
      </w:r>
      <w:r>
        <w:rPr>
          <w:snapToGrid w:val="0"/>
        </w:rPr>
        <w:t>.</w:t>
      </w:r>
      <w:r>
        <w:rPr>
          <w:snapToGrid w:val="0"/>
        </w:rPr>
        <w:tab/>
        <w:t>Notice of rejection</w:t>
      </w:r>
      <w:bookmarkEnd w:id="62"/>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63" w:name="_Toc200026154"/>
      <w:r>
        <w:rPr>
          <w:rStyle w:val="CharSectno"/>
        </w:rPr>
        <w:t>40</w:t>
      </w:r>
      <w:r>
        <w:rPr>
          <w:snapToGrid w:val="0"/>
        </w:rPr>
        <w:t>.</w:t>
      </w:r>
      <w:r>
        <w:rPr>
          <w:snapToGrid w:val="0"/>
        </w:rPr>
        <w:tab/>
        <w:t>Postal voters register</w:t>
      </w:r>
      <w:bookmarkEnd w:id="63"/>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w:t>
      </w:r>
      <w:r>
        <w:lastRenderedPageBreak/>
        <w:t>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64" w:name="_Toc200026155"/>
      <w:r>
        <w:rPr>
          <w:rStyle w:val="CharDivNo"/>
        </w:rPr>
        <w:t>Division 2</w:t>
      </w:r>
      <w:r>
        <w:rPr>
          <w:snapToGrid w:val="0"/>
        </w:rPr>
        <w:t> — </w:t>
      </w:r>
      <w:r>
        <w:rPr>
          <w:rStyle w:val="CharDivText"/>
        </w:rPr>
        <w:t>Issue of postal voting papers — s. 4.71(1)(c)</w:t>
      </w:r>
      <w:bookmarkEnd w:id="64"/>
    </w:p>
    <w:p>
      <w:pPr>
        <w:pStyle w:val="Heading5"/>
        <w:rPr>
          <w:snapToGrid w:val="0"/>
        </w:rPr>
      </w:pPr>
      <w:bookmarkStart w:id="65" w:name="_Toc200026156"/>
      <w:r>
        <w:rPr>
          <w:rStyle w:val="CharSectno"/>
        </w:rPr>
        <w:t>41</w:t>
      </w:r>
      <w:r>
        <w:rPr>
          <w:snapToGrid w:val="0"/>
        </w:rPr>
        <w:t>.</w:t>
      </w:r>
      <w:r>
        <w:rPr>
          <w:snapToGrid w:val="0"/>
        </w:rPr>
        <w:tab/>
        <w:t>Postal election</w:t>
      </w:r>
      <w:bookmarkEnd w:id="65"/>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66" w:name="_Toc200026157"/>
      <w:r>
        <w:rPr>
          <w:rStyle w:val="CharSectno"/>
        </w:rPr>
        <w:t>42</w:t>
      </w:r>
      <w:r>
        <w:rPr>
          <w:snapToGrid w:val="0"/>
        </w:rPr>
        <w:t>.</w:t>
      </w:r>
      <w:r>
        <w:rPr>
          <w:snapToGrid w:val="0"/>
        </w:rPr>
        <w:tab/>
        <w:t>Voting in person election</w:t>
      </w:r>
      <w:bookmarkEnd w:id="66"/>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67" w:name="_Toc200026158"/>
      <w:r>
        <w:rPr>
          <w:rStyle w:val="CharSectno"/>
        </w:rPr>
        <w:t>43</w:t>
      </w:r>
      <w:r>
        <w:rPr>
          <w:snapToGrid w:val="0"/>
        </w:rPr>
        <w:t>.</w:t>
      </w:r>
      <w:r>
        <w:rPr>
          <w:snapToGrid w:val="0"/>
        </w:rPr>
        <w:tab/>
        <w:t>Contents of election package</w:t>
      </w:r>
      <w:bookmarkEnd w:id="67"/>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 and</w:t>
      </w:r>
    </w:p>
    <w:p>
      <w:pPr>
        <w:pStyle w:val="Indenta"/>
        <w:rPr>
          <w:snapToGrid w:val="0"/>
        </w:rPr>
      </w:pPr>
      <w:r>
        <w:rPr>
          <w:snapToGrid w:val="0"/>
        </w:rPr>
        <w:lastRenderedPageBreak/>
        <w:tab/>
        <w:t>(b)</w:t>
      </w:r>
      <w:r>
        <w:rPr>
          <w:snapToGrid w:val="0"/>
        </w:rPr>
        <w:tab/>
        <w:t>the profiles of candidates required by section 4.49(b) reproduced in such form as the RO determines; and</w:t>
      </w:r>
    </w:p>
    <w:p>
      <w:pPr>
        <w:pStyle w:val="Indenta"/>
        <w:rPr>
          <w:snapToGrid w:val="0"/>
        </w:rPr>
      </w:pPr>
      <w:r>
        <w:rPr>
          <w:snapToGrid w:val="0"/>
        </w:rPr>
        <w:tab/>
        <w:t>(ba)</w:t>
      </w:r>
      <w:r>
        <w:rPr>
          <w:snapToGrid w:val="0"/>
        </w:rPr>
        <w:tab/>
        <w:t xml:space="preserve">information to the effect that the electoral </w:t>
      </w:r>
      <w:r>
        <w:t>gift</w:t>
      </w:r>
      <w:r>
        <w:rPr>
          <w:snapToGrid w:val="0"/>
        </w:rPr>
        <w:t xml:space="preserve"> register is available for inspection, by any voter prior to the election, at the relevant local government offices; and</w:t>
      </w:r>
    </w:p>
    <w:p>
      <w:pPr>
        <w:pStyle w:val="Indenta"/>
        <w:rPr>
          <w:snapToGrid w:val="0"/>
        </w:rPr>
      </w:pPr>
      <w:r>
        <w:rPr>
          <w:snapToGrid w:val="0"/>
        </w:rPr>
        <w:tab/>
        <w:t>(c)</w:t>
      </w:r>
      <w:r>
        <w:rPr>
          <w:snapToGrid w:val="0"/>
        </w:rPr>
        <w:tab/>
        <w:t>a ballot paper (Form 10); and</w:t>
      </w:r>
    </w:p>
    <w:p>
      <w:pPr>
        <w:pStyle w:val="Indenta"/>
        <w:rPr>
          <w:snapToGrid w:val="0"/>
        </w:rPr>
      </w:pPr>
      <w:r>
        <w:rPr>
          <w:snapToGrid w:val="0"/>
        </w:rPr>
        <w:tab/>
        <w:t>(d)</w:t>
      </w:r>
      <w:r>
        <w:rPr>
          <w:snapToGrid w:val="0"/>
        </w:rPr>
        <w:tab/>
        <w:t>a ballot paper envelope; and</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Gazette 20 Nov 1998 p. 6277; 22 Dec 1998 p. 6869; 21 Jan 2005 p. 266; SL 2020/213 r. 29.]</w:t>
      </w:r>
    </w:p>
    <w:p>
      <w:pPr>
        <w:pStyle w:val="Heading5"/>
        <w:rPr>
          <w:snapToGrid w:val="0"/>
        </w:rPr>
      </w:pPr>
      <w:bookmarkStart w:id="68" w:name="_Toc200026159"/>
      <w:r>
        <w:rPr>
          <w:rStyle w:val="CharSectno"/>
        </w:rPr>
        <w:t>44</w:t>
      </w:r>
      <w:r>
        <w:rPr>
          <w:snapToGrid w:val="0"/>
        </w:rPr>
        <w:t>.</w:t>
      </w:r>
      <w:r>
        <w:rPr>
          <w:snapToGrid w:val="0"/>
        </w:rPr>
        <w:tab/>
        <w:t>Time and record of issue of election packages</w:t>
      </w:r>
      <w:bookmarkEnd w:id="68"/>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 xml:space="preserve">If an application under regulation 37(1) that relates to the election is accepted under regulation 38(1) after election packages have started to be issued, an election package is to be </w:t>
      </w:r>
      <w:r>
        <w:rPr>
          <w:snapToGrid w:val="0"/>
        </w:rPr>
        <w:lastRenderedPageBreak/>
        <w:t>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69" w:name="_Toc200026160"/>
      <w:r>
        <w:rPr>
          <w:rStyle w:val="CharSectno"/>
        </w:rPr>
        <w:t>45</w:t>
      </w:r>
      <w:r>
        <w:rPr>
          <w:snapToGrid w:val="0"/>
        </w:rPr>
        <w:t>.</w:t>
      </w:r>
      <w:r>
        <w:rPr>
          <w:snapToGrid w:val="0"/>
        </w:rPr>
        <w:tab/>
        <w:t>How to apply for postal voting papers to replace missing or spoilt papers</w:t>
      </w:r>
      <w:bookmarkEnd w:id="69"/>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keepNext/>
        <w:rPr>
          <w:snapToGrid w:val="0"/>
        </w:rPr>
      </w:pPr>
      <w:r>
        <w:rPr>
          <w:snapToGrid w:val="0"/>
        </w:rPr>
        <w:lastRenderedPageBreak/>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Gazette 22 Dec 1998 p. 6869.]</w:t>
      </w:r>
    </w:p>
    <w:p>
      <w:pPr>
        <w:pStyle w:val="Heading5"/>
        <w:rPr>
          <w:snapToGrid w:val="0"/>
        </w:rPr>
      </w:pPr>
      <w:bookmarkStart w:id="70" w:name="_Toc200026161"/>
      <w:r>
        <w:rPr>
          <w:rStyle w:val="CharSectno"/>
        </w:rPr>
        <w:t>46</w:t>
      </w:r>
      <w:r>
        <w:rPr>
          <w:snapToGrid w:val="0"/>
        </w:rPr>
        <w:t>.</w:t>
      </w:r>
      <w:r>
        <w:rPr>
          <w:snapToGrid w:val="0"/>
        </w:rPr>
        <w:tab/>
        <w:t>How to apply for provisional postal voting papers</w:t>
      </w:r>
      <w:bookmarkEnd w:id="70"/>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lastRenderedPageBreak/>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and</w:t>
      </w:r>
    </w:p>
    <w:p>
      <w:pPr>
        <w:pStyle w:val="Indenta"/>
        <w:rPr>
          <w:snapToGrid w:val="0"/>
        </w:rPr>
      </w:pPr>
      <w:r>
        <w:rPr>
          <w:snapToGrid w:val="0"/>
        </w:rPr>
        <w:tab/>
        <w:t>(c)</w:t>
      </w:r>
      <w:r>
        <w:rPr>
          <w:snapToGrid w:val="0"/>
        </w:rPr>
        <w:tab/>
        <w:t>the owners and occupiers register; and</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spacing w:before="180"/>
        <w:rPr>
          <w:snapToGrid w:val="0"/>
        </w:rPr>
      </w:pPr>
      <w:bookmarkStart w:id="71" w:name="_Toc200026162"/>
      <w:r>
        <w:rPr>
          <w:rStyle w:val="CharSectno"/>
        </w:rPr>
        <w:t>47</w:t>
      </w:r>
      <w:r>
        <w:rPr>
          <w:snapToGrid w:val="0"/>
        </w:rPr>
        <w:t>.</w:t>
      </w:r>
      <w:r>
        <w:rPr>
          <w:snapToGrid w:val="0"/>
        </w:rPr>
        <w:tab/>
        <w:t>Elections on same day</w:t>
      </w:r>
      <w:bookmarkEnd w:id="71"/>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lastRenderedPageBreak/>
        <w:tab/>
        <w:t>(b)</w:t>
      </w:r>
      <w:r>
        <w:rPr>
          <w:snapToGrid w:val="0"/>
        </w:rPr>
        <w:tab/>
        <w:t>these regulations apply to the person in relation to the other councillor election or to each of them as if the principal office election were not being held.</w:t>
      </w:r>
    </w:p>
    <w:p>
      <w:pPr>
        <w:pStyle w:val="Heading3"/>
        <w:keepNext w:val="0"/>
        <w:rPr>
          <w:snapToGrid w:val="0"/>
        </w:rPr>
      </w:pPr>
      <w:bookmarkStart w:id="72" w:name="_Toc200026163"/>
      <w:r>
        <w:rPr>
          <w:rStyle w:val="CharDivNo"/>
        </w:rPr>
        <w:t>Division 3</w:t>
      </w:r>
      <w:r>
        <w:rPr>
          <w:snapToGrid w:val="0"/>
        </w:rPr>
        <w:t> — </w:t>
      </w:r>
      <w:r>
        <w:rPr>
          <w:rStyle w:val="CharDivText"/>
        </w:rPr>
        <w:t>How postal voting papers are to be completed, transmitted and dealt with — s. 4.71(1)(d)</w:t>
      </w:r>
      <w:bookmarkEnd w:id="72"/>
    </w:p>
    <w:p>
      <w:pPr>
        <w:pStyle w:val="Heading5"/>
        <w:keepNext w:val="0"/>
        <w:keepLines w:val="0"/>
        <w:rPr>
          <w:snapToGrid w:val="0"/>
        </w:rPr>
      </w:pPr>
      <w:bookmarkStart w:id="73" w:name="_Toc200026164"/>
      <w:r>
        <w:rPr>
          <w:rStyle w:val="CharSectno"/>
        </w:rPr>
        <w:t>48</w:t>
      </w:r>
      <w:r>
        <w:rPr>
          <w:snapToGrid w:val="0"/>
        </w:rPr>
        <w:t>.</w:t>
      </w:r>
      <w:r>
        <w:rPr>
          <w:snapToGrid w:val="0"/>
        </w:rPr>
        <w:tab/>
        <w:t>Voting instructions to be followed</w:t>
      </w:r>
      <w:bookmarkEnd w:id="73"/>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74" w:name="_Toc200026165"/>
      <w:r>
        <w:rPr>
          <w:rStyle w:val="CharSectno"/>
        </w:rPr>
        <w:t>49</w:t>
      </w:r>
      <w:r>
        <w:rPr>
          <w:snapToGrid w:val="0"/>
        </w:rPr>
        <w:t>.</w:t>
      </w:r>
      <w:r>
        <w:rPr>
          <w:snapToGrid w:val="0"/>
        </w:rPr>
        <w:tab/>
        <w:t>Candidates not to assist or interfere with electors</w:t>
      </w:r>
      <w:bookmarkEnd w:id="74"/>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75" w:name="_Toc200026166"/>
      <w:r>
        <w:rPr>
          <w:rStyle w:val="CharSectno"/>
        </w:rPr>
        <w:t>50</w:t>
      </w:r>
      <w:r>
        <w:rPr>
          <w:snapToGrid w:val="0"/>
        </w:rPr>
        <w:t>.</w:t>
      </w:r>
      <w:r>
        <w:rPr>
          <w:snapToGrid w:val="0"/>
        </w:rPr>
        <w:tab/>
        <w:t>Duty to send or deliver voting papers</w:t>
      </w:r>
      <w:bookmarkEnd w:id="75"/>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76" w:name="_Toc200026167"/>
      <w:r>
        <w:rPr>
          <w:rStyle w:val="CharSectno"/>
        </w:rPr>
        <w:t>51</w:t>
      </w:r>
      <w:r>
        <w:rPr>
          <w:snapToGrid w:val="0"/>
        </w:rPr>
        <w:t>.</w:t>
      </w:r>
      <w:r>
        <w:rPr>
          <w:snapToGrid w:val="0"/>
        </w:rPr>
        <w:tab/>
        <w:t>Times and places for checking postal voting papers</w:t>
      </w:r>
      <w:bookmarkEnd w:id="76"/>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lastRenderedPageBreak/>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77" w:name="_Toc200026168"/>
      <w:r>
        <w:rPr>
          <w:rStyle w:val="CharSectno"/>
        </w:rPr>
        <w:t>52</w:t>
      </w:r>
      <w:r>
        <w:rPr>
          <w:snapToGrid w:val="0"/>
        </w:rPr>
        <w:t>.</w:t>
      </w:r>
      <w:r>
        <w:rPr>
          <w:snapToGrid w:val="0"/>
        </w:rPr>
        <w:tab/>
        <w:t>Procedure for checking postal voting papers</w:t>
      </w:r>
      <w:bookmarkEnd w:id="77"/>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 and</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 xml:space="preserve">if the ballot paper envelope is accepted for further scrutiny, the RO without opening the ballot paper envelope, or allowing it to be opened, is to place the </w:t>
      </w:r>
      <w:r>
        <w:rPr>
          <w:snapToGrid w:val="0"/>
        </w:rPr>
        <w:lastRenderedPageBreak/>
        <w:t>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Gazette 22 Dec 1998 p. 6870; 29 Jan 1999 p. 272.]</w:t>
      </w:r>
    </w:p>
    <w:p>
      <w:pPr>
        <w:pStyle w:val="Heading5"/>
      </w:pPr>
      <w:bookmarkStart w:id="78" w:name="_Toc200026169"/>
      <w:r>
        <w:rPr>
          <w:rStyle w:val="CharSectno"/>
        </w:rPr>
        <w:t>52A</w:t>
      </w:r>
      <w:r>
        <w:t>.</w:t>
      </w:r>
      <w:r>
        <w:tab/>
        <w:t>Preparation of postal ballot papers for count</w:t>
      </w:r>
      <w:bookmarkEnd w:id="78"/>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 and</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 and</w:t>
      </w:r>
    </w:p>
    <w:p>
      <w:pPr>
        <w:pStyle w:val="Indenta"/>
      </w:pPr>
      <w:r>
        <w:tab/>
        <w:t>(b)</w:t>
      </w:r>
      <w:r>
        <w:tab/>
        <w:t>open each ballot paper envelope; and</w:t>
      </w:r>
    </w:p>
    <w:p>
      <w:pPr>
        <w:pStyle w:val="Indenta"/>
        <w:keepNext/>
        <w:keepLines/>
      </w:pPr>
      <w:r>
        <w:lastRenderedPageBreak/>
        <w:tab/>
        <w:t>(c)</w:t>
      </w:r>
      <w:r>
        <w:tab/>
        <w:t>without —</w:t>
      </w:r>
    </w:p>
    <w:p>
      <w:pPr>
        <w:pStyle w:val="Indenti"/>
      </w:pPr>
      <w:r>
        <w:tab/>
        <w:t>(i)</w:t>
      </w:r>
      <w:r>
        <w:tab/>
        <w:t>examining the ballot paper personally; or</w:t>
      </w:r>
    </w:p>
    <w:p>
      <w:pPr>
        <w:pStyle w:val="Indenti"/>
        <w:keepNext/>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Gazette 22 Dec 1998 p. 6870.]</w:t>
      </w:r>
    </w:p>
    <w:p>
      <w:pPr>
        <w:pStyle w:val="Heading2"/>
      </w:pPr>
      <w:bookmarkStart w:id="79" w:name="_Toc200026170"/>
      <w:r>
        <w:rPr>
          <w:rStyle w:val="CharPartNo"/>
        </w:rPr>
        <w:lastRenderedPageBreak/>
        <w:t>Part 9</w:t>
      </w:r>
      <w:r>
        <w:t> — </w:t>
      </w:r>
      <w:r>
        <w:rPr>
          <w:rStyle w:val="CharPartText"/>
        </w:rPr>
        <w:t>Absent voting and early voting</w:t>
      </w:r>
      <w:bookmarkEnd w:id="79"/>
    </w:p>
    <w:p>
      <w:pPr>
        <w:pStyle w:val="Heading3"/>
        <w:rPr>
          <w:snapToGrid w:val="0"/>
        </w:rPr>
      </w:pPr>
      <w:bookmarkStart w:id="80" w:name="_Toc200026171"/>
      <w:r>
        <w:rPr>
          <w:rStyle w:val="CharDivNo"/>
        </w:rPr>
        <w:t>Division 1</w:t>
      </w:r>
      <w:r>
        <w:rPr>
          <w:snapToGrid w:val="0"/>
        </w:rPr>
        <w:t> — </w:t>
      </w:r>
      <w:r>
        <w:rPr>
          <w:rStyle w:val="CharDivText"/>
        </w:rPr>
        <w:t>Application — s. 4.67</w:t>
      </w:r>
      <w:bookmarkEnd w:id="80"/>
    </w:p>
    <w:p>
      <w:pPr>
        <w:pStyle w:val="Heading5"/>
        <w:rPr>
          <w:snapToGrid w:val="0"/>
        </w:rPr>
      </w:pPr>
      <w:bookmarkStart w:id="81" w:name="_Toc200026172"/>
      <w:r>
        <w:rPr>
          <w:rStyle w:val="CharSectno"/>
        </w:rPr>
        <w:t>53</w:t>
      </w:r>
      <w:r>
        <w:rPr>
          <w:snapToGrid w:val="0"/>
        </w:rPr>
        <w:t>.</w:t>
      </w:r>
      <w:r>
        <w:rPr>
          <w:snapToGrid w:val="0"/>
        </w:rPr>
        <w:tab/>
        <w:t>Application of Part — voting in person elections only</w:t>
      </w:r>
      <w:bookmarkEnd w:id="81"/>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82" w:name="_Toc200026173"/>
      <w:r>
        <w:rPr>
          <w:rStyle w:val="CharDivNo"/>
        </w:rPr>
        <w:t>Division 2</w:t>
      </w:r>
      <w:r>
        <w:rPr>
          <w:snapToGrid w:val="0"/>
        </w:rPr>
        <w:t> — </w:t>
      </w:r>
      <w:r>
        <w:rPr>
          <w:rStyle w:val="CharDivText"/>
        </w:rPr>
        <w:t>Absent voting — s. 4.71(1)(e)</w:t>
      </w:r>
      <w:bookmarkEnd w:id="82"/>
    </w:p>
    <w:p>
      <w:pPr>
        <w:pStyle w:val="Heading5"/>
        <w:rPr>
          <w:snapToGrid w:val="0"/>
        </w:rPr>
      </w:pPr>
      <w:bookmarkStart w:id="83" w:name="_Toc200026174"/>
      <w:r>
        <w:rPr>
          <w:rStyle w:val="CharSectno"/>
        </w:rPr>
        <w:t>54</w:t>
      </w:r>
      <w:r>
        <w:rPr>
          <w:snapToGrid w:val="0"/>
        </w:rPr>
        <w:t>.</w:t>
      </w:r>
      <w:r>
        <w:rPr>
          <w:snapToGrid w:val="0"/>
        </w:rPr>
        <w:tab/>
        <w:t>How to apply for absent voting papers</w:t>
      </w:r>
      <w:bookmarkEnd w:id="83"/>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84" w:name="_Toc200026175"/>
      <w:r>
        <w:rPr>
          <w:rStyle w:val="CharSectno"/>
        </w:rPr>
        <w:t>55</w:t>
      </w:r>
      <w:r>
        <w:rPr>
          <w:snapToGrid w:val="0"/>
        </w:rPr>
        <w:t>.</w:t>
      </w:r>
      <w:r>
        <w:rPr>
          <w:snapToGrid w:val="0"/>
        </w:rPr>
        <w:tab/>
        <w:t>Issue of absent voting papers</w:t>
      </w:r>
      <w:bookmarkEnd w:id="84"/>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85" w:name="_Toc200026176"/>
      <w:r>
        <w:rPr>
          <w:rStyle w:val="CharSectno"/>
        </w:rPr>
        <w:lastRenderedPageBreak/>
        <w:t>56</w:t>
      </w:r>
      <w:r>
        <w:rPr>
          <w:snapToGrid w:val="0"/>
        </w:rPr>
        <w:t>.</w:t>
      </w:r>
      <w:r>
        <w:rPr>
          <w:snapToGrid w:val="0"/>
        </w:rPr>
        <w:tab/>
        <w:t>How to complete absent voting papers</w:t>
      </w:r>
      <w:bookmarkEnd w:id="85"/>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 and</w:t>
      </w:r>
    </w:p>
    <w:p>
      <w:pPr>
        <w:pStyle w:val="Indenta"/>
        <w:rPr>
          <w:snapToGrid w:val="0"/>
        </w:rPr>
      </w:pPr>
      <w:r>
        <w:rPr>
          <w:snapToGrid w:val="0"/>
        </w:rPr>
        <w:tab/>
        <w:t>(b)</w:t>
      </w:r>
      <w:r>
        <w:rPr>
          <w:snapToGrid w:val="0"/>
        </w:rPr>
        <w:tab/>
        <w:t>write the names of the candidates on the ballot paper; and</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Indenta"/>
      </w:pPr>
      <w:r>
        <w:rPr>
          <w:snapToGrid w:val="0"/>
        </w:rPr>
        <w:tab/>
        <w:t>(b)</w:t>
      </w:r>
      <w:r>
        <w:rPr>
          <w:snapToGrid w:val="0"/>
        </w:rPr>
        <w:tab/>
        <w:t>the names of any one or more of the candidates not being listed on the ballot paper;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r>
        <w:tab/>
        <w:t>[Regulation 56 amended: Gazette 3 Aug 2007 p. 3992; 28 Aug 2009 p. 3361.]</w:t>
      </w:r>
    </w:p>
    <w:p>
      <w:pPr>
        <w:pStyle w:val="Heading5"/>
        <w:rPr>
          <w:snapToGrid w:val="0"/>
        </w:rPr>
      </w:pPr>
      <w:bookmarkStart w:id="86" w:name="_Toc200026177"/>
      <w:r>
        <w:rPr>
          <w:rStyle w:val="CharSectno"/>
        </w:rPr>
        <w:t>57</w:t>
      </w:r>
      <w:r>
        <w:rPr>
          <w:snapToGrid w:val="0"/>
        </w:rPr>
        <w:t>.</w:t>
      </w:r>
      <w:r>
        <w:rPr>
          <w:snapToGrid w:val="0"/>
        </w:rPr>
        <w:tab/>
        <w:t>Elections on same day</w:t>
      </w:r>
      <w:bookmarkEnd w:id="86"/>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87" w:name="_Toc200026178"/>
      <w:r>
        <w:rPr>
          <w:rStyle w:val="CharSectno"/>
        </w:rPr>
        <w:lastRenderedPageBreak/>
        <w:t>58</w:t>
      </w:r>
      <w:r>
        <w:rPr>
          <w:snapToGrid w:val="0"/>
        </w:rPr>
        <w:t>.</w:t>
      </w:r>
      <w:r>
        <w:rPr>
          <w:snapToGrid w:val="0"/>
        </w:rPr>
        <w:tab/>
        <w:t>How completed absent voting papers dealt with</w:t>
      </w:r>
      <w:bookmarkEnd w:id="87"/>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 and</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 xml:space="preserve">if the declaration envelope is accepted, the RO is to remove the ballot paper envelope from the declaration envelope and, without opening the ballot paper envelope </w:t>
      </w:r>
      <w:r>
        <w:rPr>
          <w:snapToGrid w:val="0"/>
        </w:rPr>
        <w:lastRenderedPageBreak/>
        <w:t>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88" w:name="_Toc200026179"/>
      <w:r>
        <w:rPr>
          <w:rStyle w:val="CharDivNo"/>
        </w:rPr>
        <w:t>Division 3</w:t>
      </w:r>
      <w:r>
        <w:rPr>
          <w:snapToGrid w:val="0"/>
        </w:rPr>
        <w:t> — </w:t>
      </w:r>
      <w:r>
        <w:rPr>
          <w:rStyle w:val="CharDivText"/>
        </w:rPr>
        <w:t>Early voting — s. 4.71(1)(e)</w:t>
      </w:r>
      <w:bookmarkEnd w:id="88"/>
    </w:p>
    <w:p>
      <w:pPr>
        <w:pStyle w:val="Heading5"/>
        <w:rPr>
          <w:snapToGrid w:val="0"/>
        </w:rPr>
      </w:pPr>
      <w:bookmarkStart w:id="89" w:name="_Toc200026180"/>
      <w:r>
        <w:rPr>
          <w:rStyle w:val="CharSectno"/>
        </w:rPr>
        <w:t>59</w:t>
      </w:r>
      <w:r>
        <w:rPr>
          <w:snapToGrid w:val="0"/>
        </w:rPr>
        <w:t>.</w:t>
      </w:r>
      <w:r>
        <w:rPr>
          <w:snapToGrid w:val="0"/>
        </w:rPr>
        <w:tab/>
        <w:t>How to cast an early vote</w:t>
      </w:r>
      <w:bookmarkEnd w:id="89"/>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90" w:name="_Toc200026181"/>
      <w:r>
        <w:rPr>
          <w:rStyle w:val="CharPartNo"/>
        </w:rPr>
        <w:lastRenderedPageBreak/>
        <w:t>Part 10</w:t>
      </w:r>
      <w:r>
        <w:t> — </w:t>
      </w:r>
      <w:r>
        <w:rPr>
          <w:rStyle w:val="CharPartText"/>
        </w:rPr>
        <w:t>Voting in person</w:t>
      </w:r>
      <w:bookmarkEnd w:id="90"/>
    </w:p>
    <w:p>
      <w:pPr>
        <w:pStyle w:val="Heading3"/>
      </w:pPr>
      <w:bookmarkStart w:id="91" w:name="_Toc200026182"/>
      <w:r>
        <w:rPr>
          <w:rStyle w:val="CharDivNo"/>
        </w:rPr>
        <w:t>Division 1</w:t>
      </w:r>
      <w:r>
        <w:rPr>
          <w:snapToGrid w:val="0"/>
        </w:rPr>
        <w:t> — </w:t>
      </w:r>
      <w:r>
        <w:rPr>
          <w:rStyle w:val="CharDivText"/>
        </w:rPr>
        <w:t>Application</w:t>
      </w:r>
      <w:bookmarkEnd w:id="91"/>
    </w:p>
    <w:p>
      <w:pPr>
        <w:pStyle w:val="Heading5"/>
        <w:spacing w:before="180"/>
        <w:rPr>
          <w:snapToGrid w:val="0"/>
        </w:rPr>
      </w:pPr>
      <w:bookmarkStart w:id="92" w:name="_Toc200026183"/>
      <w:r>
        <w:rPr>
          <w:rStyle w:val="CharSectno"/>
        </w:rPr>
        <w:t>60</w:t>
      </w:r>
      <w:r>
        <w:rPr>
          <w:snapToGrid w:val="0"/>
        </w:rPr>
        <w:t>.</w:t>
      </w:r>
      <w:r>
        <w:rPr>
          <w:snapToGrid w:val="0"/>
        </w:rPr>
        <w:tab/>
        <w:t>Application</w:t>
      </w:r>
      <w:bookmarkEnd w:id="92"/>
    </w:p>
    <w:p>
      <w:pPr>
        <w:pStyle w:val="Subsection"/>
        <w:spacing w:before="120"/>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93" w:name="_Toc200026184"/>
      <w:r>
        <w:rPr>
          <w:rStyle w:val="CharDivNo"/>
        </w:rPr>
        <w:t>Division 2</w:t>
      </w:r>
      <w:r>
        <w:rPr>
          <w:snapToGrid w:val="0"/>
        </w:rPr>
        <w:t> — </w:t>
      </w:r>
      <w:r>
        <w:rPr>
          <w:rStyle w:val="CharDivText"/>
        </w:rPr>
        <w:t>Obtaining ballot papers — s. 4.71(1)(f)</w:t>
      </w:r>
      <w:bookmarkEnd w:id="93"/>
    </w:p>
    <w:p>
      <w:pPr>
        <w:pStyle w:val="Heading5"/>
        <w:spacing w:before="180"/>
        <w:rPr>
          <w:snapToGrid w:val="0"/>
        </w:rPr>
      </w:pPr>
      <w:bookmarkStart w:id="94" w:name="_Toc200026185"/>
      <w:r>
        <w:rPr>
          <w:rStyle w:val="CharSectno"/>
        </w:rPr>
        <w:t>61</w:t>
      </w:r>
      <w:r>
        <w:rPr>
          <w:snapToGrid w:val="0"/>
        </w:rPr>
        <w:t>.</w:t>
      </w:r>
      <w:r>
        <w:rPr>
          <w:snapToGrid w:val="0"/>
        </w:rPr>
        <w:tab/>
        <w:t>How to obtain ballot paper to vote in person on election day</w:t>
      </w:r>
      <w:bookmarkEnd w:id="94"/>
    </w:p>
    <w:p>
      <w:pPr>
        <w:pStyle w:val="Subsection"/>
        <w:spacing w:before="120"/>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spacing w:before="120"/>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 and</w:t>
      </w:r>
    </w:p>
    <w:p>
      <w:pPr>
        <w:pStyle w:val="Indenta"/>
        <w:rPr>
          <w:snapToGrid w:val="0"/>
        </w:rPr>
      </w:pPr>
      <w:r>
        <w:rPr>
          <w:snapToGrid w:val="0"/>
        </w:rPr>
        <w:tab/>
        <w:t>(b)</w:t>
      </w:r>
      <w:r>
        <w:rPr>
          <w:snapToGrid w:val="0"/>
        </w:rPr>
        <w:tab/>
        <w:t>that a ballot paper envelope relating to the election has not already been accepted from the person under regulation 52; and</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rPr>
          <w:snapToGrid w:val="0"/>
        </w:rPr>
      </w:pPr>
      <w:r>
        <w:rPr>
          <w:snapToGrid w:val="0"/>
        </w:rPr>
        <w:tab/>
        <w:t>(d)</w:t>
      </w:r>
      <w:r>
        <w:rPr>
          <w:snapToGrid w:val="0"/>
        </w:rPr>
        <w:tab/>
        <w:t>that the person has not already cast an early vote or voted in person at the election,</w:t>
      </w:r>
    </w:p>
    <w:p>
      <w:pPr>
        <w:pStyle w:val="Subsection"/>
        <w:spacing w:before="120"/>
        <w:rPr>
          <w:snapToGrid w:val="0"/>
        </w:rPr>
      </w:pPr>
      <w:r>
        <w:rPr>
          <w:snapToGrid w:val="0"/>
        </w:rPr>
        <w:lastRenderedPageBreak/>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95" w:name="_Toc200026186"/>
      <w:r>
        <w:rPr>
          <w:rStyle w:val="CharSectno"/>
        </w:rPr>
        <w:t>62</w:t>
      </w:r>
      <w:r>
        <w:rPr>
          <w:snapToGrid w:val="0"/>
        </w:rPr>
        <w:t>.</w:t>
      </w:r>
      <w:r>
        <w:rPr>
          <w:snapToGrid w:val="0"/>
        </w:rPr>
        <w:tab/>
        <w:t>How to obtain provisional ballot paper</w:t>
      </w:r>
      <w:bookmarkEnd w:id="95"/>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 and</w:t>
      </w:r>
    </w:p>
    <w:p>
      <w:pPr>
        <w:pStyle w:val="Indenta"/>
        <w:rPr>
          <w:snapToGrid w:val="0"/>
        </w:rPr>
      </w:pPr>
      <w:r>
        <w:rPr>
          <w:snapToGrid w:val="0"/>
        </w:rPr>
        <w:lastRenderedPageBreak/>
        <w:tab/>
        <w:t>(c)</w:t>
      </w:r>
      <w:r>
        <w:rPr>
          <w:snapToGrid w:val="0"/>
        </w:rPr>
        <w:tab/>
        <w:t>the owners and occupiers register; and</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Gazette 22 Dec 1998 p. 6870.]</w:t>
      </w:r>
    </w:p>
    <w:p>
      <w:pPr>
        <w:pStyle w:val="Heading5"/>
        <w:rPr>
          <w:snapToGrid w:val="0"/>
        </w:rPr>
      </w:pPr>
      <w:bookmarkStart w:id="96" w:name="_Toc200026187"/>
      <w:r>
        <w:rPr>
          <w:rStyle w:val="CharSectno"/>
        </w:rPr>
        <w:t>63</w:t>
      </w:r>
      <w:r>
        <w:rPr>
          <w:snapToGrid w:val="0"/>
        </w:rPr>
        <w:t>.</w:t>
      </w:r>
      <w:r>
        <w:rPr>
          <w:snapToGrid w:val="0"/>
        </w:rPr>
        <w:tab/>
        <w:t>Spoilt ballot papers</w:t>
      </w:r>
      <w:bookmarkEnd w:id="96"/>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 and</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97" w:name="_Toc200026188"/>
      <w:r>
        <w:rPr>
          <w:rStyle w:val="CharSectno"/>
        </w:rPr>
        <w:t>64</w:t>
      </w:r>
      <w:r>
        <w:rPr>
          <w:snapToGrid w:val="0"/>
        </w:rPr>
        <w:t>.</w:t>
      </w:r>
      <w:r>
        <w:rPr>
          <w:snapToGrid w:val="0"/>
        </w:rPr>
        <w:tab/>
        <w:t>Ballot papers to be authentic</w:t>
      </w:r>
      <w:bookmarkEnd w:id="97"/>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keepNext w:val="0"/>
        <w:rPr>
          <w:snapToGrid w:val="0"/>
        </w:rPr>
      </w:pPr>
      <w:bookmarkStart w:id="98" w:name="_Toc200026189"/>
      <w:r>
        <w:rPr>
          <w:rStyle w:val="CharDivNo"/>
        </w:rPr>
        <w:t>Division 3</w:t>
      </w:r>
      <w:r>
        <w:rPr>
          <w:snapToGrid w:val="0"/>
        </w:rPr>
        <w:t> — </w:t>
      </w:r>
      <w:r>
        <w:rPr>
          <w:rStyle w:val="CharDivText"/>
        </w:rPr>
        <w:t>Voting arrangements — s. 4.71(1)(g) and (i)</w:t>
      </w:r>
      <w:bookmarkEnd w:id="98"/>
    </w:p>
    <w:p>
      <w:pPr>
        <w:pStyle w:val="Heading5"/>
        <w:rPr>
          <w:snapToGrid w:val="0"/>
        </w:rPr>
      </w:pPr>
      <w:bookmarkStart w:id="99" w:name="_Toc200026190"/>
      <w:r>
        <w:rPr>
          <w:rStyle w:val="CharSectno"/>
        </w:rPr>
        <w:t>65</w:t>
      </w:r>
      <w:r>
        <w:rPr>
          <w:snapToGrid w:val="0"/>
        </w:rPr>
        <w:t>.</w:t>
      </w:r>
      <w:r>
        <w:rPr>
          <w:snapToGrid w:val="0"/>
        </w:rPr>
        <w:tab/>
        <w:t>Arrangements for secret voting</w:t>
      </w:r>
      <w:bookmarkEnd w:id="99"/>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lastRenderedPageBreak/>
        <w:tab/>
        <w:t>(2)</w:t>
      </w:r>
      <w:r>
        <w:rPr>
          <w:snapToGrid w:val="0"/>
        </w:rPr>
        <w:tab/>
        <w:t>This can be done by causing separate voting compartments to be provided or in such other manner as the RO thinks fit.</w:t>
      </w:r>
    </w:p>
    <w:p>
      <w:pPr>
        <w:pStyle w:val="Heading5"/>
        <w:rPr>
          <w:snapToGrid w:val="0"/>
        </w:rPr>
      </w:pPr>
      <w:bookmarkStart w:id="100" w:name="_Toc200026191"/>
      <w:r>
        <w:rPr>
          <w:rStyle w:val="CharSectno"/>
        </w:rPr>
        <w:t>66</w:t>
      </w:r>
      <w:r>
        <w:rPr>
          <w:snapToGrid w:val="0"/>
        </w:rPr>
        <w:t>.</w:t>
      </w:r>
      <w:r>
        <w:rPr>
          <w:snapToGrid w:val="0"/>
        </w:rPr>
        <w:tab/>
        <w:t>Marking and dealing with ballot paper</w:t>
      </w:r>
      <w:bookmarkEnd w:id="100"/>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 and</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101" w:name="_Toc200026192"/>
      <w:r>
        <w:rPr>
          <w:rStyle w:val="CharSectno"/>
        </w:rPr>
        <w:lastRenderedPageBreak/>
        <w:t>67</w:t>
      </w:r>
      <w:r>
        <w:rPr>
          <w:snapToGrid w:val="0"/>
        </w:rPr>
        <w:t>.</w:t>
      </w:r>
      <w:r>
        <w:rPr>
          <w:snapToGrid w:val="0"/>
        </w:rPr>
        <w:tab/>
        <w:t>Assistance to be given to electors who cannot otherwise vote</w:t>
      </w:r>
      <w:bookmarkEnd w:id="101"/>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102" w:name="_Toc200026193"/>
      <w:r>
        <w:rPr>
          <w:rStyle w:val="CharSectno"/>
        </w:rPr>
        <w:lastRenderedPageBreak/>
        <w:t>68</w:t>
      </w:r>
      <w:r>
        <w:rPr>
          <w:snapToGrid w:val="0"/>
        </w:rPr>
        <w:t>.</w:t>
      </w:r>
      <w:r>
        <w:rPr>
          <w:snapToGrid w:val="0"/>
        </w:rPr>
        <w:tab/>
        <w:t>Checking provisional voting papers</w:t>
      </w:r>
      <w:bookmarkEnd w:id="102"/>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lastRenderedPageBreak/>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103" w:name="_Toc200026194"/>
      <w:r>
        <w:rPr>
          <w:rStyle w:val="CharPartNo"/>
        </w:rPr>
        <w:lastRenderedPageBreak/>
        <w:t>Part 11</w:t>
      </w:r>
      <w:r>
        <w:rPr>
          <w:rStyle w:val="CharDivNo"/>
        </w:rPr>
        <w:t> </w:t>
      </w:r>
      <w:r>
        <w:t>—</w:t>
      </w:r>
      <w:r>
        <w:rPr>
          <w:rStyle w:val="CharDivText"/>
        </w:rPr>
        <w:t> </w:t>
      </w:r>
      <w:r>
        <w:rPr>
          <w:rStyle w:val="CharPartText"/>
        </w:rPr>
        <w:t>Scrutineers</w:t>
      </w:r>
      <w:bookmarkEnd w:id="103"/>
    </w:p>
    <w:p>
      <w:pPr>
        <w:pStyle w:val="Heading5"/>
        <w:rPr>
          <w:snapToGrid w:val="0"/>
        </w:rPr>
      </w:pPr>
      <w:bookmarkStart w:id="104" w:name="_Toc200026195"/>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104"/>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Gazette 22 Dec 1998 p. 6871; 3 Aug 2007 p. 4006.]</w:t>
      </w:r>
    </w:p>
    <w:p>
      <w:pPr>
        <w:pStyle w:val="Heading5"/>
        <w:rPr>
          <w:snapToGrid w:val="0"/>
        </w:rPr>
      </w:pPr>
      <w:bookmarkStart w:id="105" w:name="_Toc200026196"/>
      <w:r>
        <w:rPr>
          <w:rStyle w:val="CharSectno"/>
        </w:rPr>
        <w:lastRenderedPageBreak/>
        <w:t>70</w:t>
      </w:r>
      <w:r>
        <w:rPr>
          <w:snapToGrid w:val="0"/>
        </w:rPr>
        <w:t>.</w:t>
      </w:r>
      <w:r>
        <w:rPr>
          <w:snapToGrid w:val="0"/>
        </w:rPr>
        <w:tab/>
        <w:t>Verification of appointment — s. 4.71(1)(j)</w:t>
      </w:r>
      <w:bookmarkEnd w:id="105"/>
    </w:p>
    <w:p>
      <w:pPr>
        <w:pStyle w:val="Subsection"/>
        <w:spacing w:before="120"/>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spacing w:before="120"/>
        <w:rPr>
          <w:snapToGrid w:val="0"/>
        </w:rPr>
      </w:pPr>
      <w:r>
        <w:rPr>
          <w:snapToGrid w:val="0"/>
        </w:rPr>
        <w:tab/>
        <w:t>(2)</w:t>
      </w:r>
      <w:r>
        <w:rPr>
          <w:snapToGrid w:val="0"/>
        </w:rPr>
        <w:tab/>
        <w:t>A scrutineer is to comply with a request under subregulation (1).</w:t>
      </w:r>
    </w:p>
    <w:p>
      <w:pPr>
        <w:pStyle w:val="Subsection"/>
        <w:spacing w:before="120"/>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Gazette 22 Dec 1998 p. 6871.]</w:t>
      </w:r>
    </w:p>
    <w:p>
      <w:pPr>
        <w:pStyle w:val="Heading5"/>
        <w:spacing w:before="180"/>
        <w:rPr>
          <w:snapToGrid w:val="0"/>
        </w:rPr>
      </w:pPr>
      <w:bookmarkStart w:id="106" w:name="_Toc200026197"/>
      <w:r>
        <w:rPr>
          <w:rStyle w:val="CharSectno"/>
        </w:rPr>
        <w:t>71</w:t>
      </w:r>
      <w:r>
        <w:rPr>
          <w:snapToGrid w:val="0"/>
        </w:rPr>
        <w:t>.</w:t>
      </w:r>
      <w:r>
        <w:rPr>
          <w:snapToGrid w:val="0"/>
        </w:rPr>
        <w:tab/>
        <w:t>Rights of scrutineers — s. 4.71(1)(j)</w:t>
      </w:r>
      <w:bookmarkEnd w:id="106"/>
    </w:p>
    <w:p>
      <w:pPr>
        <w:pStyle w:val="Subsection"/>
        <w:spacing w:before="120"/>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pPr>
      <w:r>
        <w:tab/>
        <w:t>(e)</w:t>
      </w:r>
      <w:r>
        <w:tab/>
        <w:t>to be present after the close of the poll when ballot boxes are opened and during the counting of the votes so as to observe all proceedings at the count.</w:t>
      </w:r>
    </w:p>
    <w:p>
      <w:pPr>
        <w:pStyle w:val="Footnotesection"/>
        <w:spacing w:before="80"/>
        <w:ind w:left="890" w:hanging="890"/>
      </w:pPr>
      <w:r>
        <w:lastRenderedPageBreak/>
        <w:tab/>
        <w:t>[Regulation 71 amended: Gazette 22 Dec 1998 p. 6871; 3 Aug 2007 p. 3992; 28 Aug 2009 p. 3361.]</w:t>
      </w:r>
    </w:p>
    <w:p>
      <w:pPr>
        <w:pStyle w:val="Heading5"/>
        <w:rPr>
          <w:snapToGrid w:val="0"/>
        </w:rPr>
      </w:pPr>
      <w:bookmarkStart w:id="107" w:name="_Toc200026198"/>
      <w:r>
        <w:rPr>
          <w:rStyle w:val="CharSectno"/>
        </w:rPr>
        <w:t>72</w:t>
      </w:r>
      <w:r>
        <w:rPr>
          <w:snapToGrid w:val="0"/>
        </w:rPr>
        <w:t>.</w:t>
      </w:r>
      <w:r>
        <w:rPr>
          <w:snapToGrid w:val="0"/>
        </w:rPr>
        <w:tab/>
        <w:t>Restrictions on scrutineers — s. 4.71(1)(j)</w:t>
      </w:r>
      <w:bookmarkEnd w:id="107"/>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 and</w:t>
      </w:r>
    </w:p>
    <w:p>
      <w:pPr>
        <w:pStyle w:val="Indenta"/>
        <w:rPr>
          <w:snapToGrid w:val="0"/>
        </w:rPr>
      </w:pPr>
      <w:r>
        <w:rPr>
          <w:snapToGrid w:val="0"/>
        </w:rPr>
        <w:tab/>
        <w:t>(b)</w:t>
      </w:r>
      <w:r>
        <w:rPr>
          <w:snapToGrid w:val="0"/>
        </w:rPr>
        <w:tab/>
        <w:t>is not to take any part in the conduct of the election; and</w:t>
      </w:r>
    </w:p>
    <w:p>
      <w:pPr>
        <w:pStyle w:val="Indenta"/>
        <w:rPr>
          <w:snapToGrid w:val="0"/>
        </w:rPr>
      </w:pPr>
      <w:r>
        <w:rPr>
          <w:snapToGrid w:val="0"/>
        </w:rPr>
        <w:tab/>
        <w:t>(c)</w:t>
      </w:r>
      <w:r>
        <w:rPr>
          <w:snapToGrid w:val="0"/>
        </w:rPr>
        <w:tab/>
        <w:t>is to comply with the restrictions imposed by section 4.89 as to conduct in or near polling places; and</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Gazette 22 Dec 1998 p. 6871; 25 Jan 2001 p. 588.]</w:t>
      </w:r>
    </w:p>
    <w:p>
      <w:pPr>
        <w:pStyle w:val="Heading2"/>
      </w:pPr>
      <w:bookmarkStart w:id="108" w:name="_Toc200026199"/>
      <w:r>
        <w:rPr>
          <w:rStyle w:val="CharPartNo"/>
        </w:rPr>
        <w:lastRenderedPageBreak/>
        <w:t>Part 12</w:t>
      </w:r>
      <w:r>
        <w:rPr>
          <w:rStyle w:val="CharDivNo"/>
        </w:rPr>
        <w:t> </w:t>
      </w:r>
      <w:r>
        <w:t>—</w:t>
      </w:r>
      <w:r>
        <w:rPr>
          <w:rStyle w:val="CharDivText"/>
        </w:rPr>
        <w:t> </w:t>
      </w:r>
      <w:r>
        <w:rPr>
          <w:rStyle w:val="CharPartText"/>
        </w:rPr>
        <w:t>Delay or interruption of election</w:t>
      </w:r>
      <w:bookmarkEnd w:id="108"/>
    </w:p>
    <w:p>
      <w:pPr>
        <w:pStyle w:val="Heading5"/>
        <w:rPr>
          <w:snapToGrid w:val="0"/>
        </w:rPr>
      </w:pPr>
      <w:bookmarkStart w:id="109" w:name="_Toc200026200"/>
      <w:r>
        <w:rPr>
          <w:rStyle w:val="CharSectno"/>
        </w:rPr>
        <w:t>73</w:t>
      </w:r>
      <w:r>
        <w:rPr>
          <w:snapToGrid w:val="0"/>
        </w:rPr>
        <w:t>.</w:t>
      </w:r>
      <w:r>
        <w:rPr>
          <w:snapToGrid w:val="0"/>
        </w:rPr>
        <w:tab/>
        <w:t>Adjournment or postponement of poll — s. 4.71(1)(k)</w:t>
      </w:r>
      <w:bookmarkEnd w:id="109"/>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Subsection"/>
        <w:rPr>
          <w:rStyle w:val="DraftersNotes"/>
          <w:b w:val="0"/>
          <w:i w:val="0"/>
        </w:rPr>
      </w:pPr>
      <w:r>
        <w:tab/>
        <w:t>(4)</w:t>
      </w:r>
      <w:r>
        <w:tab/>
        <w:t>The notice under subregulation (1) or (3) must be published on the local government’s official website for a period of not less than 3 days.</w:t>
      </w:r>
    </w:p>
    <w:p>
      <w:pPr>
        <w:pStyle w:val="Subsection"/>
      </w:pPr>
      <w:r>
        <w:tab/>
        <w:t>(5)</w:t>
      </w:r>
      <w:r>
        <w:tab/>
        <w:t xml:space="preserve">If the notice under subregulation (1) or (3) is given in a way prescribed in the </w:t>
      </w:r>
      <w:r>
        <w:rPr>
          <w:i/>
        </w:rPr>
        <w:t>Local Government (Administration) Regulations 1996</w:t>
      </w:r>
      <w:r>
        <w:t xml:space="preserve"> regulation 3A(2)(d), (f) or (g), the period specified in relation to the notice is not less than 3 days.</w:t>
      </w:r>
    </w:p>
    <w:p>
      <w:pPr>
        <w:pStyle w:val="Subsection"/>
        <w:keepNext/>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Gazette 22 Dec 1998 p. 6872; SL 2020/213 r. 30.]</w:t>
      </w:r>
    </w:p>
    <w:p>
      <w:pPr>
        <w:pStyle w:val="Heading5"/>
        <w:rPr>
          <w:snapToGrid w:val="0"/>
        </w:rPr>
      </w:pPr>
      <w:bookmarkStart w:id="110" w:name="_Toc200026201"/>
      <w:r>
        <w:rPr>
          <w:rStyle w:val="CharSectno"/>
        </w:rPr>
        <w:lastRenderedPageBreak/>
        <w:t>74</w:t>
      </w:r>
      <w:r>
        <w:rPr>
          <w:snapToGrid w:val="0"/>
        </w:rPr>
        <w:t>.</w:t>
      </w:r>
      <w:r>
        <w:rPr>
          <w:snapToGrid w:val="0"/>
        </w:rPr>
        <w:tab/>
        <w:t>Notice of postponement or adjournment — s. 4.71(1)(k)</w:t>
      </w:r>
      <w:bookmarkEnd w:id="110"/>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111" w:name="_Toc200026202"/>
      <w:r>
        <w:rPr>
          <w:rStyle w:val="CharSectno"/>
        </w:rPr>
        <w:t>75</w:t>
      </w:r>
      <w:r>
        <w:rPr>
          <w:snapToGrid w:val="0"/>
        </w:rPr>
        <w:t>.</w:t>
      </w:r>
      <w:r>
        <w:rPr>
          <w:snapToGrid w:val="0"/>
        </w:rPr>
        <w:tab/>
        <w:t>Security of papers during adjournment — s. 4.71(1)(k)</w:t>
      </w:r>
      <w:bookmarkEnd w:id="111"/>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 and</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112" w:name="_Toc200026203"/>
      <w:r>
        <w:rPr>
          <w:rStyle w:val="CharPartNo"/>
        </w:rPr>
        <w:lastRenderedPageBreak/>
        <w:t>Part 12A</w:t>
      </w:r>
      <w:r>
        <w:rPr>
          <w:rStyle w:val="CharDivNo"/>
        </w:rPr>
        <w:t> </w:t>
      </w:r>
      <w:r>
        <w:t>—</w:t>
      </w:r>
      <w:r>
        <w:rPr>
          <w:rStyle w:val="CharDivText"/>
        </w:rPr>
        <w:t> </w:t>
      </w:r>
      <w:r>
        <w:rPr>
          <w:rStyle w:val="CharPartText"/>
        </w:rPr>
        <w:t>Electronic counting of votes</w:t>
      </w:r>
      <w:bookmarkEnd w:id="112"/>
    </w:p>
    <w:p>
      <w:pPr>
        <w:pStyle w:val="Footnoteheading"/>
      </w:pPr>
      <w:r>
        <w:tab/>
        <w:t>[Heading inserted: Gazette 3 Aug 2007 p. 3992.]</w:t>
      </w:r>
    </w:p>
    <w:p>
      <w:pPr>
        <w:pStyle w:val="Ednotesection"/>
        <w:rPr>
          <w:b/>
          <w:bCs/>
        </w:rPr>
      </w:pPr>
      <w:r>
        <w:t>[</w:t>
      </w:r>
      <w:r>
        <w:rPr>
          <w:b/>
          <w:bCs/>
        </w:rPr>
        <w:t>75A.</w:t>
      </w:r>
      <w:r>
        <w:tab/>
        <w:t>Deleted: Gazette 28 Aug 2009 p. 3361.]</w:t>
      </w:r>
    </w:p>
    <w:p>
      <w:pPr>
        <w:pStyle w:val="Heading5"/>
      </w:pPr>
      <w:bookmarkStart w:id="113" w:name="_Toc200026204"/>
      <w:r>
        <w:rPr>
          <w:rStyle w:val="CharSectno"/>
        </w:rPr>
        <w:t>75B</w:t>
      </w:r>
      <w:r>
        <w:t>.</w:t>
      </w:r>
      <w:r>
        <w:tab/>
        <w:t>Use of electronic counting system</w:t>
      </w:r>
      <w:bookmarkEnd w:id="113"/>
    </w:p>
    <w:p>
      <w:pPr>
        <w:pStyle w:val="Subsection"/>
      </w:pPr>
      <w:r>
        <w:tab/>
      </w:r>
      <w:r>
        <w:tab/>
        <w:t>For the purposes of Schedule 4.1 to the Act the RO may use an electronic counting system in counting votes.</w:t>
      </w:r>
    </w:p>
    <w:p>
      <w:pPr>
        <w:pStyle w:val="Footnotesection"/>
      </w:pPr>
      <w:r>
        <w:tab/>
        <w:t>[Regulation 75B inserted: Gazette 28 Aug 2009 p. 3361; amended: SL 2023/102 r. 37.]</w:t>
      </w:r>
    </w:p>
    <w:p>
      <w:pPr>
        <w:pStyle w:val="Heading5"/>
      </w:pPr>
      <w:bookmarkStart w:id="114" w:name="_Toc200026205"/>
      <w:r>
        <w:rPr>
          <w:rStyle w:val="CharSectno"/>
        </w:rPr>
        <w:t>75C</w:t>
      </w:r>
      <w:r>
        <w:t>.</w:t>
      </w:r>
      <w:r>
        <w:tab/>
        <w:t>Electronic counting places</w:t>
      </w:r>
      <w:bookmarkEnd w:id="114"/>
    </w:p>
    <w:p>
      <w:pPr>
        <w:pStyle w:val="Subsection"/>
      </w:pPr>
      <w:r>
        <w:tab/>
        <w:t>(1)</w:t>
      </w:r>
      <w:r>
        <w:tab/>
        <w:t>This regulation applies in relation to an election if an electronic counting system is to be used for the election.</w:t>
      </w:r>
    </w:p>
    <w:p>
      <w:pPr>
        <w:pStyle w:val="Subsection"/>
      </w:pPr>
      <w:r>
        <w:tab/>
        <w:t>(1A)</w:t>
      </w:r>
      <w:r>
        <w:tab/>
        <w:t xml:space="preserve">In this regulation — </w:t>
      </w:r>
    </w:p>
    <w:p>
      <w:pPr>
        <w:pStyle w:val="Defstart"/>
      </w:pPr>
      <w:r>
        <w:tab/>
      </w:r>
      <w:r>
        <w:rPr>
          <w:rStyle w:val="CharDefText"/>
        </w:rPr>
        <w:t>electronic counting place</w:t>
      </w:r>
      <w:r>
        <w:t xml:space="preserve"> means any place at which the electronic counting system is accessible for data input and output for the purposes of the election.</w:t>
      </w:r>
    </w:p>
    <w:p>
      <w:pPr>
        <w:pStyle w:val="Subsection"/>
      </w:pPr>
      <w:r>
        <w:tab/>
        <w:t>(1B)</w:t>
      </w:r>
      <w:r>
        <w:tab/>
        <w:t>An electronic counting place must be in the State.</w:t>
      </w:r>
    </w:p>
    <w:p>
      <w:pPr>
        <w:pStyle w:val="Subsection"/>
      </w:pPr>
      <w:r>
        <w:tab/>
        <w:t>(2)</w:t>
      </w:r>
      <w:r>
        <w:tab/>
        <w:t>If the RO believes that the counting of votes would be unduly delayed by the need to deliver a ballot box after the close of poll to an electronic counting place, the RO may do the things set out in subregulation (3) or (4).</w:t>
      </w:r>
    </w:p>
    <w:p>
      <w:pPr>
        <w:pStyle w:val="Subsection"/>
        <w:keepNext/>
        <w:keepLines/>
      </w:pPr>
      <w:r>
        <w:tab/>
        <w:t>(3)</w:t>
      </w:r>
      <w:r>
        <w:tab/>
        <w:t>The RO may —</w:t>
      </w:r>
    </w:p>
    <w:p>
      <w:pPr>
        <w:pStyle w:val="Indenta"/>
        <w:keepNext/>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keepNext/>
      </w:pPr>
      <w:r>
        <w:tab/>
        <w:t>(ii)</w:t>
      </w:r>
      <w:r>
        <w:tab/>
        <w:t>the votes indicated on ballot papers are to be recorded electronically;</w:t>
      </w:r>
    </w:p>
    <w:p>
      <w:pPr>
        <w:pStyle w:val="Indenta"/>
      </w:pPr>
      <w:r>
        <w:tab/>
      </w:r>
      <w:r>
        <w:tab/>
        <w:t>and</w:t>
      </w:r>
    </w:p>
    <w:p>
      <w:pPr>
        <w:pStyle w:val="Indenta"/>
      </w:pPr>
      <w:r>
        <w:lastRenderedPageBreak/>
        <w:tab/>
        <w:t>(b)</w:t>
      </w:r>
      <w:r>
        <w:tab/>
        <w:t>permit the transmission, by data file or any other electronic means, of the data so recorded to an electronic counting place for use as data by the electronic counting system.</w:t>
      </w:r>
    </w:p>
    <w:p>
      <w:pPr>
        <w:pStyle w:val="Subsection"/>
        <w:keepNext/>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keepNext/>
      </w:pPr>
      <w:r>
        <w:tab/>
        <w:t>(b)</w:t>
      </w:r>
      <w:r>
        <w:tab/>
        <w:t>permit the transmission, by fax or any other electronic means, of an image of a ballot paper to an electronic counting place for use in the electronic counting system.</w:t>
      </w:r>
    </w:p>
    <w:p>
      <w:pPr>
        <w:pStyle w:val="Footnotesection"/>
      </w:pPr>
      <w:r>
        <w:tab/>
        <w:t>[Regulation 75C inserted: Gazette 3 Aug 2007 p. 3993; amended: Gazette 28 Aug 2009 p. 3361</w:t>
      </w:r>
      <w:r>
        <w:noBreakHyphen/>
        <w:t>2; SL 2023/102 r. 38.]</w:t>
      </w:r>
    </w:p>
    <w:p>
      <w:pPr>
        <w:pStyle w:val="Heading2"/>
      </w:pPr>
      <w:bookmarkStart w:id="115" w:name="_Toc200026206"/>
      <w:r>
        <w:rPr>
          <w:rStyle w:val="CharPartNo"/>
        </w:rPr>
        <w:lastRenderedPageBreak/>
        <w:t>Part 12B</w:t>
      </w:r>
      <w:r>
        <w:t> — </w:t>
      </w:r>
      <w:r>
        <w:rPr>
          <w:rStyle w:val="CharPartText"/>
        </w:rPr>
        <w:t>Acceptance of ballot papers</w:t>
      </w:r>
      <w:bookmarkEnd w:id="115"/>
    </w:p>
    <w:p>
      <w:pPr>
        <w:pStyle w:val="Footnoteheading"/>
      </w:pPr>
      <w:r>
        <w:tab/>
        <w:t>[Heading inserted: SL 2023/102 r. 39.]</w:t>
      </w:r>
    </w:p>
    <w:p>
      <w:pPr>
        <w:pStyle w:val="Heading5"/>
      </w:pPr>
      <w:bookmarkStart w:id="116" w:name="_Toc200026207"/>
      <w:r>
        <w:rPr>
          <w:rStyle w:val="CharSectno"/>
        </w:rPr>
        <w:t>75D</w:t>
      </w:r>
      <w:r>
        <w:t>.</w:t>
      </w:r>
      <w:r>
        <w:tab/>
        <w:t>Circumstances in which RO must accept ballot paper in election with more than 2 candidates — s. 4.75</w:t>
      </w:r>
      <w:bookmarkEnd w:id="116"/>
    </w:p>
    <w:p>
      <w:pPr>
        <w:pStyle w:val="Subsection"/>
      </w:pPr>
      <w:r>
        <w:tab/>
        <w:t>(1)</w:t>
      </w:r>
      <w:r>
        <w:tab/>
        <w:t>This regulation applies for the purposes of section 4.75(3)(a) if the election has more than 2 candidates.</w:t>
      </w:r>
    </w:p>
    <w:p>
      <w:pPr>
        <w:pStyle w:val="Subsection"/>
      </w:pPr>
      <w:r>
        <w:tab/>
        <w:t>(2)</w:t>
      </w:r>
      <w:r>
        <w:tab/>
        <w:t xml:space="preserve">Subregulation (3) applies if — </w:t>
      </w:r>
    </w:p>
    <w:p>
      <w:pPr>
        <w:pStyle w:val="Indenta"/>
      </w:pPr>
      <w:r>
        <w:tab/>
        <w:t>(a)</w:t>
      </w:r>
      <w:r>
        <w:tab/>
        <w:t>in accordance with section 4.69(2), a ballot paper indicates the candidate for whom the elector votes as the elector’s first preference; and</w:t>
      </w:r>
    </w:p>
    <w:p>
      <w:pPr>
        <w:pStyle w:val="Indenta"/>
      </w:pPr>
      <w:r>
        <w:tab/>
        <w:t>(b)</w:t>
      </w:r>
      <w:r>
        <w:tab/>
        <w:t xml:space="preserve">in casting preference votes under section 4.69(3), the elector has done either or both of the following — </w:t>
      </w:r>
    </w:p>
    <w:p>
      <w:pPr>
        <w:pStyle w:val="Indenti"/>
      </w:pPr>
      <w:r>
        <w:tab/>
        <w:t>(i)</w:t>
      </w:r>
      <w:r>
        <w:tab/>
        <w:t>repeated 1 or more numerals;</w:t>
      </w:r>
    </w:p>
    <w:p>
      <w:pPr>
        <w:pStyle w:val="Indenti"/>
      </w:pPr>
      <w:r>
        <w:tab/>
        <w:t>(ii)</w:t>
      </w:r>
      <w:r>
        <w:tab/>
        <w:t>missed 1 or more numerals;</w:t>
      </w:r>
    </w:p>
    <w:p>
      <w:pPr>
        <w:pStyle w:val="Indenta"/>
      </w:pPr>
      <w:r>
        <w:tab/>
      </w:r>
      <w:r>
        <w:tab/>
        <w:t>and</w:t>
      </w:r>
    </w:p>
    <w:p>
      <w:pPr>
        <w:pStyle w:val="Indenta"/>
      </w:pPr>
      <w:r>
        <w:tab/>
        <w:t>(c)</w:t>
      </w:r>
      <w:r>
        <w:tab/>
        <w:t>the RO has no reason for rejecting the ballot paper other than that referred to in paragraph (b).</w:t>
      </w:r>
    </w:p>
    <w:p>
      <w:pPr>
        <w:pStyle w:val="Subsection"/>
      </w:pPr>
      <w:r>
        <w:tab/>
        <w:t>(3)</w:t>
      </w:r>
      <w:r>
        <w:tab/>
        <w:t xml:space="preserve">The RO must — </w:t>
      </w:r>
    </w:p>
    <w:p>
      <w:pPr>
        <w:pStyle w:val="Indenta"/>
      </w:pPr>
      <w:r>
        <w:tab/>
        <w:t>(a)</w:t>
      </w:r>
      <w:r>
        <w:tab/>
        <w:t>accept the ballot paper; and</w:t>
      </w:r>
    </w:p>
    <w:p>
      <w:pPr>
        <w:pStyle w:val="Indenta"/>
      </w:pPr>
      <w:r>
        <w:tab/>
        <w:t>(b)</w:t>
      </w:r>
      <w:r>
        <w:tab/>
        <w:t xml:space="preserve">when counting the votes — </w:t>
      </w:r>
    </w:p>
    <w:p>
      <w:pPr>
        <w:pStyle w:val="Indenti"/>
      </w:pPr>
      <w:r>
        <w:tab/>
        <w:t>(i)</w:t>
      </w:r>
      <w:r>
        <w:tab/>
        <w:t>if there are 1 or more repeated numerals — disregard those numerals and any other numeral that is higher than a repeated numeral; and</w:t>
      </w:r>
    </w:p>
    <w:p>
      <w:pPr>
        <w:pStyle w:val="Indenti"/>
      </w:pPr>
      <w:r>
        <w:tab/>
        <w:t>(ii)</w:t>
      </w:r>
      <w:r>
        <w:tab/>
        <w:t>if there are 1 or more missing numerals — disregard any numeral that is higher than a missing numeral.</w:t>
      </w:r>
    </w:p>
    <w:p>
      <w:pPr>
        <w:pStyle w:val="Footnoteheading"/>
      </w:pPr>
      <w:r>
        <w:tab/>
        <w:t>[Regulation 75D inserted: SL 2023/102 r. 39.]</w:t>
      </w:r>
    </w:p>
    <w:p>
      <w:pPr>
        <w:pStyle w:val="Heading2"/>
      </w:pPr>
      <w:bookmarkStart w:id="117" w:name="_Toc200026208"/>
      <w:r>
        <w:rPr>
          <w:rStyle w:val="CharPartNo"/>
        </w:rPr>
        <w:lastRenderedPageBreak/>
        <w:t>Part 12C</w:t>
      </w:r>
      <w:r>
        <w:t> — </w:t>
      </w:r>
      <w:r>
        <w:rPr>
          <w:rStyle w:val="CharPartText"/>
        </w:rPr>
        <w:t>Drawing of lots</w:t>
      </w:r>
      <w:bookmarkEnd w:id="117"/>
    </w:p>
    <w:p>
      <w:pPr>
        <w:pStyle w:val="Footnoteheading"/>
      </w:pPr>
      <w:r>
        <w:tab/>
        <w:t>[Heading inserted: SL 2023/102 r. 39.]</w:t>
      </w:r>
    </w:p>
    <w:p>
      <w:pPr>
        <w:pStyle w:val="Heading3"/>
      </w:pPr>
      <w:bookmarkStart w:id="118" w:name="_Toc200026209"/>
      <w:r>
        <w:rPr>
          <w:rStyle w:val="CharDivNo"/>
        </w:rPr>
        <w:t>Division 1</w:t>
      </w:r>
      <w:r>
        <w:t> — </w:t>
      </w:r>
      <w:r>
        <w:rPr>
          <w:rStyle w:val="CharDivText"/>
        </w:rPr>
        <w:t>Preliminary</w:t>
      </w:r>
      <w:bookmarkEnd w:id="118"/>
    </w:p>
    <w:p>
      <w:pPr>
        <w:pStyle w:val="Footnoteheading"/>
      </w:pPr>
      <w:r>
        <w:tab/>
        <w:t>[Heading inserted: SL 2023/102 r. 39.]</w:t>
      </w:r>
    </w:p>
    <w:p>
      <w:pPr>
        <w:pStyle w:val="Heading5"/>
      </w:pPr>
      <w:bookmarkStart w:id="119" w:name="_Toc200026210"/>
      <w:r>
        <w:rPr>
          <w:rStyle w:val="CharSectno"/>
        </w:rPr>
        <w:t>75E</w:t>
      </w:r>
      <w:r>
        <w:t>.</w:t>
      </w:r>
      <w:r>
        <w:tab/>
        <w:t>Steps for drawing lots</w:t>
      </w:r>
      <w:bookmarkEnd w:id="119"/>
    </w:p>
    <w:p>
      <w:pPr>
        <w:pStyle w:val="Subsection"/>
      </w:pPr>
      <w:r>
        <w:tab/>
        <w:t>(1)</w:t>
      </w:r>
      <w:r>
        <w:tab/>
        <w:t xml:space="preserve">For the purposes of this Part, the </w:t>
      </w:r>
      <w:r>
        <w:rPr>
          <w:rStyle w:val="CharDefText"/>
        </w:rPr>
        <w:t>steps for drawing lots</w:t>
      </w:r>
      <w:r>
        <w:t xml:space="preserve"> are the 4 steps set out in subregulations (2) to (5).</w:t>
      </w:r>
    </w:p>
    <w:p>
      <w:pPr>
        <w:pStyle w:val="Subsection"/>
      </w:pPr>
      <w:r>
        <w:tab/>
        <w:t>(2)</w:t>
      </w:r>
      <w:r>
        <w:tab/>
        <w:t>First, as soon as possible after the occurrence of the circumstance under which the RO is required to draw lots, the RO must make out, in respect of each relevant candidate, a slip bearing the relevant candidate’s name.</w:t>
      </w:r>
    </w:p>
    <w:p>
      <w:pPr>
        <w:pStyle w:val="PermNoteHeading"/>
      </w:pPr>
      <w:r>
        <w:tab/>
        <w:t>Note for this subregulation:</w:t>
      </w:r>
    </w:p>
    <w:p>
      <w:pPr>
        <w:pStyle w:val="PermNoteText"/>
      </w:pPr>
      <w:r>
        <w:tab/>
      </w:r>
      <w:r>
        <w:tab/>
        <w:t xml:space="preserve">For the meaning of </w:t>
      </w:r>
      <w:r>
        <w:rPr>
          <w:b/>
          <w:i/>
        </w:rPr>
        <w:t>relevant candidate</w:t>
      </w:r>
      <w:r>
        <w:t> — see regulation 75G(2), 75H(2), 75I(2), 75J(2), 75K(2), 75L(2), 75M(2), 75N(2), 75O(2), 75P(2), 75Q(2), 75R(2), 75S(2) or 75T(2) (as the case requires).</w:t>
      </w:r>
    </w:p>
    <w:p>
      <w:pPr>
        <w:pStyle w:val="Subsection"/>
      </w:pPr>
      <w:r>
        <w:tab/>
        <w:t>(3)</w:t>
      </w:r>
      <w:r>
        <w:tab/>
        <w:t xml:space="preserve">Second, the RO must — </w:t>
      </w:r>
    </w:p>
    <w:p>
      <w:pPr>
        <w:pStyle w:val="Indenta"/>
      </w:pPr>
      <w:r>
        <w:tab/>
        <w:t>(a)</w:t>
      </w:r>
      <w:r>
        <w:tab/>
        <w:t>place each of the slips in separate hollow opaque spheres of exact similarity; and</w:t>
      </w:r>
    </w:p>
    <w:p>
      <w:pPr>
        <w:pStyle w:val="Indenta"/>
      </w:pPr>
      <w:r>
        <w:tab/>
        <w:t>(b)</w:t>
      </w:r>
      <w:r>
        <w:tab/>
        <w:t>securely close the spheres; and</w:t>
      </w:r>
    </w:p>
    <w:p>
      <w:pPr>
        <w:pStyle w:val="Indenta"/>
      </w:pPr>
      <w:r>
        <w:tab/>
        <w:t>(c)</w:t>
      </w:r>
      <w:r>
        <w:tab/>
        <w:t>deposit the spheres in an empty container.</w:t>
      </w:r>
    </w:p>
    <w:p>
      <w:pPr>
        <w:pStyle w:val="Subsection"/>
      </w:pPr>
      <w:r>
        <w:tab/>
        <w:t>(4)</w:t>
      </w:r>
      <w:r>
        <w:tab/>
        <w:t xml:space="preserve">Third, the RO must — </w:t>
      </w:r>
    </w:p>
    <w:p>
      <w:pPr>
        <w:pStyle w:val="Indenta"/>
      </w:pPr>
      <w:r>
        <w:tab/>
        <w:t>(a)</w:t>
      </w:r>
      <w:r>
        <w:tab/>
        <w:t>securely fasten the container; and</w:t>
      </w:r>
    </w:p>
    <w:p>
      <w:pPr>
        <w:pStyle w:val="Indenta"/>
      </w:pPr>
      <w:r>
        <w:tab/>
        <w:t>(b)</w:t>
      </w:r>
      <w:r>
        <w:tab/>
        <w:t>shake and rotate the container; and</w:t>
      </w:r>
    </w:p>
    <w:p>
      <w:pPr>
        <w:pStyle w:val="Indenta"/>
      </w:pPr>
      <w:r>
        <w:tab/>
        <w:t>(c)</w:t>
      </w:r>
      <w:r>
        <w:tab/>
        <w:t>permit anyone else present to shake and rotate the container if they so wish.</w:t>
      </w:r>
    </w:p>
    <w:p>
      <w:pPr>
        <w:pStyle w:val="Subsection"/>
      </w:pPr>
      <w:r>
        <w:tab/>
        <w:t>(5)</w:t>
      </w:r>
      <w:r>
        <w:tab/>
        <w:t xml:space="preserve">Fourth, the RO must — </w:t>
      </w:r>
    </w:p>
    <w:p>
      <w:pPr>
        <w:pStyle w:val="Indenta"/>
      </w:pPr>
      <w:r>
        <w:tab/>
        <w:t>(a)</w:t>
      </w:r>
      <w:r>
        <w:tab/>
        <w:t>open the container; and</w:t>
      </w:r>
    </w:p>
    <w:p>
      <w:pPr>
        <w:pStyle w:val="Indenta"/>
      </w:pPr>
      <w:r>
        <w:tab/>
        <w:t>(b)</w:t>
      </w:r>
      <w:r>
        <w:tab/>
        <w:t>take out and open 1 of the spheres to obtain the slip enclosed in it.</w:t>
      </w:r>
    </w:p>
    <w:p>
      <w:pPr>
        <w:pStyle w:val="Subsection"/>
      </w:pPr>
      <w:r>
        <w:lastRenderedPageBreak/>
        <w:tab/>
        <w:t>(6)</w:t>
      </w:r>
      <w:r>
        <w:tab/>
        <w:t>The RO must carry out each of the 4 steps in front of all the people present.</w:t>
      </w:r>
    </w:p>
    <w:p>
      <w:pPr>
        <w:pStyle w:val="Footnoteheading"/>
      </w:pPr>
      <w:r>
        <w:tab/>
        <w:t>[Regulation 75E inserted: SL 2023/102 r. 39.]</w:t>
      </w:r>
    </w:p>
    <w:p>
      <w:pPr>
        <w:pStyle w:val="Heading5"/>
      </w:pPr>
      <w:bookmarkStart w:id="120" w:name="_Toc200026211"/>
      <w:r>
        <w:rPr>
          <w:rStyle w:val="CharSectno"/>
        </w:rPr>
        <w:t>75F</w:t>
      </w:r>
      <w:r>
        <w:t>.</w:t>
      </w:r>
      <w:r>
        <w:tab/>
        <w:t>References to Schedules</w:t>
      </w:r>
      <w:bookmarkEnd w:id="120"/>
    </w:p>
    <w:p>
      <w:pPr>
        <w:pStyle w:val="Subsection"/>
      </w:pPr>
      <w:r>
        <w:tab/>
      </w:r>
      <w:r>
        <w:tab/>
        <w:t>In this Part, references to Schedules are to Schedules of the Act.</w:t>
      </w:r>
    </w:p>
    <w:p>
      <w:pPr>
        <w:pStyle w:val="Footnoteheading"/>
      </w:pPr>
      <w:r>
        <w:tab/>
        <w:t>[Regulation 75F inserted: SL 2023/102 r. 39.]</w:t>
      </w:r>
    </w:p>
    <w:p>
      <w:pPr>
        <w:pStyle w:val="Heading3"/>
      </w:pPr>
      <w:bookmarkStart w:id="121" w:name="_Toc200026212"/>
      <w:r>
        <w:rPr>
          <w:rStyle w:val="CharDivNo"/>
        </w:rPr>
        <w:t>Division 2</w:t>
      </w:r>
      <w:r>
        <w:t> — </w:t>
      </w:r>
      <w:r>
        <w:rPr>
          <w:rStyle w:val="CharDivText"/>
        </w:rPr>
        <w:t>Provisions for Schedule 4.1A</w:t>
      </w:r>
      <w:bookmarkEnd w:id="121"/>
    </w:p>
    <w:p>
      <w:pPr>
        <w:pStyle w:val="Footnoteheading"/>
      </w:pPr>
      <w:r>
        <w:tab/>
        <w:t>[Heading inserted: SL 2023/102 r. 39.]</w:t>
      </w:r>
    </w:p>
    <w:p>
      <w:pPr>
        <w:pStyle w:val="Heading5"/>
      </w:pPr>
      <w:bookmarkStart w:id="122" w:name="_Toc200026213"/>
      <w:r>
        <w:rPr>
          <w:rStyle w:val="CharSectno"/>
        </w:rPr>
        <w:t>75G</w:t>
      </w:r>
      <w:r>
        <w:t>.</w:t>
      </w:r>
      <w:r>
        <w:tab/>
        <w:t>Drawing lots under Sch. 4.1A cl. 5(3)</w:t>
      </w:r>
      <w:bookmarkEnd w:id="122"/>
    </w:p>
    <w:p>
      <w:pPr>
        <w:pStyle w:val="Subsection"/>
      </w:pPr>
      <w:r>
        <w:tab/>
        <w:t>(1)</w:t>
      </w:r>
      <w:r>
        <w:tab/>
        <w:t>This regulation applies if lots are required to be drawn under Schedule 4.1A clause 5(3).</w:t>
      </w:r>
    </w:p>
    <w:p>
      <w:pPr>
        <w:pStyle w:val="Subsection"/>
      </w:pPr>
      <w:r>
        <w:tab/>
        <w:t>(2)</w:t>
      </w:r>
      <w:r>
        <w:tab/>
        <w:t xml:space="preserve">For the purposes of regulation 75E(2), the </w:t>
      </w:r>
      <w:r>
        <w:rPr>
          <w:rStyle w:val="CharDefText"/>
        </w:rPr>
        <w:t>relevant candidates</w:t>
      </w:r>
      <w:r>
        <w:t xml:space="preserve"> are the candidates who had the same number of first</w:t>
      </w:r>
      <w:r>
        <w:noBreakHyphen/>
        <w:t>preference votes.</w:t>
      </w:r>
    </w:p>
    <w:p>
      <w:pPr>
        <w:pStyle w:val="Subsection"/>
      </w:pPr>
      <w:r>
        <w:tab/>
        <w:t>(3)</w:t>
      </w:r>
      <w:r>
        <w:tab/>
        <w:t>If there are only 2 relevant candidates and no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other relevant candidate is the third placed candidate.</w:t>
      </w:r>
    </w:p>
    <w:p>
      <w:pPr>
        <w:pStyle w:val="Subsection"/>
      </w:pPr>
      <w:r>
        <w:tab/>
        <w:t>(4)</w:t>
      </w:r>
      <w:r>
        <w:tab/>
        <w:t>If there are 3 or more relevant candidates and no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lastRenderedPageBreak/>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third placed candidate.</w:t>
      </w:r>
    </w:p>
    <w:p>
      <w:pPr>
        <w:pStyle w:val="Subsection"/>
      </w:pPr>
      <w:r>
        <w:tab/>
        <w:t>(5)</w:t>
      </w:r>
      <w:r>
        <w:tab/>
        <w:t>If there are 2 or more relevant candidates and 1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third placed candidate.</w:t>
      </w:r>
    </w:p>
    <w:p>
      <w:pPr>
        <w:pStyle w:val="Footnoteheading"/>
      </w:pPr>
      <w:r>
        <w:tab/>
        <w:t>[Regulation 75G inserted: SL 2023/102 r. 39.]</w:t>
      </w:r>
    </w:p>
    <w:p>
      <w:pPr>
        <w:pStyle w:val="Heading5"/>
      </w:pPr>
      <w:bookmarkStart w:id="123" w:name="_Toc200026214"/>
      <w:r>
        <w:rPr>
          <w:rStyle w:val="CharSectno"/>
        </w:rPr>
        <w:t>75H</w:t>
      </w:r>
      <w:r>
        <w:t>.</w:t>
      </w:r>
      <w:r>
        <w:tab/>
        <w:t>Drawing lots under Sch. 4.1A cl. 8(3)</w:t>
      </w:r>
      <w:bookmarkEnd w:id="123"/>
    </w:p>
    <w:p>
      <w:pPr>
        <w:pStyle w:val="Subsection"/>
      </w:pPr>
      <w:r>
        <w:tab/>
        <w:t>(1)</w:t>
      </w:r>
      <w:r>
        <w:tab/>
        <w:t>This regulation applies if lots are required to be drawn under Schedule 4.1A clause 8(3).</w:t>
      </w:r>
    </w:p>
    <w:p>
      <w:pPr>
        <w:pStyle w:val="Subsection"/>
      </w:pPr>
      <w:r>
        <w:tab/>
        <w:t>(2)</w:t>
      </w:r>
      <w:r>
        <w:tab/>
        <w:t xml:space="preserve">For the purposes of regulation 75E(2), the </w:t>
      </w:r>
      <w:r>
        <w:rPr>
          <w:rStyle w:val="CharDefText"/>
        </w:rPr>
        <w:t>relevant candidates</w:t>
      </w:r>
      <w:r>
        <w:t xml:space="preserve"> are the continuing candidates who had the same number of votes on the last count.</w:t>
      </w:r>
    </w:p>
    <w:p>
      <w:pPr>
        <w:pStyle w:val="Subsection"/>
      </w:pPr>
      <w:r>
        <w:tab/>
        <w:t>(3)</w:t>
      </w:r>
      <w:r>
        <w:tab/>
        <w:t xml:space="preserve">If there are only 2 relevant candidates and no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other relevant candidate is the third placed candidate.</w:t>
      </w:r>
    </w:p>
    <w:p>
      <w:pPr>
        <w:pStyle w:val="Subsection"/>
      </w:pPr>
      <w:r>
        <w:tab/>
        <w:t>(4)</w:t>
      </w:r>
      <w:r>
        <w:tab/>
        <w:t xml:space="preserve">If there are 3 or more relevant candidates and no other continuing candidate had a higher number of votes on the last count — </w:t>
      </w:r>
    </w:p>
    <w:p>
      <w:pPr>
        <w:pStyle w:val="Indenta"/>
      </w:pPr>
      <w:r>
        <w:tab/>
        <w:t>(a)</w:t>
      </w:r>
      <w:r>
        <w:tab/>
        <w:t>the RO must take the steps for drawing lots; and</w:t>
      </w:r>
    </w:p>
    <w:p>
      <w:pPr>
        <w:pStyle w:val="Indenta"/>
      </w:pPr>
      <w:r>
        <w:lastRenderedPageBreak/>
        <w:tab/>
        <w:t>(b)</w:t>
      </w:r>
      <w:r>
        <w:tab/>
        <w:t>the relevant candidate whose name appears on the slip obtained by the RO on the fourth step is the second placed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third placed candidate.</w:t>
      </w:r>
    </w:p>
    <w:p>
      <w:pPr>
        <w:pStyle w:val="Subsection"/>
      </w:pPr>
      <w:r>
        <w:tab/>
        <w:t>(5)</w:t>
      </w:r>
      <w:r>
        <w:tab/>
        <w:t xml:space="preserve">If there are 2 or more relevant candidates and 1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third placed candidate.</w:t>
      </w:r>
    </w:p>
    <w:p>
      <w:pPr>
        <w:pStyle w:val="Footnoteheading"/>
      </w:pPr>
      <w:r>
        <w:tab/>
        <w:t>[Regulation 75H inserted: SL 2023/102 r. 39.]</w:t>
      </w:r>
    </w:p>
    <w:p>
      <w:pPr>
        <w:pStyle w:val="Heading5"/>
      </w:pPr>
      <w:bookmarkStart w:id="124" w:name="_Toc200026215"/>
      <w:r>
        <w:rPr>
          <w:rStyle w:val="CharSectno"/>
        </w:rPr>
        <w:t>75I</w:t>
      </w:r>
      <w:r>
        <w:t>.</w:t>
      </w:r>
      <w:r>
        <w:tab/>
        <w:t>Drawing lots under Sch. 4.1A cl. 11(4)(b)</w:t>
      </w:r>
      <w:bookmarkEnd w:id="124"/>
    </w:p>
    <w:p>
      <w:pPr>
        <w:pStyle w:val="Subsection"/>
      </w:pPr>
      <w:r>
        <w:tab/>
        <w:t>(1)</w:t>
      </w:r>
      <w:r>
        <w:tab/>
        <w:t>This regulation applies if lots are required to be drawn under Schedule 4.1A clause 11(4)(b).</w:t>
      </w:r>
    </w:p>
    <w:p>
      <w:pPr>
        <w:pStyle w:val="Subsection"/>
      </w:pPr>
      <w:r>
        <w:tab/>
        <w:t>(2)</w:t>
      </w:r>
      <w:r>
        <w:tab/>
        <w:t xml:space="preserve">For the purposes of regulation 75E(2), the </w:t>
      </w:r>
      <w:r>
        <w:rPr>
          <w:rStyle w:val="CharDefText"/>
        </w:rPr>
        <w:t>relevant candidates</w:t>
      </w:r>
      <w:r>
        <w:t xml:space="preserve"> are the unelected candidates referred to in Schedule 4.1A clause 11(3) who had the same number of votes when the last office to be filled at the election was filled.</w:t>
      </w:r>
    </w:p>
    <w:p>
      <w:pPr>
        <w:pStyle w:val="Subsection"/>
      </w:pPr>
      <w:r>
        <w:tab/>
        <w:t>(3)</w:t>
      </w:r>
      <w:r>
        <w:tab/>
        <w:t xml:space="preserve">If there are only 2 relevant candidates and no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first unelected candidate; and</w:t>
      </w:r>
    </w:p>
    <w:p>
      <w:pPr>
        <w:pStyle w:val="Indenta"/>
      </w:pPr>
      <w:r>
        <w:tab/>
        <w:t>(c)</w:t>
      </w:r>
      <w:r>
        <w:tab/>
        <w:t>the other relevant candidate is the second unelected candidate.</w:t>
      </w:r>
    </w:p>
    <w:p>
      <w:pPr>
        <w:pStyle w:val="Subsection"/>
      </w:pPr>
      <w:r>
        <w:lastRenderedPageBreak/>
        <w:tab/>
        <w:t>(4)</w:t>
      </w:r>
      <w:r>
        <w:tab/>
        <w:t xml:space="preserve">If there are 3 or more relevant candidates and no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first unelected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second unelected candidate.</w:t>
      </w:r>
    </w:p>
    <w:p>
      <w:pPr>
        <w:pStyle w:val="Subsection"/>
      </w:pPr>
      <w:r>
        <w:tab/>
        <w:t>(5)</w:t>
      </w:r>
      <w:r>
        <w:tab/>
        <w:t xml:space="preserve">If there are 2 or more relevant candidates and 1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unelected candidate.</w:t>
      </w:r>
    </w:p>
    <w:p>
      <w:pPr>
        <w:pStyle w:val="Footnoteheading"/>
      </w:pPr>
      <w:r>
        <w:tab/>
        <w:t>[Regulation 75I inserted: SL 2023/102 r. 39.]</w:t>
      </w:r>
    </w:p>
    <w:p>
      <w:pPr>
        <w:pStyle w:val="Heading3"/>
      </w:pPr>
      <w:bookmarkStart w:id="125" w:name="_Toc200026216"/>
      <w:r>
        <w:rPr>
          <w:rStyle w:val="CharDivNo"/>
        </w:rPr>
        <w:t>Division 3</w:t>
      </w:r>
      <w:r>
        <w:t> — </w:t>
      </w:r>
      <w:r>
        <w:rPr>
          <w:rStyle w:val="CharDivText"/>
        </w:rPr>
        <w:t>Provisions for Schedule 4.1B</w:t>
      </w:r>
      <w:bookmarkEnd w:id="125"/>
    </w:p>
    <w:p>
      <w:pPr>
        <w:pStyle w:val="Footnoteheading"/>
      </w:pPr>
      <w:r>
        <w:tab/>
        <w:t>[Heading inserted: SL 2023/102 r. 39.]</w:t>
      </w:r>
    </w:p>
    <w:p>
      <w:pPr>
        <w:pStyle w:val="Heading5"/>
      </w:pPr>
      <w:bookmarkStart w:id="126" w:name="_Toc200026217"/>
      <w:r>
        <w:rPr>
          <w:rStyle w:val="CharSectno"/>
        </w:rPr>
        <w:t>75J</w:t>
      </w:r>
      <w:r>
        <w:t>.</w:t>
      </w:r>
      <w:r>
        <w:tab/>
        <w:t>Drawing lots under Sch. 4.1B cl. 3(3)(b)</w:t>
      </w:r>
      <w:bookmarkEnd w:id="126"/>
    </w:p>
    <w:p>
      <w:pPr>
        <w:pStyle w:val="Subsection"/>
      </w:pPr>
      <w:r>
        <w:tab/>
        <w:t>(1)</w:t>
      </w:r>
      <w:r>
        <w:tab/>
        <w:t>This regulation applies if lots are required to be drawn under Schedule 4.1B clause 3(3)(b).</w:t>
      </w:r>
    </w:p>
    <w:p>
      <w:pPr>
        <w:pStyle w:val="Subsection"/>
      </w:pPr>
      <w:r>
        <w:tab/>
        <w:t>(2)</w:t>
      </w:r>
      <w:r>
        <w:tab/>
        <w:t xml:space="preserve">For the purposes of regulation 75E(2), the </w:t>
      </w:r>
      <w:r>
        <w:rPr>
          <w:rStyle w:val="CharDefText"/>
        </w:rPr>
        <w:t>relevant candidates</w:t>
      </w:r>
      <w:r>
        <w:t xml:space="preserve"> are the candidates who received the same number of first</w:t>
      </w:r>
      <w:r>
        <w:noBreakHyphen/>
        <w:t>preference votes.</w:t>
      </w:r>
    </w:p>
    <w:p>
      <w:pPr>
        <w:pStyle w:val="Subsection"/>
      </w:pPr>
      <w:r>
        <w:tab/>
        <w:t>(3)</w:t>
      </w:r>
      <w:r>
        <w:tab/>
        <w:t>The RO must take the steps for drawing lots.</w:t>
      </w:r>
    </w:p>
    <w:p>
      <w:pPr>
        <w:pStyle w:val="Subsection"/>
      </w:pPr>
      <w:r>
        <w:lastRenderedPageBreak/>
        <w:tab/>
        <w:t>(4)</w:t>
      </w:r>
      <w:r>
        <w:tab/>
        <w:t>The relevant candidate whose name appears on the slip obtained by the RO on the fourth step is the candidate who finishes second in the concurrent election.</w:t>
      </w:r>
    </w:p>
    <w:p>
      <w:pPr>
        <w:pStyle w:val="Footnoteheading"/>
      </w:pPr>
      <w:r>
        <w:tab/>
        <w:t>[Regulation 75J inserted: SL 2023/102 r. 39.]</w:t>
      </w:r>
    </w:p>
    <w:p>
      <w:pPr>
        <w:pStyle w:val="Heading5"/>
      </w:pPr>
      <w:bookmarkStart w:id="127" w:name="_Toc200026218"/>
      <w:r>
        <w:rPr>
          <w:rStyle w:val="CharSectno"/>
        </w:rPr>
        <w:t>75K</w:t>
      </w:r>
      <w:r>
        <w:t>.</w:t>
      </w:r>
      <w:r>
        <w:tab/>
        <w:t>Drawing lots under Sch. 4.1B cl. 4(4)</w:t>
      </w:r>
      <w:bookmarkEnd w:id="127"/>
    </w:p>
    <w:p>
      <w:pPr>
        <w:pStyle w:val="Subsection"/>
      </w:pPr>
      <w:r>
        <w:tab/>
        <w:t>(1)</w:t>
      </w:r>
      <w:r>
        <w:tab/>
        <w:t>This regulation applies if lots are required to be drawn under Schedule 4.1B clause 4(4).</w:t>
      </w:r>
    </w:p>
    <w:p>
      <w:pPr>
        <w:pStyle w:val="Subsection"/>
      </w:pPr>
      <w:r>
        <w:tab/>
        <w:t>(2)</w:t>
      </w:r>
      <w:r>
        <w:tab/>
        <w:t xml:space="preserve">For the purposes of regulation 75E(2), the </w:t>
      </w:r>
      <w:r>
        <w:rPr>
          <w:rStyle w:val="CharDefText"/>
        </w:rPr>
        <w:t>relevant candidates</w:t>
      </w:r>
      <w:r>
        <w:t xml:space="preserve"> are the continuing candidates who had the same number of votes on the last count.</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second placed candidate.</w:t>
      </w:r>
    </w:p>
    <w:p>
      <w:pPr>
        <w:pStyle w:val="Footnoteheading"/>
      </w:pPr>
      <w:r>
        <w:tab/>
        <w:t>[Regulation 75K inserted: SL 2023/102 r. 39.]</w:t>
      </w:r>
    </w:p>
    <w:p>
      <w:pPr>
        <w:pStyle w:val="Heading5"/>
      </w:pPr>
      <w:bookmarkStart w:id="128" w:name="_Toc200026219"/>
      <w:r>
        <w:rPr>
          <w:rStyle w:val="CharSectno"/>
        </w:rPr>
        <w:t>75L</w:t>
      </w:r>
      <w:r>
        <w:t>.</w:t>
      </w:r>
      <w:r>
        <w:tab/>
        <w:t>Drawing lots under Sch. 4.1B cl. 5(5)(b)</w:t>
      </w:r>
      <w:bookmarkEnd w:id="128"/>
    </w:p>
    <w:p>
      <w:pPr>
        <w:pStyle w:val="Subsection"/>
      </w:pPr>
      <w:r>
        <w:tab/>
        <w:t>(1)</w:t>
      </w:r>
      <w:r>
        <w:tab/>
        <w:t>This regulation applies if lots are required to be drawn under Schedule 4.1B clause 5(5)(b).</w:t>
      </w:r>
    </w:p>
    <w:p>
      <w:pPr>
        <w:pStyle w:val="Subsection"/>
      </w:pPr>
      <w:r>
        <w:tab/>
        <w:t>(2)</w:t>
      </w:r>
      <w:r>
        <w:tab/>
        <w:t xml:space="preserve">For the purposes of regulation 75E(2), the </w:t>
      </w:r>
      <w:r>
        <w:rPr>
          <w:rStyle w:val="CharDefText"/>
        </w:rPr>
        <w:t>relevant candidates</w:t>
      </w:r>
      <w:r>
        <w:t xml:space="preserve"> are the unelected candidates who have the same number of votes when the last office to be filled at the concurrent election is filled.</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first unelected candidate.</w:t>
      </w:r>
    </w:p>
    <w:p>
      <w:pPr>
        <w:pStyle w:val="Footnoteheading"/>
      </w:pPr>
      <w:r>
        <w:tab/>
        <w:t>[Regulation 75L inserted: SL 2023/102 r. 39.]</w:t>
      </w:r>
    </w:p>
    <w:p>
      <w:pPr>
        <w:pStyle w:val="Heading3"/>
      </w:pPr>
      <w:bookmarkStart w:id="129" w:name="_Toc200026220"/>
      <w:r>
        <w:rPr>
          <w:rStyle w:val="CharDivNo"/>
        </w:rPr>
        <w:lastRenderedPageBreak/>
        <w:t>Division 4</w:t>
      </w:r>
      <w:r>
        <w:t> — </w:t>
      </w:r>
      <w:r>
        <w:rPr>
          <w:rStyle w:val="CharDivText"/>
        </w:rPr>
        <w:t>Provisions for Schedule 4.1</w:t>
      </w:r>
      <w:bookmarkEnd w:id="129"/>
    </w:p>
    <w:p>
      <w:pPr>
        <w:pStyle w:val="Footnoteheading"/>
        <w:keepNext/>
      </w:pPr>
      <w:r>
        <w:tab/>
        <w:t>[Heading inserted: SL 2023/102 r. 39.]</w:t>
      </w:r>
    </w:p>
    <w:p>
      <w:pPr>
        <w:pStyle w:val="Heading5"/>
      </w:pPr>
      <w:bookmarkStart w:id="130" w:name="_Toc200026221"/>
      <w:r>
        <w:rPr>
          <w:rStyle w:val="CharSectno"/>
        </w:rPr>
        <w:t>75M</w:t>
      </w:r>
      <w:r>
        <w:t>.</w:t>
      </w:r>
      <w:r>
        <w:tab/>
        <w:t>Drawing lots under Sch. 4.1 cl. 2(2)</w:t>
      </w:r>
      <w:bookmarkEnd w:id="130"/>
    </w:p>
    <w:p>
      <w:pPr>
        <w:pStyle w:val="Subsection"/>
      </w:pPr>
      <w:r>
        <w:tab/>
        <w:t>(1)</w:t>
      </w:r>
      <w:r>
        <w:tab/>
        <w:t>This regulation applies if lots are required to be drawn under Schedule 4.1 clause 2(2).</w:t>
      </w:r>
    </w:p>
    <w:p>
      <w:pPr>
        <w:pStyle w:val="Subsection"/>
      </w:pPr>
      <w:r>
        <w:tab/>
        <w:t>(2)</w:t>
      </w:r>
      <w:r>
        <w:tab/>
        <w:t xml:space="preserve">For the purposes of regulation 75E(2), the </w:t>
      </w:r>
      <w:r>
        <w:rPr>
          <w:rStyle w:val="CharDefText"/>
        </w:rPr>
        <w:t>relevant candidates</w:t>
      </w:r>
      <w:r>
        <w:t xml:space="preserve"> are the 2 candidates in the election.</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75M inserted: SL 2023/102 r. 39.]</w:t>
      </w:r>
    </w:p>
    <w:p>
      <w:pPr>
        <w:pStyle w:val="Heading5"/>
      </w:pPr>
      <w:bookmarkStart w:id="131" w:name="_Toc200026222"/>
      <w:r>
        <w:rPr>
          <w:rStyle w:val="CharSectno"/>
        </w:rPr>
        <w:t>75N</w:t>
      </w:r>
      <w:r>
        <w:t>.</w:t>
      </w:r>
      <w:r>
        <w:tab/>
        <w:t>Drawing lots under Sch. 4.1 cl. 5(6): determining candidate to be excluded</w:t>
      </w:r>
      <w:bookmarkEnd w:id="131"/>
    </w:p>
    <w:p>
      <w:pPr>
        <w:pStyle w:val="Subsection"/>
      </w:pPr>
      <w:r>
        <w:tab/>
        <w:t>(1)</w:t>
      </w:r>
      <w:r>
        <w:tab/>
        <w:t>This regulation applies if lots are required to be drawn under Schedule 4.1 clause 5(6) to determine the candidate to be excluded.</w:t>
      </w:r>
    </w:p>
    <w:p>
      <w:pPr>
        <w:pStyle w:val="Subsection"/>
      </w:pPr>
      <w:r>
        <w:tab/>
        <w:t>(2)</w:t>
      </w:r>
      <w:r>
        <w:tab/>
        <w:t xml:space="preserve">For the purposes of regulation 75E(2), the </w:t>
      </w:r>
      <w:r>
        <w:rPr>
          <w:rStyle w:val="CharDefText"/>
        </w:rPr>
        <w:t>relevant candidates</w:t>
      </w:r>
      <w:r>
        <w:t xml:space="preserve"> are the 2 or more candidates referred to in Schedule 4.1 clause 5(4)(a) or (b) (as the case requires).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excluded.</w:t>
      </w:r>
    </w:p>
    <w:p>
      <w:pPr>
        <w:pStyle w:val="Footnoteheading"/>
      </w:pPr>
      <w:r>
        <w:tab/>
        <w:t>[Regulation 75N inserted: SL 2023/102 r. 39.]</w:t>
      </w:r>
    </w:p>
    <w:p>
      <w:pPr>
        <w:pStyle w:val="Heading5"/>
      </w:pPr>
      <w:bookmarkStart w:id="132" w:name="_Toc200026223"/>
      <w:r>
        <w:rPr>
          <w:rStyle w:val="CharSectno"/>
        </w:rPr>
        <w:t>75O</w:t>
      </w:r>
      <w:r>
        <w:t>.</w:t>
      </w:r>
      <w:r>
        <w:tab/>
        <w:t>Drawing lots under Sch. 4.1 cl. 5(6): determining candidate to be elected</w:t>
      </w:r>
      <w:bookmarkEnd w:id="132"/>
    </w:p>
    <w:p>
      <w:pPr>
        <w:pStyle w:val="Subsection"/>
      </w:pPr>
      <w:r>
        <w:tab/>
        <w:t>(1)</w:t>
      </w:r>
      <w:r>
        <w:tab/>
        <w:t>This regulation applies if lots are required to be drawn under Schedule 4.1 clause 5(6) to determine the continuing candidate to be elected.</w:t>
      </w:r>
    </w:p>
    <w:p>
      <w:pPr>
        <w:pStyle w:val="Subsection"/>
      </w:pPr>
      <w:r>
        <w:lastRenderedPageBreak/>
        <w:tab/>
        <w:t>(2)</w:t>
      </w:r>
      <w:r>
        <w:tab/>
        <w:t xml:space="preserve">For the purposes of regulation 75E(2), the </w:t>
      </w:r>
      <w:r>
        <w:rPr>
          <w:rStyle w:val="CharDefText"/>
        </w:rPr>
        <w:t>relevant candidates</w:t>
      </w:r>
      <w:r>
        <w:t xml:space="preserve"> are the 2 continuing candidates referred to in Schedule 4.1 clause 5(5).</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75O inserted: SL 2023/102 r. 39.]</w:t>
      </w:r>
    </w:p>
    <w:p>
      <w:pPr>
        <w:pStyle w:val="Heading5"/>
      </w:pPr>
      <w:bookmarkStart w:id="133" w:name="_Toc200026224"/>
      <w:r>
        <w:rPr>
          <w:rStyle w:val="CharSectno"/>
        </w:rPr>
        <w:t>75P</w:t>
      </w:r>
      <w:r>
        <w:t>.</w:t>
      </w:r>
      <w:r>
        <w:tab/>
        <w:t>Drawing lots under Sch. 4.1 cl. 13(3)</w:t>
      </w:r>
      <w:bookmarkEnd w:id="133"/>
    </w:p>
    <w:p>
      <w:pPr>
        <w:pStyle w:val="Subsection"/>
      </w:pPr>
      <w:r>
        <w:tab/>
        <w:t>(1)</w:t>
      </w:r>
      <w:r>
        <w:tab/>
        <w:t>This regulation applies if lots are required to be drawn under Schedule 4.1 clause 13(3).</w:t>
      </w:r>
    </w:p>
    <w:p>
      <w:pPr>
        <w:pStyle w:val="Subsection"/>
      </w:pPr>
      <w:r>
        <w:tab/>
        <w:t>(2)</w:t>
      </w:r>
      <w:r>
        <w:tab/>
        <w:t xml:space="preserve">For the purposes of regulation 75E(2), the </w:t>
      </w:r>
      <w:r>
        <w:rPr>
          <w:rStyle w:val="CharDefText"/>
        </w:rPr>
        <w:t>relevant candidates</w:t>
      </w:r>
      <w:r>
        <w:t xml:space="preserve"> are the 2 continuing candidates referred to in Schedule 4.1 clause 13(1).</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75P inserted: SL 2023/102 r. 39.]</w:t>
      </w:r>
    </w:p>
    <w:p>
      <w:pPr>
        <w:pStyle w:val="Heading5"/>
      </w:pPr>
      <w:bookmarkStart w:id="134" w:name="_Toc200026225"/>
      <w:r>
        <w:rPr>
          <w:rStyle w:val="CharSectno"/>
        </w:rPr>
        <w:t>75Q</w:t>
      </w:r>
      <w:r>
        <w:t>.</w:t>
      </w:r>
      <w:r>
        <w:tab/>
        <w:t>Drawing lots under Sch. 4.1 cl. 15(2)(b)</w:t>
      </w:r>
      <w:bookmarkEnd w:id="134"/>
    </w:p>
    <w:p>
      <w:pPr>
        <w:pStyle w:val="Subsection"/>
      </w:pPr>
      <w:r>
        <w:tab/>
        <w:t>(1)</w:t>
      </w:r>
      <w:r>
        <w:tab/>
        <w:t>This regulation applies if lots are required to be drawn under Schedule 4.1 clause 15(2)(b).</w:t>
      </w:r>
    </w:p>
    <w:p>
      <w:pPr>
        <w:pStyle w:val="Subsection"/>
      </w:pPr>
      <w:r>
        <w:tab/>
        <w:t>(2)</w:t>
      </w:r>
      <w:r>
        <w:tab/>
        <w:t xml:space="preserve">For the purposes of regulation 75E(2), the </w:t>
      </w:r>
      <w:r>
        <w:rPr>
          <w:rStyle w:val="CharDefText"/>
        </w:rPr>
        <w:t>relevant candidates</w:t>
      </w:r>
      <w:r>
        <w:t xml:space="preserve"> are the candidates with equal surpluses.</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taken to have had the larger surplus.</w:t>
      </w:r>
    </w:p>
    <w:p>
      <w:pPr>
        <w:pStyle w:val="Subsection"/>
        <w:keepNext/>
      </w:pPr>
      <w:r>
        <w:lastRenderedPageBreak/>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taken to have had the largest surplus;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tab/>
        <w:t>(d)</w:t>
      </w:r>
      <w:r>
        <w:tab/>
        <w:t>the relevant candidate whose name appears on the slip obtained by the RO on the first repeat of the fourth step is taken to have had the second largest surplus, and so on.</w:t>
      </w:r>
    </w:p>
    <w:p>
      <w:pPr>
        <w:pStyle w:val="Footnoteheading"/>
      </w:pPr>
      <w:r>
        <w:tab/>
        <w:t>[Regulation 75Q inserted: SL 2023/102 r. 39.]</w:t>
      </w:r>
    </w:p>
    <w:p>
      <w:pPr>
        <w:pStyle w:val="Heading5"/>
      </w:pPr>
      <w:bookmarkStart w:id="135" w:name="_Toc200026226"/>
      <w:r>
        <w:rPr>
          <w:rStyle w:val="CharSectno"/>
        </w:rPr>
        <w:t>75R</w:t>
      </w:r>
      <w:r>
        <w:t>.</w:t>
      </w:r>
      <w:r>
        <w:tab/>
        <w:t>Drawing lots under Sch. 4.1 cl. 16(3)</w:t>
      </w:r>
      <w:bookmarkEnd w:id="135"/>
    </w:p>
    <w:p>
      <w:pPr>
        <w:pStyle w:val="Subsection"/>
      </w:pPr>
      <w:r>
        <w:tab/>
        <w:t>(1)</w:t>
      </w:r>
      <w:r>
        <w:tab/>
        <w:t>This regulation applies if lots are required to be drawn under Schedule 4.1 clause 16(3).</w:t>
      </w:r>
    </w:p>
    <w:p>
      <w:pPr>
        <w:pStyle w:val="Subsection"/>
      </w:pPr>
      <w:r>
        <w:tab/>
        <w:t>(2)</w:t>
      </w:r>
      <w:r>
        <w:tab/>
        <w:t xml:space="preserve">For the purposes of regulation 75E(2), the </w:t>
      </w:r>
      <w:r>
        <w:rPr>
          <w:rStyle w:val="CharDefText"/>
        </w:rPr>
        <w:t>relevant candidates</w:t>
      </w:r>
      <w:r>
        <w:t xml:space="preserve"> are the tied candidates.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excluded.</w:t>
      </w:r>
    </w:p>
    <w:p>
      <w:pPr>
        <w:pStyle w:val="Footnoteheading"/>
      </w:pPr>
      <w:r>
        <w:tab/>
        <w:t>[Regulation 75R inserted: SL 2023/102 r. 39.]</w:t>
      </w:r>
    </w:p>
    <w:p>
      <w:pPr>
        <w:pStyle w:val="Heading3"/>
      </w:pPr>
      <w:bookmarkStart w:id="136" w:name="_Toc200026227"/>
      <w:r>
        <w:rPr>
          <w:rStyle w:val="CharDivNo"/>
        </w:rPr>
        <w:t>Division 5</w:t>
      </w:r>
      <w:r>
        <w:t> — </w:t>
      </w:r>
      <w:r>
        <w:rPr>
          <w:rStyle w:val="CharDivText"/>
        </w:rPr>
        <w:t>Provisions for Schedule 4.2</w:t>
      </w:r>
      <w:bookmarkEnd w:id="136"/>
    </w:p>
    <w:p>
      <w:pPr>
        <w:pStyle w:val="Footnoteheading"/>
      </w:pPr>
      <w:r>
        <w:tab/>
        <w:t>[Heading inserted: SL 2023/102 r. 39.]</w:t>
      </w:r>
    </w:p>
    <w:p>
      <w:pPr>
        <w:pStyle w:val="Heading5"/>
      </w:pPr>
      <w:bookmarkStart w:id="137" w:name="_Toc200026228"/>
      <w:r>
        <w:rPr>
          <w:rStyle w:val="CharSectno"/>
        </w:rPr>
        <w:t>75S</w:t>
      </w:r>
      <w:r>
        <w:t>.</w:t>
      </w:r>
      <w:r>
        <w:tab/>
        <w:t>Drawing lots under Sch. 4.2 cl. 6, 7, 7A(a)(ii) or (d)(ii) or 7B(b)</w:t>
      </w:r>
      <w:bookmarkEnd w:id="137"/>
    </w:p>
    <w:p>
      <w:pPr>
        <w:pStyle w:val="Subsection"/>
      </w:pPr>
      <w:r>
        <w:tab/>
        <w:t>(1)</w:t>
      </w:r>
      <w:r>
        <w:tab/>
        <w:t>This regulation applies if lots are required to be drawn under Schedule 4.2 clause 6, 7, 7A(a)(ii) or (d)(ii) or 7B(b).</w:t>
      </w:r>
    </w:p>
    <w:p>
      <w:pPr>
        <w:pStyle w:val="Subsection"/>
      </w:pPr>
      <w:r>
        <w:lastRenderedPageBreak/>
        <w:tab/>
        <w:t>(2)</w:t>
      </w:r>
      <w:r>
        <w:tab/>
        <w:t xml:space="preserve">For the purposes of regulation 75E(2), the </w:t>
      </w:r>
      <w:r>
        <w:rPr>
          <w:rStyle w:val="CharDefText"/>
        </w:rPr>
        <w:t>relevant candidates</w:t>
      </w:r>
      <w:r>
        <w:t xml:space="preserve"> are as follows — </w:t>
      </w:r>
    </w:p>
    <w:p>
      <w:pPr>
        <w:pStyle w:val="Indenta"/>
      </w:pPr>
      <w:r>
        <w:tab/>
        <w:t>(a)</w:t>
      </w:r>
      <w:r>
        <w:tab/>
        <w:t>if lots are required to be drawn under Schedule 4.2 clause 6 or 7 — the councillors who were elected unopposed;</w:t>
      </w:r>
    </w:p>
    <w:p>
      <w:pPr>
        <w:pStyle w:val="Indenta"/>
      </w:pPr>
      <w:r>
        <w:tab/>
        <w:t>(b)</w:t>
      </w:r>
      <w:r>
        <w:tab/>
        <w:t>if lots are required to be drawn under Schedule 4.2 clause 7A(a)(ii) or (d)(ii) — the councillors who had the same number of first</w:t>
      </w:r>
      <w:r>
        <w:noBreakHyphen/>
        <w:t>preference votes;</w:t>
      </w:r>
    </w:p>
    <w:p>
      <w:pPr>
        <w:pStyle w:val="Indenta"/>
      </w:pPr>
      <w:r>
        <w:tab/>
        <w:t>(c)</w:t>
      </w:r>
      <w:r>
        <w:tab/>
        <w:t>if lots are required to be drawn under Schedule 4.2 clause 7B(b) by virtue of clause 7A(b)(ii) — the councillors who had the same number of votes on the completion of the transfer;</w:t>
      </w:r>
    </w:p>
    <w:p>
      <w:pPr>
        <w:pStyle w:val="Indenta"/>
      </w:pPr>
      <w:r>
        <w:tab/>
        <w:t>(d)</w:t>
      </w:r>
      <w:r>
        <w:tab/>
        <w:t>if lots are required to be drawn under Schedule 4.2 clause 7B(b) by virtue of clause 7A(c)(ii) — the councillors who had the same number of votes when they were elected.</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regarded as having been elected first as between the relevant candidates.</w:t>
      </w:r>
    </w:p>
    <w:p>
      <w:pPr>
        <w:pStyle w:val="Subsection"/>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regarded as having been elected first as between the relevant candidates;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lastRenderedPageBreak/>
        <w:tab/>
        <w:t>(d)</w:t>
      </w:r>
      <w:r>
        <w:tab/>
        <w:t>the relevant candidate whose name appears on the slip obtained by the RO on the first repeat of the fourth step is regarded as having been elected second as between the relevant candidates, and so on.</w:t>
      </w:r>
    </w:p>
    <w:p>
      <w:pPr>
        <w:pStyle w:val="Footnoteheading"/>
      </w:pPr>
      <w:r>
        <w:tab/>
        <w:t>[Regulation 75S inserted: SL 2023/102 r. 39.]</w:t>
      </w:r>
    </w:p>
    <w:p>
      <w:pPr>
        <w:pStyle w:val="Heading5"/>
      </w:pPr>
      <w:bookmarkStart w:id="138" w:name="_Toc200026229"/>
      <w:r>
        <w:rPr>
          <w:rStyle w:val="CharSectno"/>
        </w:rPr>
        <w:t>75T</w:t>
      </w:r>
      <w:r>
        <w:t>.</w:t>
      </w:r>
      <w:r>
        <w:tab/>
        <w:t>Drawing lots under Sch. 4.2 cl. 8(b) or 9(a)</w:t>
      </w:r>
      <w:bookmarkEnd w:id="138"/>
    </w:p>
    <w:p>
      <w:pPr>
        <w:pStyle w:val="Subsection"/>
      </w:pPr>
      <w:r>
        <w:tab/>
        <w:t>(1)</w:t>
      </w:r>
      <w:r>
        <w:tab/>
        <w:t>This regulation applies if lots are required to be drawn under Schedule 4.2 clause 8(b) or 9(a).</w:t>
      </w:r>
    </w:p>
    <w:p>
      <w:pPr>
        <w:pStyle w:val="Subsection"/>
      </w:pPr>
      <w:r>
        <w:tab/>
        <w:t>(2)</w:t>
      </w:r>
      <w:r>
        <w:tab/>
        <w:t xml:space="preserve">For the purposes of regulation 75E(2), the </w:t>
      </w:r>
      <w:r>
        <w:rPr>
          <w:rStyle w:val="CharDefText"/>
        </w:rPr>
        <w:t>relevant candidates</w:t>
      </w:r>
      <w:r>
        <w:t xml:space="preserve"> are as follows — </w:t>
      </w:r>
    </w:p>
    <w:p>
      <w:pPr>
        <w:pStyle w:val="Indenta"/>
      </w:pPr>
      <w:r>
        <w:tab/>
        <w:t>(a)</w:t>
      </w:r>
      <w:r>
        <w:tab/>
        <w:t>if lots are required to be drawn under Schedule 4.2 clause 8(b) — the councillors who have an equality of the percentage of first</w:t>
      </w:r>
      <w:r>
        <w:noBreakHyphen/>
        <w:t>preference votes cast;</w:t>
      </w:r>
    </w:p>
    <w:p>
      <w:pPr>
        <w:pStyle w:val="Indenta"/>
      </w:pPr>
      <w:r>
        <w:tab/>
        <w:t>(b)</w:t>
      </w:r>
      <w:r>
        <w:tab/>
        <w:t>if lots are required to be drawn under Schedule 4.2 clause 9(a) — the councillors appointed on the same day.</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retires first as between the relevant candidates.</w:t>
      </w:r>
    </w:p>
    <w:p>
      <w:pPr>
        <w:pStyle w:val="Subsection"/>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retires first as between the relevant candidates;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lastRenderedPageBreak/>
        <w:tab/>
        <w:t>(d)</w:t>
      </w:r>
      <w:r>
        <w:tab/>
        <w:t>the relevant candidate whose name appears on the slip obtained by the RO on the first repeat of the fourth step retires second as between the relevant candidates, and so on.</w:t>
      </w:r>
    </w:p>
    <w:p>
      <w:pPr>
        <w:pStyle w:val="Footnoteheading"/>
      </w:pPr>
      <w:r>
        <w:tab/>
        <w:t>[Regulation 75T inserted: SL 2023/102 r. 39.]</w:t>
      </w:r>
    </w:p>
    <w:p>
      <w:pPr>
        <w:pStyle w:val="Heading2"/>
      </w:pPr>
      <w:bookmarkStart w:id="139" w:name="_Toc200026230"/>
      <w:r>
        <w:rPr>
          <w:rStyle w:val="CharPartNo"/>
        </w:rPr>
        <w:lastRenderedPageBreak/>
        <w:t>Part 13</w:t>
      </w:r>
      <w:r>
        <w:rPr>
          <w:rStyle w:val="CharDivNo"/>
        </w:rPr>
        <w:t> </w:t>
      </w:r>
      <w:r>
        <w:t>—</w:t>
      </w:r>
      <w:r>
        <w:rPr>
          <w:rStyle w:val="CharDivText"/>
        </w:rPr>
        <w:t> </w:t>
      </w:r>
      <w:r>
        <w:rPr>
          <w:rStyle w:val="CharPartText"/>
        </w:rPr>
        <w:t>Other matters relating to the holding of an election</w:t>
      </w:r>
      <w:bookmarkEnd w:id="139"/>
    </w:p>
    <w:p>
      <w:pPr>
        <w:pStyle w:val="Heading5"/>
        <w:rPr>
          <w:snapToGrid w:val="0"/>
        </w:rPr>
      </w:pPr>
      <w:bookmarkStart w:id="140" w:name="_Toc200026231"/>
      <w:r>
        <w:rPr>
          <w:rStyle w:val="CharSectno"/>
        </w:rPr>
        <w:t>76</w:t>
      </w:r>
      <w:r>
        <w:rPr>
          <w:snapToGrid w:val="0"/>
        </w:rPr>
        <w:t>.</w:t>
      </w:r>
      <w:r>
        <w:rPr>
          <w:snapToGrid w:val="0"/>
        </w:rPr>
        <w:tab/>
        <w:t>Provision, design and preparation of ballot</w:t>
      </w:r>
      <w:r>
        <w:rPr>
          <w:snapToGrid w:val="0"/>
        </w:rPr>
        <w:br/>
        <w:t>boxes — s. </w:t>
      </w:r>
      <w:r>
        <w:rPr>
          <w:rStyle w:val="CharSectno"/>
        </w:rPr>
        <w:t>4</w:t>
      </w:r>
      <w:r>
        <w:rPr>
          <w:snapToGrid w:val="0"/>
        </w:rPr>
        <w:t>.71(1)(h)</w:t>
      </w:r>
      <w:bookmarkEnd w:id="140"/>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Gazette 22 Dec 1998 p. 6872.]</w:t>
      </w:r>
    </w:p>
    <w:p>
      <w:pPr>
        <w:pStyle w:val="Heading5"/>
        <w:rPr>
          <w:snapToGrid w:val="0"/>
        </w:rPr>
      </w:pPr>
      <w:bookmarkStart w:id="141" w:name="_Toc200026232"/>
      <w:r>
        <w:rPr>
          <w:rStyle w:val="CharSectno"/>
        </w:rPr>
        <w:t>77</w:t>
      </w:r>
      <w:r>
        <w:rPr>
          <w:snapToGrid w:val="0"/>
        </w:rPr>
        <w:t>.</w:t>
      </w:r>
      <w:r>
        <w:rPr>
          <w:snapToGrid w:val="0"/>
        </w:rPr>
        <w:tab/>
        <w:t>Ballot boxes used on election day — s. 4.71(1)(h)</w:t>
      </w:r>
      <w:bookmarkEnd w:id="141"/>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lastRenderedPageBreak/>
        <w:tab/>
        <w:t>(b)</w:t>
      </w:r>
      <w:r>
        <w:rPr>
          <w:snapToGrid w:val="0"/>
        </w:rPr>
        <w:tab/>
        <w:t>deliver the ballot boxes</w:t>
      </w:r>
      <w:r>
        <w:t xml:space="preserve"> as soon as possible to a place as directed by the RO.</w:t>
      </w:r>
    </w:p>
    <w:p>
      <w:pPr>
        <w:pStyle w:val="Footnotesection"/>
      </w:pPr>
      <w:r>
        <w:tab/>
        <w:t>[Regulation 77 amended: Gazette 22 Dec 1998 p. 6872; 3 Aug 2007 p. 3994.]</w:t>
      </w:r>
    </w:p>
    <w:p>
      <w:pPr>
        <w:pStyle w:val="Ednotesection"/>
      </w:pPr>
      <w:r>
        <w:t>[</w:t>
      </w:r>
      <w:r>
        <w:rPr>
          <w:b/>
        </w:rPr>
        <w:t>77A.</w:t>
      </w:r>
      <w:r>
        <w:tab/>
        <w:t>Deleted: SL 2023/102 r. 40.]</w:t>
      </w:r>
    </w:p>
    <w:p>
      <w:pPr>
        <w:pStyle w:val="Heading5"/>
        <w:rPr>
          <w:snapToGrid w:val="0"/>
        </w:rPr>
      </w:pPr>
      <w:bookmarkStart w:id="142" w:name="_Toc200026233"/>
      <w:r>
        <w:rPr>
          <w:rStyle w:val="CharSectno"/>
        </w:rPr>
        <w:t>78</w:t>
      </w:r>
      <w:r>
        <w:rPr>
          <w:snapToGrid w:val="0"/>
        </w:rPr>
        <w:t>.</w:t>
      </w:r>
      <w:r>
        <w:rPr>
          <w:snapToGrid w:val="0"/>
        </w:rPr>
        <w:tab/>
        <w:t>Exempt electoral material — s. 4.87</w:t>
      </w:r>
      <w:bookmarkEnd w:id="142"/>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keepNext/>
        <w:rPr>
          <w:snapToGrid w:val="0"/>
        </w:rPr>
      </w:pPr>
      <w:r>
        <w:rPr>
          <w:snapToGrid w:val="0"/>
        </w:rPr>
        <w:tab/>
        <w:t>(2)</w:t>
      </w:r>
      <w:r>
        <w:rPr>
          <w:snapToGrid w:val="0"/>
        </w:rPr>
        <w:tab/>
        <w:t>Section 4.87(1) does not apply to a profile of a candidate required by section 4.49(b) when it is being —</w:t>
      </w:r>
    </w:p>
    <w:p>
      <w:pPr>
        <w:pStyle w:val="Indenta"/>
        <w:rPr>
          <w:snapToGrid w:val="0"/>
        </w:rPr>
      </w:pPr>
      <w:r>
        <w:rPr>
          <w:snapToGrid w:val="0"/>
        </w:rPr>
        <w:tab/>
        <w:t>(a)</w:t>
      </w:r>
      <w:r>
        <w:rPr>
          <w:snapToGrid w:val="0"/>
        </w:rPr>
        <w:tab/>
        <w:t>supplied to the RO under section 4.49(b); or</w:t>
      </w:r>
    </w:p>
    <w:p>
      <w:pPr>
        <w:pStyle w:val="Indenta"/>
        <w:rPr>
          <w:snapToGrid w:val="0"/>
        </w:rPr>
      </w:pPr>
      <w:r>
        <w:rPr>
          <w:snapToGrid w:val="0"/>
        </w:rPr>
        <w:tab/>
        <w:t>(b)</w:t>
      </w:r>
      <w:r>
        <w:rPr>
          <w:snapToGrid w:val="0"/>
        </w:rPr>
        <w:tab/>
        <w:t>reproduced, supplied, distributed or displayed by the RO for the purposes of the election.</w:t>
      </w:r>
    </w:p>
    <w:p>
      <w:pPr>
        <w:pStyle w:val="Heading5"/>
        <w:rPr>
          <w:snapToGrid w:val="0"/>
        </w:rPr>
      </w:pPr>
      <w:bookmarkStart w:id="143" w:name="_Toc200026234"/>
      <w:r>
        <w:rPr>
          <w:rStyle w:val="CharSectno"/>
        </w:rPr>
        <w:t>79</w:t>
      </w:r>
      <w:r>
        <w:rPr>
          <w:snapToGrid w:val="0"/>
        </w:rPr>
        <w:t>.</w:t>
      </w:r>
      <w:r>
        <w:rPr>
          <w:snapToGrid w:val="0"/>
        </w:rPr>
        <w:tab/>
        <w:t>Display of candidates’ profiles</w:t>
      </w:r>
      <w:bookmarkEnd w:id="143"/>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144" w:name="_Toc200026235"/>
      <w:r>
        <w:rPr>
          <w:rStyle w:val="CharPartNo"/>
        </w:rPr>
        <w:lastRenderedPageBreak/>
        <w:t>Part 14</w:t>
      </w:r>
      <w:r>
        <w:rPr>
          <w:rStyle w:val="CharDivNo"/>
        </w:rPr>
        <w:t> </w:t>
      </w:r>
      <w:r>
        <w:t>—</w:t>
      </w:r>
      <w:r>
        <w:rPr>
          <w:rStyle w:val="CharDivText"/>
        </w:rPr>
        <w:t> </w:t>
      </w:r>
      <w:r>
        <w:rPr>
          <w:rStyle w:val="CharPartText"/>
        </w:rPr>
        <w:t>Declaring the election result and subsequent matters</w:t>
      </w:r>
      <w:bookmarkEnd w:id="144"/>
    </w:p>
    <w:p>
      <w:pPr>
        <w:pStyle w:val="Heading5"/>
      </w:pPr>
      <w:bookmarkStart w:id="145" w:name="_Toc200026236"/>
      <w:r>
        <w:rPr>
          <w:rStyle w:val="CharSectno"/>
        </w:rPr>
        <w:t>80</w:t>
      </w:r>
      <w:r>
        <w:t>.</w:t>
      </w:r>
      <w:r>
        <w:tab/>
        <w:t>Declaration and notice of result — s. 4.77</w:t>
      </w:r>
      <w:bookmarkEnd w:id="145"/>
    </w:p>
    <w:p>
      <w:pPr>
        <w:pStyle w:val="Subsection"/>
      </w:pPr>
      <w:r>
        <w:tab/>
        <w:t>(1)</w:t>
      </w:r>
      <w:r>
        <w:tab/>
        <w:t>This regulation applies for the purposes of section 4.77.</w:t>
      </w:r>
    </w:p>
    <w:p>
      <w:pPr>
        <w:pStyle w:val="PermNoteHeading"/>
      </w:pPr>
      <w:r>
        <w:tab/>
        <w:t>Note for this subregulation:</w:t>
      </w:r>
    </w:p>
    <w:p>
      <w:pPr>
        <w:pStyle w:val="PermNoteText"/>
      </w:pPr>
      <w:r>
        <w:tab/>
      </w:r>
      <w:r>
        <w:tab/>
        <w:t>See also regulations 80AA and 80AB which apply for the purposes of section 4.77 in relation to declarations and notices required under Schedule 4.1A clause 19 of the Act and Schedule 4.1B clause 1(5) of the Act.</w:t>
      </w:r>
    </w:p>
    <w:p>
      <w:pPr>
        <w:pStyle w:val="Subsection"/>
      </w:pPr>
      <w:r>
        <w:tab/>
        <w:t>(2)</w:t>
      </w:r>
      <w:r>
        <w:tab/>
        <w:t>The RO must publicly declare the result of the election.</w:t>
      </w:r>
    </w:p>
    <w:p>
      <w:pPr>
        <w:pStyle w:val="Subsection"/>
      </w:pPr>
      <w:r>
        <w:tab/>
        <w:t>(3)</w:t>
      </w:r>
      <w:r>
        <w:tab/>
        <w:t xml:space="preserve">If the election is decided under section 4.55 or 4.57, the declaration must include the following — </w:t>
      </w:r>
    </w:p>
    <w:p>
      <w:pPr>
        <w:pStyle w:val="Indenta"/>
      </w:pPr>
      <w:r>
        <w:tab/>
        <w:t>(a)</w:t>
      </w:r>
      <w:r>
        <w:tab/>
        <w:t>the name of each candidate and a statement that they are elected unopposed;</w:t>
      </w:r>
    </w:p>
    <w:p>
      <w:pPr>
        <w:pStyle w:val="Indenta"/>
      </w:pPr>
      <w:r>
        <w:tab/>
        <w:t>(b)</w:t>
      </w:r>
      <w:r>
        <w:tab/>
        <w:t>the name of any person appointed by the council under section 4.57(3) and a statement that they are so appointed;</w:t>
      </w:r>
    </w:p>
    <w:p>
      <w:pPr>
        <w:pStyle w:val="Indenta"/>
      </w:pPr>
      <w:r>
        <w:tab/>
        <w:t>(c)</w:t>
      </w:r>
      <w:r>
        <w:tab/>
        <w:t>the term of office for each person elected.</w:t>
      </w:r>
    </w:p>
    <w:p>
      <w:pPr>
        <w:pStyle w:val="Subsection"/>
      </w:pPr>
      <w:r>
        <w:tab/>
        <w:t>(4)</w:t>
      </w:r>
      <w:r>
        <w:tab/>
        <w:t>If voting by electors took place, the declaration must include the information required under subregulation (5), (6) or (7) (as the case requires).</w:t>
      </w:r>
    </w:p>
    <w:p>
      <w:pPr>
        <w:pStyle w:val="Subsection"/>
      </w:pPr>
      <w:r>
        <w:tab/>
        <w:t>(5)</w:t>
      </w:r>
      <w:r>
        <w:tab/>
        <w:t xml:space="preserve">If the result of the election was ascertained under Schedule 4.1 clause 2 or 4 of the Act, the information required for the purposes of subregulation (4) is as follows — </w:t>
      </w:r>
    </w:p>
    <w:p>
      <w:pPr>
        <w:pStyle w:val="Indenta"/>
      </w:pPr>
      <w:r>
        <w:tab/>
        <w:t>(a)</w:t>
      </w:r>
      <w:r>
        <w:tab/>
        <w:t>the name of each candidate;</w:t>
      </w:r>
    </w:p>
    <w:p>
      <w:pPr>
        <w:pStyle w:val="Indenta"/>
      </w:pPr>
      <w:r>
        <w:tab/>
        <w:t>(b)</w:t>
      </w:r>
      <w:r>
        <w:tab/>
        <w:t>the number of first</w:t>
      </w:r>
      <w:r>
        <w:noBreakHyphen/>
        <w:t>preference votes that each candidate had;</w:t>
      </w:r>
    </w:p>
    <w:p>
      <w:pPr>
        <w:pStyle w:val="Indenta"/>
      </w:pPr>
      <w:r>
        <w:tab/>
        <w:t>(c)</w:t>
      </w:r>
      <w:r>
        <w:tab/>
        <w:t>the name and term of office of the candidate elected.</w:t>
      </w:r>
    </w:p>
    <w:p>
      <w:pPr>
        <w:pStyle w:val="Subsection"/>
      </w:pPr>
      <w:r>
        <w:lastRenderedPageBreak/>
        <w:tab/>
        <w:t>(6)</w:t>
      </w:r>
      <w:r>
        <w:tab/>
        <w:t xml:space="preserve">If the result of the election was ascertained under Schedule 4.1 clause 5 of the Act, the information required for the purposes of subregulation (4) is as follows — </w:t>
      </w:r>
    </w:p>
    <w:p>
      <w:pPr>
        <w:pStyle w:val="Indenta"/>
      </w:pPr>
      <w:r>
        <w:tab/>
        <w:t>(a)</w:t>
      </w:r>
      <w:r>
        <w:tab/>
        <w:t>the name of each candidate;</w:t>
      </w:r>
    </w:p>
    <w:p>
      <w:pPr>
        <w:pStyle w:val="Indenta"/>
      </w:pPr>
      <w:r>
        <w:tab/>
        <w:t>(b)</w:t>
      </w:r>
      <w:r>
        <w:tab/>
        <w:t>the number of first</w:t>
      </w:r>
      <w:r>
        <w:noBreakHyphen/>
        <w:t>preference votes that each candidate had;</w:t>
      </w:r>
    </w:p>
    <w:p>
      <w:pPr>
        <w:pStyle w:val="Indenta"/>
      </w:pPr>
      <w:r>
        <w:tab/>
        <w:t>(c)</w:t>
      </w:r>
      <w:r>
        <w:tab/>
        <w:t xml:space="preserve">for each candidate, whichever of the following is relevant — </w:t>
      </w:r>
    </w:p>
    <w:p>
      <w:pPr>
        <w:pStyle w:val="Indenti"/>
      </w:pPr>
      <w:r>
        <w:tab/>
        <w:t>(i)</w:t>
      </w:r>
      <w:r>
        <w:tab/>
        <w:t>the number of votes that the candidate had on the last count under Schedule 4.1 clause 5(2)(d) of the Act;</w:t>
      </w:r>
    </w:p>
    <w:p>
      <w:pPr>
        <w:pStyle w:val="Indenti"/>
      </w:pPr>
      <w:r>
        <w:tab/>
        <w:t>(ii)</w:t>
      </w:r>
      <w:r>
        <w:tab/>
        <w:t>that the candidate was excluded under Schedule 4.1 clause 5(2)(a) of the Act;</w:t>
      </w:r>
    </w:p>
    <w:p>
      <w:pPr>
        <w:pStyle w:val="Indenta"/>
      </w:pPr>
      <w:r>
        <w:tab/>
        <w:t>(d)</w:t>
      </w:r>
      <w:r>
        <w:tab/>
        <w:t>the name and term of office of the candidate elected.</w:t>
      </w:r>
    </w:p>
    <w:p>
      <w:pPr>
        <w:pStyle w:val="Subsection"/>
      </w:pPr>
      <w:r>
        <w:tab/>
        <w:t>(7)</w:t>
      </w:r>
      <w:r>
        <w:tab/>
        <w:t xml:space="preserve">If the result of the election was ascertained under Schedule 4.1 Division 3 of the Act, the information required for the purposes of subregulation (4) is as follows — </w:t>
      </w:r>
    </w:p>
    <w:p>
      <w:pPr>
        <w:pStyle w:val="Indenta"/>
      </w:pPr>
      <w:r>
        <w:tab/>
        <w:t>(a)</w:t>
      </w:r>
      <w:r>
        <w:tab/>
        <w:t>the name of each candidate;</w:t>
      </w:r>
    </w:p>
    <w:p>
      <w:pPr>
        <w:pStyle w:val="Indenta"/>
      </w:pPr>
      <w:r>
        <w:tab/>
        <w:t>(b)</w:t>
      </w:r>
      <w:r>
        <w:tab/>
        <w:t>the quota (as determined under Schedule 4.1 clause 8 of the Act);</w:t>
      </w:r>
    </w:p>
    <w:p>
      <w:pPr>
        <w:pStyle w:val="Indenta"/>
      </w:pPr>
      <w:r>
        <w:tab/>
        <w:t>(c)</w:t>
      </w:r>
      <w:r>
        <w:tab/>
        <w:t>the number of first</w:t>
      </w:r>
      <w:r>
        <w:noBreakHyphen/>
        <w:t>preference votes that each candidate had;</w:t>
      </w:r>
    </w:p>
    <w:p>
      <w:pPr>
        <w:pStyle w:val="Indenta"/>
      </w:pPr>
      <w:r>
        <w:tab/>
        <w:t>(d)</w:t>
      </w:r>
      <w:r>
        <w:tab/>
        <w:t>the names of the candidates elected and the order in which they were elected;</w:t>
      </w:r>
    </w:p>
    <w:p>
      <w:pPr>
        <w:pStyle w:val="Indenta"/>
      </w:pPr>
      <w:r>
        <w:tab/>
        <w:t>(e)</w:t>
      </w:r>
      <w:r>
        <w:tab/>
        <w:t>the term of office of each candidate elected.</w:t>
      </w:r>
    </w:p>
    <w:p>
      <w:pPr>
        <w:pStyle w:val="Subsection"/>
      </w:pPr>
      <w:r>
        <w:tab/>
        <w:t>(8)</w:t>
      </w:r>
      <w:r>
        <w:tab/>
        <w:t>The RO must also give local public notice of the result of the election.</w:t>
      </w:r>
    </w:p>
    <w:p>
      <w:pPr>
        <w:pStyle w:val="Subsection"/>
      </w:pPr>
      <w:r>
        <w:tab/>
        <w:t>(9)</w:t>
      </w:r>
      <w:r>
        <w:tab/>
        <w:t xml:space="preserve">The local public notice must — </w:t>
      </w:r>
    </w:p>
    <w:p>
      <w:pPr>
        <w:pStyle w:val="Indenta"/>
      </w:pPr>
      <w:r>
        <w:tab/>
        <w:t>(a)</w:t>
      </w:r>
      <w:r>
        <w:tab/>
        <w:t>set out the contents of the declaration; and</w:t>
      </w:r>
    </w:p>
    <w:p>
      <w:pPr>
        <w:pStyle w:val="Indenta"/>
      </w:pPr>
      <w:r>
        <w:tab/>
        <w:t>(b)</w:t>
      </w:r>
      <w:r>
        <w:tab/>
        <w:t>if relevant — include a document detailing the distribution of preference votes.</w:t>
      </w:r>
    </w:p>
    <w:p>
      <w:pPr>
        <w:pStyle w:val="Subsection"/>
      </w:pPr>
      <w:r>
        <w:lastRenderedPageBreak/>
        <w:tab/>
        <w:t>(10)</w:t>
      </w:r>
      <w:r>
        <w:tab/>
        <w:t>The Departmental CEO may approve forms to be used for the purposes of this regulation.</w:t>
      </w:r>
    </w:p>
    <w:p>
      <w:pPr>
        <w:pStyle w:val="Footnotesection"/>
      </w:pPr>
      <w:r>
        <w:tab/>
        <w:t>[Regulation 80 inserted: SL 2023/102 r. 41.]</w:t>
      </w:r>
    </w:p>
    <w:p>
      <w:pPr>
        <w:pStyle w:val="Heading5"/>
      </w:pPr>
      <w:bookmarkStart w:id="146" w:name="_Toc200026237"/>
      <w:r>
        <w:rPr>
          <w:rStyle w:val="CharSectno"/>
        </w:rPr>
        <w:t>80AA</w:t>
      </w:r>
      <w:r>
        <w:t>.</w:t>
      </w:r>
      <w:r>
        <w:tab/>
        <w:t>Declaration and notice required under Sch. 4.1A cl. 19</w:t>
      </w:r>
      <w:bookmarkEnd w:id="146"/>
    </w:p>
    <w:p>
      <w:pPr>
        <w:pStyle w:val="Subsection"/>
      </w:pPr>
      <w:r>
        <w:tab/>
        <w:t>(1)</w:t>
      </w:r>
      <w:r>
        <w:tab/>
        <w:t>This regulation applies for the purposes of section 4.77 if a declaration and notice are required under Schedule 4.1A clause 19 of the Act.</w:t>
      </w:r>
    </w:p>
    <w:p>
      <w:pPr>
        <w:pStyle w:val="Subsection"/>
      </w:pPr>
      <w:r>
        <w:tab/>
        <w:t>(2)</w:t>
      </w:r>
      <w:r>
        <w:tab/>
        <w:t>The RO must publicly declare any matter required to be declared under Schedule 4.1A clause 19 of the Act.</w:t>
      </w:r>
    </w:p>
    <w:p>
      <w:pPr>
        <w:pStyle w:val="Subsection"/>
      </w:pPr>
      <w:r>
        <w:tab/>
        <w:t>(3)</w:t>
      </w:r>
      <w:r>
        <w:tab/>
        <w:t xml:space="preserve">The declaration must include the following — </w:t>
      </w:r>
    </w:p>
    <w:p>
      <w:pPr>
        <w:pStyle w:val="Indenta"/>
      </w:pPr>
      <w:r>
        <w:tab/>
        <w:t>(a)</w:t>
      </w:r>
      <w:r>
        <w:tab/>
        <w:t xml:space="preserve">if Schedule 4.1A clause 19(1) of the Act applies — </w:t>
      </w:r>
    </w:p>
    <w:p>
      <w:pPr>
        <w:pStyle w:val="Indenti"/>
      </w:pPr>
      <w:r>
        <w:tab/>
        <w:t>(i)</w:t>
      </w:r>
      <w:r>
        <w:tab/>
        <w:t>a statement that Schedule 4.1A clause 19(1) of the Act applies; and</w:t>
      </w:r>
    </w:p>
    <w:p>
      <w:pPr>
        <w:pStyle w:val="Indenti"/>
      </w:pPr>
      <w:r>
        <w:tab/>
        <w:t>(ii)</w:t>
      </w:r>
      <w:r>
        <w:tab/>
        <w:t>the name of the second placed candidate; and</w:t>
      </w:r>
    </w:p>
    <w:p>
      <w:pPr>
        <w:pStyle w:val="Indenti"/>
      </w:pPr>
      <w:r>
        <w:tab/>
        <w:t>(iii)</w:t>
      </w:r>
      <w:r>
        <w:tab/>
        <w:t>the name of the third placed candidate or a statement that there is no third placed candidate;</w:t>
      </w:r>
    </w:p>
    <w:p>
      <w:pPr>
        <w:pStyle w:val="Indenta"/>
      </w:pPr>
      <w:r>
        <w:tab/>
        <w:t>(b)</w:t>
      </w:r>
      <w:r>
        <w:tab/>
        <w:t xml:space="preserve">if Schedule 4.1A clause 19(2) of the Act applies — </w:t>
      </w:r>
    </w:p>
    <w:p>
      <w:pPr>
        <w:pStyle w:val="Indenti"/>
      </w:pPr>
      <w:r>
        <w:tab/>
        <w:t>(i)</w:t>
      </w:r>
      <w:r>
        <w:tab/>
        <w:t>a statement that Schedule 4.1A clause 19(2) of the Act applies; and</w:t>
      </w:r>
    </w:p>
    <w:p>
      <w:pPr>
        <w:pStyle w:val="Indenti"/>
      </w:pPr>
      <w:r>
        <w:tab/>
        <w:t>(ii)</w:t>
      </w:r>
      <w:r>
        <w:tab/>
        <w:t>the name of the second placed candidate; and</w:t>
      </w:r>
    </w:p>
    <w:p>
      <w:pPr>
        <w:pStyle w:val="Indenti"/>
      </w:pPr>
      <w:r>
        <w:tab/>
        <w:t>(iii)</w:t>
      </w:r>
      <w:r>
        <w:tab/>
        <w:t>the name of the third placed candidate or a statement that there is no third placed candidate;</w:t>
      </w:r>
    </w:p>
    <w:p>
      <w:pPr>
        <w:pStyle w:val="Indenta"/>
      </w:pPr>
      <w:r>
        <w:tab/>
        <w:t>(c)</w:t>
      </w:r>
      <w:r>
        <w:tab/>
        <w:t xml:space="preserve">if Schedule 4.1A clause 19(3) of the Act applies — </w:t>
      </w:r>
    </w:p>
    <w:p>
      <w:pPr>
        <w:pStyle w:val="Indenti"/>
      </w:pPr>
      <w:r>
        <w:tab/>
        <w:t>(i)</w:t>
      </w:r>
      <w:r>
        <w:tab/>
        <w:t>a statement that Schedule 4.1A clause 19(3) of the Act applies; and</w:t>
      </w:r>
    </w:p>
    <w:p>
      <w:pPr>
        <w:pStyle w:val="Indenti"/>
      </w:pPr>
      <w:r>
        <w:tab/>
        <w:t>(ii)</w:t>
      </w:r>
      <w:r>
        <w:tab/>
        <w:t>the name of the first unelected candidate or a statement that there is no first unelected candidate; and</w:t>
      </w:r>
    </w:p>
    <w:p>
      <w:pPr>
        <w:pStyle w:val="Indenti"/>
      </w:pPr>
      <w:r>
        <w:lastRenderedPageBreak/>
        <w:tab/>
        <w:t>(iii)</w:t>
      </w:r>
      <w:r>
        <w:tab/>
        <w:t>the name of the second unelected candidate or a statement that there is no second unelected candidate.</w:t>
      </w:r>
    </w:p>
    <w:p>
      <w:pPr>
        <w:pStyle w:val="Subsection"/>
      </w:pPr>
      <w:r>
        <w:tab/>
        <w:t>(4)</w:t>
      </w:r>
      <w:r>
        <w:tab/>
        <w:t>The RO must also give local public notice setting out the contents of the declaration.</w:t>
      </w:r>
    </w:p>
    <w:p>
      <w:pPr>
        <w:pStyle w:val="Subsection"/>
      </w:pPr>
      <w:r>
        <w:tab/>
        <w:t>(5)</w:t>
      </w:r>
      <w:r>
        <w:tab/>
        <w:t>The local public notice may be included in the local public notice required under regulation 80(8).</w:t>
      </w:r>
    </w:p>
    <w:p>
      <w:pPr>
        <w:pStyle w:val="Subsection"/>
      </w:pPr>
      <w:r>
        <w:tab/>
        <w:t>(6)</w:t>
      </w:r>
      <w:r>
        <w:tab/>
        <w:t>The Departmental CEO may approve forms to be used for the purposes of this regulation.</w:t>
      </w:r>
    </w:p>
    <w:p>
      <w:pPr>
        <w:pStyle w:val="Footnotesection"/>
      </w:pPr>
      <w:r>
        <w:tab/>
        <w:t>[Regulation 80AA inserted: SL 2023/102 r. 41.]</w:t>
      </w:r>
    </w:p>
    <w:p>
      <w:pPr>
        <w:pStyle w:val="Heading5"/>
      </w:pPr>
      <w:bookmarkStart w:id="147" w:name="_Toc200026238"/>
      <w:r>
        <w:rPr>
          <w:rStyle w:val="CharSectno"/>
        </w:rPr>
        <w:t>80AB</w:t>
      </w:r>
      <w:r>
        <w:t>.</w:t>
      </w:r>
      <w:r>
        <w:tab/>
        <w:t>Declaration and notice required under Sch. 4.1B cl. 1(5)</w:t>
      </w:r>
      <w:bookmarkEnd w:id="147"/>
    </w:p>
    <w:p>
      <w:pPr>
        <w:pStyle w:val="Subsection"/>
      </w:pPr>
      <w:r>
        <w:tab/>
        <w:t>(1)</w:t>
      </w:r>
      <w:r>
        <w:tab/>
        <w:t>This regulation applies for the purposes of section 4.77 if a declaration and notice are required under Schedule 4.1B clause 1(5) of the Act.</w:t>
      </w:r>
    </w:p>
    <w:p>
      <w:pPr>
        <w:pStyle w:val="Subsection"/>
      </w:pPr>
      <w:r>
        <w:tab/>
        <w:t>(2)</w:t>
      </w:r>
      <w:r>
        <w:tab/>
        <w:t>The RO must publicly declare any matter required to be declared under Schedule 4.1B clause 1(5) of the Act.</w:t>
      </w:r>
    </w:p>
    <w:p>
      <w:pPr>
        <w:pStyle w:val="Subsection"/>
      </w:pPr>
      <w:r>
        <w:tab/>
        <w:t>(3)</w:t>
      </w:r>
      <w:r>
        <w:tab/>
        <w:t xml:space="preserve">The declaration must include the following — </w:t>
      </w:r>
    </w:p>
    <w:p>
      <w:pPr>
        <w:pStyle w:val="Indenta"/>
      </w:pPr>
      <w:r>
        <w:tab/>
        <w:t>(a)</w:t>
      </w:r>
      <w:r>
        <w:tab/>
        <w:t>a statement that Schedule 4.1B clause 1(5) of the Act applies;</w:t>
      </w:r>
    </w:p>
    <w:p>
      <w:pPr>
        <w:pStyle w:val="Indenta"/>
      </w:pPr>
      <w:r>
        <w:tab/>
        <w:t>(b)</w:t>
      </w:r>
      <w:r>
        <w:tab/>
        <w:t>details of the vacancy that is filled;</w:t>
      </w:r>
    </w:p>
    <w:p>
      <w:pPr>
        <w:pStyle w:val="Indenta"/>
      </w:pPr>
      <w:r>
        <w:tab/>
        <w:t>(c)</w:t>
      </w:r>
      <w:r>
        <w:tab/>
        <w:t>the name and term of office of the candidate who is declared elected to fill the vacancy.</w:t>
      </w:r>
    </w:p>
    <w:p>
      <w:pPr>
        <w:pStyle w:val="Subsection"/>
      </w:pPr>
      <w:r>
        <w:tab/>
        <w:t>(4)</w:t>
      </w:r>
      <w:r>
        <w:tab/>
        <w:t>The RO must also give local public notice setting out the contents of the declaration.</w:t>
      </w:r>
    </w:p>
    <w:p>
      <w:pPr>
        <w:pStyle w:val="Subsection"/>
      </w:pPr>
      <w:r>
        <w:tab/>
        <w:t>(5)</w:t>
      </w:r>
      <w:r>
        <w:tab/>
        <w:t>The local public notice may be included in the local public notice required under regulation 80(8).</w:t>
      </w:r>
    </w:p>
    <w:p>
      <w:pPr>
        <w:pStyle w:val="Subsection"/>
      </w:pPr>
      <w:r>
        <w:tab/>
        <w:t>(6)</w:t>
      </w:r>
      <w:r>
        <w:tab/>
        <w:t>The Departmental CEO may approve forms to be used for the purposes of this regulation.</w:t>
      </w:r>
    </w:p>
    <w:p>
      <w:pPr>
        <w:pStyle w:val="Footnotesection"/>
      </w:pPr>
      <w:r>
        <w:tab/>
        <w:t>[Regulation 80AB inserted: SL 2023/102 r. 41.]</w:t>
      </w:r>
    </w:p>
    <w:p>
      <w:pPr>
        <w:pStyle w:val="Ednotesection"/>
      </w:pPr>
      <w:r>
        <w:lastRenderedPageBreak/>
        <w:t>[</w:t>
      </w:r>
      <w:r>
        <w:rPr>
          <w:b/>
        </w:rPr>
        <w:t>80A.</w:t>
      </w:r>
      <w:r>
        <w:tab/>
        <w:t>Deleted: SL 2023/102 r. 42.]</w:t>
      </w:r>
    </w:p>
    <w:p>
      <w:pPr>
        <w:pStyle w:val="Heading5"/>
        <w:spacing w:before="240"/>
        <w:rPr>
          <w:snapToGrid w:val="0"/>
        </w:rPr>
      </w:pPr>
      <w:bookmarkStart w:id="148" w:name="_Toc200026239"/>
      <w:r>
        <w:rPr>
          <w:rStyle w:val="CharSectno"/>
        </w:rPr>
        <w:t>81</w:t>
      </w:r>
      <w:r>
        <w:rPr>
          <w:snapToGrid w:val="0"/>
        </w:rPr>
        <w:t>.</w:t>
      </w:r>
      <w:r>
        <w:rPr>
          <w:snapToGrid w:val="0"/>
        </w:rPr>
        <w:tab/>
        <w:t>Report to Minister — s. 4.79</w:t>
      </w:r>
      <w:bookmarkEnd w:id="148"/>
    </w:p>
    <w:p>
      <w:pPr>
        <w:pStyle w:val="Subsection"/>
        <w:rPr>
          <w:snapToGrid w:val="0"/>
        </w:rPr>
      </w:pPr>
      <w:r>
        <w:rPr>
          <w:snapToGrid w:val="0"/>
        </w:rPr>
        <w:tab/>
      </w:r>
      <w:r>
        <w:t>(1)</w:t>
      </w:r>
      <w:r>
        <w:tab/>
        <w:t>The report</w:t>
      </w:r>
      <w:r>
        <w:rPr>
          <w:snapToGrid w:val="0"/>
        </w:rPr>
        <w:t xml:space="preserve"> relating to an election under section 4.79 (Form 20) is to be provided to the Minister within 14 days after the declaration of the result of the election.</w:t>
      </w:r>
    </w:p>
    <w:p>
      <w:pPr>
        <w:pStyle w:val="Subsection"/>
        <w:keepNext/>
      </w:pPr>
      <w:r>
        <w:tab/>
        <w:t>(2)</w:t>
      </w:r>
      <w:r>
        <w:tab/>
        <w:t>If relevant, the report must be accompanied by a document detailing the distribution of preference votes.</w:t>
      </w:r>
    </w:p>
    <w:p>
      <w:pPr>
        <w:pStyle w:val="Footnotesection"/>
      </w:pPr>
      <w:r>
        <w:tab/>
        <w:t>[Regulation 81 amended: SL 2023/102 r. 43.]</w:t>
      </w:r>
    </w:p>
    <w:p>
      <w:pPr>
        <w:pStyle w:val="Heading5"/>
        <w:spacing w:before="240"/>
        <w:rPr>
          <w:snapToGrid w:val="0"/>
        </w:rPr>
      </w:pPr>
      <w:bookmarkStart w:id="149" w:name="_Toc200026240"/>
      <w:r>
        <w:rPr>
          <w:rStyle w:val="CharSectno"/>
        </w:rPr>
        <w:t>82</w:t>
      </w:r>
      <w:r>
        <w:rPr>
          <w:snapToGrid w:val="0"/>
        </w:rPr>
        <w:t>.</w:t>
      </w:r>
      <w:r>
        <w:rPr>
          <w:snapToGrid w:val="0"/>
        </w:rPr>
        <w:tab/>
        <w:t>Keeping election papers — s. 4.84(a)</w:t>
      </w:r>
      <w:bookmarkEnd w:id="149"/>
    </w:p>
    <w:p>
      <w:pPr>
        <w:pStyle w:val="Subsection"/>
        <w:keepNext/>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 and</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keepNext/>
        <w:spacing w:before="120"/>
      </w:pPr>
      <w:r>
        <w:tab/>
        <w:t>(4)</w:t>
      </w:r>
      <w:r>
        <w:tab/>
        <w:t xml:space="preserve">If, after the period mentioned in subregulation (3), the parcels are to be destroyed — </w:t>
      </w:r>
    </w:p>
    <w:p>
      <w:pPr>
        <w:pStyle w:val="Indenta"/>
        <w:spacing w:before="60"/>
      </w:pPr>
      <w:r>
        <w:tab/>
        <w:t>(a)</w:t>
      </w:r>
      <w:r>
        <w:tab/>
        <w:t>the destruction is to be carried out by or under the supervision of the CEO in the presence of at least 2 employees; or</w:t>
      </w:r>
    </w:p>
    <w:p>
      <w:pPr>
        <w:pStyle w:val="Indenta"/>
      </w:pPr>
      <w:r>
        <w:tab/>
        <w:t>(b)</w:t>
      </w:r>
      <w:r>
        <w:tab/>
        <w:t>the parcels are to be conveyed securely to a secure paper destruction company, or placed in a locked bin provided by such a company, by or under the supervision of the CEO in the presence of at least 2 employees.</w:t>
      </w:r>
    </w:p>
    <w:p>
      <w:pPr>
        <w:pStyle w:val="Subsection"/>
        <w:keepNext/>
      </w:pPr>
      <w:r>
        <w:lastRenderedPageBreak/>
        <w:tab/>
        <w:t>(5)</w:t>
      </w:r>
      <w:r>
        <w:tab/>
        <w:t xml:space="preserve">In subregulation (4) — </w:t>
      </w:r>
    </w:p>
    <w:p>
      <w:pPr>
        <w:pStyle w:val="Defstart"/>
      </w:pPr>
      <w:r>
        <w:tab/>
      </w:r>
      <w:r>
        <w:rPr>
          <w:rStyle w:val="CharDefText"/>
        </w:rPr>
        <w:t>destroy</w:t>
      </w:r>
      <w:r>
        <w:t>, in relation to a parcel of ballot papers, means to deal with the parcel so that all of the information recorded or stored on the papers in the parcel are obliterated or rendered illegible or irrecoverable;</w:t>
      </w:r>
    </w:p>
    <w:p>
      <w:pPr>
        <w:pStyle w:val="Defstart"/>
        <w:keepNext/>
      </w:pPr>
      <w:r>
        <w:tab/>
      </w:r>
      <w:r>
        <w:rPr>
          <w:rStyle w:val="CharDefText"/>
        </w:rPr>
        <w:t>secure paper destruction company</w:t>
      </w:r>
      <w:r>
        <w:t xml:space="preserve"> means a person or body that under contract or agreement with the local government is to destroy papers for the local government.</w:t>
      </w:r>
    </w:p>
    <w:p>
      <w:pPr>
        <w:pStyle w:val="Footnotesection"/>
        <w:ind w:left="890" w:hanging="890"/>
      </w:pPr>
      <w:r>
        <w:tab/>
        <w:t>[Regulation 82 amended: Gazette 21 Dec 2012 p. 6643.]</w:t>
      </w:r>
    </w:p>
    <w:p>
      <w:pPr>
        <w:pStyle w:val="Heading5"/>
        <w:rPr>
          <w:snapToGrid w:val="0"/>
        </w:rPr>
      </w:pPr>
      <w:bookmarkStart w:id="150" w:name="_Toc200026241"/>
      <w:r>
        <w:rPr>
          <w:rStyle w:val="CharSectno"/>
        </w:rPr>
        <w:t>83</w:t>
      </w:r>
      <w:r>
        <w:rPr>
          <w:snapToGrid w:val="0"/>
        </w:rPr>
        <w:t>.</w:t>
      </w:r>
      <w:r>
        <w:rPr>
          <w:snapToGrid w:val="0"/>
        </w:rPr>
        <w:tab/>
        <w:t>Inspection of election papers — s. 4.84(b)</w:t>
      </w:r>
      <w:bookmarkEnd w:id="150"/>
    </w:p>
    <w:p>
      <w:pPr>
        <w:pStyle w:val="Subsection"/>
        <w:keepNext/>
        <w:rPr>
          <w:snapToGrid w:val="0"/>
        </w:rPr>
      </w:pPr>
      <w:r>
        <w:rPr>
          <w:snapToGrid w:val="0"/>
        </w:rPr>
        <w:tab/>
      </w:r>
      <w:r>
        <w:rPr>
          <w:snapToGrid w:val="0"/>
        </w:rPr>
        <w:tab/>
        <w:t>The CEO is to make the sealed parcels of election papers available for inspection —</w:t>
      </w:r>
    </w:p>
    <w:p>
      <w:pPr>
        <w:pStyle w:val="Indenta"/>
        <w:rPr>
          <w:snapToGrid w:val="0"/>
        </w:rPr>
      </w:pPr>
      <w:r>
        <w:rPr>
          <w:snapToGrid w:val="0"/>
        </w:rPr>
        <w:tab/>
        <w:t>(a)</w:t>
      </w:r>
      <w:r>
        <w:rPr>
          <w:snapToGrid w:val="0"/>
        </w:rPr>
        <w:tab/>
        <w:t>by a Court of Disputed Returns; or</w:t>
      </w:r>
    </w:p>
    <w:p>
      <w:pPr>
        <w:pStyle w:val="Indenta"/>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 or</w:t>
      </w:r>
    </w:p>
    <w:p>
      <w:pPr>
        <w:pStyle w:val="Indenta"/>
        <w:rPr>
          <w:snapToGrid w:val="0"/>
        </w:rPr>
      </w:pPr>
      <w:r>
        <w:rPr>
          <w:snapToGrid w:val="0"/>
        </w:rPr>
        <w:tab/>
        <w:t>(c)</w:t>
      </w:r>
      <w:r>
        <w:rPr>
          <w:snapToGrid w:val="0"/>
        </w:rPr>
        <w:tab/>
        <w:t>by an Inquiry Panel for the purposes of an inquiry under Part 8, Division 2 of the Act; or</w:t>
      </w:r>
    </w:p>
    <w:p>
      <w:pPr>
        <w:pStyle w:val="Indenta"/>
        <w:rPr>
          <w:snapToGrid w:val="0"/>
        </w:rPr>
      </w:pPr>
      <w:r>
        <w:rPr>
          <w:snapToGrid w:val="0"/>
        </w:rPr>
        <w:tab/>
        <w:t>(d)</w:t>
      </w:r>
      <w:r>
        <w:rPr>
          <w:snapToGrid w:val="0"/>
        </w:rPr>
        <w:tab/>
        <w:t>by the RO for the purpose of preparing a report under section 4.79(3); or</w:t>
      </w:r>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keepNext/>
        <w:rPr>
          <w:snapToGrid w:val="0"/>
        </w:rPr>
      </w:pPr>
      <w:r>
        <w:rPr>
          <w:snapToGrid w:val="0"/>
        </w:rPr>
        <w:tab/>
        <w:t>(f)</w:t>
      </w:r>
      <w:r>
        <w:rPr>
          <w:snapToGrid w:val="0"/>
        </w:rPr>
        <w:tab/>
        <w:t>in accordance with the order of any competent court.</w:t>
      </w:r>
    </w:p>
    <w:p>
      <w:pPr>
        <w:pStyle w:val="Footnotesection"/>
        <w:keepLines w:val="0"/>
      </w:pPr>
      <w:r>
        <w:tab/>
        <w:t>[Regulation 83 amended: Gazette 3 Aug 2007 p. 3996.]</w:t>
      </w:r>
    </w:p>
    <w:p>
      <w:pPr>
        <w:pStyle w:val="Heading2"/>
      </w:pPr>
      <w:bookmarkStart w:id="151" w:name="_Toc200026242"/>
      <w:r>
        <w:rPr>
          <w:rStyle w:val="CharPartNo"/>
        </w:rPr>
        <w:lastRenderedPageBreak/>
        <w:t>Part 15</w:t>
      </w:r>
      <w:r>
        <w:rPr>
          <w:rStyle w:val="CharDivNo"/>
        </w:rPr>
        <w:t> </w:t>
      </w:r>
      <w:r>
        <w:t>—</w:t>
      </w:r>
      <w:r>
        <w:rPr>
          <w:rStyle w:val="CharDivText"/>
        </w:rPr>
        <w:t> </w:t>
      </w:r>
      <w:r>
        <w:rPr>
          <w:rStyle w:val="CharPartText"/>
        </w:rPr>
        <w:t>Disputed returns</w:t>
      </w:r>
      <w:bookmarkEnd w:id="151"/>
    </w:p>
    <w:p>
      <w:pPr>
        <w:pStyle w:val="Heading5"/>
        <w:rPr>
          <w:snapToGrid w:val="0"/>
        </w:rPr>
      </w:pPr>
      <w:bookmarkStart w:id="152" w:name="_Toc200026243"/>
      <w:r>
        <w:rPr>
          <w:rStyle w:val="CharSectno"/>
        </w:rPr>
        <w:t>84</w:t>
      </w:r>
      <w:r>
        <w:rPr>
          <w:snapToGrid w:val="0"/>
        </w:rPr>
        <w:t>.</w:t>
      </w:r>
      <w:r>
        <w:rPr>
          <w:snapToGrid w:val="0"/>
        </w:rPr>
        <w:tab/>
        <w:t>How invalidity complaints made — s. 4.81(2)</w:t>
      </w:r>
      <w:bookmarkEnd w:id="152"/>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ind w:left="890" w:hanging="890"/>
      </w:pPr>
      <w:r>
        <w:tab/>
        <w:t>[Regulation 84 amended: Gazette 3 Aug 2007 p. 3996.]</w:t>
      </w:r>
    </w:p>
    <w:p>
      <w:pPr>
        <w:pStyle w:val="Heading5"/>
        <w:rPr>
          <w:snapToGrid w:val="0"/>
        </w:rPr>
      </w:pPr>
      <w:bookmarkStart w:id="153" w:name="_Toc200026244"/>
      <w:r>
        <w:rPr>
          <w:rStyle w:val="CharSectno"/>
        </w:rPr>
        <w:t>85</w:t>
      </w:r>
      <w:r>
        <w:rPr>
          <w:snapToGrid w:val="0"/>
        </w:rPr>
        <w:t>.</w:t>
      </w:r>
      <w:r>
        <w:rPr>
          <w:snapToGrid w:val="0"/>
        </w:rPr>
        <w:tab/>
        <w:t>Declarations that Court can make — s. 4.81(2)</w:t>
      </w:r>
      <w:bookmarkEnd w:id="153"/>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pPr>
      <w:r>
        <w:lastRenderedPageBreak/>
        <w:tab/>
        <w:t>(ca)</w:t>
      </w:r>
      <w:r>
        <w:tab/>
        <w:t>a declaration that a declaration under Schedule 4.1A clause 19 of the Act or Schedule 4.1B clause 1(5) of the Act should be changed;</w:t>
      </w:r>
    </w:p>
    <w:p>
      <w:pPr>
        <w:pStyle w:val="Indenta"/>
        <w:rPr>
          <w:snapToGrid w:val="0"/>
        </w:rPr>
      </w:pPr>
      <w:r>
        <w:rPr>
          <w:snapToGrid w:val="0"/>
        </w:rPr>
        <w:tab/>
        <w:t>(d)</w:t>
      </w:r>
      <w:r>
        <w:rPr>
          <w:snapToGrid w:val="0"/>
        </w:rPr>
        <w:tab/>
        <w:t>a declaration rejecting the invalidity complaint.</w:t>
      </w:r>
    </w:p>
    <w:p>
      <w:pPr>
        <w:pStyle w:val="Subsection"/>
      </w:pPr>
      <w:r>
        <w:tab/>
        <w:t>(2)</w:t>
      </w:r>
      <w:r>
        <w:tab/>
        <w:t xml:space="preserve">If the investigation of the invalidity complaint leads to a situation that requires the drawing of lots as set out in Part 12C, the Court may order the RO — </w:t>
      </w:r>
    </w:p>
    <w:p>
      <w:pPr>
        <w:pStyle w:val="Indenta"/>
      </w:pPr>
      <w:r>
        <w:tab/>
        <w:t>(a)</w:t>
      </w:r>
      <w:r>
        <w:tab/>
        <w:t>to draw lots in accordance with the applicable provisions of Part 12C; and</w:t>
      </w:r>
    </w:p>
    <w:p>
      <w:pPr>
        <w:pStyle w:val="Indenta"/>
      </w:pPr>
      <w:r>
        <w:tab/>
        <w:t>(b)</w:t>
      </w:r>
      <w:r>
        <w:tab/>
        <w:t>to inform the Court of the result to enable the Court to make a determination under subregulation (1).</w:t>
      </w:r>
    </w:p>
    <w:p>
      <w:pPr>
        <w:pStyle w:val="Footnotesection"/>
      </w:pPr>
      <w:r>
        <w:tab/>
        <w:t>[Regulation 85 amended: Gazette 22 Dec 1998 p. 6872; SL 2023/102 r. 44.]</w:t>
      </w:r>
    </w:p>
    <w:p>
      <w:pPr>
        <w:pStyle w:val="Heading5"/>
      </w:pPr>
      <w:bookmarkStart w:id="154" w:name="_Toc200026245"/>
      <w:r>
        <w:rPr>
          <w:rStyle w:val="CharSectno"/>
        </w:rPr>
        <w:t>86</w:t>
      </w:r>
      <w:r>
        <w:t>.</w:t>
      </w:r>
      <w:r>
        <w:tab/>
        <w:t>Notice and report of effect of Court’s decision — s. 4.81(2) and (4)</w:t>
      </w:r>
      <w:bookmarkEnd w:id="154"/>
    </w:p>
    <w:p>
      <w:pPr>
        <w:pStyle w:val="Subsection"/>
      </w:pPr>
      <w:r>
        <w:tab/>
      </w:r>
      <w:r>
        <w:tab/>
        <w:t>If the Court makes a declaration under regulation 85(1)(a), (b), (c) or (ca),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Gazette 3 Aug 2007 p. 3996; amended: SL 2023/102 r. 45.]</w:t>
      </w:r>
    </w:p>
    <w:p>
      <w:pPr>
        <w:pStyle w:val="Heading5"/>
      </w:pPr>
      <w:bookmarkStart w:id="155" w:name="_Toc200026246"/>
      <w:r>
        <w:rPr>
          <w:rStyle w:val="CharSectno"/>
        </w:rPr>
        <w:t>86A</w:t>
      </w:r>
      <w:r>
        <w:t>.</w:t>
      </w:r>
      <w:r>
        <w:tab/>
        <w:t>Publication of Court’s declaration under s. 4.81(5)(a) — s. 4.81(5)(b)(ii)</w:t>
      </w:r>
      <w:bookmarkEnd w:id="155"/>
    </w:p>
    <w:p>
      <w:pPr>
        <w:pStyle w:val="Subsection"/>
        <w:keepNext/>
      </w:pPr>
      <w:r>
        <w:tab/>
      </w:r>
      <w:r>
        <w:tab/>
        <w:t>For the purposes of section 4.81(5)(b)(ii), the RO must give local public notice setting out the contents of the Court’s declaration under section 4.81(5)(a).</w:t>
      </w:r>
    </w:p>
    <w:p>
      <w:pPr>
        <w:pStyle w:val="Footnotesection"/>
      </w:pPr>
      <w:r>
        <w:tab/>
        <w:t>[Regulation 86A inserted: SL 2023/102 r. 46.]</w:t>
      </w:r>
    </w:p>
    <w:p>
      <w:pPr>
        <w:pStyle w:val="Heading5"/>
        <w:rPr>
          <w:snapToGrid w:val="0"/>
        </w:rPr>
      </w:pPr>
      <w:bookmarkStart w:id="156" w:name="_Toc200026247"/>
      <w:r>
        <w:rPr>
          <w:rStyle w:val="CharSectno"/>
        </w:rPr>
        <w:lastRenderedPageBreak/>
        <w:t>87</w:t>
      </w:r>
      <w:r>
        <w:rPr>
          <w:snapToGrid w:val="0"/>
        </w:rPr>
        <w:t>.</w:t>
      </w:r>
      <w:r>
        <w:rPr>
          <w:snapToGrid w:val="0"/>
        </w:rPr>
        <w:tab/>
        <w:t>Orders as to costs — s. 4.81(2)</w:t>
      </w:r>
      <w:bookmarkEnd w:id="156"/>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157" w:name="_Toc200026248"/>
      <w:r>
        <w:rPr>
          <w:rStyle w:val="CharPartNo"/>
        </w:rPr>
        <w:lastRenderedPageBreak/>
        <w:t>Part 15A</w:t>
      </w:r>
      <w:r>
        <w:t> — </w:t>
      </w:r>
      <w:r>
        <w:rPr>
          <w:rStyle w:val="CharPartText"/>
        </w:rPr>
        <w:t>Provisions for Schedule 4.1A of Act</w:t>
      </w:r>
      <w:bookmarkEnd w:id="157"/>
    </w:p>
    <w:p>
      <w:pPr>
        <w:pStyle w:val="Footnoteheading"/>
      </w:pPr>
      <w:r>
        <w:tab/>
        <w:t>[Heading inserted: SL 2023/102 r. 47.]</w:t>
      </w:r>
    </w:p>
    <w:p>
      <w:pPr>
        <w:pStyle w:val="PermNoteHeading"/>
      </w:pPr>
      <w:r>
        <w:tab/>
        <w:t>Note for this Part:</w:t>
      </w:r>
    </w:p>
    <w:p>
      <w:pPr>
        <w:pStyle w:val="PermNoteText"/>
      </w:pPr>
      <w:r>
        <w:tab/>
      </w:r>
      <w:r>
        <w:tab/>
        <w:t>See Part 12C Division 2 for provisions relating to the drawing of lots under Schedule 4.1A of the Act.</w:t>
      </w:r>
    </w:p>
    <w:p>
      <w:pPr>
        <w:pStyle w:val="Heading3"/>
      </w:pPr>
      <w:bookmarkStart w:id="158" w:name="_Toc200026249"/>
      <w:r>
        <w:rPr>
          <w:rStyle w:val="CharDivNo"/>
        </w:rPr>
        <w:t>Division 1</w:t>
      </w:r>
      <w:r>
        <w:t> — </w:t>
      </w:r>
      <w:r>
        <w:rPr>
          <w:rStyle w:val="CharDivText"/>
        </w:rPr>
        <w:t>Provisions for Schedule 4.1A clause 2(4) of Act</w:t>
      </w:r>
      <w:bookmarkEnd w:id="158"/>
    </w:p>
    <w:p>
      <w:pPr>
        <w:pStyle w:val="Footnoteheading"/>
      </w:pPr>
      <w:r>
        <w:tab/>
        <w:t>[Heading inserted: SL 2023/102 r. 47.]</w:t>
      </w:r>
    </w:p>
    <w:p>
      <w:pPr>
        <w:pStyle w:val="Heading5"/>
      </w:pPr>
      <w:bookmarkStart w:id="159" w:name="_Toc200026250"/>
      <w:r>
        <w:rPr>
          <w:rStyle w:val="CharSectno"/>
        </w:rPr>
        <w:t>87A</w:t>
      </w:r>
      <w:r>
        <w:t>.</w:t>
      </w:r>
      <w:r>
        <w:tab/>
        <w:t>Declaration and notice of election</w:t>
      </w:r>
      <w:bookmarkEnd w:id="159"/>
    </w:p>
    <w:p>
      <w:pPr>
        <w:pStyle w:val="Subsection"/>
      </w:pPr>
      <w:r>
        <w:tab/>
        <w:t>(1)</w:t>
      </w:r>
      <w:r>
        <w:tab/>
        <w:t>This regulation applies for the purposes of Schedule 4.1A clause 2(4) of the Act.</w:t>
      </w:r>
    </w:p>
    <w:p>
      <w:pPr>
        <w:pStyle w:val="Subsection"/>
      </w:pPr>
      <w:r>
        <w:tab/>
        <w:t>(2)</w:t>
      </w:r>
      <w:r>
        <w:tab/>
        <w:t>The CEO must publicly declare that the vacancy has been filled by election under Schedule 4.1A of the Act.</w:t>
      </w:r>
    </w:p>
    <w:p>
      <w:pPr>
        <w:pStyle w:val="Subsection"/>
      </w:pPr>
      <w:r>
        <w:tab/>
        <w:t>(3)</w:t>
      </w:r>
      <w:r>
        <w:tab/>
        <w:t xml:space="preserve">The declaration must include the following — </w:t>
      </w:r>
    </w:p>
    <w:p>
      <w:pPr>
        <w:pStyle w:val="Indenta"/>
      </w:pPr>
      <w:r>
        <w:tab/>
        <w:t>(a)</w:t>
      </w:r>
      <w:r>
        <w:tab/>
        <w:t>the name of the former member and their office;</w:t>
      </w:r>
    </w:p>
    <w:p>
      <w:pPr>
        <w:pStyle w:val="Indenta"/>
      </w:pPr>
      <w:r>
        <w:tab/>
        <w:t>(b)</w:t>
      </w:r>
      <w:r>
        <w:tab/>
        <w:t>the name and term of office of the person elected to fill the vacancy.</w:t>
      </w:r>
    </w:p>
    <w:p>
      <w:pPr>
        <w:pStyle w:val="Subsection"/>
      </w:pPr>
      <w:r>
        <w:tab/>
        <w:t>(4)</w:t>
      </w:r>
      <w:r>
        <w:tab/>
        <w:t>The CEO must also give local public notice of the contents of the declaration.</w:t>
      </w:r>
    </w:p>
    <w:p>
      <w:pPr>
        <w:pStyle w:val="Footnotesection"/>
      </w:pPr>
      <w:r>
        <w:tab/>
        <w:t>[Regulation 87A inserted: SL 2023/102 r. 47.]</w:t>
      </w:r>
    </w:p>
    <w:p>
      <w:pPr>
        <w:pStyle w:val="Heading3"/>
      </w:pPr>
      <w:bookmarkStart w:id="160" w:name="_Toc200026251"/>
      <w:r>
        <w:rPr>
          <w:rStyle w:val="CharDivNo"/>
        </w:rPr>
        <w:t>Division 2</w:t>
      </w:r>
      <w:r>
        <w:t> — </w:t>
      </w:r>
      <w:r>
        <w:rPr>
          <w:rStyle w:val="CharDivText"/>
        </w:rPr>
        <w:t>Provisions for Schedule 4.1A clause 18 of Act</w:t>
      </w:r>
      <w:bookmarkEnd w:id="160"/>
    </w:p>
    <w:p>
      <w:pPr>
        <w:pStyle w:val="Footnoteheading"/>
      </w:pPr>
      <w:r>
        <w:tab/>
        <w:t>[Heading inserted: SL 2023/102 r. 47.]</w:t>
      </w:r>
    </w:p>
    <w:p>
      <w:pPr>
        <w:pStyle w:val="Heading4"/>
      </w:pPr>
      <w:bookmarkStart w:id="161" w:name="_Toc200026252"/>
      <w:r>
        <w:t>Subdivision 1 — Preliminary</w:t>
      </w:r>
      <w:bookmarkEnd w:id="161"/>
    </w:p>
    <w:p>
      <w:pPr>
        <w:pStyle w:val="Footnoteheading"/>
      </w:pPr>
      <w:r>
        <w:tab/>
        <w:t>[Heading inserted: SL 2023/102 r. 47.]</w:t>
      </w:r>
    </w:p>
    <w:p>
      <w:pPr>
        <w:pStyle w:val="Heading5"/>
      </w:pPr>
      <w:bookmarkStart w:id="162" w:name="_Toc200026253"/>
      <w:r>
        <w:rPr>
          <w:rStyle w:val="CharSectno"/>
        </w:rPr>
        <w:t>87B</w:t>
      </w:r>
      <w:r>
        <w:t>.</w:t>
      </w:r>
      <w:r>
        <w:tab/>
        <w:t>Terms used</w:t>
      </w:r>
      <w:bookmarkEnd w:id="162"/>
    </w:p>
    <w:p>
      <w:pPr>
        <w:pStyle w:val="Subsection"/>
      </w:pPr>
      <w:r>
        <w:tab/>
        <w:t>(1)</w:t>
      </w:r>
      <w:r>
        <w:tab/>
        <w:t>In this Division, references to clauses are to clauses of Schedule 4.1A of the Act.</w:t>
      </w:r>
    </w:p>
    <w:p>
      <w:pPr>
        <w:pStyle w:val="Subsection"/>
      </w:pPr>
      <w:r>
        <w:lastRenderedPageBreak/>
        <w:tab/>
        <w:t>(2)</w:t>
      </w:r>
      <w:r>
        <w:tab/>
        <w:t xml:space="preserve">In this Division — </w:t>
      </w:r>
    </w:p>
    <w:p>
      <w:pPr>
        <w:pStyle w:val="Defstart"/>
      </w:pPr>
      <w:r>
        <w:tab/>
      </w:r>
      <w:r>
        <w:rPr>
          <w:rStyle w:val="CharDefText"/>
        </w:rPr>
        <w:t>vacancy day</w:t>
      </w:r>
      <w:r>
        <w:t xml:space="preserve"> has the meaning given in clause 1;</w:t>
      </w:r>
    </w:p>
    <w:p>
      <w:pPr>
        <w:pStyle w:val="Defstart"/>
      </w:pPr>
      <w:r>
        <w:tab/>
      </w:r>
      <w:r>
        <w:rPr>
          <w:rStyle w:val="CharDefText"/>
        </w:rPr>
        <w:t>working day</w:t>
      </w:r>
      <w:r>
        <w:t xml:space="preserve"> has the meaning given in clause 1.</w:t>
      </w:r>
    </w:p>
    <w:p>
      <w:pPr>
        <w:pStyle w:val="Subsection"/>
      </w:pPr>
      <w:r>
        <w:tab/>
        <w:t>(3)</w:t>
      </w:r>
      <w:r>
        <w:tab/>
        <w:t>Clause 2(6) applies for the purposes of this Division.</w:t>
      </w:r>
    </w:p>
    <w:p>
      <w:pPr>
        <w:pStyle w:val="Footnotesection"/>
      </w:pPr>
      <w:r>
        <w:tab/>
        <w:t>[Regulation 87B inserted: SL 2023/102 r. 47.]</w:t>
      </w:r>
    </w:p>
    <w:p>
      <w:pPr>
        <w:pStyle w:val="Heading4"/>
      </w:pPr>
      <w:bookmarkStart w:id="163" w:name="_Toc200026254"/>
      <w:r>
        <w:t>Subdivision 2 — Notifications</w:t>
      </w:r>
      <w:bookmarkEnd w:id="163"/>
    </w:p>
    <w:p>
      <w:pPr>
        <w:pStyle w:val="Footnoteheading"/>
      </w:pPr>
      <w:r>
        <w:tab/>
        <w:t>[Heading inserted: SL 2023/102 r. 47.]</w:t>
      </w:r>
    </w:p>
    <w:p>
      <w:pPr>
        <w:pStyle w:val="Heading5"/>
      </w:pPr>
      <w:bookmarkStart w:id="164" w:name="_Toc200026255"/>
      <w:r>
        <w:rPr>
          <w:rStyle w:val="CharSectno"/>
        </w:rPr>
        <w:t>87C</w:t>
      </w:r>
      <w:r>
        <w:t>.</w:t>
      </w:r>
      <w:r>
        <w:tab/>
        <w:t>Notification from CEO to candidate</w:t>
      </w:r>
      <w:bookmarkEnd w:id="164"/>
    </w:p>
    <w:p>
      <w:pPr>
        <w:pStyle w:val="Subsection"/>
      </w:pPr>
      <w:r>
        <w:tab/>
        <w:t>(1)</w:t>
      </w:r>
      <w:r>
        <w:tab/>
        <w:t>This regulation applies to a notification that the CEO is required to give to a candidate under clause 4(1), 6(1), 7(2), 9(1), 10(2), 12(1) or 13(2).</w:t>
      </w:r>
    </w:p>
    <w:p>
      <w:pPr>
        <w:pStyle w:val="Subsection"/>
      </w:pPr>
      <w:r>
        <w:tab/>
        <w:t>(2)</w:t>
      </w:r>
      <w:r>
        <w:tab/>
        <w:t xml:space="preserve">The notification must — </w:t>
      </w:r>
    </w:p>
    <w:p>
      <w:pPr>
        <w:pStyle w:val="Indenta"/>
      </w:pPr>
      <w:r>
        <w:tab/>
        <w:t>(a)</w:t>
      </w:r>
      <w:r>
        <w:tab/>
        <w:t>be in writing; and</w:t>
      </w:r>
    </w:p>
    <w:p>
      <w:pPr>
        <w:pStyle w:val="Indenta"/>
      </w:pPr>
      <w:r>
        <w:tab/>
        <w:t>(b)</w:t>
      </w:r>
      <w:r>
        <w:tab/>
        <w:t xml:space="preserve">include the following — </w:t>
      </w:r>
    </w:p>
    <w:p>
      <w:pPr>
        <w:pStyle w:val="Indenti"/>
      </w:pPr>
      <w:r>
        <w:tab/>
        <w:t>(i)</w:t>
      </w:r>
      <w:r>
        <w:tab/>
        <w:t>the name of the local government;</w:t>
      </w:r>
    </w:p>
    <w:p>
      <w:pPr>
        <w:pStyle w:val="Indenti"/>
      </w:pPr>
      <w:r>
        <w:tab/>
        <w:t>(ii)</w:t>
      </w:r>
      <w:r>
        <w:tab/>
        <w:t>the clause under which the notification is given;</w:t>
      </w:r>
    </w:p>
    <w:p>
      <w:pPr>
        <w:pStyle w:val="Indenti"/>
      </w:pPr>
      <w:r>
        <w:tab/>
        <w:t>(iii)</w:t>
      </w:r>
      <w:r>
        <w:tab/>
        <w:t>the candidate’s name;</w:t>
      </w:r>
    </w:p>
    <w:p>
      <w:pPr>
        <w:pStyle w:val="Indenti"/>
      </w:pPr>
      <w:r>
        <w:tab/>
        <w:t>(iv)</w:t>
      </w:r>
      <w:r>
        <w:tab/>
        <w:t>the CEO’s name;</w:t>
      </w:r>
    </w:p>
    <w:p>
      <w:pPr>
        <w:pStyle w:val="Indenti"/>
      </w:pPr>
      <w:r>
        <w:tab/>
        <w:t>(v)</w:t>
      </w:r>
      <w:r>
        <w:tab/>
        <w:t>the address of the CEO’s office;</w:t>
      </w:r>
    </w:p>
    <w:p>
      <w:pPr>
        <w:pStyle w:val="Indenti"/>
      </w:pPr>
      <w:r>
        <w:tab/>
        <w:t>(vi)</w:t>
      </w:r>
      <w:r>
        <w:tab/>
        <w:t>the CEO’s email address;</w:t>
      </w:r>
    </w:p>
    <w:p>
      <w:pPr>
        <w:pStyle w:val="Indenti"/>
      </w:pPr>
      <w:r>
        <w:tab/>
        <w:t>(vii)</w:t>
      </w:r>
      <w:r>
        <w:tab/>
        <w:t>the former member’s name;</w:t>
      </w:r>
    </w:p>
    <w:p>
      <w:pPr>
        <w:pStyle w:val="Indenti"/>
      </w:pPr>
      <w:r>
        <w:tab/>
        <w:t>(viii)</w:t>
      </w:r>
      <w:r>
        <w:tab/>
        <w:t>details of the vacant office;</w:t>
      </w:r>
    </w:p>
    <w:p>
      <w:pPr>
        <w:pStyle w:val="Indenti"/>
      </w:pPr>
      <w:r>
        <w:tab/>
        <w:t>(ix)</w:t>
      </w:r>
      <w:r>
        <w:tab/>
        <w:t>the date on which the office became vacant or, in the case of a vacancy under section 2.32(b) where the resignation has not yet taken effect, the date on which the resignation will take effect;</w:t>
      </w:r>
    </w:p>
    <w:p>
      <w:pPr>
        <w:pStyle w:val="Indenti"/>
      </w:pPr>
      <w:r>
        <w:lastRenderedPageBreak/>
        <w:tab/>
        <w:t>(x)</w:t>
      </w:r>
      <w:r>
        <w:tab/>
        <w:t>details of the period within which the candidate must notify the CEO that the candidate wants to fill the vacancy;</w:t>
      </w:r>
    </w:p>
    <w:p>
      <w:pPr>
        <w:pStyle w:val="Indenti"/>
      </w:pPr>
      <w:r>
        <w:tab/>
        <w:t>(xi)</w:t>
      </w:r>
      <w:r>
        <w:tab/>
        <w:t>details of the requirements of regulation 87D(2);</w:t>
      </w:r>
    </w:p>
    <w:p>
      <w:pPr>
        <w:pStyle w:val="Indenti"/>
      </w:pPr>
      <w:r>
        <w:tab/>
        <w:t>(xii)</w:t>
      </w:r>
      <w:r>
        <w:tab/>
        <w:t>details of how the candidate’s notification to the CEO may be given under regulation 87D(3).</w:t>
      </w:r>
    </w:p>
    <w:p>
      <w:pPr>
        <w:pStyle w:val="Subsection"/>
      </w:pPr>
      <w:r>
        <w:tab/>
        <w:t>(3)</w:t>
      </w:r>
      <w:r>
        <w:tab/>
        <w:t xml:space="preserve">The notification may be given in any of the following ways — </w:t>
      </w:r>
    </w:p>
    <w:p>
      <w:pPr>
        <w:pStyle w:val="Indenta"/>
      </w:pPr>
      <w:r>
        <w:tab/>
        <w:t>(a)</w:t>
      </w:r>
      <w:r>
        <w:tab/>
        <w:t>giving it personally to the candidate;</w:t>
      </w:r>
    </w:p>
    <w:p>
      <w:pPr>
        <w:pStyle w:val="Indenta"/>
      </w:pPr>
      <w:r>
        <w:tab/>
        <w:t>(b)</w:t>
      </w:r>
      <w:r>
        <w:tab/>
        <w:t xml:space="preserve">sending it by prepaid post addressed to the candidate — </w:t>
      </w:r>
    </w:p>
    <w:p>
      <w:pPr>
        <w:pStyle w:val="Indenti"/>
      </w:pPr>
      <w:r>
        <w:tab/>
        <w:t>(i)</w:t>
      </w:r>
      <w:r>
        <w:tab/>
        <w:t xml:space="preserve">in accordance with the </w:t>
      </w:r>
      <w:r>
        <w:rPr>
          <w:i/>
        </w:rPr>
        <w:t xml:space="preserve">Interpretation Act 1984 </w:t>
      </w:r>
      <w:r>
        <w:t>section 75(1); or</w:t>
      </w:r>
    </w:p>
    <w:p>
      <w:pPr>
        <w:pStyle w:val="Indenti"/>
      </w:pPr>
      <w:r>
        <w:tab/>
        <w:t>(ii)</w:t>
      </w:r>
      <w:r>
        <w:tab/>
        <w:t>at another address that has been provided to the CEO by the candidate for the purpose of receiving a notification under Schedule 4.1A of the Act;</w:t>
      </w:r>
    </w:p>
    <w:p>
      <w:pPr>
        <w:pStyle w:val="Indenta"/>
      </w:pPr>
      <w:r>
        <w:tab/>
        <w:t>(c)</w:t>
      </w:r>
      <w:r>
        <w:tab/>
        <w:t>emailing it to an email address that has been provided to the CEO by the candidate for the purpose of receiving a notification under Schedule 4.1A of the Act;</w:t>
      </w:r>
    </w:p>
    <w:p>
      <w:pPr>
        <w:pStyle w:val="Indenta"/>
      </w:pPr>
      <w:r>
        <w:tab/>
        <w:t>(d)</w:t>
      </w:r>
      <w:r>
        <w:tab/>
        <w:t>in another way agreed between the CEO and the candidate.</w:t>
      </w:r>
    </w:p>
    <w:p>
      <w:pPr>
        <w:pStyle w:val="Subsection"/>
      </w:pPr>
      <w:r>
        <w:tab/>
        <w:t>(4)</w:t>
      </w:r>
      <w:r>
        <w:tab/>
        <w:t>If the CEO is satisfied that it is not reasonably practicable to give the notification in accordance with subregulation (3), the CEO may give the notification by local public notice.</w:t>
      </w:r>
    </w:p>
    <w:p>
      <w:pPr>
        <w:pStyle w:val="Subsection"/>
      </w:pPr>
      <w:r>
        <w:tab/>
        <w:t>(5)</w:t>
      </w:r>
      <w:r>
        <w:tab/>
        <w:t xml:space="preserve">For the purposes of the </w:t>
      </w:r>
      <w:r>
        <w:rPr>
          <w:i/>
        </w:rPr>
        <w:t>Local Government (Administration) Regulations 1996</w:t>
      </w:r>
      <w:r>
        <w:t xml:space="preserve"> regulation 3A(1)(a) and (2)(d)(i), (f)(i) and (g)(i), the period specified in relation to a local public notice given under subregulation (4) is 5 working days.</w:t>
      </w:r>
    </w:p>
    <w:p>
      <w:pPr>
        <w:pStyle w:val="Subsection"/>
      </w:pPr>
      <w:r>
        <w:tab/>
        <w:t>(6)</w:t>
      </w:r>
      <w:r>
        <w:tab/>
        <w:t xml:space="preserve">If the notification is sent by prepaid post, the candidate is taken to be notified as follows — </w:t>
      </w:r>
    </w:p>
    <w:p>
      <w:pPr>
        <w:pStyle w:val="Indenta"/>
      </w:pPr>
      <w:r>
        <w:tab/>
        <w:t>(a)</w:t>
      </w:r>
      <w:r>
        <w:tab/>
        <w:t>if the notification is sent to an address in the State — on the 2</w:t>
      </w:r>
      <w:r>
        <w:rPr>
          <w:vertAlign w:val="superscript"/>
        </w:rPr>
        <w:t>nd</w:t>
      </w:r>
      <w:r>
        <w:t xml:space="preserve"> working day after the day on which the notification is posted;</w:t>
      </w:r>
    </w:p>
    <w:p>
      <w:pPr>
        <w:pStyle w:val="Indenta"/>
      </w:pPr>
      <w:r>
        <w:lastRenderedPageBreak/>
        <w:tab/>
        <w:t>(b)</w:t>
      </w:r>
      <w:r>
        <w:tab/>
        <w:t>if the notification is sent to an address in another State or in a Territory — on the 4</w:t>
      </w:r>
      <w:r>
        <w:rPr>
          <w:vertAlign w:val="superscript"/>
        </w:rPr>
        <w:t>th</w:t>
      </w:r>
      <w:r>
        <w:t xml:space="preserve"> working day after the day on which the notification is posted;</w:t>
      </w:r>
    </w:p>
    <w:p>
      <w:pPr>
        <w:pStyle w:val="Indenta"/>
      </w:pPr>
      <w:r>
        <w:tab/>
        <w:t>(c)</w:t>
      </w:r>
      <w:r>
        <w:tab/>
        <w:t>otherwise — on the 8</w:t>
      </w:r>
      <w:r>
        <w:rPr>
          <w:vertAlign w:val="superscript"/>
        </w:rPr>
        <w:t>th</w:t>
      </w:r>
      <w:r>
        <w:t xml:space="preserve"> working day after the day on which the notification is posted.</w:t>
      </w:r>
    </w:p>
    <w:p>
      <w:pPr>
        <w:pStyle w:val="Subsection"/>
      </w:pPr>
      <w:r>
        <w:tab/>
        <w:t>(7)</w:t>
      </w:r>
      <w:r>
        <w:tab/>
        <w:t>If the notification is sent by email, the candidate is taken to be notified on the 1</w:t>
      </w:r>
      <w:r>
        <w:rPr>
          <w:vertAlign w:val="superscript"/>
        </w:rPr>
        <w:t>st</w:t>
      </w:r>
      <w:r>
        <w:t xml:space="preserve"> working day after the day on which the email is sent.</w:t>
      </w:r>
    </w:p>
    <w:p>
      <w:pPr>
        <w:pStyle w:val="Subsection"/>
      </w:pPr>
      <w:r>
        <w:tab/>
        <w:t>(8)</w:t>
      </w:r>
      <w:r>
        <w:tab/>
        <w:t>If the notification is given by local public notice, the candidate is taken to be notified on the 5</w:t>
      </w:r>
      <w:r>
        <w:rPr>
          <w:vertAlign w:val="superscript"/>
        </w:rPr>
        <w:t>th</w:t>
      </w:r>
      <w:r>
        <w:t xml:space="preserve"> working day after the day on which the notice is first published on the local government’s official website.</w:t>
      </w:r>
    </w:p>
    <w:p>
      <w:pPr>
        <w:pStyle w:val="Subsection"/>
      </w:pPr>
      <w:r>
        <w:tab/>
        <w:t>(9)</w:t>
      </w:r>
      <w:r>
        <w:tab/>
        <w:t>Subregulations (6) to (8) apply even if the candidate is not actually notified.</w:t>
      </w:r>
    </w:p>
    <w:p>
      <w:pPr>
        <w:pStyle w:val="Subsection"/>
      </w:pPr>
      <w:r>
        <w:tab/>
        <w:t>(10)</w:t>
      </w:r>
      <w:r>
        <w:tab/>
        <w:t>Regulation 5 does not apply to the notification.</w:t>
      </w:r>
    </w:p>
    <w:p>
      <w:pPr>
        <w:pStyle w:val="Footnotesection"/>
      </w:pPr>
      <w:r>
        <w:tab/>
        <w:t>[Regulation 87C inserted: SL 2023/102 r. 47.]</w:t>
      </w:r>
    </w:p>
    <w:p>
      <w:pPr>
        <w:pStyle w:val="Heading5"/>
      </w:pPr>
      <w:bookmarkStart w:id="165" w:name="_Toc200026256"/>
      <w:r>
        <w:rPr>
          <w:rStyle w:val="CharSectno"/>
        </w:rPr>
        <w:t>87D</w:t>
      </w:r>
      <w:r>
        <w:t>.</w:t>
      </w:r>
      <w:r>
        <w:tab/>
        <w:t>Notification from candidate to CEO</w:t>
      </w:r>
      <w:bookmarkEnd w:id="165"/>
    </w:p>
    <w:p>
      <w:pPr>
        <w:pStyle w:val="Subsection"/>
      </w:pPr>
      <w:r>
        <w:tab/>
        <w:t>(1)</w:t>
      </w:r>
      <w:r>
        <w:tab/>
        <w:t>This regulation applies to a notification that a candidate may give to the CEO under clause 4(2), 6(2), 7(3), 9(2), 10(3), 12(2) or 13(3).</w:t>
      </w:r>
    </w:p>
    <w:p>
      <w:pPr>
        <w:pStyle w:val="Subsection"/>
      </w:pPr>
      <w:r>
        <w:tab/>
        <w:t>(2)</w:t>
      </w:r>
      <w:r>
        <w:tab/>
        <w:t xml:space="preserve">The notification must — </w:t>
      </w:r>
    </w:p>
    <w:p>
      <w:pPr>
        <w:pStyle w:val="Indenta"/>
      </w:pPr>
      <w:r>
        <w:tab/>
        <w:t>(a)</w:t>
      </w:r>
      <w:r>
        <w:tab/>
        <w:t>be in writing; and</w:t>
      </w:r>
    </w:p>
    <w:p>
      <w:pPr>
        <w:pStyle w:val="Indenta"/>
      </w:pPr>
      <w:r>
        <w:tab/>
        <w:t>(b)</w:t>
      </w:r>
      <w:r>
        <w:tab/>
        <w:t xml:space="preserve">be in the form of a statutory declaration made by the candidate that states — </w:t>
      </w:r>
    </w:p>
    <w:p>
      <w:pPr>
        <w:pStyle w:val="Indenti"/>
      </w:pPr>
      <w:r>
        <w:tab/>
        <w:t>(i)</w:t>
      </w:r>
      <w:r>
        <w:tab/>
        <w:t>that the candidate wants to fill the vacancy; and</w:t>
      </w:r>
    </w:p>
    <w:p>
      <w:pPr>
        <w:pStyle w:val="Indenti"/>
      </w:pPr>
      <w:r>
        <w:tab/>
        <w:t>(ii)</w:t>
      </w:r>
      <w:r>
        <w:tab/>
        <w:t>that the candidate considers that they are qualified to be elected to the council under section 2.19.</w:t>
      </w:r>
    </w:p>
    <w:p>
      <w:pPr>
        <w:pStyle w:val="Subsection"/>
      </w:pPr>
      <w:r>
        <w:tab/>
        <w:t>(3)</w:t>
      </w:r>
      <w:r>
        <w:tab/>
        <w:t xml:space="preserve">The notification may be given in any of the following ways — </w:t>
      </w:r>
    </w:p>
    <w:p>
      <w:pPr>
        <w:pStyle w:val="Indenta"/>
      </w:pPr>
      <w:r>
        <w:tab/>
        <w:t>(a)</w:t>
      </w:r>
      <w:r>
        <w:tab/>
        <w:t>giving it personally to the CEO;</w:t>
      </w:r>
    </w:p>
    <w:p>
      <w:pPr>
        <w:pStyle w:val="Indenta"/>
      </w:pPr>
      <w:r>
        <w:lastRenderedPageBreak/>
        <w:tab/>
        <w:t>(b)</w:t>
      </w:r>
      <w:r>
        <w:tab/>
        <w:t>giving it personally to another employee of the local government at the address of the CEO’s office notified under regulation 87C(2)(b)(v);</w:t>
      </w:r>
    </w:p>
    <w:p>
      <w:pPr>
        <w:pStyle w:val="Indenta"/>
      </w:pPr>
      <w:r>
        <w:tab/>
        <w:t>(c)</w:t>
      </w:r>
      <w:r>
        <w:tab/>
        <w:t>emailing it to the CEO’s email address notified under regulation 87C(2)(b)(vi);</w:t>
      </w:r>
    </w:p>
    <w:p>
      <w:pPr>
        <w:pStyle w:val="Indenta"/>
      </w:pPr>
      <w:r>
        <w:tab/>
        <w:t>(d)</w:t>
      </w:r>
      <w:r>
        <w:tab/>
        <w:t>in another way agreed between the CEO and the candidate.</w:t>
      </w:r>
    </w:p>
    <w:p>
      <w:pPr>
        <w:pStyle w:val="Subsection"/>
      </w:pPr>
      <w:r>
        <w:tab/>
        <w:t>(4)</w:t>
      </w:r>
      <w:r>
        <w:tab/>
        <w:t>If the notification is given to an employee under subregulation (3)(b), the CEO is taken to be notified on the day on which the notification is given to the employee.</w:t>
      </w:r>
    </w:p>
    <w:p>
      <w:pPr>
        <w:pStyle w:val="Subsection"/>
      </w:pPr>
      <w:r>
        <w:tab/>
        <w:t>(5)</w:t>
      </w:r>
      <w:r>
        <w:tab/>
        <w:t xml:space="preserve">If the notification is emailed — </w:t>
      </w:r>
    </w:p>
    <w:p>
      <w:pPr>
        <w:pStyle w:val="Indenta"/>
      </w:pPr>
      <w:r>
        <w:tab/>
        <w:t>(a)</w:t>
      </w:r>
      <w:r>
        <w:tab/>
        <w:t>the CEO is taken to be notified on the 1</w:t>
      </w:r>
      <w:r>
        <w:rPr>
          <w:vertAlign w:val="superscript"/>
        </w:rPr>
        <w:t>st</w:t>
      </w:r>
      <w:r>
        <w:t xml:space="preserve"> working day after the day on which the email is sent; and</w:t>
      </w:r>
    </w:p>
    <w:p>
      <w:pPr>
        <w:pStyle w:val="Indenta"/>
      </w:pPr>
      <w:r>
        <w:tab/>
        <w:t>(b)</w:t>
      </w:r>
      <w:r>
        <w:tab/>
        <w:t>the CEO must confirm receipt by a return email as soon as possible.</w:t>
      </w:r>
    </w:p>
    <w:p>
      <w:pPr>
        <w:pStyle w:val="Subsection"/>
      </w:pPr>
      <w:r>
        <w:tab/>
        <w:t>(6)</w:t>
      </w:r>
      <w:r>
        <w:tab/>
        <w:t>Subregulations (4) and (5)(a) apply even if the CEO is not actually notified.</w:t>
      </w:r>
    </w:p>
    <w:p>
      <w:pPr>
        <w:pStyle w:val="Subsection"/>
      </w:pPr>
      <w:r>
        <w:tab/>
        <w:t>(7)</w:t>
      </w:r>
      <w:r>
        <w:tab/>
        <w:t>Regulation 5 does not apply to the notification.</w:t>
      </w:r>
    </w:p>
    <w:p>
      <w:pPr>
        <w:pStyle w:val="Footnotesection"/>
      </w:pPr>
      <w:r>
        <w:tab/>
        <w:t>[Regulation 87D inserted: SL 2023/102 r. 47.]</w:t>
      </w:r>
    </w:p>
    <w:p>
      <w:pPr>
        <w:pStyle w:val="Heading5"/>
      </w:pPr>
      <w:bookmarkStart w:id="166" w:name="_Toc200026257"/>
      <w:r>
        <w:rPr>
          <w:rStyle w:val="CharSectno"/>
        </w:rPr>
        <w:t>87E</w:t>
      </w:r>
      <w:r>
        <w:t>.</w:t>
      </w:r>
      <w:r>
        <w:tab/>
        <w:t>Copies of notifications to be provided to Minister</w:t>
      </w:r>
      <w:bookmarkEnd w:id="166"/>
    </w:p>
    <w:p>
      <w:pPr>
        <w:pStyle w:val="Subsection"/>
      </w:pPr>
      <w:r>
        <w:tab/>
      </w:r>
      <w:r>
        <w:tab/>
        <w:t xml:space="preserve">The CEO must provide a copy of the following to the Minister — </w:t>
      </w:r>
    </w:p>
    <w:p>
      <w:pPr>
        <w:pStyle w:val="Indenta"/>
      </w:pPr>
      <w:r>
        <w:tab/>
        <w:t>(a)</w:t>
      </w:r>
      <w:r>
        <w:tab/>
        <w:t>any notification given by the CEO to which regulation 87C applies;</w:t>
      </w:r>
    </w:p>
    <w:p>
      <w:pPr>
        <w:pStyle w:val="Indenta"/>
      </w:pPr>
      <w:r>
        <w:tab/>
        <w:t>(b)</w:t>
      </w:r>
      <w:r>
        <w:tab/>
        <w:t>any notification given to the CEO to which regulation 87D applies.</w:t>
      </w:r>
    </w:p>
    <w:p>
      <w:pPr>
        <w:pStyle w:val="Footnotesection"/>
      </w:pPr>
      <w:r>
        <w:tab/>
        <w:t>[Regulation 87E inserted: SL 2023/102 r. 47.]</w:t>
      </w:r>
    </w:p>
    <w:p>
      <w:pPr>
        <w:pStyle w:val="Heading4"/>
      </w:pPr>
      <w:bookmarkStart w:id="167" w:name="_Toc200026258"/>
      <w:r>
        <w:lastRenderedPageBreak/>
        <w:t>Subdivision 3 — Extension of time periods</w:t>
      </w:r>
      <w:bookmarkEnd w:id="167"/>
    </w:p>
    <w:p>
      <w:pPr>
        <w:pStyle w:val="Footnoteheading"/>
        <w:keepNext/>
      </w:pPr>
      <w:r>
        <w:tab/>
        <w:t>[Heading inserted: SL 2023/102 r. 47.]</w:t>
      </w:r>
    </w:p>
    <w:p>
      <w:pPr>
        <w:pStyle w:val="Heading5"/>
      </w:pPr>
      <w:bookmarkStart w:id="168" w:name="_Toc200026259"/>
      <w:r>
        <w:rPr>
          <w:rStyle w:val="CharSectno"/>
        </w:rPr>
        <w:t>87F</w:t>
      </w:r>
      <w:r>
        <w:t>.</w:t>
      </w:r>
      <w:r>
        <w:tab/>
        <w:t>Extension to take account of delay in CEO becoming aware of vacancy</w:t>
      </w:r>
      <w:bookmarkEnd w:id="168"/>
    </w:p>
    <w:p>
      <w:pPr>
        <w:pStyle w:val="Subsection"/>
      </w:pPr>
      <w:r>
        <w:tab/>
        <w:t>(1)</w:t>
      </w:r>
      <w:r>
        <w:tab/>
        <w:t>This regulation applies to a period of 5 or 15 working days provided for in clause 4(1), 6(1), 7(2), 9(1), 10(2), 12(1) or 13(2) (including, if relevant, as modified under clause 15(2), 16(2) or 17(2)).</w:t>
      </w:r>
    </w:p>
    <w:p>
      <w:pPr>
        <w:pStyle w:val="Subsection"/>
      </w:pPr>
      <w:r>
        <w:tab/>
        <w:t>(2)</w:t>
      </w:r>
      <w:r>
        <w:tab/>
        <w:t>If the CEO does not become aware of the vacancy until after the vacancy day, the period is extended so that it ends, as the case requires, on the 5</w:t>
      </w:r>
      <w:r>
        <w:rPr>
          <w:vertAlign w:val="superscript"/>
        </w:rPr>
        <w:t>th</w:t>
      </w:r>
      <w:r>
        <w:t xml:space="preserve"> or 15</w:t>
      </w:r>
      <w:r>
        <w:rPr>
          <w:vertAlign w:val="superscript"/>
        </w:rPr>
        <w:t>th</w:t>
      </w:r>
      <w:r>
        <w:t xml:space="preserve"> working day after the day on which the CEO becomes aware of the vacancy.</w:t>
      </w:r>
    </w:p>
    <w:p>
      <w:pPr>
        <w:pStyle w:val="Footnotesection"/>
      </w:pPr>
      <w:r>
        <w:tab/>
        <w:t>[Regulation 87F inserted: SL 2023/102 r. 47.]</w:t>
      </w:r>
    </w:p>
    <w:p>
      <w:pPr>
        <w:pStyle w:val="Heading5"/>
      </w:pPr>
      <w:bookmarkStart w:id="169" w:name="_Toc200026260"/>
      <w:r>
        <w:rPr>
          <w:rStyle w:val="CharSectno"/>
        </w:rPr>
        <w:t>87G</w:t>
      </w:r>
      <w:r>
        <w:t>.</w:t>
      </w:r>
      <w:r>
        <w:tab/>
        <w:t>Extension to take account of method of notification used by CEO</w:t>
      </w:r>
      <w:bookmarkEnd w:id="169"/>
    </w:p>
    <w:p>
      <w:pPr>
        <w:pStyle w:val="Subsection"/>
      </w:pPr>
      <w:r>
        <w:tab/>
        <w:t>(1)</w:t>
      </w:r>
      <w:r>
        <w:tab/>
        <w:t xml:space="preserve">In this regulation — </w:t>
      </w:r>
    </w:p>
    <w:p>
      <w:pPr>
        <w:pStyle w:val="Defstart"/>
      </w:pPr>
      <w:r>
        <w:tab/>
      </w:r>
      <w:r>
        <w:rPr>
          <w:rStyle w:val="CharDefText"/>
        </w:rPr>
        <w:t>relevant period</w:t>
      </w:r>
      <w:r>
        <w:t xml:space="preserve"> — </w:t>
      </w:r>
    </w:p>
    <w:p>
      <w:pPr>
        <w:pStyle w:val="Defpara"/>
      </w:pPr>
      <w:r>
        <w:tab/>
        <w:t>(a)</w:t>
      </w:r>
      <w:r>
        <w:tab/>
        <w:t>means a period of 5 or 15 working days provided for in clause 4(1), 6(1), 7(2), 9(1), 10(2), 12(1) or 13(2) (including, if relevant, as modified under clause 15(2), 16(2) or 17(2)); and</w:t>
      </w:r>
    </w:p>
    <w:p>
      <w:pPr>
        <w:pStyle w:val="Defpara"/>
      </w:pPr>
      <w:r>
        <w:tab/>
        <w:t>(b)</w:t>
      </w:r>
      <w:r>
        <w:tab/>
        <w:t>includes such a period as extended under regulation 87F or 87I or both.</w:t>
      </w:r>
    </w:p>
    <w:p>
      <w:pPr>
        <w:pStyle w:val="Subsection"/>
      </w:pPr>
      <w:r>
        <w:tab/>
        <w:t>(2)</w:t>
      </w:r>
      <w:r>
        <w:tab/>
        <w:t xml:space="preserve">Subregulation (3) applies if — </w:t>
      </w:r>
    </w:p>
    <w:p>
      <w:pPr>
        <w:pStyle w:val="Indenta"/>
      </w:pPr>
      <w:r>
        <w:tab/>
        <w:t>(a)</w:t>
      </w:r>
      <w:r>
        <w:tab/>
        <w:t>the notification required to be given by the CEO within a relevant period is sent by prepaid post within the relevant period; and</w:t>
      </w:r>
    </w:p>
    <w:p>
      <w:pPr>
        <w:pStyle w:val="Indenta"/>
      </w:pPr>
      <w:r>
        <w:tab/>
        <w:t>(b)</w:t>
      </w:r>
      <w:r>
        <w:tab/>
        <w:t>the working day on which the candidate is taken to be notified under regulation 87C(6) falls after the relevant period.</w:t>
      </w:r>
    </w:p>
    <w:p>
      <w:pPr>
        <w:pStyle w:val="Subsection"/>
      </w:pPr>
      <w:r>
        <w:lastRenderedPageBreak/>
        <w:tab/>
        <w:t>(3)</w:t>
      </w:r>
      <w:r>
        <w:tab/>
        <w:t>The relevant period is extended so that it ends on the working day referred to in subregulation (2)(b).</w:t>
      </w:r>
    </w:p>
    <w:p>
      <w:pPr>
        <w:pStyle w:val="Subsection"/>
      </w:pPr>
      <w:r>
        <w:tab/>
        <w:t>(4)</w:t>
      </w:r>
      <w:r>
        <w:tab/>
        <w:t xml:space="preserve">Subregulation (5) applies if — </w:t>
      </w:r>
    </w:p>
    <w:p>
      <w:pPr>
        <w:pStyle w:val="Indenta"/>
      </w:pPr>
      <w:r>
        <w:tab/>
        <w:t>(a)</w:t>
      </w:r>
      <w:r>
        <w:tab/>
        <w:t>the notification required to be given by the CEO within a relevant period is sent by email within the relevant period; and</w:t>
      </w:r>
    </w:p>
    <w:p>
      <w:pPr>
        <w:pStyle w:val="Indenta"/>
      </w:pPr>
      <w:r>
        <w:tab/>
        <w:t>(b)</w:t>
      </w:r>
      <w:r>
        <w:tab/>
        <w:t>the working day on which the candidate is taken to be notified under regulation 87C(7) falls after the relevant period.</w:t>
      </w:r>
    </w:p>
    <w:p>
      <w:pPr>
        <w:pStyle w:val="Subsection"/>
      </w:pPr>
      <w:r>
        <w:tab/>
        <w:t>(5)</w:t>
      </w:r>
      <w:r>
        <w:tab/>
        <w:t>The relevant period is extended so that it ends on the working day referred to in subregulation (4)(b).</w:t>
      </w:r>
    </w:p>
    <w:p>
      <w:pPr>
        <w:pStyle w:val="Subsection"/>
      </w:pPr>
      <w:r>
        <w:tab/>
        <w:t>(6)</w:t>
      </w:r>
      <w:r>
        <w:tab/>
        <w:t xml:space="preserve">Subregulation (7) applies if — </w:t>
      </w:r>
    </w:p>
    <w:p>
      <w:pPr>
        <w:pStyle w:val="Indenta"/>
      </w:pPr>
      <w:r>
        <w:tab/>
        <w:t>(a)</w:t>
      </w:r>
      <w:r>
        <w:tab/>
        <w:t>the notification required to be given by the CEO within a relevant period is given by local public notice that is first published on the local government’s official website within the relevant period; and</w:t>
      </w:r>
    </w:p>
    <w:p>
      <w:pPr>
        <w:pStyle w:val="Indenta"/>
      </w:pPr>
      <w:r>
        <w:tab/>
        <w:t>(b)</w:t>
      </w:r>
      <w:r>
        <w:tab/>
        <w:t>the working day on which the candidate is taken to be notified under regulation 87C(8) falls after the relevant period.</w:t>
      </w:r>
    </w:p>
    <w:p>
      <w:pPr>
        <w:pStyle w:val="Subsection"/>
      </w:pPr>
      <w:r>
        <w:tab/>
        <w:t>(7)</w:t>
      </w:r>
      <w:r>
        <w:tab/>
        <w:t>The relevant period is extended so that it ends on the working day referred to in subregulation (6)(b).</w:t>
      </w:r>
    </w:p>
    <w:p>
      <w:pPr>
        <w:pStyle w:val="Footnotesection"/>
      </w:pPr>
      <w:r>
        <w:tab/>
        <w:t>[Regulation 87G inserted: SL 2023/102 r. 47.]</w:t>
      </w:r>
    </w:p>
    <w:p>
      <w:pPr>
        <w:pStyle w:val="Heading5"/>
      </w:pPr>
      <w:bookmarkStart w:id="170" w:name="_Toc200026261"/>
      <w:r>
        <w:rPr>
          <w:rStyle w:val="CharSectno"/>
        </w:rPr>
        <w:t>87H</w:t>
      </w:r>
      <w:r>
        <w:t>.</w:t>
      </w:r>
      <w:r>
        <w:tab/>
        <w:t>Extension to take account of method of notification used by candidate</w:t>
      </w:r>
      <w:bookmarkEnd w:id="170"/>
    </w:p>
    <w:p>
      <w:pPr>
        <w:pStyle w:val="Subsection"/>
      </w:pPr>
      <w:r>
        <w:tab/>
        <w:t>(1)</w:t>
      </w:r>
      <w:r>
        <w:tab/>
        <w:t xml:space="preserve">In this regulation — </w:t>
      </w:r>
    </w:p>
    <w:p>
      <w:pPr>
        <w:pStyle w:val="Defstart"/>
      </w:pPr>
      <w:r>
        <w:tab/>
      </w:r>
      <w:r>
        <w:rPr>
          <w:rStyle w:val="CharDefText"/>
        </w:rPr>
        <w:t>relevant period</w:t>
      </w:r>
      <w:r>
        <w:t xml:space="preserve"> means a period of 5 working days provided for in clause 4(2), 6(2), 7(3), 9(2), 10(3), 12(2) or 13(3).</w:t>
      </w:r>
    </w:p>
    <w:p>
      <w:pPr>
        <w:pStyle w:val="Subsection"/>
        <w:keepNext/>
      </w:pPr>
      <w:r>
        <w:lastRenderedPageBreak/>
        <w:tab/>
        <w:t>(2)</w:t>
      </w:r>
      <w:r>
        <w:tab/>
        <w:t xml:space="preserve">Subregulation (3) applies if — </w:t>
      </w:r>
    </w:p>
    <w:p>
      <w:pPr>
        <w:pStyle w:val="Indenta"/>
      </w:pPr>
      <w:r>
        <w:tab/>
        <w:t>(a)</w:t>
      </w:r>
      <w:r>
        <w:tab/>
        <w:t>the notification required to be given by the candidate within a relevant period is sent by email within the relevant period; and</w:t>
      </w:r>
    </w:p>
    <w:p>
      <w:pPr>
        <w:pStyle w:val="Indenta"/>
      </w:pPr>
      <w:r>
        <w:tab/>
        <w:t>(b)</w:t>
      </w:r>
      <w:r>
        <w:tab/>
        <w:t>the working day on which the CEO is taken to be notified under regulation 87D(5)(a) falls after the relevant period.</w:t>
      </w:r>
    </w:p>
    <w:p>
      <w:pPr>
        <w:pStyle w:val="Subsection"/>
      </w:pPr>
      <w:r>
        <w:tab/>
        <w:t>(3)</w:t>
      </w:r>
      <w:r>
        <w:tab/>
        <w:t>The relevant period is extended so that it ends on the working day referred to in subregulation (2)(b).</w:t>
      </w:r>
    </w:p>
    <w:p>
      <w:pPr>
        <w:pStyle w:val="Footnotesection"/>
      </w:pPr>
      <w:r>
        <w:tab/>
        <w:t>[Regulation 87H inserted: SL 2023/102 r. 47.]</w:t>
      </w:r>
    </w:p>
    <w:p>
      <w:pPr>
        <w:pStyle w:val="Heading5"/>
      </w:pPr>
      <w:bookmarkStart w:id="171" w:name="_Toc200026262"/>
      <w:r>
        <w:rPr>
          <w:rStyle w:val="CharSectno"/>
        </w:rPr>
        <w:t>87I</w:t>
      </w:r>
      <w:r>
        <w:t>.</w:t>
      </w:r>
      <w:r>
        <w:tab/>
        <w:t>Consequential extensions</w:t>
      </w:r>
      <w:bookmarkEnd w:id="171"/>
    </w:p>
    <w:p>
      <w:pPr>
        <w:pStyle w:val="Subsection"/>
      </w:pPr>
      <w:r>
        <w:tab/>
        <w:t>(1)</w:t>
      </w:r>
      <w:r>
        <w:tab/>
        <w:t xml:space="preserve">In this regulation — </w:t>
      </w:r>
    </w:p>
    <w:p>
      <w:pPr>
        <w:pStyle w:val="Defstart"/>
      </w:pPr>
      <w:r>
        <w:tab/>
      </w:r>
      <w:r>
        <w:rPr>
          <w:rStyle w:val="CharDefText"/>
        </w:rPr>
        <w:t>relevant period</w:t>
      </w:r>
      <w:r>
        <w:t xml:space="preserve"> — </w:t>
      </w:r>
    </w:p>
    <w:p>
      <w:pPr>
        <w:pStyle w:val="Defpara"/>
      </w:pPr>
      <w:r>
        <w:tab/>
        <w:t>(a)</w:t>
      </w:r>
      <w:r>
        <w:tab/>
        <w:t>means a period of 15 working days provided for in clause 7(2), 10(2) or 13(2); and</w:t>
      </w:r>
    </w:p>
    <w:p>
      <w:pPr>
        <w:pStyle w:val="Defpara"/>
      </w:pPr>
      <w:r>
        <w:tab/>
        <w:t>(b)</w:t>
      </w:r>
      <w:r>
        <w:tab/>
        <w:t>includes such a period as extended under regulation 87F or previously extended under this regulation or both.</w:t>
      </w:r>
    </w:p>
    <w:p>
      <w:pPr>
        <w:pStyle w:val="Subsection"/>
      </w:pPr>
      <w:r>
        <w:tab/>
        <w:t>(2)</w:t>
      </w:r>
      <w:r>
        <w:tab/>
        <w:t xml:space="preserve">This regulation applies if, in consequence of an extension to a period under regulation 87G or 87H (the </w:t>
      </w:r>
      <w:r>
        <w:rPr>
          <w:rStyle w:val="CharDefText"/>
        </w:rPr>
        <w:t>original extension</w:t>
      </w:r>
      <w:r>
        <w:t>), the CEO considers that a relevant period should be extended so as to allow the CEO further time in which to determine whether the requirement of clause 7(1), 10(1) or 13(1) (as the case requires) is met.</w:t>
      </w:r>
    </w:p>
    <w:p>
      <w:pPr>
        <w:pStyle w:val="Subsection"/>
      </w:pPr>
      <w:r>
        <w:tab/>
        <w:t>(3)</w:t>
      </w:r>
      <w:r>
        <w:tab/>
        <w:t>The CEO may, with the agreement of the Electoral Commissioner, extend the relevant period, having regard to the number of working days of the original extension.</w:t>
      </w:r>
    </w:p>
    <w:p>
      <w:pPr>
        <w:pStyle w:val="Subsection"/>
      </w:pPr>
      <w:r>
        <w:tab/>
        <w:t>(4)</w:t>
      </w:r>
      <w:r>
        <w:tab/>
        <w:t>The CEO may extend the relevant period even if it has already expired.</w:t>
      </w:r>
    </w:p>
    <w:p>
      <w:pPr>
        <w:pStyle w:val="Footnotesection"/>
      </w:pPr>
      <w:r>
        <w:tab/>
        <w:t>[Regulation 87I inserted: SL 2023/102 r. 47.]</w:t>
      </w:r>
    </w:p>
    <w:p>
      <w:pPr>
        <w:pStyle w:val="Heading2"/>
      </w:pPr>
      <w:bookmarkStart w:id="172" w:name="_Toc200026263"/>
      <w:r>
        <w:rPr>
          <w:rStyle w:val="CharPartNo"/>
        </w:rPr>
        <w:lastRenderedPageBreak/>
        <w:t>Part 16</w:t>
      </w:r>
      <w:r>
        <w:rPr>
          <w:rStyle w:val="CharDivNo"/>
        </w:rPr>
        <w:t> </w:t>
      </w:r>
      <w:r>
        <w:t>—</w:t>
      </w:r>
      <w:r>
        <w:rPr>
          <w:rStyle w:val="CharDivText"/>
        </w:rPr>
        <w:t> </w:t>
      </w:r>
      <w:r>
        <w:rPr>
          <w:rStyle w:val="CharPartText"/>
        </w:rPr>
        <w:t>Polls and referendums</w:t>
      </w:r>
      <w:bookmarkEnd w:id="172"/>
    </w:p>
    <w:p>
      <w:pPr>
        <w:pStyle w:val="Heading5"/>
        <w:rPr>
          <w:snapToGrid w:val="0"/>
        </w:rPr>
      </w:pPr>
      <w:bookmarkStart w:id="173" w:name="_Toc200026264"/>
      <w:r>
        <w:rPr>
          <w:rStyle w:val="CharSectno"/>
        </w:rPr>
        <w:t>88</w:t>
      </w:r>
      <w:r>
        <w:rPr>
          <w:snapToGrid w:val="0"/>
        </w:rPr>
        <w:t>.</w:t>
      </w:r>
      <w:r>
        <w:rPr>
          <w:snapToGrid w:val="0"/>
        </w:rPr>
        <w:tab/>
        <w:t>Election procedures apply to polls and referendums not required under Act — s. </w:t>
      </w:r>
      <w:r>
        <w:rPr>
          <w:rStyle w:val="CharSectno"/>
        </w:rPr>
        <w:t>4</w:t>
      </w:r>
      <w:r>
        <w:rPr>
          <w:snapToGrid w:val="0"/>
        </w:rPr>
        <w:t>.99(3) and (4)</w:t>
      </w:r>
      <w:bookmarkEnd w:id="173"/>
    </w:p>
    <w:p>
      <w:pPr>
        <w:pStyle w:val="Subsection"/>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174" w:name="_Toc200026265"/>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174"/>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ind w:left="890" w:hanging="890"/>
      </w:pPr>
      <w:r>
        <w:tab/>
        <w:t>[Regulation 89 amended: Gazette 22 Dec 1998 p. 6872</w:t>
      </w:r>
      <w:r>
        <w:noBreakHyphen/>
        <w:t>3; 18 Mar 2005 p. 976.]</w:t>
      </w:r>
    </w:p>
    <w:p>
      <w:pPr>
        <w:pStyle w:val="Heading5"/>
        <w:rPr>
          <w:snapToGrid w:val="0"/>
        </w:rPr>
      </w:pPr>
      <w:bookmarkStart w:id="175" w:name="_Toc200026266"/>
      <w:r>
        <w:rPr>
          <w:rStyle w:val="CharSectno"/>
        </w:rPr>
        <w:lastRenderedPageBreak/>
        <w:t>90</w:t>
      </w:r>
      <w:r>
        <w:rPr>
          <w:snapToGrid w:val="0"/>
        </w:rPr>
        <w:t>.</w:t>
      </w:r>
      <w:r>
        <w:rPr>
          <w:snapToGrid w:val="0"/>
        </w:rPr>
        <w:tab/>
        <w:t>Electoral Commissioner may assist</w:t>
      </w:r>
      <w:bookmarkEnd w:id="175"/>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176" w:name="_Toc200026267"/>
      <w:r>
        <w:rPr>
          <w:rStyle w:val="CharSectno"/>
        </w:rPr>
        <w:t>91</w:t>
      </w:r>
      <w:r>
        <w:t>.</w:t>
      </w:r>
      <w:r>
        <w:tab/>
        <w:t>Expenses of Electoral Commissioner — s. 2.12A(2)(c)</w:t>
      </w:r>
      <w:bookmarkEnd w:id="176"/>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Gazette 21 Jan 2005 p. 266.]</w:t>
      </w:r>
    </w:p>
    <w:p>
      <w:pPr>
        <w:pStyle w:val="Heading5"/>
      </w:pPr>
      <w:bookmarkStart w:id="177" w:name="_Toc200026268"/>
      <w:r>
        <w:rPr>
          <w:rStyle w:val="CharSectno"/>
        </w:rPr>
        <w:t>92</w:t>
      </w:r>
      <w:r>
        <w:t>.</w:t>
      </w:r>
      <w:r>
        <w:tab/>
        <w:t>Declaration and notice of results of poll under s. 2.12A</w:t>
      </w:r>
      <w:bookmarkEnd w:id="177"/>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Gazette 21 Jan 2005 p. 266.]</w:t>
      </w:r>
    </w:p>
    <w:p>
      <w:pPr>
        <w:pStyle w:val="Heading2"/>
      </w:pPr>
      <w:bookmarkStart w:id="178" w:name="_Toc200026269"/>
      <w:r>
        <w:rPr>
          <w:rStyle w:val="CharPartNo"/>
        </w:rPr>
        <w:lastRenderedPageBreak/>
        <w:t>Part 16A</w:t>
      </w:r>
      <w:r>
        <w:t> — </w:t>
      </w:r>
      <w:r>
        <w:rPr>
          <w:rStyle w:val="CharPartText"/>
        </w:rPr>
        <w:t xml:space="preserve">Transitional provisions for </w:t>
      </w:r>
      <w:r>
        <w:rPr>
          <w:rStyle w:val="CharPartText"/>
          <w:i/>
        </w:rPr>
        <w:t>Local Government Amendment Act 2023</w:t>
      </w:r>
      <w:r>
        <w:rPr>
          <w:rStyle w:val="CharPartText"/>
        </w:rPr>
        <w:t xml:space="preserve"> and </w:t>
      </w:r>
      <w:r>
        <w:rPr>
          <w:rStyle w:val="CharPartText"/>
          <w:i/>
        </w:rPr>
        <w:t>Local Government Regulations Amendment Regulations (No. 2) 2023</w:t>
      </w:r>
      <w:bookmarkEnd w:id="178"/>
    </w:p>
    <w:p>
      <w:pPr>
        <w:pStyle w:val="Footnoteheading"/>
      </w:pPr>
      <w:r>
        <w:tab/>
        <w:t>[Heading inserted: SL 2023/102 r. 48.]</w:t>
      </w:r>
    </w:p>
    <w:p>
      <w:pPr>
        <w:pStyle w:val="Heading5"/>
      </w:pPr>
      <w:bookmarkStart w:id="179" w:name="_Toc200026270"/>
      <w:r>
        <w:rPr>
          <w:rStyle w:val="CharSectno"/>
        </w:rPr>
        <w:t>92A</w:t>
      </w:r>
      <w:r>
        <w:t>.</w:t>
      </w:r>
      <w:r>
        <w:tab/>
        <w:t>Terms used</w:t>
      </w:r>
      <w:bookmarkEnd w:id="179"/>
    </w:p>
    <w:p>
      <w:pPr>
        <w:pStyle w:val="Subsection"/>
      </w:pPr>
      <w:r>
        <w:tab/>
      </w:r>
      <w:r>
        <w:tab/>
        <w:t xml:space="preserve">In this Part — </w:t>
      </w:r>
    </w:p>
    <w:p>
      <w:pPr>
        <w:pStyle w:val="Defstart"/>
      </w:pPr>
      <w:r>
        <w:tab/>
      </w:r>
      <w:r>
        <w:rPr>
          <w:rStyle w:val="CharDefText"/>
        </w:rPr>
        <w:t>2023 amendment Act</w:t>
      </w:r>
      <w:r>
        <w:t xml:space="preserve"> means the </w:t>
      </w:r>
      <w:r>
        <w:rPr>
          <w:i/>
        </w:rPr>
        <w:t>Local Government Amendment Act 2023</w:t>
      </w:r>
      <w:r>
        <w:t>;</w:t>
      </w:r>
    </w:p>
    <w:p>
      <w:pPr>
        <w:pStyle w:val="Defstart"/>
      </w:pPr>
      <w:r>
        <w:tab/>
      </w:r>
      <w:r>
        <w:rPr>
          <w:rStyle w:val="CharDefText"/>
        </w:rPr>
        <w:t>2023 amendment regulations</w:t>
      </w:r>
      <w:r>
        <w:t xml:space="preserve"> means the </w:t>
      </w:r>
      <w:r>
        <w:rPr>
          <w:i/>
        </w:rPr>
        <w:t>Local Government Regulations Amendment Regulations (No. 2) 2023</w:t>
      </w:r>
      <w:r>
        <w:t>.</w:t>
      </w:r>
    </w:p>
    <w:p>
      <w:pPr>
        <w:pStyle w:val="Footnotesection"/>
      </w:pPr>
      <w:r>
        <w:tab/>
        <w:t>[Regulation 92A inserted: SL 2023/102 r. 48.]</w:t>
      </w:r>
    </w:p>
    <w:p>
      <w:pPr>
        <w:pStyle w:val="Heading5"/>
      </w:pPr>
      <w:bookmarkStart w:id="180" w:name="_Toc200026271"/>
      <w:r>
        <w:rPr>
          <w:rStyle w:val="CharSectno"/>
        </w:rPr>
        <w:t>92B</w:t>
      </w:r>
      <w:r>
        <w:t>.</w:t>
      </w:r>
      <w:r>
        <w:tab/>
        <w:t>Pre</w:t>
      </w:r>
      <w:r>
        <w:noBreakHyphen/>
        <w:t>21 October 2023 elections</w:t>
      </w:r>
      <w:bookmarkEnd w:id="180"/>
    </w:p>
    <w:p>
      <w:pPr>
        <w:pStyle w:val="Subsection"/>
      </w:pPr>
      <w:r>
        <w:tab/>
        <w:t>(1)</w:t>
      </w:r>
      <w:r>
        <w:tab/>
        <w:t xml:space="preserve">In this regulation — </w:t>
      </w:r>
    </w:p>
    <w:p>
      <w:pPr>
        <w:pStyle w:val="Defstart"/>
      </w:pPr>
      <w:r>
        <w:tab/>
      </w:r>
      <w:r>
        <w:rPr>
          <w:rStyle w:val="CharDefText"/>
        </w:rPr>
        <w:t>election</w:t>
      </w:r>
      <w:r>
        <w:t xml:space="preserve"> has the meaning given in section 4.1;</w:t>
      </w:r>
    </w:p>
    <w:p>
      <w:pPr>
        <w:pStyle w:val="Defstart"/>
      </w:pPr>
      <w:r>
        <w:tab/>
      </w:r>
      <w:r>
        <w:rPr>
          <w:rStyle w:val="CharDefText"/>
        </w:rPr>
        <w:t>election day</w:t>
      </w:r>
      <w:r>
        <w:t xml:space="preserve"> has the meaning given in section 4.1;</w:t>
      </w:r>
    </w:p>
    <w:p>
      <w:pPr>
        <w:pStyle w:val="Defstart"/>
      </w:pPr>
      <w:r>
        <w:tab/>
      </w:r>
      <w:r>
        <w:rPr>
          <w:rStyle w:val="CharDefText"/>
        </w:rPr>
        <w:t>pre</w:t>
      </w:r>
      <w:r>
        <w:rPr>
          <w:rStyle w:val="CharDefText"/>
        </w:rPr>
        <w:noBreakHyphen/>
        <w:t>21 October election</w:t>
      </w:r>
      <w:r>
        <w:t xml:space="preserve"> means an election for which election day is before 21 October 2023.</w:t>
      </w:r>
    </w:p>
    <w:p>
      <w:pPr>
        <w:pStyle w:val="Subsection"/>
      </w:pPr>
      <w:r>
        <w:tab/>
        <w:t>(2)</w:t>
      </w:r>
      <w:r>
        <w:tab/>
        <w:t>For the purposes of Schedule 9.3 clause 62(2) of the Act, the amendments made by sections 31(3), 33 to 39, 40(1) and (2), 42 to 54 and 92 to 98 of the 2023 amendment Act do not apply in relation to a pre</w:t>
      </w:r>
      <w:r>
        <w:noBreakHyphen/>
        <w:t>21 October 2023 election and, accordingly, the Act applies in relation to the pre</w:t>
      </w:r>
      <w:r>
        <w:noBreakHyphen/>
        <w:t>21 October 2023 election as if those amendments had not been made.</w:t>
      </w:r>
    </w:p>
    <w:p>
      <w:pPr>
        <w:pStyle w:val="Subsection"/>
      </w:pPr>
      <w:r>
        <w:tab/>
        <w:t>(3)</w:t>
      </w:r>
      <w:r>
        <w:tab/>
        <w:t xml:space="preserve">For the purposes of Schedule 9.3 clause 62(2) of the Act, the amendment made by section 31(2) of the 2023 amendment Act does not apply in relation to an enrolment eligibility claim made before the day on which section 31(2) of the 2023 amendment Act comes into operation and, if relevant, section 4.33(2B) </w:t>
      </w:r>
      <w:r>
        <w:lastRenderedPageBreak/>
        <w:t>continues to apply in relation to the enrolment eligibility claim as if that amendment had not been made.</w:t>
      </w:r>
    </w:p>
    <w:p>
      <w:pPr>
        <w:pStyle w:val="Subsection"/>
      </w:pPr>
      <w:r>
        <w:tab/>
        <w:t>(4)</w:t>
      </w:r>
      <w:r>
        <w:tab/>
        <w:t>For the purposes of Schedule 4.1A clauses 4(4)(b), 6(4)(b), 7(5)(b), 9(4)(b), 10(5)(b), 12(4)(b) and 13(5)(b) of the Act, the vacancy cannot be filled if the election at which the former member was elected is a pre</w:t>
      </w:r>
      <w:r>
        <w:noBreakHyphen/>
        <w:t>21 October 2023 election and, accordingly, no declaration or notice is required to be given under Schedule 4.1A clause 19 of the Act in relation to a pre</w:t>
      </w:r>
      <w:r>
        <w:noBreakHyphen/>
        <w:t>21 October 2023 election.</w:t>
      </w:r>
    </w:p>
    <w:p>
      <w:pPr>
        <w:pStyle w:val="Subsection"/>
      </w:pPr>
      <w:r>
        <w:tab/>
        <w:t>(5)</w:t>
      </w:r>
      <w:r>
        <w:tab/>
        <w:t>For the purposes of Schedule 4.1B clause 1(4) of the Act, the vacancy cannot be filled if the concurrent election is a pre</w:t>
      </w:r>
      <w:r>
        <w:noBreakHyphen/>
        <w:t>21 October 2023 election.</w:t>
      </w:r>
    </w:p>
    <w:p>
      <w:pPr>
        <w:pStyle w:val="Subsection"/>
      </w:pPr>
      <w:r>
        <w:tab/>
        <w:t>(6)</w:t>
      </w:r>
      <w:r>
        <w:tab/>
        <w:t>The amendments made by regulations 24 to 46 and 49 to 58 of the 2023 amendment regulations do not apply in relation to a pre</w:t>
      </w:r>
      <w:r>
        <w:noBreakHyphen/>
        <w:t>21 October 2023 election and, accordingly, these regulations apply in relation to the pre</w:t>
      </w:r>
      <w:r>
        <w:noBreakHyphen/>
        <w:t>21 October 2023 election as if those amendments had not been made.</w:t>
      </w:r>
    </w:p>
    <w:p>
      <w:pPr>
        <w:pStyle w:val="Footnotesection"/>
      </w:pPr>
      <w:r>
        <w:tab/>
        <w:t>[Regulation 92B inserted: SL 2023/102 r. 48.]</w:t>
      </w:r>
    </w:p>
    <w:p>
      <w:pPr>
        <w:pStyle w:val="Heading5"/>
      </w:pPr>
      <w:bookmarkStart w:id="181" w:name="_Toc200026272"/>
      <w:r>
        <w:rPr>
          <w:rStyle w:val="CharSectno"/>
        </w:rPr>
        <w:t>92C</w:t>
      </w:r>
      <w:r>
        <w:t>.</w:t>
      </w:r>
      <w:r>
        <w:tab/>
        <w:t>Pre</w:t>
      </w:r>
      <w:r>
        <w:noBreakHyphen/>
        <w:t>21 October 2023 Schedule 2.3 elections</w:t>
      </w:r>
      <w:bookmarkEnd w:id="181"/>
    </w:p>
    <w:p>
      <w:pPr>
        <w:pStyle w:val="Subsection"/>
      </w:pPr>
      <w:r>
        <w:tab/>
        <w:t>(1)</w:t>
      </w:r>
      <w:r>
        <w:tab/>
        <w:t>For the purposes of Schedule 9.3 clause 62(2) of the Act, no amendment referred to in regulation 92B(2) applies in relation to an election under Schedule 2.3 of the Act which is conducted at a meeting held before 21 October 2023 and, accordingly, the Act applies in relation to the election as if none of those amendments had been made.</w:t>
      </w:r>
    </w:p>
    <w:p>
      <w:pPr>
        <w:pStyle w:val="Subsection"/>
      </w:pPr>
      <w:r>
        <w:tab/>
        <w:t>(2)</w:t>
      </w:r>
      <w:r>
        <w:tab/>
        <w:t>No amendment referred to in regulation 92B(6) applies in relation to an election under Schedule 2.3 of the Act which is conducted at a meeting held before 21 October 2023 and, accordingly, these regulations apply in relation to the election as if none of those amendments had been made.</w:t>
      </w:r>
    </w:p>
    <w:p>
      <w:pPr>
        <w:pStyle w:val="Footnotesection"/>
      </w:pPr>
      <w:r>
        <w:tab/>
        <w:t>[Regulation 92C inserted: SL 2023/102 r. 48.]</w:t>
      </w:r>
    </w:p>
    <w:p>
      <w:pPr>
        <w:pStyle w:val="Heading5"/>
      </w:pPr>
      <w:bookmarkStart w:id="182" w:name="_Toc200026273"/>
      <w:r>
        <w:rPr>
          <w:rStyle w:val="CharSectno"/>
        </w:rPr>
        <w:lastRenderedPageBreak/>
        <w:t>92D</w:t>
      </w:r>
      <w:r>
        <w:t>.</w:t>
      </w:r>
      <w:r>
        <w:tab/>
        <w:t>Pre</w:t>
      </w:r>
      <w:r>
        <w:noBreakHyphen/>
        <w:t>existing councillor vacancies</w:t>
      </w:r>
      <w:bookmarkEnd w:id="182"/>
    </w:p>
    <w:p>
      <w:pPr>
        <w:pStyle w:val="Subsection"/>
      </w:pPr>
      <w:r>
        <w:tab/>
        <w:t>(1)</w:t>
      </w:r>
      <w:r>
        <w:tab/>
        <w:t xml:space="preserve">In this regulation — </w:t>
      </w:r>
    </w:p>
    <w:p>
      <w:pPr>
        <w:pStyle w:val="Defstart"/>
      </w:pPr>
      <w:r>
        <w:tab/>
      </w:r>
      <w:r>
        <w:rPr>
          <w:rStyle w:val="CharDefText"/>
        </w:rPr>
        <w:t>amendment day</w:t>
      </w:r>
      <w:r>
        <w:t xml:space="preserve"> means the day on which section 28(2) of the 2023 amendment Act comes into operation;</w:t>
      </w:r>
    </w:p>
    <w:p>
      <w:pPr>
        <w:pStyle w:val="Defstart"/>
      </w:pPr>
      <w:r>
        <w:tab/>
      </w:r>
      <w:r>
        <w:rPr>
          <w:rStyle w:val="CharDefText"/>
        </w:rPr>
        <w:t>pre</w:t>
      </w:r>
      <w:r>
        <w:rPr>
          <w:rStyle w:val="CharDefText"/>
        </w:rPr>
        <w:noBreakHyphen/>
        <w:t>existing vacancy</w:t>
      </w:r>
      <w:r>
        <w:t xml:space="preserve"> means a vacancy in the office of a councillor — </w:t>
      </w:r>
    </w:p>
    <w:p>
      <w:pPr>
        <w:pStyle w:val="Defpara"/>
      </w:pPr>
      <w:r>
        <w:tab/>
        <w:t>(a)</w:t>
      </w:r>
      <w:r>
        <w:tab/>
        <w:t>which, before amendment day, the council, with the approval of the Electoral Commissioner, allowed to remain unfilled under section 4.17(3); and</w:t>
      </w:r>
    </w:p>
    <w:p>
      <w:pPr>
        <w:pStyle w:val="Defpara"/>
      </w:pPr>
      <w:r>
        <w:tab/>
        <w:t>(b)</w:t>
      </w:r>
      <w:r>
        <w:tab/>
        <w:t>which, immediately before amendment day, remains unfilled.</w:t>
      </w:r>
    </w:p>
    <w:p>
      <w:pPr>
        <w:pStyle w:val="Subsection"/>
      </w:pPr>
      <w:r>
        <w:tab/>
        <w:t>(2)</w:t>
      </w:r>
      <w:r>
        <w:tab/>
        <w:t>For the purposes of Schedule 9.3 clause 62(2) of the Act, section 4.17(3) to (4), as in force immediately before amendment day, continue to apply to a pre</w:t>
      </w:r>
      <w:r>
        <w:noBreakHyphen/>
        <w:t>existing vacancy as if section 28(2) of the 2023 amendment Act had not come into operation.</w:t>
      </w:r>
    </w:p>
    <w:p>
      <w:pPr>
        <w:pStyle w:val="Footnotesection"/>
      </w:pPr>
      <w:r>
        <w:tab/>
        <w:t>[Regulation 92D inserted: SL 2023/102 r. 48.]</w:t>
      </w:r>
    </w:p>
    <w:p>
      <w:pPr>
        <w:pStyle w:val="Ednotepart"/>
      </w:pPr>
      <w:r>
        <w:t>[Part 17 omitted under the Reprints Act 1984 s. 7(4)(f).]</w:t>
      </w:r>
    </w:p>
    <w:p>
      <w:pPr>
        <w:rPr>
          <w:rStyle w:val="CharDivText"/>
        </w:r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yScheduleHeading"/>
        <w:outlineLvl w:val="0"/>
      </w:pPr>
      <w:bookmarkStart w:id="183" w:name="_Toc200026274"/>
      <w:r>
        <w:rPr>
          <w:rStyle w:val="CharSchNo"/>
        </w:rPr>
        <w:lastRenderedPageBreak/>
        <w:t>Schedule 1</w:t>
      </w:r>
      <w:r>
        <w:t> — </w:t>
      </w:r>
      <w:r>
        <w:rPr>
          <w:rStyle w:val="CharSchText"/>
        </w:rPr>
        <w:t>Forms</w:t>
      </w:r>
      <w:bookmarkEnd w:id="183"/>
    </w:p>
    <w:p>
      <w:pPr>
        <w:pStyle w:val="MiscellaneousHeading"/>
        <w:spacing w:before="120" w:after="120"/>
        <w:rPr>
          <w:b/>
          <w:snapToGrid w:val="0"/>
          <w:sz w:val="22"/>
        </w:rPr>
      </w:pPr>
      <w:r>
        <w:rPr>
          <w:b/>
          <w:snapToGrid w:val="0"/>
          <w:sz w:val="22"/>
        </w:rPr>
        <w:t>List of Forms</w:t>
      </w:r>
    </w:p>
    <w:tbl>
      <w:tblPr>
        <w:tblW w:w="7088" w:type="dxa"/>
        <w:tblInd w:w="120" w:type="dxa"/>
        <w:tblLayout w:type="fixed"/>
        <w:tblCellMar>
          <w:left w:w="120" w:type="dxa"/>
          <w:right w:w="120" w:type="dxa"/>
        </w:tblCellMar>
        <w:tblLook w:val="0000" w:firstRow="0" w:lastRow="0" w:firstColumn="0" w:lastColumn="0" w:noHBand="0" w:noVBand="0"/>
      </w:tblPr>
      <w:tblGrid>
        <w:gridCol w:w="770"/>
        <w:gridCol w:w="4870"/>
        <w:gridCol w:w="1448"/>
      </w:tblGrid>
      <w:tr>
        <w:tc>
          <w:tcPr>
            <w:tcW w:w="770" w:type="dxa"/>
          </w:tcPr>
          <w:p>
            <w:pPr>
              <w:pStyle w:val="yTableNAm"/>
              <w:rPr>
                <w:b/>
              </w:rPr>
            </w:pPr>
            <w:r>
              <w:rPr>
                <w:b/>
              </w:rPr>
              <w:t>Form</w:t>
            </w:r>
          </w:p>
        </w:tc>
        <w:tc>
          <w:tcPr>
            <w:tcW w:w="4870" w:type="dxa"/>
          </w:tcPr>
          <w:p>
            <w:pPr>
              <w:pStyle w:val="yTableNAm"/>
              <w:rPr>
                <w:b/>
              </w:rPr>
            </w:pPr>
            <w:r>
              <w:rPr>
                <w:b/>
              </w:rPr>
              <w:t>Heading</w:t>
            </w:r>
          </w:p>
        </w:tc>
        <w:tc>
          <w:tcPr>
            <w:tcW w:w="1448" w:type="dxa"/>
          </w:tcPr>
          <w:p>
            <w:pPr>
              <w:pStyle w:val="yTableNAm"/>
              <w:rPr>
                <w:b/>
              </w:rPr>
            </w:pPr>
            <w:r>
              <w:rPr>
                <w:b/>
              </w:rPr>
              <w:t>Section or regulation</w:t>
            </w:r>
          </w:p>
        </w:tc>
      </w:tr>
      <w:tr>
        <w:tc>
          <w:tcPr>
            <w:tcW w:w="770" w:type="dxa"/>
          </w:tcPr>
          <w:p>
            <w:pPr>
              <w:pStyle w:val="yTableNAm"/>
            </w:pPr>
            <w:r>
              <w:t>1</w:t>
            </w:r>
          </w:p>
        </w:tc>
        <w:tc>
          <w:tcPr>
            <w:tcW w:w="4870" w:type="dxa"/>
          </w:tcPr>
          <w:p>
            <w:pPr>
              <w:pStyle w:val="yTableNAm"/>
            </w:pPr>
            <w:r>
              <w:t>Declaration by Electoral Officer</w:t>
            </w:r>
          </w:p>
        </w:tc>
        <w:tc>
          <w:tcPr>
            <w:tcW w:w="1448" w:type="dxa"/>
          </w:tcPr>
          <w:p>
            <w:pPr>
              <w:pStyle w:val="yTableNAm"/>
            </w:pPr>
            <w:r>
              <w:t>reg. 7(1)</w:t>
            </w:r>
          </w:p>
        </w:tc>
      </w:tr>
      <w:tr>
        <w:tc>
          <w:tcPr>
            <w:tcW w:w="770" w:type="dxa"/>
          </w:tcPr>
          <w:p>
            <w:pPr>
              <w:pStyle w:val="yTableNAm"/>
            </w:pPr>
            <w:r>
              <w:t>2</w:t>
            </w:r>
          </w:p>
        </w:tc>
        <w:tc>
          <w:tcPr>
            <w:tcW w:w="4870" w:type="dxa"/>
          </w:tcPr>
          <w:p>
            <w:pPr>
              <w:pStyle w:val="yTableNAm"/>
            </w:pPr>
            <w:r>
              <w:t>Enrolment Eligibility Claim incorporating Notice of Nomination of co</w:t>
            </w:r>
            <w:r>
              <w:noBreakHyphen/>
              <w:t>owners or co</w:t>
            </w:r>
            <w:r>
              <w:noBreakHyphen/>
              <w:t xml:space="preserve">occupiers (if required by CEO)  </w:t>
            </w:r>
            <w:r>
              <w:rPr>
                <w:spacing w:val="-1"/>
                <w:sz w:val="14"/>
              </w:rPr>
              <w:t>(front &amp; back)</w:t>
            </w:r>
          </w:p>
        </w:tc>
        <w:tc>
          <w:tcPr>
            <w:tcW w:w="1448" w:type="dxa"/>
          </w:tcPr>
          <w:p>
            <w:pPr>
              <w:pStyle w:val="yTableNAm"/>
            </w:pPr>
            <w:r>
              <w:br/>
            </w:r>
            <w:r>
              <w:br/>
              <w:t>s. 4.32(2)</w:t>
            </w:r>
          </w:p>
        </w:tc>
      </w:tr>
      <w:tr>
        <w:tc>
          <w:tcPr>
            <w:tcW w:w="770" w:type="dxa"/>
          </w:tcPr>
          <w:p>
            <w:pPr>
              <w:pStyle w:val="yTableNAm"/>
            </w:pPr>
            <w:r>
              <w:t>3</w:t>
            </w:r>
          </w:p>
        </w:tc>
        <w:tc>
          <w:tcPr>
            <w:tcW w:w="4870" w:type="dxa"/>
          </w:tcPr>
          <w:p>
            <w:pPr>
              <w:pStyle w:val="yTableNAm"/>
            </w:pPr>
            <w:r>
              <w:t>Notice of Acceptance of Enrolment Eligibility Claim</w:t>
            </w:r>
          </w:p>
        </w:tc>
        <w:tc>
          <w:tcPr>
            <w:tcW w:w="1448" w:type="dxa"/>
          </w:tcPr>
          <w:p>
            <w:pPr>
              <w:pStyle w:val="yTableNAm"/>
            </w:pPr>
            <w:r>
              <w:t>s. 4.32(6)</w:t>
            </w:r>
          </w:p>
        </w:tc>
      </w:tr>
      <w:tr>
        <w:tc>
          <w:tcPr>
            <w:tcW w:w="770" w:type="dxa"/>
          </w:tcPr>
          <w:p>
            <w:pPr>
              <w:pStyle w:val="yTableNAm"/>
            </w:pPr>
            <w:r>
              <w:t>4</w:t>
            </w:r>
          </w:p>
        </w:tc>
        <w:tc>
          <w:tcPr>
            <w:tcW w:w="4870" w:type="dxa"/>
          </w:tcPr>
          <w:p>
            <w:pPr>
              <w:pStyle w:val="yTableNAm"/>
            </w:pPr>
            <w:r>
              <w:t>Notice of Rejection of Enrolment Eligibility Claim</w:t>
            </w:r>
          </w:p>
        </w:tc>
        <w:tc>
          <w:tcPr>
            <w:tcW w:w="1448" w:type="dxa"/>
          </w:tcPr>
          <w:p>
            <w:pPr>
              <w:pStyle w:val="yTableNAm"/>
            </w:pPr>
            <w:r>
              <w:t>s. 4.32(6)</w:t>
            </w:r>
          </w:p>
        </w:tc>
      </w:tr>
      <w:tr>
        <w:tc>
          <w:tcPr>
            <w:tcW w:w="770" w:type="dxa"/>
          </w:tcPr>
          <w:p>
            <w:pPr>
              <w:pStyle w:val="yTableNAm"/>
            </w:pPr>
            <w:r>
              <w:t>5</w:t>
            </w:r>
          </w:p>
        </w:tc>
        <w:tc>
          <w:tcPr>
            <w:tcW w:w="4870" w:type="dxa"/>
          </w:tcPr>
          <w:p>
            <w:pPr>
              <w:pStyle w:val="yTableNAm"/>
            </w:pPr>
            <w:r>
              <w:t>Appeal to Electoral Commissioner</w:t>
            </w:r>
          </w:p>
          <w:p>
            <w:pPr>
              <w:pStyle w:val="yTableNAm"/>
            </w:pPr>
            <w:r>
              <w:t xml:space="preserve">Rejection of Enrolment Eligibility Claim  </w:t>
            </w:r>
            <w:r>
              <w:rPr>
                <w:spacing w:val="-1"/>
                <w:sz w:val="14"/>
              </w:rPr>
              <w:t>(front &amp; back)</w:t>
            </w:r>
          </w:p>
        </w:tc>
        <w:tc>
          <w:tcPr>
            <w:tcW w:w="1448" w:type="dxa"/>
          </w:tcPr>
          <w:p>
            <w:pPr>
              <w:pStyle w:val="yTableNAm"/>
            </w:pPr>
          </w:p>
          <w:p>
            <w:pPr>
              <w:pStyle w:val="yTableNAm"/>
            </w:pPr>
            <w:r>
              <w:t>s. 4.32(8)</w:t>
            </w:r>
          </w:p>
        </w:tc>
      </w:tr>
      <w:tr>
        <w:tc>
          <w:tcPr>
            <w:tcW w:w="770" w:type="dxa"/>
          </w:tcPr>
          <w:p>
            <w:pPr>
              <w:pStyle w:val="yTableNAm"/>
            </w:pPr>
            <w:r>
              <w:t>6</w:t>
            </w:r>
          </w:p>
        </w:tc>
        <w:tc>
          <w:tcPr>
            <w:tcW w:w="4870" w:type="dxa"/>
          </w:tcPr>
          <w:p>
            <w:pPr>
              <w:pStyle w:val="yTableNAm"/>
            </w:pPr>
            <w:r>
              <w:t>Notice of Cancellation of Eligibility</w:t>
            </w:r>
          </w:p>
        </w:tc>
        <w:tc>
          <w:tcPr>
            <w:tcW w:w="1448" w:type="dxa"/>
          </w:tcPr>
          <w:p>
            <w:pPr>
              <w:pStyle w:val="yTableNAm"/>
            </w:pPr>
            <w:r>
              <w:t>s. 4.35(3)</w:t>
            </w:r>
          </w:p>
        </w:tc>
      </w:tr>
      <w:tr>
        <w:tc>
          <w:tcPr>
            <w:tcW w:w="770" w:type="dxa"/>
          </w:tcPr>
          <w:p>
            <w:pPr>
              <w:pStyle w:val="yTableNAm"/>
            </w:pPr>
            <w:r>
              <w:t>7</w:t>
            </w:r>
          </w:p>
        </w:tc>
        <w:tc>
          <w:tcPr>
            <w:tcW w:w="4870" w:type="dxa"/>
          </w:tcPr>
          <w:p>
            <w:pPr>
              <w:pStyle w:val="yTableNAm"/>
            </w:pPr>
            <w:r>
              <w:t>Appeal to Electoral Commissioner</w:t>
            </w:r>
          </w:p>
          <w:p>
            <w:pPr>
              <w:pStyle w:val="yTableNAm"/>
            </w:pPr>
            <w:r>
              <w:t xml:space="preserve">Cancellation of Eligibility  </w:t>
            </w:r>
            <w:r>
              <w:rPr>
                <w:spacing w:val="-1"/>
                <w:sz w:val="14"/>
              </w:rPr>
              <w:t>(front &amp; back)</w:t>
            </w:r>
          </w:p>
        </w:tc>
        <w:tc>
          <w:tcPr>
            <w:tcW w:w="1448" w:type="dxa"/>
          </w:tcPr>
          <w:p>
            <w:pPr>
              <w:pStyle w:val="yTableNAm"/>
            </w:pPr>
          </w:p>
          <w:p>
            <w:pPr>
              <w:pStyle w:val="yTableNAm"/>
            </w:pPr>
            <w:r>
              <w:t>s. 4.35(4)</w:t>
            </w:r>
          </w:p>
        </w:tc>
      </w:tr>
      <w:tr>
        <w:tc>
          <w:tcPr>
            <w:tcW w:w="770" w:type="dxa"/>
          </w:tcPr>
          <w:p>
            <w:pPr>
              <w:pStyle w:val="yTableNAm"/>
            </w:pPr>
            <w:r>
              <w:t>8</w:t>
            </w:r>
          </w:p>
        </w:tc>
        <w:tc>
          <w:tcPr>
            <w:tcW w:w="4870" w:type="dxa"/>
          </w:tcPr>
          <w:p>
            <w:pPr>
              <w:pStyle w:val="yTableNAm"/>
            </w:pPr>
            <w:r>
              <w:t xml:space="preserve">Nomination for Election By Candidate  </w:t>
            </w:r>
            <w:r>
              <w:rPr>
                <w:spacing w:val="-1"/>
                <w:sz w:val="14"/>
              </w:rPr>
              <w:t>(front &amp; back)</w:t>
            </w:r>
          </w:p>
        </w:tc>
        <w:tc>
          <w:tcPr>
            <w:tcW w:w="1448" w:type="dxa"/>
          </w:tcPr>
          <w:p>
            <w:pPr>
              <w:pStyle w:val="yTableNAm"/>
            </w:pPr>
            <w:r>
              <w:t>s. 4.49(a)</w:t>
            </w:r>
          </w:p>
        </w:tc>
      </w:tr>
      <w:tr>
        <w:tc>
          <w:tcPr>
            <w:tcW w:w="770" w:type="dxa"/>
          </w:tcPr>
          <w:p>
            <w:pPr>
              <w:pStyle w:val="yTableNAm"/>
            </w:pPr>
            <w:r>
              <w:t>9</w:t>
            </w:r>
          </w:p>
        </w:tc>
        <w:tc>
          <w:tcPr>
            <w:tcW w:w="4870" w:type="dxa"/>
          </w:tcPr>
          <w:p>
            <w:pPr>
              <w:pStyle w:val="yTableNAm"/>
            </w:pPr>
            <w:r>
              <w:t xml:space="preserve">Nomination for Election By Agent  </w:t>
            </w:r>
            <w:r>
              <w:rPr>
                <w:spacing w:val="-1"/>
                <w:sz w:val="14"/>
              </w:rPr>
              <w:t>(front &amp; back)</w:t>
            </w:r>
          </w:p>
        </w:tc>
        <w:tc>
          <w:tcPr>
            <w:tcW w:w="1448" w:type="dxa"/>
          </w:tcPr>
          <w:p>
            <w:pPr>
              <w:pStyle w:val="yTableNAm"/>
            </w:pPr>
            <w:r>
              <w:t>s. 4.49(a)</w:t>
            </w:r>
          </w:p>
        </w:tc>
      </w:tr>
      <w:tr>
        <w:tc>
          <w:tcPr>
            <w:tcW w:w="770" w:type="dxa"/>
          </w:tcPr>
          <w:p>
            <w:pPr>
              <w:pStyle w:val="yTableNAm"/>
            </w:pPr>
            <w:r>
              <w:t>9A.</w:t>
            </w:r>
          </w:p>
        </w:tc>
        <w:tc>
          <w:tcPr>
            <w:tcW w:w="4870" w:type="dxa"/>
          </w:tcPr>
          <w:p>
            <w:pPr>
              <w:pStyle w:val="yTableNAm"/>
            </w:pPr>
            <w:r>
              <w:t>Disclosure of Gifts</w:t>
            </w:r>
          </w:p>
        </w:tc>
        <w:tc>
          <w:tcPr>
            <w:tcW w:w="1448" w:type="dxa"/>
          </w:tcPr>
          <w:p>
            <w:pPr>
              <w:pStyle w:val="yTableNAm"/>
            </w:pPr>
            <w:r>
              <w:t>s. 4.59</w:t>
            </w:r>
          </w:p>
        </w:tc>
      </w:tr>
      <w:tr>
        <w:tc>
          <w:tcPr>
            <w:tcW w:w="770" w:type="dxa"/>
          </w:tcPr>
          <w:p>
            <w:pPr>
              <w:pStyle w:val="yTableNAm"/>
            </w:pPr>
            <w:r>
              <w:t>10</w:t>
            </w:r>
          </w:p>
        </w:tc>
        <w:tc>
          <w:tcPr>
            <w:tcW w:w="4870" w:type="dxa"/>
          </w:tcPr>
          <w:p>
            <w:pPr>
              <w:pStyle w:val="yTableNAm"/>
            </w:pPr>
            <w:r>
              <w:t xml:space="preserve">Ballot Paper </w:t>
            </w:r>
          </w:p>
        </w:tc>
        <w:tc>
          <w:tcPr>
            <w:tcW w:w="1448" w:type="dxa"/>
          </w:tcPr>
          <w:p>
            <w:pPr>
              <w:pStyle w:val="yTableNAm"/>
            </w:pPr>
            <w:r>
              <w:t>s. 4.71(1)(a)</w:t>
            </w:r>
          </w:p>
        </w:tc>
      </w:tr>
      <w:tr>
        <w:tc>
          <w:tcPr>
            <w:tcW w:w="770" w:type="dxa"/>
          </w:tcPr>
          <w:p>
            <w:pPr>
              <w:pStyle w:val="yTableNAm"/>
            </w:pPr>
            <w:r>
              <w:t>11</w:t>
            </w:r>
          </w:p>
        </w:tc>
        <w:tc>
          <w:tcPr>
            <w:tcW w:w="4870" w:type="dxa"/>
          </w:tcPr>
          <w:p>
            <w:pPr>
              <w:pStyle w:val="yTableNAm"/>
            </w:pPr>
            <w:r>
              <w:t xml:space="preserve">Absent Vote Ballot Paper  </w:t>
            </w:r>
            <w:r>
              <w:rPr>
                <w:spacing w:val="-1"/>
                <w:sz w:val="14"/>
              </w:rPr>
              <w:t>(front &amp; back)</w:t>
            </w:r>
          </w:p>
        </w:tc>
        <w:tc>
          <w:tcPr>
            <w:tcW w:w="1448" w:type="dxa"/>
          </w:tcPr>
          <w:p>
            <w:pPr>
              <w:pStyle w:val="yTableNAm"/>
            </w:pPr>
            <w:r>
              <w:t>s. 4.71(1)(a)</w:t>
            </w:r>
          </w:p>
        </w:tc>
      </w:tr>
      <w:tr>
        <w:tc>
          <w:tcPr>
            <w:tcW w:w="770" w:type="dxa"/>
          </w:tcPr>
          <w:p>
            <w:pPr>
              <w:pStyle w:val="yTableNAm"/>
            </w:pPr>
            <w:r>
              <w:t>12</w:t>
            </w:r>
          </w:p>
        </w:tc>
        <w:tc>
          <w:tcPr>
            <w:tcW w:w="4870" w:type="dxa"/>
          </w:tcPr>
          <w:p>
            <w:pPr>
              <w:pStyle w:val="yTableNAm"/>
            </w:pPr>
            <w:r>
              <w:t xml:space="preserve">Application for Postal Voting Papers  </w:t>
            </w:r>
            <w:r>
              <w:rPr>
                <w:spacing w:val="-1"/>
                <w:sz w:val="14"/>
              </w:rPr>
              <w:t>(front &amp; back)</w:t>
            </w:r>
          </w:p>
        </w:tc>
        <w:tc>
          <w:tcPr>
            <w:tcW w:w="1448" w:type="dxa"/>
          </w:tcPr>
          <w:p>
            <w:pPr>
              <w:pStyle w:val="yTableNAm"/>
            </w:pPr>
            <w:r>
              <w:t>reg. 37</w:t>
            </w:r>
          </w:p>
        </w:tc>
      </w:tr>
      <w:tr>
        <w:tc>
          <w:tcPr>
            <w:tcW w:w="770" w:type="dxa"/>
          </w:tcPr>
          <w:p>
            <w:pPr>
              <w:pStyle w:val="yTableNAm"/>
            </w:pPr>
            <w:r>
              <w:t>13</w:t>
            </w:r>
          </w:p>
        </w:tc>
        <w:tc>
          <w:tcPr>
            <w:tcW w:w="4870" w:type="dxa"/>
          </w:tcPr>
          <w:p>
            <w:pPr>
              <w:pStyle w:val="yTableNAm"/>
            </w:pPr>
            <w:r>
              <w:t>Postal Voting Instructions</w:t>
            </w:r>
          </w:p>
          <w:p>
            <w:pPr>
              <w:pStyle w:val="yTableNAm"/>
              <w:tabs>
                <w:tab w:val="clear" w:pos="567"/>
                <w:tab w:val="left" w:pos="386"/>
                <w:tab w:val="left" w:pos="745"/>
              </w:tabs>
            </w:pPr>
            <w:r>
              <w:tab/>
              <w:t>(a)</w:t>
            </w:r>
            <w:r>
              <w:tab/>
              <w:t>Mayoral/Presidential or Ward Elections</w:t>
            </w:r>
          </w:p>
          <w:p>
            <w:pPr>
              <w:pStyle w:val="yTableNAm"/>
              <w:tabs>
                <w:tab w:val="clear" w:pos="567"/>
                <w:tab w:val="left" w:pos="386"/>
                <w:tab w:val="left" w:pos="745"/>
              </w:tabs>
              <w:ind w:left="745" w:hanging="745"/>
            </w:pPr>
            <w:r>
              <w:fldChar w:fldCharType="begin"/>
            </w:r>
            <w:r>
              <w:instrText>ADVANCE \D 2.80</w:instrText>
            </w:r>
            <w:r>
              <w:fldChar w:fldCharType="end"/>
            </w:r>
            <w:r>
              <w:tab/>
              <w:t>(b)</w:t>
            </w:r>
            <w:r>
              <w:tab/>
              <w:t>simultaneous Mayoral/Presidential and Ward Elections</w:t>
            </w:r>
          </w:p>
        </w:tc>
        <w:tc>
          <w:tcPr>
            <w:tcW w:w="1448" w:type="dxa"/>
          </w:tcPr>
          <w:p>
            <w:pPr>
              <w:pStyle w:val="yTableNAm"/>
            </w:pPr>
            <w:r>
              <w:t>reg. 43(1)(a)</w:t>
            </w:r>
          </w:p>
        </w:tc>
      </w:tr>
      <w:tr>
        <w:tc>
          <w:tcPr>
            <w:tcW w:w="770" w:type="dxa"/>
          </w:tcPr>
          <w:p>
            <w:pPr>
              <w:pStyle w:val="yTableNAm"/>
            </w:pPr>
            <w:r>
              <w:t>14</w:t>
            </w:r>
          </w:p>
        </w:tc>
        <w:tc>
          <w:tcPr>
            <w:tcW w:w="4870" w:type="dxa"/>
          </w:tcPr>
          <w:p>
            <w:pPr>
              <w:pStyle w:val="yTableNAm"/>
            </w:pPr>
            <w:r>
              <w:t>Elector’s Certificate</w:t>
            </w:r>
          </w:p>
        </w:tc>
        <w:tc>
          <w:tcPr>
            <w:tcW w:w="1448" w:type="dxa"/>
          </w:tcPr>
          <w:p>
            <w:pPr>
              <w:pStyle w:val="yTableNAm"/>
            </w:pPr>
            <w:r>
              <w:t>reg. 43(1)(e)</w:t>
            </w:r>
          </w:p>
        </w:tc>
      </w:tr>
      <w:tr>
        <w:tc>
          <w:tcPr>
            <w:tcW w:w="770" w:type="dxa"/>
          </w:tcPr>
          <w:p>
            <w:pPr>
              <w:pStyle w:val="yTableNAm"/>
            </w:pPr>
            <w:r>
              <w:t>15</w:t>
            </w:r>
          </w:p>
        </w:tc>
        <w:tc>
          <w:tcPr>
            <w:tcW w:w="4870" w:type="dxa"/>
          </w:tcPr>
          <w:p>
            <w:pPr>
              <w:pStyle w:val="yTableNAm"/>
            </w:pPr>
            <w:r>
              <w:t>Application for Replacement Postal Voting Papers</w:t>
            </w:r>
          </w:p>
        </w:tc>
        <w:tc>
          <w:tcPr>
            <w:tcW w:w="1448" w:type="dxa"/>
          </w:tcPr>
          <w:p>
            <w:pPr>
              <w:pStyle w:val="yTableNAm"/>
            </w:pPr>
            <w:r>
              <w:t>reg. 45</w:t>
            </w:r>
          </w:p>
        </w:tc>
      </w:tr>
      <w:tr>
        <w:trPr>
          <w:cantSplit/>
        </w:trPr>
        <w:tc>
          <w:tcPr>
            <w:tcW w:w="770" w:type="dxa"/>
          </w:tcPr>
          <w:p>
            <w:pPr>
              <w:pStyle w:val="yTableNAm"/>
            </w:pPr>
            <w:r>
              <w:lastRenderedPageBreak/>
              <w:t>16</w:t>
            </w:r>
          </w:p>
        </w:tc>
        <w:tc>
          <w:tcPr>
            <w:tcW w:w="4870" w:type="dxa"/>
          </w:tcPr>
          <w:p>
            <w:pPr>
              <w:pStyle w:val="yTableNAm"/>
            </w:pPr>
            <w:r>
              <w:t>Provisional Voter’s Declaration</w:t>
            </w:r>
          </w:p>
        </w:tc>
        <w:tc>
          <w:tcPr>
            <w:tcW w:w="1448" w:type="dxa"/>
          </w:tcPr>
          <w:p>
            <w:pPr>
              <w:pStyle w:val="yTableNAm"/>
              <w:rPr>
                <w:rFonts w:ascii="Arial" w:hAnsi="Arial"/>
                <w:b/>
              </w:rPr>
            </w:pPr>
            <w:r>
              <w:t>regs. 46 and 62</w:t>
            </w:r>
          </w:p>
        </w:tc>
      </w:tr>
      <w:tr>
        <w:tc>
          <w:tcPr>
            <w:tcW w:w="770" w:type="dxa"/>
          </w:tcPr>
          <w:p>
            <w:pPr>
              <w:pStyle w:val="yTableNAm"/>
            </w:pPr>
            <w:r>
              <w:t>17</w:t>
            </w:r>
          </w:p>
        </w:tc>
        <w:tc>
          <w:tcPr>
            <w:tcW w:w="4870" w:type="dxa"/>
          </w:tcPr>
          <w:p>
            <w:pPr>
              <w:pStyle w:val="yTableNAm"/>
            </w:pPr>
            <w:r>
              <w:t>Application for Absent Vote</w:t>
            </w:r>
          </w:p>
        </w:tc>
        <w:tc>
          <w:tcPr>
            <w:tcW w:w="1448" w:type="dxa"/>
          </w:tcPr>
          <w:p>
            <w:pPr>
              <w:pStyle w:val="yTableNAm"/>
            </w:pPr>
            <w:r>
              <w:t>reg. 54</w:t>
            </w:r>
          </w:p>
        </w:tc>
      </w:tr>
      <w:tr>
        <w:tc>
          <w:tcPr>
            <w:tcW w:w="770" w:type="dxa"/>
          </w:tcPr>
          <w:p>
            <w:pPr>
              <w:pStyle w:val="yTableNAm"/>
            </w:pPr>
            <w:r>
              <w:t>18</w:t>
            </w:r>
          </w:p>
        </w:tc>
        <w:tc>
          <w:tcPr>
            <w:tcW w:w="4870" w:type="dxa"/>
          </w:tcPr>
          <w:p>
            <w:pPr>
              <w:pStyle w:val="yTableNAm"/>
            </w:pPr>
            <w:r>
              <w:t xml:space="preserve">Appointment of Scrutineer </w:t>
            </w:r>
            <w:r>
              <w:rPr>
                <w:spacing w:val="-1"/>
                <w:sz w:val="14"/>
              </w:rPr>
              <w:t>(Original — front and back, duplicate — front and back)</w:t>
            </w:r>
          </w:p>
        </w:tc>
        <w:tc>
          <w:tcPr>
            <w:tcW w:w="1448" w:type="dxa"/>
          </w:tcPr>
          <w:p>
            <w:pPr>
              <w:pStyle w:val="yTableNAm"/>
            </w:pPr>
            <w:r>
              <w:t>reg. 69</w:t>
            </w:r>
          </w:p>
        </w:tc>
      </w:tr>
      <w:tr>
        <w:tc>
          <w:tcPr>
            <w:tcW w:w="7088" w:type="dxa"/>
            <w:gridSpan w:val="3"/>
          </w:tcPr>
          <w:p>
            <w:pPr>
              <w:pStyle w:val="yEdnoteitem"/>
              <w:tabs>
                <w:tab w:val="left" w:pos="753"/>
              </w:tabs>
            </w:pPr>
            <w:r>
              <w:t>[19</w:t>
            </w:r>
            <w:r>
              <w:tab/>
              <w:t>deleted]</w:t>
            </w:r>
          </w:p>
        </w:tc>
      </w:tr>
      <w:tr>
        <w:tc>
          <w:tcPr>
            <w:tcW w:w="770" w:type="dxa"/>
          </w:tcPr>
          <w:p>
            <w:pPr>
              <w:pStyle w:val="yTableNAm"/>
            </w:pPr>
            <w:r>
              <w:t>20</w:t>
            </w:r>
          </w:p>
        </w:tc>
        <w:tc>
          <w:tcPr>
            <w:tcW w:w="4870" w:type="dxa"/>
          </w:tcPr>
          <w:p>
            <w:pPr>
              <w:pStyle w:val="yTableNAm"/>
            </w:pPr>
            <w:r>
              <w:t>Report to Minister</w:t>
            </w:r>
          </w:p>
        </w:tc>
        <w:tc>
          <w:tcPr>
            <w:tcW w:w="1448" w:type="dxa"/>
          </w:tcPr>
          <w:p>
            <w:pPr>
              <w:pStyle w:val="yTableNAm"/>
            </w:pPr>
            <w:r>
              <w:t>s. 4.79</w:t>
            </w:r>
          </w:p>
        </w:tc>
      </w:tr>
      <w:tr>
        <w:tc>
          <w:tcPr>
            <w:tcW w:w="770" w:type="dxa"/>
          </w:tcPr>
          <w:p>
            <w:pPr>
              <w:pStyle w:val="yTableNAm"/>
            </w:pPr>
            <w:r>
              <w:t>21</w:t>
            </w:r>
          </w:p>
        </w:tc>
        <w:tc>
          <w:tcPr>
            <w:tcW w:w="4870" w:type="dxa"/>
          </w:tcPr>
          <w:p>
            <w:pPr>
              <w:pStyle w:val="yTableNAm"/>
            </w:pPr>
            <w:r>
              <w:t>Referendum Ballot Paper</w:t>
            </w:r>
          </w:p>
        </w:tc>
        <w:tc>
          <w:tcPr>
            <w:tcW w:w="1448" w:type="dxa"/>
          </w:tcPr>
          <w:p>
            <w:pPr>
              <w:pStyle w:val="yTableNAm"/>
            </w:pPr>
            <w:r>
              <w:t>s. 4.99</w:t>
            </w:r>
          </w:p>
        </w:tc>
      </w:tr>
      <w:tr>
        <w:tc>
          <w:tcPr>
            <w:tcW w:w="770" w:type="dxa"/>
          </w:tcPr>
          <w:p>
            <w:pPr>
              <w:pStyle w:val="yTableNAm"/>
            </w:pPr>
            <w:r>
              <w:t>22</w:t>
            </w:r>
          </w:p>
        </w:tc>
        <w:tc>
          <w:tcPr>
            <w:tcW w:w="4870" w:type="dxa"/>
          </w:tcPr>
          <w:p>
            <w:pPr>
              <w:pStyle w:val="yTableNAm"/>
            </w:pPr>
            <w:r>
              <w:t xml:space="preserve">Referendum Absent Vote Ballot Paper </w:t>
            </w:r>
            <w:r>
              <w:rPr>
                <w:spacing w:val="-1"/>
                <w:sz w:val="14"/>
              </w:rPr>
              <w:t>(front &amp; back)</w:t>
            </w:r>
          </w:p>
        </w:tc>
        <w:tc>
          <w:tcPr>
            <w:tcW w:w="1448" w:type="dxa"/>
          </w:tcPr>
          <w:p>
            <w:pPr>
              <w:pStyle w:val="yTableNAm"/>
            </w:pPr>
            <w:r>
              <w:t>s. 4.99</w:t>
            </w:r>
          </w:p>
        </w:tc>
      </w:tr>
      <w:tr>
        <w:tc>
          <w:tcPr>
            <w:tcW w:w="770" w:type="dxa"/>
          </w:tcPr>
          <w:p>
            <w:pPr>
              <w:pStyle w:val="yTableNAm"/>
            </w:pPr>
            <w:r>
              <w:t>23</w:t>
            </w:r>
          </w:p>
        </w:tc>
        <w:tc>
          <w:tcPr>
            <w:tcW w:w="4870" w:type="dxa"/>
          </w:tcPr>
          <w:p>
            <w:pPr>
              <w:pStyle w:val="yTableNAm"/>
            </w:pPr>
            <w:r>
              <w:t>Results of Referendum</w:t>
            </w:r>
          </w:p>
        </w:tc>
        <w:tc>
          <w:tcPr>
            <w:tcW w:w="1448" w:type="dxa"/>
          </w:tcPr>
          <w:p>
            <w:pPr>
              <w:pStyle w:val="yTableNAm"/>
            </w:pPr>
            <w:r>
              <w:t>s. 4.99</w:t>
            </w:r>
          </w:p>
        </w:tc>
      </w:tr>
    </w:tbl>
    <w:p>
      <w:pPr>
        <w:pStyle w:val="yFootnotesection"/>
      </w:pPr>
      <w:r>
        <w:tab/>
        <w:t>[List of Forms amended: Gazette 25 Jan 2001 p. 588; SL 2023/102 r. 49.]</w:t>
      </w:r>
    </w:p>
    <w:p>
      <w:pPr>
        <w:pStyle w:val="yTable"/>
        <w:tabs>
          <w:tab w:val="left" w:pos="1134"/>
        </w:tabs>
        <w:spacing w:after="80"/>
        <w:rPr>
          <w:rStyle w:val="CharSClsNo"/>
          <w:b/>
        </w:rPr>
        <w:sectPr>
          <w:headerReference w:type="even" r:id="rId24"/>
          <w:headerReference w:type="default" r:id="rId25"/>
          <w:headerReference w:type="first" r:id="rId26"/>
          <w:pgSz w:w="11907" w:h="16840" w:code="9"/>
          <w:pgMar w:top="2381" w:right="2409" w:bottom="3543" w:left="2409" w:header="720" w:footer="3544" w:gutter="0"/>
          <w:cols w:space="720"/>
          <w:noEndnote/>
          <w:docGrid w:linePitch="326"/>
        </w:sectPr>
      </w:pPr>
    </w:p>
    <w:p>
      <w:pPr>
        <w:pStyle w:val="yTable"/>
        <w:tabs>
          <w:tab w:val="left" w:pos="1134"/>
        </w:tabs>
        <w:spacing w:after="80"/>
        <w:outlineLvl w:val="2"/>
        <w:rPr>
          <w:b/>
          <w:snapToGrid w:val="0"/>
        </w:rPr>
      </w:pPr>
      <w:r>
        <w:rPr>
          <w:rStyle w:val="CharSClsNo"/>
          <w:b/>
        </w:rPr>
        <w:lastRenderedPageBreak/>
        <w:t>Form 1</w:t>
      </w:r>
      <w:r>
        <w:rPr>
          <w:b/>
          <w:snapToGrid w:val="0"/>
        </w:rPr>
        <w:t xml:space="preserve">.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Gazette 3 Aug 2007 p. 4006.]</w:t>
      </w:r>
    </w:p>
    <w:p>
      <w:pPr>
        <w:pStyle w:val="yTable"/>
        <w:pageBreakBefore/>
        <w:tabs>
          <w:tab w:val="left" w:pos="1134"/>
        </w:tabs>
        <w:spacing w:after="80"/>
        <w:outlineLvl w:val="2"/>
        <w:rPr>
          <w:snapToGrid w:val="0"/>
        </w:rPr>
      </w:pPr>
      <w:r>
        <w:rPr>
          <w:rStyle w:val="CharSClsNo"/>
          <w:b/>
        </w:rPr>
        <w:lastRenderedPageBreak/>
        <w:t>Form 2</w:t>
      </w:r>
      <w:r>
        <w:rPr>
          <w:b/>
          <w:snapToGrid w:val="0"/>
        </w:rPr>
        <w:t>.</w:t>
      </w:r>
      <w:r>
        <w:rPr>
          <w:b/>
          <w:snapToGrid w:val="0"/>
        </w:rPr>
        <w:tab/>
        <w:t xml:space="preserve">Enrolment Eligibility Claim </w:t>
      </w:r>
      <w:r>
        <w:rPr>
          <w:b/>
        </w:rPr>
        <w:t>incorporating Notice of Nomination of co</w:t>
      </w:r>
      <w:r>
        <w:rPr>
          <w:b/>
        </w:rPr>
        <w:noBreakHyphen/>
        <w:t>owners or co</w:t>
      </w:r>
      <w:r>
        <w:rPr>
          <w:b/>
        </w:rPr>
        <w:noBreakHyphen/>
        <w:t>occupiers (if required by CEO)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4.32(2)</w:t>
            </w:r>
          </w:p>
          <w:p>
            <w:pPr>
              <w:pStyle w:val="yTable"/>
              <w:spacing w:before="0"/>
              <w:rPr>
                <w:b/>
              </w:rPr>
            </w:pPr>
            <w:r>
              <w:rPr>
                <w:b/>
                <w:snapToGrid w:val="0"/>
                <w:sz w:val="28"/>
              </w:rPr>
              <w:t>ENROLMENT ELIGIBILITY CLAIM</w:t>
            </w:r>
          </w:p>
          <w:p>
            <w:pPr>
              <w:pStyle w:val="yTable"/>
              <w:spacing w:before="0"/>
              <w:rPr>
                <w:snapToGrid w:val="0"/>
                <w:sz w:val="14"/>
              </w:rPr>
            </w:pPr>
            <w:r>
              <w:rPr>
                <w:snapToGrid w:val="0"/>
                <w:sz w:val="14"/>
              </w:rPr>
              <w:t>See back for notes on when</w:t>
            </w:r>
            <w:r>
              <w:rPr>
                <w:snapToGrid w:val="0"/>
                <w:sz w:val="14"/>
                <w:vertAlign w:val="superscript"/>
              </w:rPr>
              <w:t>1</w:t>
            </w:r>
            <w:r>
              <w:rPr>
                <w:snapToGrid w:val="0"/>
                <w:sz w:val="14"/>
              </w:rPr>
              <w:t xml:space="preserve"> and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making claim</w:t>
            </w:r>
            <w:r>
              <w:rPr>
                <w:snapToGrid w:val="0"/>
                <w:sz w:val="18"/>
                <w:vertAlign w:val="superscript"/>
              </w:rPr>
              <w:t>2</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 address</w:t>
            </w:r>
            <w:r>
              <w:rPr>
                <w:snapToGrid w:val="0"/>
                <w:sz w:val="18"/>
                <w:vertAlign w:val="superscript"/>
              </w:rPr>
              <w:t>4</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Rateable property on which claim is based </w:t>
            </w:r>
            <w:r>
              <w:rPr>
                <w:snapToGrid w:val="0"/>
                <w:sz w:val="18"/>
                <w:vertAlign w:val="superscript"/>
              </w:rPr>
              <w:t>4,5</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Electorate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r>
              <w:rPr>
                <w:snapToGrid w:val="0"/>
                <w:sz w:val="18"/>
                <w:vertAlign w:val="superscript"/>
              </w:rPr>
              <w:t>6</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snapToGrid w:val="0"/>
                <w:sz w:val="18"/>
              </w:rPr>
            </w:pPr>
            <w:r>
              <w:rPr>
                <w:b/>
                <w:snapToGrid w:val="0"/>
                <w:sz w:val="18"/>
              </w:rPr>
              <w:t>Entitlement to be enrolled</w:t>
            </w:r>
          </w:p>
          <w:p>
            <w:pPr>
              <w:pStyle w:val="yTable"/>
              <w:rPr>
                <w:snapToGrid w:val="0"/>
                <w:sz w:val="18"/>
              </w:rPr>
            </w:pPr>
          </w:p>
          <w:p>
            <w:pPr>
              <w:pStyle w:val="yTable"/>
              <w:rPr>
                <w:snapToGrid w:val="0"/>
                <w:sz w:val="14"/>
              </w:rPr>
            </w:pPr>
            <w:r>
              <w:rPr>
                <w:snapToGrid w:val="0"/>
                <w:sz w:val="14"/>
              </w:rPr>
              <w:t>[Tick one box]</w:t>
            </w:r>
          </w:p>
        </w:tc>
        <w:tc>
          <w:tcPr>
            <w:tcW w:w="5928" w:type="dxa"/>
          </w:tcPr>
          <w:p>
            <w:pPr>
              <w:pStyle w:val="yTable"/>
              <w:tabs>
                <w:tab w:val="left" w:pos="884"/>
                <w:tab w:val="left" w:pos="1451"/>
              </w:tabs>
              <w:ind w:left="1451" w:hanging="1451"/>
              <w:rPr>
                <w:snapToGrid w:val="0"/>
                <w:sz w:val="18"/>
              </w:rPr>
            </w:pPr>
            <w:r>
              <w:rPr>
                <w:snapToGrid w:val="0"/>
                <w:sz w:val="18"/>
              </w:rPr>
              <w:t>I am:</w:t>
            </w:r>
            <w:r>
              <w:rPr>
                <w:snapToGrid w:val="0"/>
                <w:sz w:val="18"/>
              </w:rPr>
              <w:tab/>
            </w:r>
            <w:r>
              <w:rPr>
                <w:snapToGrid w:val="0"/>
                <w:sz w:val="18"/>
              </w:rPr>
              <w:sym w:font="Wingdings" w:char="F072"/>
            </w:r>
            <w:r>
              <w:rPr>
                <w:snapToGrid w:val="0"/>
                <w:sz w:val="18"/>
              </w:rPr>
              <w:tab/>
              <w:t>on the State or Commonwealth electoral roll in respect of a residence outside the electorate. My address shown on that rolls is:</w:t>
            </w:r>
          </w:p>
          <w:p>
            <w:pPr>
              <w:pStyle w:val="yTable"/>
              <w:tabs>
                <w:tab w:val="left" w:pos="884"/>
                <w:tab w:val="left" w:pos="1451"/>
              </w:tabs>
              <w:ind w:left="1451" w:hanging="1451"/>
              <w:rPr>
                <w:snapToGrid w:val="0"/>
                <w:sz w:val="18"/>
              </w:rPr>
            </w:pPr>
            <w:r>
              <w:rPr>
                <w:snapToGrid w:val="0"/>
                <w:sz w:val="18"/>
              </w:rPr>
              <w:t>or</w:t>
            </w:r>
            <w:r>
              <w:rPr>
                <w:snapToGrid w:val="0"/>
                <w:sz w:val="18"/>
              </w:rPr>
              <w:tab/>
            </w:r>
            <w:r>
              <w:rPr>
                <w:snapToGrid w:val="0"/>
                <w:sz w:val="18"/>
              </w:rPr>
              <w:sym w:font="Wingdings" w:char="F072"/>
            </w:r>
            <w:r>
              <w:rPr>
                <w:snapToGrid w:val="0"/>
                <w:sz w:val="18"/>
              </w:rPr>
              <w:tab/>
              <w:t xml:space="preserve">not on the State or Commonwealth electoral roll but I am qualified as an elector under clause 12 of Schedule 9.3 of the </w:t>
            </w:r>
            <w:r>
              <w:rPr>
                <w:i/>
                <w:snapToGrid w:val="0"/>
                <w:sz w:val="18"/>
              </w:rPr>
              <w:t>Local Government Act 1995</w:t>
            </w:r>
            <w:r>
              <w:rPr>
                <w:snapToGrid w:val="0"/>
                <w:sz w:val="18"/>
                <w:vertAlign w:val="superscript"/>
              </w:rPr>
              <w:t>7</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rPr>
                <w:b/>
                <w:snapToGrid w:val="0"/>
                <w:sz w:val="18"/>
                <w:vertAlign w:val="superscript"/>
              </w:rPr>
            </w:pPr>
            <w:r>
              <w:rPr>
                <w:b/>
                <w:snapToGrid w:val="0"/>
                <w:sz w:val="18"/>
              </w:rPr>
              <w:lastRenderedPageBreak/>
              <w:t>Details of ownership or occupation</w:t>
            </w:r>
            <w:r>
              <w:rPr>
                <w:snapToGrid w:val="0"/>
                <w:sz w:val="18"/>
                <w:vertAlign w:val="superscript"/>
              </w:rPr>
              <w:t>3</w:t>
            </w:r>
          </w:p>
          <w:p>
            <w:pPr>
              <w:pStyle w:val="yTable"/>
              <w:keepNext/>
              <w:keepLines/>
              <w:rPr>
                <w:snapToGrid w:val="0"/>
                <w:sz w:val="14"/>
              </w:rPr>
            </w:pPr>
            <w:r>
              <w:rPr>
                <w:snapToGrid w:val="0"/>
                <w:sz w:val="14"/>
              </w:rPr>
              <w:t>[Tick one box]</w:t>
            </w:r>
          </w:p>
          <w:p>
            <w:pPr>
              <w:pStyle w:val="yTable"/>
              <w:keepNext/>
              <w:keepLines/>
              <w:rPr>
                <w:snapToGrid w:val="0"/>
                <w:sz w:val="14"/>
              </w:rPr>
            </w:pPr>
          </w:p>
          <w:p>
            <w:pPr>
              <w:pStyle w:val="yTable"/>
              <w:keepNext/>
              <w:keepLines/>
              <w:tabs>
                <w:tab w:val="left" w:pos="196"/>
              </w:tabs>
              <w:spacing w:before="0"/>
              <w:ind w:left="238" w:hanging="238"/>
              <w:rPr>
                <w:snapToGrid w:val="0"/>
                <w:sz w:val="14"/>
              </w:rPr>
            </w:pPr>
            <w:r>
              <w:rPr>
                <w:snapToGrid w:val="0"/>
                <w:sz w:val="14"/>
              </w:rPr>
              <w:t xml:space="preserve">[* </w:t>
            </w:r>
            <w:r>
              <w:rPr>
                <w:snapToGrid w:val="0"/>
                <w:sz w:val="14"/>
              </w:rPr>
              <w:tab/>
              <w:t>Delete whichever does not apply]</w:t>
            </w: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spacing w:before="120"/>
              <w:rPr>
                <w:b/>
                <w:snapToGrid w:val="0"/>
                <w:sz w:val="18"/>
              </w:rPr>
            </w:pPr>
            <w:r>
              <w:rPr>
                <w:b/>
                <w:snapToGrid w:val="0"/>
                <w:sz w:val="18"/>
              </w:rPr>
              <w:t>For occupiers only</w:t>
            </w:r>
          </w:p>
          <w:p>
            <w:pPr>
              <w:pStyle w:val="yTable"/>
              <w:keepNext/>
              <w:keepLines/>
              <w:spacing w:before="0"/>
              <w:rPr>
                <w:snapToGrid w:val="0"/>
                <w:sz w:val="14"/>
              </w:rPr>
            </w:pPr>
            <w:r>
              <w:rPr>
                <w:snapToGrid w:val="0"/>
                <w:sz w:val="14"/>
              </w:rPr>
              <w:t>[Tick one box]</w:t>
            </w:r>
          </w:p>
        </w:tc>
        <w:tc>
          <w:tcPr>
            <w:tcW w:w="5928" w:type="dxa"/>
          </w:tcPr>
          <w:p>
            <w:pPr>
              <w:pStyle w:val="yTable"/>
              <w:keepNext/>
              <w:keepLines/>
              <w:rPr>
                <w:snapToGrid w:val="0"/>
                <w:sz w:val="18"/>
              </w:rPr>
            </w:pPr>
            <w:r>
              <w:rPr>
                <w:snapToGrid w:val="0"/>
                <w:sz w:val="18"/>
              </w:rPr>
              <w:t>In relation to the rateable property described above I am:</w:t>
            </w:r>
          </w:p>
          <w:p>
            <w:pPr>
              <w:pStyle w:val="yTable"/>
              <w:keepNext/>
              <w:keepLines/>
              <w:tabs>
                <w:tab w:val="left" w:pos="601"/>
              </w:tabs>
              <w:rPr>
                <w:snapToGrid w:val="0"/>
                <w:sz w:val="18"/>
              </w:rPr>
            </w:pPr>
            <w:r>
              <w:rPr>
                <w:snapToGrid w:val="0"/>
                <w:sz w:val="18"/>
              </w:rPr>
              <w:sym w:font="Wingdings" w:char="F072"/>
            </w:r>
            <w:r>
              <w:rPr>
                <w:snapToGrid w:val="0"/>
                <w:sz w:val="18"/>
              </w:rPr>
              <w:tab/>
              <w:t>the sole owner/occupier*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rPr>
                <w:snapToGrid w:val="0"/>
                <w:sz w:val="18"/>
              </w:rPr>
            </w:pPr>
            <w:r>
              <w:rPr>
                <w:snapToGrid w:val="0"/>
                <w:sz w:val="18"/>
              </w:rPr>
              <w:sym w:font="Wingdings" w:char="F072"/>
            </w:r>
            <w:r>
              <w:rPr>
                <w:snapToGrid w:val="0"/>
                <w:sz w:val="18"/>
              </w:rPr>
              <w:tab/>
              <w:t>one of 2 co</w:t>
            </w:r>
            <w:r>
              <w:rPr>
                <w:snapToGrid w:val="0"/>
                <w:sz w:val="18"/>
              </w:rPr>
              <w:noBreakHyphen/>
              <w:t>owners/occupiers* of that property</w:t>
            </w:r>
          </w:p>
          <w:p>
            <w:pPr>
              <w:pStyle w:val="yTable"/>
              <w:keepNext/>
              <w:keepLines/>
              <w:tabs>
                <w:tab w:val="left" w:pos="601"/>
              </w:tabs>
              <w:rPr>
                <w:snapToGrid w:val="0"/>
                <w:sz w:val="18"/>
              </w:rPr>
            </w:pPr>
            <w:r>
              <w:rPr>
                <w:snapToGrid w:val="0"/>
                <w:sz w:val="18"/>
              </w:rPr>
              <w:t>or</w:t>
            </w:r>
          </w:p>
          <w:p>
            <w:pPr>
              <w:pStyle w:val="yTable"/>
              <w:tabs>
                <w:tab w:val="left" w:pos="601"/>
              </w:tabs>
              <w:ind w:left="601" w:hanging="601"/>
              <w:rPr>
                <w:snapToGrid w:val="0"/>
                <w:sz w:val="18"/>
              </w:rPr>
            </w:pPr>
            <w:r>
              <w:rPr>
                <w:snapToGrid w:val="0"/>
                <w:sz w:val="18"/>
              </w:rPr>
              <w:sym w:font="Wingdings" w:char="F072"/>
            </w:r>
            <w:r>
              <w:rPr>
                <w:snapToGrid w:val="0"/>
                <w:sz w:val="18"/>
              </w:rPr>
              <w:tab/>
              <w:t>one of 3 or more co</w:t>
            </w:r>
            <w:r>
              <w:rPr>
                <w:snapToGrid w:val="0"/>
                <w:sz w:val="18"/>
              </w:rPr>
              <w:noBreakHyphen/>
              <w:t>owners/occupiers* of that property and I have been nominated</w:t>
            </w:r>
            <w:r>
              <w:rPr>
                <w:snapToGrid w:val="0"/>
                <w:sz w:val="18"/>
                <w:vertAlign w:val="superscript"/>
              </w:rPr>
              <w:t>8</w:t>
            </w:r>
            <w:r>
              <w:rPr>
                <w:snapToGrid w:val="0"/>
                <w:sz w:val="18"/>
              </w:rPr>
              <w:t xml:space="preserve"> by all or a majority of those owners/occupiers* for the purposes of being an elector</w:t>
            </w:r>
          </w:p>
          <w:p>
            <w:pPr>
              <w:pStyle w:val="yTable"/>
              <w:keepNext/>
              <w:keepLines/>
              <w:tabs>
                <w:tab w:val="left" w:pos="601"/>
              </w:tabs>
              <w:ind w:left="601" w:hanging="601"/>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the nominee</w:t>
            </w:r>
            <w:r>
              <w:rPr>
                <w:snapToGrid w:val="0"/>
                <w:sz w:val="18"/>
                <w:vertAlign w:val="superscript"/>
              </w:rPr>
              <w:t>8</w:t>
            </w:r>
            <w:r>
              <w:rPr>
                <w:snapToGrid w:val="0"/>
                <w:sz w:val="18"/>
              </w:rPr>
              <w:t xml:space="preserve"> of a body corporate that owns/occupies* that property</w:t>
            </w:r>
          </w:p>
          <w:p>
            <w:pPr>
              <w:pStyle w:val="yTable"/>
              <w:keepNext/>
              <w:keepLines/>
              <w:rPr>
                <w:snapToGrid w:val="0"/>
                <w:sz w:val="18"/>
              </w:rPr>
            </w:pPr>
            <w:r>
              <w:rPr>
                <w:snapToGrid w:val="0"/>
                <w:sz w:val="18"/>
              </w:rPr>
              <w:t xml:space="preserve">I (or the body corporate that nominated me): </w:t>
            </w:r>
            <w:r>
              <w:rPr>
                <w:snapToGrid w:val="0"/>
                <w:sz w:val="18"/>
              </w:rPr>
              <w:sym w:font="Wingdings" w:char="F072"/>
            </w:r>
            <w:r>
              <w:rPr>
                <w:snapToGrid w:val="0"/>
                <w:sz w:val="18"/>
              </w:rPr>
              <w:t xml:space="preserve">     do or </w:t>
            </w:r>
            <w:r>
              <w:rPr>
                <w:snapToGrid w:val="0"/>
                <w:sz w:val="18"/>
              </w:rPr>
              <w:sym w:font="Wingdings" w:char="F072"/>
            </w:r>
            <w:r>
              <w:rPr>
                <w:snapToGrid w:val="0"/>
                <w:sz w:val="18"/>
              </w:rPr>
              <w:t xml:space="preserve">     do not have a right, under a lease, tenancy agreement or other legal instrument, to be in a continuous occupation of the property for at least the next 3 months.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Claim and Declaration</w:t>
            </w:r>
          </w:p>
          <w:p>
            <w:pPr>
              <w:pStyle w:val="yTable"/>
              <w:spacing w:before="0"/>
              <w:rPr>
                <w:snapToGrid w:val="0"/>
                <w:sz w:val="16"/>
              </w:rPr>
            </w:pPr>
            <w:r>
              <w:rPr>
                <w:snapToGrid w:val="0"/>
                <w:sz w:val="16"/>
              </w:rPr>
              <w:t>[</w:t>
            </w: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claim eligibility to have my name included on any owners and occupiers roll prepared for an election in the electorate. I declare that 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trPr>
        <w:tc>
          <w:tcPr>
            <w:tcW w:w="7312" w:type="dxa"/>
            <w:gridSpan w:val="2"/>
          </w:tcPr>
          <w:p>
            <w:pPr>
              <w:pStyle w:val="yTable"/>
              <w:spacing w:before="0"/>
              <w:rPr>
                <w:i/>
                <w:snapToGrid w:val="0"/>
                <w:sz w:val="20"/>
              </w:rPr>
            </w:pPr>
            <w:r>
              <w:rPr>
                <w:i/>
                <w:snapToGrid w:val="0"/>
                <w:sz w:val="20"/>
              </w:rPr>
              <w:t>Local Government Act 1995, s. 4.31(2)</w:t>
            </w:r>
          </w:p>
          <w:p>
            <w:pPr>
              <w:pStyle w:val="yTable"/>
              <w:spacing w:before="0"/>
              <w:rPr>
                <w:b/>
                <w:snapToGrid w:val="0"/>
                <w:sz w:val="28"/>
              </w:rPr>
            </w:pPr>
            <w:r>
              <w:rPr>
                <w:b/>
                <w:snapToGrid w:val="0"/>
                <w:sz w:val="28"/>
              </w:rPr>
              <w:t>NOTICE OF NOMINATION OF CO</w:t>
            </w:r>
            <w:r>
              <w:rPr>
                <w:b/>
                <w:snapToGrid w:val="0"/>
                <w:sz w:val="28"/>
              </w:rPr>
              <w:noBreakHyphen/>
              <w:t>OWNERS OR CO</w:t>
            </w:r>
            <w:r>
              <w:rPr>
                <w:b/>
                <w:snapToGrid w:val="0"/>
                <w:sz w:val="28"/>
              </w:rPr>
              <w:noBreakHyphen/>
              <w:t>OCCUPIERS</w:t>
            </w: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rPr>
            </w:pPr>
          </w:p>
        </w:tc>
      </w:tr>
      <w:tr>
        <w:tc>
          <w:tcPr>
            <w:tcW w:w="3656" w:type="dxa"/>
          </w:tcPr>
          <w:p>
            <w:pPr>
              <w:pStyle w:val="yTable"/>
              <w:spacing w:before="0"/>
              <w:rPr>
                <w:snapToGrid w:val="0"/>
              </w:rPr>
            </w:pPr>
            <w:r>
              <w:rPr>
                <w:snapToGrid w:val="0"/>
              </w:rPr>
              <w:t>Signature:</w:t>
            </w:r>
          </w:p>
        </w:tc>
        <w:tc>
          <w:tcPr>
            <w:tcW w:w="3656" w:type="dxa"/>
          </w:tcPr>
          <w:p>
            <w:pPr>
              <w:pStyle w:val="yTable"/>
              <w:spacing w:before="0"/>
              <w:rPr>
                <w:snapToGrid w:val="0"/>
              </w:rPr>
            </w:pPr>
            <w:r>
              <w:rPr>
                <w:snapToGrid w:val="0"/>
              </w:rPr>
              <w:t>Date:</w:t>
            </w:r>
          </w:p>
        </w:tc>
      </w:tr>
      <w:tr>
        <w:trPr>
          <w:cantSplit/>
        </w:trPr>
        <w:tc>
          <w:tcPr>
            <w:tcW w:w="7312" w:type="dxa"/>
            <w:gridSpan w:val="2"/>
          </w:tcPr>
          <w:p>
            <w:pPr>
              <w:pStyle w:val="yTable"/>
              <w:spacing w:before="0"/>
              <w:rPr>
                <w:snapToGrid w:val="0"/>
                <w:sz w:val="14"/>
              </w:rPr>
            </w:pPr>
          </w:p>
          <w:p>
            <w:pPr>
              <w:pStyle w:val="yTable"/>
              <w:spacing w:before="0"/>
              <w:rPr>
                <w:snapToGrid w:val="0"/>
              </w:rPr>
            </w:pPr>
            <w:r>
              <w:rPr>
                <w:snapToGrid w:val="0"/>
                <w:sz w:val="14"/>
              </w:rPr>
              <w:t xml:space="preserve">Note </w:t>
            </w:r>
            <w:r>
              <w:rPr>
                <w:sz w:val="16"/>
              </w:rPr>
              <w:t xml:space="preserve">: if under regulation 11(1a) of the </w:t>
            </w:r>
            <w:r>
              <w:rPr>
                <w:i/>
                <w:sz w:val="16"/>
              </w:rPr>
              <w:t>Local Government (Elections) Regulations 1997</w:t>
            </w:r>
            <w:r>
              <w:rPr>
                <w:sz w:val="16"/>
              </w:rPr>
              <w:t xml:space="preserve"> the CEO requires the written notice of a nomination under section </w:t>
            </w:r>
            <w:r>
              <w:rPr>
                <w:sz w:val="16"/>
                <w:szCs w:val="16"/>
              </w:rPr>
              <w:t xml:space="preserve">4.31(1E), (1F) or (1G) </w:t>
            </w:r>
            <w:r>
              <w:rPr>
                <w:sz w:val="16"/>
              </w:rPr>
              <w:t>of the Act to be incorporated into Form 2, the notice is to be inserted at this part of Form 2 in such form as the CEO requires and signed in accordance with regulation 11(2) of those regulations.</w:t>
            </w:r>
          </w:p>
        </w:tc>
      </w:tr>
    </w:tbl>
    <w:p>
      <w:pPr>
        <w:pStyle w:val="yTable"/>
        <w:spacing w:before="0"/>
        <w:rPr>
          <w:snapToGrid w:val="0"/>
        </w:rPr>
      </w:pPr>
    </w:p>
    <w:p>
      <w:pPr>
        <w:pStyle w:val="yTable"/>
        <w:pageBreakBefore/>
        <w:spacing w:before="0" w:after="60"/>
        <w:rPr>
          <w:b/>
          <w:snapToGrid w:val="0"/>
        </w:rPr>
      </w:pPr>
      <w:r>
        <w:rPr>
          <w:b/>
          <w:snapToGrid w:val="0"/>
        </w:rPr>
        <w:lastRenderedPageBreak/>
        <w:t>Back of Form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When to use this form</w:t>
            </w:r>
          </w:p>
        </w:tc>
        <w:tc>
          <w:tcPr>
            <w:tcW w:w="5786" w:type="dxa"/>
          </w:tcPr>
          <w:p>
            <w:pPr>
              <w:pStyle w:val="yTable"/>
              <w:spacing w:before="0"/>
              <w:rPr>
                <w:snapToGrid w:val="0"/>
                <w:sz w:val="18"/>
              </w:rPr>
            </w:pPr>
            <w:r>
              <w:rPr>
                <w:snapToGrid w:val="0"/>
                <w:sz w:val="18"/>
              </w:rPr>
              <w:t>You may make a claim for eligibility using this form at any time. However if you want to be on the roll for a particular election you must give your claim form to the local government more than 50 days before the election 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ind w:left="284" w:hanging="284"/>
              <w:rPr>
                <w:b/>
                <w:snapToGrid w:val="0"/>
                <w:sz w:val="18"/>
              </w:rPr>
            </w:pPr>
            <w:r>
              <w:rPr>
                <w:b/>
                <w:snapToGrid w:val="0"/>
                <w:sz w:val="18"/>
              </w:rPr>
              <w:t>2</w:t>
            </w:r>
            <w:r>
              <w:rPr>
                <w:b/>
                <w:snapToGrid w:val="0"/>
                <w:sz w:val="18"/>
              </w:rPr>
              <w:tab/>
              <w:t>Who should use this form</w:t>
            </w:r>
          </w:p>
        </w:tc>
        <w:tc>
          <w:tcPr>
            <w:tcW w:w="5786" w:type="dxa"/>
          </w:tcPr>
          <w:p>
            <w:pPr>
              <w:pStyle w:val="yTable"/>
              <w:rPr>
                <w:sz w:val="18"/>
              </w:rPr>
            </w:pPr>
            <w:r>
              <w:rPr>
                <w:sz w:val="18"/>
              </w:rPr>
              <w:t>You should fill in this form if you:</w:t>
            </w:r>
          </w:p>
          <w:p>
            <w:pPr>
              <w:pStyle w:val="yTable"/>
              <w:tabs>
                <w:tab w:val="left" w:pos="459"/>
              </w:tabs>
              <w:ind w:left="459" w:hanging="459"/>
              <w:rPr>
                <w:sz w:val="18"/>
              </w:rPr>
            </w:pPr>
            <w:r>
              <w:rPr>
                <w:sz w:val="18"/>
              </w:rPr>
              <w:sym w:font="Symbol" w:char="F0B7"/>
            </w:r>
            <w:r>
              <w:rPr>
                <w:sz w:val="18"/>
              </w:rPr>
              <w:tab/>
              <w:t>own or occupy</w:t>
            </w:r>
            <w:r>
              <w:rPr>
                <w:sz w:val="18"/>
                <w:vertAlign w:val="superscript"/>
              </w:rPr>
              <w:t>3</w:t>
            </w:r>
            <w:r>
              <w:rPr>
                <w:sz w:val="18"/>
              </w:rPr>
              <w:t xml:space="preserve"> rateable property in a district or ward but are not on the residents roll in that district or ward; or</w:t>
            </w:r>
          </w:p>
          <w:p>
            <w:pPr>
              <w:pStyle w:val="yTable"/>
              <w:tabs>
                <w:tab w:val="left" w:pos="459"/>
              </w:tabs>
              <w:spacing w:before="0"/>
              <w:ind w:left="459" w:hanging="459"/>
              <w:rPr>
                <w:sz w:val="18"/>
              </w:rPr>
            </w:pPr>
            <w:r>
              <w:rPr>
                <w:sz w:val="18"/>
              </w:rPr>
              <w:sym w:font="Symbol" w:char="F0B7"/>
            </w:r>
            <w:r>
              <w:rPr>
                <w:sz w:val="18"/>
              </w:rPr>
              <w:tab/>
              <w:t xml:space="preserve">qualify under clause 12 of Schedule 9.3 to the </w:t>
            </w:r>
            <w:r>
              <w:rPr>
                <w:i/>
                <w:sz w:val="18"/>
              </w:rPr>
              <w:t>Local Government Act 1995</w:t>
            </w:r>
            <w:r>
              <w:rPr>
                <w:sz w:val="18"/>
                <w:vertAlign w:val="superscript"/>
              </w:rPr>
              <w:t>7</w:t>
            </w:r>
            <w:r>
              <w:rPr>
                <w:sz w:val="18"/>
              </w:rPr>
              <w:t>,</w:t>
            </w:r>
          </w:p>
          <w:p>
            <w:pPr>
              <w:pStyle w:val="yTable"/>
              <w:spacing w:before="0"/>
              <w:rPr>
                <w:sz w:val="20"/>
              </w:rPr>
            </w:pPr>
            <w:r>
              <w:rPr>
                <w:sz w:val="18"/>
              </w:rPr>
              <w:t>and want to be able to vote at local government elections for that district</w:t>
            </w:r>
            <w:r>
              <w:rPr>
                <w:sz w:val="20"/>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Who is an occupier</w:t>
            </w:r>
          </w:p>
        </w:tc>
        <w:tc>
          <w:tcPr>
            <w:tcW w:w="5786" w:type="dxa"/>
          </w:tcPr>
          <w:p>
            <w:pPr>
              <w:pStyle w:val="yTable"/>
              <w:spacing w:before="0"/>
              <w:rPr>
                <w:snapToGrid w:val="0"/>
                <w:sz w:val="18"/>
              </w:rPr>
            </w:pPr>
            <w:r>
              <w:rPr>
                <w:snapToGrid w:val="0"/>
                <w:sz w:val="18"/>
              </w:rPr>
              <w:t>To qualify as an occupier you must have a right, under a lease, tenancy agreement or other legal instrument, to be in continuous occupation of the property for at least the next 3 months.</w:t>
            </w:r>
          </w:p>
          <w:p>
            <w:pPr>
              <w:pStyle w:val="yTable"/>
              <w:spacing w:before="0"/>
              <w:rPr>
                <w:snapToGrid w:val="0"/>
                <w:sz w:val="18"/>
              </w:rPr>
            </w:pPr>
            <w:r>
              <w:rPr>
                <w:snapToGrid w:val="0"/>
                <w:sz w:val="18"/>
              </w:rPr>
              <w:t>When the Chief Executive Officer of the local government is considering your claim, he or she may ask you for a copy of your lease or tenancy agreement to support your claim. You do not need to provide a copy unless asked.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Silent address</w:t>
            </w:r>
          </w:p>
        </w:tc>
        <w:tc>
          <w:tcPr>
            <w:tcW w:w="5786" w:type="dxa"/>
          </w:tcPr>
          <w:p>
            <w:pPr>
              <w:pStyle w:val="yTable"/>
              <w:spacing w:before="0"/>
              <w:rPr>
                <w:snapToGrid w:val="0"/>
                <w:sz w:val="18"/>
              </w:rPr>
            </w:pPr>
            <w:r>
              <w:rPr>
                <w:snapToGrid w:val="0"/>
                <w:sz w:val="18"/>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5</w:t>
            </w:r>
            <w:r>
              <w:rPr>
                <w:b/>
                <w:snapToGrid w:val="0"/>
                <w:sz w:val="18"/>
              </w:rPr>
              <w:tab/>
              <w:t>Rateable property</w:t>
            </w:r>
          </w:p>
        </w:tc>
        <w:tc>
          <w:tcPr>
            <w:tcW w:w="5786" w:type="dxa"/>
          </w:tcPr>
          <w:p>
            <w:pPr>
              <w:pStyle w:val="yTable"/>
              <w:spacing w:before="0"/>
              <w:rPr>
                <w:snapToGrid w:val="0"/>
                <w:sz w:val="18"/>
              </w:rPr>
            </w:pPr>
            <w:r>
              <w:rPr>
                <w:snapToGrid w:val="0"/>
                <w:sz w:val="18"/>
              </w:rPr>
              <w:t>If you own or occupy more than one property in the electorate, give details of them all.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6</w:t>
            </w:r>
            <w:r>
              <w:rPr>
                <w:b/>
                <w:snapToGrid w:val="0"/>
                <w:sz w:val="18"/>
              </w:rPr>
              <w:tab/>
              <w:t>Which ward</w:t>
            </w:r>
          </w:p>
        </w:tc>
        <w:tc>
          <w:tcPr>
            <w:tcW w:w="5786" w:type="dxa"/>
          </w:tcPr>
          <w:p>
            <w:pPr>
              <w:pStyle w:val="yTable"/>
              <w:spacing w:before="0"/>
              <w:rPr>
                <w:snapToGrid w:val="0"/>
                <w:sz w:val="18"/>
              </w:rPr>
            </w:pPr>
            <w:r>
              <w:rPr>
                <w:snapToGrid w:val="0"/>
                <w:sz w:val="18"/>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pPr>
              <w:pStyle w:val="yTable"/>
              <w:spacing w:before="0"/>
              <w:rPr>
                <w:snapToGrid w:val="0"/>
                <w:sz w:val="18"/>
              </w:rPr>
            </w:pPr>
            <w:r>
              <w:rPr>
                <w:snapToGrid w:val="0"/>
                <w:sz w:val="18"/>
              </w:rPr>
              <w:t>In this form the ward, or if no ward is applicable the district, is referred to as “the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7</w:t>
            </w:r>
            <w:r>
              <w:rPr>
                <w:b/>
                <w:snapToGrid w:val="0"/>
                <w:sz w:val="18"/>
              </w:rPr>
              <w:tab/>
              <w:t>Qualification under clause 12</w:t>
            </w:r>
          </w:p>
        </w:tc>
        <w:tc>
          <w:tcPr>
            <w:tcW w:w="5786" w:type="dxa"/>
          </w:tcPr>
          <w:p>
            <w:pPr>
              <w:pStyle w:val="yTable"/>
              <w:spacing w:before="0"/>
              <w:rPr>
                <w:snapToGrid w:val="0"/>
                <w:sz w:val="18"/>
              </w:rPr>
            </w:pPr>
            <w:r>
              <w:rPr>
                <w:snapToGrid w:val="0"/>
                <w:sz w:val="18"/>
              </w:rPr>
              <w:t xml:space="preserve">To qualify under clause 12 of Schedule 9.3 to the </w:t>
            </w:r>
            <w:r>
              <w:rPr>
                <w:i/>
                <w:snapToGrid w:val="0"/>
                <w:sz w:val="18"/>
              </w:rPr>
              <w:t>Local Government Act 1995</w:t>
            </w:r>
            <w:r>
              <w:rPr>
                <w:snapToGrid w:val="0"/>
                <w:sz w:val="18"/>
              </w:rPr>
              <w:t xml:space="preserve"> you must:</w:t>
            </w:r>
          </w:p>
          <w:p>
            <w:pPr>
              <w:pStyle w:val="yTable"/>
              <w:tabs>
                <w:tab w:val="left" w:pos="459"/>
              </w:tabs>
              <w:spacing w:before="0"/>
              <w:ind w:left="459" w:hanging="459"/>
              <w:rPr>
                <w:sz w:val="18"/>
              </w:rPr>
            </w:pPr>
            <w:r>
              <w:rPr>
                <w:sz w:val="18"/>
              </w:rPr>
              <w:sym w:font="Symbol" w:char="F0B7"/>
            </w:r>
            <w:r>
              <w:rPr>
                <w:sz w:val="18"/>
              </w:rPr>
              <w:tab/>
              <w:t>own or occupy rateable property in the electorate; and</w:t>
            </w:r>
          </w:p>
          <w:p>
            <w:pPr>
              <w:pStyle w:val="yTable"/>
              <w:tabs>
                <w:tab w:val="left" w:pos="459"/>
              </w:tabs>
              <w:spacing w:before="0"/>
              <w:ind w:left="459" w:hanging="459"/>
              <w:rPr>
                <w:sz w:val="18"/>
              </w:rPr>
            </w:pPr>
            <w:r>
              <w:rPr>
                <w:sz w:val="18"/>
              </w:rPr>
              <w:sym w:font="Symbol" w:char="F0B7"/>
            </w:r>
            <w:r>
              <w:rPr>
                <w:sz w:val="18"/>
              </w:rPr>
              <w:tab/>
              <w:t xml:space="preserve">have been on the last electoral roll prepared under the </w:t>
            </w:r>
            <w:r>
              <w:rPr>
                <w:i/>
                <w:sz w:val="18"/>
              </w:rPr>
              <w:t>Local Government Act 1960</w:t>
            </w:r>
            <w:r>
              <w:rPr>
                <w:sz w:val="18"/>
              </w:rPr>
              <w:t xml:space="preserve"> for that electorate; and</w:t>
            </w:r>
          </w:p>
          <w:p>
            <w:pPr>
              <w:pStyle w:val="yTable"/>
              <w:tabs>
                <w:tab w:val="left" w:pos="459"/>
              </w:tabs>
              <w:spacing w:before="0"/>
              <w:ind w:left="459" w:hanging="459"/>
              <w:rPr>
                <w:snapToGrid w:val="0"/>
                <w:sz w:val="18"/>
              </w:rPr>
            </w:pPr>
            <w:r>
              <w:rPr>
                <w:sz w:val="18"/>
              </w:rPr>
              <w:sym w:font="Symbol" w:char="F0B7"/>
            </w:r>
            <w:r>
              <w:rPr>
                <w:sz w:val="18"/>
              </w:rPr>
              <w:tab/>
              <w:t>have owned or occupied rateable property in the electorate continuously since that roll was prepared.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keepNext/>
              <w:keepLines/>
              <w:tabs>
                <w:tab w:val="left" w:pos="284"/>
              </w:tabs>
              <w:spacing w:before="0"/>
              <w:ind w:left="284" w:hanging="284"/>
              <w:rPr>
                <w:b/>
                <w:snapToGrid w:val="0"/>
                <w:sz w:val="18"/>
              </w:rPr>
            </w:pPr>
            <w:r>
              <w:rPr>
                <w:b/>
                <w:snapToGrid w:val="0"/>
                <w:sz w:val="18"/>
              </w:rPr>
              <w:lastRenderedPageBreak/>
              <w:t>8</w:t>
            </w:r>
            <w:r>
              <w:rPr>
                <w:b/>
                <w:snapToGrid w:val="0"/>
                <w:sz w:val="18"/>
              </w:rPr>
              <w:tab/>
              <w:t>Nominations</w:t>
            </w:r>
          </w:p>
        </w:tc>
        <w:tc>
          <w:tcPr>
            <w:tcW w:w="5786" w:type="dxa"/>
          </w:tcPr>
          <w:p>
            <w:pPr>
              <w:pStyle w:val="yTable"/>
              <w:keepNext/>
              <w:keepLines/>
              <w:spacing w:before="0"/>
              <w:rPr>
                <w:snapToGrid w:val="0"/>
                <w:sz w:val="18"/>
              </w:rPr>
            </w:pPr>
            <w:r>
              <w:rPr>
                <w:snapToGrid w:val="0"/>
                <w:sz w:val="18"/>
              </w:rPr>
              <w:t xml:space="preserve">A nomination must be made in writing and be signed by all or a majority of the owners or occupiers of the property (or if the owner or occupier is a body corporate, be signed by an officer of the body corporate) in accordance with the </w:t>
            </w:r>
            <w:r>
              <w:rPr>
                <w:i/>
                <w:snapToGrid w:val="0"/>
                <w:sz w:val="18"/>
              </w:rPr>
              <w:t>Local Government (Elections) Regulations 1997</w:t>
            </w:r>
            <w:r>
              <w:rPr>
                <w:snapToGrid w:val="0"/>
                <w:sz w:val="18"/>
              </w:rPr>
              <w:t>.</w:t>
            </w:r>
          </w:p>
          <w:p>
            <w:pPr>
              <w:pStyle w:val="yTable"/>
              <w:keepNext/>
              <w:keepLines/>
              <w:spacing w:before="0"/>
              <w:rPr>
                <w:snapToGrid w:val="0"/>
                <w:sz w:val="18"/>
              </w:rPr>
            </w:pPr>
            <w:r>
              <w:rPr>
                <w:snapToGrid w:val="0"/>
                <w:sz w:val="18"/>
              </w:rPr>
              <w:t>If you are a nominee you must give the nomination to the local government with this form unless the CEO requires the written notice of the nomination to be incorporated into this form.</w:t>
            </w:r>
          </w:p>
          <w:p>
            <w:pPr>
              <w:pStyle w:val="yTable"/>
              <w:keepNext/>
              <w:keepLines/>
              <w:spacing w:before="0"/>
              <w:rPr>
                <w:snapToGrid w:val="0"/>
                <w:sz w:val="18"/>
              </w:rPr>
            </w:pPr>
            <w:r>
              <w:rPr>
                <w:snapToGrid w:val="0"/>
                <w:sz w:val="18"/>
              </w:rPr>
              <w:t>If a body corporate or group of people owns or occupies more than one property in a district, a nomination applies to all of those properties.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Duration of enrolment of occupiers</w:t>
            </w:r>
          </w:p>
        </w:tc>
        <w:tc>
          <w:tcPr>
            <w:tcW w:w="5786" w:type="dxa"/>
          </w:tcPr>
          <w:p>
            <w:pPr>
              <w:pStyle w:val="yTable"/>
              <w:spacing w:before="0"/>
              <w:rPr>
                <w:snapToGrid w:val="0"/>
                <w:sz w:val="18"/>
              </w:rPr>
            </w:pPr>
            <w:r>
              <w:rPr>
                <w:snapToGrid w:val="0"/>
                <w:sz w:val="18"/>
              </w:rPr>
              <w:t xml:space="preserve">If you are an occupier and your enrolment eligibility claim is accepted it will </w:t>
            </w:r>
            <w:r>
              <w:rPr>
                <w:sz w:val="18"/>
              </w:rPr>
              <w:t xml:space="preserve">expire in accordance with section 4.33 of the </w:t>
            </w:r>
            <w:r>
              <w:rPr>
                <w:i/>
                <w:iCs/>
                <w:sz w:val="18"/>
              </w:rPr>
              <w:t xml:space="preserve">Local Government Act 1995 </w:t>
            </w:r>
            <w:r>
              <w:rPr>
                <w:sz w:val="18"/>
              </w:rPr>
              <w:t xml:space="preserve">(this will usually be 6 months after the holding of the second ordinary election after your claim was accepted). </w:t>
            </w:r>
            <w:r>
              <w:rPr>
                <w:snapToGrid w:val="0"/>
                <w:sz w:val="18"/>
              </w:rPr>
              <w:t>If you wish to continue to qualify as an elector after that, you will need to make another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Confidentiality</w:t>
            </w:r>
          </w:p>
        </w:tc>
        <w:tc>
          <w:tcPr>
            <w:tcW w:w="5786" w:type="dxa"/>
          </w:tcPr>
          <w:p>
            <w:pPr>
              <w:pStyle w:val="yTable"/>
              <w:spacing w:before="0"/>
              <w:rPr>
                <w:snapToGrid w:val="0"/>
                <w:sz w:val="18"/>
              </w:rPr>
            </w:pPr>
            <w:r>
              <w:rPr>
                <w:snapToGrid w:val="0"/>
                <w:sz w:val="18"/>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Where to send your form</w:t>
            </w:r>
          </w:p>
        </w:tc>
        <w:tc>
          <w:tcPr>
            <w:tcW w:w="5786" w:type="dxa"/>
          </w:tcPr>
          <w:p>
            <w:pPr>
              <w:pStyle w:val="yTable"/>
              <w:spacing w:before="0"/>
              <w:rPr>
                <w:snapToGrid w:val="0"/>
                <w:sz w:val="18"/>
              </w:rPr>
            </w:pPr>
            <w:r>
              <w:rPr>
                <w:snapToGrid w:val="0"/>
                <w:sz w:val="18"/>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pPr>
        <w:pStyle w:val="yFootnotesection"/>
      </w:pPr>
      <w:r>
        <w:tab/>
        <w:t>[Form 2 amended: Gazette 25 Jan 2001 p. 588</w:t>
      </w:r>
      <w:r>
        <w:noBreakHyphen/>
        <w:t>9; 21 Jan 2005 p. 268; 18 Mar 2005 p. 976; 21 Dec 2012 p. 6643.]</w:t>
      </w:r>
    </w:p>
    <w:p>
      <w:pPr>
        <w:pStyle w:val="yTable"/>
        <w:pageBreakBefore/>
        <w:tabs>
          <w:tab w:val="left" w:pos="1134"/>
        </w:tabs>
        <w:spacing w:after="80"/>
        <w:outlineLvl w:val="2"/>
        <w:rPr>
          <w:b/>
          <w:snapToGrid w:val="0"/>
        </w:rPr>
      </w:pPr>
      <w:r>
        <w:rPr>
          <w:rStyle w:val="CharSClsNo"/>
          <w:b/>
        </w:rPr>
        <w:lastRenderedPageBreak/>
        <w:t>Form 3</w:t>
      </w:r>
      <w:r>
        <w:rPr>
          <w:b/>
          <w:snapToGrid w:val="0"/>
        </w:rPr>
        <w:t>.</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Gazette 18 Mar 2005 p. 976.]</w:t>
      </w:r>
    </w:p>
    <w:p>
      <w:pPr>
        <w:pStyle w:val="yTable"/>
        <w:pageBreakBefore/>
        <w:tabs>
          <w:tab w:val="left" w:pos="1134"/>
        </w:tabs>
        <w:spacing w:before="0" w:after="80"/>
        <w:outlineLvl w:val="2"/>
        <w:rPr>
          <w:b/>
          <w:snapToGrid w:val="0"/>
        </w:rPr>
      </w:pPr>
      <w:r>
        <w:rPr>
          <w:rStyle w:val="CharSClsNo"/>
          <w:b/>
        </w:rPr>
        <w:lastRenderedPageBreak/>
        <w:t>Form 4</w:t>
      </w:r>
      <w:r>
        <w:rPr>
          <w:b/>
          <w:snapToGrid w:val="0"/>
        </w:rPr>
        <w:t>.</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before="0" w:after="80"/>
        <w:ind w:left="1134" w:hanging="1134"/>
        <w:outlineLvl w:val="2"/>
        <w:rPr>
          <w:b/>
          <w:snapToGrid w:val="0"/>
        </w:rPr>
      </w:pPr>
      <w:r>
        <w:rPr>
          <w:rStyle w:val="CharSClsNo"/>
          <w:b/>
        </w:rPr>
        <w:lastRenderedPageBreak/>
        <w:t>Form 5</w:t>
      </w:r>
      <w:r>
        <w:rPr>
          <w:b/>
          <w:snapToGrid w:val="0"/>
        </w:rPr>
        <w:t>.</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lastRenderedPageBreak/>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Gazette 22 Dec 1998 p. 6873; 21 Jan 2005 p. 268.]</w:t>
      </w:r>
    </w:p>
    <w:p>
      <w:pPr>
        <w:pStyle w:val="yTable"/>
        <w:pageBreakBefore/>
        <w:tabs>
          <w:tab w:val="left" w:pos="1134"/>
        </w:tabs>
        <w:spacing w:before="0" w:after="80"/>
        <w:outlineLvl w:val="2"/>
        <w:rPr>
          <w:b/>
          <w:snapToGrid w:val="0"/>
        </w:rPr>
      </w:pPr>
      <w:r>
        <w:rPr>
          <w:rStyle w:val="CharSClsNo"/>
          <w:b/>
        </w:rPr>
        <w:lastRenderedPageBreak/>
        <w:t>Form 6</w:t>
      </w:r>
      <w:r>
        <w:rPr>
          <w:b/>
          <w:snapToGrid w:val="0"/>
        </w:rPr>
        <w:t>.</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rPr>
            </w:pPr>
            <w:r>
              <w:rPr>
                <w:sz w:val="18"/>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rPr>
            </w:pPr>
            <w:r>
              <w:rPr>
                <w:sz w:val="18"/>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before="0" w:after="80"/>
        <w:outlineLvl w:val="2"/>
        <w:rPr>
          <w:b/>
          <w:snapToGrid w:val="0"/>
        </w:rPr>
      </w:pPr>
      <w:r>
        <w:rPr>
          <w:rStyle w:val="CharSClsNo"/>
          <w:b/>
        </w:rPr>
        <w:lastRenderedPageBreak/>
        <w:t>Form 7</w:t>
      </w:r>
      <w:r>
        <w:rPr>
          <w:b/>
          <w:snapToGrid w:val="0"/>
        </w:rPr>
        <w:t>.</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lastRenderedPageBreak/>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Gazette 22 Dec 1998 p. 6874; 21 Jan 2005 p. 268.]</w:t>
      </w:r>
    </w:p>
    <w:p>
      <w:pPr>
        <w:pStyle w:val="yTable"/>
        <w:pageBreakBefore/>
        <w:tabs>
          <w:tab w:val="left" w:pos="1134"/>
        </w:tabs>
        <w:spacing w:before="0" w:after="80"/>
        <w:outlineLvl w:val="2"/>
        <w:rPr>
          <w:b/>
          <w:snapToGrid w:val="0"/>
        </w:rPr>
      </w:pPr>
      <w:r>
        <w:rPr>
          <w:rStyle w:val="CharSClsNo"/>
          <w:b/>
        </w:rPr>
        <w:lastRenderedPageBreak/>
        <w:t>Form 8</w:t>
      </w:r>
      <w:r>
        <w:rPr>
          <w:b/>
          <w:snapToGrid w:val="0"/>
        </w:rPr>
        <w:t>.</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napToGrid w:val="0"/>
                <w:sz w:val="18"/>
                <w:szCs w:val="18"/>
              </w:rPr>
            </w:pPr>
            <w:r>
              <w:rPr>
                <w:b/>
                <w:snapToGrid w:val="0"/>
                <w:sz w:val="18"/>
                <w:szCs w:val="18"/>
              </w:rPr>
              <w:t>Declaration</w:t>
            </w:r>
          </w:p>
          <w:p>
            <w:pPr>
              <w:pStyle w:val="yTableNAm"/>
              <w:rPr>
                <w:snapToGrid w:val="0"/>
                <w:sz w:val="14"/>
                <w:szCs w:val="14"/>
              </w:rPr>
            </w:pPr>
          </w:p>
          <w:p>
            <w:pPr>
              <w:pStyle w:val="yTableNAm"/>
              <w:rPr>
                <w:sz w:val="14"/>
                <w:szCs w:val="14"/>
              </w:rPr>
            </w:pPr>
            <w:r>
              <w:rPr>
                <w:sz w:val="14"/>
                <w:szCs w:val="14"/>
              </w:rPr>
              <w:t>[Making a false declaration is an offence]</w:t>
            </w:r>
          </w:p>
          <w:p>
            <w:pPr>
              <w:pStyle w:val="yTableNAm"/>
              <w:rPr>
                <w:sz w:val="14"/>
                <w:szCs w:val="14"/>
              </w:rPr>
            </w:pPr>
          </w:p>
          <w:p>
            <w:pPr>
              <w:pStyle w:val="yTableNAm"/>
              <w:rPr>
                <w:sz w:val="18"/>
                <w:szCs w:val="18"/>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w:t>
            </w:r>
          </w:p>
          <w:p>
            <w:pPr>
              <w:pStyle w:val="yTableNAm"/>
              <w:tabs>
                <w:tab w:val="clear" w:pos="567"/>
                <w:tab w:val="left" w:pos="317"/>
              </w:tabs>
              <w:spacing w:before="0"/>
              <w:rPr>
                <w:sz w:val="18"/>
                <w:szCs w:val="18"/>
              </w:rPr>
            </w:pPr>
            <w:r>
              <w:rPr>
                <w:sz w:val="18"/>
                <w:szCs w:val="18"/>
              </w:rPr>
              <w:sym w:font="Symbol" w:char="F0B7"/>
            </w:r>
            <w:r>
              <w:rPr>
                <w:sz w:val="18"/>
                <w:szCs w:val="18"/>
              </w:rPr>
              <w:tab/>
              <w:t>I am at least 18 years of age; and</w:t>
            </w:r>
          </w:p>
          <w:p>
            <w:pPr>
              <w:pStyle w:val="yTableNAm"/>
              <w:tabs>
                <w:tab w:val="clear" w:pos="567"/>
                <w:tab w:val="left" w:pos="317"/>
              </w:tabs>
              <w:spacing w:before="0"/>
              <w:rPr>
                <w:sz w:val="18"/>
                <w:szCs w:val="18"/>
              </w:rPr>
            </w:pPr>
            <w:r>
              <w:rPr>
                <w:sz w:val="18"/>
                <w:szCs w:val="18"/>
              </w:rPr>
              <w:sym w:font="Symbol" w:char="F0B7"/>
            </w:r>
            <w:r>
              <w:rPr>
                <w:sz w:val="18"/>
                <w:szCs w:val="18"/>
              </w:rPr>
              <w:tab/>
              <w:t>I am an elector of the district</w:t>
            </w:r>
            <w:r>
              <w:rPr>
                <w:sz w:val="18"/>
                <w:szCs w:val="18"/>
                <w:vertAlign w:val="superscript"/>
              </w:rPr>
              <w:t>2</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I am not disqualified from being a member of the council</w:t>
            </w:r>
            <w:r>
              <w:rPr>
                <w:sz w:val="18"/>
                <w:szCs w:val="18"/>
                <w:vertAlign w:val="superscript"/>
              </w:rPr>
              <w:t>3</w:t>
            </w:r>
            <w:r>
              <w:rPr>
                <w:sz w:val="18"/>
                <w:szCs w:val="18"/>
              </w:rPr>
              <w:t>; and</w:t>
            </w:r>
          </w:p>
          <w:p>
            <w:pPr>
              <w:pStyle w:val="yTableNAm"/>
              <w:tabs>
                <w:tab w:val="clear" w:pos="567"/>
                <w:tab w:val="left" w:pos="317"/>
              </w:tabs>
              <w:spacing w:before="0"/>
              <w:ind w:left="317" w:hanging="317"/>
              <w:rPr>
                <w:sz w:val="18"/>
                <w:szCs w:val="18"/>
              </w:rPr>
            </w:pPr>
            <w:r>
              <w:rPr>
                <w:sz w:val="18"/>
                <w:szCs w:val="18"/>
              </w:rPr>
              <w:sym w:font="Symbol" w:char="F0B7"/>
            </w:r>
            <w:r>
              <w:rPr>
                <w:sz w:val="18"/>
                <w:szCs w:val="18"/>
              </w:rPr>
              <w:tab/>
            </w:r>
            <w:r>
              <w:rPr>
                <w:sz w:val="14"/>
                <w:szCs w:val="14"/>
              </w:rPr>
              <w:t>[nominees for councillor only]</w:t>
            </w:r>
            <w:r>
              <w:rPr>
                <w:sz w:val="18"/>
                <w:szCs w:val="18"/>
              </w:rPr>
              <w:t xml:space="preserve"> I am eligible to nominate as a councillor</w:t>
            </w:r>
            <w:r>
              <w:rPr>
                <w:sz w:val="18"/>
                <w:szCs w:val="18"/>
                <w:vertAlign w:val="superscript"/>
              </w:rPr>
              <w:t>4</w:t>
            </w:r>
            <w:r>
              <w:rPr>
                <w:sz w:val="18"/>
                <w:szCs w:val="18"/>
              </w:rPr>
              <w:t>; and</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I completed the course of 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all of the details set out above are true and correct.</w:t>
            </w:r>
          </w:p>
        </w:tc>
      </w:tr>
      <w:tr>
        <w:trPr>
          <w:cantSplit/>
        </w:trPr>
        <w:tc>
          <w:tcPr>
            <w:tcW w:w="1384" w:type="dxa"/>
            <w:vMerge/>
          </w:tcPr>
          <w:p>
            <w:pPr>
              <w:pStyle w:val="yTableNAm"/>
              <w:rPr>
                <w:snapToGrid w:val="0"/>
                <w:sz w:val="18"/>
                <w:szCs w:val="18"/>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lastRenderedPageBreak/>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You are disqualified </w:t>
            </w:r>
            <w:r>
              <w:rPr>
                <w:sz w:val="18"/>
                <w:szCs w:val="18"/>
              </w:rPr>
              <w:t>for membership</w:t>
            </w:r>
            <w:r>
              <w:rPr>
                <w:sz w:val="18"/>
              </w:rPr>
              <w:t xml:space="preserve"> of a council if you:</w:t>
            </w:r>
          </w:p>
          <w:p>
            <w:pPr>
              <w:pStyle w:val="yTable"/>
              <w:tabs>
                <w:tab w:val="left" w:pos="459"/>
              </w:tabs>
              <w:spacing w:before="0"/>
              <w:ind w:left="459" w:hanging="459"/>
              <w:rPr>
                <w:sz w:val="18"/>
              </w:rPr>
            </w:pPr>
            <w:r>
              <w:rPr>
                <w:sz w:val="18"/>
              </w:rPr>
              <w:sym w:font="Symbol" w:char="F0B7"/>
            </w:r>
            <w:r>
              <w:rPr>
                <w:sz w:val="18"/>
              </w:rPr>
              <w:tab/>
              <w:t>are a member of the Legislative Assembly, the Legislative Council, the House of Representatives or the Senate (or have been elected as such a member but have not yet taken office);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 member of the council of another local government;</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an insolvent under administration;</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in prison serving a sentence for a crime;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have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have been convicted of an offence for which the indictable penalty was or included — </w:t>
            </w:r>
          </w:p>
          <w:p>
            <w:pPr>
              <w:pStyle w:val="yTable"/>
              <w:tabs>
                <w:tab w:val="left" w:pos="459"/>
                <w:tab w:val="left" w:pos="879"/>
              </w:tabs>
              <w:spacing w:before="0"/>
              <w:ind w:left="893" w:hanging="893"/>
              <w:rPr>
                <w:sz w:val="18"/>
                <w:szCs w:val="18"/>
              </w:rPr>
            </w:pPr>
            <w:r>
              <w:rPr>
                <w:sz w:val="18"/>
                <w:szCs w:val="18"/>
              </w:rPr>
              <w:tab/>
              <w:t>(i)</w:t>
            </w:r>
            <w:r>
              <w:rPr>
                <w:sz w:val="18"/>
                <w:szCs w:val="18"/>
              </w:rPr>
              <w:tab/>
              <w:t>imprisonment for life; or</w:t>
            </w:r>
          </w:p>
          <w:p>
            <w:pPr>
              <w:pStyle w:val="yTable"/>
              <w:tabs>
                <w:tab w:val="left" w:pos="459"/>
                <w:tab w:val="left" w:pos="879"/>
              </w:tabs>
              <w:spacing w:before="0"/>
              <w:ind w:left="893" w:hanging="893"/>
              <w:rPr>
                <w:sz w:val="18"/>
                <w:szCs w:val="18"/>
              </w:rPr>
            </w:pPr>
            <w:r>
              <w:rPr>
                <w:sz w:val="18"/>
                <w:szCs w:val="18"/>
              </w:rPr>
              <w:tab/>
              <w:t>(ii)</w:t>
            </w:r>
            <w:r>
              <w:rPr>
                <w:sz w:val="18"/>
                <w:szCs w:val="18"/>
              </w:rPr>
              <w:tab/>
              <w:t>imprisonment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You are not eligible to nominate as a councillor if you are:</w:t>
            </w:r>
          </w:p>
          <w:p>
            <w:pPr>
              <w:pStyle w:val="yTable"/>
              <w:tabs>
                <w:tab w:val="left" w:pos="459"/>
              </w:tabs>
              <w:spacing w:before="0"/>
              <w:ind w:left="459" w:hanging="459"/>
              <w:rPr>
                <w:sz w:val="18"/>
              </w:rPr>
            </w:pPr>
            <w:r>
              <w:rPr>
                <w:sz w:val="18"/>
              </w:rPr>
              <w:sym w:font="Symbol" w:char="F0B7"/>
            </w:r>
            <w:r>
              <w:rPr>
                <w:sz w:val="18"/>
              </w:rPr>
              <w:tab/>
              <w:t>a member of the council (unless your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Borders>
              <w:top w:val="single" w:sz="4" w:space="0" w:color="auto"/>
              <w:left w:val="single" w:sz="4" w:space="0" w:color="auto"/>
              <w:bottom w:val="single" w:sz="4" w:space="0" w:color="auto"/>
              <w:right w:val="single" w:sz="4" w:space="0" w:color="auto"/>
            </w:tcBorders>
          </w:tcPr>
          <w:p>
            <w:pPr>
              <w:pStyle w:val="yTableNAm"/>
              <w:tabs>
                <w:tab w:val="clear" w:pos="567"/>
                <w:tab w:val="left" w:pos="277"/>
              </w:tabs>
              <w:spacing w:before="0"/>
              <w:ind w:left="284" w:hanging="284"/>
              <w:rPr>
                <w:b/>
                <w:sz w:val="18"/>
                <w:szCs w:val="18"/>
              </w:rPr>
            </w:pPr>
            <w:r>
              <w:rPr>
                <w:b/>
                <w:sz w:val="18"/>
                <w:szCs w:val="18"/>
              </w:rPr>
              <w:t>5</w:t>
            </w:r>
            <w:r>
              <w:rPr>
                <w:b/>
                <w:sz w:val="18"/>
                <w:szCs w:val="18"/>
              </w:rPr>
              <w:tab/>
              <w:t>Course of induction</w:t>
            </w:r>
          </w:p>
        </w:tc>
        <w:tc>
          <w:tcPr>
            <w:tcW w:w="5503" w:type="dxa"/>
            <w:tcBorders>
              <w:top w:val="single" w:sz="4" w:space="0" w:color="auto"/>
              <w:left w:val="single" w:sz="4" w:space="0" w:color="auto"/>
              <w:bottom w:val="single" w:sz="4" w:space="0" w:color="auto"/>
              <w:right w:val="single" w:sz="4" w:space="0" w:color="auto"/>
            </w:tcBorders>
          </w:tcPr>
          <w:p>
            <w:pPr>
              <w:pStyle w:val="yTable"/>
              <w:rPr>
                <w:sz w:val="18"/>
                <w:szCs w:val="18"/>
              </w:rPr>
            </w:pPr>
            <w:r>
              <w:rPr>
                <w:sz w:val="18"/>
                <w:szCs w:val="18"/>
              </w:rPr>
              <w:t>The course of induction is the course titled Local Government Candidate Induction that is available on the Department's official website after 30 June 2023.</w:t>
            </w:r>
          </w:p>
          <w:p>
            <w:pPr>
              <w:pStyle w:val="yTable"/>
              <w:spacing w:before="0"/>
              <w:rPr>
                <w:sz w:val="18"/>
                <w:szCs w:val="18"/>
              </w:rPr>
            </w:pPr>
            <w:r>
              <w:rPr>
                <w:sz w:val="18"/>
                <w:szCs w:val="18"/>
              </w:rPr>
              <w:t>The reference number is the number that is emailed to you on completion of the course.</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lastRenderedPageBreak/>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szCs w:val="18"/>
              </w:rPr>
              <w:t>44</w:t>
            </w:r>
            <w:r>
              <w:rPr>
                <w:sz w:val="18"/>
                <w:szCs w:val="18"/>
                <w:vertAlign w:val="superscript"/>
              </w:rPr>
              <w:t>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 xml:space="preserve">Your nomination must be accompanied by a candidate’s profile of not more than </w:t>
            </w:r>
            <w:r>
              <w:rPr>
                <w:sz w:val="18"/>
                <w:szCs w:val="18"/>
              </w:rPr>
              <w:t xml:space="preserve">1 000 </w:t>
            </w:r>
            <w:r>
              <w:rPr>
                <w:snapToGrid w:val="0"/>
                <w:sz w:val="18"/>
              </w:rPr>
              <w:t>characters and spaces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noWrap/>
          </w:tcPr>
          <w:p>
            <w:pPr>
              <w:pStyle w:val="yTableNAm"/>
              <w:spacing w:before="0"/>
              <w:rPr>
                <w:b/>
                <w:snapToGrid w:val="0"/>
                <w:sz w:val="18"/>
                <w:szCs w:val="18"/>
              </w:rPr>
            </w:pPr>
            <w:r>
              <w:rPr>
                <w:b/>
                <w:snapToGrid w:val="0"/>
                <w:sz w:val="18"/>
                <w:szCs w:val="18"/>
              </w:rPr>
              <w:t>Additional information</w:t>
            </w:r>
          </w:p>
        </w:tc>
        <w:tc>
          <w:tcPr>
            <w:tcW w:w="5503" w:type="dxa"/>
            <w:noWrap/>
          </w:tcPr>
          <w:p>
            <w:pPr>
              <w:pStyle w:val="yTableNAm"/>
              <w:spacing w:before="0"/>
              <w:rPr>
                <w:snapToGrid w:val="0"/>
                <w:sz w:val="18"/>
                <w:szCs w:val="18"/>
              </w:rPr>
            </w:pPr>
            <w:r>
              <w:rPr>
                <w:snapToGrid w:val="0"/>
                <w:sz w:val="18"/>
                <w:szCs w:val="18"/>
              </w:rPr>
              <w:t>Your nomination may, in addition to the candidate’s profile, be accompanied by a written statement containing information that you consider to be relevant to your candidature.</w:t>
            </w:r>
          </w:p>
          <w:p>
            <w:pPr>
              <w:pStyle w:val="yTableNAm"/>
              <w:rPr>
                <w:snapToGrid w:val="0"/>
                <w:sz w:val="18"/>
                <w:szCs w:val="18"/>
              </w:rPr>
            </w:pPr>
            <w:r>
              <w:rPr>
                <w:snapToGrid w:val="0"/>
                <w:sz w:val="18"/>
                <w:szCs w:val="18"/>
              </w:rPr>
              <w:t xml:space="preserve">The written statement must </w:t>
            </w:r>
            <w:r>
              <w:rPr>
                <w:sz w:val="18"/>
                <w:szCs w:val="18"/>
              </w:rPr>
              <w:t>contain no more than 2 000 characters and spaces</w:t>
            </w:r>
            <w:r>
              <w:rPr>
                <w:snapToGrid w:val="0"/>
                <w:sz w:val="18"/>
                <w:szCs w:val="18"/>
              </w:rPr>
              <w:t>.</w:t>
            </w:r>
          </w:p>
          <w:p>
            <w:pPr>
              <w:pStyle w:val="yTableNAm"/>
              <w:rPr>
                <w:snapToGrid w:val="0"/>
                <w:sz w:val="18"/>
                <w:szCs w:val="18"/>
              </w:rPr>
            </w:pPr>
            <w:r>
              <w:rPr>
                <w:snapToGrid w:val="0"/>
                <w:sz w:val="18"/>
                <w:szCs w:val="18"/>
              </w:rPr>
              <w:t>The written statement is for publication on the local government’s official website.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 xml:space="preserve">When you make your nomination you must pay a deposit of </w:t>
            </w:r>
            <w:r>
              <w:rPr>
                <w:sz w:val="18"/>
                <w:szCs w:val="18"/>
              </w:rPr>
              <w:t xml:space="preserve">$100. </w:t>
            </w:r>
            <w:r>
              <w:rPr>
                <w:snapToGrid w:val="0"/>
                <w:sz w:val="18"/>
              </w:rPr>
              <w:t>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lastRenderedPageBreak/>
        <w:tab/>
        <w:t>[Form 8 amended: Gazette 21 Jan 2005 p. 266 and 268; 18 Mar 2005 p. 976; 21 Dec 2012 p. 6643; 18 Jan 2019 p. 111; 9 Aug 2019 p. 3021; SL 2021/141 r. 6; SL 2023/102 r. 50.]</w:t>
      </w:r>
    </w:p>
    <w:p>
      <w:pPr>
        <w:pStyle w:val="yTable"/>
        <w:pageBreakBefore/>
        <w:tabs>
          <w:tab w:val="left" w:pos="1134"/>
        </w:tabs>
        <w:spacing w:before="0" w:after="80"/>
        <w:outlineLvl w:val="2"/>
        <w:rPr>
          <w:b/>
          <w:snapToGrid w:val="0"/>
        </w:rPr>
      </w:pPr>
      <w:r>
        <w:rPr>
          <w:rStyle w:val="CharSClsNo"/>
          <w:b/>
        </w:rPr>
        <w:lastRenderedPageBreak/>
        <w:t>Form 9</w:t>
      </w:r>
      <w:r>
        <w:rPr>
          <w:b/>
          <w:snapToGrid w:val="0"/>
        </w:rPr>
        <w:t>.</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z w:val="18"/>
                <w:szCs w:val="18"/>
              </w:rPr>
            </w:pPr>
            <w:r>
              <w:rPr>
                <w:b/>
                <w:sz w:val="18"/>
                <w:szCs w:val="18"/>
              </w:rPr>
              <w:t>Declaration</w:t>
            </w:r>
          </w:p>
          <w:p>
            <w:pPr>
              <w:pStyle w:val="yTableNAm"/>
              <w:spacing w:before="0"/>
              <w:rPr>
                <w:snapToGrid w:val="0"/>
                <w:sz w:val="18"/>
                <w:szCs w:val="18"/>
              </w:rPr>
            </w:pPr>
          </w:p>
          <w:p>
            <w:pPr>
              <w:pStyle w:val="yTableNAm"/>
              <w:rPr>
                <w:sz w:val="14"/>
                <w:szCs w:val="14"/>
              </w:rPr>
            </w:pPr>
            <w:r>
              <w:rPr>
                <w:sz w:val="14"/>
                <w:szCs w:val="14"/>
              </w:rPr>
              <w:t>[Making a false declaration is an offence]</w:t>
            </w:r>
          </w:p>
          <w:p>
            <w:pPr>
              <w:pStyle w:val="yTableNAm"/>
              <w:spacing w:before="0"/>
              <w:rPr>
                <w:snapToGrid w:val="0"/>
                <w:sz w:val="14"/>
                <w:szCs w:val="14"/>
              </w:rPr>
            </w:pPr>
          </w:p>
          <w:p>
            <w:pPr>
              <w:pStyle w:val="yTableNAm"/>
              <w:spacing w:before="0"/>
              <w:rPr>
                <w:snapToGrid w:val="0"/>
                <w:sz w:val="14"/>
                <w:szCs w:val="14"/>
              </w:rPr>
            </w:pPr>
          </w:p>
          <w:p>
            <w:pPr>
              <w:pStyle w:val="yTableNAm"/>
              <w:rPr>
                <w:sz w:val="20"/>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 to the best of my knowledge the nominee:</w:t>
            </w:r>
          </w:p>
          <w:p>
            <w:pPr>
              <w:pStyle w:val="yTableNAm"/>
              <w:tabs>
                <w:tab w:val="clear" w:pos="567"/>
                <w:tab w:val="left" w:pos="317"/>
              </w:tabs>
              <w:spacing w:before="0"/>
              <w:rPr>
                <w:sz w:val="18"/>
                <w:szCs w:val="18"/>
              </w:rPr>
            </w:pPr>
            <w:r>
              <w:rPr>
                <w:sz w:val="18"/>
                <w:szCs w:val="18"/>
              </w:rPr>
              <w:sym w:font="Symbol" w:char="F0B7"/>
            </w:r>
            <w:r>
              <w:rPr>
                <w:sz w:val="18"/>
                <w:szCs w:val="18"/>
              </w:rPr>
              <w:tab/>
              <w:t>is at least 18 years of age;</w:t>
            </w:r>
          </w:p>
          <w:p>
            <w:pPr>
              <w:pStyle w:val="yTableNAm"/>
              <w:tabs>
                <w:tab w:val="clear" w:pos="567"/>
                <w:tab w:val="left" w:pos="317"/>
              </w:tabs>
              <w:spacing w:before="0"/>
              <w:rPr>
                <w:sz w:val="18"/>
                <w:szCs w:val="18"/>
              </w:rPr>
            </w:pPr>
            <w:r>
              <w:rPr>
                <w:sz w:val="18"/>
                <w:szCs w:val="18"/>
              </w:rPr>
              <w:sym w:font="Symbol" w:char="F0B7"/>
            </w:r>
            <w:r>
              <w:rPr>
                <w:sz w:val="18"/>
                <w:szCs w:val="18"/>
              </w:rPr>
              <w:tab/>
              <w:t>is an elector of the district</w:t>
            </w:r>
            <w:r>
              <w:rPr>
                <w:sz w:val="18"/>
                <w:szCs w:val="18"/>
                <w:vertAlign w:val="superscript"/>
              </w:rPr>
              <w:t>2</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t>is not disqualified from being a member of the council</w:t>
            </w:r>
            <w:r>
              <w:rPr>
                <w:sz w:val="18"/>
                <w:szCs w:val="18"/>
                <w:vertAlign w:val="superscript"/>
              </w:rPr>
              <w:t>3</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r>
            <w:r>
              <w:rPr>
                <w:snapToGrid w:val="0"/>
                <w:sz w:val="14"/>
              </w:rPr>
              <w:t>[nominees for councillor only]</w:t>
            </w:r>
            <w:r>
              <w:rPr>
                <w:sz w:val="18"/>
                <w:szCs w:val="18"/>
              </w:rPr>
              <w:t xml:space="preserve"> is eligible to nominate as a councillor</w:t>
            </w:r>
            <w:r>
              <w:rPr>
                <w:sz w:val="18"/>
                <w:szCs w:val="18"/>
                <w:vertAlign w:val="superscript"/>
              </w:rPr>
              <w:t>4</w:t>
            </w:r>
            <w:r>
              <w:rPr>
                <w:sz w:val="18"/>
                <w:szCs w:val="18"/>
              </w:rPr>
              <w:t>;</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completed the course of 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r>
              <w:rPr>
                <w:sz w:val="18"/>
                <w:szCs w:val="18"/>
              </w:rPr>
              <w:t>;</w:t>
            </w:r>
          </w:p>
          <w:p>
            <w:pPr>
              <w:pStyle w:val="yTableNAm"/>
              <w:spacing w:before="0"/>
              <w:rPr>
                <w:sz w:val="18"/>
                <w:szCs w:val="18"/>
              </w:rPr>
            </w:pPr>
            <w:r>
              <w:rPr>
                <w:sz w:val="18"/>
                <w:szCs w:val="18"/>
              </w:rPr>
              <w:t>and that all of the details set out above are true and correct.</w:t>
            </w:r>
          </w:p>
        </w:tc>
      </w:tr>
      <w:tr>
        <w:trPr>
          <w:cantSplit/>
        </w:trPr>
        <w:tc>
          <w:tcPr>
            <w:tcW w:w="1384" w:type="dxa"/>
            <w:vMerge/>
          </w:tcPr>
          <w:p>
            <w:pPr>
              <w:pStyle w:val="yTableNAm"/>
              <w:rPr>
                <w:snapToGrid w:val="0"/>
                <w:sz w:val="20"/>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snapToGrid w:val="0"/>
                <w:sz w:val="18"/>
              </w:rPr>
            </w:pPr>
            <w:r>
              <w:rPr>
                <w:b/>
                <w:snapToGrid w:val="0"/>
                <w:sz w:val="18"/>
              </w:rPr>
              <w:lastRenderedPageBreak/>
              <w:t>Witness</w:t>
            </w:r>
          </w:p>
          <w:p>
            <w:pPr>
              <w:pStyle w:val="yTable"/>
              <w:keepNext/>
              <w:spacing w:before="0"/>
              <w:ind w:right="-108"/>
              <w:rPr>
                <w:snapToGrid w:val="0"/>
                <w:sz w:val="14"/>
              </w:rPr>
            </w:pPr>
            <w:r>
              <w:rPr>
                <w:snapToGrid w:val="0"/>
                <w:sz w:val="14"/>
              </w:rPr>
              <w:t>[Witness must be at least 18 years of age]</w:t>
            </w:r>
          </w:p>
        </w:tc>
        <w:tc>
          <w:tcPr>
            <w:tcW w:w="5927" w:type="dxa"/>
            <w:gridSpan w:val="2"/>
          </w:tcPr>
          <w:p>
            <w:pPr>
              <w:pStyle w:val="yTable"/>
              <w:keepNext/>
              <w:spacing w:before="0" w:after="60"/>
              <w:rPr>
                <w:snapToGrid w:val="0"/>
                <w:sz w:val="18"/>
              </w:rPr>
            </w:pPr>
            <w:r>
              <w:rPr>
                <w:snapToGrid w:val="0"/>
                <w:sz w:val="18"/>
              </w:rPr>
              <w:t>Full name:</w:t>
            </w:r>
          </w:p>
        </w:tc>
      </w:tr>
      <w:tr>
        <w:trPr>
          <w:cantSplit/>
        </w:trPr>
        <w:tc>
          <w:tcPr>
            <w:tcW w:w="1384" w:type="dxa"/>
            <w:vMerge/>
          </w:tcPr>
          <w:p>
            <w:pPr>
              <w:pStyle w:val="yTable"/>
              <w:keepNext/>
              <w:spacing w:before="0"/>
              <w:rPr>
                <w:snapToGrid w:val="0"/>
                <w:sz w:val="18"/>
              </w:rPr>
            </w:pPr>
          </w:p>
        </w:tc>
        <w:tc>
          <w:tcPr>
            <w:tcW w:w="3969"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caps/>
                <w:snapToGrid w:val="0"/>
                <w:sz w:val="18"/>
              </w:rPr>
            </w:pPr>
            <w:r>
              <w:rPr>
                <w:b/>
                <w:snapToGrid w:val="0"/>
                <w:sz w:val="18"/>
              </w:rPr>
              <w:t>Authorisation by nominee</w:t>
            </w:r>
            <w:r>
              <w:rPr>
                <w:b/>
                <w:snapToGrid w:val="0"/>
                <w:sz w:val="18"/>
                <w:vertAlign w:val="superscript"/>
              </w:rPr>
              <w:t>6</w:t>
            </w:r>
          </w:p>
        </w:tc>
        <w:tc>
          <w:tcPr>
            <w:tcW w:w="5927" w:type="dxa"/>
            <w:gridSpan w:val="2"/>
          </w:tcPr>
          <w:p>
            <w:pPr>
              <w:pStyle w:val="yTable"/>
              <w:keepNext/>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lastRenderedPageBreak/>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The nominee is disqualified </w:t>
            </w:r>
            <w:r>
              <w:rPr>
                <w:sz w:val="18"/>
                <w:szCs w:val="18"/>
              </w:rPr>
              <w:t>for membership</w:t>
            </w:r>
            <w:r>
              <w:rPr>
                <w:sz w:val="18"/>
              </w:rPr>
              <w:t xml:space="preserve"> of a council if he or she:</w:t>
            </w:r>
          </w:p>
          <w:p>
            <w:pPr>
              <w:pStyle w:val="yTable"/>
              <w:tabs>
                <w:tab w:val="left" w:pos="459"/>
              </w:tabs>
              <w:spacing w:before="0"/>
              <w:ind w:left="459" w:hanging="459"/>
              <w:rPr>
                <w:sz w:val="18"/>
              </w:rPr>
            </w:pPr>
            <w:r>
              <w:rPr>
                <w:sz w:val="18"/>
              </w:rPr>
              <w:sym w:font="Symbol" w:char="F0B7"/>
            </w:r>
            <w:r>
              <w:rPr>
                <w:sz w:val="18"/>
              </w:rPr>
              <w:tab/>
              <w:t>is a member of the Legislative Assembly, the Legislative Council, the House of Representatives or the Senate (or has been elected as such a member but has not yet taken office); or</w:t>
            </w:r>
          </w:p>
          <w:p>
            <w:pPr>
              <w:pStyle w:val="yTable"/>
              <w:tabs>
                <w:tab w:val="left" w:pos="459"/>
              </w:tabs>
              <w:spacing w:before="0"/>
              <w:ind w:left="459" w:hanging="459"/>
              <w:rPr>
                <w:sz w:val="18"/>
              </w:rPr>
            </w:pPr>
            <w:r>
              <w:rPr>
                <w:sz w:val="18"/>
              </w:rPr>
              <w:sym w:font="Symbol" w:char="F0B7"/>
            </w:r>
            <w:r>
              <w:rPr>
                <w:sz w:val="18"/>
              </w:rPr>
              <w:tab/>
              <w:t>is a member of the council of another local government; or</w:t>
            </w:r>
          </w:p>
          <w:p>
            <w:pPr>
              <w:pStyle w:val="yTable"/>
              <w:tabs>
                <w:tab w:val="left" w:pos="459"/>
              </w:tabs>
              <w:spacing w:before="0"/>
              <w:ind w:left="459" w:hanging="459"/>
              <w:rPr>
                <w:sz w:val="18"/>
              </w:rPr>
            </w:pPr>
            <w:r>
              <w:rPr>
                <w:sz w:val="18"/>
              </w:rPr>
              <w:sym w:font="Symbol" w:char="F0B7"/>
            </w:r>
            <w:r>
              <w:rPr>
                <w:sz w:val="18"/>
              </w:rPr>
              <w:tab/>
              <w:t>is an insolvent under administration; or</w:t>
            </w:r>
          </w:p>
          <w:p>
            <w:pPr>
              <w:pStyle w:val="yTable"/>
              <w:tabs>
                <w:tab w:val="left" w:pos="459"/>
              </w:tabs>
              <w:spacing w:before="0"/>
              <w:ind w:left="459" w:hanging="459"/>
              <w:rPr>
                <w:sz w:val="18"/>
              </w:rPr>
            </w:pPr>
            <w:r>
              <w:rPr>
                <w:sz w:val="18"/>
              </w:rPr>
              <w:sym w:font="Symbol" w:char="F0B7"/>
            </w:r>
            <w:r>
              <w:rPr>
                <w:sz w:val="18"/>
              </w:rPr>
              <w:tab/>
              <w:t>is in prison serving a sentence for a crime; or</w:t>
            </w:r>
          </w:p>
          <w:p>
            <w:pPr>
              <w:pStyle w:val="yTable"/>
              <w:tabs>
                <w:tab w:val="left" w:pos="459"/>
              </w:tabs>
              <w:spacing w:before="0"/>
              <w:ind w:left="459" w:hanging="459"/>
              <w:rPr>
                <w:sz w:val="18"/>
              </w:rPr>
            </w:pPr>
            <w:r>
              <w:rPr>
                <w:sz w:val="18"/>
              </w:rPr>
              <w:sym w:font="Symbol" w:char="F0B7"/>
            </w:r>
            <w:r>
              <w:rPr>
                <w:sz w:val="18"/>
              </w:rPr>
              <w:tab/>
              <w:t>has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has been convicted of an offence for which the indictable penalty was or included — </w:t>
            </w:r>
          </w:p>
          <w:p>
            <w:pPr>
              <w:pStyle w:val="yTable"/>
              <w:tabs>
                <w:tab w:val="left" w:pos="459"/>
                <w:tab w:val="left" w:pos="879"/>
              </w:tabs>
              <w:spacing w:before="0"/>
              <w:ind w:left="893" w:hanging="893"/>
              <w:rPr>
                <w:sz w:val="18"/>
              </w:rPr>
            </w:pPr>
            <w:r>
              <w:rPr>
                <w:sz w:val="18"/>
              </w:rPr>
              <w:tab/>
              <w:t>(i)</w:t>
            </w:r>
            <w:r>
              <w:rPr>
                <w:sz w:val="18"/>
              </w:rPr>
              <w:tab/>
              <w:t>imprisonment for life; or</w:t>
            </w:r>
          </w:p>
          <w:p>
            <w:pPr>
              <w:pStyle w:val="yTable"/>
              <w:tabs>
                <w:tab w:val="left" w:pos="459"/>
                <w:tab w:val="left" w:pos="879"/>
              </w:tabs>
              <w:spacing w:before="0"/>
              <w:ind w:left="893" w:hanging="893"/>
              <w:rPr>
                <w:sz w:val="18"/>
              </w:rPr>
            </w:pPr>
            <w:r>
              <w:rPr>
                <w:sz w:val="18"/>
              </w:rPr>
              <w:tab/>
              <w:t>(ii)</w:t>
            </w:r>
            <w:r>
              <w:rPr>
                <w:sz w:val="18"/>
              </w:rPr>
              <w:tab/>
            </w:r>
            <w:r>
              <w:rPr>
                <w:sz w:val="18"/>
                <w:szCs w:val="18"/>
              </w:rPr>
              <w:t>i</w:t>
            </w:r>
            <w:r>
              <w:rPr>
                <w:sz w:val="18"/>
              </w:rPr>
              <w:t>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The nominee is not eligible to be nominated as a councillor if he or she is:</w:t>
            </w:r>
          </w:p>
          <w:p>
            <w:pPr>
              <w:pStyle w:val="yTable"/>
              <w:tabs>
                <w:tab w:val="left" w:pos="459"/>
              </w:tabs>
              <w:spacing w:before="0"/>
              <w:ind w:left="459" w:hanging="459"/>
              <w:rPr>
                <w:sz w:val="18"/>
              </w:rPr>
            </w:pPr>
            <w:r>
              <w:rPr>
                <w:sz w:val="18"/>
              </w:rPr>
              <w:sym w:font="Symbol" w:char="F0B7"/>
            </w:r>
            <w:r>
              <w:rPr>
                <w:sz w:val="18"/>
              </w:rPr>
              <w:tab/>
              <w:t>a member of the council (unless his or her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Borders>
              <w:top w:val="single" w:sz="4" w:space="0" w:color="auto"/>
              <w:left w:val="single" w:sz="4" w:space="0" w:color="auto"/>
              <w:bottom w:val="single" w:sz="4" w:space="0" w:color="auto"/>
              <w:right w:val="single" w:sz="4" w:space="0" w:color="auto"/>
            </w:tcBorders>
          </w:tcPr>
          <w:p>
            <w:pPr>
              <w:pStyle w:val="yTableNAm"/>
              <w:tabs>
                <w:tab w:val="clear" w:pos="567"/>
                <w:tab w:val="left" w:pos="284"/>
              </w:tabs>
              <w:spacing w:before="60"/>
              <w:ind w:left="284" w:hanging="284"/>
              <w:rPr>
                <w:b/>
                <w:sz w:val="18"/>
                <w:szCs w:val="18"/>
              </w:rPr>
            </w:pPr>
            <w:r>
              <w:rPr>
                <w:b/>
                <w:sz w:val="18"/>
                <w:szCs w:val="18"/>
              </w:rPr>
              <w:t>5</w:t>
            </w:r>
            <w:r>
              <w:rPr>
                <w:b/>
                <w:sz w:val="18"/>
                <w:szCs w:val="18"/>
              </w:rPr>
              <w:tab/>
              <w:t>Course of induction</w:t>
            </w:r>
          </w:p>
        </w:tc>
        <w:tc>
          <w:tcPr>
            <w:tcW w:w="5503" w:type="dxa"/>
            <w:tcBorders>
              <w:top w:val="single" w:sz="4" w:space="0" w:color="auto"/>
              <w:left w:val="single" w:sz="4" w:space="0" w:color="auto"/>
              <w:bottom w:val="single" w:sz="4" w:space="0" w:color="auto"/>
              <w:right w:val="single" w:sz="4" w:space="0" w:color="auto"/>
            </w:tcBorders>
          </w:tcPr>
          <w:p>
            <w:pPr>
              <w:pStyle w:val="yTable"/>
              <w:rPr>
                <w:sz w:val="18"/>
                <w:szCs w:val="18"/>
              </w:rPr>
            </w:pPr>
            <w:r>
              <w:rPr>
                <w:sz w:val="18"/>
                <w:szCs w:val="18"/>
              </w:rPr>
              <w:t>The course of induction is the course titled Local Government Candidate Induction that is available on the Department's official website after 30 June 2023.</w:t>
            </w:r>
          </w:p>
          <w:p>
            <w:pPr>
              <w:pStyle w:val="yTable"/>
              <w:spacing w:before="0"/>
              <w:rPr>
                <w:sz w:val="18"/>
                <w:szCs w:val="18"/>
              </w:rPr>
            </w:pPr>
            <w:r>
              <w:rPr>
                <w:sz w:val="18"/>
                <w:szCs w:val="18"/>
              </w:rPr>
              <w:t>The reference number is the number that is emailed to the nominee on completion of the course.</w:t>
            </w:r>
          </w:p>
        </w:tc>
      </w:tr>
    </w:tbl>
    <w:p>
      <w:pPr>
        <w:pStyle w:val="Indenta"/>
        <w:spacing w:before="0"/>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keepNext/>
              <w:tabs>
                <w:tab w:val="clear" w:pos="567"/>
                <w:tab w:val="left" w:pos="284"/>
              </w:tabs>
              <w:spacing w:before="0"/>
              <w:ind w:left="284" w:hanging="284"/>
              <w:rPr>
                <w:b/>
                <w:sz w:val="18"/>
                <w:szCs w:val="18"/>
              </w:rPr>
            </w:pPr>
            <w:r>
              <w:rPr>
                <w:b/>
                <w:sz w:val="18"/>
                <w:szCs w:val="18"/>
              </w:rPr>
              <w:t>6</w:t>
            </w:r>
            <w:r>
              <w:rPr>
                <w:b/>
                <w:sz w:val="18"/>
                <w:szCs w:val="18"/>
              </w:rPr>
              <w:tab/>
              <w:t>Authorisation</w:t>
            </w:r>
          </w:p>
        </w:tc>
        <w:tc>
          <w:tcPr>
            <w:tcW w:w="5503" w:type="dxa"/>
          </w:tcPr>
          <w:p>
            <w:pPr>
              <w:pStyle w:val="yTable"/>
              <w:keepNext/>
              <w:spacing w:before="0"/>
              <w:rPr>
                <w:sz w:val="18"/>
                <w:szCs w:val="18"/>
              </w:rPr>
            </w:pPr>
            <w:r>
              <w:rPr>
                <w:sz w:val="18"/>
                <w:szCs w:val="18"/>
              </w:rPr>
              <w:t xml:space="preserve">You </w:t>
            </w:r>
            <w:r>
              <w:rPr>
                <w:snapToGrid w:val="0"/>
                <w:sz w:val="18"/>
              </w:rPr>
              <w:t>must</w:t>
            </w:r>
            <w:r>
              <w:rPr>
                <w:sz w:val="18"/>
                <w:szCs w:val="18"/>
              </w:rPr>
              <w:t xml:space="preserve">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szCs w:val="18"/>
              </w:rPr>
              <w:t>44</w:t>
            </w:r>
            <w:r>
              <w:rPr>
                <w:sz w:val="18"/>
                <w:szCs w:val="18"/>
                <w:vertAlign w:val="superscript"/>
              </w:rPr>
              <w:t>th</w:t>
            </w:r>
            <w:r>
              <w:rPr>
                <w:sz w:val="18"/>
              </w:rPr>
              <w:t xml:space="preserve"> </w:t>
            </w:r>
            <w:r>
              <w:rPr>
                <w:snapToGrid w:val="0"/>
                <w:sz w:val="18"/>
              </w:rPr>
              <w:t>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 xml:space="preserve">Your nomination must be accompanied by a candidate’s profile of not more than </w:t>
            </w:r>
            <w:r>
              <w:rPr>
                <w:sz w:val="18"/>
                <w:szCs w:val="18"/>
              </w:rPr>
              <w:t xml:space="preserve">1 000 </w:t>
            </w:r>
            <w:r>
              <w:rPr>
                <w:snapToGrid w:val="0"/>
                <w:sz w:val="18"/>
              </w:rPr>
              <w:t>characters and spaces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spacing w:before="0"/>
              <w:rPr>
                <w:b/>
                <w:snapToGrid w:val="0"/>
                <w:sz w:val="18"/>
                <w:szCs w:val="18"/>
              </w:rPr>
            </w:pPr>
            <w:r>
              <w:rPr>
                <w:b/>
                <w:snapToGrid w:val="0"/>
                <w:sz w:val="18"/>
                <w:szCs w:val="18"/>
              </w:rPr>
              <w:t>Additional information</w:t>
            </w:r>
          </w:p>
        </w:tc>
        <w:tc>
          <w:tcPr>
            <w:tcW w:w="5503" w:type="dxa"/>
          </w:tcPr>
          <w:p>
            <w:pPr>
              <w:pStyle w:val="yTableNAm"/>
              <w:spacing w:before="0"/>
              <w:rPr>
                <w:snapToGrid w:val="0"/>
                <w:sz w:val="18"/>
                <w:szCs w:val="18"/>
              </w:rPr>
            </w:pPr>
            <w:r>
              <w:rPr>
                <w:snapToGrid w:val="0"/>
                <w:sz w:val="18"/>
                <w:szCs w:val="18"/>
              </w:rPr>
              <w:t>Your nomination may, in addition to the candidate’s profile, be accompanied by a written statement containing information that the candidate considers to be relevant to their candidature.</w:t>
            </w:r>
          </w:p>
          <w:p>
            <w:pPr>
              <w:pStyle w:val="yTableNAm"/>
              <w:rPr>
                <w:snapToGrid w:val="0"/>
                <w:sz w:val="18"/>
                <w:szCs w:val="18"/>
              </w:rPr>
            </w:pPr>
            <w:r>
              <w:rPr>
                <w:snapToGrid w:val="0"/>
                <w:sz w:val="18"/>
                <w:szCs w:val="18"/>
              </w:rPr>
              <w:t xml:space="preserve">The written statement must </w:t>
            </w:r>
            <w:r>
              <w:rPr>
                <w:sz w:val="18"/>
                <w:szCs w:val="18"/>
              </w:rPr>
              <w:t>contain no more than 2 000 characters and spaces</w:t>
            </w:r>
            <w:r>
              <w:rPr>
                <w:snapToGrid w:val="0"/>
                <w:sz w:val="18"/>
                <w:szCs w:val="18"/>
              </w:rPr>
              <w:t>.</w:t>
            </w:r>
          </w:p>
          <w:p>
            <w:pPr>
              <w:pStyle w:val="yTableNAm"/>
              <w:rPr>
                <w:snapToGrid w:val="0"/>
                <w:sz w:val="18"/>
                <w:szCs w:val="18"/>
              </w:rPr>
            </w:pPr>
            <w:r>
              <w:rPr>
                <w:snapToGrid w:val="0"/>
                <w:sz w:val="18"/>
                <w:szCs w:val="18"/>
              </w:rPr>
              <w:t>The written statement is for publication on the local government’s official website.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 xml:space="preserve">When you make your nomination you must pay a deposit of </w:t>
            </w:r>
            <w:r>
              <w:rPr>
                <w:sz w:val="18"/>
                <w:szCs w:val="18"/>
              </w:rPr>
              <w:t xml:space="preserve">$100. </w:t>
            </w:r>
            <w:r>
              <w:rPr>
                <w:snapToGrid w:val="0"/>
                <w:sz w:val="18"/>
              </w:rPr>
              <w:t>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lastRenderedPageBreak/>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Gazette 21 Jan 2005 p. 267 and 268; 18 Mar 2005 p. 977; 21 Dec 2012 p. 6644; 18 Jan 2019 p. 111; 9 Aug 2019 p. 3021-2; SL 2021/141 r. 7; SL 2023/102 r. 51.]</w:t>
      </w:r>
    </w:p>
    <w:p>
      <w:pPr>
        <w:pStyle w:val="yMiscellaneousHeading"/>
        <w:pageBreakBefore/>
        <w:rPr>
          <w:i/>
          <w:iCs/>
          <w:snapToGrid w:val="0"/>
        </w:rPr>
      </w:pPr>
      <w:r>
        <w:rPr>
          <w:i/>
          <w:iCs/>
          <w:snapToGrid w:val="0"/>
        </w:rPr>
        <w:lastRenderedPageBreak/>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tabs>
          <w:tab w:val="left" w:pos="1134"/>
        </w:tabs>
        <w:spacing w:after="60"/>
        <w:jc w:val="center"/>
        <w:outlineLvl w:val="2"/>
      </w:pPr>
      <w:r>
        <w:rPr>
          <w:rStyle w:val="CharSClsNo"/>
          <w:b/>
        </w:rPr>
        <w:t>Form 9A</w:t>
      </w:r>
    </w:p>
    <w:p>
      <w:pPr>
        <w:pStyle w:val="yMiscellaneousHeading"/>
        <w:spacing w:after="120"/>
        <w:rPr>
          <w:b/>
          <w:bCs/>
          <w:snapToGrid w:val="0"/>
        </w:rPr>
      </w:pPr>
      <w:r>
        <w:rPr>
          <w:b/>
          <w:bCs/>
          <w:snapToGrid w:val="0"/>
        </w:rPr>
        <w:t>DISCLOSURE OF GIFTS</w:t>
      </w:r>
    </w:p>
    <w:p>
      <w:pPr>
        <w:pStyle w:val="yMiscellaneousBody"/>
        <w:rPr>
          <w:snapToGrid w:val="0"/>
        </w:rPr>
      </w:pPr>
      <w:r>
        <w:rPr>
          <w:snapToGrid w:val="0"/>
        </w:rPr>
        <w:t>Details of person making disclosure</w:t>
      </w:r>
    </w:p>
    <w:p>
      <w:pPr>
        <w:pStyle w:val="yMiscellaneousBody"/>
        <w:rPr>
          <w:snapToGrid w:val="0"/>
        </w:rPr>
      </w:pPr>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candidate</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Address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u w:val="single"/>
        </w:rPr>
      </w:pPr>
      <w:r>
        <w:rPr>
          <w:snapToGrid w:val="0"/>
          <w:u w:val="single"/>
        </w:rPr>
        <w:t>Details of person on whose behalf the gift is made</w:t>
      </w:r>
      <w:r>
        <w:rPr>
          <w:snapToGrid w:val="0"/>
        </w:rPr>
        <w:t xml:space="preserve"> (if other than the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u w:val="single"/>
        </w:rPr>
        <w:t>Details of the gift</w:t>
      </w:r>
      <w:r>
        <w:rPr>
          <w:snapToGrid w:val="0"/>
        </w:rPr>
        <w:t xml:space="preserve"> (value of which is </w:t>
      </w:r>
      <w:r>
        <w:rPr>
          <w:szCs w:val="18"/>
        </w:rPr>
        <w:t xml:space="preserve">$300 </w:t>
      </w:r>
      <w:r>
        <w:rPr>
          <w:snapToGrid w:val="0"/>
        </w:rPr>
        <w:t xml:space="preserve">or more, or which is one of 2 or more gifts with a total value of </w:t>
      </w:r>
      <w:r>
        <w:rPr>
          <w:szCs w:val="18"/>
        </w:rPr>
        <w:t xml:space="preserve">$300 </w:t>
      </w:r>
      <w:r>
        <w:rPr>
          <w:snapToGrid w:val="0"/>
        </w:rPr>
        <w:t>or more)</w:t>
      </w:r>
    </w:p>
    <w:p>
      <w:pPr>
        <w:pStyle w:val="yMiscellaneousBody"/>
        <w:rPr>
          <w:snapToGrid w:val="0"/>
        </w:rPr>
      </w:pPr>
      <w:r>
        <w:rPr>
          <w:snapToGrid w:val="0"/>
        </w:rPr>
        <w:t xml:space="preserve">Date gift promised, received or made . . . . . . . . . . . . . . . . . . . . . . . . . . . . . . . . </w:t>
      </w:r>
    </w:p>
    <w:p>
      <w:pPr>
        <w:pStyle w:val="yMiscellaneousBody"/>
        <w:rPr>
          <w:snapToGrid w:val="0"/>
        </w:rPr>
      </w:pPr>
      <w:r>
        <w:rPr>
          <w:snapToGrid w:val="0"/>
        </w:rPr>
        <w:t xml:space="preserve">Value of gift . . . . . . . . . . . . . . . . . . . . . . . . . . . . . . . . . . . . . . . . . . . . . . . . . . . </w:t>
      </w:r>
    </w:p>
    <w:p>
      <w:pPr>
        <w:pStyle w:val="yMiscellaneousBody"/>
        <w:keepNext/>
        <w:keepLines/>
        <w:rPr>
          <w:snapToGrid w:val="0"/>
        </w:rPr>
      </w:pPr>
      <w:r>
        <w:rPr>
          <w:snapToGrid w:val="0"/>
        </w:rPr>
        <w:lastRenderedPageBreak/>
        <w:t>Description of gift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rPr>
          <w:snapToGrid w:val="0"/>
        </w:rPr>
      </w:pPr>
      <w:r>
        <w:rPr>
          <w:b/>
          <w:bCs/>
          <w:snapToGrid w:val="0"/>
          <w:u w:val="single"/>
        </w:rPr>
        <w:t>Candidates only</w:t>
      </w:r>
      <w:r>
        <w:rPr>
          <w:snapToGrid w:val="0"/>
        </w:rPr>
        <w:t xml:space="preserve"> — </w:t>
      </w:r>
      <w:r>
        <w:rPr>
          <w:i/>
          <w:iCs/>
          <w:snapToGrid w:val="0"/>
          <w:sz w:val="20"/>
        </w:rPr>
        <w:t>I</w:t>
      </w:r>
      <w:r>
        <w:rPr>
          <w:i/>
          <w:iCs/>
          <w:snapToGrid w:val="0"/>
          <w:sz w:val="16"/>
        </w:rPr>
        <w:t>F YOU ARE UNABLE TO PROVIDE THE INFORMATION REQUIRED BY THIS FORM, SET OUT THE REASONS FOR NOT PROVIDING IT IN THE SPACE BELOW.</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rPr>
        <w:t xml:space="preserve">. . . . . . . . . . . . . . . . . . . . . . . . . . . . . . . . . . . . . . . . . . . . . . . . . . . . .  . . . . . . . . </w:t>
      </w:r>
    </w:p>
    <w:p>
      <w:pPr>
        <w:pStyle w:val="yMiscellaneousBody"/>
        <w:rPr>
          <w:b/>
          <w:bCs/>
          <w:snapToGrid w:val="0"/>
          <w:u w:val="single"/>
        </w:rPr>
      </w:pPr>
      <w:r>
        <w:rPr>
          <w:b/>
          <w:bCs/>
          <w:snapToGrid w:val="0"/>
          <w:u w:val="single"/>
        </w:rPr>
        <w:t>Person making disclosure to complete and sign the declaration below</w:t>
      </w:r>
    </w:p>
    <w:p>
      <w:pPr>
        <w:pStyle w:val="yMiscellaneousBody"/>
        <w:rPr>
          <w:snapToGrid w:val="0"/>
        </w:rPr>
      </w:pPr>
      <w:r>
        <w:rPr>
          <w:snapToGrid w:val="0"/>
        </w:rPr>
        <w:t>I . . . . . . . . . . . . . . . . . . . . . . . . .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Signature . . . . . . . . . . . . . . . . . . . . . . . .  Date . . . . . . . . . . . . . . . . . . . . . . . . .</w:t>
      </w:r>
    </w:p>
    <w:p>
      <w:pPr>
        <w:pStyle w:val="yFootnotesection"/>
      </w:pPr>
      <w:r>
        <w:tab/>
        <w:t>[Form 9A inserted: Gazette 14 Aug 2009 p. 3219-20; amended: SL 2023/102 r. 52.]</w:t>
      </w:r>
    </w:p>
    <w:p>
      <w:pPr>
        <w:pStyle w:val="yMiscellaneousHeading"/>
        <w:pageBreakBefore/>
        <w:jc w:val="left"/>
        <w:outlineLvl w:val="2"/>
        <w:rPr>
          <w:b/>
          <w:bCs/>
          <w:snapToGrid w:val="0"/>
        </w:rPr>
      </w:pPr>
      <w:r>
        <w:rPr>
          <w:rStyle w:val="CharSClsNo"/>
          <w:b/>
        </w:rPr>
        <w:lastRenderedPageBreak/>
        <w:t>Form 10</w:t>
      </w:r>
      <w:r>
        <w:rPr>
          <w:b/>
          <w:bCs/>
          <w:snapToGrid w:val="0"/>
        </w:rPr>
        <w:t>.</w:t>
      </w:r>
      <w:r>
        <w:rPr>
          <w:b/>
          <w:bCs/>
          <w:snapToGrid w:val="0"/>
        </w:rPr>
        <w:tab/>
        <w:t>Ballot Paper</w:t>
      </w:r>
    </w:p>
    <w:p>
      <w:pPr>
        <w:pStyle w:val="yMiscellaneousBody"/>
        <w:rPr>
          <w:sz w:val="1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NAm"/>
              <w:rPr>
                <w:b/>
                <w:bCs/>
                <w:sz w:val="20"/>
              </w:rPr>
            </w:pPr>
            <w:r>
              <w:rPr>
                <w:b/>
                <w:bCs/>
                <w:sz w:val="20"/>
              </w:rPr>
              <w:t>BALLOT PAPER</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b/>
                <w:bCs/>
                <w:sz w:val="20"/>
              </w:rPr>
            </w:pPr>
            <w:r>
              <w:rPr>
                <w:b/>
                <w:bCs/>
                <w:sz w:val="20"/>
              </w:rPr>
              <w:t>Election of __________________________</w:t>
            </w:r>
            <w:r>
              <w:rPr>
                <w:b/>
                <w:bCs/>
                <w:sz w:val="20"/>
                <w:vertAlign w:val="superscript"/>
              </w:rPr>
              <w:t>1</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sz w:val="18"/>
              </w:rPr>
            </w:pPr>
            <w:r>
              <w:rPr>
                <w:sz w:val="18"/>
              </w:rPr>
              <w:t xml:space="preserve">Local government district </w:t>
            </w:r>
            <w:r>
              <w:rPr>
                <w:rFonts w:ascii="Times" w:hAnsi="Times"/>
                <w:sz w:val="18"/>
                <w:vertAlign w:val="superscript"/>
              </w:rPr>
              <w:t>2</w:t>
            </w:r>
            <w:r>
              <w:rPr>
                <w:sz w:val="18"/>
              </w:rPr>
              <w:t>:</w:t>
            </w:r>
          </w:p>
        </w:tc>
      </w:tr>
      <w:tr>
        <w:tc>
          <w:tcPr>
            <w:tcW w:w="4252" w:type="dxa"/>
          </w:tcPr>
          <w:p>
            <w:pPr>
              <w:pStyle w:val="yTableNAm"/>
              <w:spacing w:before="0"/>
              <w:rPr>
                <w:sz w:val="18"/>
              </w:rPr>
            </w:pPr>
            <w:r>
              <w:rPr>
                <w:sz w:val="18"/>
              </w:rPr>
              <w:t xml:space="preserve">Ward </w:t>
            </w:r>
            <w:r>
              <w:rPr>
                <w:rFonts w:ascii="Times" w:hAnsi="Times"/>
                <w:sz w:val="18"/>
                <w:vertAlign w:val="superscript"/>
              </w:rPr>
              <w:t>3</w:t>
            </w:r>
            <w:r>
              <w:rPr>
                <w:sz w:val="18"/>
              </w:rPr>
              <w:t>:</w:t>
            </w:r>
          </w:p>
        </w:tc>
      </w:tr>
      <w:tr>
        <w:tc>
          <w:tcPr>
            <w:tcW w:w="4252" w:type="dxa"/>
          </w:tcPr>
          <w:p>
            <w:pPr>
              <w:pStyle w:val="yTableNAm"/>
              <w:spacing w:before="0"/>
              <w:rPr>
                <w:sz w:val="18"/>
              </w:rPr>
            </w:pPr>
            <w:r>
              <w:rPr>
                <w:sz w:val="18"/>
              </w:rPr>
              <w:t xml:space="preserve">Election date </w:t>
            </w:r>
            <w:r>
              <w:rPr>
                <w:rFonts w:ascii="Times" w:hAnsi="Times"/>
                <w:sz w:val="18"/>
                <w:vertAlign w:val="superscript"/>
              </w:rPr>
              <w:t>4</w:t>
            </w:r>
            <w:r>
              <w:rPr>
                <w:sz w:val="18"/>
              </w:rPr>
              <w:t>:</w:t>
            </w:r>
          </w:p>
        </w:tc>
      </w:tr>
    </w:tbl>
    <w:p>
      <w:pPr>
        <w:pStyle w:val="yMiscellaneousBody"/>
        <w:rPr>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rPr>
          <w:cantSplit/>
        </w:trPr>
        <w:tc>
          <w:tcPr>
            <w:tcW w:w="5103" w:type="dxa"/>
            <w:noWrap/>
          </w:tcPr>
          <w:p>
            <w:pPr>
              <w:pStyle w:val="yTableNAm"/>
              <w:jc w:val="center"/>
              <w:rPr>
                <w:b/>
                <w:sz w:val="18"/>
              </w:rPr>
            </w:pPr>
            <w:r>
              <w:rPr>
                <w:b/>
                <w:sz w:val="18"/>
              </w:rPr>
              <w:t>How to vote </w:t>
            </w:r>
            <w:r>
              <w:rPr>
                <w:b/>
                <w:sz w:val="18"/>
                <w:vertAlign w:val="superscript"/>
              </w:rPr>
              <w:t>5</w:t>
            </w:r>
          </w:p>
          <w:p>
            <w:pPr>
              <w:pStyle w:val="yTableNAm"/>
              <w:rPr>
                <w:sz w:val="18"/>
              </w:rPr>
            </w:pPr>
            <w:r>
              <w:rPr>
                <w:sz w:val="18"/>
              </w:rPr>
              <w:t>Write the number 1 in the square next to the name of the candidate who you want to vote for.</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80"/>
        <w:rPr>
          <w:b/>
          <w:bCs/>
          <w:i/>
          <w:iCs/>
        </w:rPr>
      </w:pPr>
      <w:r>
        <w:rPr>
          <w:b/>
          <w:bCs/>
          <w:i/>
          <w:iCs/>
        </w:rPr>
        <w:t>Notes to Form 10</w:t>
      </w:r>
    </w:p>
    <w:p>
      <w:pPr>
        <w:pStyle w:val="yMiscellaneousBody"/>
        <w:spacing w:before="80"/>
        <w:jc w:val="center"/>
        <w:rPr>
          <w:b/>
          <w:bCs/>
          <w:i/>
          <w:iCs/>
        </w:rPr>
      </w:pPr>
      <w:r>
        <w:rPr>
          <w:b/>
          <w:bCs/>
          <w:i/>
          <w:iCs/>
        </w:rPr>
        <w:t>Notes to Returning Officer when preparing the ballot paper</w:t>
      </w:r>
    </w:p>
    <w:p>
      <w:pPr>
        <w:pStyle w:val="yMiscellaneousBody"/>
        <w:spacing w:before="80"/>
        <w:rPr>
          <w:b/>
          <w:bCs/>
          <w:i/>
          <w:iCs/>
        </w:rPr>
      </w:pPr>
      <w:r>
        <w:rPr>
          <w:b/>
          <w:bCs/>
          <w:i/>
          <w:iCs/>
        </w:rPr>
        <w:t>1</w:t>
      </w:r>
      <w:r>
        <w:rPr>
          <w:b/>
          <w:bCs/>
          <w:i/>
          <w:iCs/>
        </w:rPr>
        <w:tab/>
        <w:t>Mayor, president or councillor(s)</w:t>
      </w:r>
    </w:p>
    <w:p>
      <w:pPr>
        <w:pStyle w:val="yMiscellaneousBody"/>
        <w:tabs>
          <w:tab w:val="left" w:pos="600"/>
        </w:tabs>
        <w:spacing w:before="120" w:after="120"/>
        <w:ind w:left="851" w:hanging="851"/>
        <w:rPr>
          <w:i/>
          <w:iCs/>
        </w:rPr>
      </w:pPr>
      <w:r>
        <w:rPr>
          <w:i/>
          <w:iCs/>
        </w:rPr>
        <w:tab/>
      </w:r>
      <w:r>
        <w:rPr>
          <w:i/>
          <w:iCs/>
        </w:rPr>
        <w:tab/>
        <w:t>Insert “Mayor”, “President”, “Councillor” or “</w:t>
      </w:r>
      <w:r>
        <w:rPr>
          <w:i/>
          <w:iCs/>
        </w:rPr>
        <w:softHyphen/>
        <w:t> _______</w:t>
      </w:r>
      <w:r>
        <w:rPr>
          <w:rFonts w:ascii="Times" w:hAnsi="Times"/>
          <w:i/>
          <w:iCs/>
          <w:vertAlign w:val="superscript"/>
        </w:rPr>
        <w:t>7</w:t>
      </w:r>
      <w:r>
        <w:rPr>
          <w:i/>
          <w:iCs/>
        </w:rPr>
        <w:t xml:space="preserve"> Councillors” as appropriate.</w:t>
      </w:r>
    </w:p>
    <w:p>
      <w:pPr>
        <w:pStyle w:val="yMiscellaneousBody"/>
        <w:spacing w:before="80"/>
        <w:rPr>
          <w:b/>
          <w:bCs/>
          <w:i/>
          <w:iCs/>
        </w:rPr>
      </w:pPr>
      <w:r>
        <w:rPr>
          <w:b/>
          <w:bCs/>
          <w:i/>
          <w:iCs/>
        </w:rPr>
        <w:t>2</w:t>
      </w:r>
      <w:r>
        <w:rPr>
          <w:b/>
          <w:bCs/>
          <w:i/>
          <w:iCs/>
        </w:rPr>
        <w:tab/>
        <w:t>District</w:t>
      </w:r>
    </w:p>
    <w:p>
      <w:pPr>
        <w:pStyle w:val="yMiscellaneousBody"/>
        <w:tabs>
          <w:tab w:val="left" w:pos="600"/>
        </w:tabs>
        <w:spacing w:before="120" w:after="120"/>
        <w:ind w:left="851" w:hanging="851"/>
        <w:rPr>
          <w:i/>
          <w:iCs/>
        </w:rPr>
      </w:pPr>
      <w:r>
        <w:rPr>
          <w:i/>
          <w:iCs/>
        </w:rPr>
        <w:tab/>
      </w:r>
      <w:r>
        <w:rPr>
          <w:i/>
          <w:iCs/>
        </w:rPr>
        <w:tab/>
        <w:t>Fill in the name of the local government district.</w:t>
      </w:r>
    </w:p>
    <w:p>
      <w:pPr>
        <w:pStyle w:val="yMiscellaneousBody"/>
        <w:keepNext/>
        <w:spacing w:before="80"/>
        <w:rPr>
          <w:b/>
          <w:bCs/>
          <w:i/>
          <w:iCs/>
        </w:rPr>
      </w:pPr>
      <w:r>
        <w:rPr>
          <w:b/>
          <w:bCs/>
          <w:i/>
          <w:iCs/>
        </w:rPr>
        <w:lastRenderedPageBreak/>
        <w:t>3</w:t>
      </w:r>
      <w:r>
        <w:rPr>
          <w:b/>
          <w:bCs/>
          <w:i/>
          <w:iCs/>
        </w:rPr>
        <w:tab/>
        <w:t>Ward</w:t>
      </w:r>
    </w:p>
    <w:p>
      <w:pPr>
        <w:pStyle w:val="yMiscellaneousBody"/>
        <w:tabs>
          <w:tab w:val="left" w:pos="600"/>
        </w:tabs>
        <w:spacing w:before="120" w:after="120"/>
        <w:ind w:left="851" w:hanging="851"/>
        <w:rPr>
          <w:i/>
          <w:iCs/>
        </w:rPr>
      </w:pPr>
      <w:r>
        <w:rPr>
          <w:i/>
          <w:iCs/>
        </w:rPr>
        <w:tab/>
      </w:r>
      <w:r>
        <w:rPr>
          <w:i/>
          <w:iCs/>
        </w:rPr>
        <w:tab/>
        <w:t>Fill in name of the ward, or if there is no ward delete this box.</w:t>
      </w:r>
    </w:p>
    <w:p>
      <w:pPr>
        <w:pStyle w:val="yMiscellaneousBody"/>
        <w:spacing w:before="80"/>
        <w:rPr>
          <w:b/>
          <w:bCs/>
          <w:i/>
          <w:iCs/>
        </w:rPr>
      </w:pPr>
      <w:r>
        <w:rPr>
          <w:b/>
          <w:bCs/>
          <w:i/>
          <w:iCs/>
        </w:rPr>
        <w:t>4</w:t>
      </w:r>
      <w:r>
        <w:rPr>
          <w:b/>
          <w:bCs/>
          <w:i/>
          <w:iCs/>
        </w:rPr>
        <w:tab/>
        <w:t>Election date</w:t>
      </w:r>
    </w:p>
    <w:p>
      <w:pPr>
        <w:pStyle w:val="yMiscellaneousBody"/>
        <w:tabs>
          <w:tab w:val="left" w:pos="600"/>
        </w:tabs>
        <w:spacing w:before="120" w:after="120"/>
        <w:ind w:left="851" w:hanging="851"/>
        <w:rPr>
          <w:i/>
          <w:iCs/>
        </w:rPr>
      </w:pPr>
      <w:r>
        <w:rPr>
          <w:i/>
          <w:iCs/>
        </w:rPr>
        <w:tab/>
      </w:r>
      <w:r>
        <w:rPr>
          <w:i/>
          <w:iCs/>
        </w:rPr>
        <w:tab/>
        <w:t>Fill in the election date.</w:t>
      </w:r>
    </w:p>
    <w:p>
      <w:pPr>
        <w:pStyle w:val="zyMiscellaneousBodyBold"/>
        <w:tabs>
          <w:tab w:val="left" w:pos="728"/>
        </w:tabs>
      </w:pPr>
      <w:r>
        <w:t>5</w:t>
      </w:r>
      <w:r>
        <w:tab/>
        <w:t>How to vote</w:t>
      </w:r>
    </w:p>
    <w:p>
      <w:pPr>
        <w:pStyle w:val="yMiscellaneousBody"/>
        <w:tabs>
          <w:tab w:val="left" w:pos="756"/>
        </w:tabs>
        <w:spacing w:before="120" w:after="120"/>
        <w:ind w:left="851" w:hanging="851"/>
        <w:rPr>
          <w:i/>
          <w:iCs/>
        </w:rPr>
      </w:pPr>
      <w:r>
        <w:rPr>
          <w:i/>
          <w:iCs/>
        </w:rPr>
        <w:tab/>
      </w:r>
      <w:r>
        <w:rPr>
          <w:i/>
          <w:iCs/>
        </w:rPr>
        <w:tab/>
        <w:t>This ‘How to Vote’ note is for an election with only 2 candidates. If there are 3 or more candidates, replace it with the following note:</w:t>
      </w:r>
    </w:p>
    <w:p>
      <w:pPr>
        <w:pStyle w:val="BlankOpen"/>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rPr>
          <w:cantSplit/>
        </w:trPr>
        <w:tc>
          <w:tcPr>
            <w:tcW w:w="4394" w:type="dxa"/>
            <w:noWrap/>
          </w:tcPr>
          <w:p>
            <w:pPr>
              <w:pStyle w:val="yTableNAm"/>
              <w:jc w:val="center"/>
              <w:rPr>
                <w:b/>
                <w:sz w:val="18"/>
              </w:rPr>
            </w:pPr>
            <w:r>
              <w:rPr>
                <w:b/>
                <w:sz w:val="18"/>
              </w:rPr>
              <w:t>How to vote</w:t>
            </w:r>
          </w:p>
          <w:p>
            <w:pPr>
              <w:pStyle w:val="yTableNAm"/>
              <w:rPr>
                <w:sz w:val="18"/>
              </w:rPr>
            </w:pPr>
            <w:r>
              <w:rPr>
                <w:sz w:val="18"/>
              </w:rPr>
              <w:t>Write the number 1 in the square next to the name of the candidate who is your first choice.</w:t>
            </w:r>
          </w:p>
          <w:p>
            <w:pPr>
              <w:pStyle w:val="yTableNAm"/>
              <w:rPr>
                <w:sz w:val="18"/>
              </w:rPr>
            </w:pPr>
            <w:r>
              <w:rPr>
                <w:sz w:val="18"/>
              </w:rPr>
              <w:t>If you want to, you may show more choices by writing consecutive numbers in the squares next to the names of other candidates in the order of your choice, starting with the number 2 up to [INSERT NUMBER OF CANDIDATES].</w:t>
            </w:r>
          </w:p>
          <w:p>
            <w:pPr>
              <w:pStyle w:val="yTableNAm"/>
              <w:rPr>
                <w:sz w:val="18"/>
              </w:rPr>
            </w:pPr>
            <w:r>
              <w:rPr>
                <w:sz w:val="18"/>
              </w:rPr>
              <w:t>You do not need to write a number in all the squares.</w:t>
            </w:r>
          </w:p>
        </w:tc>
      </w:tr>
    </w:tbl>
    <w:p>
      <w:pPr>
        <w:pStyle w:val="BlankClose"/>
      </w:pPr>
    </w:p>
    <w:p>
      <w:pPr>
        <w:pStyle w:val="yMiscellaneousBody"/>
        <w:keepNext/>
        <w:rPr>
          <w:b/>
          <w:bCs/>
          <w:i/>
          <w:iCs/>
        </w:rPr>
      </w:pPr>
      <w:r>
        <w:rPr>
          <w:b/>
          <w:bCs/>
          <w:i/>
          <w:iCs/>
        </w:rPr>
        <w:t>6</w:t>
      </w:r>
      <w:r>
        <w:rPr>
          <w:b/>
          <w:bCs/>
          <w:i/>
          <w:iCs/>
        </w:rPr>
        <w:tab/>
        <w:t>Candidates</w:t>
      </w:r>
    </w:p>
    <w:p>
      <w:pPr>
        <w:pStyle w:val="yMiscellaneousBody"/>
        <w:tabs>
          <w:tab w:val="left" w:pos="600"/>
        </w:tabs>
        <w:spacing w:before="120" w:after="120"/>
        <w:ind w:left="851" w:hanging="851"/>
        <w:rPr>
          <w:i/>
          <w:iCs/>
        </w:rPr>
      </w:pPr>
      <w:r>
        <w:rPr>
          <w:i/>
          <w:iCs/>
        </w:rPr>
        <w:tab/>
      </w:r>
      <w:r>
        <w:rPr>
          <w:i/>
          <w:iCs/>
        </w:rPr>
        <w:tab/>
        <w:t>Insert the names of the candidates in the order determined under section 4.56(a) of the Act. Add more lines if necessary and delete any unused lines.</w:t>
      </w:r>
    </w:p>
    <w:p>
      <w:pPr>
        <w:pStyle w:val="yMiscellaneousBody"/>
        <w:tabs>
          <w:tab w:val="left" w:pos="600"/>
        </w:tabs>
        <w:spacing w:before="120" w:after="120"/>
        <w:ind w:left="851" w:hanging="851"/>
        <w:rPr>
          <w:i/>
          <w:iCs/>
        </w:rPr>
      </w:pPr>
      <w:r>
        <w:rPr>
          <w:i/>
          <w:iCs/>
        </w:rPr>
        <w:tab/>
      </w:r>
      <w:r>
        <w:rPr>
          <w:i/>
          <w:iCs/>
        </w:rPr>
        <w:tab/>
        <w:t>All names must be in the same size text.</w:t>
      </w:r>
    </w:p>
    <w:p>
      <w:pPr>
        <w:pStyle w:val="yMiscellaneousBody"/>
        <w:tabs>
          <w:tab w:val="left" w:pos="600"/>
        </w:tabs>
        <w:spacing w:before="120" w:after="120"/>
        <w:ind w:left="851" w:hanging="851"/>
        <w:rPr>
          <w:i/>
          <w:iCs/>
        </w:rPr>
      </w:pPr>
      <w:r>
        <w:rPr>
          <w:i/>
          <w:iCs/>
        </w:rPr>
        <w:tab/>
      </w:r>
      <w:r>
        <w:rPr>
          <w:i/>
          <w:iCs/>
        </w:rPr>
        <w:tab/>
        <w:t xml:space="preserve">If 2 names are confusingly similar add such descriptions or additions as are necessary to distinguish them from each other. </w:t>
      </w:r>
    </w:p>
    <w:p>
      <w:pPr>
        <w:pStyle w:val="yMiscellaneousBody"/>
        <w:keepNext/>
        <w:rPr>
          <w:b/>
          <w:bCs/>
          <w:i/>
          <w:iCs/>
        </w:rPr>
      </w:pPr>
      <w:r>
        <w:rPr>
          <w:b/>
          <w:bCs/>
          <w:i/>
          <w:iCs/>
        </w:rPr>
        <w:t>7</w:t>
      </w:r>
      <w:r>
        <w:rPr>
          <w:b/>
          <w:bCs/>
          <w:i/>
          <w:iCs/>
        </w:rPr>
        <w:tab/>
        <w:t>Number of councillors</w:t>
      </w:r>
    </w:p>
    <w:p>
      <w:pPr>
        <w:pStyle w:val="yMiscellaneousBody"/>
        <w:keepNext/>
        <w:tabs>
          <w:tab w:val="left" w:pos="600"/>
        </w:tabs>
        <w:spacing w:before="120" w:after="120"/>
        <w:ind w:left="851" w:hanging="851"/>
        <w:rPr>
          <w:i/>
          <w:iCs/>
        </w:rPr>
      </w:pPr>
      <w:r>
        <w:rPr>
          <w:i/>
          <w:iCs/>
        </w:rPr>
        <w:tab/>
      </w:r>
      <w:r>
        <w:rPr>
          <w:i/>
          <w:iCs/>
        </w:rPr>
        <w:tab/>
        <w:t>If the election is for more than</w:t>
      </w:r>
      <w:r>
        <w:t xml:space="preserve"> </w:t>
      </w:r>
      <w:r>
        <w:rPr>
          <w:i/>
          <w:iCs/>
        </w:rPr>
        <w:t>one councillor insert the number of councillors to be elected.</w:t>
      </w:r>
    </w:p>
    <w:p>
      <w:pPr>
        <w:pStyle w:val="yFootnotesection"/>
        <w:rPr>
          <w:i w:val="0"/>
          <w:iCs/>
        </w:rPr>
      </w:pPr>
      <w:r>
        <w:tab/>
        <w:t>[Form 10 inserted: Gazette 28 Aug 2009 p. 3362</w:t>
      </w:r>
      <w:r>
        <w:noBreakHyphen/>
        <w:t>3; amended: SL 2023/102 r. 53.]</w:t>
      </w:r>
    </w:p>
    <w:p>
      <w:pPr>
        <w:pStyle w:val="yMiscellaneousHeading"/>
        <w:pageBreakBefore/>
        <w:jc w:val="left"/>
        <w:outlineLvl w:val="2"/>
        <w:rPr>
          <w:b/>
          <w:bCs/>
          <w:snapToGrid w:val="0"/>
        </w:rPr>
      </w:pPr>
      <w:r>
        <w:rPr>
          <w:rStyle w:val="CharSClsNo"/>
          <w:b/>
        </w:rPr>
        <w:lastRenderedPageBreak/>
        <w:t>Form 11</w:t>
      </w:r>
      <w:r>
        <w:rPr>
          <w:b/>
          <w:bCs/>
          <w:snapToGrid w:val="0"/>
        </w:rPr>
        <w:t>.</w:t>
      </w:r>
      <w:r>
        <w:rPr>
          <w:b/>
          <w:bCs/>
          <w:snapToGrid w:val="0"/>
        </w:rPr>
        <w:tab/>
        <w:t>Absent Vote Ballot Paper</w:t>
      </w:r>
    </w:p>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jc w:val="center"/>
              <w:rPr>
                <w:b/>
                <w:bCs/>
                <w:snapToGrid w:val="0"/>
              </w:rPr>
            </w:pPr>
            <w:r>
              <w:rPr>
                <w:b/>
                <w:bCs/>
                <w:snapToGrid w:val="0"/>
              </w:rPr>
              <w:t>ABSENT VOTE BALLOT PAPER</w:t>
            </w:r>
          </w:p>
          <w:p>
            <w:pPr>
              <w:pStyle w:val="yTableNAm"/>
              <w:spacing w:before="0"/>
              <w:jc w:val="center"/>
              <w:rPr>
                <w:snapToGrid w:val="0"/>
                <w:sz w:val="18"/>
              </w:rPr>
            </w:pPr>
            <w:r>
              <w:rPr>
                <w:snapToGrid w:val="0"/>
                <w:sz w:val="18"/>
              </w:rPr>
              <w:t>See back for notes on how to vote</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tabs>
                <w:tab w:val="clear" w:pos="567"/>
                <w:tab w:val="left" w:pos="1856"/>
                <w:tab w:val="left" w:pos="2336"/>
              </w:tabs>
              <w:spacing w:before="0"/>
              <w:rPr>
                <w:b/>
                <w:bCs/>
                <w:snapToGrid w:val="0"/>
              </w:rPr>
            </w:pPr>
            <w:r>
              <w:rPr>
                <w:b/>
                <w:bCs/>
                <w:snapToGrid w:val="0"/>
              </w:rPr>
              <w:t>Election of </w:t>
            </w:r>
            <w:r>
              <w:rPr>
                <w:b/>
                <w:bCs/>
                <w:snapToGrid w:val="0"/>
                <w:vertAlign w:val="superscript"/>
              </w:rPr>
              <w:t>1</w:t>
            </w:r>
            <w:r>
              <w:rPr>
                <w:b/>
                <w:bCs/>
                <w:snapToGrid w:val="0"/>
              </w:rPr>
              <w:tab/>
            </w:r>
            <w:r>
              <w:rPr>
                <w:b/>
                <w:bCs/>
                <w:snapToGrid w:val="0"/>
              </w:rPr>
              <w:sym w:font="Wingdings" w:char="F072"/>
            </w:r>
            <w:r>
              <w:rPr>
                <w:b/>
                <w:bCs/>
                <w:snapToGrid w:val="0"/>
              </w:rPr>
              <w:tab/>
              <w:t>Mayor</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President</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Councillor(s)</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rPr>
                <w:snapToGrid w:val="0"/>
                <w:sz w:val="18"/>
              </w:rPr>
            </w:pPr>
            <w:r>
              <w:rPr>
                <w:snapToGrid w:val="0"/>
                <w:sz w:val="18"/>
              </w:rPr>
              <w:t>Local government district </w:t>
            </w:r>
            <w:r>
              <w:rPr>
                <w:snapToGrid w:val="0"/>
                <w:sz w:val="18"/>
                <w:vertAlign w:val="superscript"/>
              </w:rPr>
              <w:t>2</w:t>
            </w:r>
            <w:r>
              <w:rPr>
                <w:snapToGrid w:val="0"/>
                <w:sz w:val="18"/>
              </w:rPr>
              <w:t>:</w:t>
            </w:r>
          </w:p>
        </w:tc>
      </w:tr>
      <w:tr>
        <w:tc>
          <w:tcPr>
            <w:tcW w:w="4111" w:type="dxa"/>
          </w:tcPr>
          <w:p>
            <w:pPr>
              <w:pStyle w:val="yTableNAm"/>
              <w:spacing w:before="0"/>
              <w:rPr>
                <w:snapToGrid w:val="0"/>
                <w:sz w:val="18"/>
              </w:rPr>
            </w:pPr>
            <w:r>
              <w:rPr>
                <w:snapToGrid w:val="0"/>
                <w:sz w:val="18"/>
              </w:rPr>
              <w:t>Ward </w:t>
            </w:r>
            <w:r>
              <w:rPr>
                <w:snapToGrid w:val="0"/>
                <w:sz w:val="18"/>
                <w:vertAlign w:val="superscript"/>
              </w:rPr>
              <w:t>3</w:t>
            </w:r>
            <w:r>
              <w:rPr>
                <w:snapToGrid w:val="0"/>
                <w:sz w:val="18"/>
              </w:rPr>
              <w:t>:</w:t>
            </w:r>
          </w:p>
        </w:tc>
      </w:tr>
      <w:tr>
        <w:tc>
          <w:tcPr>
            <w:tcW w:w="4111" w:type="dxa"/>
          </w:tcPr>
          <w:p>
            <w:pPr>
              <w:pStyle w:val="yTableNAm"/>
              <w:spacing w:before="0"/>
              <w:rPr>
                <w:snapToGrid w:val="0"/>
                <w:sz w:val="18"/>
              </w:rPr>
            </w:pPr>
            <w:r>
              <w:rPr>
                <w:snapToGrid w:val="0"/>
                <w:sz w:val="18"/>
              </w:rPr>
              <w:t xml:space="preserve">Election date </w:t>
            </w:r>
            <w:r>
              <w:rPr>
                <w:snapToGrid w:val="0"/>
                <w:sz w:val="18"/>
                <w:vertAlign w:val="superscript"/>
              </w:rPr>
              <w:t>4</w:t>
            </w:r>
            <w:r>
              <w:rPr>
                <w:snapToGrid w:val="0"/>
                <w:sz w:val="18"/>
              </w:rPr>
              <w:t>:</w:t>
            </w:r>
          </w:p>
        </w:tc>
      </w:tr>
    </w:tbl>
    <w:p>
      <w:pPr>
        <w:pStyle w:val="yMiscellaneousHeading"/>
        <w:tabs>
          <w:tab w:val="left" w:pos="2160"/>
        </w:tabs>
        <w:spacing w:before="120"/>
        <w:jc w:val="left"/>
        <w:rPr>
          <w:b/>
          <w:bCs/>
          <w:snapToGrid w:val="0"/>
        </w:rPr>
      </w:pPr>
      <w:r>
        <w:rPr>
          <w:snapToGrid w:val="0"/>
        </w:rPr>
        <w:tab/>
      </w:r>
      <w:r>
        <w:rPr>
          <w:b/>
          <w:bCs/>
          <w:snapToGrid w:val="0"/>
        </w:rPr>
        <w:t>Candidates</w:t>
      </w:r>
      <w:r>
        <w:rPr>
          <w:bCs/>
          <w:snapToGrid w:val="0"/>
        </w:rPr>
        <w:t> </w:t>
      </w:r>
      <w:r>
        <w:rPr>
          <w:rFonts w:ascii="Times" w:hAnsi="Times"/>
          <w:bCs/>
          <w:sz w:val="18"/>
          <w:vertAlign w:val="superscript"/>
        </w:rPr>
        <w:t>5</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Heading"/>
        <w:jc w:val="left"/>
        <w:rPr>
          <w:b/>
          <w:bCs/>
          <w:snapToGrid w:val="0"/>
        </w:rPr>
      </w:pPr>
      <w:r>
        <w:rPr>
          <w:b/>
          <w:bCs/>
          <w:snapToGrid w:val="0"/>
        </w:rPr>
        <w:t>Back of Form 11</w:t>
      </w:r>
    </w:p>
    <w:p>
      <w:pPr>
        <w:pStyle w:val="yMiscellaneousHeading"/>
        <w:spacing w:after="60"/>
        <w:rPr>
          <w:b/>
          <w:bCs/>
          <w:snapToGrid w:val="0"/>
        </w:rPr>
      </w:pPr>
      <w:r>
        <w:rPr>
          <w:b/>
          <w:bCs/>
          <w:snapToGrid w:val="0"/>
        </w:rPr>
        <w:t>How to make an absent vote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1</w:t>
            </w:r>
            <w:r>
              <w:rPr>
                <w:b/>
                <w:bCs/>
                <w:snapToGrid w:val="0"/>
                <w:sz w:val="18"/>
              </w:rPr>
              <w:tab/>
              <w:t>Mayor, president or councillors</w:t>
            </w:r>
          </w:p>
        </w:tc>
        <w:tc>
          <w:tcPr>
            <w:tcW w:w="5103" w:type="dxa"/>
          </w:tcPr>
          <w:p>
            <w:pPr>
              <w:pStyle w:val="yTableNAm"/>
              <w:tabs>
                <w:tab w:val="clear" w:pos="567"/>
                <w:tab w:val="left" w:pos="328"/>
              </w:tabs>
              <w:spacing w:before="60"/>
              <w:rPr>
                <w:snapToGrid w:val="0"/>
                <w:sz w:val="18"/>
              </w:rPr>
            </w:pP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2</w:t>
            </w:r>
            <w:r>
              <w:rPr>
                <w:b/>
                <w:bCs/>
                <w:snapToGrid w:val="0"/>
                <w:sz w:val="18"/>
              </w:rPr>
              <w:tab/>
              <w:t>District</w:t>
            </w:r>
          </w:p>
        </w:tc>
        <w:tc>
          <w:tcPr>
            <w:tcW w:w="5103" w:type="dxa"/>
          </w:tcPr>
          <w:p>
            <w:pPr>
              <w:pStyle w:val="zyTableNAm"/>
              <w:spacing w:before="60"/>
              <w:rPr>
                <w:snapToGrid w:val="0"/>
                <w:sz w:val="18"/>
              </w:rPr>
            </w:pPr>
            <w:r>
              <w:rPr>
                <w:snapToGrid w:val="0"/>
                <w:sz w:val="18"/>
              </w:rPr>
              <w:t>Fill in the name of the local government district in respect of which you are voting.</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3</w:t>
            </w:r>
            <w:r>
              <w:rPr>
                <w:b/>
                <w:bCs/>
                <w:snapToGrid w:val="0"/>
                <w:sz w:val="18"/>
              </w:rPr>
              <w:tab/>
              <w:t>Ward</w:t>
            </w:r>
          </w:p>
        </w:tc>
        <w:tc>
          <w:tcPr>
            <w:tcW w:w="5103" w:type="dxa"/>
          </w:tcPr>
          <w:p>
            <w:pPr>
              <w:pStyle w:val="zyTableNAm"/>
              <w:spacing w:before="6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lastRenderedPageBreak/>
              <w:t>4</w:t>
            </w:r>
            <w:r>
              <w:rPr>
                <w:b/>
                <w:bCs/>
                <w:snapToGrid w:val="0"/>
                <w:sz w:val="18"/>
              </w:rPr>
              <w:tab/>
              <w:t>Election date</w:t>
            </w:r>
          </w:p>
        </w:tc>
        <w:tc>
          <w:tcPr>
            <w:tcW w:w="5103" w:type="dxa"/>
          </w:tcPr>
          <w:p>
            <w:pPr>
              <w:pStyle w:val="zyTableNAm"/>
              <w:spacing w:before="60"/>
              <w:rPr>
                <w:snapToGrid w:val="0"/>
                <w:sz w:val="18"/>
              </w:rPr>
            </w:pPr>
            <w:r>
              <w:rPr>
                <w:snapToGrid w:val="0"/>
                <w:sz w:val="18"/>
              </w:rPr>
              <w:t>Fill in the official election date — not the day you are filling in this form.</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5</w:t>
            </w:r>
            <w:r>
              <w:rPr>
                <w:b/>
                <w:bCs/>
                <w:snapToGrid w:val="0"/>
                <w:sz w:val="18"/>
              </w:rPr>
              <w:tab/>
              <w:t>Candidates</w:t>
            </w:r>
          </w:p>
        </w:tc>
        <w:tc>
          <w:tcPr>
            <w:tcW w:w="5103" w:type="dxa"/>
          </w:tcPr>
          <w:p>
            <w:pPr>
              <w:pStyle w:val="zyTableNAm"/>
              <w:spacing w:before="60"/>
              <w:rPr>
                <w:snapToGrid w:val="0"/>
                <w:sz w:val="18"/>
              </w:rPr>
            </w:pPr>
            <w:r>
              <w:rPr>
                <w:snapToGrid w:val="0"/>
                <w:sz w:val="18"/>
              </w:rPr>
              <w:t>Fill in the names of the candidates. Write one name on each line. You may fill in the candidates’ names in any order.</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noWrap/>
          </w:tcPr>
          <w:p>
            <w:pPr>
              <w:pStyle w:val="yTableNAm"/>
              <w:rPr>
                <w:b/>
                <w:snapToGrid w:val="0"/>
                <w:sz w:val="18"/>
              </w:rPr>
            </w:pPr>
            <w:r>
              <w:rPr>
                <w:b/>
                <w:snapToGrid w:val="0"/>
                <w:sz w:val="18"/>
              </w:rPr>
              <w:t>Cast your vote</w:t>
            </w:r>
          </w:p>
        </w:tc>
        <w:tc>
          <w:tcPr>
            <w:tcW w:w="5103" w:type="dxa"/>
            <w:noWrap/>
          </w:tcPr>
          <w:p>
            <w:pPr>
              <w:pStyle w:val="yTableNAm"/>
              <w:rPr>
                <w:snapToGrid w:val="0"/>
                <w:sz w:val="18"/>
                <w:u w:val="single"/>
              </w:rPr>
            </w:pPr>
            <w:r>
              <w:rPr>
                <w:snapToGrid w:val="0"/>
                <w:sz w:val="18"/>
                <w:u w:val="single"/>
              </w:rPr>
              <w:t>Election that has only 2 candidates</w:t>
            </w:r>
          </w:p>
          <w:p>
            <w:pPr>
              <w:pStyle w:val="yTableNAm"/>
              <w:rPr>
                <w:sz w:val="18"/>
              </w:rPr>
            </w:pPr>
            <w:r>
              <w:rPr>
                <w:sz w:val="18"/>
              </w:rPr>
              <w:t>Write the number 1 in the square next to the name of the candidate who you want to vote for.</w:t>
            </w:r>
          </w:p>
          <w:p>
            <w:pPr>
              <w:pStyle w:val="yTableNAm"/>
              <w:rPr>
                <w:sz w:val="18"/>
                <w:u w:val="single"/>
              </w:rPr>
            </w:pPr>
            <w:r>
              <w:rPr>
                <w:sz w:val="18"/>
                <w:u w:val="single"/>
              </w:rPr>
              <w:t>Election that has 3 or more candidates</w:t>
            </w:r>
          </w:p>
          <w:p>
            <w:pPr>
              <w:pStyle w:val="yTableNAm"/>
              <w:rPr>
                <w:sz w:val="18"/>
              </w:rPr>
            </w:pPr>
            <w:r>
              <w:rPr>
                <w:sz w:val="18"/>
              </w:rPr>
              <w:t>Write the number 1 in the square next to the name of the candidate who is your first choice.</w:t>
            </w:r>
          </w:p>
          <w:p>
            <w:pPr>
              <w:pStyle w:val="yTableNAm"/>
              <w:rPr>
                <w:sz w:val="18"/>
              </w:rPr>
            </w:pPr>
            <w:r>
              <w:rPr>
                <w:sz w:val="18"/>
              </w:rPr>
              <w:t>If you want to, you may show more choices by writing consecutive numbers in the squares next to the names of other candidates in the order of your choice, starting with the number 2 up to the number equal to the total number of candidates.</w:t>
            </w:r>
          </w:p>
          <w:p>
            <w:pPr>
              <w:pStyle w:val="yTableNAm"/>
              <w:rPr>
                <w:sz w:val="18"/>
              </w:rPr>
            </w:pPr>
            <w:r>
              <w:rPr>
                <w:sz w:val="18"/>
              </w:rPr>
              <w:t>You do not need to write a number in all the squares.</w:t>
            </w:r>
          </w:p>
        </w:tc>
      </w:tr>
    </w:tbl>
    <w:p>
      <w:pPr>
        <w:pStyle w:val="yFootnotesection"/>
        <w:rPr>
          <w:i w:val="0"/>
          <w:iCs/>
        </w:rPr>
      </w:pPr>
      <w:r>
        <w:tab/>
        <w:t>[Form 11 inserted: Gazette 28 Aug 2009 p. 3364; amended: SL 2023/102 r. 54.]</w:t>
      </w:r>
    </w:p>
    <w:p>
      <w:pPr>
        <w:pStyle w:val="yTable"/>
        <w:pageBreakBefore/>
        <w:tabs>
          <w:tab w:val="left" w:pos="1134"/>
        </w:tabs>
        <w:spacing w:before="0" w:after="80"/>
        <w:outlineLvl w:val="2"/>
        <w:rPr>
          <w:b/>
          <w:snapToGrid w:val="0"/>
        </w:rPr>
      </w:pPr>
      <w:r>
        <w:rPr>
          <w:rStyle w:val="CharSClsNo"/>
          <w:b/>
        </w:rPr>
        <w:lastRenderedPageBreak/>
        <w:t>Form 12</w:t>
      </w:r>
      <w:r>
        <w:rPr>
          <w:b/>
          <w:snapToGrid w:val="0"/>
        </w:rPr>
        <w:t>.</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120"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if you are making your application within </w:t>
            </w:r>
            <w:r>
              <w:rPr>
                <w:sz w:val="18"/>
                <w:szCs w:val="18"/>
              </w:rPr>
              <w:t>43 </w:t>
            </w:r>
            <w:r>
              <w:rPr>
                <w:snapToGrid w:val="0"/>
                <w:sz w:val="18"/>
              </w:rPr>
              <w:t>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rFonts w:ascii="Times" w:hAnsi="Times"/>
          <w:snapToGrid w:val="0"/>
          <w:sz w:val="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tcPr>
          <w:p>
            <w:pPr>
              <w:pStyle w:val="yTable"/>
              <w:spacing w:before="0"/>
              <w:rPr>
                <w:b/>
                <w:spacing w:val="-2"/>
                <w:sz w:val="18"/>
              </w:rPr>
            </w:pPr>
            <w:r>
              <w:rPr>
                <w:b/>
                <w:spacing w:val="-2"/>
                <w:sz w:val="18"/>
              </w:rPr>
              <w:lastRenderedPageBreak/>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 xml:space="preserve">If at any time you no longer wish to vote by post you should write to the Chief Executive Officer of your local government (or, if it is within </w:t>
            </w:r>
            <w:r>
              <w:rPr>
                <w:sz w:val="18"/>
                <w:szCs w:val="18"/>
              </w:rPr>
              <w:t>43 </w:t>
            </w:r>
            <w:r>
              <w:rPr>
                <w:spacing w:val="-2"/>
                <w:sz w:val="18"/>
              </w:rPr>
              <w:t>days of an election, the Returning Officer) and he or she will remove your name from the register. You may send your letter by post, by fax or by other electronic means.</w:t>
            </w:r>
          </w:p>
        </w:tc>
      </w:tr>
    </w:tbl>
    <w:p>
      <w:pPr>
        <w:pStyle w:val="yFootnotesection"/>
        <w:rPr>
          <w:b/>
        </w:rPr>
      </w:pPr>
      <w:r>
        <w:tab/>
        <w:t>[Form 12 amended: Gazette 21 Jan 2005 p. 268; SL 2023/102 r. 55.]</w:t>
      </w:r>
    </w:p>
    <w:p>
      <w:pPr>
        <w:pStyle w:val="yMiscellaneousHeading"/>
        <w:pageBreakBefore/>
        <w:spacing w:before="0"/>
        <w:jc w:val="left"/>
        <w:outlineLvl w:val="2"/>
        <w:rPr>
          <w:b/>
          <w:bCs/>
          <w:snapToGrid w:val="0"/>
        </w:rPr>
      </w:pPr>
      <w:r>
        <w:rPr>
          <w:rStyle w:val="CharSClsNo"/>
          <w:b/>
        </w:rPr>
        <w:lastRenderedPageBreak/>
        <w:t>Form 13</w:t>
      </w:r>
      <w:r>
        <w:rPr>
          <w:b/>
          <w:bCs/>
          <w:snapToGrid w:val="0"/>
        </w:rPr>
        <w:t>.</w:t>
      </w:r>
      <w:r>
        <w:rPr>
          <w:b/>
          <w:bCs/>
          <w:snapToGrid w:val="0"/>
        </w:rPr>
        <w:tab/>
        <w:t>Postal Voting Instructions</w:t>
      </w:r>
    </w:p>
    <w:p>
      <w:pPr>
        <w:pStyle w:val="yMiscellaneousBody"/>
        <w:tabs>
          <w:tab w:val="left" w:pos="1440"/>
        </w:tabs>
        <w:ind w:left="2160" w:hanging="2160"/>
        <w:rPr>
          <w:b/>
          <w:bCs/>
          <w:snapToGrid w:val="0"/>
        </w:rPr>
      </w:pPr>
      <w:r>
        <w:rPr>
          <w:b/>
          <w:bCs/>
          <w:snapToGrid w:val="0"/>
        </w:rPr>
        <w:tab/>
        <w:t>(a)</w:t>
      </w:r>
      <w:r>
        <w:rPr>
          <w:b/>
          <w:bCs/>
          <w:snapToGrid w:val="0"/>
        </w:rPr>
        <w:tab/>
        <w:t xml:space="preserve">Mayoral/Presidential or Ward Election </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0"/>
      </w:tblGrid>
      <w:tr>
        <w:tc>
          <w:tcPr>
            <w:tcW w:w="5280" w:type="dxa"/>
          </w:tcPr>
          <w:p>
            <w:pPr>
              <w:pStyle w:val="yTableNAm"/>
              <w:rPr>
                <w:i/>
                <w:iCs/>
                <w:snapToGrid w:val="0"/>
                <w:sz w:val="18"/>
                <w:highlight w:val="cyan"/>
              </w:rPr>
            </w:pPr>
            <w:r>
              <w:rPr>
                <w:i/>
                <w:iCs/>
                <w:snapToGrid w:val="0"/>
                <w:sz w:val="18"/>
              </w:rPr>
              <w:t xml:space="preserve">Local Government (Elections) Regulations 1997, </w:t>
            </w:r>
            <w:r>
              <w:rPr>
                <w:snapToGrid w:val="0"/>
                <w:sz w:val="18"/>
              </w:rPr>
              <w:t>r. 43(1)(a)</w:t>
            </w:r>
          </w:p>
          <w:p>
            <w:pPr>
              <w:pStyle w:val="yTableNAm"/>
              <w:spacing w:before="60"/>
              <w:rPr>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449"/>
              </w:tabs>
              <w:spacing w:before="0"/>
              <w:rPr>
                <w:sz w:val="18"/>
              </w:rPr>
            </w:pPr>
            <w:r>
              <w:rPr>
                <w:sz w:val="18"/>
              </w:rPr>
              <w:t>This is your Postal Voting Election Package. It contains:</w:t>
            </w:r>
          </w:p>
          <w:p>
            <w:pPr>
              <w:pStyle w:val="yTableNAm"/>
              <w:tabs>
                <w:tab w:val="clear" w:pos="567"/>
                <w:tab w:val="left" w:pos="329"/>
              </w:tabs>
              <w:spacing w:before="0"/>
              <w:ind w:left="329" w:hanging="329"/>
              <w:rPr>
                <w:sz w:val="18"/>
              </w:rPr>
            </w:pPr>
            <w:r>
              <w:rPr>
                <w:sz w:val="18"/>
              </w:rPr>
              <w:sym w:font="Symbol" w:char="F0B7"/>
            </w:r>
            <w:r>
              <w:rPr>
                <w:sz w:val="18"/>
              </w:rPr>
              <w:tab/>
              <w:t>profiles of each of the candidates in your electorate;</w:t>
            </w:r>
          </w:p>
          <w:p>
            <w:pPr>
              <w:pStyle w:val="yTableNAm"/>
              <w:tabs>
                <w:tab w:val="clear" w:pos="567"/>
                <w:tab w:val="left" w:pos="329"/>
              </w:tabs>
              <w:spacing w:before="0"/>
              <w:ind w:left="329" w:hanging="329"/>
              <w:rPr>
                <w:sz w:val="18"/>
              </w:rPr>
            </w:pPr>
            <w:r>
              <w:rPr>
                <w:sz w:val="18"/>
              </w:rPr>
              <w:sym w:font="Symbol" w:char="F0B7"/>
            </w:r>
            <w:r>
              <w:rPr>
                <w:sz w:val="18"/>
              </w:rPr>
              <w:tab/>
              <w:t>a ballot paper;</w:t>
            </w:r>
          </w:p>
          <w:p>
            <w:pPr>
              <w:pStyle w:val="yTableNAm"/>
              <w:tabs>
                <w:tab w:val="clear" w:pos="567"/>
                <w:tab w:val="left" w:pos="329"/>
              </w:tabs>
              <w:spacing w:before="0"/>
              <w:ind w:left="329" w:hanging="329"/>
              <w:rPr>
                <w:sz w:val="18"/>
              </w:rPr>
            </w:pPr>
            <w:r>
              <w:rPr>
                <w:sz w:val="18"/>
              </w:rPr>
              <w:sym w:font="Symbol" w:char="F0B7"/>
            </w:r>
            <w:r>
              <w:rPr>
                <w:sz w:val="18"/>
              </w:rPr>
              <w:tab/>
              <w:t>an elector’s certificate</w:t>
            </w:r>
            <w:r>
              <w:rPr>
                <w:sz w:val="18"/>
                <w:vertAlign w:val="superscript"/>
              </w:rPr>
              <w:t> 1, 1a</w:t>
            </w:r>
            <w:r>
              <w:rPr>
                <w:sz w:val="18"/>
              </w:rPr>
              <w:t>; and</w:t>
            </w:r>
          </w:p>
          <w:p>
            <w:pPr>
              <w:pStyle w:val="yTableNAm"/>
              <w:tabs>
                <w:tab w:val="clear" w:pos="567"/>
                <w:tab w:val="left" w:pos="329"/>
              </w:tabs>
              <w:spacing w:before="0"/>
              <w:ind w:left="329" w:hanging="329"/>
              <w:rPr>
                <w:sz w:val="18"/>
              </w:rPr>
            </w:pPr>
            <w:r>
              <w:rPr>
                <w:sz w:val="18"/>
              </w:rPr>
              <w:sym w:font="Symbol" w:char="F0B7"/>
            </w:r>
            <w:r>
              <w:rPr>
                <w:sz w:val="18"/>
              </w:rPr>
              <w:tab/>
              <w:t>a ballot paper envelope</w:t>
            </w:r>
            <w:r>
              <w:rPr>
                <w:sz w:val="18"/>
                <w:vertAlign w:val="superscript"/>
              </w:rPr>
              <w:t> 1a</w:t>
            </w:r>
            <w:r>
              <w:rPr>
                <w:sz w:val="18"/>
              </w:rPr>
              <w:t>;</w:t>
            </w:r>
          </w:p>
          <w:p>
            <w:pPr>
              <w:pStyle w:val="yTableNAm"/>
              <w:tabs>
                <w:tab w:val="clear" w:pos="567"/>
                <w:tab w:val="left" w:pos="329"/>
              </w:tabs>
              <w:spacing w:before="0"/>
              <w:ind w:left="329" w:hanging="329"/>
              <w:rPr>
                <w:sz w:val="18"/>
              </w:rPr>
            </w:pPr>
            <w:r>
              <w:rPr>
                <w:sz w:val="18"/>
              </w:rPr>
              <w:sym w:font="Symbol" w:char="F0B7"/>
            </w:r>
            <w:r>
              <w:rPr>
                <w:sz w:val="18"/>
              </w:rPr>
              <w:tab/>
              <w:t>a postage pre</w:t>
            </w:r>
            <w:r>
              <w:rPr>
                <w:sz w:val="18"/>
              </w:rPr>
              <w:noBreakHyphen/>
              <w:t>paid envelope addressed to the Returning Officer</w:t>
            </w:r>
            <w:r>
              <w:rPr>
                <w:sz w:val="18"/>
                <w:vertAlign w:val="superscript"/>
              </w:rPr>
              <w:t> 1a</w:t>
            </w:r>
            <w:r>
              <w:rPr>
                <w:sz w:val="18"/>
              </w:rPr>
              <w:t>.</w:t>
            </w:r>
          </w:p>
          <w:p>
            <w:pPr>
              <w:pStyle w:val="yTableNAm"/>
              <w:tabs>
                <w:tab w:val="clear" w:pos="567"/>
                <w:tab w:val="left" w:pos="449"/>
              </w:tabs>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ind w:left="567" w:hanging="567"/>
              <w:rPr>
                <w:sz w:val="18"/>
              </w:rPr>
            </w:pPr>
            <w:r>
              <w:rPr>
                <w:b/>
                <w:bCs/>
                <w:sz w:val="18"/>
              </w:rPr>
              <w:t>How to vote</w:t>
            </w:r>
            <w:r>
              <w:rPr>
                <w:sz w:val="18"/>
              </w:rPr>
              <w:t> </w:t>
            </w:r>
            <w:r>
              <w:rPr>
                <w:sz w:val="18"/>
                <w:vertAlign w:val="superscript"/>
              </w:rPr>
              <w:t>1b</w:t>
            </w:r>
          </w:p>
        </w:tc>
        <w:tc>
          <w:tcPr>
            <w:tcW w:w="5103" w:type="dxa"/>
          </w:tcPr>
          <w:p>
            <w:pPr>
              <w:pStyle w:val="yTableNAm"/>
              <w:tabs>
                <w:tab w:val="clear" w:pos="567"/>
                <w:tab w:val="left" w:pos="329"/>
              </w:tabs>
              <w:spacing w:before="0"/>
              <w:ind w:left="329" w:hanging="329"/>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candidate you want to vote for and mark your choice on the ballot paper. The </w:t>
            </w:r>
            <w:r>
              <w:rPr>
                <w:sz w:val="18"/>
              </w:rPr>
              <w:t>instructions</w:t>
            </w:r>
            <w:r>
              <w:rPr>
                <w:spacing w:val="-2"/>
                <w:sz w:val="18"/>
              </w:rPr>
              <w:t xml:space="preserve"> on the ballot paper tell you how to do this.</w:t>
            </w:r>
          </w:p>
          <w:p>
            <w:pPr>
              <w:pStyle w:val="yTableNAm"/>
              <w:tabs>
                <w:tab w:val="clear" w:pos="567"/>
                <w:tab w:val="left" w:pos="329"/>
              </w:tabs>
              <w:spacing w:before="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which candidate is your first choice and </w:t>
            </w:r>
            <w:r>
              <w:rPr>
                <w:sz w:val="18"/>
              </w:rPr>
              <w:t>whether</w:t>
            </w:r>
            <w:r>
              <w:rPr>
                <w:spacing w:val="-2"/>
                <w:sz w:val="18"/>
              </w:rPr>
              <w:t xml:space="preserve"> you want to show more choices. Then mark your choice or choices on the ballot paper. The instructions on the ballot paper tell you how to do this.</w:t>
            </w:r>
          </w:p>
          <w:p>
            <w:pPr>
              <w:pStyle w:val="yTableNAm"/>
              <w:tabs>
                <w:tab w:val="clear" w:pos="567"/>
                <w:tab w:val="left" w:pos="329"/>
              </w:tabs>
              <w:spacing w:before="0"/>
              <w:ind w:left="329" w:hanging="329"/>
              <w:rPr>
                <w:sz w:val="18"/>
              </w:rPr>
            </w:pPr>
            <w:r>
              <w:rPr>
                <w:sz w:val="18"/>
              </w:rPr>
              <w:sym w:font="Monotype Sorts" w:char="F0B7"/>
            </w:r>
            <w:r>
              <w:rPr>
                <w:sz w:val="18"/>
              </w:rPr>
              <w:tab/>
              <w:t>Put your completed ballot paper into the ballot paper envelope and seal that envelope.</w:t>
            </w:r>
          </w:p>
          <w:p>
            <w:pPr>
              <w:pStyle w:val="yTableNAm"/>
              <w:tabs>
                <w:tab w:val="clear" w:pos="567"/>
                <w:tab w:val="left" w:pos="329"/>
              </w:tabs>
              <w:spacing w:before="0"/>
              <w:ind w:left="329" w:hanging="329"/>
              <w:rPr>
                <w:sz w:val="18"/>
              </w:rPr>
            </w:pPr>
            <w:r>
              <w:rPr>
                <w:sz w:val="18"/>
              </w:rPr>
              <w:sym w:font="Monotype Sorts" w:char="F0B8"/>
            </w:r>
            <w:r>
              <w:rPr>
                <w:sz w:val="18"/>
              </w:rPr>
              <w:tab/>
              <w:t>Fill in and sign the elector’s certificate.</w:t>
            </w:r>
          </w:p>
          <w:p>
            <w:pPr>
              <w:pStyle w:val="yTableNAm"/>
              <w:tabs>
                <w:tab w:val="clear" w:pos="567"/>
                <w:tab w:val="left" w:pos="329"/>
              </w:tabs>
              <w:spacing w:before="0"/>
              <w:ind w:left="329" w:hanging="329"/>
              <w:rPr>
                <w:sz w:val="18"/>
              </w:rPr>
            </w:pPr>
            <w:r>
              <w:rPr>
                <w:sz w:val="18"/>
              </w:rPr>
              <w:sym w:font="Monotype Sorts" w:char="F0B9"/>
            </w:r>
            <w:r>
              <w:rPr>
                <w:sz w:val="18"/>
              </w:rPr>
              <w:tab/>
              <w:t>Put the ballot paper envelope and the elector’s certificate</w:t>
            </w:r>
            <w:r>
              <w:rPr>
                <w:sz w:val="18"/>
                <w:vertAlign w:val="superscript"/>
              </w:rPr>
              <w:t>2</w:t>
            </w:r>
            <w:r>
              <w:rPr>
                <w:sz w:val="18"/>
              </w:rPr>
              <w:t xml:space="preserve"> into the envelope addressed to the Returning Officer and seal that envelope.</w:t>
            </w:r>
          </w:p>
          <w:p>
            <w:pPr>
              <w:pStyle w:val="yTableNAm"/>
              <w:tabs>
                <w:tab w:val="clear" w:pos="567"/>
                <w:tab w:val="left" w:pos="329"/>
              </w:tabs>
              <w:spacing w:before="0"/>
              <w:ind w:left="329" w:hanging="329"/>
              <w:rPr>
                <w:sz w:val="18"/>
              </w:rPr>
            </w:pPr>
            <w:r>
              <w:rPr>
                <w:sz w:val="18"/>
              </w:rPr>
              <w:sym w:font="Monotype Sorts" w:char="F0BA"/>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Any questions</w:t>
            </w:r>
          </w:p>
        </w:tc>
        <w:tc>
          <w:tcPr>
            <w:tcW w:w="5103" w:type="dxa"/>
          </w:tcPr>
          <w:p>
            <w:pPr>
              <w:pStyle w:val="yTableNAm"/>
              <w:spacing w:before="0"/>
              <w:rPr>
                <w:sz w:val="18"/>
              </w:rPr>
            </w:pPr>
            <w:r>
              <w:rPr>
                <w:sz w:val="18"/>
              </w:rPr>
              <w:t>If you have any questions about your Postal Voting Election Package or about how to lodge your vote, contact the Returning Officer for your district.</w:t>
            </w:r>
          </w:p>
          <w:p>
            <w:pPr>
              <w:pStyle w:val="yTableNAm"/>
              <w:tabs>
                <w:tab w:val="clear" w:pos="567"/>
                <w:tab w:val="left" w:pos="723"/>
              </w:tabs>
              <w:spacing w:before="0"/>
              <w:rPr>
                <w:sz w:val="18"/>
              </w:rPr>
            </w:pPr>
            <w:r>
              <w:rPr>
                <w:sz w:val="18"/>
              </w:rPr>
              <w:tab/>
            </w:r>
            <w:r>
              <w:rPr>
                <w:b/>
                <w:bCs/>
                <w:sz w:val="18"/>
              </w:rPr>
              <w:t>Returning Officer </w:t>
            </w:r>
            <w:r>
              <w:rPr>
                <w:sz w:val="18"/>
                <w:vertAlign w:val="superscript"/>
              </w:rPr>
              <w:t>3</w:t>
            </w:r>
          </w:p>
          <w:p>
            <w:pPr>
              <w:pStyle w:val="yTableNAm"/>
              <w:tabs>
                <w:tab w:val="clear" w:pos="567"/>
                <w:tab w:val="left" w:pos="723"/>
              </w:tabs>
              <w:spacing w:before="0"/>
              <w:rPr>
                <w:sz w:val="18"/>
              </w:rPr>
            </w:pPr>
            <w:r>
              <w:rPr>
                <w:sz w:val="18"/>
              </w:rPr>
              <w:tab/>
              <w:t>Name:</w:t>
            </w:r>
          </w:p>
          <w:p>
            <w:pPr>
              <w:pStyle w:val="yTableNAm"/>
              <w:tabs>
                <w:tab w:val="clear" w:pos="567"/>
                <w:tab w:val="left" w:pos="723"/>
              </w:tabs>
              <w:spacing w:before="0"/>
              <w:rPr>
                <w:sz w:val="18"/>
              </w:rPr>
            </w:pPr>
            <w:r>
              <w:rPr>
                <w:sz w:val="18"/>
              </w:rPr>
              <w:tab/>
              <w:t>Address:</w:t>
            </w:r>
          </w:p>
          <w:p>
            <w:pPr>
              <w:pStyle w:val="yTableNAm"/>
              <w:tabs>
                <w:tab w:val="clear" w:pos="567"/>
                <w:tab w:val="left" w:pos="723"/>
              </w:tabs>
              <w:spacing w:before="0"/>
              <w:rPr>
                <w:sz w:val="18"/>
              </w:rPr>
            </w:pPr>
          </w:p>
          <w:p>
            <w:pPr>
              <w:pStyle w:val="yTableNAm"/>
              <w:tabs>
                <w:tab w:val="clear" w:pos="567"/>
                <w:tab w:val="left" w:pos="723"/>
              </w:tabs>
              <w:spacing w:before="0"/>
              <w:rPr>
                <w:sz w:val="18"/>
              </w:rPr>
            </w:pPr>
            <w:r>
              <w:rPr>
                <w:sz w:val="18"/>
              </w:rPr>
              <w:lastRenderedPageBreak/>
              <w:tab/>
              <w:t>Phone No.:</w:t>
            </w:r>
          </w:p>
          <w:p>
            <w:pPr>
              <w:pStyle w:val="yTableNAm"/>
              <w:tabs>
                <w:tab w:val="clear" w:pos="567"/>
                <w:tab w:val="left" w:pos="723"/>
              </w:tabs>
              <w:spacing w:before="0"/>
              <w:rPr>
                <w:sz w:val="18"/>
              </w:rPr>
            </w:pPr>
            <w:r>
              <w:rPr>
                <w:sz w:val="18"/>
              </w:rPr>
              <w:tab/>
              <w:t>Fax No.:</w:t>
            </w:r>
          </w:p>
          <w:p>
            <w:pPr>
              <w:pStyle w:val="yTableNAm"/>
              <w:tabs>
                <w:tab w:val="clear" w:pos="567"/>
                <w:tab w:val="left" w:pos="723"/>
              </w:tabs>
              <w:spacing w:before="0"/>
              <w:rPr>
                <w:sz w:val="18"/>
              </w:rPr>
            </w:pPr>
            <w:r>
              <w:rPr>
                <w:sz w:val="18"/>
              </w:rPr>
              <w:tab/>
              <w:t>Email address:</w:t>
            </w:r>
          </w:p>
        </w:tc>
      </w:tr>
    </w:tbl>
    <w:p>
      <w:pPr>
        <w:pStyle w:val="yMiscellaneousBody"/>
        <w:pageBreakBefore/>
        <w:outlineLvl w:val="2"/>
        <w:rPr>
          <w:b/>
          <w:bCs/>
          <w:snapToGrid w:val="0"/>
        </w:rPr>
      </w:pPr>
      <w:r>
        <w:rPr>
          <w:rStyle w:val="CharSClsNo"/>
          <w:b/>
        </w:rPr>
        <w:lastRenderedPageBreak/>
        <w:t>Form 13</w:t>
      </w:r>
      <w:r>
        <w:rPr>
          <w:b/>
          <w:bCs/>
          <w:snapToGrid w:val="0"/>
        </w:rPr>
        <w:t>.</w:t>
      </w:r>
      <w:r>
        <w:rPr>
          <w:b/>
          <w:bCs/>
          <w:snapToGrid w:val="0"/>
        </w:rPr>
        <w:tab/>
        <w:t>Postal Voting Instructions</w:t>
      </w:r>
    </w:p>
    <w:p>
      <w:pPr>
        <w:pStyle w:val="yMiscellaneousBody"/>
        <w:tabs>
          <w:tab w:val="left" w:pos="1440"/>
        </w:tabs>
        <w:spacing w:after="120"/>
        <w:ind w:left="2160" w:hanging="2160"/>
        <w:rPr>
          <w:b/>
          <w:bCs/>
          <w:snapToGrid w:val="0"/>
        </w:rPr>
      </w:pPr>
      <w:r>
        <w:rPr>
          <w:b/>
          <w:bCs/>
          <w:snapToGrid w:val="0"/>
        </w:rPr>
        <w:tab/>
        <w:t>(b)</w:t>
      </w:r>
      <w:r>
        <w:rPr>
          <w:b/>
          <w:bCs/>
          <w:snapToGrid w:val="0"/>
        </w:rPr>
        <w:tab/>
        <w:t>Simultaneous Mayoral/Presidential and Ward Elections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tblGrid>
      <w:tr>
        <w:tc>
          <w:tcPr>
            <w:tcW w:w="5400" w:type="dxa"/>
          </w:tcPr>
          <w:p>
            <w:pPr>
              <w:pStyle w:val="yTableNAm"/>
              <w:rPr>
                <w:snapToGrid w:val="0"/>
                <w:sz w:val="18"/>
              </w:rPr>
            </w:pPr>
            <w:r>
              <w:rPr>
                <w:i/>
                <w:iCs/>
                <w:snapToGrid w:val="0"/>
                <w:sz w:val="18"/>
              </w:rPr>
              <w:t>Local Government (Elections) Regulations 199</w:t>
            </w:r>
            <w:r>
              <w:rPr>
                <w:i/>
                <w:snapToGrid w:val="0"/>
                <w:sz w:val="18"/>
              </w:rPr>
              <w:t>7</w:t>
            </w:r>
            <w:r>
              <w:rPr>
                <w:snapToGrid w:val="0"/>
                <w:sz w:val="18"/>
              </w:rPr>
              <w:t>, r. 43(1)(a)</w:t>
            </w:r>
          </w:p>
          <w:p>
            <w:pPr>
              <w:pStyle w:val="yTableNAm"/>
              <w:spacing w:before="60"/>
              <w:rPr>
                <w:b/>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329"/>
              </w:tabs>
              <w:spacing w:before="0"/>
              <w:ind w:left="720" w:hanging="720"/>
              <w:rPr>
                <w:sz w:val="18"/>
              </w:rPr>
            </w:pPr>
            <w:r>
              <w:rPr>
                <w:sz w:val="18"/>
              </w:rPr>
              <w:t>This is your Postal Voting Election Package. It contains:</w:t>
            </w:r>
          </w:p>
          <w:p>
            <w:pPr>
              <w:pStyle w:val="yTableNAm"/>
              <w:tabs>
                <w:tab w:val="clear" w:pos="567"/>
                <w:tab w:val="left" w:pos="329"/>
              </w:tabs>
              <w:spacing w:before="0"/>
              <w:ind w:left="720" w:hanging="720"/>
              <w:rPr>
                <w:sz w:val="18"/>
              </w:rPr>
            </w:pPr>
            <w:r>
              <w:rPr>
                <w:sz w:val="18"/>
              </w:rPr>
              <w:sym w:font="Symbol" w:char="F0B7"/>
            </w:r>
            <w:r>
              <w:rPr>
                <w:sz w:val="18"/>
              </w:rPr>
              <w:tab/>
              <w:t>for the election of the mayor </w:t>
            </w:r>
            <w:r>
              <w:rPr>
                <w:sz w:val="18"/>
                <w:vertAlign w:val="superscript"/>
              </w:rPr>
              <w:t>4</w:t>
            </w:r>
            <w:r>
              <w:rPr>
                <w:sz w:val="18"/>
              </w:rPr>
              <w:t>:</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mayoral </w:t>
            </w:r>
            <w:r>
              <w:rPr>
                <w:sz w:val="18"/>
                <w:vertAlign w:val="superscript"/>
              </w:rPr>
              <w:t>4</w:t>
            </w:r>
            <w:r>
              <w:rPr>
                <w:sz w:val="18"/>
              </w:rPr>
              <w:t xml:space="preserve"> ballot paper;</w:t>
            </w:r>
          </w:p>
          <w:p>
            <w:pPr>
              <w:pStyle w:val="yTableNAm"/>
              <w:tabs>
                <w:tab w:val="clear" w:pos="567"/>
                <w:tab w:val="left" w:pos="329"/>
              </w:tabs>
              <w:spacing w:before="0"/>
              <w:ind w:left="720" w:hanging="720"/>
              <w:rPr>
                <w:sz w:val="18"/>
              </w:rPr>
            </w:pPr>
            <w:r>
              <w:rPr>
                <w:sz w:val="18"/>
              </w:rPr>
              <w:sym w:font="Symbol" w:char="F0B7"/>
            </w:r>
            <w:r>
              <w:rPr>
                <w:sz w:val="18"/>
              </w:rPr>
              <w:tab/>
              <w:t>for the election of councillors:</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councillors ballot paper;</w:t>
            </w:r>
          </w:p>
          <w:p>
            <w:pPr>
              <w:pStyle w:val="yTableNAm"/>
              <w:tabs>
                <w:tab w:val="clear" w:pos="567"/>
                <w:tab w:val="left" w:pos="329"/>
              </w:tabs>
              <w:spacing w:before="0"/>
              <w:ind w:left="720" w:hanging="720"/>
              <w:rPr>
                <w:sz w:val="18"/>
              </w:rPr>
            </w:pPr>
            <w:r>
              <w:rPr>
                <w:sz w:val="18"/>
              </w:rPr>
              <w:sym w:font="Symbol" w:char="F0B7"/>
            </w:r>
            <w:r>
              <w:rPr>
                <w:sz w:val="18"/>
              </w:rPr>
              <w:tab/>
              <w:t>an elector’s certificate </w:t>
            </w:r>
            <w:r>
              <w:rPr>
                <w:sz w:val="18"/>
                <w:vertAlign w:val="superscript"/>
              </w:rPr>
              <w:t>1, 1a</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ballot paper envelope </w:t>
            </w:r>
            <w:r>
              <w:rPr>
                <w:sz w:val="18"/>
                <w:vertAlign w:val="superscript"/>
              </w:rPr>
              <w:t>1</w:t>
            </w:r>
            <w:r>
              <w:rPr>
                <w:sz w:val="18"/>
              </w:rPr>
              <w:t>;</w:t>
            </w:r>
          </w:p>
          <w:p>
            <w:pPr>
              <w:pStyle w:val="yTableNAm"/>
              <w:tabs>
                <w:tab w:val="clear" w:pos="567"/>
                <w:tab w:val="left" w:pos="329"/>
              </w:tabs>
              <w:spacing w:before="0"/>
              <w:ind w:left="340" w:hanging="340"/>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pPr>
            <w:r>
              <w:rPr>
                <w:b/>
                <w:bCs/>
                <w:sz w:val="18"/>
              </w:rPr>
              <w:t>How to vote </w:t>
            </w:r>
            <w:r>
              <w:rPr>
                <w:b/>
                <w:bCs/>
                <w:sz w:val="18"/>
                <w:vertAlign w:val="superscript"/>
              </w:rPr>
              <w:t>3a</w:t>
            </w:r>
          </w:p>
        </w:tc>
        <w:tc>
          <w:tcPr>
            <w:tcW w:w="5103" w:type="dxa"/>
          </w:tcPr>
          <w:p>
            <w:pPr>
              <w:pStyle w:val="yTableNAm"/>
              <w:tabs>
                <w:tab w:val="clear" w:pos="567"/>
                <w:tab w:val="left" w:pos="329"/>
              </w:tabs>
              <w:ind w:left="329" w:hanging="329"/>
              <w:rPr>
                <w:spacing w:val="-2"/>
                <w:sz w:val="18"/>
              </w:rPr>
            </w:pPr>
            <w:r>
              <w:rPr>
                <w:spacing w:val="-2"/>
                <w:sz w:val="18"/>
              </w:rPr>
              <w:sym w:font="Wingdings" w:char="F08C"/>
            </w:r>
            <w:r>
              <w:rPr>
                <w:spacing w:val="-2"/>
                <w:sz w:val="18"/>
              </w:rPr>
              <w:tab/>
              <w:t>Mayoral </w:t>
            </w:r>
            <w:r>
              <w:rPr>
                <w:spacing w:val="-2"/>
                <w:sz w:val="18"/>
                <w:vertAlign w:val="superscript"/>
              </w:rPr>
              <w:t>4</w:t>
            </w:r>
            <w:r>
              <w:rPr>
                <w:spacing w:val="-2"/>
                <w:sz w:val="18"/>
              </w:rPr>
              <w:t xml:space="preserve"> </w:t>
            </w:r>
            <w:r>
              <w:rPr>
                <w:sz w:val="18"/>
              </w:rPr>
              <w:t>election</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mayoral</w:t>
            </w:r>
            <w:r>
              <w:rPr>
                <w:spacing w:val="-2"/>
                <w:sz w:val="18"/>
                <w:vertAlign w:val="superscript"/>
              </w:rPr>
              <w:t> 4</w:t>
            </w:r>
            <w:r>
              <w:rPr>
                <w:spacing w:val="-2"/>
                <w:sz w:val="18"/>
              </w:rPr>
              <w:t xml:space="preserve"> ballot paper, decide which candidate you want to vote for and mark your choice on the </w:t>
            </w:r>
            <w:r>
              <w:rPr>
                <w:sz w:val="18"/>
              </w:rPr>
              <w:t>mayoral</w:t>
            </w:r>
            <w:r>
              <w:rPr>
                <w:spacing w:val="-2"/>
                <w:sz w:val="18"/>
                <w:vertAlign w:val="superscript"/>
              </w:rPr>
              <w:t> 4</w:t>
            </w:r>
            <w:r>
              <w:rPr>
                <w:spacing w:val="-2"/>
                <w:sz w:val="18"/>
              </w:rPr>
              <w:t xml:space="preserve"> ballot paper. The instructions on the mayoral</w:t>
            </w:r>
            <w:r>
              <w:rPr>
                <w:spacing w:val="-2"/>
                <w:sz w:val="18"/>
                <w:vertAlign w:val="superscript"/>
              </w:rPr>
              <w:t> 4</w:t>
            </w:r>
            <w:r>
              <w:rPr>
                <w:spacing w:val="-2"/>
                <w:sz w:val="18"/>
              </w:rPr>
              <w:t xml:space="preserve"> ballot paper tell you how to do this.</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mayoral</w:t>
            </w:r>
            <w:r>
              <w:rPr>
                <w:spacing w:val="-2"/>
                <w:sz w:val="18"/>
                <w:vertAlign w:val="superscript"/>
              </w:rPr>
              <w:t> 4</w:t>
            </w:r>
            <w:r>
              <w:rPr>
                <w:spacing w:val="-2"/>
                <w:sz w:val="18"/>
              </w:rPr>
              <w:t xml:space="preserve"> ballot paper, decide which candidate is your first choice and whether you want to show more choices. Then mark your choice </w:t>
            </w:r>
            <w:r>
              <w:rPr>
                <w:sz w:val="18"/>
              </w:rPr>
              <w:t>or</w:t>
            </w:r>
            <w:r>
              <w:rPr>
                <w:spacing w:val="-2"/>
                <w:sz w:val="18"/>
              </w:rPr>
              <w:t xml:space="preserve"> choices on the mayoral</w:t>
            </w:r>
            <w:r>
              <w:rPr>
                <w:spacing w:val="-2"/>
                <w:sz w:val="18"/>
                <w:vertAlign w:val="superscript"/>
              </w:rPr>
              <w:t> 4</w:t>
            </w:r>
            <w:r>
              <w:rPr>
                <w:spacing w:val="-2"/>
                <w:sz w:val="18"/>
              </w:rPr>
              <w:t xml:space="preserve"> ballot paper. The instructions on the mayoral</w:t>
            </w:r>
            <w:r>
              <w:rPr>
                <w:spacing w:val="-2"/>
                <w:sz w:val="18"/>
                <w:vertAlign w:val="superscript"/>
              </w:rPr>
              <w:t> 4</w:t>
            </w:r>
            <w:r>
              <w:rPr>
                <w:spacing w:val="-2"/>
                <w:sz w:val="18"/>
              </w:rPr>
              <w:t xml:space="preserve"> ballot paper tell you how to do this.</w:t>
            </w:r>
          </w:p>
          <w:p>
            <w:pPr>
              <w:pStyle w:val="yTableNAm"/>
              <w:tabs>
                <w:tab w:val="clear" w:pos="567"/>
                <w:tab w:val="left" w:pos="329"/>
              </w:tabs>
              <w:ind w:left="329" w:hanging="329"/>
              <w:rPr>
                <w:spacing w:val="-2"/>
                <w:sz w:val="18"/>
              </w:rPr>
            </w:pPr>
            <w:r>
              <w:rPr>
                <w:spacing w:val="-2"/>
                <w:sz w:val="18"/>
              </w:rPr>
              <w:sym w:font="Wingdings" w:char="F08D"/>
            </w:r>
            <w:r>
              <w:rPr>
                <w:spacing w:val="-2"/>
                <w:sz w:val="18"/>
              </w:rPr>
              <w:tab/>
              <w:t xml:space="preserve">Councillors </w:t>
            </w:r>
            <w:r>
              <w:rPr>
                <w:sz w:val="18"/>
              </w:rPr>
              <w:t>election</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councillors ballot paper, decide which candidate you want to vote for and mark your choice on the councillors ballot paper. The instructions on the councillors ballot paper tell you how to do this.</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councillors ballot paper, decide which candidate is your first choice and whether you want to show more choices. Then mark your choice or choices on the councillors ballot paper. The instructions on the councillors ballot paper tell you how to do this.</w:t>
            </w:r>
          </w:p>
          <w:p>
            <w:pPr>
              <w:pStyle w:val="yTableNAm"/>
              <w:tabs>
                <w:tab w:val="clear" w:pos="567"/>
                <w:tab w:val="left" w:pos="329"/>
              </w:tabs>
              <w:ind w:left="329" w:hanging="329"/>
              <w:rPr>
                <w:sz w:val="18"/>
              </w:rPr>
            </w:pPr>
            <w:r>
              <w:rPr>
                <w:sz w:val="18"/>
              </w:rPr>
              <w:sym w:font="Monotype Sorts" w:char="F0B8"/>
            </w:r>
            <w:r>
              <w:rPr>
                <w:sz w:val="18"/>
              </w:rPr>
              <w:tab/>
              <w:t>Put both your completed ballot papers into the ballot paper envelope and seal that envelope.</w:t>
            </w:r>
          </w:p>
          <w:p>
            <w:pPr>
              <w:pStyle w:val="yTableNAm"/>
              <w:tabs>
                <w:tab w:val="clear" w:pos="567"/>
                <w:tab w:val="left" w:pos="329"/>
              </w:tabs>
              <w:ind w:left="329" w:hanging="329"/>
              <w:rPr>
                <w:sz w:val="18"/>
              </w:rPr>
            </w:pPr>
            <w:r>
              <w:rPr>
                <w:sz w:val="18"/>
              </w:rPr>
              <w:lastRenderedPageBreak/>
              <w:sym w:font="Monotype Sorts" w:char="F0B9"/>
            </w:r>
            <w:r>
              <w:rPr>
                <w:sz w:val="18"/>
              </w:rPr>
              <w:tab/>
              <w:t>Fill in and sign the elector’s certificate.</w:t>
            </w:r>
          </w:p>
          <w:p>
            <w:pPr>
              <w:pStyle w:val="yTableNAm"/>
              <w:tabs>
                <w:tab w:val="clear" w:pos="567"/>
                <w:tab w:val="left" w:pos="329"/>
              </w:tabs>
              <w:ind w:left="329" w:hanging="329"/>
              <w:rPr>
                <w:sz w:val="18"/>
              </w:rPr>
            </w:pPr>
            <w:r>
              <w:rPr>
                <w:sz w:val="18"/>
              </w:rPr>
              <w:sym w:font="Monotype Sorts" w:char="F0BA"/>
            </w:r>
            <w:r>
              <w:rPr>
                <w:sz w:val="18"/>
              </w:rPr>
              <w:tab/>
              <w:t>Put the ballot paper envelope and the elector’s certificate</w:t>
            </w:r>
            <w:r>
              <w:rPr>
                <w:sz w:val="18"/>
                <w:vertAlign w:val="superscript"/>
              </w:rPr>
              <w:t> 2</w:t>
            </w:r>
            <w:r>
              <w:rPr>
                <w:sz w:val="18"/>
              </w:rPr>
              <w:t xml:space="preserve"> into the envelope addressed to the Returning Officer and seal that envelope.</w:t>
            </w:r>
          </w:p>
          <w:p>
            <w:pPr>
              <w:pStyle w:val="yTableNAm"/>
              <w:tabs>
                <w:tab w:val="clear" w:pos="567"/>
                <w:tab w:val="left" w:pos="329"/>
              </w:tabs>
              <w:ind w:left="329" w:hanging="329"/>
              <w:rPr>
                <w:sz w:val="18"/>
              </w:rPr>
            </w:pPr>
            <w:r>
              <w:rPr>
                <w:sz w:val="18"/>
              </w:rPr>
              <w:sym w:font="Wingdings 2" w:char="F07A"/>
            </w:r>
            <w:r>
              <w:rPr>
                <w:sz w:val="18"/>
              </w:rPr>
              <w:tab/>
              <w:t>Post or deliver that envelope to the Returning Officer or deliver it to an electoral officer at:</w:t>
            </w:r>
          </w:p>
          <w:p>
            <w:pPr>
              <w:pStyle w:val="yTableNAm"/>
              <w:tabs>
                <w:tab w:val="clear" w:pos="567"/>
                <w:tab w:val="left" w:pos="329"/>
              </w:tabs>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ind w:left="720" w:hanging="720"/>
              <w:rPr>
                <w:sz w:val="18"/>
              </w:rPr>
            </w:pPr>
            <w:r>
              <w:rPr>
                <w:sz w:val="18"/>
              </w:rPr>
              <w:tab/>
            </w:r>
            <w:r>
              <w:rPr>
                <w:sz w:val="18"/>
              </w:rPr>
              <w:sym w:font="Symbol" w:char="F0B7"/>
            </w:r>
            <w:r>
              <w:rPr>
                <w:sz w:val="18"/>
              </w:rPr>
              <w:tab/>
              <w:t>a polling place between 8 a.m. and 6 p.m. on election day.</w:t>
            </w:r>
          </w:p>
          <w:p>
            <w:pPr>
              <w:pStyle w:val="yTableNAm"/>
              <w:keepNext/>
              <w:keepLines/>
              <w:tabs>
                <w:tab w:val="clear" w:pos="567"/>
              </w:tabs>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spacing w:val="-2"/>
                <w:sz w:val="18"/>
              </w:rPr>
            </w:pPr>
            <w:r>
              <w:rPr>
                <w:b/>
                <w:bCs/>
                <w:sz w:val="18"/>
              </w:rPr>
              <w:t>Any questions</w:t>
            </w:r>
          </w:p>
        </w:tc>
        <w:tc>
          <w:tcPr>
            <w:tcW w:w="5103" w:type="dxa"/>
          </w:tcPr>
          <w:p>
            <w:pPr>
              <w:pStyle w:val="zyTableNAm"/>
              <w:spacing w:before="0"/>
              <w:rPr>
                <w:sz w:val="18"/>
              </w:rPr>
            </w:pPr>
            <w:r>
              <w:rPr>
                <w:sz w:val="18"/>
              </w:rPr>
              <w:t>If you have any questions about your Postal Voting Election Package or about how to lodge your vote, contact the Returning Officer for your district.</w:t>
            </w:r>
          </w:p>
          <w:p>
            <w:pPr>
              <w:pStyle w:val="zyTableNAm"/>
              <w:tabs>
                <w:tab w:val="clear" w:pos="567"/>
                <w:tab w:val="left" w:pos="449"/>
              </w:tabs>
              <w:spacing w:before="0"/>
              <w:ind w:left="329"/>
              <w:rPr>
                <w:sz w:val="18"/>
              </w:rPr>
            </w:pPr>
            <w:r>
              <w:rPr>
                <w:b/>
                <w:sz w:val="18"/>
              </w:rPr>
              <w:t>Returning Officer </w:t>
            </w:r>
            <w:r>
              <w:rPr>
                <w:sz w:val="18"/>
                <w:vertAlign w:val="superscript"/>
              </w:rPr>
              <w:t>3</w:t>
            </w:r>
          </w:p>
          <w:p>
            <w:pPr>
              <w:pStyle w:val="zyTableNAm"/>
              <w:tabs>
                <w:tab w:val="clear" w:pos="567"/>
                <w:tab w:val="left" w:pos="329"/>
                <w:tab w:val="left" w:pos="449"/>
              </w:tabs>
              <w:spacing w:before="0"/>
              <w:ind w:left="329"/>
              <w:rPr>
                <w:sz w:val="18"/>
              </w:rPr>
            </w:pPr>
            <w:r>
              <w:rPr>
                <w:sz w:val="18"/>
              </w:rPr>
              <w:t>Name:</w:t>
            </w:r>
          </w:p>
          <w:p>
            <w:pPr>
              <w:pStyle w:val="zyTableNAm"/>
              <w:tabs>
                <w:tab w:val="clear" w:pos="567"/>
                <w:tab w:val="left" w:pos="449"/>
              </w:tabs>
              <w:spacing w:before="0"/>
              <w:ind w:left="329"/>
              <w:rPr>
                <w:sz w:val="18"/>
              </w:rPr>
            </w:pPr>
            <w:r>
              <w:rPr>
                <w:sz w:val="18"/>
              </w:rPr>
              <w:t>Address:</w:t>
            </w:r>
          </w:p>
          <w:p>
            <w:pPr>
              <w:pStyle w:val="zyTableNAm"/>
              <w:tabs>
                <w:tab w:val="clear" w:pos="567"/>
                <w:tab w:val="left" w:pos="449"/>
              </w:tabs>
              <w:spacing w:before="0"/>
              <w:ind w:left="329"/>
              <w:rPr>
                <w:sz w:val="18"/>
              </w:rPr>
            </w:pPr>
          </w:p>
          <w:p>
            <w:pPr>
              <w:pStyle w:val="zyTableNAm"/>
              <w:tabs>
                <w:tab w:val="clear" w:pos="567"/>
                <w:tab w:val="left" w:pos="449"/>
              </w:tabs>
              <w:spacing w:before="0"/>
              <w:ind w:left="329"/>
              <w:rPr>
                <w:sz w:val="18"/>
              </w:rPr>
            </w:pPr>
            <w:r>
              <w:rPr>
                <w:sz w:val="18"/>
              </w:rPr>
              <w:t>Phone No.:</w:t>
            </w:r>
          </w:p>
          <w:p>
            <w:pPr>
              <w:pStyle w:val="zyTableNAm"/>
              <w:tabs>
                <w:tab w:val="clear" w:pos="567"/>
                <w:tab w:val="left" w:pos="449"/>
              </w:tabs>
              <w:spacing w:before="0"/>
              <w:ind w:left="329"/>
              <w:rPr>
                <w:sz w:val="18"/>
              </w:rPr>
            </w:pPr>
            <w:r>
              <w:rPr>
                <w:sz w:val="18"/>
              </w:rPr>
              <w:t>Fax No.:</w:t>
            </w:r>
          </w:p>
          <w:p>
            <w:pPr>
              <w:pStyle w:val="zyTableNAm"/>
              <w:tabs>
                <w:tab w:val="clear" w:pos="567"/>
                <w:tab w:val="left" w:pos="449"/>
              </w:tabs>
              <w:spacing w:before="0"/>
              <w:ind w:left="329"/>
            </w:pPr>
            <w:r>
              <w:rPr>
                <w:sz w:val="18"/>
              </w:rPr>
              <w:t>Email address:</w:t>
            </w:r>
          </w:p>
        </w:tc>
      </w:tr>
    </w:tbl>
    <w:p>
      <w:pPr>
        <w:pStyle w:val="yMiscellaneousBody"/>
        <w:ind w:left="720" w:hanging="720"/>
        <w:rPr>
          <w:b/>
          <w:bCs/>
          <w:i/>
          <w:iCs/>
        </w:rPr>
      </w:pPr>
      <w:r>
        <w:rPr>
          <w:b/>
          <w:bCs/>
          <w:i/>
          <w:iCs/>
        </w:rPr>
        <w:t>Notes to Form 13</w:t>
      </w:r>
    </w:p>
    <w:p>
      <w:pPr>
        <w:pStyle w:val="yMiscellaneousBody"/>
        <w:ind w:left="720" w:hanging="720"/>
        <w:jc w:val="center"/>
        <w:rPr>
          <w:b/>
          <w:bCs/>
          <w:i/>
          <w:iCs/>
        </w:rPr>
      </w:pPr>
      <w:r>
        <w:rPr>
          <w:b/>
          <w:bCs/>
          <w:i/>
          <w:iCs/>
        </w:rPr>
        <w:t>Notes to Returning Officer when preparing postal voting instructions</w:t>
      </w:r>
    </w:p>
    <w:p>
      <w:pPr>
        <w:pStyle w:val="yMiscellaneousBody"/>
        <w:ind w:left="720" w:hanging="720"/>
        <w:rPr>
          <w:b/>
          <w:bCs/>
          <w:i/>
          <w:iCs/>
        </w:rPr>
      </w:pPr>
      <w:r>
        <w:rPr>
          <w:b/>
          <w:bCs/>
          <w:i/>
          <w:iCs/>
        </w:rPr>
        <w:t>1</w:t>
      </w:r>
      <w:r>
        <w:rPr>
          <w:b/>
          <w:bCs/>
          <w:i/>
          <w:iCs/>
        </w:rPr>
        <w:tab/>
        <w:t>Elector’s certificate</w:t>
      </w:r>
    </w:p>
    <w:p>
      <w:pPr>
        <w:pStyle w:val="yMiscellaneousBody"/>
        <w:tabs>
          <w:tab w:val="left" w:pos="600"/>
        </w:tabs>
        <w:spacing w:before="120" w:after="120"/>
        <w:ind w:left="851" w:hanging="851"/>
        <w:rPr>
          <w:i/>
          <w:iCs/>
        </w:rPr>
      </w:pPr>
      <w:r>
        <w:rPr>
          <w:i/>
          <w:iCs/>
        </w:rPr>
        <w:tab/>
      </w:r>
      <w:r>
        <w:rPr>
          <w:i/>
          <w:iCs/>
        </w:rPr>
        <w:tab/>
        <w:t>If the elector’s certificate is — </w:t>
      </w:r>
    </w:p>
    <w:p>
      <w:pPr>
        <w:pStyle w:val="yMiscellaneousBody"/>
        <w:tabs>
          <w:tab w:val="left" w:pos="851"/>
        </w:tabs>
        <w:ind w:left="1440" w:hanging="1440"/>
        <w:rPr>
          <w:i/>
          <w:iCs/>
        </w:rPr>
      </w:pPr>
      <w:r>
        <w:rPr>
          <w:i/>
          <w:iCs/>
        </w:rPr>
        <w:tab/>
        <w:t>(a)</w:t>
      </w:r>
      <w:r>
        <w:rPr>
          <w:i/>
          <w:iCs/>
        </w:rPr>
        <w:tab/>
        <w:t>attached to the ballot paper envelope insert “which is attached to the ballot paper envelope”; or</w:t>
      </w:r>
    </w:p>
    <w:p>
      <w:pPr>
        <w:pStyle w:val="yMiscellaneousBody"/>
        <w:tabs>
          <w:tab w:val="left" w:pos="851"/>
        </w:tabs>
        <w:ind w:left="1440" w:hanging="1440"/>
        <w:rPr>
          <w:i/>
          <w:iCs/>
        </w:rPr>
      </w:pPr>
      <w:r>
        <w:rPr>
          <w:i/>
          <w:iCs/>
        </w:rPr>
        <w:tab/>
        <w:t>(b)</w:t>
      </w:r>
      <w:r>
        <w:rPr>
          <w:i/>
          <w:iCs/>
        </w:rPr>
        <w:tab/>
        <w:t>printed on the return envelope insert “which is printed on the envelope addressed to the Returning Officer”.</w:t>
      </w:r>
    </w:p>
    <w:p>
      <w:pPr>
        <w:pStyle w:val="yMiscellaneousBody"/>
        <w:ind w:left="720" w:hanging="720"/>
        <w:rPr>
          <w:b/>
          <w:bCs/>
          <w:i/>
          <w:iCs/>
        </w:rPr>
      </w:pPr>
      <w:r>
        <w:rPr>
          <w:b/>
          <w:bCs/>
          <w:i/>
          <w:iCs/>
        </w:rPr>
        <w:t>1a</w:t>
      </w:r>
      <w:r>
        <w:rPr>
          <w:b/>
          <w:bCs/>
          <w:i/>
          <w:iCs/>
        </w:rPr>
        <w:tab/>
        <w:t>Ballot paper envelopes and pre</w:t>
      </w:r>
      <w:r>
        <w:rPr>
          <w:b/>
          <w:bCs/>
          <w:i/>
          <w:iCs/>
        </w:rPr>
        <w:noBreakHyphen/>
        <w:t>paid envelopes</w:t>
      </w:r>
    </w:p>
    <w:p>
      <w:pPr>
        <w:pStyle w:val="yMiscellaneousBody"/>
        <w:keepNext/>
        <w:tabs>
          <w:tab w:val="left" w:pos="600"/>
        </w:tabs>
        <w:spacing w:before="120" w:after="120"/>
        <w:ind w:left="851" w:hanging="851"/>
        <w:rPr>
          <w:i/>
          <w:iCs/>
        </w:rPr>
      </w:pPr>
      <w:r>
        <w:rPr>
          <w:i/>
          <w:iCs/>
        </w:rPr>
        <w:lastRenderedPageBreak/>
        <w:tab/>
      </w:r>
      <w:r>
        <w:rPr>
          <w:i/>
          <w:iCs/>
        </w:rPr>
        <w:tab/>
        <w:t>If the ballot paper envelope is also the postage pre</w:t>
      </w:r>
      <w:r>
        <w:rPr>
          <w:i/>
          <w:iCs/>
        </w:rPr>
        <w:noBreakHyphen/>
        <w:t>paid envelope addressed to the Returning Officer and incorporates the elector’s certificate, delete these 3 items and insert instead —</w:t>
      </w:r>
    </w:p>
    <w:p>
      <w:pPr>
        <w:pStyle w:val="yMiscellaneousBody"/>
        <w:tabs>
          <w:tab w:val="left" w:pos="840"/>
        </w:tabs>
        <w:ind w:left="1440" w:hanging="1440"/>
      </w:pPr>
      <w:r>
        <w:rPr>
          <w:i/>
          <w:iCs/>
        </w:rPr>
        <w:tab/>
      </w:r>
      <w:r>
        <w:t>“</w:t>
      </w:r>
      <w:r>
        <w:rPr>
          <w:sz w:val="18"/>
        </w:rPr>
        <w:sym w:font="Symbol" w:char="F0B7"/>
      </w:r>
      <w:r>
        <w:tab/>
        <w:t>a combined ballot paper envelope and postage pre</w:t>
      </w:r>
      <w:r>
        <w:noBreakHyphen/>
        <w:t>paid envelope addressed to the Returning Officer with an elector’s certificate attached.”.</w:t>
      </w:r>
    </w:p>
    <w:p>
      <w:pPr>
        <w:pStyle w:val="yMiscellaneousBody"/>
        <w:ind w:left="720" w:hanging="720"/>
        <w:rPr>
          <w:b/>
          <w:bCs/>
          <w:i/>
          <w:iCs/>
        </w:rPr>
      </w:pPr>
      <w:r>
        <w:rPr>
          <w:b/>
          <w:bCs/>
          <w:i/>
          <w:iCs/>
        </w:rPr>
        <w:t>1b</w:t>
      </w:r>
      <w:r>
        <w:rPr>
          <w:b/>
          <w:bCs/>
          <w:i/>
          <w:iCs/>
        </w:rPr>
        <w:tab/>
        <w:t>How to vote (Form 13(a))</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“How to vote” instructions and insert instead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40"/>
              </w:tabs>
              <w:spacing w:before="0"/>
              <w:ind w:left="329" w:hanging="329"/>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w:t>
            </w:r>
            <w:r>
              <w:rPr>
                <w:sz w:val="18"/>
              </w:rPr>
              <w:t>candidate</w:t>
            </w:r>
            <w:r>
              <w:rPr>
                <w:spacing w:val="-2"/>
                <w:sz w:val="18"/>
              </w:rPr>
              <w:t xml:space="preserve"> you want to vote for </w:t>
            </w:r>
            <w:r>
              <w:rPr>
                <w:sz w:val="18"/>
              </w:rPr>
              <w:t>and</w:t>
            </w:r>
            <w:r>
              <w:rPr>
                <w:spacing w:val="-2"/>
                <w:sz w:val="18"/>
              </w:rPr>
              <w:t xml:space="preserve"> mark your choice on the ballot paper. The instructions on the ballot paper tell you how to do this.</w:t>
            </w:r>
          </w:p>
          <w:p>
            <w:pPr>
              <w:pStyle w:val="yTableNAm"/>
              <w:tabs>
                <w:tab w:val="clear" w:pos="567"/>
                <w:tab w:val="left" w:pos="340"/>
              </w:tabs>
              <w:ind w:left="340" w:hanging="340"/>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which candidate is your first choice and whether you want to show more choices. Then mark your choice or </w:t>
            </w:r>
            <w:r>
              <w:rPr>
                <w:sz w:val="18"/>
              </w:rPr>
              <w:t>choices</w:t>
            </w:r>
            <w:r>
              <w:rPr>
                <w:spacing w:val="-2"/>
                <w:sz w:val="18"/>
              </w:rPr>
              <w:t xml:space="preserve"> on the ballot paper. The instructions on the ballot paper tell you how to do this.</w:t>
            </w:r>
          </w:p>
          <w:p>
            <w:pPr>
              <w:pStyle w:val="yTableNAm"/>
              <w:tabs>
                <w:tab w:val="clear" w:pos="567"/>
                <w:tab w:val="left" w:pos="340"/>
              </w:tabs>
              <w:ind w:left="340" w:hanging="340"/>
              <w:rPr>
                <w:sz w:val="18"/>
              </w:rPr>
            </w:pP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Put your completed ballot paper into the envelope provided and seal the envelope.</w:t>
            </w:r>
          </w:p>
        </w:tc>
      </w:tr>
      <w:tr>
        <w:trPr>
          <w:cantSplit/>
          <w:trHeight w:val="285"/>
        </w:trPr>
        <w:tc>
          <w:tcPr>
            <w:tcW w:w="1701" w:type="dxa"/>
            <w:vAlign w:val="center"/>
          </w:tcPr>
          <w:p>
            <w:pPr>
              <w:pStyle w:val="yTableNAm"/>
              <w:spacing w:before="0"/>
            </w:pPr>
          </w:p>
        </w:tc>
        <w:tc>
          <w:tcPr>
            <w:tcW w:w="4252" w:type="dxa"/>
            <w:vAlign w:val="center"/>
          </w:tcPr>
          <w:p>
            <w:pPr>
              <w:pStyle w:val="yTableNAm"/>
              <w:tabs>
                <w:tab w:val="clear" w:pos="567"/>
                <w:tab w:val="left" w:pos="329"/>
              </w:tabs>
              <w:spacing w:before="0"/>
              <w:ind w:left="329" w:hanging="329"/>
              <w:rPr>
                <w:sz w:val="18"/>
              </w:rPr>
            </w:pPr>
            <w:r>
              <w:rPr>
                <w:sz w:val="18"/>
              </w:rPr>
              <w:sym w:font="Monotype Sorts" w:char="F0CC"/>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Post the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keepNext/>
        <w:tabs>
          <w:tab w:val="left" w:pos="600"/>
        </w:tabs>
        <w:ind w:left="1202" w:hanging="1202"/>
        <w:rPr>
          <w:b/>
          <w:bCs/>
          <w:i/>
          <w:iCs/>
        </w:rPr>
      </w:pPr>
      <w:r>
        <w:rPr>
          <w:b/>
          <w:bCs/>
        </w:rPr>
        <w:t>2</w:t>
      </w:r>
      <w:r>
        <w:rPr>
          <w:b/>
          <w:bCs/>
        </w:rPr>
        <w:tab/>
      </w:r>
      <w:r>
        <w:rPr>
          <w:b/>
          <w:bCs/>
          <w:i/>
          <w:iCs/>
        </w:rPr>
        <w:t>Elector’s certificate</w:t>
      </w:r>
    </w:p>
    <w:p>
      <w:pPr>
        <w:pStyle w:val="yMiscellaneousBody"/>
        <w:keepNext/>
        <w:tabs>
          <w:tab w:val="left" w:pos="600"/>
        </w:tabs>
        <w:spacing w:before="120" w:after="120"/>
        <w:ind w:left="851" w:hanging="851"/>
        <w:rPr>
          <w:i/>
          <w:iCs/>
        </w:rPr>
      </w:pPr>
      <w:r>
        <w:rPr>
          <w:i/>
          <w:iCs/>
        </w:rPr>
        <w:tab/>
      </w:r>
      <w:r>
        <w:rPr>
          <w:i/>
          <w:iCs/>
        </w:rPr>
        <w:tab/>
        <w:t>If the elector’s certificate is:</w:t>
      </w:r>
    </w:p>
    <w:p>
      <w:pPr>
        <w:pStyle w:val="yMiscellaneousBody"/>
        <w:tabs>
          <w:tab w:val="left" w:pos="709"/>
        </w:tabs>
        <w:spacing w:before="80"/>
        <w:ind w:left="1200" w:hanging="1200"/>
        <w:rPr>
          <w:i/>
          <w:iCs/>
        </w:rPr>
      </w:pPr>
      <w:r>
        <w:rPr>
          <w:i/>
          <w:iCs/>
        </w:rPr>
        <w:tab/>
        <w:t>(a)</w:t>
      </w:r>
      <w:r>
        <w:rPr>
          <w:i/>
          <w:iCs/>
        </w:rPr>
        <w:tab/>
        <w:t>attached to the ballot paper envelope, replace “and the elector’s certificate” with “, including the elector’s certificate”; or</w:t>
      </w:r>
    </w:p>
    <w:p>
      <w:pPr>
        <w:pStyle w:val="yMiscellaneousBody"/>
        <w:tabs>
          <w:tab w:val="left" w:pos="709"/>
        </w:tabs>
        <w:spacing w:before="80"/>
        <w:ind w:left="1200" w:hanging="1200"/>
        <w:rPr>
          <w:i/>
          <w:iCs/>
        </w:rPr>
      </w:pPr>
      <w:r>
        <w:rPr>
          <w:i/>
          <w:iCs/>
        </w:rPr>
        <w:lastRenderedPageBreak/>
        <w:tab/>
        <w:t>(b)</w:t>
      </w:r>
      <w:r>
        <w:rPr>
          <w:i/>
          <w:iCs/>
        </w:rPr>
        <w:tab/>
        <w:t>printed on the return envelope, delete “and the elector’s certificate” and renumber ‘How to vote’ instructions 3 and 4 as 4 and 3 respectively.</w:t>
      </w:r>
    </w:p>
    <w:p>
      <w:pPr>
        <w:pStyle w:val="yMiscellaneousBody"/>
        <w:keepNext/>
        <w:tabs>
          <w:tab w:val="left" w:pos="600"/>
        </w:tabs>
        <w:spacing w:before="80"/>
        <w:ind w:left="1200" w:hanging="1200"/>
        <w:rPr>
          <w:b/>
          <w:bCs/>
          <w:i/>
          <w:iCs/>
        </w:rPr>
      </w:pPr>
      <w:r>
        <w:rPr>
          <w:b/>
          <w:bCs/>
          <w:i/>
          <w:iCs/>
        </w:rPr>
        <w:t>3</w:t>
      </w:r>
      <w:r>
        <w:rPr>
          <w:b/>
          <w:bCs/>
          <w:i/>
          <w:iCs/>
        </w:rPr>
        <w:tab/>
        <w:t>Returning Officer</w:t>
      </w:r>
    </w:p>
    <w:p>
      <w:pPr>
        <w:pStyle w:val="yMiscellaneousBody"/>
        <w:tabs>
          <w:tab w:val="left" w:pos="600"/>
        </w:tabs>
        <w:spacing w:before="120" w:after="120"/>
        <w:ind w:left="851" w:hanging="851"/>
        <w:rPr>
          <w:i/>
          <w:iCs/>
        </w:rPr>
      </w:pPr>
      <w:r>
        <w:rPr>
          <w:i/>
          <w:iCs/>
        </w:rPr>
        <w:tab/>
      </w:r>
      <w:r>
        <w:rPr>
          <w:i/>
          <w:iCs/>
        </w:rPr>
        <w:tab/>
        <w:t>Insert the name and contact details of the Returning Officer or, where the Electoral Commissioner has been declared responsible for the conduct of an election, such other contact details as are appropriate.</w:t>
      </w:r>
    </w:p>
    <w:p>
      <w:pPr>
        <w:pStyle w:val="yMiscellaneousBody"/>
        <w:keepNext/>
        <w:tabs>
          <w:tab w:val="left" w:pos="600"/>
        </w:tabs>
        <w:spacing w:before="80"/>
        <w:ind w:left="1200" w:hanging="1200"/>
        <w:rPr>
          <w:b/>
          <w:bCs/>
          <w:i/>
          <w:iCs/>
        </w:rPr>
      </w:pPr>
      <w:r>
        <w:rPr>
          <w:b/>
          <w:bCs/>
          <w:i/>
          <w:iCs/>
        </w:rPr>
        <w:t>3a</w:t>
      </w:r>
      <w:r>
        <w:rPr>
          <w:b/>
          <w:bCs/>
          <w:i/>
          <w:iCs/>
        </w:rPr>
        <w:tab/>
        <w:t>How to vote (Form 13(b))</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c>
          <w:tcPr>
            <w:tcW w:w="1701" w:type="dxa"/>
          </w:tcPr>
          <w:p>
            <w:pPr>
              <w:pStyle w:val="yTableNAm"/>
              <w:spacing w:before="0"/>
            </w:pPr>
            <w:r>
              <w:rPr>
                <w:b/>
                <w:bCs/>
                <w:sz w:val="18"/>
              </w:rPr>
              <w:t>How to vote</w:t>
            </w:r>
          </w:p>
        </w:tc>
        <w:tc>
          <w:tcPr>
            <w:tcW w:w="4252" w:type="dxa"/>
          </w:tcPr>
          <w:p>
            <w:pPr>
              <w:pStyle w:val="yTableNAm"/>
              <w:tabs>
                <w:tab w:val="clear" w:pos="567"/>
                <w:tab w:val="left" w:pos="329"/>
              </w:tabs>
              <w:spacing w:before="0"/>
              <w:ind w:left="329" w:hanging="329"/>
              <w:rPr>
                <w:spacing w:val="-2"/>
                <w:sz w:val="18"/>
              </w:rPr>
            </w:pPr>
            <w:r>
              <w:rPr>
                <w:spacing w:val="-2"/>
                <w:sz w:val="18"/>
              </w:rPr>
              <w:sym w:font="Wingdings" w:char="F08C"/>
            </w:r>
            <w:r>
              <w:rPr>
                <w:spacing w:val="-2"/>
                <w:sz w:val="18"/>
              </w:rPr>
              <w:tab/>
            </w:r>
            <w:r>
              <w:rPr>
                <w:sz w:val="18"/>
              </w:rPr>
              <w:t>Mayoral</w:t>
            </w:r>
            <w:r>
              <w:rPr>
                <w:spacing w:val="-2"/>
                <w:sz w:val="18"/>
              </w:rPr>
              <w:t> </w:t>
            </w:r>
            <w:r>
              <w:rPr>
                <w:spacing w:val="-2"/>
                <w:sz w:val="18"/>
                <w:vertAlign w:val="superscript"/>
              </w:rPr>
              <w:t>4</w:t>
            </w:r>
            <w:r>
              <w:rPr>
                <w:spacing w:val="-2"/>
                <w:sz w:val="18"/>
              </w:rPr>
              <w:t xml:space="preserve"> election</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mayoral </w:t>
            </w:r>
            <w:r>
              <w:rPr>
                <w:spacing w:val="-2"/>
                <w:sz w:val="18"/>
                <w:vertAlign w:val="superscript"/>
              </w:rPr>
              <w:t>4</w:t>
            </w:r>
            <w:r>
              <w:rPr>
                <w:spacing w:val="-2"/>
                <w:sz w:val="18"/>
              </w:rPr>
              <w:t xml:space="preserve"> ballot paper, decide which candidate you want to vote for and mark your choice on the mayoral </w:t>
            </w:r>
            <w:r>
              <w:rPr>
                <w:spacing w:val="-2"/>
                <w:sz w:val="18"/>
                <w:vertAlign w:val="superscript"/>
              </w:rPr>
              <w:t>4</w:t>
            </w:r>
            <w:r>
              <w:rPr>
                <w:spacing w:val="-2"/>
                <w:sz w:val="18"/>
              </w:rPr>
              <w:t xml:space="preserve"> ballot paper. The instructions on the mayoral </w:t>
            </w:r>
            <w:r>
              <w:rPr>
                <w:spacing w:val="-2"/>
                <w:sz w:val="18"/>
                <w:vertAlign w:val="superscript"/>
              </w:rPr>
              <w:t>4</w:t>
            </w:r>
            <w:r>
              <w:rPr>
                <w:spacing w:val="-2"/>
                <w:sz w:val="18"/>
              </w:rPr>
              <w:t xml:space="preserve"> ballot paper tell you how to do this.</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mayoral </w:t>
            </w:r>
            <w:r>
              <w:rPr>
                <w:spacing w:val="-2"/>
                <w:sz w:val="18"/>
                <w:vertAlign w:val="superscript"/>
              </w:rPr>
              <w:t>4</w:t>
            </w:r>
            <w:r>
              <w:rPr>
                <w:spacing w:val="-2"/>
                <w:sz w:val="18"/>
              </w:rPr>
              <w:t xml:space="preserve"> ballot paper, decide which candidate is your first choice and whether you want to show more choices. Then mark your choice or choices on the mayoral </w:t>
            </w:r>
            <w:r>
              <w:rPr>
                <w:spacing w:val="-2"/>
                <w:sz w:val="18"/>
                <w:vertAlign w:val="superscript"/>
              </w:rPr>
              <w:t>4</w:t>
            </w:r>
            <w:r>
              <w:rPr>
                <w:spacing w:val="-2"/>
                <w:sz w:val="18"/>
              </w:rPr>
              <w:t xml:space="preserve"> ballot paper. The instructions on the mayoral </w:t>
            </w:r>
            <w:r>
              <w:rPr>
                <w:spacing w:val="-2"/>
                <w:sz w:val="18"/>
                <w:vertAlign w:val="superscript"/>
              </w:rPr>
              <w:t>4</w:t>
            </w:r>
            <w:r>
              <w:rPr>
                <w:spacing w:val="-2"/>
                <w:sz w:val="18"/>
              </w:rPr>
              <w:t xml:space="preserve"> ballot paper tell you how to do this.</w:t>
            </w:r>
          </w:p>
          <w:p>
            <w:pPr>
              <w:pStyle w:val="yTableNAm"/>
              <w:tabs>
                <w:tab w:val="clear" w:pos="567"/>
                <w:tab w:val="left" w:pos="329"/>
              </w:tabs>
              <w:spacing w:before="0"/>
              <w:ind w:left="329" w:hanging="329"/>
              <w:rPr>
                <w:sz w:val="18"/>
              </w:rPr>
            </w:pPr>
          </w:p>
        </w:tc>
      </w:tr>
      <w:tr>
        <w:tc>
          <w:tcPr>
            <w:tcW w:w="1701" w:type="dxa"/>
          </w:tcPr>
          <w:p>
            <w:pPr>
              <w:pStyle w:val="yTableNAm"/>
            </w:pPr>
          </w:p>
        </w:tc>
        <w:tc>
          <w:tcPr>
            <w:tcW w:w="4252" w:type="dxa"/>
          </w:tcPr>
          <w:p>
            <w:pPr>
              <w:pStyle w:val="yTableNAm"/>
              <w:tabs>
                <w:tab w:val="clear" w:pos="567"/>
                <w:tab w:val="left" w:pos="329"/>
              </w:tabs>
              <w:spacing w:before="0"/>
              <w:ind w:left="329" w:hanging="329"/>
              <w:rPr>
                <w:spacing w:val="-2"/>
                <w:sz w:val="18"/>
              </w:rPr>
            </w:pPr>
            <w:r>
              <w:rPr>
                <w:spacing w:val="-2"/>
                <w:sz w:val="18"/>
              </w:rPr>
              <w:sym w:font="Wingdings" w:char="F08D"/>
            </w:r>
            <w:r>
              <w:rPr>
                <w:spacing w:val="-2"/>
                <w:sz w:val="18"/>
              </w:rPr>
              <w:tab/>
              <w:t xml:space="preserve">Councillors </w:t>
            </w:r>
            <w:r>
              <w:rPr>
                <w:sz w:val="18"/>
              </w:rPr>
              <w:t>election</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councillors ballot paper, decide which candidate you want to vote for and mark your choice on the councillors ballot paper. The instructions on the councillors ballot paper tell you how to do this.</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councillors ballot paper, decide which candidate is your first choice and whether you want to show more choices. Then mark your choice or choices on the councillors ballot paper. The instructions on the councillors ballot paper tell you how to do this.</w:t>
            </w:r>
          </w:p>
          <w:p>
            <w:pPr>
              <w:pStyle w:val="yTableNAm"/>
              <w:tabs>
                <w:tab w:val="clear" w:pos="567"/>
                <w:tab w:val="left" w:pos="329"/>
              </w:tabs>
              <w:spacing w:before="0"/>
              <w:ind w:left="329" w:hanging="329"/>
              <w:rPr>
                <w:sz w:val="18"/>
              </w:rPr>
            </w:pP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Put your completed ballot papers into the envelope provided and seal the envelope.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E"/>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keepNext/>
        <w:rPr>
          <w:b/>
          <w:bCs/>
          <w:i/>
          <w:iCs/>
        </w:rPr>
      </w:pPr>
      <w:r>
        <w:rPr>
          <w:b/>
          <w:bCs/>
          <w:i/>
          <w:iCs/>
        </w:rPr>
        <w:t>4</w:t>
      </w:r>
      <w:r>
        <w:rPr>
          <w:b/>
          <w:bCs/>
          <w:i/>
          <w:iCs/>
        </w:rPr>
        <w:tab/>
        <w:t>Mayor/President</w:t>
      </w:r>
    </w:p>
    <w:p>
      <w:pPr>
        <w:pStyle w:val="yMiscellaneousBody"/>
        <w:keepNext/>
        <w:ind w:left="851" w:hanging="851"/>
        <w:rPr>
          <w:i/>
          <w:iCs/>
        </w:rPr>
      </w:pPr>
      <w:r>
        <w:rPr>
          <w:i/>
          <w:iCs/>
        </w:rPr>
        <w:tab/>
        <w:t>For an election in a Shire replace “mayor” with “president” and “mayoral” with “presidential”.</w:t>
      </w:r>
    </w:p>
    <w:p>
      <w:pPr>
        <w:pStyle w:val="yFootnotesection"/>
        <w:keepLines w:val="0"/>
        <w:rPr>
          <w:i w:val="0"/>
          <w:iCs/>
        </w:rPr>
      </w:pPr>
      <w:r>
        <w:tab/>
        <w:t>[Form 13 inserted: Gazette 28 Aug 2009 p. 3365</w:t>
      </w:r>
      <w:r>
        <w:noBreakHyphen/>
        <w:t>7; amended: SL 2023/102 r. 56.]</w:t>
      </w:r>
    </w:p>
    <w:p>
      <w:pPr>
        <w:pStyle w:val="yTable"/>
        <w:pageBreakBefore/>
        <w:tabs>
          <w:tab w:val="left" w:pos="1134"/>
        </w:tabs>
        <w:spacing w:before="0" w:after="80"/>
        <w:outlineLvl w:val="2"/>
        <w:rPr>
          <w:b/>
          <w:snapToGrid w:val="0"/>
        </w:rPr>
      </w:pPr>
      <w:r>
        <w:rPr>
          <w:rStyle w:val="CharSClsNo"/>
          <w:b/>
        </w:rPr>
        <w:lastRenderedPageBreak/>
        <w:t>Form 14</w:t>
      </w:r>
      <w:r>
        <w:rPr>
          <w:b/>
          <w:snapToGrid w:val="0"/>
        </w:rPr>
        <w:t>.</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spacing w:before="0"/>
        <w:rPr>
          <w:rFonts w:ascii="Times" w:hAnsi="Times"/>
          <w:snapToGrid w:val="0"/>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1134" w:hanging="1134"/>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Gazette 21 Jan 2005 p. 267.]</w:t>
      </w:r>
    </w:p>
    <w:p>
      <w:pPr>
        <w:pStyle w:val="yTable"/>
        <w:pageBreakBefore/>
        <w:tabs>
          <w:tab w:val="left" w:pos="1134"/>
        </w:tabs>
        <w:spacing w:before="0" w:after="40"/>
        <w:outlineLvl w:val="2"/>
        <w:rPr>
          <w:b/>
          <w:snapToGrid w:val="0"/>
        </w:rPr>
      </w:pPr>
      <w:r>
        <w:rPr>
          <w:rStyle w:val="CharSClsNo"/>
          <w:b/>
        </w:rPr>
        <w:lastRenderedPageBreak/>
        <w:t>Form 15</w:t>
      </w:r>
      <w:r>
        <w:rPr>
          <w:b/>
          <w:snapToGrid w:val="0"/>
        </w:rPr>
        <w:t>.</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z w:val="18"/>
              </w:rPr>
            </w:pPr>
            <w:r>
              <w:rPr>
                <w:snapToGrid w:val="0"/>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6"/>
                <w:sz w:val="18"/>
              </w:rPr>
              <w:t>if you are making your application on election day: between 8 a.m. and 6 p.m.</w:t>
            </w:r>
          </w:p>
        </w:tc>
      </w:tr>
    </w:tbl>
    <w:p>
      <w:pPr>
        <w:pStyle w:val="yFootnotesection"/>
        <w:spacing w:before="100"/>
        <w:rPr>
          <w:b/>
        </w:rPr>
      </w:pPr>
      <w:r>
        <w:lastRenderedPageBreak/>
        <w:tab/>
        <w:t>[Form 15 amended: Gazette 22 Dec 1998 p. 6876; 21 Jan 2005 p. 268.]</w:t>
      </w:r>
    </w:p>
    <w:p>
      <w:pPr>
        <w:pStyle w:val="yTable"/>
        <w:pageBreakBefore/>
        <w:tabs>
          <w:tab w:val="left" w:pos="1134"/>
        </w:tabs>
        <w:spacing w:before="0" w:after="80"/>
        <w:outlineLvl w:val="2"/>
        <w:rPr>
          <w:b/>
          <w:snapToGrid w:val="0"/>
        </w:rPr>
      </w:pPr>
      <w:r>
        <w:rPr>
          <w:rStyle w:val="CharSClsNo"/>
          <w:b/>
        </w:rPr>
        <w:lastRenderedPageBreak/>
        <w:t>Form 16</w:t>
      </w:r>
      <w:r>
        <w:rPr>
          <w:b/>
          <w:snapToGrid w:val="0"/>
        </w:rPr>
        <w:t>.</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tabs>
                <w:tab w:val="left" w:pos="459"/>
              </w:tabs>
              <w:ind w:left="459" w:hanging="459"/>
              <w:rPr>
                <w:snapToGrid w:val="0"/>
                <w:sz w:val="18"/>
              </w:rPr>
            </w:pPr>
            <w:r>
              <w:rPr>
                <w:snapToGrid w:val="0"/>
                <w:sz w:val="18"/>
              </w:rPr>
              <w:sym w:font="Wingdings" w:char="F072"/>
            </w:r>
            <w:r>
              <w:rPr>
                <w:snapToGrid w:val="0"/>
                <w:sz w:val="18"/>
              </w:rPr>
              <w:tab/>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Gazette 22 Dec 1998 p. 6877</w:t>
      </w:r>
      <w:r>
        <w:noBreakHyphen/>
        <w:t>8; amended: Gazette 21 Jan 2005 p. 268.]</w:t>
      </w:r>
    </w:p>
    <w:p>
      <w:pPr>
        <w:pStyle w:val="yTable"/>
        <w:pageBreakBefore/>
        <w:tabs>
          <w:tab w:val="left" w:pos="1134"/>
        </w:tabs>
        <w:spacing w:before="0" w:after="80"/>
        <w:outlineLvl w:val="2"/>
        <w:rPr>
          <w:b/>
          <w:snapToGrid w:val="0"/>
        </w:rPr>
      </w:pPr>
      <w:r>
        <w:rPr>
          <w:rStyle w:val="CharSClsNo"/>
          <w:b/>
        </w:rPr>
        <w:lastRenderedPageBreak/>
        <w:t>Form 17</w:t>
      </w:r>
      <w:r>
        <w:rPr>
          <w:b/>
          <w:snapToGrid w:val="0"/>
        </w:rPr>
        <w:t>.</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Gazette 22 Dec 1998 p. 6878; 21 Jan 2005 p. 268.]</w:t>
      </w:r>
    </w:p>
    <w:p>
      <w:pPr>
        <w:pStyle w:val="yTable"/>
        <w:pageBreakBefore/>
        <w:tabs>
          <w:tab w:val="left" w:pos="1134"/>
        </w:tabs>
        <w:spacing w:after="60"/>
        <w:outlineLvl w:val="2"/>
        <w:rPr>
          <w:b/>
          <w:snapToGrid w:val="0"/>
        </w:rPr>
      </w:pPr>
      <w:r>
        <w:rPr>
          <w:rStyle w:val="CharSClsNo"/>
          <w:b/>
        </w:rPr>
        <w:lastRenderedPageBreak/>
        <w:t>Form 18</w:t>
      </w:r>
      <w:r>
        <w:rPr>
          <w:b/>
          <w:snapToGrid w:val="0"/>
        </w:rPr>
        <w:t>.</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pageBreakBefore/>
        <w:tabs>
          <w:tab w:val="left" w:pos="1134"/>
        </w:tabs>
        <w:spacing w:after="60"/>
        <w:outlineLvl w:val="2"/>
        <w:rPr>
          <w:b/>
          <w:snapToGrid w:val="0"/>
        </w:rPr>
      </w:pPr>
      <w:r>
        <w:rPr>
          <w:rStyle w:val="CharSClsNo"/>
          <w:b/>
        </w:rPr>
        <w:lastRenderedPageBreak/>
        <w:t>Form 18</w:t>
      </w:r>
      <w:r>
        <w:rPr>
          <w:b/>
          <w:snapToGrid w:val="0"/>
        </w:rPr>
        <w:t>.</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lastRenderedPageBreak/>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 and</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Gazette 22 Dec 1998 p. 6878; 25 Jan 2001 p. 590</w:t>
      </w:r>
      <w:r>
        <w:noBreakHyphen/>
        <w:t>1; 21 Jan 2005 p. 268; 3 Aug 2007 p. 4002 and 4006; 28 Aug 2009 p. 3368.]</w:t>
      </w:r>
    </w:p>
    <w:p>
      <w:pPr>
        <w:pStyle w:val="yEdnotesection"/>
      </w:pPr>
      <w:r>
        <w:t>[Form 19 deleted: SL 2023/102 r. 57.]</w:t>
      </w:r>
    </w:p>
    <w:p>
      <w:pPr>
        <w:pStyle w:val="yTable"/>
        <w:pageBreakBefore/>
        <w:tabs>
          <w:tab w:val="left" w:pos="1134"/>
        </w:tabs>
        <w:spacing w:after="60"/>
        <w:outlineLvl w:val="2"/>
        <w:rPr>
          <w:snapToGrid w:val="0"/>
        </w:rPr>
      </w:pPr>
      <w:r>
        <w:rPr>
          <w:rStyle w:val="CharSClsNo"/>
        </w:rPr>
        <w:lastRenderedPageBreak/>
        <w:t>Form 20</w:t>
      </w:r>
      <w:r>
        <w:rPr>
          <w:b/>
        </w:rPr>
        <w:t>.</w:t>
      </w:r>
      <w:r>
        <w:rPr>
          <w:b/>
        </w:rPr>
        <w:tab/>
      </w:r>
      <w:r>
        <w:rPr>
          <w:b/>
          <w:snapToGrid w:val="0"/>
        </w:rPr>
        <w:t>Report to Minister</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04"/>
      </w:tblGrid>
      <w:tr>
        <w:tc>
          <w:tcPr>
            <w:tcW w:w="6804" w:type="dxa"/>
            <w:tcBorders>
              <w:bottom w:val="single" w:sz="4" w:space="0" w:color="auto"/>
            </w:tcBorders>
            <w:noWrap/>
          </w:tcPr>
          <w:p>
            <w:pPr>
              <w:pStyle w:val="yTableNAm"/>
              <w:rPr>
                <w:sz w:val="18"/>
              </w:rPr>
            </w:pPr>
            <w:r>
              <w:rPr>
                <w:b/>
              </w:rPr>
              <w:t>REPORT TO MINISTER</w:t>
            </w:r>
            <w:r>
              <w:rPr>
                <w:sz w:val="18"/>
              </w:rPr>
              <w:t xml:space="preserve"> </w:t>
            </w:r>
          </w:p>
          <w:p>
            <w:pPr>
              <w:pStyle w:val="yTableNAm"/>
              <w:rPr>
                <w:sz w:val="18"/>
              </w:rPr>
            </w:pPr>
            <w:r>
              <w:rPr>
                <w:i/>
                <w:sz w:val="18"/>
              </w:rPr>
              <w:t>Local Government Act 1995</w:t>
            </w:r>
            <w:r>
              <w:rPr>
                <w:sz w:val="18"/>
              </w:rPr>
              <w:t>, s. 4.79(2)</w:t>
            </w:r>
          </w:p>
          <w:p>
            <w:pPr>
              <w:pStyle w:val="yTableNAm"/>
              <w:rPr>
                <w:sz w:val="18"/>
              </w:rPr>
            </w:pPr>
            <w:r>
              <w:rPr>
                <w:i/>
                <w:sz w:val="18"/>
              </w:rPr>
              <w:t>Local Government (Elections) Regulations 1997</w:t>
            </w:r>
            <w:r>
              <w:rPr>
                <w:sz w:val="18"/>
              </w:rPr>
              <w:t>, r. 81</w:t>
            </w:r>
          </w:p>
        </w:tc>
      </w:tr>
    </w:tbl>
    <w:p>
      <w:pPr>
        <w:pStyle w:val="yMiscellaneousBody"/>
        <w:ind w:left="142"/>
        <w:rPr>
          <w:b/>
          <w:sz w:val="20"/>
        </w:rPr>
      </w:pPr>
      <w:r>
        <w:rPr>
          <w:b/>
          <w:sz w:val="20"/>
        </w:rPr>
        <w:t>Part 1 — General information</w:t>
      </w:r>
    </w:p>
    <w:p>
      <w:pPr>
        <w:pStyle w:val="yMiscellaneousBody"/>
        <w:ind w:left="142"/>
        <w:rPr>
          <w:b/>
          <w:i/>
          <w:sz w:val="20"/>
        </w:rPr>
      </w:pPr>
      <w:r>
        <w:rPr>
          <w:b/>
          <w:bCs/>
          <w:i/>
          <w:iCs/>
          <w:snapToGrid w:val="0"/>
          <w:sz w:val="20"/>
        </w:rPr>
        <w:t xml:space="preserve">Use one </w:t>
      </w:r>
      <w:r>
        <w:rPr>
          <w:b/>
          <w:i/>
          <w:sz w:val="20"/>
        </w:rPr>
        <w:t>form for each election.</w:t>
      </w:r>
    </w:p>
    <w:p>
      <w:pPr>
        <w:pStyle w:val="yMiscellaneousBody"/>
        <w:ind w:left="142"/>
        <w:rPr>
          <w:b/>
          <w:bCs/>
          <w:snapToGrid w:val="0"/>
          <w:sz w:val="20"/>
        </w:rPr>
      </w:pPr>
      <w:r>
        <w:rPr>
          <w:b/>
          <w:sz w:val="20"/>
        </w:rPr>
        <w:t>District and</w:t>
      </w:r>
      <w:r>
        <w:rPr>
          <w:b/>
          <w:bCs/>
          <w:snapToGrid w:val="0"/>
          <w:sz w:val="20"/>
        </w:rPr>
        <w:t xml:space="preserve"> date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cantSplit/>
        </w:trPr>
        <w:tc>
          <w:tcPr>
            <w:tcW w:w="2580" w:type="dxa"/>
            <w:noWrap/>
          </w:tcPr>
          <w:p>
            <w:pPr>
              <w:pStyle w:val="yTableNAm"/>
              <w:rPr>
                <w:sz w:val="18"/>
                <w:szCs w:val="18"/>
              </w:rPr>
            </w:pPr>
            <w:r>
              <w:rPr>
                <w:sz w:val="18"/>
                <w:szCs w:val="18"/>
              </w:rPr>
              <w:t>District (and ward, if applicable) where election held:</w:t>
            </w:r>
          </w:p>
          <w:p>
            <w:pPr>
              <w:pStyle w:val="yTableNAm"/>
              <w:rPr>
                <w:sz w:val="18"/>
                <w:szCs w:val="18"/>
              </w:rPr>
            </w:pPr>
            <w:r>
              <w:rPr>
                <w:sz w:val="18"/>
                <w:szCs w:val="18"/>
              </w:rPr>
              <w:t>Election date:</w:t>
            </w:r>
          </w:p>
        </w:tc>
        <w:tc>
          <w:tcPr>
            <w:tcW w:w="4224" w:type="dxa"/>
            <w:noWrap/>
          </w:tcPr>
          <w:p>
            <w:pPr>
              <w:pStyle w:val="yTableNAm"/>
              <w:rPr>
                <w:sz w:val="20"/>
              </w:rPr>
            </w:pPr>
          </w:p>
        </w:tc>
      </w:tr>
    </w:tbl>
    <w:p>
      <w:pPr>
        <w:pStyle w:val="yMiscellaneousBody"/>
        <w:ind w:left="142"/>
        <w:rPr>
          <w:b/>
          <w:bCs/>
          <w:snapToGrid w:val="0"/>
          <w:sz w:val="20"/>
        </w:rPr>
      </w:pPr>
      <w:r>
        <w:rPr>
          <w:b/>
          <w:sz w:val="20"/>
        </w:rPr>
        <w:t>Vacancies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trHeight w:val="220"/>
        </w:trPr>
        <w:tc>
          <w:tcPr>
            <w:tcW w:w="2580" w:type="dxa"/>
            <w:noWrap/>
          </w:tcPr>
          <w:p>
            <w:pPr>
              <w:pStyle w:val="yTableNAm"/>
              <w:rPr>
                <w:sz w:val="18"/>
                <w:szCs w:val="18"/>
              </w:rPr>
            </w:pPr>
            <w:r>
              <w:rPr>
                <w:sz w:val="18"/>
                <w:szCs w:val="18"/>
              </w:rPr>
              <w:t>Number of vacancies:</w:t>
            </w:r>
          </w:p>
        </w:tc>
        <w:tc>
          <w:tcPr>
            <w:tcW w:w="4224" w:type="dxa"/>
            <w:noWrap/>
          </w:tcPr>
          <w:p>
            <w:pPr>
              <w:pStyle w:val="yTableNAm"/>
              <w:rPr>
                <w:sz w:val="20"/>
              </w:rPr>
            </w:pPr>
          </w:p>
        </w:tc>
      </w:tr>
      <w:tr>
        <w:trPr>
          <w:trHeight w:val="220"/>
        </w:trPr>
        <w:tc>
          <w:tcPr>
            <w:tcW w:w="2580" w:type="dxa"/>
            <w:noWrap/>
          </w:tcPr>
          <w:p>
            <w:pPr>
              <w:pStyle w:val="yTableNAm"/>
              <w:rPr>
                <w:sz w:val="18"/>
                <w:szCs w:val="18"/>
              </w:rPr>
            </w:pPr>
            <w:r>
              <w:rPr>
                <w:sz w:val="18"/>
                <w:szCs w:val="18"/>
              </w:rPr>
              <w:t>Vacancies unfilled:</w:t>
            </w:r>
          </w:p>
          <w:p>
            <w:pPr>
              <w:pStyle w:val="yTableNAm"/>
              <w:rPr>
                <w:rStyle w:val="DraftersNotes"/>
                <w:b w:val="0"/>
                <w:i w:val="0"/>
                <w:sz w:val="18"/>
                <w:szCs w:val="18"/>
              </w:rPr>
            </w:pPr>
            <w:r>
              <w:rPr>
                <w:sz w:val="18"/>
                <w:szCs w:val="18"/>
              </w:rPr>
              <w:t>(i.e., vacancies for which no nominations were received at the close of nominations):</w:t>
            </w:r>
          </w:p>
        </w:tc>
        <w:tc>
          <w:tcPr>
            <w:tcW w:w="4224" w:type="dxa"/>
            <w:noWrap/>
          </w:tcPr>
          <w:p>
            <w:pPr>
              <w:pStyle w:val="yTableNAm"/>
              <w:rPr>
                <w:sz w:val="18"/>
                <w:szCs w:val="18"/>
              </w:rPr>
            </w:pPr>
          </w:p>
        </w:tc>
      </w:tr>
    </w:tbl>
    <w:p>
      <w:pPr>
        <w:pStyle w:val="yMiscellaneousBody"/>
        <w:keepNext/>
        <w:ind w:left="142"/>
        <w:rPr>
          <w:b/>
          <w:bCs/>
          <w:snapToGrid w:val="0"/>
          <w:sz w:val="20"/>
        </w:rPr>
      </w:pPr>
      <w:r>
        <w:rPr>
          <w:b/>
          <w:sz w:val="20"/>
        </w:rPr>
        <w:t>Type of election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cantSplit/>
        </w:trPr>
        <w:tc>
          <w:tcPr>
            <w:tcW w:w="2580" w:type="dxa"/>
            <w:noWrap/>
          </w:tcPr>
          <w:p>
            <w:pPr>
              <w:pStyle w:val="yTableNAm"/>
              <w:rPr>
                <w:sz w:val="18"/>
                <w:szCs w:val="18"/>
              </w:rPr>
            </w:pPr>
            <w:r>
              <w:rPr>
                <w:sz w:val="18"/>
                <w:szCs w:val="18"/>
              </w:rPr>
              <w:t>Voting in person:</w:t>
            </w:r>
          </w:p>
          <w:p>
            <w:pPr>
              <w:pStyle w:val="yTableNAm"/>
              <w:rPr>
                <w:sz w:val="18"/>
                <w:szCs w:val="18"/>
              </w:rPr>
            </w:pPr>
            <w:r>
              <w:rPr>
                <w:sz w:val="18"/>
                <w:szCs w:val="18"/>
              </w:rPr>
              <w:t>Postal:</w:t>
            </w:r>
          </w:p>
          <w:p>
            <w:pPr>
              <w:pStyle w:val="yTableNAm"/>
              <w:rPr>
                <w:sz w:val="18"/>
                <w:szCs w:val="18"/>
              </w:rPr>
            </w:pPr>
          </w:p>
        </w:tc>
        <w:tc>
          <w:tcPr>
            <w:tcW w:w="4224" w:type="dxa"/>
            <w:noWrap/>
          </w:tcPr>
          <w:p>
            <w:pPr>
              <w:pStyle w:val="yTableNAm"/>
              <w:rPr>
                <w:sz w:val="18"/>
                <w:szCs w:val="18"/>
              </w:rPr>
            </w:pPr>
            <w:r>
              <w:rPr>
                <w:sz w:val="18"/>
                <w:szCs w:val="18"/>
              </w:rPr>
              <w:sym w:font="Wingdings 2" w:char="F02A"/>
            </w:r>
            <w:r>
              <w:rPr>
                <w:sz w:val="18"/>
                <w:szCs w:val="18"/>
              </w:rPr>
              <w:tab/>
            </w:r>
          </w:p>
          <w:p>
            <w:pPr>
              <w:pStyle w:val="yTableNAm"/>
              <w:rPr>
                <w:sz w:val="18"/>
                <w:szCs w:val="18"/>
              </w:rPr>
            </w:pPr>
            <w:r>
              <w:rPr>
                <w:sz w:val="18"/>
                <w:szCs w:val="18"/>
              </w:rPr>
              <w:sym w:font="Wingdings 2" w:char="F02A"/>
            </w:r>
            <w:r>
              <w:rPr>
                <w:sz w:val="18"/>
                <w:szCs w:val="18"/>
              </w:rPr>
              <w:tab/>
            </w:r>
          </w:p>
          <w:p>
            <w:pPr>
              <w:pStyle w:val="yTableNAm"/>
              <w:rPr>
                <w:i/>
                <w:sz w:val="18"/>
                <w:szCs w:val="18"/>
              </w:rPr>
            </w:pPr>
            <w:r>
              <w:rPr>
                <w:i/>
                <w:sz w:val="18"/>
                <w:szCs w:val="18"/>
              </w:rPr>
              <w:t>[Tick one box]</w:t>
            </w:r>
          </w:p>
        </w:tc>
      </w:tr>
    </w:tbl>
    <w:p>
      <w:pPr>
        <w:pStyle w:val="yMiscellaneousBody"/>
        <w:ind w:left="142"/>
        <w:rPr>
          <w:b/>
          <w:bCs/>
          <w:snapToGrid w:val="0"/>
          <w:sz w:val="20"/>
        </w:rPr>
      </w:pPr>
      <w:r>
        <w:rPr>
          <w:b/>
          <w:sz w:val="20"/>
        </w:rPr>
        <w:t>Position/s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04"/>
      </w:tblGrid>
      <w:tr>
        <w:tc>
          <w:tcPr>
            <w:tcW w:w="6804" w:type="dxa"/>
          </w:tcPr>
          <w:p>
            <w:pPr>
              <w:pStyle w:val="yTableNAm"/>
              <w:rPr>
                <w:sz w:val="18"/>
                <w:szCs w:val="18"/>
              </w:rPr>
            </w:pPr>
            <w:r>
              <w:rPr>
                <w:sz w:val="18"/>
                <w:szCs w:val="18"/>
              </w:rPr>
              <w:t>Mayor / president / councillor*</w:t>
            </w:r>
          </w:p>
          <w:p>
            <w:pPr>
              <w:pStyle w:val="yTableNAm"/>
              <w:rPr>
                <w:sz w:val="20"/>
              </w:rPr>
            </w:pPr>
            <w:r>
              <w:rPr>
                <w:sz w:val="18"/>
                <w:szCs w:val="18"/>
              </w:rPr>
              <w:t>* Delete whichever is inapplicable.</w:t>
            </w:r>
          </w:p>
        </w:tc>
      </w:tr>
    </w:tbl>
    <w:p>
      <w:pPr>
        <w:pStyle w:val="yMiscellaneousBody"/>
        <w:keepNext/>
        <w:ind w:left="142"/>
        <w:rPr>
          <w:b/>
          <w:bCs/>
          <w:snapToGrid w:val="0"/>
          <w:sz w:val="20"/>
        </w:rPr>
      </w:pPr>
      <w:r>
        <w:rPr>
          <w:b/>
          <w:sz w:val="20"/>
        </w:rPr>
        <w:t>Number of persons on rolls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trHeight w:val="220"/>
        </w:trPr>
        <w:tc>
          <w:tcPr>
            <w:tcW w:w="3402" w:type="dxa"/>
            <w:noWrap/>
          </w:tcPr>
          <w:p>
            <w:pPr>
              <w:pStyle w:val="yTableNAm"/>
              <w:rPr>
                <w:sz w:val="18"/>
                <w:szCs w:val="18"/>
              </w:rPr>
            </w:pPr>
            <w:r>
              <w:rPr>
                <w:sz w:val="18"/>
                <w:szCs w:val="18"/>
              </w:rPr>
              <w:t>Number of persons on owners and occupiers roll</w:t>
            </w:r>
          </w:p>
        </w:tc>
        <w:tc>
          <w:tcPr>
            <w:tcW w:w="3402" w:type="dxa"/>
            <w:noWrap/>
          </w:tcPr>
          <w:p>
            <w:pPr>
              <w:pStyle w:val="yTableNAm"/>
              <w:rPr>
                <w:sz w:val="18"/>
                <w:szCs w:val="18"/>
              </w:rPr>
            </w:pPr>
          </w:p>
        </w:tc>
      </w:tr>
      <w:tr>
        <w:trPr>
          <w:cantSplit/>
          <w:trHeight w:val="220"/>
        </w:trPr>
        <w:tc>
          <w:tcPr>
            <w:tcW w:w="3402" w:type="dxa"/>
            <w:noWrap/>
          </w:tcPr>
          <w:p>
            <w:pPr>
              <w:pStyle w:val="yTableNAm"/>
              <w:rPr>
                <w:sz w:val="18"/>
                <w:szCs w:val="18"/>
              </w:rPr>
            </w:pPr>
            <w:r>
              <w:rPr>
                <w:sz w:val="18"/>
                <w:szCs w:val="18"/>
              </w:rPr>
              <w:t>Number of persons on residents roll</w:t>
            </w:r>
          </w:p>
        </w:tc>
        <w:tc>
          <w:tcPr>
            <w:tcW w:w="3402" w:type="dxa"/>
            <w:noWrap/>
          </w:tcPr>
          <w:p>
            <w:pPr>
              <w:pStyle w:val="yTableNAm"/>
              <w:rPr>
                <w:sz w:val="18"/>
                <w:szCs w:val="18"/>
              </w:rPr>
            </w:pPr>
          </w:p>
        </w:tc>
      </w:tr>
      <w:tr>
        <w:trPr>
          <w:cantSplit/>
          <w:trHeight w:val="220"/>
        </w:trPr>
        <w:tc>
          <w:tcPr>
            <w:tcW w:w="3402" w:type="dxa"/>
            <w:noWrap/>
          </w:tcPr>
          <w:p>
            <w:pPr>
              <w:pStyle w:val="yTableNAm"/>
              <w:rPr>
                <w:sz w:val="18"/>
                <w:szCs w:val="18"/>
              </w:rPr>
            </w:pPr>
            <w:r>
              <w:rPr>
                <w:sz w:val="18"/>
                <w:szCs w:val="18"/>
              </w:rPr>
              <w:lastRenderedPageBreak/>
              <w:t>Total number of names of persons on rolls (roll, if consolidated)</w:t>
            </w:r>
          </w:p>
        </w:tc>
        <w:tc>
          <w:tcPr>
            <w:tcW w:w="3402" w:type="dxa"/>
            <w:noWrap/>
          </w:tcPr>
          <w:p>
            <w:pPr>
              <w:pStyle w:val="yTableNAm"/>
              <w:rPr>
                <w:sz w:val="18"/>
                <w:szCs w:val="18"/>
              </w:rPr>
            </w:pPr>
          </w:p>
        </w:tc>
      </w:tr>
    </w:tbl>
    <w:p>
      <w:pPr>
        <w:pStyle w:val="yMiscellaneousBody"/>
        <w:ind w:left="142"/>
        <w:rPr>
          <w:b/>
          <w:sz w:val="20"/>
        </w:rPr>
      </w:pPr>
      <w:r>
        <w:rPr>
          <w:b/>
          <w:sz w:val="20"/>
        </w:rPr>
        <w:t>Part 2 — Voter turnout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998"/>
        <w:gridCol w:w="2806"/>
      </w:tblGrid>
      <w:tr>
        <w:trPr>
          <w:trHeight w:val="220"/>
        </w:trPr>
        <w:tc>
          <w:tcPr>
            <w:tcW w:w="3998" w:type="dxa"/>
            <w:noWrap/>
          </w:tcPr>
          <w:p>
            <w:pPr>
              <w:pStyle w:val="yTableNAm"/>
              <w:rPr>
                <w:b/>
                <w:i/>
                <w:sz w:val="18"/>
                <w:szCs w:val="18"/>
              </w:rPr>
            </w:pPr>
            <w:r>
              <w:rPr>
                <w:b/>
                <w:i/>
                <w:sz w:val="18"/>
                <w:szCs w:val="18"/>
              </w:rPr>
              <w:t>Voter categories</w:t>
            </w:r>
          </w:p>
        </w:tc>
        <w:tc>
          <w:tcPr>
            <w:tcW w:w="2806" w:type="dxa"/>
            <w:noWrap/>
          </w:tcPr>
          <w:p>
            <w:pPr>
              <w:pStyle w:val="yTableNAm"/>
              <w:rPr>
                <w:b/>
                <w:i/>
                <w:sz w:val="18"/>
                <w:szCs w:val="18"/>
              </w:rPr>
            </w:pPr>
            <w:r>
              <w:rPr>
                <w:b/>
                <w:i/>
                <w:sz w:val="18"/>
                <w:szCs w:val="18"/>
              </w:rPr>
              <w:t>Number of voters</w:t>
            </w:r>
          </w:p>
        </w:tc>
      </w:tr>
      <w:tr>
        <w:trPr>
          <w:trHeight w:val="220"/>
        </w:trPr>
        <w:tc>
          <w:tcPr>
            <w:tcW w:w="3998" w:type="dxa"/>
            <w:noWrap/>
          </w:tcPr>
          <w:p>
            <w:pPr>
              <w:pStyle w:val="yTableNAm"/>
              <w:rPr>
                <w:sz w:val="18"/>
                <w:szCs w:val="18"/>
              </w:rPr>
            </w:pPr>
            <w:r>
              <w:rPr>
                <w:sz w:val="18"/>
                <w:szCs w:val="18"/>
              </w:rPr>
              <w:t>Absent voters whose voting papers were rejected</w:t>
            </w:r>
            <w:r>
              <w:rPr>
                <w:sz w:val="18"/>
                <w:szCs w:val="18"/>
                <w:vertAlign w:val="superscript"/>
              </w:rPr>
              <w:t xml:space="preserve"> 1</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Postal voters whose voting papers were rejected</w:t>
            </w:r>
            <w:r>
              <w:rPr>
                <w:sz w:val="18"/>
                <w:szCs w:val="18"/>
                <w:vertAlign w:val="superscript"/>
              </w:rPr>
              <w:t xml:space="preserve"> 1</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Absent voters whose voting papers were accepted</w:t>
            </w:r>
            <w:r>
              <w:rPr>
                <w:sz w:val="18"/>
                <w:szCs w:val="18"/>
                <w:vertAlign w:val="superscript"/>
              </w:rPr>
              <w:t xml:space="preserve"> 2</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Postal voters whose voting papers were accepted</w:t>
            </w:r>
            <w:r>
              <w:rPr>
                <w:sz w:val="18"/>
                <w:szCs w:val="18"/>
                <w:vertAlign w:val="superscript"/>
              </w:rPr>
              <w:t xml:space="preserve"> 3</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Early voters recorded on roll</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Voters who voted in person on election day recorded on roll</w:t>
            </w:r>
          </w:p>
        </w:tc>
        <w:tc>
          <w:tcPr>
            <w:tcW w:w="2806" w:type="dxa"/>
            <w:noWrap/>
          </w:tcPr>
          <w:p>
            <w:pPr>
              <w:pStyle w:val="yTableNAm"/>
              <w:rPr>
                <w:sz w:val="18"/>
                <w:szCs w:val="18"/>
              </w:rPr>
            </w:pPr>
          </w:p>
        </w:tc>
      </w:tr>
      <w:tr>
        <w:trPr>
          <w:trHeight w:val="220"/>
        </w:trPr>
        <w:tc>
          <w:tcPr>
            <w:tcW w:w="3998" w:type="dxa"/>
            <w:noWrap/>
          </w:tcPr>
          <w:p>
            <w:pPr>
              <w:pStyle w:val="yTableNAm"/>
              <w:rPr>
                <w:sz w:val="18"/>
                <w:szCs w:val="18"/>
                <w:vertAlign w:val="superscript"/>
              </w:rPr>
            </w:pPr>
            <w:r>
              <w:rPr>
                <w:sz w:val="18"/>
                <w:szCs w:val="18"/>
              </w:rPr>
              <w:t>Provisional voters whose voting papers were accepted</w:t>
            </w:r>
            <w:r>
              <w:rPr>
                <w:sz w:val="18"/>
                <w:szCs w:val="18"/>
                <w:vertAlign w:val="superscript"/>
              </w:rPr>
              <w:t xml:space="preserve"> 4</w:t>
            </w:r>
          </w:p>
          <w:p>
            <w:pPr>
              <w:pStyle w:val="yTableNAm"/>
              <w:rPr>
                <w:sz w:val="18"/>
                <w:szCs w:val="18"/>
              </w:rPr>
            </w:pPr>
          </w:p>
        </w:tc>
        <w:tc>
          <w:tcPr>
            <w:tcW w:w="2806" w:type="dxa"/>
            <w:noWrap/>
          </w:tcPr>
          <w:p>
            <w:pPr>
              <w:pStyle w:val="yTableNAm"/>
              <w:rPr>
                <w:sz w:val="18"/>
                <w:szCs w:val="18"/>
              </w:rPr>
            </w:pPr>
          </w:p>
        </w:tc>
      </w:tr>
      <w:tr>
        <w:trPr>
          <w:trHeight w:val="220"/>
        </w:trPr>
        <w:tc>
          <w:tcPr>
            <w:tcW w:w="3998" w:type="dxa"/>
            <w:noWrap/>
          </w:tcPr>
          <w:p>
            <w:pPr>
              <w:pStyle w:val="yTableNAm"/>
              <w:rPr>
                <w:b/>
                <w:sz w:val="18"/>
                <w:szCs w:val="18"/>
              </w:rPr>
            </w:pPr>
            <w:r>
              <w:rPr>
                <w:b/>
                <w:sz w:val="18"/>
                <w:szCs w:val="18"/>
              </w:rPr>
              <w:t>Total voter turnout</w:t>
            </w:r>
            <w:r>
              <w:rPr>
                <w:b/>
                <w:sz w:val="18"/>
                <w:szCs w:val="18"/>
                <w:vertAlign w:val="superscript"/>
              </w:rPr>
              <w:t xml:space="preserve"> 5</w:t>
            </w:r>
          </w:p>
        </w:tc>
        <w:tc>
          <w:tcPr>
            <w:tcW w:w="2806" w:type="dxa"/>
            <w:noWrap/>
          </w:tcPr>
          <w:p>
            <w:pPr>
              <w:pStyle w:val="yTableNAm"/>
              <w:rPr>
                <w:sz w:val="18"/>
                <w:szCs w:val="18"/>
              </w:rPr>
            </w:pPr>
          </w:p>
        </w:tc>
      </w:tr>
    </w:tbl>
    <w:p>
      <w:pPr>
        <w:pStyle w:val="PermNoteText"/>
        <w:rPr>
          <w:snapToGrid w:val="0"/>
        </w:rPr>
      </w:pPr>
      <w:r>
        <w:rPr>
          <w:snapToGrid w:val="0"/>
          <w:vertAlign w:val="superscript"/>
        </w:rPr>
        <w:t>1</w:t>
      </w:r>
      <w:r>
        <w:rPr>
          <w:snapToGrid w:val="0"/>
        </w:rPr>
        <w:tab/>
        <w:t>Assume the voting papers include a ballot paper for this election.</w:t>
      </w:r>
    </w:p>
    <w:p>
      <w:pPr>
        <w:pStyle w:val="PermNoteText"/>
        <w:rPr>
          <w:snapToGrid w:val="0"/>
        </w:rPr>
      </w:pPr>
      <w:r>
        <w:rPr>
          <w:snapToGrid w:val="0"/>
          <w:vertAlign w:val="superscript"/>
        </w:rPr>
        <w:t>2</w:t>
      </w:r>
      <w:r>
        <w:rPr>
          <w:snapToGrid w:val="0"/>
        </w:rPr>
        <w:tab/>
        <w:t>Work out using number of accepted absent voter declarations retained.</w:t>
      </w:r>
    </w:p>
    <w:p>
      <w:pPr>
        <w:pStyle w:val="PermNoteText"/>
        <w:rPr>
          <w:snapToGrid w:val="0"/>
        </w:rPr>
      </w:pPr>
      <w:r>
        <w:rPr>
          <w:snapToGrid w:val="0"/>
          <w:vertAlign w:val="superscript"/>
        </w:rPr>
        <w:t>3</w:t>
      </w:r>
      <w:r>
        <w:rPr>
          <w:snapToGrid w:val="0"/>
        </w:rPr>
        <w:tab/>
        <w:t>Work out using number of accepted elector certificates retained.</w:t>
      </w:r>
    </w:p>
    <w:p>
      <w:pPr>
        <w:pStyle w:val="PermNoteText"/>
        <w:rPr>
          <w:snapToGrid w:val="0"/>
        </w:rPr>
      </w:pPr>
      <w:r>
        <w:rPr>
          <w:snapToGrid w:val="0"/>
          <w:vertAlign w:val="superscript"/>
        </w:rPr>
        <w:t>4</w:t>
      </w:r>
      <w:r>
        <w:rPr>
          <w:snapToGrid w:val="0"/>
        </w:rPr>
        <w:tab/>
        <w:t>Work out using number of Form 16s accepted by an electoral officer.</w:t>
      </w:r>
    </w:p>
    <w:p>
      <w:pPr>
        <w:pStyle w:val="PermNoteText"/>
        <w:rPr>
          <w:snapToGrid w:val="0"/>
        </w:rPr>
      </w:pPr>
      <w:r>
        <w:rPr>
          <w:snapToGrid w:val="0"/>
          <w:vertAlign w:val="superscript"/>
        </w:rPr>
        <w:t>5</w:t>
      </w:r>
      <w:r>
        <w:rPr>
          <w:snapToGrid w:val="0"/>
        </w:rPr>
        <w:tab/>
        <w:t>Total number of eligible electors who attempted to vote by the close of poll.</w:t>
      </w:r>
    </w:p>
    <w:p>
      <w:pPr>
        <w:pStyle w:val="yMiscellaneousBody"/>
        <w:keepNext/>
        <w:ind w:left="142"/>
        <w:rPr>
          <w:b/>
          <w:sz w:val="20"/>
        </w:rPr>
      </w:pPr>
      <w:r>
        <w:rPr>
          <w:b/>
          <w:sz w:val="20"/>
        </w:rPr>
        <w:t>Part 3 — Number of late arriving postal packages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998"/>
        <w:gridCol w:w="2806"/>
      </w:tblGrid>
      <w:tr>
        <w:trPr>
          <w:trHeight w:val="220"/>
        </w:trPr>
        <w:tc>
          <w:tcPr>
            <w:tcW w:w="3998" w:type="dxa"/>
            <w:noWrap/>
          </w:tcPr>
          <w:p>
            <w:pPr>
              <w:pStyle w:val="yTableNAm"/>
              <w:rPr>
                <w:sz w:val="18"/>
                <w:szCs w:val="18"/>
              </w:rPr>
            </w:pPr>
            <w:r>
              <w:rPr>
                <w:sz w:val="18"/>
                <w:szCs w:val="18"/>
              </w:rPr>
              <w:t>Number of late arriving postal packages</w:t>
            </w:r>
            <w:r>
              <w:rPr>
                <w:sz w:val="18"/>
                <w:szCs w:val="18"/>
                <w:vertAlign w:val="superscript"/>
              </w:rPr>
              <w:t xml:space="preserve"> 6</w:t>
            </w:r>
          </w:p>
        </w:tc>
        <w:tc>
          <w:tcPr>
            <w:tcW w:w="2806" w:type="dxa"/>
            <w:noWrap/>
          </w:tcPr>
          <w:p>
            <w:pPr>
              <w:pStyle w:val="yTableNAm"/>
              <w:rPr>
                <w:sz w:val="18"/>
                <w:szCs w:val="18"/>
              </w:rPr>
            </w:pPr>
          </w:p>
        </w:tc>
      </w:tr>
    </w:tbl>
    <w:p>
      <w:pPr>
        <w:pStyle w:val="PermNoteText"/>
        <w:rPr>
          <w:snapToGrid w:val="0"/>
        </w:rPr>
      </w:pPr>
      <w:r>
        <w:rPr>
          <w:snapToGrid w:val="0"/>
          <w:vertAlign w:val="superscript"/>
        </w:rPr>
        <w:t>6</w:t>
      </w:r>
      <w:r>
        <w:rPr>
          <w:snapToGrid w:val="0"/>
        </w:rPr>
        <w:tab/>
        <w:t>Include voting packages arriving up to 1 week after the close of poll. Assume the voting papers include a ballot paper for this election.</w:t>
      </w:r>
    </w:p>
    <w:p>
      <w:pPr>
        <w:pStyle w:val="yMiscellaneousBody"/>
        <w:keepNext/>
        <w:ind w:left="142"/>
        <w:rPr>
          <w:b/>
          <w:sz w:val="20"/>
        </w:rPr>
      </w:pPr>
      <w:r>
        <w:rPr>
          <w:b/>
          <w:sz w:val="20"/>
        </w:rPr>
        <w:lastRenderedPageBreak/>
        <w:t>Part 4 — Details of candidates and votes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9"/>
        <w:gridCol w:w="1298"/>
        <w:gridCol w:w="850"/>
        <w:gridCol w:w="993"/>
        <w:gridCol w:w="2664"/>
      </w:tblGrid>
      <w:tr>
        <w:trPr>
          <w:cantSplit/>
          <w:trHeight w:val="220"/>
        </w:trPr>
        <w:tc>
          <w:tcPr>
            <w:tcW w:w="999" w:type="dxa"/>
            <w:noWrap/>
          </w:tcPr>
          <w:p>
            <w:pPr>
              <w:pStyle w:val="yTableNAm"/>
              <w:keepNext/>
              <w:rPr>
                <w:b/>
                <w:i/>
                <w:sz w:val="18"/>
                <w:szCs w:val="18"/>
              </w:rPr>
            </w:pPr>
            <w:r>
              <w:rPr>
                <w:b/>
                <w:i/>
                <w:sz w:val="18"/>
                <w:szCs w:val="18"/>
              </w:rPr>
              <w:t>Surname</w:t>
            </w:r>
          </w:p>
        </w:tc>
        <w:tc>
          <w:tcPr>
            <w:tcW w:w="1298" w:type="dxa"/>
            <w:noWrap/>
          </w:tcPr>
          <w:p>
            <w:pPr>
              <w:pStyle w:val="yTableNAm"/>
              <w:keepNext/>
              <w:rPr>
                <w:b/>
                <w:i/>
                <w:sz w:val="18"/>
                <w:szCs w:val="18"/>
              </w:rPr>
            </w:pPr>
            <w:r>
              <w:rPr>
                <w:b/>
                <w:i/>
                <w:sz w:val="18"/>
                <w:szCs w:val="18"/>
              </w:rPr>
              <w:t>Other names</w:t>
            </w:r>
          </w:p>
        </w:tc>
        <w:tc>
          <w:tcPr>
            <w:tcW w:w="850" w:type="dxa"/>
            <w:noWrap/>
          </w:tcPr>
          <w:p>
            <w:pPr>
              <w:pStyle w:val="yTableNAm"/>
              <w:keepNext/>
              <w:rPr>
                <w:b/>
                <w:i/>
                <w:sz w:val="18"/>
                <w:szCs w:val="18"/>
              </w:rPr>
            </w:pPr>
            <w:r>
              <w:rPr>
                <w:b/>
                <w:i/>
                <w:sz w:val="18"/>
                <w:szCs w:val="18"/>
              </w:rPr>
              <w:t>Gender</w:t>
            </w:r>
          </w:p>
        </w:tc>
        <w:tc>
          <w:tcPr>
            <w:tcW w:w="993" w:type="dxa"/>
            <w:noWrap/>
          </w:tcPr>
          <w:p>
            <w:pPr>
              <w:pStyle w:val="yTableNAm"/>
              <w:keepNext/>
              <w:rPr>
                <w:b/>
                <w:i/>
                <w:sz w:val="18"/>
                <w:szCs w:val="18"/>
              </w:rPr>
            </w:pPr>
            <w:r>
              <w:rPr>
                <w:b/>
                <w:i/>
                <w:sz w:val="18"/>
                <w:szCs w:val="18"/>
              </w:rPr>
              <w:t>Previous member</w:t>
            </w:r>
            <w:r>
              <w:rPr>
                <w:b/>
                <w:sz w:val="18"/>
                <w:szCs w:val="18"/>
              </w:rPr>
              <w:br/>
            </w:r>
            <w:r>
              <w:rPr>
                <w:b/>
                <w:i/>
                <w:sz w:val="18"/>
                <w:szCs w:val="18"/>
              </w:rPr>
              <w:t>(yes / no)</w:t>
            </w:r>
          </w:p>
        </w:tc>
        <w:tc>
          <w:tcPr>
            <w:tcW w:w="2664" w:type="dxa"/>
            <w:noWrap/>
          </w:tcPr>
          <w:p>
            <w:pPr>
              <w:pStyle w:val="yTableNAm"/>
              <w:keepNext/>
              <w:rPr>
                <w:b/>
                <w:sz w:val="18"/>
                <w:szCs w:val="18"/>
                <w:vertAlign w:val="superscript"/>
              </w:rPr>
            </w:pPr>
            <w:r>
              <w:rPr>
                <w:b/>
                <w:i/>
                <w:sz w:val="18"/>
                <w:szCs w:val="18"/>
              </w:rPr>
              <w:t>First</w:t>
            </w:r>
            <w:r>
              <w:rPr>
                <w:b/>
                <w:i/>
                <w:sz w:val="18"/>
                <w:szCs w:val="18"/>
              </w:rPr>
              <w:noBreakHyphen/>
              <w:t>preference votes received</w:t>
            </w:r>
            <w:r>
              <w:rPr>
                <w:b/>
                <w:sz w:val="18"/>
                <w:szCs w:val="18"/>
                <w:vertAlign w:val="superscript"/>
              </w:rPr>
              <w:t> 7</w:t>
            </w: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bl>
    <w:p>
      <w:pPr>
        <w:pStyle w:val="PermNoteText"/>
        <w:rPr>
          <w:snapToGrid w:val="0"/>
        </w:rPr>
      </w:pPr>
      <w:r>
        <w:rPr>
          <w:snapToGrid w:val="0"/>
          <w:vertAlign w:val="superscript"/>
        </w:rPr>
        <w:t>7</w:t>
      </w:r>
      <w:r>
        <w:rPr>
          <w:snapToGrid w:val="0"/>
        </w:rPr>
        <w:tab/>
        <w:t>Insert the total number of first</w:t>
      </w:r>
      <w:r>
        <w:rPr>
          <w:snapToGrid w:val="0"/>
        </w:rPr>
        <w:noBreakHyphen/>
        <w:t>preference votes received by each candidate.</w:t>
      </w:r>
    </w:p>
    <w:p>
      <w:pPr>
        <w:pStyle w:val="PermNoteText"/>
        <w:rPr>
          <w:snapToGrid w:val="0"/>
        </w:rPr>
      </w:pPr>
      <w:r>
        <w:rPr>
          <w:snapToGrid w:val="0"/>
        </w:rPr>
        <w:tab/>
        <w:t xml:space="preserve">Insert “unopposed” if the candidate was elected unopposed under section 4.55 of the </w:t>
      </w:r>
      <w:r>
        <w:rPr>
          <w:i/>
          <w:snapToGrid w:val="0"/>
        </w:rPr>
        <w:t>Local Government Act 1995</w:t>
      </w:r>
      <w:r>
        <w:rPr>
          <w:snapToGrid w:val="0"/>
        </w:rPr>
        <w:t>.</w:t>
      </w:r>
    </w:p>
    <w:p>
      <w:pPr>
        <w:pStyle w:val="PermNoteText"/>
        <w:rPr>
          <w:snapToGrid w:val="0"/>
        </w:rPr>
      </w:pPr>
      <w:r>
        <w:rPr>
          <w:snapToGrid w:val="0"/>
        </w:rPr>
        <w:tab/>
        <w:t xml:space="preserve">Insert “appointed” if the candidate was appointed under section 4.57(3) of the </w:t>
      </w:r>
      <w:r>
        <w:rPr>
          <w:i/>
          <w:snapToGrid w:val="0"/>
        </w:rPr>
        <w:t>Local Government Act 1995</w:t>
      </w:r>
      <w:r>
        <w:rPr>
          <w:snapToGrid w:val="0"/>
        </w:rPr>
        <w:t>.</w:t>
      </w:r>
    </w:p>
    <w:p>
      <w:pPr>
        <w:pStyle w:val="yMiscellaneousBody"/>
        <w:ind w:left="142"/>
        <w:rPr>
          <w:b/>
          <w:bCs/>
          <w:snapToGrid w:val="0"/>
          <w:sz w:val="20"/>
        </w:rPr>
      </w:pPr>
      <w:r>
        <w:rPr>
          <w:b/>
          <w:sz w:val="20"/>
        </w:rPr>
        <w:t>Distribution of preferences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423"/>
        <w:gridCol w:w="2381"/>
      </w:tblGrid>
      <w:tr>
        <w:trPr>
          <w:trHeight w:val="220"/>
        </w:trPr>
        <w:tc>
          <w:tcPr>
            <w:tcW w:w="4423" w:type="dxa"/>
            <w:noWrap/>
          </w:tcPr>
          <w:p>
            <w:pPr>
              <w:pStyle w:val="yTableNAm"/>
              <w:rPr>
                <w:sz w:val="18"/>
                <w:szCs w:val="18"/>
              </w:rPr>
            </w:pPr>
            <w:r>
              <w:rPr>
                <w:sz w:val="18"/>
                <w:szCs w:val="18"/>
              </w:rPr>
              <w:t>A distribution of preferences was not required</w:t>
            </w:r>
          </w:p>
          <w:p>
            <w:pPr>
              <w:pStyle w:val="yTableNAm"/>
              <w:rPr>
                <w:sz w:val="18"/>
                <w:szCs w:val="18"/>
              </w:rPr>
            </w:pPr>
            <w:r>
              <w:rPr>
                <w:sz w:val="18"/>
                <w:szCs w:val="18"/>
              </w:rPr>
              <w:t>A distribution of preferences was required and is attached</w:t>
            </w:r>
          </w:p>
          <w:p>
            <w:pPr>
              <w:pStyle w:val="yTableNAm"/>
              <w:rPr>
                <w:sz w:val="18"/>
                <w:szCs w:val="18"/>
              </w:rPr>
            </w:pPr>
          </w:p>
        </w:tc>
        <w:tc>
          <w:tcPr>
            <w:tcW w:w="2381" w:type="dxa"/>
            <w:noWrap/>
          </w:tcPr>
          <w:p>
            <w:pPr>
              <w:pStyle w:val="yTableNAm"/>
              <w:rPr>
                <w:sz w:val="18"/>
                <w:szCs w:val="18"/>
              </w:rPr>
            </w:pPr>
            <w:r>
              <w:rPr>
                <w:sz w:val="18"/>
                <w:szCs w:val="18"/>
              </w:rPr>
              <w:sym w:font="Wingdings 2" w:char="F02A"/>
            </w:r>
            <w:r>
              <w:rPr>
                <w:sz w:val="18"/>
                <w:szCs w:val="18"/>
              </w:rPr>
              <w:tab/>
            </w:r>
          </w:p>
          <w:p>
            <w:pPr>
              <w:pStyle w:val="yTableNAm"/>
              <w:rPr>
                <w:sz w:val="18"/>
                <w:szCs w:val="18"/>
              </w:rPr>
            </w:pPr>
            <w:r>
              <w:rPr>
                <w:sz w:val="18"/>
                <w:szCs w:val="18"/>
              </w:rPr>
              <w:sym w:font="Wingdings 2" w:char="F02A"/>
            </w:r>
            <w:r>
              <w:rPr>
                <w:sz w:val="18"/>
                <w:szCs w:val="18"/>
              </w:rPr>
              <w:tab/>
            </w:r>
          </w:p>
          <w:p>
            <w:pPr>
              <w:pStyle w:val="yTableNAm"/>
              <w:rPr>
                <w:sz w:val="18"/>
                <w:szCs w:val="18"/>
              </w:rPr>
            </w:pPr>
            <w:r>
              <w:rPr>
                <w:i/>
                <w:sz w:val="18"/>
                <w:szCs w:val="18"/>
              </w:rPr>
              <w:t>[Tick one box]</w:t>
            </w:r>
          </w:p>
        </w:tc>
      </w:tr>
    </w:tbl>
    <w:p>
      <w:pPr>
        <w:pStyle w:val="yMiscellaneousBody"/>
        <w:ind w:left="142"/>
        <w:rPr>
          <w:b/>
          <w:sz w:val="20"/>
        </w:rPr>
      </w:pPr>
      <w:r>
        <w:rPr>
          <w:b/>
          <w:sz w:val="20"/>
        </w:rPr>
        <w:t>Part 5 — Ballot papers counted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423"/>
        <w:gridCol w:w="2381"/>
      </w:tblGrid>
      <w:tr>
        <w:trPr>
          <w:cantSplit/>
          <w:trHeight w:val="220"/>
        </w:trPr>
        <w:tc>
          <w:tcPr>
            <w:tcW w:w="4423" w:type="dxa"/>
            <w:noWrap/>
          </w:tcPr>
          <w:p>
            <w:pPr>
              <w:pStyle w:val="yTableNAm"/>
              <w:rPr>
                <w:b/>
                <w:sz w:val="18"/>
                <w:szCs w:val="18"/>
              </w:rPr>
            </w:pPr>
            <w:r>
              <w:rPr>
                <w:b/>
                <w:i/>
                <w:sz w:val="18"/>
                <w:szCs w:val="18"/>
              </w:rPr>
              <w:t>Ballot papers</w:t>
            </w:r>
          </w:p>
        </w:tc>
        <w:tc>
          <w:tcPr>
            <w:tcW w:w="2381" w:type="dxa"/>
            <w:noWrap/>
          </w:tcPr>
          <w:p>
            <w:pPr>
              <w:pStyle w:val="yTableNAm"/>
              <w:rPr>
                <w:b/>
                <w:i/>
                <w:sz w:val="18"/>
                <w:szCs w:val="18"/>
              </w:rPr>
            </w:pPr>
            <w:r>
              <w:rPr>
                <w:b/>
                <w:i/>
                <w:sz w:val="18"/>
                <w:szCs w:val="18"/>
              </w:rPr>
              <w:t>Number</w:t>
            </w:r>
          </w:p>
        </w:tc>
      </w:tr>
      <w:tr>
        <w:trPr>
          <w:cantSplit/>
          <w:trHeight w:val="220"/>
        </w:trPr>
        <w:tc>
          <w:tcPr>
            <w:tcW w:w="4423" w:type="dxa"/>
            <w:noWrap/>
          </w:tcPr>
          <w:p>
            <w:pPr>
              <w:pStyle w:val="yTableNAm"/>
              <w:rPr>
                <w:sz w:val="18"/>
                <w:szCs w:val="18"/>
              </w:rPr>
            </w:pPr>
            <w:r>
              <w:rPr>
                <w:sz w:val="18"/>
                <w:szCs w:val="18"/>
              </w:rPr>
              <w:t>Number of valid ballot papers counted</w:t>
            </w:r>
          </w:p>
        </w:tc>
        <w:tc>
          <w:tcPr>
            <w:tcW w:w="2381" w:type="dxa"/>
            <w:noWrap/>
          </w:tcPr>
          <w:p>
            <w:pPr>
              <w:pStyle w:val="yTableNAm"/>
              <w:rPr>
                <w:sz w:val="18"/>
                <w:szCs w:val="18"/>
              </w:rPr>
            </w:pPr>
          </w:p>
        </w:tc>
      </w:tr>
      <w:tr>
        <w:trPr>
          <w:cantSplit/>
          <w:trHeight w:val="220"/>
        </w:trPr>
        <w:tc>
          <w:tcPr>
            <w:tcW w:w="4423" w:type="dxa"/>
            <w:noWrap/>
          </w:tcPr>
          <w:p>
            <w:pPr>
              <w:pStyle w:val="yTableNAm"/>
              <w:rPr>
                <w:sz w:val="18"/>
                <w:szCs w:val="18"/>
              </w:rPr>
            </w:pPr>
            <w:r>
              <w:rPr>
                <w:sz w:val="18"/>
                <w:szCs w:val="18"/>
              </w:rPr>
              <w:t>Number of informal ballot papers counted</w:t>
            </w:r>
          </w:p>
        </w:tc>
        <w:tc>
          <w:tcPr>
            <w:tcW w:w="2381" w:type="dxa"/>
            <w:noWrap/>
          </w:tcPr>
          <w:p>
            <w:pPr>
              <w:pStyle w:val="yTableNAm"/>
              <w:rPr>
                <w:sz w:val="18"/>
                <w:szCs w:val="18"/>
              </w:rPr>
            </w:pPr>
          </w:p>
        </w:tc>
      </w:tr>
    </w:tbl>
    <w:p>
      <w:pPr>
        <w:pStyle w:val="yMiscellaneousBody"/>
        <w:keepNext/>
        <w:ind w:left="142"/>
        <w:rPr>
          <w:b/>
          <w:sz w:val="20"/>
        </w:rPr>
      </w:pPr>
      <w:r>
        <w:rPr>
          <w:b/>
          <w:sz w:val="20"/>
        </w:rPr>
        <w:t>Part 6 — Candidate/s elected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9"/>
        <w:gridCol w:w="1298"/>
        <w:gridCol w:w="1843"/>
        <w:gridCol w:w="2664"/>
      </w:tblGrid>
      <w:tr>
        <w:trPr>
          <w:trHeight w:val="220"/>
        </w:trPr>
        <w:tc>
          <w:tcPr>
            <w:tcW w:w="999" w:type="dxa"/>
            <w:noWrap/>
          </w:tcPr>
          <w:p>
            <w:pPr>
              <w:pStyle w:val="yTableNAm"/>
              <w:rPr>
                <w:b/>
                <w:i/>
                <w:sz w:val="18"/>
                <w:szCs w:val="18"/>
              </w:rPr>
            </w:pPr>
            <w:r>
              <w:rPr>
                <w:b/>
                <w:i/>
                <w:sz w:val="18"/>
                <w:szCs w:val="18"/>
              </w:rPr>
              <w:t>Surname</w:t>
            </w:r>
          </w:p>
        </w:tc>
        <w:tc>
          <w:tcPr>
            <w:tcW w:w="1298" w:type="dxa"/>
            <w:noWrap/>
          </w:tcPr>
          <w:p>
            <w:pPr>
              <w:pStyle w:val="yTableNAm"/>
              <w:rPr>
                <w:b/>
                <w:i/>
                <w:sz w:val="18"/>
                <w:szCs w:val="18"/>
              </w:rPr>
            </w:pPr>
            <w:r>
              <w:rPr>
                <w:b/>
                <w:i/>
                <w:sz w:val="18"/>
                <w:szCs w:val="18"/>
              </w:rPr>
              <w:t>Other names</w:t>
            </w:r>
          </w:p>
        </w:tc>
        <w:tc>
          <w:tcPr>
            <w:tcW w:w="1843" w:type="dxa"/>
            <w:noWrap/>
          </w:tcPr>
          <w:p>
            <w:pPr>
              <w:pStyle w:val="yTableNAm"/>
              <w:rPr>
                <w:b/>
                <w:i/>
                <w:sz w:val="18"/>
                <w:szCs w:val="18"/>
              </w:rPr>
            </w:pPr>
            <w:r>
              <w:rPr>
                <w:b/>
                <w:i/>
                <w:sz w:val="18"/>
                <w:szCs w:val="18"/>
              </w:rPr>
              <w:t>Year term expires</w:t>
            </w:r>
          </w:p>
        </w:tc>
        <w:tc>
          <w:tcPr>
            <w:tcW w:w="2664" w:type="dxa"/>
            <w:noWrap/>
          </w:tcPr>
          <w:p>
            <w:pPr>
              <w:pStyle w:val="yTableNAm"/>
              <w:rPr>
                <w:b/>
                <w:i/>
                <w:sz w:val="18"/>
                <w:szCs w:val="18"/>
              </w:rPr>
            </w:pPr>
            <w:r>
              <w:rPr>
                <w:b/>
                <w:i/>
                <w:sz w:val="18"/>
                <w:szCs w:val="18"/>
              </w:rPr>
              <w:t>Type of vacancy (Ordinary / extraordinary / other)</w:t>
            </w: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bl>
    <w:p>
      <w:pPr>
        <w:pStyle w:val="yMiscellaneousBody"/>
      </w:pPr>
    </w:p>
    <w:tbl>
      <w:tblPr>
        <w:tblW w:w="68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88"/>
        <w:gridCol w:w="2646"/>
        <w:gridCol w:w="2646"/>
      </w:tblGrid>
      <w:tr>
        <w:trPr>
          <w:cantSplit/>
          <w:trHeight w:val="268"/>
        </w:trPr>
        <w:tc>
          <w:tcPr>
            <w:tcW w:w="1588" w:type="dxa"/>
            <w:vMerge w:val="restart"/>
            <w:noWrap/>
          </w:tcPr>
          <w:p>
            <w:pPr>
              <w:pStyle w:val="yTableNAm"/>
              <w:rPr>
                <w:b/>
                <w:bCs/>
                <w:snapToGrid w:val="0"/>
                <w:sz w:val="18"/>
              </w:rPr>
            </w:pPr>
            <w:r>
              <w:rPr>
                <w:b/>
                <w:bCs/>
                <w:snapToGrid w:val="0"/>
                <w:sz w:val="18"/>
              </w:rPr>
              <w:t xml:space="preserve">Returning </w:t>
            </w:r>
            <w:r>
              <w:rPr>
                <w:b/>
                <w:sz w:val="18"/>
                <w:szCs w:val="18"/>
              </w:rPr>
              <w:t>officer</w:t>
            </w:r>
          </w:p>
        </w:tc>
        <w:tc>
          <w:tcPr>
            <w:tcW w:w="5292" w:type="dxa"/>
            <w:gridSpan w:val="2"/>
            <w:noWrap/>
          </w:tcPr>
          <w:p>
            <w:pPr>
              <w:pStyle w:val="yTableNAm"/>
              <w:rPr>
                <w:sz w:val="18"/>
                <w:szCs w:val="18"/>
              </w:rPr>
            </w:pPr>
            <w:r>
              <w:rPr>
                <w:sz w:val="18"/>
                <w:szCs w:val="18"/>
              </w:rPr>
              <w:t>Full name:</w:t>
            </w:r>
          </w:p>
        </w:tc>
      </w:tr>
      <w:tr>
        <w:trPr>
          <w:cantSplit/>
          <w:trHeight w:val="268"/>
        </w:trPr>
        <w:tc>
          <w:tcPr>
            <w:tcW w:w="1588" w:type="dxa"/>
            <w:vMerge/>
            <w:noWrap/>
          </w:tcPr>
          <w:p>
            <w:pPr>
              <w:pStyle w:val="yTableNAm"/>
              <w:rPr>
                <w:sz w:val="18"/>
                <w:szCs w:val="18"/>
              </w:rPr>
            </w:pPr>
          </w:p>
        </w:tc>
        <w:tc>
          <w:tcPr>
            <w:tcW w:w="2646" w:type="dxa"/>
            <w:noWrap/>
          </w:tcPr>
          <w:p>
            <w:pPr>
              <w:pStyle w:val="yTableNAm"/>
              <w:keepNext/>
              <w:rPr>
                <w:sz w:val="18"/>
                <w:szCs w:val="18"/>
              </w:rPr>
            </w:pPr>
            <w:r>
              <w:rPr>
                <w:sz w:val="18"/>
                <w:szCs w:val="18"/>
              </w:rPr>
              <w:t>Signature:</w:t>
            </w:r>
          </w:p>
        </w:tc>
        <w:tc>
          <w:tcPr>
            <w:tcW w:w="2646" w:type="dxa"/>
            <w:noWrap/>
          </w:tcPr>
          <w:p>
            <w:pPr>
              <w:pStyle w:val="yTableNAm"/>
              <w:keepNext/>
              <w:rPr>
                <w:sz w:val="18"/>
                <w:szCs w:val="18"/>
              </w:rPr>
            </w:pPr>
            <w:r>
              <w:rPr>
                <w:sz w:val="18"/>
                <w:szCs w:val="18"/>
              </w:rPr>
              <w:t>Date:</w:t>
            </w:r>
          </w:p>
        </w:tc>
      </w:tr>
    </w:tbl>
    <w:p>
      <w:pPr>
        <w:pStyle w:val="yFootnotesection"/>
      </w:pPr>
      <w:r>
        <w:tab/>
        <w:t>[Form 20 inserted: SL 2023/102 r. 58.]</w:t>
      </w:r>
    </w:p>
    <w:p>
      <w:pPr>
        <w:pStyle w:val="yTable"/>
        <w:pageBreakBefore/>
        <w:tabs>
          <w:tab w:val="left" w:pos="1134"/>
        </w:tabs>
        <w:spacing w:before="0" w:after="120"/>
        <w:outlineLvl w:val="2"/>
        <w:rPr>
          <w:b/>
          <w:snapToGrid w:val="0"/>
        </w:rPr>
      </w:pPr>
      <w:r>
        <w:rPr>
          <w:rStyle w:val="CharSClsNo"/>
          <w:b/>
        </w:rPr>
        <w:lastRenderedPageBreak/>
        <w:t>Form 21</w:t>
      </w:r>
      <w:r>
        <w:rPr>
          <w:b/>
          <w:snapToGrid w:val="0"/>
        </w:rPr>
        <w:t>.</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spacing w:before="0" w:after="120"/>
        <w:outlineLvl w:val="2"/>
        <w:rPr>
          <w:b/>
          <w:snapToGrid w:val="0"/>
        </w:rPr>
      </w:pPr>
      <w:r>
        <w:rPr>
          <w:rStyle w:val="CharSClsNo"/>
          <w:b/>
        </w:rPr>
        <w:lastRenderedPageBreak/>
        <w:t>Form 22</w:t>
      </w:r>
      <w:r>
        <w:rPr>
          <w:b/>
          <w:snapToGrid w:val="0"/>
        </w:rPr>
        <w:t>.</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Gazette 25 Jan 2001 p. 591.]</w:t>
      </w:r>
    </w:p>
    <w:p>
      <w:pPr>
        <w:pStyle w:val="yTable"/>
        <w:pageBreakBefore/>
        <w:spacing w:before="0" w:after="120"/>
        <w:outlineLvl w:val="2"/>
        <w:rPr>
          <w:b/>
          <w:snapToGrid w:val="0"/>
        </w:rPr>
      </w:pPr>
      <w:r>
        <w:rPr>
          <w:rStyle w:val="CharSClsNo"/>
          <w:b/>
        </w:rPr>
        <w:lastRenderedPageBreak/>
        <w:t>Form 23</w:t>
      </w:r>
      <w:r>
        <w:rPr>
          <w:b/>
          <w:snapToGrid w:val="0"/>
        </w:rPr>
        <w:t>.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ind w:left="851"/>
        <w:rPr>
          <w:i/>
          <w:snapToGrid w:val="0"/>
        </w:rPr>
      </w:pPr>
    </w:p>
    <w:p>
      <w:pPr>
        <w:tabs>
          <w:tab w:val="left" w:pos="329"/>
        </w:tabs>
        <w:ind w:left="329" w:hanging="329"/>
        <w:sectPr>
          <w:headerReference w:type="even" r:id="rId28"/>
          <w:headerReference w:type="default" r:id="rId29"/>
          <w:pgSz w:w="11907" w:h="16840" w:code="9"/>
          <w:pgMar w:top="2381" w:right="2409" w:bottom="3543" w:left="2409" w:header="720" w:footer="3544" w:gutter="0"/>
          <w:cols w:space="720"/>
          <w:noEndnote/>
          <w:docGrid w:linePitch="326"/>
        </w:sectPr>
      </w:pPr>
    </w:p>
    <w:p>
      <w:pPr>
        <w:pStyle w:val="nHeading2"/>
      </w:pPr>
      <w:bookmarkStart w:id="185" w:name="_Toc200026275"/>
      <w:r>
        <w:lastRenderedPageBreak/>
        <w:t>Notes</w:t>
      </w:r>
      <w:bookmarkEnd w:id="185"/>
    </w:p>
    <w:p>
      <w:pPr>
        <w:pStyle w:val="nStatement"/>
      </w:pPr>
      <w:r>
        <w:t xml:space="preserve">This is a compilation of the </w:t>
      </w:r>
      <w:r>
        <w:rPr>
          <w:i/>
          <w:noProof/>
        </w:rPr>
        <w:t>Local Government (Elections) Regulations 1997</w:t>
      </w:r>
      <w:r>
        <w:t xml:space="preserve"> and includes amendments made by other written laws. For provisions that have come into operation, and for information about any reprints, see the compilation table.</w:t>
      </w:r>
    </w:p>
    <w:p>
      <w:pPr>
        <w:pStyle w:val="nHeading3"/>
      </w:pPr>
      <w:bookmarkStart w:id="186" w:name="_Toc200026276"/>
      <w:r>
        <w:t>Compilation table</w:t>
      </w:r>
      <w:bookmarkEnd w:id="186"/>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ind w:right="113"/>
            </w:pPr>
            <w:r>
              <w:rPr>
                <w:i/>
              </w:rPr>
              <w:t>Local Government (Elections) Regulations 1997</w:t>
            </w:r>
          </w:p>
        </w:tc>
        <w:tc>
          <w:tcPr>
            <w:tcW w:w="1276" w:type="dxa"/>
            <w:tcBorders>
              <w:top w:val="single" w:sz="8" w:space="0" w:color="auto"/>
              <w:bottom w:val="nil"/>
            </w:tcBorders>
          </w:tcPr>
          <w:p>
            <w:pPr>
              <w:pStyle w:val="nTable"/>
              <w:spacing w:after="40"/>
            </w:pPr>
            <w:r>
              <w:t>14 Feb 1997 p. 905</w:t>
            </w:r>
            <w:r>
              <w:noBreakHyphen/>
              <w:t>1008</w:t>
            </w:r>
          </w:p>
        </w:tc>
        <w:tc>
          <w:tcPr>
            <w:tcW w:w="2693" w:type="dxa"/>
            <w:tcBorders>
              <w:top w:val="single" w:sz="8" w:space="0" w:color="auto"/>
              <w:bottom w:val="nil"/>
            </w:tcBorders>
          </w:tcPr>
          <w:p>
            <w:pPr>
              <w:pStyle w:val="nTable"/>
              <w:spacing w:after="40"/>
            </w:pPr>
            <w:r>
              <w:t>14 Feb 1997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b/>
                <w:i/>
                <w:vertAlign w:val="superscript"/>
              </w:rPr>
            </w:pPr>
            <w:r>
              <w:rPr>
                <w:i/>
              </w:rPr>
              <w:t>Local Government (Elections) Amendment Regulations 1998</w:t>
            </w:r>
            <w:r>
              <w:rPr>
                <w:iCs/>
                <w:vertAlign w:val="superscript"/>
              </w:rPr>
              <w:t> 1</w:t>
            </w:r>
          </w:p>
        </w:tc>
        <w:tc>
          <w:tcPr>
            <w:tcW w:w="1276" w:type="dxa"/>
            <w:tcBorders>
              <w:top w:val="nil"/>
              <w:bottom w:val="nil"/>
            </w:tcBorders>
          </w:tcPr>
          <w:p>
            <w:pPr>
              <w:pStyle w:val="nTable"/>
              <w:spacing w:after="40"/>
            </w:pPr>
            <w:r>
              <w:t>20 Nov 1998 p. 6275</w:t>
            </w:r>
            <w:r>
              <w:noBreakHyphen/>
              <w:t>7</w:t>
            </w:r>
          </w:p>
        </w:tc>
        <w:tc>
          <w:tcPr>
            <w:tcW w:w="2693" w:type="dxa"/>
            <w:tcBorders>
              <w:top w:val="nil"/>
              <w:bottom w:val="nil"/>
            </w:tcBorders>
          </w:tcPr>
          <w:p>
            <w:pPr>
              <w:pStyle w:val="nTable"/>
              <w:spacing w:after="40"/>
            </w:pPr>
            <w:r>
              <w:t>20 Nov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1998</w:t>
            </w:r>
          </w:p>
        </w:tc>
        <w:tc>
          <w:tcPr>
            <w:tcW w:w="1276" w:type="dxa"/>
            <w:tcBorders>
              <w:top w:val="nil"/>
              <w:bottom w:val="nil"/>
            </w:tcBorders>
          </w:tcPr>
          <w:p>
            <w:pPr>
              <w:pStyle w:val="nTable"/>
              <w:spacing w:after="40"/>
            </w:pPr>
            <w:r>
              <w:t>22 Dec 1998 p. 6868</w:t>
            </w:r>
            <w:r>
              <w:noBreakHyphen/>
              <w:t>78</w:t>
            </w:r>
          </w:p>
        </w:tc>
        <w:tc>
          <w:tcPr>
            <w:tcW w:w="2693" w:type="dxa"/>
            <w:tcBorders>
              <w:top w:val="nil"/>
              <w:bottom w:val="nil"/>
            </w:tcBorders>
          </w:tcPr>
          <w:p>
            <w:pPr>
              <w:pStyle w:val="nTable"/>
              <w:spacing w:after="40"/>
            </w:pPr>
            <w:r>
              <w:t>22 Dec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1999</w:t>
            </w:r>
          </w:p>
        </w:tc>
        <w:tc>
          <w:tcPr>
            <w:tcW w:w="1276" w:type="dxa"/>
            <w:tcBorders>
              <w:top w:val="nil"/>
              <w:bottom w:val="nil"/>
            </w:tcBorders>
          </w:tcPr>
          <w:p>
            <w:pPr>
              <w:pStyle w:val="nTable"/>
              <w:spacing w:after="40"/>
            </w:pPr>
            <w:r>
              <w:t>29 Jan 1999 p. 272</w:t>
            </w:r>
          </w:p>
        </w:tc>
        <w:tc>
          <w:tcPr>
            <w:tcW w:w="2693" w:type="dxa"/>
            <w:tcBorders>
              <w:top w:val="nil"/>
              <w:bottom w:val="nil"/>
            </w:tcBorders>
          </w:tcPr>
          <w:p>
            <w:pPr>
              <w:pStyle w:val="nTable"/>
              <w:spacing w:after="40"/>
            </w:pPr>
            <w:r>
              <w:t>29 Jan 1999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2001</w:t>
            </w:r>
          </w:p>
        </w:tc>
        <w:tc>
          <w:tcPr>
            <w:tcW w:w="1276" w:type="dxa"/>
            <w:tcBorders>
              <w:top w:val="nil"/>
              <w:bottom w:val="nil"/>
            </w:tcBorders>
          </w:tcPr>
          <w:p>
            <w:pPr>
              <w:pStyle w:val="nTable"/>
              <w:spacing w:after="40"/>
            </w:pPr>
            <w:r>
              <w:t>25 Jan 2001 p. 587</w:t>
            </w:r>
            <w:r>
              <w:noBreakHyphen/>
              <w:t>91</w:t>
            </w:r>
          </w:p>
        </w:tc>
        <w:tc>
          <w:tcPr>
            <w:tcW w:w="2693" w:type="dxa"/>
            <w:tcBorders>
              <w:top w:val="nil"/>
              <w:bottom w:val="nil"/>
            </w:tcBorders>
          </w:tcPr>
          <w:p>
            <w:pPr>
              <w:pStyle w:val="nTable"/>
              <w:spacing w:after="40"/>
            </w:pPr>
            <w:r>
              <w:t>25 Jan 2001</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pPr>
            <w:r>
              <w:rPr>
                <w:b/>
              </w:rPr>
              <w:t xml:space="preserve">Reprint of the </w:t>
            </w:r>
            <w:r>
              <w:rPr>
                <w:b/>
                <w:i/>
              </w:rPr>
              <w:t xml:space="preserve">Local Government (Elections) Regulations 1997 </w:t>
            </w:r>
            <w:r>
              <w:rPr>
                <w:b/>
              </w:rPr>
              <w:t>as at 5 Apr 2002</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2005</w:t>
            </w:r>
          </w:p>
        </w:tc>
        <w:tc>
          <w:tcPr>
            <w:tcW w:w="1276" w:type="dxa"/>
            <w:tcBorders>
              <w:top w:val="nil"/>
              <w:bottom w:val="nil"/>
            </w:tcBorders>
          </w:tcPr>
          <w:p>
            <w:pPr>
              <w:pStyle w:val="nTable"/>
              <w:spacing w:after="40"/>
            </w:pPr>
            <w:r>
              <w:t>21 Jan 2005 p. 263-8</w:t>
            </w:r>
          </w:p>
        </w:tc>
        <w:tc>
          <w:tcPr>
            <w:tcW w:w="2693" w:type="dxa"/>
            <w:tcBorders>
              <w:top w:val="nil"/>
              <w:bottom w:val="nil"/>
            </w:tcBorders>
          </w:tcPr>
          <w:p>
            <w:pPr>
              <w:pStyle w:val="nTable"/>
              <w:spacing w:after="40"/>
            </w:pPr>
            <w:r>
              <w:t xml:space="preserve">22 Jan 2005 (see r. 2 and </w:t>
            </w:r>
            <w:r>
              <w:rPr>
                <w:i/>
              </w:rPr>
              <w:t>Gazette</w:t>
            </w:r>
            <w:r>
              <w:t xml:space="preserve"> 21 Jan 2005 p. 257)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2005</w:t>
            </w:r>
          </w:p>
        </w:tc>
        <w:tc>
          <w:tcPr>
            <w:tcW w:w="1276" w:type="dxa"/>
            <w:tcBorders>
              <w:top w:val="nil"/>
              <w:bottom w:val="nil"/>
            </w:tcBorders>
          </w:tcPr>
          <w:p>
            <w:pPr>
              <w:pStyle w:val="nTable"/>
              <w:spacing w:after="40"/>
            </w:pPr>
            <w:r>
              <w:t>18 Mar 2005</w:t>
            </w:r>
            <w:r>
              <w:br/>
              <w:t>p. 975-9</w:t>
            </w:r>
          </w:p>
        </w:tc>
        <w:tc>
          <w:tcPr>
            <w:tcW w:w="2693" w:type="dxa"/>
            <w:tcBorders>
              <w:top w:val="nil"/>
              <w:bottom w:val="nil"/>
            </w:tcBorders>
          </w:tcPr>
          <w:p>
            <w:pPr>
              <w:pStyle w:val="nTable"/>
              <w:spacing w:after="40"/>
            </w:pPr>
            <w:r>
              <w:t>18 Mar 2005</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 xml:space="preserve">Local Government (Elections) Amendment Regulations 2007 </w:t>
            </w:r>
          </w:p>
        </w:tc>
        <w:tc>
          <w:tcPr>
            <w:tcW w:w="1276" w:type="dxa"/>
            <w:tcBorders>
              <w:top w:val="nil"/>
              <w:bottom w:val="nil"/>
            </w:tcBorders>
          </w:tcPr>
          <w:p>
            <w:pPr>
              <w:pStyle w:val="nTable"/>
              <w:spacing w:after="40"/>
            </w:pPr>
            <w:r>
              <w:t>3 Aug 2007 p. 3989</w:t>
            </w:r>
            <w:r>
              <w:noBreakHyphen/>
              <w:t>4006</w:t>
            </w:r>
          </w:p>
        </w:tc>
        <w:tc>
          <w:tcPr>
            <w:tcW w:w="2693" w:type="dxa"/>
            <w:tcBorders>
              <w:top w:val="nil"/>
              <w:bottom w:val="nil"/>
            </w:tcBorders>
          </w:tcPr>
          <w:p>
            <w:pPr>
              <w:pStyle w:val="nTable"/>
              <w:spacing w:after="40"/>
            </w:pPr>
            <w:r>
              <w:rPr>
                <w:snapToGrid w:val="0"/>
              </w:rPr>
              <w:t>r. 1 and 2: 3 Aug 2007 (see r. 2(a));</w:t>
            </w:r>
            <w:r>
              <w:rPr>
                <w:snapToGrid w:val="0"/>
              </w:rPr>
              <w:br/>
              <w:t>r. 3, 15-17, 18(1) and (2) and 19: 4 Aug 2007 (see r. 2(b));</w:t>
            </w:r>
            <w:r>
              <w:rPr>
                <w:snapToGrid w:val="0"/>
              </w:rPr>
              <w:br/>
              <w:t xml:space="preserve">r. 4-14 and 18(3)-(12): 6 Sep 2007 (see r. 2(c) and </w:t>
            </w:r>
            <w:r>
              <w:rPr>
                <w:i/>
                <w:iCs/>
                <w:snapToGrid w:val="0"/>
              </w:rPr>
              <w:t>Gazette</w:t>
            </w:r>
            <w:r>
              <w:rPr>
                <w:snapToGrid w:val="0"/>
              </w:rPr>
              <w:t xml:space="preserve"> 3 Aug 2007 p. 3989)</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rPr>
                <w:snapToGrid w:val="0"/>
              </w:rPr>
            </w:pPr>
            <w:r>
              <w:rPr>
                <w:b/>
              </w:rPr>
              <w:t xml:space="preserve">Reprint 2: The </w:t>
            </w:r>
            <w:r>
              <w:rPr>
                <w:b/>
                <w:i/>
              </w:rPr>
              <w:t>Local Government (Elections) Regulations 1997</w:t>
            </w:r>
            <w:r>
              <w:rPr>
                <w:b/>
              </w:rPr>
              <w:t xml:space="preserve"> as at 27 Mar 2009</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Local Government (Elections) Amendment Regulations 2009</w:t>
            </w:r>
          </w:p>
        </w:tc>
        <w:tc>
          <w:tcPr>
            <w:tcW w:w="1276" w:type="dxa"/>
            <w:tcBorders>
              <w:top w:val="nil"/>
              <w:bottom w:val="nil"/>
            </w:tcBorders>
          </w:tcPr>
          <w:p>
            <w:pPr>
              <w:pStyle w:val="nTable"/>
              <w:spacing w:after="40"/>
            </w:pPr>
            <w:r>
              <w:t>14 Aug 2009 p. 3215-20</w:t>
            </w:r>
          </w:p>
        </w:tc>
        <w:tc>
          <w:tcPr>
            <w:tcW w:w="2693" w:type="dxa"/>
            <w:tcBorders>
              <w:top w:val="nil"/>
              <w:bottom w:val="nil"/>
            </w:tcBorders>
          </w:tcPr>
          <w:p>
            <w:pPr>
              <w:pStyle w:val="nTable"/>
              <w:spacing w:after="40"/>
            </w:pPr>
            <w:r>
              <w:rPr>
                <w:snapToGrid w:val="0"/>
              </w:rPr>
              <w:t>r. 1 and 2: 14 Aug 2009 (see r. 2(a));</w:t>
            </w:r>
            <w:r>
              <w:rPr>
                <w:snapToGrid w:val="0"/>
              </w:rPr>
              <w:br/>
              <w:t>Regulations other than r. 1 and 2: 15 Aug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lastRenderedPageBreak/>
              <w:t>Local Government (Elections) Amendment Regulations (No. 2) 2009</w:t>
            </w:r>
          </w:p>
        </w:tc>
        <w:tc>
          <w:tcPr>
            <w:tcW w:w="1276" w:type="dxa"/>
            <w:tcBorders>
              <w:top w:val="nil"/>
              <w:bottom w:val="nil"/>
            </w:tcBorders>
          </w:tcPr>
          <w:p>
            <w:pPr>
              <w:pStyle w:val="nTable"/>
              <w:spacing w:after="40"/>
            </w:pPr>
            <w:r>
              <w:t>28 Aug 2009 p. 3359</w:t>
            </w:r>
            <w:r>
              <w:noBreakHyphen/>
              <w:t>71</w:t>
            </w:r>
          </w:p>
        </w:tc>
        <w:tc>
          <w:tcPr>
            <w:tcW w:w="2693" w:type="dxa"/>
            <w:tcBorders>
              <w:top w:val="nil"/>
              <w:bottom w:val="nil"/>
            </w:tcBorders>
          </w:tcPr>
          <w:p>
            <w:pPr>
              <w:pStyle w:val="nTable"/>
              <w:spacing w:after="40"/>
              <w:rPr>
                <w:snapToGrid w:val="0"/>
              </w:rPr>
            </w:pPr>
            <w:r>
              <w:rPr>
                <w:snapToGrid w:val="0"/>
                <w:spacing w:val="-2"/>
              </w:rPr>
              <w:t>r. 1 and 2: 28 Aug 2009 (see r. 2(a));</w:t>
            </w:r>
            <w:r>
              <w:rPr>
                <w:snapToGrid w:val="0"/>
                <w:spacing w:val="-2"/>
              </w:rPr>
              <w:br/>
              <w:t xml:space="preserve">Regulations other than r. 1 and 2: 29 Aug 2009 (see r. 2(b) and </w:t>
            </w:r>
            <w:r>
              <w:rPr>
                <w:i/>
                <w:iCs/>
                <w:snapToGrid w:val="0"/>
                <w:spacing w:val="-2"/>
              </w:rPr>
              <w:t>Gazette</w:t>
            </w:r>
            <w:r>
              <w:rPr>
                <w:snapToGrid w:val="0"/>
                <w:spacing w:val="-2"/>
              </w:rPr>
              <w:t xml:space="preserve"> 28 Aug 2009 p. 3347)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2012</w:t>
            </w:r>
          </w:p>
        </w:tc>
        <w:tc>
          <w:tcPr>
            <w:tcW w:w="1276" w:type="dxa"/>
            <w:tcBorders>
              <w:top w:val="nil"/>
              <w:bottom w:val="nil"/>
            </w:tcBorders>
          </w:tcPr>
          <w:p>
            <w:pPr>
              <w:pStyle w:val="nTable"/>
              <w:spacing w:after="40"/>
            </w:pPr>
            <w:r>
              <w:t>21 Dec 2012 p. 6642-4</w:t>
            </w:r>
          </w:p>
        </w:tc>
        <w:tc>
          <w:tcPr>
            <w:tcW w:w="2693" w:type="dxa"/>
            <w:tcBorders>
              <w:top w:val="nil"/>
              <w:bottom w:val="nil"/>
            </w:tcBorders>
          </w:tcPr>
          <w:p>
            <w:pPr>
              <w:pStyle w:val="nTable"/>
              <w:spacing w:after="40"/>
              <w:rPr>
                <w:snapToGrid w:val="0"/>
              </w:rPr>
            </w:pPr>
            <w:r>
              <w:rPr>
                <w:snapToGrid w:val="0"/>
                <w:spacing w:val="-2"/>
              </w:rPr>
              <w:t>r. 1 and 2: 21 Dec 2012 (see r. 2(a));</w:t>
            </w:r>
            <w:r>
              <w:rPr>
                <w:snapToGrid w:val="0"/>
                <w:spacing w:val="-2"/>
              </w:rPr>
              <w:br/>
              <w:t>Regulations other than r. 1 and 2: 22 Dec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
                <w:snapToGrid w:val="0"/>
                <w:spacing w:val="-2"/>
              </w:rPr>
            </w:pPr>
            <w:r>
              <w:rPr>
                <w:b/>
              </w:rPr>
              <w:t xml:space="preserve">Reprint 3: The </w:t>
            </w:r>
            <w:r>
              <w:rPr>
                <w:b/>
                <w:i/>
              </w:rPr>
              <w:t>Local Government (Elections) Regulations 1997</w:t>
            </w:r>
            <w:r>
              <w:rPr>
                <w:b/>
              </w:rPr>
              <w:t xml:space="preserve"> as at 4 Apr 2014</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2019</w:t>
            </w:r>
          </w:p>
        </w:tc>
        <w:tc>
          <w:tcPr>
            <w:tcW w:w="1276" w:type="dxa"/>
            <w:tcBorders>
              <w:top w:val="nil"/>
              <w:bottom w:val="nil"/>
            </w:tcBorders>
          </w:tcPr>
          <w:p>
            <w:pPr>
              <w:pStyle w:val="nTable"/>
              <w:spacing w:after="40"/>
            </w:pPr>
            <w:r>
              <w:t>18 Jan 2019 p. 111</w:t>
            </w:r>
          </w:p>
        </w:tc>
        <w:tc>
          <w:tcPr>
            <w:tcW w:w="2693" w:type="dxa"/>
            <w:tcBorders>
              <w:top w:val="nil"/>
              <w:bottom w:val="nil"/>
            </w:tcBorders>
          </w:tcPr>
          <w:p>
            <w:pPr>
              <w:pStyle w:val="nTable"/>
              <w:spacing w:after="40"/>
              <w:rPr>
                <w:snapToGrid w:val="0"/>
              </w:rPr>
            </w:pPr>
            <w:r>
              <w:rPr>
                <w:snapToGrid w:val="0"/>
                <w:spacing w:val="-2"/>
              </w:rPr>
              <w:t>r. 1 and 2: 18 Jan 2019 (see r. 2(a));</w:t>
            </w:r>
            <w:r>
              <w:rPr>
                <w:snapToGrid w:val="0"/>
                <w:spacing w:val="-2"/>
              </w:rPr>
              <w:br/>
              <w:t>Regulations other than r. 1 and 2: 19 Jan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(Induction and Training) Regulations 2019</w:t>
            </w:r>
            <w:r>
              <w:t xml:space="preserve"> Pt. 2</w:t>
            </w:r>
          </w:p>
        </w:tc>
        <w:tc>
          <w:tcPr>
            <w:tcW w:w="1276" w:type="dxa"/>
            <w:tcBorders>
              <w:top w:val="nil"/>
              <w:bottom w:val="nil"/>
            </w:tcBorders>
          </w:tcPr>
          <w:p>
            <w:pPr>
              <w:pStyle w:val="nTable"/>
              <w:spacing w:after="40"/>
            </w:pPr>
            <w:r>
              <w:t>9 Aug 2019 p. 3020-3</w:t>
            </w:r>
          </w:p>
        </w:tc>
        <w:tc>
          <w:tcPr>
            <w:tcW w:w="2693" w:type="dxa"/>
            <w:tcBorders>
              <w:top w:val="nil"/>
              <w:bottom w:val="nil"/>
            </w:tcBorders>
          </w:tcPr>
          <w:p>
            <w:pPr>
              <w:pStyle w:val="nTable"/>
              <w:spacing w:after="40"/>
              <w:rPr>
                <w:snapToGrid w:val="0"/>
                <w:spacing w:val="-2"/>
              </w:rPr>
            </w:pPr>
            <w:r>
              <w:rPr>
                <w:snapToGrid w:val="0"/>
                <w:spacing w:val="-2"/>
              </w:rPr>
              <w:t xml:space="preserve">10 Aug 2019 (see r. 2(b) and </w:t>
            </w:r>
            <w:r>
              <w:rPr>
                <w:i/>
                <w:snapToGrid w:val="0"/>
                <w:spacing w:val="-2"/>
              </w:rPr>
              <w:t>Gazette</w:t>
            </w:r>
            <w:r>
              <w:rPr>
                <w:snapToGrid w:val="0"/>
                <w:spacing w:val="-2"/>
              </w:rPr>
              <w:t xml:space="preserve"> 9 Aug 2019 p. 3019)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Regulations (No. 2) 2020</w:t>
            </w:r>
            <w:r>
              <w:t xml:space="preserve"> Pt. 6</w:t>
            </w:r>
          </w:p>
        </w:tc>
        <w:tc>
          <w:tcPr>
            <w:tcW w:w="1276" w:type="dxa"/>
            <w:tcBorders>
              <w:top w:val="nil"/>
              <w:bottom w:val="nil"/>
            </w:tcBorders>
          </w:tcPr>
          <w:p>
            <w:pPr>
              <w:pStyle w:val="nTable"/>
              <w:spacing w:after="40"/>
            </w:pPr>
            <w:r>
              <w:t>SL 2020/213 6 Nov 2020</w:t>
            </w:r>
          </w:p>
        </w:tc>
        <w:tc>
          <w:tcPr>
            <w:tcW w:w="2693" w:type="dxa"/>
            <w:tcBorders>
              <w:top w:val="nil"/>
              <w:bottom w:val="nil"/>
            </w:tcBorders>
          </w:tcPr>
          <w:p>
            <w:pPr>
              <w:pStyle w:val="nTable"/>
              <w:spacing w:after="40"/>
              <w:rPr>
                <w:snapToGrid w:val="0"/>
                <w:spacing w:val="-2"/>
              </w:rPr>
            </w:pPr>
            <w:r>
              <w:rPr>
                <w:snapToGrid w:val="0"/>
                <w:spacing w:val="-2"/>
              </w:rPr>
              <w:t>7 Nov 2020 (see r. 2(b) and SL 2020/212 cl.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2021</w:t>
            </w:r>
          </w:p>
        </w:tc>
        <w:tc>
          <w:tcPr>
            <w:tcW w:w="1276" w:type="dxa"/>
            <w:tcBorders>
              <w:top w:val="nil"/>
              <w:bottom w:val="nil"/>
            </w:tcBorders>
          </w:tcPr>
          <w:p>
            <w:pPr>
              <w:pStyle w:val="nTable"/>
              <w:spacing w:after="40"/>
            </w:pPr>
            <w:r>
              <w:t>SL 2021/141 30 Jul 2021</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30 Jul 2021</w:t>
            </w:r>
            <w:r>
              <w:rPr>
                <w:snapToGrid w:val="0"/>
                <w:spacing w:val="-2"/>
              </w:rPr>
              <w:t xml:space="preserve"> (see r. 2(a));</w:t>
            </w:r>
            <w:r>
              <w:rPr>
                <w:snapToGrid w:val="0"/>
                <w:spacing w:val="-2"/>
              </w:rPr>
              <w:br/>
              <w:t>Regulations other than r. 1 and 2: 2 Aug 2021 (see r. 2(b))</w:t>
            </w:r>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ind w:right="113"/>
              <w:rPr>
                <w:i/>
              </w:rPr>
            </w:pPr>
            <w:r>
              <w:rPr>
                <w:i/>
              </w:rPr>
              <w:t>Local Government Regulations Amendment Regulations (No. 2) 2023</w:t>
            </w:r>
            <w:r>
              <w:t xml:space="preserve"> Pt. 4</w:t>
            </w:r>
          </w:p>
        </w:tc>
        <w:tc>
          <w:tcPr>
            <w:tcW w:w="1276" w:type="dxa"/>
            <w:tcBorders>
              <w:top w:val="nil"/>
              <w:bottom w:val="single" w:sz="4" w:space="0" w:color="auto"/>
            </w:tcBorders>
          </w:tcPr>
          <w:p>
            <w:pPr>
              <w:pStyle w:val="nTable"/>
              <w:spacing w:after="40"/>
            </w:pPr>
            <w:r>
              <w:t>SL 2023/102 30 Jun 2023</w:t>
            </w:r>
          </w:p>
        </w:tc>
        <w:tc>
          <w:tcPr>
            <w:tcW w:w="2693" w:type="dxa"/>
            <w:tcBorders>
              <w:top w:val="nil"/>
              <w:bottom w:val="single" w:sz="4" w:space="0" w:color="auto"/>
            </w:tcBorders>
          </w:tcPr>
          <w:p>
            <w:pPr>
              <w:pStyle w:val="nTable"/>
              <w:spacing w:after="40"/>
              <w:rPr>
                <w:snapToGrid w:val="0"/>
                <w:spacing w:val="-2"/>
              </w:rPr>
            </w:pPr>
            <w:r>
              <w:rPr>
                <w:snapToGrid w:val="0"/>
                <w:spacing w:val="-2"/>
              </w:rPr>
              <w:t>1 Jul 2023 (see r. 2(d))</w:t>
            </w:r>
          </w:p>
        </w:tc>
      </w:tr>
    </w:tbl>
    <w:p>
      <w:pPr>
        <w:pStyle w:val="nHeading3"/>
      </w:pPr>
      <w:bookmarkStart w:id="187" w:name="_Toc200026277"/>
      <w:r>
        <w:t>Other notes</w:t>
      </w:r>
      <w:bookmarkEnd w:id="187"/>
    </w:p>
    <w:p>
      <w:pPr>
        <w:pStyle w:val="nNote"/>
        <w:keepNext/>
        <w:keepLines/>
        <w:rPr>
          <w:snapToGrid w:val="0"/>
        </w:rPr>
      </w:pPr>
      <w:r>
        <w:rPr>
          <w:snapToGrid w:val="0"/>
          <w:vertAlign w:val="superscript"/>
        </w:rPr>
        <w:t>1</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BlankOpen"/>
      </w:pPr>
    </w:p>
    <w:p>
      <w:pPr>
        <w:pStyle w:val="nzHeading5"/>
        <w:spacing w:before="0"/>
      </w:pPr>
      <w:r>
        <w:t>3.</w:t>
      </w:r>
      <w:r>
        <w:tab/>
        <w:t>Application</w:t>
      </w:r>
    </w:p>
    <w:p>
      <w:pPr>
        <w:pStyle w:val="nzSubsection"/>
      </w:pPr>
      <w:r>
        <w:tab/>
      </w:r>
      <w:r>
        <w:tab/>
        <w:t>These amendments to the principal regulations apply to elections that are to take place on or after 1 May 1999.</w:t>
      </w:r>
    </w:p>
    <w:p>
      <w:pPr>
        <w:pStyle w:val="BlankClose"/>
      </w:pPr>
    </w:p>
    <w:p/>
    <w:p>
      <w:pPr>
        <w:sectPr>
          <w:headerReference w:type="even" r:id="rId30"/>
          <w:headerReference w:type="default" r:id="rId31"/>
          <w:pgSz w:w="11907" w:h="16840" w:code="9"/>
          <w:pgMar w:top="2376" w:right="2404" w:bottom="3544" w:left="2404" w:header="720" w:footer="3544" w:gutter="0"/>
          <w:cols w:space="720"/>
          <w:noEndnote/>
          <w:docGrid w:linePitch="326"/>
        </w:sectPr>
      </w:pPr>
    </w:p>
    <w:p>
      <w:pPr>
        <w:pStyle w:val="nHeading2"/>
        <w:rPr>
          <w:sz w:val="28"/>
        </w:rPr>
      </w:pPr>
      <w:bookmarkStart w:id="189" w:name="_Toc200026278"/>
      <w:r>
        <w:rPr>
          <w:sz w:val="28"/>
        </w:rPr>
        <w:lastRenderedPageBreak/>
        <w:t>Defined terms</w:t>
      </w:r>
      <w:bookmarkEnd w:id="18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2023 amendment Act</w:t>
      </w:r>
      <w:r>
        <w:tab/>
        <w:t>92A</w:t>
      </w:r>
    </w:p>
    <w:p>
      <w:pPr>
        <w:pStyle w:val="DefinedTerms"/>
      </w:pPr>
      <w:r>
        <w:t>2023 amendment regulations</w:t>
      </w:r>
      <w:r>
        <w:tab/>
        <w:t>92A</w:t>
      </w:r>
    </w:p>
    <w:p>
      <w:pPr>
        <w:pStyle w:val="DefinedTerms"/>
      </w:pPr>
      <w:r>
        <w:t>address</w:t>
      </w:r>
      <w:r>
        <w:tab/>
        <w:t>30A(1)</w:t>
      </w:r>
    </w:p>
    <w:p>
      <w:pPr>
        <w:pStyle w:val="DefinedTerms"/>
      </w:pPr>
      <w:r>
        <w:t>amendment day</w:t>
      </w:r>
      <w:r>
        <w:tab/>
        <w:t>92D(1)</w:t>
      </w:r>
    </w:p>
    <w:p>
      <w:pPr>
        <w:pStyle w:val="DefinedTerms"/>
      </w:pPr>
      <w:r>
        <w:t>authorised person</w:t>
      </w:r>
      <w:r>
        <w:tab/>
        <w:t>22AA(1)</w:t>
      </w:r>
    </w:p>
    <w:p>
      <w:pPr>
        <w:pStyle w:val="DefinedTerms"/>
      </w:pPr>
      <w:r>
        <w:t>commencement day</w:t>
      </w:r>
      <w:r>
        <w:tab/>
        <w:t>30C(3)</w:t>
      </w:r>
    </w:p>
    <w:p>
      <w:pPr>
        <w:pStyle w:val="DefinedTerms"/>
      </w:pPr>
      <w:r>
        <w:t>contact number</w:t>
      </w:r>
      <w:r>
        <w:tab/>
        <w:t>3</w:t>
      </w:r>
    </w:p>
    <w:p>
      <w:pPr>
        <w:pStyle w:val="DefinedTerms"/>
      </w:pPr>
      <w:r>
        <w:t>councillor election</w:t>
      </w:r>
      <w:r>
        <w:tab/>
        <w:t>3</w:t>
      </w:r>
    </w:p>
    <w:p>
      <w:pPr>
        <w:pStyle w:val="DefinedTerms"/>
      </w:pPr>
      <w:r>
        <w:t>declaration envelope</w:t>
      </w:r>
      <w:r>
        <w:tab/>
        <w:t>54(3)</w:t>
      </w:r>
    </w:p>
    <w:p>
      <w:pPr>
        <w:pStyle w:val="DefinedTerms"/>
      </w:pPr>
      <w:r>
        <w:t>destroy</w:t>
      </w:r>
      <w:r>
        <w:tab/>
        <w:t>82(5)</w:t>
      </w:r>
    </w:p>
    <w:p>
      <w:pPr>
        <w:pStyle w:val="DefinedTerms"/>
      </w:pPr>
      <w:r>
        <w:t>donor</w:t>
      </w:r>
      <w:r>
        <w:tab/>
        <w:t>30A(1)</w:t>
      </w:r>
    </w:p>
    <w:p>
      <w:pPr>
        <w:pStyle w:val="DefinedTerms"/>
      </w:pPr>
      <w:r>
        <w:t>election</w:t>
      </w:r>
      <w:r>
        <w:tab/>
        <w:t>92B(1)</w:t>
      </w:r>
    </w:p>
    <w:p>
      <w:pPr>
        <w:pStyle w:val="DefinedTerms"/>
      </w:pPr>
      <w:r>
        <w:t>election day</w:t>
      </w:r>
      <w:r>
        <w:tab/>
        <w:t>92B(1)</w:t>
      </w:r>
    </w:p>
    <w:p>
      <w:pPr>
        <w:pStyle w:val="DefinedTerms"/>
      </w:pPr>
      <w:r>
        <w:t>election package</w:t>
      </w:r>
      <w:r>
        <w:tab/>
        <w:t>3</w:t>
      </w:r>
    </w:p>
    <w:p>
      <w:pPr>
        <w:pStyle w:val="DefinedTerms"/>
      </w:pPr>
      <w:r>
        <w:t>election papers</w:t>
      </w:r>
      <w:r>
        <w:tab/>
        <w:t>3</w:t>
      </w:r>
    </w:p>
    <w:p>
      <w:pPr>
        <w:pStyle w:val="DefinedTerms"/>
      </w:pPr>
      <w:r>
        <w:t>elector</w:t>
      </w:r>
      <w:r>
        <w:tab/>
        <w:t>67(1)</w:t>
      </w:r>
    </w:p>
    <w:p>
      <w:pPr>
        <w:pStyle w:val="DefinedTerms"/>
      </w:pPr>
      <w:r>
        <w:t>electronic counting place</w:t>
      </w:r>
      <w:r>
        <w:tab/>
        <w:t>3, 75C(1A)</w:t>
      </w:r>
    </w:p>
    <w:p>
      <w:pPr>
        <w:pStyle w:val="DefinedTerms"/>
      </w:pPr>
      <w:r>
        <w:t>electronic counting system</w:t>
      </w:r>
      <w:r>
        <w:tab/>
        <w:t>3</w:t>
      </w:r>
    </w:p>
    <w:p>
      <w:pPr>
        <w:pStyle w:val="DefinedTerms"/>
      </w:pPr>
      <w:r>
        <w:t>enrolment details</w:t>
      </w:r>
      <w:r>
        <w:tab/>
        <w:t>40(3)</w:t>
      </w:r>
    </w:p>
    <w:p>
      <w:pPr>
        <w:pStyle w:val="DefinedTerms"/>
      </w:pPr>
      <w:r>
        <w:t>first-preference vote</w:t>
      </w:r>
      <w:r>
        <w:tab/>
        <w:t>3</w:t>
      </w:r>
    </w:p>
    <w:p>
      <w:pPr>
        <w:pStyle w:val="DefinedTerms"/>
      </w:pPr>
      <w:r>
        <w:t>form</w:t>
      </w:r>
      <w:r>
        <w:tab/>
        <w:t>3</w:t>
      </w:r>
    </w:p>
    <w:p>
      <w:pPr>
        <w:pStyle w:val="DefinedTerms"/>
      </w:pPr>
      <w:r>
        <w:t>gift</w:t>
      </w:r>
      <w:r>
        <w:tab/>
        <w:t>30A(1)</w:t>
      </w:r>
    </w:p>
    <w:p>
      <w:pPr>
        <w:pStyle w:val="DefinedTerms"/>
      </w:pPr>
      <w:r>
        <w:t>original extension</w:t>
      </w:r>
      <w:r>
        <w:tab/>
        <w:t>87I(2)</w:t>
      </w:r>
    </w:p>
    <w:p>
      <w:pPr>
        <w:pStyle w:val="DefinedTerms"/>
      </w:pPr>
      <w:r>
        <w:t>owners and occupiers register</w:t>
      </w:r>
      <w:r>
        <w:tab/>
        <w:t>3</w:t>
      </w:r>
    </w:p>
    <w:p>
      <w:pPr>
        <w:pStyle w:val="DefinedTerms"/>
      </w:pPr>
      <w:r>
        <w:t>polling day</w:t>
      </w:r>
      <w:r>
        <w:tab/>
        <w:t>73(2)</w:t>
      </w:r>
    </w:p>
    <w:p>
      <w:pPr>
        <w:pStyle w:val="DefinedTerms"/>
      </w:pPr>
      <w:r>
        <w:t>postal voters register</w:t>
      </w:r>
      <w:r>
        <w:tab/>
        <w:t>3, 40(1)</w:t>
      </w:r>
    </w:p>
    <w:p>
      <w:pPr>
        <w:pStyle w:val="DefinedTerms"/>
      </w:pPr>
      <w:r>
        <w:t>pre-21 October election</w:t>
      </w:r>
      <w:r>
        <w:tab/>
        <w:t>92B(1)</w:t>
      </w:r>
    </w:p>
    <w:p>
      <w:pPr>
        <w:pStyle w:val="DefinedTerms"/>
      </w:pPr>
      <w:r>
        <w:t>pre-existing vacancy</w:t>
      </w:r>
      <w:r>
        <w:tab/>
        <w:t>92D(1)</w:t>
      </w:r>
    </w:p>
    <w:p>
      <w:pPr>
        <w:pStyle w:val="DefinedTerms"/>
      </w:pPr>
      <w:r>
        <w:t>preference vote</w:t>
      </w:r>
      <w:r>
        <w:tab/>
        <w:t>3</w:t>
      </w:r>
    </w:p>
    <w:p>
      <w:pPr>
        <w:pStyle w:val="DefinedTerms"/>
      </w:pPr>
      <w:r>
        <w:t>principal office election</w:t>
      </w:r>
      <w:r>
        <w:tab/>
        <w:t>3</w:t>
      </w:r>
    </w:p>
    <w:p>
      <w:pPr>
        <w:pStyle w:val="DefinedTerms"/>
      </w:pPr>
      <w:r>
        <w:t>publish</w:t>
      </w:r>
      <w:r>
        <w:tab/>
        <w:t>30I(2)</w:t>
      </w:r>
    </w:p>
    <w:p>
      <w:pPr>
        <w:pStyle w:val="DefinedTerms"/>
      </w:pPr>
      <w:r>
        <w:t>reasons</w:t>
      </w:r>
      <w:r>
        <w:tab/>
        <w:t>30F(3)</w:t>
      </w:r>
    </w:p>
    <w:p>
      <w:pPr>
        <w:pStyle w:val="DefinedTerms"/>
      </w:pPr>
      <w:r>
        <w:t>recipient</w:t>
      </w:r>
      <w:r>
        <w:tab/>
        <w:t>22AA(1)</w:t>
      </w:r>
    </w:p>
    <w:p>
      <w:pPr>
        <w:pStyle w:val="DefinedTerms"/>
      </w:pPr>
      <w:r>
        <w:t>relevant candidates</w:t>
      </w:r>
      <w:r>
        <w:tab/>
        <w:t>75G(2), 75H(2), 75I(2), 75J(2), 75K(2), 75L(2), 75M(2), 75N(2), 75O(2), 75P(2), 75Q(2), 75R(2), 75S(2), 75T(2)</w:t>
      </w:r>
    </w:p>
    <w:p>
      <w:pPr>
        <w:pStyle w:val="DefinedTerms"/>
      </w:pPr>
      <w:r>
        <w:t>relevant period</w:t>
      </w:r>
      <w:r>
        <w:tab/>
        <w:t>22AA(1), (8) and (9), 87G(1), 87H(1), 87I(1)</w:t>
      </w:r>
    </w:p>
    <w:p>
      <w:pPr>
        <w:pStyle w:val="DefinedTerms"/>
      </w:pPr>
      <w:r>
        <w:t>RO</w:t>
      </w:r>
      <w:r>
        <w:tab/>
        <w:t>3</w:t>
      </w:r>
    </w:p>
    <w:p>
      <w:pPr>
        <w:pStyle w:val="DefinedTerms"/>
      </w:pPr>
      <w:r>
        <w:t>section</w:t>
      </w:r>
      <w:r>
        <w:tab/>
        <w:t>3</w:t>
      </w:r>
    </w:p>
    <w:p>
      <w:pPr>
        <w:pStyle w:val="DefinedTerms"/>
      </w:pPr>
      <w:r>
        <w:t>secure paper destruction company</w:t>
      </w:r>
      <w:r>
        <w:tab/>
        <w:t>82(5)</w:t>
      </w:r>
    </w:p>
    <w:p>
      <w:pPr>
        <w:pStyle w:val="DefinedTerms"/>
      </w:pPr>
      <w:r>
        <w:lastRenderedPageBreak/>
        <w:t>steps for drawing lots</w:t>
      </w:r>
      <w:r>
        <w:tab/>
        <w:t>75E(1)</w:t>
      </w:r>
    </w:p>
    <w:p>
      <w:pPr>
        <w:pStyle w:val="DefinedTerms"/>
      </w:pPr>
      <w:r>
        <w:t>supplied copy</w:t>
      </w:r>
      <w:r>
        <w:tab/>
        <w:t>22AA(1)</w:t>
      </w:r>
    </w:p>
    <w:p>
      <w:pPr>
        <w:pStyle w:val="DefinedTerms"/>
      </w:pPr>
      <w:r>
        <w:t>vacancy day</w:t>
      </w:r>
      <w:r>
        <w:tab/>
        <w:t>87A(2)</w:t>
      </w:r>
    </w:p>
    <w:p>
      <w:pPr>
        <w:pStyle w:val="DefinedTerms"/>
      </w:pPr>
      <w:r>
        <w:t>votes</w:t>
      </w:r>
      <w:r>
        <w:tab/>
        <w:t>3</w:t>
      </w:r>
    </w:p>
    <w:p>
      <w:pPr>
        <w:pStyle w:val="DefinedTerms"/>
      </w:pPr>
      <w:r>
        <w:t>voting paper</w:t>
      </w:r>
      <w:r>
        <w:tab/>
        <w:t>45(7)</w:t>
      </w:r>
    </w:p>
    <w:p>
      <w:pPr>
        <w:pStyle w:val="DefinedTerms"/>
      </w:pPr>
      <w:r>
        <w:t>Western Australian Electoral Commission</w:t>
      </w:r>
      <w:r>
        <w:tab/>
        <w:t>3</w:t>
      </w:r>
    </w:p>
    <w:p>
      <w:pPr>
        <w:pStyle w:val="DefinedTerms"/>
      </w:pPr>
      <w:r>
        <w:t>working day</w:t>
      </w:r>
      <w:r>
        <w:tab/>
        <w:t>22AA(1), 87B(2)</w:t>
      </w:r>
    </w:p>
    <w:p/>
    <w:p>
      <w:pPr>
        <w:pStyle w:val="DefinedTerms"/>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90E14C0"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098F84B" w14:textId="1916C0DC" w:rsidR="00E67BA0" w:rsidRDefault="00E67BA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677A4DCE" w14:textId="77777777" w:rsidR="00E67BA0" w:rsidRDefault="00E67BA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A07BBA4" w14:textId="234E2E33" w:rsidR="00E67BA0" w:rsidRDefault="00E67BA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75B65A51" w14:textId="77777777" w:rsidR="00E67BA0" w:rsidRDefault="00E67BA0">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03-f0-01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03-f0-01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03-f0-01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03-f0-01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03-f0-01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03-f0-01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184" w:name="Schedule"/>
    <w:bookmarkEnd w:id="18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22</w:instrText>
          </w:r>
          <w:r>
            <w:rPr>
              <w:b/>
            </w:rPr>
            <w:fldChar w:fldCharType="end"/>
          </w:r>
          <w:r>
            <w:rPr>
              <w:b/>
            </w:rPr>
            <w:instrText xml:space="preserve"> </w:instrText>
          </w:r>
          <w:r>
            <w:rPr>
              <w:b/>
            </w:rPr>
            <w:fldChar w:fldCharType="separate"/>
          </w:r>
          <w:r>
            <w:rPr>
              <w:b/>
            </w:rPr>
            <w:t>0</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23</w:instrText>
          </w:r>
          <w:r>
            <w:rPr>
              <w:b/>
            </w:rPr>
            <w:fldChar w:fldCharType="end"/>
          </w:r>
          <w:r>
            <w:rPr>
              <w:b/>
            </w:rPr>
            <w:instrText xml:space="preserve"> </w:instrText>
          </w:r>
          <w:r>
            <w:rPr>
              <w:b/>
            </w:rPr>
            <w:fldChar w:fldCharType="separate"/>
          </w:r>
          <w:r>
            <w:rPr>
              <w:b/>
            </w:rPr>
            <w:t>0</w:t>
          </w:r>
          <w:r>
            <w:rPr>
              <w:b/>
            </w:rPr>
            <w:fldChar w:fldCharType="end"/>
          </w:r>
        </w:p>
      </w:tc>
    </w:tr>
  </w:tbl>
  <w:p>
    <w:pPr>
      <w:pStyle w:val="Header"/>
      <w:pBdr>
        <w:top w:val="single" w:sz="4" w:space="1" w:color="auto"/>
      </w:pBdr>
    </w:pPr>
  </w:p>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88" w:name="Compilation"/>
    <w:bookmarkEnd w:id="18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0" w:name="DefinedTerms"/>
    <w:bookmarkEnd w:id="190"/>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91" w:name="Coversheet"/>
    <w:bookmarkEnd w:id="19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55221"/>
    <w:docVar w:name="WAFER_20131219130944" w:val="RemoveTocBookmarks,RemoveUnusedBookmarks,RemoveLanguageTags,UsedStyles,ResetPageSize,UpdateArrangement"/>
    <w:docVar w:name="WAFER_20131219130944_GUID" w:val="c8d450da-9a06-483e-afcb-bbd0cb31c840"/>
    <w:docVar w:name="WAFER_20140217102901" w:val="RemoveTocBookmarks,RemoveUnusedBookmarks,RemoveLanguageTags,UsedStyles,ResetPageSize,RemoveCustomizations,UpdateArrangement"/>
    <w:docVar w:name="WAFER_20140217102901_GUID" w:val="65d6c734-20de-4c91-81f1-bf824ef0fe4d"/>
    <w:docVar w:name="WAFER_20140314113412" w:val="RemoveTocBookmarks,RemoveUnusedBookmarks,RemoveLanguageTags,UsedStyles,ResetPageSize,RemoveCustomizations"/>
    <w:docVar w:name="WAFER_20140314113412_GUID" w:val="fd04acba-dc3c-4c73-bde9-5a4f252f101a"/>
    <w:docVar w:name="WAFER_20140314113429" w:val="RemoveTocBookmarks,RemoveUnusedBookmarks,RemoveLanguageTags,UsedStyles,RemoveTrackChanges"/>
    <w:docVar w:name="WAFER_20140314113429_GUID" w:val="753cb299-562b-4bd9-b0c4-88fcc9f799a1"/>
    <w:docVar w:name="WAFER_20150602110910" w:val="ResetPageSize,UpdateArrangement,UpdateNTable"/>
    <w:docVar w:name="WAFER_20150602110910_GUID" w:val="114e9a75-fe3d-4c56-8242-3cd82d1fc238"/>
    <w:docVar w:name="WAFER_20151106100515" w:val="UpdateStyles,UsedStyles"/>
    <w:docVar w:name="WAFER_20151106100515_GUID" w:val="818ab8ec-b422-46cd-84b7-256d8cbdd3d0"/>
    <w:docVar w:name="WAFER_20151112155257" w:val="UpdateStyles,UsedStyles"/>
    <w:docVar w:name="WAFER_20151112155257_GUID" w:val="d12bea6d-9216-4881-8f09-a1740757f989"/>
    <w:docVar w:name="WAFER_20190117123921" w:val="RemoveTocBookmarks,RemoveUnusedBookmarks,RemoveLanguageTags,UsedStyles,ResetPageSize"/>
    <w:docVar w:name="WAFER_20190117123921_GUID" w:val="5481f392-183f-4395-a539-fd344b09f6e6"/>
    <w:docVar w:name="WAFER_20190808141119" w:val="RemoveTocBookmarks,RemoveUnusedBookmarks,RemoveLanguageTags,ResetPageSize,RunningHeaders,UpdateStyles,UsedStyles"/>
    <w:docVar w:name="WAFER_20190808141119_GUID" w:val="1bada681-e4fd-44ef-85fb-558b48e1cea5"/>
    <w:docVar w:name="WAFER_202011030831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3083133_GUID" w:val="362dd7b1-efd8-4216-8969-11565b49054e"/>
    <w:docVar w:name="WAFER_202107281316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8131636_GUID" w:val="efb67c46-e1dc-4804-be81-4f3b6e4f7907"/>
    <w:docVar w:name="WAFER_202306281044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04450_GUID" w:val="372a07b0-4650-4d25-aa3c-99ad1bffa311"/>
    <w:docVar w:name="WAFER_202312281552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55221_GUID" w:val="1ba9cd2e-5c59-420b-b426-a3b1a9994cc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5:docId w15:val="{CE2290F2-830A-49B5-8C36-377A591D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zyMiscellaneousBodyBold">
    <w:name w:val="zyMiscellaneous Body + Bold"/>
    <w:aliases w:val="Italic,Before:  4 pt"/>
    <w:basedOn w:val="yMiscellaneousBody"/>
    <w:pPr>
      <w:spacing w:before="80"/>
    </w:pPr>
    <w:rPr>
      <w:b/>
      <w:bCs/>
      <w:i/>
      <w:iCs/>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251D0-6251-47F1-91AE-E69BAB265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37803</Words>
  <Characters>176166</Characters>
  <Application>Microsoft Office Word</Application>
  <DocSecurity>0</DocSecurity>
  <Lines>5682</Lines>
  <Paragraphs>3507</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210462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1997 - 03-f0-01</dc:title>
  <dc:subject/>
  <dc:creator/>
  <cp:keywords/>
  <dc:description/>
  <cp:lastModifiedBy>Master Repository Process</cp:lastModifiedBy>
  <cp:revision>4</cp:revision>
  <cp:lastPrinted>2019-08-09T02:21:00Z</cp:lastPrinted>
  <dcterms:created xsi:type="dcterms:W3CDTF">2025-06-05T06:27:00Z</dcterms:created>
  <dcterms:modified xsi:type="dcterms:W3CDTF">2025-06-05T06:28:00Z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DocumentType">
    <vt:lpwstr>Reg</vt:lpwstr>
  </property>
  <property fmtid="{D5CDD505-2E9C-101B-9397-08002B2CF9AE}" pid="4" name="OwlsUID">
    <vt:i4>4576</vt:i4>
  </property>
  <property fmtid="{D5CDD505-2E9C-101B-9397-08002B2CF9AE}" pid="5" name="ReprintNo">
    <vt:lpwstr>3</vt:lpwstr>
  </property>
  <property fmtid="{D5CDD505-2E9C-101B-9397-08002B2CF9AE}" pid="6" name="ReprintedAsAt">
    <vt:filetime>2014-04-03T16:00:00Z</vt:filetime>
  </property>
  <property fmtid="{D5CDD505-2E9C-101B-9397-08002B2CF9AE}" pid="7" name="AsAtDate">
    <vt:lpwstr>01 Jul 2023</vt:lpwstr>
  </property>
  <property fmtid="{D5CDD505-2E9C-101B-9397-08002B2CF9AE}" pid="8" name="Suffix">
    <vt:lpwstr>03-f0-01</vt:lpwstr>
  </property>
  <property fmtid="{D5CDD505-2E9C-101B-9397-08002B2CF9AE}" pid="9" name="Official">
    <vt:lpwstr/>
  </property>
  <property fmtid="{D5CDD505-2E9C-101B-9397-08002B2CF9AE}" pid="10" name="CommencementDate">
    <vt:lpwstr>20230701</vt:lpwstr>
  </property>
  <property fmtid="{D5CDD505-2E9C-101B-9397-08002B2CF9AE}" pid="11" name="CommencementAsAt">
    <vt:filetime>2023-06-30T16:00:00Z</vt:filetime>
  </property>
  <property fmtid="{D5CDD505-2E9C-101B-9397-08002B2CF9AE}" pid="12" name="CommencementYear">
    <vt:lpwstr>2023</vt:lpwstr>
  </property>
</Properties>
</file>