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(Submerged Lands)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(Submerged Lands) Regulations 1990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Regulations 1990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_Toc138860114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_Toc138860115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_Toc138860116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Prescribed fees, rates and sums</w:t>
      </w:r>
      <w:r>
        <w:tab/>
      </w:r>
      <w:r>
        <w:fldChar w:fldCharType="begin"/>
      </w:r>
      <w:r>
        <w:instrText xml:space="preserve"> PAGEREF _Toc138860117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instrument of transfer</w:t>
      </w:r>
      <w:r>
        <w:tab/>
      </w:r>
      <w:r>
        <w:fldChar w:fldCharType="begin"/>
      </w:r>
      <w:r>
        <w:instrText xml:space="preserve"> PAGEREF _Toc138860118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Instrument under Act s. 81(4)(b)</w:t>
      </w:r>
      <w:r>
        <w:tab/>
      </w:r>
      <w:r>
        <w:fldChar w:fldCharType="begin"/>
      </w:r>
      <w:r>
        <w:instrText xml:space="preserve"> PAGEREF _Toc138860119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Royalty value — deductible imposts</w:t>
      </w:r>
      <w:r>
        <w:tab/>
      </w:r>
      <w:r>
        <w:fldChar w:fldCharType="begin"/>
      </w:r>
      <w:r>
        <w:instrText xml:space="preserve"> PAGEREF _Toc138860120 \h </w:instrText>
      </w:r>
      <w:r>
        <w:fldChar w:fldCharType="separate"/>
      </w:r>
      <w:r>
        <w:t>4</w:t>
      </w:r>
      <w:r>
        <w:fldChar w:fldCharType="end"/>
      </w:r>
    </w:p>
    <w:p>
      <w:pPr>
        <w:pStyle w:val="TOC8"/>
        <w:rPr>
          <w:rFonts w:asciiTheme="minorHAnsi" w:eastAsiaTheme="minorEastAsia" w:hAnsiTheme="minorHAnsi" w:cstheme="minorBidi"/>
          <w:szCs w:val="22"/>
        </w:rPr>
      </w:pPr>
      <w:r>
        <w:t>9.</w:t>
      </w:r>
      <w:r>
        <w:tab/>
        <w:t>Application of Geocentric Datum of Australia</w:t>
      </w:r>
      <w:r>
        <w:tab/>
      </w:r>
      <w:r>
        <w:fldChar w:fldCharType="begin"/>
      </w:r>
      <w:r>
        <w:instrText xml:space="preserve"> PAGEREF _Toc138860121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of GDA to certain instruments</w:t>
      </w:r>
      <w:r>
        <w:tab/>
      </w:r>
      <w:r>
        <w:fldChar w:fldCharType="begin"/>
      </w:r>
      <w:r>
        <w:instrText xml:space="preserve"> PAGEREF _Toc138860122 \h </w:instrText>
      </w:r>
      <w:r>
        <w:fldChar w:fldCharType="separate"/>
      </w:r>
      <w:r>
        <w:t>6</w:t>
      </w:r>
      <w:r>
        <w:fldChar w:fldCharType="end"/>
      </w:r>
    </w:p>
    <w:p>
      <w:pPr>
        <w:pStyle w:val="TOC8"/>
        <w:rPr>
          <w:rFonts w:asciiTheme="minorHAnsi" w:eastAsiaTheme="minorEastAsia" w:hAnsiTheme="minorHAnsi" w:cstheme="minorBidi"/>
          <w:szCs w:val="22"/>
        </w:rPr>
      </w:pPr>
      <w:r>
        <w:t>11.</w:t>
      </w:r>
      <w:r>
        <w:tab/>
        <w:t>Application of Australian Geodetic Datum</w:t>
      </w:r>
      <w:r>
        <w:tab/>
      </w:r>
      <w:r>
        <w:fldChar w:fldCharType="begin"/>
      </w:r>
      <w:r>
        <w:instrText xml:space="preserve"> PAGEREF _Toc138860123 \h </w:instrText>
      </w:r>
      <w:r>
        <w:fldChar w:fldCharType="separate"/>
      </w:r>
      <w:r>
        <w:t>7</w:t>
      </w:r>
      <w:r>
        <w:fldChar w:fldCharType="end"/>
      </w:r>
    </w:p>
    <w:p>
      <w:pPr>
        <w:pStyle w:val="TOC8"/>
        <w:rPr>
          <w:rFonts w:asciiTheme="minorHAnsi" w:eastAsiaTheme="minorEastAsia" w:hAnsiTheme="minorHAnsi" w:cstheme="minorBidi"/>
          <w:szCs w:val="22"/>
        </w:rPr>
      </w:pPr>
      <w:r>
        <w:t>12.</w:t>
      </w:r>
      <w:r>
        <w:tab/>
        <w:t>Transitional provision: operation of r. 3</w:t>
      </w:r>
      <w:r>
        <w:tab/>
      </w:r>
      <w:r>
        <w:fldChar w:fldCharType="begin"/>
      </w:r>
      <w:r>
        <w:instrText xml:space="preserve"> PAGEREF _Toc138860124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_Toc138860128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_Toc138860129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(Submerged Lands) Act 1982</w:t>
      </w:r>
    </w:p>
    <w:p>
      <w:pPr>
        <w:pStyle w:val="NameofActReg"/>
      </w:pPr>
      <w:r>
        <w:t>Petroleum (Submerged Lands) Regulations 1990</w:t>
      </w:r>
    </w:p>
    <w:p>
      <w:pPr>
        <w:pStyle w:val="Heading5"/>
        <w:rPr>
          <w:snapToGrid w:val="0"/>
        </w:rPr>
      </w:pPr>
      <w:bookmarkStart w:id="2" w:name="_Toc138860114"/>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rPr>
        <w:t>.</w:t>
      </w:r>
    </w:p>
    <w:p>
      <w:pPr>
        <w:pStyle w:val="Heading5"/>
        <w:rPr>
          <w:snapToGrid w:val="0"/>
        </w:rPr>
      </w:pPr>
      <w:bookmarkStart w:id="3" w:name="_Toc13886011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rPr>
        <w:t>.</w:t>
      </w:r>
    </w:p>
    <w:p>
      <w:pPr>
        <w:pStyle w:val="Heading5"/>
      </w:pPr>
      <w:bookmarkStart w:id="4" w:name="_Toc138860116"/>
      <w:r>
        <w:rPr>
          <w:rStyle w:val="CharSectno"/>
        </w:rPr>
        <w:t>2A</w:t>
      </w:r>
      <w:r>
        <w:t>.</w:t>
      </w:r>
      <w:r>
        <w:tab/>
        <w:t>Terms used</w:t>
      </w:r>
      <w:bookmarkEnd w:id="4"/>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Gazette 15 Dec 2000 p. 7216.]</w:t>
      </w:r>
    </w:p>
    <w:p>
      <w:pPr>
        <w:pStyle w:val="Heading5"/>
        <w:rPr>
          <w:snapToGrid w:val="0"/>
        </w:rPr>
      </w:pPr>
      <w:bookmarkStart w:id="5" w:name="_Toc138860117"/>
      <w:r>
        <w:rPr>
          <w:rStyle w:val="CharSectno"/>
        </w:rPr>
        <w:t>3</w:t>
      </w:r>
      <w:r>
        <w:rPr>
          <w:snapToGrid w:val="0"/>
        </w:rPr>
        <w:t>.</w:t>
      </w:r>
      <w:r>
        <w:rPr>
          <w:snapToGrid w:val="0"/>
        </w:rPr>
        <w:tab/>
        <w:t>Prescribed fees, rates and sums</w:t>
      </w:r>
      <w:bookmarkEnd w:id="5"/>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$149.00 </w:t>
      </w:r>
      <w:r>
        <w:rPr>
          <w:snapToGrid w:val="0"/>
        </w:rPr>
        <w:t>per page.</w:t>
      </w:r>
    </w:p>
    <w:p>
      <w:pPr>
        <w:pStyle w:val="Ednotesubsection"/>
        <w:spacing w:before="180"/>
      </w:pPr>
      <w:r>
        <w:tab/>
        <w:t>[(3)</w:t>
      </w:r>
      <w:r>
        <w:noBreakHyphen/>
        <w:t>(5)</w:t>
      </w:r>
      <w:r>
        <w:tab/>
        <w:t>deleted]</w:t>
      </w:r>
    </w:p>
    <w:p>
      <w:pPr>
        <w:pStyle w:val="Subsection"/>
        <w:spacing w:before="180"/>
        <w:rPr>
          <w:snapToGrid w:val="0"/>
        </w:rPr>
      </w:pPr>
      <w:r>
        <w:rPr>
          <w:snapToGrid w:val="0"/>
        </w:rPr>
        <w:tab/>
        <w:t>(6)</w:t>
      </w:r>
      <w:r>
        <w:rPr>
          <w:snapToGrid w:val="0"/>
        </w:rPr>
        <w:tab/>
        <w:t>For the purposes of section 139(a) of the Act, the prescribed minimum fee is </w:t>
      </w:r>
      <w:r>
        <w:t>$2 400.00.</w:t>
      </w:r>
    </w:p>
    <w:p>
      <w:pPr>
        <w:pStyle w:val="Subsection"/>
        <w:spacing w:before="180"/>
        <w:rPr>
          <w:snapToGrid w:val="0"/>
        </w:rPr>
      </w:pPr>
      <w:r>
        <w:rPr>
          <w:snapToGrid w:val="0"/>
        </w:rPr>
        <w:lastRenderedPageBreak/>
        <w:tab/>
        <w:t>(7)</w:t>
      </w:r>
      <w:r>
        <w:rPr>
          <w:snapToGrid w:val="0"/>
        </w:rPr>
        <w:tab/>
        <w:t>For the purposes of section 139(b) of the Act, the prescribed rate is a rate of </w:t>
      </w:r>
      <w:r>
        <w:t>$919.00.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$20 000.00.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$17 400.00.</w:t>
      </w:r>
    </w:p>
    <w:p>
      <w:pPr>
        <w:pStyle w:val="Subsection"/>
        <w:spacing w:before="180"/>
      </w:pPr>
      <w:r>
        <w:tab/>
        <w:t>(10)</w:t>
      </w:r>
      <w:r>
        <w:tab/>
        <w:t>For the purposes of section 141A of the Act, the fee is $17 400.00.</w:t>
      </w:r>
    </w:p>
    <w:p>
      <w:pPr>
        <w:pStyle w:val="Footnotesection"/>
        <w:spacing w:before="140"/>
      </w:pPr>
      <w:r>
        <w:tab/>
        <w:t>[Regulation 3 amended: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30 Jun 2015 p. 2345 and 2348; 24 Jun 2016 p. 2329-30; 23 Jun 2017 p. 3300; 25 Jun 2018 p. 2315; 18 Jun 2019 p. 2051; SL 2020/93 r. 25; SL 2021/85 r. 36.] </w:t>
      </w:r>
    </w:p>
    <w:p>
      <w:pPr>
        <w:pStyle w:val="Ednotesection"/>
        <w:spacing w:before="260"/>
      </w:pPr>
      <w:r>
        <w:t>[</w:t>
      </w:r>
      <w:r>
        <w:rPr>
          <w:b/>
          <w:bCs/>
        </w:rPr>
        <w:t>3A.</w:t>
      </w:r>
      <w:r>
        <w:rPr>
          <w:b/>
          <w:bCs/>
        </w:rPr>
        <w:tab/>
      </w:r>
      <w:r>
        <w:t>Deleted: Gazette 23 Jun 2009 p. 2475.]</w:t>
      </w:r>
    </w:p>
    <w:p>
      <w:pPr>
        <w:pStyle w:val="Heading5"/>
        <w:rPr>
          <w:snapToGrid w:val="0"/>
        </w:rPr>
      </w:pPr>
      <w:bookmarkStart w:id="6" w:name="_Toc138860118"/>
      <w:r>
        <w:rPr>
          <w:rStyle w:val="CharSectno"/>
        </w:rPr>
        <w:t>4</w:t>
      </w:r>
      <w:r>
        <w:rPr>
          <w:snapToGrid w:val="0"/>
        </w:rPr>
        <w:t>.</w:t>
      </w:r>
      <w:r>
        <w:rPr>
          <w:snapToGrid w:val="0"/>
        </w:rPr>
        <w:tab/>
        <w:t>Form of instrument of transfer</w:t>
      </w:r>
      <w:bookmarkEnd w:id="6"/>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7" w:name="_Toc138860119"/>
      <w:r>
        <w:rPr>
          <w:rStyle w:val="CharSectno"/>
        </w:rPr>
        <w:t>5</w:t>
      </w:r>
      <w:r>
        <w:rPr>
          <w:snapToGrid w:val="0"/>
        </w:rPr>
        <w:t>.</w:t>
      </w:r>
      <w:r>
        <w:rPr>
          <w:snapToGrid w:val="0"/>
        </w:rPr>
        <w:tab/>
        <w:t>Instrument under Act s. 81(4)(b)</w:t>
      </w:r>
      <w:bookmarkEnd w:id="7"/>
      <w:r>
        <w:rPr>
          <w:snapToGrid w:val="0"/>
        </w:rPr>
        <w:t xml:space="preserve"> </w:t>
      </w:r>
    </w:p>
    <w:p>
      <w:pPr>
        <w:pStyle w:val="Subsection"/>
        <w:keepNext/>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lastRenderedPageBreak/>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keepNext/>
        <w:rPr>
          <w:snapToGrid w:val="0"/>
        </w:rPr>
      </w:pPr>
      <w:r>
        <w:rPr>
          <w:snapToGrid w:val="0"/>
        </w:rPr>
        <w:lastRenderedPageBreak/>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Gazette 23 Jun 2009 p. 2475.]</w:t>
      </w:r>
    </w:p>
    <w:p>
      <w:pPr>
        <w:pStyle w:val="Heading5"/>
        <w:rPr>
          <w:snapToGrid w:val="0"/>
        </w:rPr>
      </w:pPr>
      <w:bookmarkStart w:id="8" w:name="_Toc138860120"/>
      <w:r>
        <w:rPr>
          <w:rStyle w:val="CharSectno"/>
        </w:rPr>
        <w:t>8</w:t>
      </w:r>
      <w:r>
        <w:rPr>
          <w:snapToGrid w:val="0"/>
        </w:rPr>
        <w:t>.</w:t>
      </w:r>
      <w:r>
        <w:rPr>
          <w:snapToGrid w:val="0"/>
        </w:rPr>
        <w:tab/>
        <w:t>Royalty value — deductible imposts</w:t>
      </w:r>
      <w:bookmarkEnd w:id="8"/>
      <w:r>
        <w:rPr>
          <w:snapToGrid w:val="0"/>
        </w:rPr>
        <w:t xml:space="preserve"> </w:t>
      </w:r>
    </w:p>
    <w:p>
      <w:pPr>
        <w:pStyle w:val="Subsection"/>
        <w:keepNext/>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w:t>
      </w:r>
      <w:r>
        <w:rPr>
          <w:snapToGrid w:val="0"/>
        </w:rPr>
        <w:lastRenderedPageBreak/>
        <w:t>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Gazette 20 May 1994 p. 2125</w:t>
      </w:r>
      <w:r>
        <w:noBreakHyphen/>
        <w:t xml:space="preserve">6.] </w:t>
      </w:r>
    </w:p>
    <w:p>
      <w:pPr>
        <w:pStyle w:val="Heading5"/>
      </w:pPr>
      <w:bookmarkStart w:id="9" w:name="_Toc138860121"/>
      <w:r>
        <w:rPr>
          <w:rStyle w:val="CharSectno"/>
        </w:rPr>
        <w:t>9</w:t>
      </w:r>
      <w:r>
        <w:t>.</w:t>
      </w:r>
      <w:r>
        <w:tab/>
        <w:t>Application of Geocentric Datum of Australia</w:t>
      </w:r>
      <w:bookmarkEnd w:id="9"/>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r>
              <w:rPr>
                <w:sz w:val="20"/>
              </w:rPr>
              <w:t>Alice Springs</w:t>
            </w:r>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r>
              <w:rPr>
                <w:sz w:val="20"/>
              </w:rPr>
              <w:t>Darwin</w:t>
            </w:r>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lastRenderedPageBreak/>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r>
              <w:rPr>
                <w:sz w:val="20"/>
              </w:rPr>
              <w:t>Hobart</w:t>
            </w:r>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Gazette 15 Dec 2000 p. 7216</w:t>
      </w:r>
      <w:r>
        <w:noBreakHyphen/>
        <w:t>17.]</w:t>
      </w:r>
    </w:p>
    <w:p>
      <w:pPr>
        <w:pStyle w:val="Heading5"/>
      </w:pPr>
      <w:bookmarkStart w:id="10" w:name="_Toc138860122"/>
      <w:r>
        <w:rPr>
          <w:rStyle w:val="CharSectno"/>
        </w:rPr>
        <w:t>10</w:t>
      </w:r>
      <w:r>
        <w:t>.</w:t>
      </w:r>
      <w:r>
        <w:tab/>
        <w:t>Application of GDA to certain instruments</w:t>
      </w:r>
      <w:bookmarkEnd w:id="1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keepNext/>
      </w:pPr>
      <w:r>
        <w:lastRenderedPageBreak/>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1</w:t>
      </w:r>
      <w:r>
        <w:t>.</w:t>
      </w:r>
    </w:p>
    <w:p>
      <w:pPr>
        <w:pStyle w:val="Footnotesection"/>
      </w:pPr>
      <w:r>
        <w:tab/>
        <w:t>[Regulation 10 inserted: Gazette 15 Dec 2000 p. 7217</w:t>
      </w:r>
      <w:r>
        <w:noBreakHyphen/>
        <w:t>18.]</w:t>
      </w:r>
    </w:p>
    <w:p>
      <w:pPr>
        <w:pStyle w:val="Heading5"/>
      </w:pPr>
      <w:bookmarkStart w:id="11" w:name="_Toc138860123"/>
      <w:r>
        <w:rPr>
          <w:rStyle w:val="CharSectno"/>
        </w:rPr>
        <w:t>11</w:t>
      </w:r>
      <w:r>
        <w:t>.</w:t>
      </w:r>
      <w:r>
        <w:tab/>
        <w:t>Application of Australian Geodetic Datum</w:t>
      </w:r>
      <w:bookmarkEnd w:id="11"/>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 xml:space="preserve">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w:t>
      </w:r>
      <w:r>
        <w:rPr>
          <w:snapToGrid w:val="0"/>
        </w:rPr>
        <w:lastRenderedPageBreak/>
        <w:t>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Gazette 15 Dec 2000 p. 7218.]</w:t>
      </w:r>
    </w:p>
    <w:p>
      <w:pPr>
        <w:pStyle w:val="Heading5"/>
      </w:pPr>
      <w:bookmarkStart w:id="12" w:name="_Toc138860124"/>
      <w:r>
        <w:rPr>
          <w:rStyle w:val="CharSectno"/>
        </w:rPr>
        <w:t>12</w:t>
      </w:r>
      <w:r>
        <w:t>.</w:t>
      </w:r>
      <w:r>
        <w:tab/>
        <w:t>Transitional provision: operation of r. 3</w:t>
      </w:r>
      <w:bookmarkEnd w:id="12"/>
    </w:p>
    <w:p>
      <w:pPr>
        <w:pStyle w:val="Subsection"/>
      </w:pPr>
      <w:r>
        <w:tab/>
        <w:t>(1)</w:t>
      </w:r>
      <w:r>
        <w:tab/>
        <w:t xml:space="preserve">In this regulation — </w:t>
      </w:r>
    </w:p>
    <w:p>
      <w:pPr>
        <w:pStyle w:val="Defstart"/>
      </w:pPr>
      <w:r>
        <w:tab/>
      </w:r>
      <w:r>
        <w:rPr>
          <w:rStyle w:val="CharDefText"/>
        </w:rPr>
        <w:t>regulation 3</w:t>
      </w:r>
      <w:r>
        <w:t xml:space="preserve"> means regulation 3 as in force immediately before the commencement of the </w:t>
      </w:r>
      <w:r>
        <w:rPr>
          <w:i/>
        </w:rPr>
        <w:t>Petroleum and Energy Legislation Amendment Act 2010</w:t>
      </w:r>
      <w:r>
        <w:t xml:space="preserve"> section 149.</w:t>
      </w:r>
    </w:p>
    <w:p>
      <w:pPr>
        <w:pStyle w:val="Subsection"/>
      </w:pPr>
      <w:r>
        <w:tab/>
        <w:t>(2)</w:t>
      </w:r>
      <w:r>
        <w:tab/>
        <w:t>This regulation is made for the purposes of Schedule 3 clause 4(4) of the Act.</w:t>
      </w:r>
    </w:p>
    <w:p>
      <w:pPr>
        <w:pStyle w:val="Subsection"/>
      </w:pPr>
      <w:r>
        <w:tab/>
        <w:t>(3)</w:t>
      </w:r>
      <w:r>
        <w:tab/>
        <w:t>Regulation 3 as continued in force under Schedule 3 clause 4(3)(b) of the Act is, for the purposes of its application under that paragraph, deleted.</w:t>
      </w:r>
    </w:p>
    <w:p>
      <w:pPr>
        <w:pStyle w:val="Footnotesection"/>
      </w:pPr>
      <w:r>
        <w:tab/>
        <w:t>[Regulation 12 inserted: Gazette 30 Jun 2015 p. 2345.]</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3" w:name="_Toc132708767"/>
      <w:bookmarkStart w:id="14" w:name="_Toc132713541"/>
      <w:bookmarkStart w:id="15" w:name="_Toc132718819"/>
      <w:bookmarkStart w:id="16" w:name="_Toc133920224"/>
      <w:bookmarkStart w:id="17" w:name="_Toc138680249"/>
      <w:bookmarkStart w:id="18" w:name="_Toc138680306"/>
      <w:bookmarkStart w:id="19" w:name="_Toc138860125"/>
      <w:bookmarkStart w:id="20" w:name="_Toc138680085"/>
      <w:r>
        <w:rPr>
          <w:rStyle w:val="CharSchNo"/>
        </w:rPr>
        <w:lastRenderedPageBreak/>
        <w:t>Schedule 1</w:t>
      </w:r>
      <w:r>
        <w:t> — </w:t>
      </w:r>
      <w:r>
        <w:rPr>
          <w:rStyle w:val="CharSchText"/>
        </w:rPr>
        <w:t>Prescribed fees</w:t>
      </w:r>
      <w:bookmarkEnd w:id="13"/>
      <w:bookmarkEnd w:id="14"/>
      <w:bookmarkEnd w:id="15"/>
      <w:bookmarkEnd w:id="16"/>
      <w:bookmarkEnd w:id="17"/>
      <w:bookmarkEnd w:id="18"/>
      <w:bookmarkEnd w:id="19"/>
    </w:p>
    <w:p>
      <w:pPr>
        <w:pStyle w:val="yShoulderClause"/>
      </w:pPr>
      <w:r>
        <w:t>[r. 3(1)]</w:t>
      </w:r>
    </w:p>
    <w:p>
      <w:pPr>
        <w:pStyle w:val="yFootnoteheading"/>
      </w:pPr>
      <w:r>
        <w:tab/>
        <w:t>[Heading inserted: SL 2023/36 r. 32.]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cantSplit/>
          <w:tblHeader/>
          <w:jc w:val="center"/>
        </w:trPr>
        <w:tc>
          <w:tcPr>
            <w:tcW w:w="1276" w:type="dxa"/>
            <w:noWrap/>
          </w:tcPr>
          <w:p>
            <w:pPr>
              <w:pStyle w:val="yTableNAm"/>
              <w:jc w:val="center"/>
              <w:rPr>
                <w:b/>
                <w:szCs w:val="22"/>
              </w:rPr>
            </w:pPr>
            <w:r>
              <w:rPr>
                <w:b/>
                <w:szCs w:val="22"/>
              </w:rPr>
              <w:t>Column 1</w:t>
            </w:r>
            <w:r>
              <w:rPr>
                <w:b/>
                <w:szCs w:val="22"/>
              </w:rPr>
              <w:br/>
              <w:t>Item</w:t>
            </w:r>
          </w:p>
        </w:tc>
        <w:tc>
          <w:tcPr>
            <w:tcW w:w="2126" w:type="dxa"/>
            <w:noWrap/>
          </w:tcPr>
          <w:p>
            <w:pPr>
              <w:pStyle w:val="yTableNAm"/>
              <w:jc w:val="center"/>
              <w:rPr>
                <w:b/>
                <w:szCs w:val="22"/>
              </w:rPr>
            </w:pPr>
            <w:r>
              <w:rPr>
                <w:b/>
                <w:szCs w:val="22"/>
              </w:rPr>
              <w:t>Column 2</w:t>
            </w:r>
            <w:r>
              <w:rPr>
                <w:b/>
                <w:szCs w:val="22"/>
              </w:rPr>
              <w:br/>
              <w:t>Provision of Act</w:t>
            </w:r>
          </w:p>
        </w:tc>
        <w:tc>
          <w:tcPr>
            <w:tcW w:w="2835" w:type="dxa"/>
            <w:noWrap/>
          </w:tcPr>
          <w:p>
            <w:pPr>
              <w:pStyle w:val="yTableNAm"/>
              <w:jc w:val="center"/>
              <w:rPr>
                <w:b/>
                <w:szCs w:val="22"/>
              </w:rPr>
            </w:pPr>
            <w:r>
              <w:rPr>
                <w:b/>
                <w:szCs w:val="22"/>
              </w:rPr>
              <w:t>Column 3</w:t>
            </w:r>
            <w:r>
              <w:rPr>
                <w:b/>
                <w:szCs w:val="22"/>
              </w:rPr>
              <w:br/>
              <w:t>Amount of prescribed fee</w:t>
            </w:r>
            <w:r>
              <w:rPr>
                <w:b/>
                <w:szCs w:val="22"/>
              </w:rPr>
              <w:br/>
              <w:t>($)</w:t>
            </w:r>
          </w:p>
        </w:tc>
      </w:tr>
      <w:tr>
        <w:trPr>
          <w:cantSplit/>
          <w:jc w:val="center"/>
        </w:trPr>
        <w:tc>
          <w:tcPr>
            <w:tcW w:w="1276" w:type="dxa"/>
            <w:noWrap/>
          </w:tcPr>
          <w:p>
            <w:pPr>
              <w:pStyle w:val="yTableNAm"/>
              <w:rPr>
                <w:szCs w:val="22"/>
              </w:rPr>
            </w:pPr>
            <w:r>
              <w:rPr>
                <w:szCs w:val="22"/>
              </w:rPr>
              <w:t>1.</w:t>
            </w:r>
          </w:p>
        </w:tc>
        <w:tc>
          <w:tcPr>
            <w:tcW w:w="2126" w:type="dxa"/>
            <w:noWrap/>
          </w:tcPr>
          <w:p>
            <w:pPr>
              <w:pStyle w:val="yTableNAm"/>
              <w:rPr>
                <w:szCs w:val="22"/>
              </w:rPr>
            </w:pPr>
            <w:r>
              <w:rPr>
                <w:szCs w:val="22"/>
              </w:rPr>
              <w:t>s. 21(1)(f)</w:t>
            </w:r>
          </w:p>
        </w:tc>
        <w:tc>
          <w:tcPr>
            <w:tcW w:w="2835" w:type="dxa"/>
            <w:noWrap/>
          </w:tcPr>
          <w:p>
            <w:pPr>
              <w:pStyle w:val="yTableNAm"/>
              <w:ind w:right="1033"/>
              <w:jc w:val="right"/>
              <w:rPr>
                <w:szCs w:val="22"/>
                <w:highlight w:val="yellow"/>
              </w:rPr>
            </w:pPr>
            <w:r>
              <w:t>8 324.00</w:t>
            </w:r>
          </w:p>
        </w:tc>
      </w:tr>
      <w:tr>
        <w:trPr>
          <w:cantSplit/>
          <w:jc w:val="center"/>
        </w:trPr>
        <w:tc>
          <w:tcPr>
            <w:tcW w:w="1276" w:type="dxa"/>
            <w:noWrap/>
          </w:tcPr>
          <w:p>
            <w:pPr>
              <w:pStyle w:val="yTableNAm"/>
              <w:rPr>
                <w:szCs w:val="22"/>
              </w:rPr>
            </w:pPr>
            <w:r>
              <w:rPr>
                <w:szCs w:val="22"/>
              </w:rPr>
              <w:t>2.</w:t>
            </w:r>
          </w:p>
        </w:tc>
        <w:tc>
          <w:tcPr>
            <w:tcW w:w="2126" w:type="dxa"/>
            <w:noWrap/>
          </w:tcPr>
          <w:p>
            <w:pPr>
              <w:pStyle w:val="yTableNAm"/>
              <w:rPr>
                <w:szCs w:val="22"/>
              </w:rPr>
            </w:pPr>
            <w:r>
              <w:rPr>
                <w:szCs w:val="22"/>
              </w:rPr>
              <w:t>s. 24(1)(a)</w:t>
            </w:r>
          </w:p>
        </w:tc>
        <w:tc>
          <w:tcPr>
            <w:tcW w:w="2835" w:type="dxa"/>
            <w:noWrap/>
          </w:tcPr>
          <w:p>
            <w:pPr>
              <w:pStyle w:val="yTableNAm"/>
              <w:ind w:right="1033"/>
              <w:jc w:val="right"/>
              <w:rPr>
                <w:highlight w:val="yellow"/>
              </w:rPr>
            </w:pPr>
            <w:r>
              <w:t>7 928.00</w:t>
            </w:r>
          </w:p>
        </w:tc>
      </w:tr>
      <w:tr>
        <w:trPr>
          <w:cantSplit/>
          <w:jc w:val="center"/>
        </w:trPr>
        <w:tc>
          <w:tcPr>
            <w:tcW w:w="1276" w:type="dxa"/>
            <w:noWrap/>
          </w:tcPr>
          <w:p>
            <w:pPr>
              <w:pStyle w:val="yTableNAm"/>
              <w:rPr>
                <w:szCs w:val="22"/>
              </w:rPr>
            </w:pPr>
            <w:r>
              <w:rPr>
                <w:szCs w:val="22"/>
              </w:rPr>
              <w:t>3.</w:t>
            </w:r>
          </w:p>
        </w:tc>
        <w:tc>
          <w:tcPr>
            <w:tcW w:w="2126" w:type="dxa"/>
            <w:noWrap/>
          </w:tcPr>
          <w:p>
            <w:pPr>
              <w:pStyle w:val="yTableNAm"/>
              <w:rPr>
                <w:szCs w:val="22"/>
              </w:rPr>
            </w:pPr>
            <w:r>
              <w:rPr>
                <w:szCs w:val="22"/>
              </w:rPr>
              <w:t>s. 30(2)(c)</w:t>
            </w:r>
          </w:p>
        </w:tc>
        <w:tc>
          <w:tcPr>
            <w:tcW w:w="2835" w:type="dxa"/>
            <w:noWrap/>
          </w:tcPr>
          <w:p>
            <w:pPr>
              <w:pStyle w:val="yTableNAm"/>
              <w:ind w:right="1033"/>
              <w:jc w:val="right"/>
              <w:rPr>
                <w:highlight w:val="yellow"/>
              </w:rPr>
            </w:pPr>
            <w:r>
              <w:t>8 324.00</w:t>
            </w:r>
          </w:p>
        </w:tc>
      </w:tr>
      <w:tr>
        <w:trPr>
          <w:cantSplit/>
          <w:jc w:val="center"/>
        </w:trPr>
        <w:tc>
          <w:tcPr>
            <w:tcW w:w="1276" w:type="dxa"/>
            <w:noWrap/>
          </w:tcPr>
          <w:p>
            <w:pPr>
              <w:pStyle w:val="yTableNAm"/>
              <w:rPr>
                <w:szCs w:val="22"/>
              </w:rPr>
            </w:pPr>
            <w:r>
              <w:rPr>
                <w:szCs w:val="22"/>
              </w:rPr>
              <w:t>4.</w:t>
            </w:r>
          </w:p>
        </w:tc>
        <w:tc>
          <w:tcPr>
            <w:tcW w:w="2126" w:type="dxa"/>
            <w:noWrap/>
          </w:tcPr>
          <w:p>
            <w:pPr>
              <w:pStyle w:val="yTableNAm"/>
              <w:rPr>
                <w:szCs w:val="22"/>
              </w:rPr>
            </w:pPr>
            <w:r>
              <w:rPr>
                <w:szCs w:val="22"/>
              </w:rPr>
              <w:t>s. 38A(2)(e)</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5.</w:t>
            </w:r>
          </w:p>
        </w:tc>
        <w:tc>
          <w:tcPr>
            <w:tcW w:w="2126" w:type="dxa"/>
            <w:noWrap/>
          </w:tcPr>
          <w:p>
            <w:pPr>
              <w:pStyle w:val="yTableNAm"/>
              <w:rPr>
                <w:szCs w:val="22"/>
              </w:rPr>
            </w:pPr>
            <w:r>
              <w:rPr>
                <w:szCs w:val="22"/>
              </w:rPr>
              <w:t>s. 38CA(2)(d)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6.</w:t>
            </w:r>
          </w:p>
        </w:tc>
        <w:tc>
          <w:tcPr>
            <w:tcW w:w="2126" w:type="dxa"/>
            <w:noWrap/>
          </w:tcPr>
          <w:p>
            <w:pPr>
              <w:pStyle w:val="yTableNAm"/>
              <w:rPr>
                <w:szCs w:val="22"/>
              </w:rPr>
            </w:pPr>
            <w:r>
              <w:rPr>
                <w:szCs w:val="22"/>
              </w:rPr>
              <w:t>s. 38F(2)(d)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7.</w:t>
            </w:r>
          </w:p>
        </w:tc>
        <w:tc>
          <w:tcPr>
            <w:tcW w:w="2126" w:type="dxa"/>
            <w:noWrap/>
          </w:tcPr>
          <w:p>
            <w:pPr>
              <w:pStyle w:val="yTableNAm"/>
              <w:rPr>
                <w:szCs w:val="22"/>
              </w:rPr>
            </w:pPr>
            <w:r>
              <w:rPr>
                <w:szCs w:val="22"/>
              </w:rPr>
              <w:t>s. 41(1)(e)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8.</w:t>
            </w:r>
          </w:p>
        </w:tc>
        <w:tc>
          <w:tcPr>
            <w:tcW w:w="2126" w:type="dxa"/>
            <w:noWrap/>
          </w:tcPr>
          <w:p>
            <w:pPr>
              <w:pStyle w:val="yTableNAm"/>
              <w:rPr>
                <w:szCs w:val="22"/>
              </w:rPr>
            </w:pPr>
            <w:r>
              <w:rPr>
                <w:szCs w:val="22"/>
              </w:rPr>
              <w:t>s. 48(1)(a)</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9.</w:t>
            </w:r>
          </w:p>
        </w:tc>
        <w:tc>
          <w:tcPr>
            <w:tcW w:w="2126" w:type="dxa"/>
            <w:noWrap/>
          </w:tcPr>
          <w:p>
            <w:pPr>
              <w:pStyle w:val="yTableNAm"/>
              <w:rPr>
                <w:szCs w:val="22"/>
              </w:rPr>
            </w:pPr>
            <w:r>
              <w:rPr>
                <w:szCs w:val="22"/>
              </w:rPr>
              <w:t>s. 51(2)(e)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10.</w:t>
            </w:r>
          </w:p>
        </w:tc>
        <w:tc>
          <w:tcPr>
            <w:tcW w:w="2126" w:type="dxa"/>
            <w:noWrap/>
          </w:tcPr>
          <w:p>
            <w:pPr>
              <w:pStyle w:val="yTableNAm"/>
              <w:rPr>
                <w:szCs w:val="22"/>
              </w:rPr>
            </w:pPr>
            <w:r>
              <w:rPr>
                <w:szCs w:val="22"/>
              </w:rPr>
              <w:t>s. 54(2)(d)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11.</w:t>
            </w:r>
          </w:p>
        </w:tc>
        <w:tc>
          <w:tcPr>
            <w:tcW w:w="2126" w:type="dxa"/>
            <w:noWrap/>
          </w:tcPr>
          <w:p>
            <w:pPr>
              <w:pStyle w:val="yTableNAm"/>
              <w:rPr>
                <w:szCs w:val="22"/>
              </w:rPr>
            </w:pPr>
            <w:r>
              <w:rPr>
                <w:szCs w:val="22"/>
              </w:rPr>
              <w:t>s. 60B(2)(d)</w:t>
            </w:r>
          </w:p>
        </w:tc>
        <w:tc>
          <w:tcPr>
            <w:tcW w:w="2835" w:type="dxa"/>
            <w:noWrap/>
          </w:tcPr>
          <w:p>
            <w:pPr>
              <w:pStyle w:val="yTableNAm"/>
              <w:ind w:right="1033"/>
              <w:jc w:val="right"/>
            </w:pPr>
            <w:r>
              <w:t>7 928.00</w:t>
            </w:r>
          </w:p>
        </w:tc>
      </w:tr>
      <w:tr>
        <w:trPr>
          <w:cantSplit/>
          <w:jc w:val="center"/>
        </w:trPr>
        <w:tc>
          <w:tcPr>
            <w:tcW w:w="1276" w:type="dxa"/>
            <w:noWrap/>
          </w:tcPr>
          <w:p>
            <w:pPr>
              <w:pStyle w:val="yTableNAm"/>
              <w:rPr>
                <w:szCs w:val="22"/>
              </w:rPr>
            </w:pPr>
            <w:r>
              <w:rPr>
                <w:szCs w:val="22"/>
              </w:rPr>
              <w:t>12.</w:t>
            </w:r>
          </w:p>
        </w:tc>
        <w:tc>
          <w:tcPr>
            <w:tcW w:w="2126" w:type="dxa"/>
            <w:noWrap/>
          </w:tcPr>
          <w:p>
            <w:pPr>
              <w:pStyle w:val="yTableNAm"/>
              <w:rPr>
                <w:szCs w:val="22"/>
              </w:rPr>
            </w:pPr>
            <w:r>
              <w:rPr>
                <w:szCs w:val="22"/>
              </w:rPr>
              <w:t>s. 60J(2)(d)</w:t>
            </w:r>
          </w:p>
        </w:tc>
        <w:tc>
          <w:tcPr>
            <w:tcW w:w="2835" w:type="dxa"/>
            <w:noWrap/>
          </w:tcPr>
          <w:p>
            <w:pPr>
              <w:pStyle w:val="yTableNAm"/>
              <w:ind w:right="1033"/>
              <w:jc w:val="right"/>
            </w:pPr>
            <w:r>
              <w:t>7 550.00</w:t>
            </w:r>
          </w:p>
        </w:tc>
      </w:tr>
      <w:tr>
        <w:trPr>
          <w:cantSplit/>
          <w:jc w:val="center"/>
        </w:trPr>
        <w:tc>
          <w:tcPr>
            <w:tcW w:w="1276" w:type="dxa"/>
            <w:noWrap/>
          </w:tcPr>
          <w:p>
            <w:pPr>
              <w:pStyle w:val="yTableNAm"/>
              <w:rPr>
                <w:szCs w:val="22"/>
              </w:rPr>
            </w:pPr>
            <w:r>
              <w:rPr>
                <w:szCs w:val="22"/>
              </w:rPr>
              <w:t>13.</w:t>
            </w:r>
          </w:p>
        </w:tc>
        <w:tc>
          <w:tcPr>
            <w:tcW w:w="2126" w:type="dxa"/>
            <w:noWrap/>
          </w:tcPr>
          <w:p>
            <w:pPr>
              <w:pStyle w:val="yTableNAm"/>
              <w:rPr>
                <w:szCs w:val="22"/>
              </w:rPr>
            </w:pPr>
            <w:r>
              <w:rPr>
                <w:szCs w:val="22"/>
              </w:rPr>
              <w:t>s. 64(1)(f)</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14.</w:t>
            </w:r>
          </w:p>
        </w:tc>
        <w:tc>
          <w:tcPr>
            <w:tcW w:w="2126" w:type="dxa"/>
            <w:noWrap/>
          </w:tcPr>
          <w:p>
            <w:pPr>
              <w:pStyle w:val="yTableNAm"/>
              <w:rPr>
                <w:szCs w:val="22"/>
              </w:rPr>
            </w:pPr>
            <w:r>
              <w:rPr>
                <w:szCs w:val="22"/>
              </w:rPr>
              <w:t>s. 71(2)(e)</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15.</w:t>
            </w:r>
          </w:p>
        </w:tc>
        <w:tc>
          <w:tcPr>
            <w:tcW w:w="2126" w:type="dxa"/>
            <w:noWrap/>
          </w:tcPr>
          <w:p>
            <w:pPr>
              <w:pStyle w:val="yTableNAm"/>
              <w:rPr>
                <w:szCs w:val="22"/>
              </w:rPr>
            </w:pPr>
            <w:r>
              <w:rPr>
                <w:szCs w:val="22"/>
              </w:rPr>
              <w:t>s. 79(2)</w:t>
            </w:r>
          </w:p>
        </w:tc>
        <w:tc>
          <w:tcPr>
            <w:tcW w:w="2835" w:type="dxa"/>
            <w:noWrap/>
          </w:tcPr>
          <w:p>
            <w:pPr>
              <w:pStyle w:val="yTableNAm"/>
              <w:ind w:right="1033"/>
              <w:jc w:val="right"/>
            </w:pPr>
            <w:r>
              <w:t>156.00</w:t>
            </w:r>
          </w:p>
        </w:tc>
      </w:tr>
      <w:tr>
        <w:trPr>
          <w:cantSplit/>
          <w:jc w:val="center"/>
        </w:trPr>
        <w:tc>
          <w:tcPr>
            <w:tcW w:w="1276" w:type="dxa"/>
            <w:noWrap/>
          </w:tcPr>
          <w:p>
            <w:pPr>
              <w:pStyle w:val="yTableNAm"/>
              <w:rPr>
                <w:szCs w:val="22"/>
              </w:rPr>
            </w:pPr>
            <w:r>
              <w:rPr>
                <w:szCs w:val="22"/>
              </w:rPr>
              <w:t>16.</w:t>
            </w:r>
          </w:p>
        </w:tc>
        <w:tc>
          <w:tcPr>
            <w:tcW w:w="2126" w:type="dxa"/>
            <w:noWrap/>
          </w:tcPr>
          <w:p>
            <w:pPr>
              <w:pStyle w:val="yTableNAm"/>
              <w:rPr>
                <w:szCs w:val="22"/>
              </w:rPr>
            </w:pPr>
            <w:r>
              <w:rPr>
                <w:szCs w:val="22"/>
              </w:rPr>
              <w:t>s. 79(3)(b)</w:t>
            </w:r>
          </w:p>
        </w:tc>
        <w:tc>
          <w:tcPr>
            <w:tcW w:w="2835" w:type="dxa"/>
            <w:noWrap/>
          </w:tcPr>
          <w:p>
            <w:pPr>
              <w:pStyle w:val="yTableNAm"/>
              <w:ind w:right="1033"/>
              <w:jc w:val="right"/>
            </w:pPr>
            <w:r>
              <w:t>149.00</w:t>
            </w:r>
          </w:p>
        </w:tc>
      </w:tr>
      <w:tr>
        <w:trPr>
          <w:cantSplit/>
          <w:jc w:val="center"/>
        </w:trPr>
        <w:tc>
          <w:tcPr>
            <w:tcW w:w="1276" w:type="dxa"/>
            <w:noWrap/>
          </w:tcPr>
          <w:p>
            <w:pPr>
              <w:pStyle w:val="yTableNAm"/>
              <w:rPr>
                <w:szCs w:val="22"/>
              </w:rPr>
            </w:pPr>
            <w:r>
              <w:rPr>
                <w:szCs w:val="22"/>
              </w:rPr>
              <w:lastRenderedPageBreak/>
              <w:t>17.</w:t>
            </w:r>
          </w:p>
        </w:tc>
        <w:tc>
          <w:tcPr>
            <w:tcW w:w="2126" w:type="dxa"/>
            <w:noWrap/>
          </w:tcPr>
          <w:p>
            <w:pPr>
              <w:pStyle w:val="yTableNAm"/>
              <w:rPr>
                <w:szCs w:val="22"/>
              </w:rPr>
            </w:pPr>
            <w:r>
              <w:rPr>
                <w:szCs w:val="22"/>
              </w:rPr>
              <w:t>s. 86(1)</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18.</w:t>
            </w:r>
          </w:p>
        </w:tc>
        <w:tc>
          <w:tcPr>
            <w:tcW w:w="2126" w:type="dxa"/>
            <w:noWrap/>
          </w:tcPr>
          <w:p>
            <w:pPr>
              <w:pStyle w:val="yTableNAm"/>
              <w:rPr>
                <w:szCs w:val="22"/>
              </w:rPr>
            </w:pPr>
            <w:r>
              <w:rPr>
                <w:szCs w:val="22"/>
              </w:rPr>
              <w:t>s. 87(3)</w:t>
            </w:r>
          </w:p>
        </w:tc>
        <w:tc>
          <w:tcPr>
            <w:tcW w:w="2835" w:type="dxa"/>
            <w:noWrap/>
          </w:tcPr>
          <w:p>
            <w:pPr>
              <w:pStyle w:val="yTableNAm"/>
              <w:ind w:right="1033"/>
              <w:jc w:val="right"/>
            </w:pPr>
            <w:r>
              <w:t>142.00</w:t>
            </w:r>
          </w:p>
        </w:tc>
      </w:tr>
      <w:tr>
        <w:trPr>
          <w:cantSplit/>
          <w:jc w:val="center"/>
        </w:trPr>
        <w:tc>
          <w:tcPr>
            <w:tcW w:w="1276" w:type="dxa"/>
            <w:noWrap/>
          </w:tcPr>
          <w:p>
            <w:pPr>
              <w:pStyle w:val="yTableNAm"/>
              <w:rPr>
                <w:szCs w:val="22"/>
              </w:rPr>
            </w:pPr>
            <w:r>
              <w:rPr>
                <w:szCs w:val="22"/>
              </w:rPr>
              <w:t>19.</w:t>
            </w:r>
          </w:p>
        </w:tc>
        <w:tc>
          <w:tcPr>
            <w:tcW w:w="2126" w:type="dxa"/>
            <w:noWrap/>
          </w:tcPr>
          <w:p>
            <w:pPr>
              <w:pStyle w:val="yTableNAm"/>
              <w:rPr>
                <w:szCs w:val="22"/>
              </w:rPr>
            </w:pPr>
            <w:r>
              <w:rPr>
                <w:szCs w:val="22"/>
              </w:rPr>
              <w:t>s. 111(2)(d)</w:t>
            </w:r>
          </w:p>
        </w:tc>
        <w:tc>
          <w:tcPr>
            <w:tcW w:w="2835" w:type="dxa"/>
            <w:noWrap/>
          </w:tcPr>
          <w:p>
            <w:pPr>
              <w:pStyle w:val="yTableNAm"/>
              <w:ind w:right="1033"/>
              <w:jc w:val="right"/>
            </w:pPr>
            <w:r>
              <w:t>8 324.00</w:t>
            </w:r>
          </w:p>
        </w:tc>
      </w:tr>
      <w:tr>
        <w:trPr>
          <w:cantSplit/>
          <w:jc w:val="center"/>
        </w:trPr>
        <w:tc>
          <w:tcPr>
            <w:tcW w:w="1276" w:type="dxa"/>
            <w:noWrap/>
          </w:tcPr>
          <w:p>
            <w:pPr>
              <w:pStyle w:val="yTableNAm"/>
              <w:rPr>
                <w:szCs w:val="22"/>
              </w:rPr>
            </w:pPr>
            <w:r>
              <w:rPr>
                <w:szCs w:val="22"/>
              </w:rPr>
              <w:t>20.</w:t>
            </w:r>
          </w:p>
        </w:tc>
        <w:tc>
          <w:tcPr>
            <w:tcW w:w="2126" w:type="dxa"/>
            <w:noWrap/>
          </w:tcPr>
          <w:p>
            <w:pPr>
              <w:pStyle w:val="yTableNAm"/>
              <w:rPr>
                <w:szCs w:val="22"/>
              </w:rPr>
            </w:pPr>
            <w:r>
              <w:rPr>
                <w:szCs w:val="22"/>
              </w:rPr>
              <w:t>s. 141</w:t>
            </w:r>
          </w:p>
        </w:tc>
        <w:tc>
          <w:tcPr>
            <w:tcW w:w="2835" w:type="dxa"/>
            <w:noWrap/>
          </w:tcPr>
          <w:p>
            <w:pPr>
              <w:pStyle w:val="yTableNAm"/>
              <w:ind w:right="1033"/>
              <w:jc w:val="right"/>
            </w:pPr>
            <w:r>
              <w:t>228.00</w:t>
            </w:r>
          </w:p>
        </w:tc>
      </w:tr>
    </w:tbl>
    <w:p>
      <w:pPr>
        <w:pStyle w:val="yFootnotesection"/>
      </w:pPr>
      <w:r>
        <w:tab/>
        <w:t>[Schedule 1 inserted: SL 2023/36 r. 32.]</w:t>
      </w:r>
    </w:p>
    <w:bookmarkEnd w:id="20"/>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22" w:name="_Toc138680086"/>
      <w:bookmarkStart w:id="23" w:name="_Toc138680250"/>
      <w:bookmarkStart w:id="24" w:name="_Toc138680307"/>
      <w:bookmarkStart w:id="25" w:name="_Toc138860126"/>
      <w:r>
        <w:rPr>
          <w:rStyle w:val="CharSchNo"/>
        </w:rPr>
        <w:lastRenderedPageBreak/>
        <w:t>Schedule 2</w:t>
      </w:r>
      <w:bookmarkEnd w:id="22"/>
      <w:bookmarkEnd w:id="23"/>
      <w:bookmarkEnd w:id="24"/>
      <w:bookmarkEnd w:id="25"/>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rPr>
      </w:pPr>
      <w:r>
        <w:rPr>
          <w:rStyle w:val="CharSDivText"/>
          <w:b/>
        </w:rPr>
        <w:t xml:space="preserve">Form of Instrument of Transfer of Title under section 78 of </w:t>
      </w:r>
      <w:r>
        <w:rPr>
          <w:rStyle w:val="CharSDivText"/>
          <w:b/>
          <w:i/>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Gazette 23 Jun 2009 p. 2477.]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1590"/>
        </w:tabs>
        <w:sectPr>
          <w:headerReference w:type="even" r:id="rId28"/>
          <w:pgSz w:w="11907" w:h="16840" w:code="9"/>
          <w:pgMar w:top="2381" w:right="2409" w:bottom="3543" w:left="2409" w:header="720" w:footer="3544" w:gutter="0"/>
          <w:cols w:space="720"/>
          <w:noEndnote/>
          <w:docGrid w:linePitch="326"/>
        </w:sectPr>
      </w:pPr>
    </w:p>
    <w:p>
      <w:pPr>
        <w:pStyle w:val="nHeading2"/>
      </w:pPr>
      <w:bookmarkStart w:id="26" w:name="_Toc138680087"/>
      <w:bookmarkStart w:id="27" w:name="_Toc138680251"/>
      <w:bookmarkStart w:id="28" w:name="_Toc138680308"/>
      <w:bookmarkStart w:id="29" w:name="_Toc138860127"/>
      <w:r>
        <w:lastRenderedPageBreak/>
        <w:t>Notes</w:t>
      </w:r>
      <w:bookmarkEnd w:id="26"/>
      <w:bookmarkEnd w:id="27"/>
      <w:bookmarkEnd w:id="28"/>
      <w:bookmarkEnd w:id="29"/>
    </w:p>
    <w:p>
      <w:pPr>
        <w:pStyle w:val="nStatement"/>
      </w:pPr>
      <w:r>
        <w:t xml:space="preserve">This is a compilation of the </w:t>
      </w:r>
      <w:r>
        <w:rPr>
          <w:i/>
          <w:noProof/>
        </w:rPr>
        <w:t>Petroleum (Submerged Lands) Regulations 1990</w:t>
      </w:r>
      <w:r>
        <w:t xml:space="preserve"> and includes amendments made by other written laws. For provisions that have come into operation, and for information about any reprints, see the compilation table. </w:t>
      </w:r>
    </w:p>
    <w:p>
      <w:pPr>
        <w:pStyle w:val="nHeading3"/>
      </w:pPr>
      <w:bookmarkStart w:id="30" w:name="_Toc138860128"/>
      <w:r>
        <w:t>Compilation table</w:t>
      </w:r>
      <w:bookmarkEnd w:id="30"/>
    </w:p>
    <w:tbl>
      <w:tblPr>
        <w:tblW w:w="7125"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gridCol w:w="37"/>
      </w:tblGrid>
      <w:tr>
        <w:trPr>
          <w:gridAfter w:val="1"/>
          <w:wAfter w:w="37" w:type="dxa"/>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3" w:type="dxa"/>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1993</w:t>
            </w:r>
          </w:p>
        </w:tc>
        <w:tc>
          <w:tcPr>
            <w:tcW w:w="1276" w:type="dxa"/>
          </w:tcPr>
          <w:p>
            <w:pPr>
              <w:pStyle w:val="nTable"/>
              <w:spacing w:after="40"/>
            </w:pPr>
            <w:r>
              <w:t>24 Dec 1993 p. 6832</w:t>
            </w:r>
            <w:r>
              <w:br/>
              <w:t>(correction 31 Dec 1993 p. 6876)</w:t>
            </w:r>
          </w:p>
        </w:tc>
        <w:tc>
          <w:tcPr>
            <w:tcW w:w="2693" w:type="dxa"/>
          </w:tcPr>
          <w:p>
            <w:pPr>
              <w:pStyle w:val="nTable"/>
              <w:spacing w:after="40"/>
            </w:pPr>
            <w:r>
              <w:t>24 Dec 1993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3" w:type="dxa"/>
          </w:tcPr>
          <w:p>
            <w:pPr>
              <w:pStyle w:val="nTable"/>
              <w:spacing w:after="40"/>
            </w:pPr>
            <w:r>
              <w:t>20 May 1994</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3" w:type="dxa"/>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3" w:type="dxa"/>
          </w:tcPr>
          <w:p>
            <w:pPr>
              <w:pStyle w:val="nTable"/>
              <w:spacing w:after="40"/>
            </w:pPr>
            <w:r>
              <w:t>8 Feb 2000</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3" w:type="dxa"/>
          </w:tcPr>
          <w:p>
            <w:pPr>
              <w:pStyle w:val="nTable"/>
              <w:spacing w:after="40"/>
            </w:pPr>
            <w:r>
              <w:t xml:space="preserve">16 Dec 2000 (see r. 2 and </w:t>
            </w:r>
            <w:r>
              <w:rPr>
                <w:i/>
              </w:rPr>
              <w:t xml:space="preserve">Gazette </w:t>
            </w:r>
            <w:r>
              <w:t>15 Dec 2000 p. 7201)</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3" w:type="dxa"/>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lastRenderedPageBreak/>
              <w:t>Petroleum (Submerged Lands) Amendment Regulations (No. 2) 2010</w:t>
            </w:r>
          </w:p>
        </w:tc>
        <w:tc>
          <w:tcPr>
            <w:tcW w:w="1276" w:type="dxa"/>
          </w:tcPr>
          <w:p>
            <w:pPr>
              <w:pStyle w:val="nTable"/>
              <w:spacing w:after="40"/>
            </w:pPr>
            <w:r>
              <w:t>11 May 2010 p. 1819</w:t>
            </w:r>
            <w:r>
              <w:noBreakHyphen/>
              <w:t>21</w:t>
            </w:r>
          </w:p>
        </w:tc>
        <w:tc>
          <w:tcPr>
            <w:tcW w:w="2693" w:type="dxa"/>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3" w:type="dxa"/>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3"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3" w:type="dxa"/>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3"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gridAfter w:val="1"/>
          <w:wAfter w:w="37" w:type="dxa"/>
          <w:cantSplit/>
        </w:trPr>
        <w:tc>
          <w:tcPr>
            <w:tcW w:w="7088" w:type="dxa"/>
            <w:gridSpan w:val="3"/>
            <w:shd w:val="clear" w:color="auto" w:fill="auto"/>
          </w:tcPr>
          <w:p>
            <w:pPr>
              <w:pStyle w:val="nTable"/>
              <w:spacing w:after="40"/>
              <w:rPr>
                <w:bCs/>
                <w:snapToGrid w:val="0"/>
              </w:rPr>
            </w:pPr>
            <w:r>
              <w:rPr>
                <w:b/>
                <w:bCs/>
              </w:rPr>
              <w:t xml:space="preserve">Reprint 3: The </w:t>
            </w:r>
            <w:r>
              <w:rPr>
                <w:b/>
                <w:bCs/>
                <w:i/>
              </w:rPr>
              <w:t xml:space="preserve">Petroleum (Submerged Lands) Regulations 1990 </w:t>
            </w:r>
            <w:r>
              <w:rPr>
                <w:b/>
                <w:bCs/>
              </w:rPr>
              <w:t>as at 14 Nov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t>Petroleum (Submerged Lands) Amendment Regulations 2015</w:t>
            </w:r>
          </w:p>
        </w:tc>
        <w:tc>
          <w:tcPr>
            <w:tcW w:w="1276" w:type="dxa"/>
            <w:shd w:val="clear" w:color="auto" w:fill="auto"/>
          </w:tcPr>
          <w:p>
            <w:pPr>
              <w:pStyle w:val="nTable"/>
              <w:spacing w:after="40"/>
            </w:pPr>
            <w:r>
              <w:t>30 Jun 2015 p. 2345</w:t>
            </w:r>
          </w:p>
        </w:tc>
        <w:tc>
          <w:tcPr>
            <w:tcW w:w="2693" w:type="dxa"/>
            <w:shd w:val="clear" w:color="auto" w:fill="auto"/>
          </w:tcPr>
          <w:p>
            <w:pPr>
              <w:pStyle w:val="nTable"/>
              <w:spacing w:after="40"/>
              <w:rPr>
                <w:snapToGrid w:val="0"/>
              </w:rPr>
            </w:pPr>
            <w:r>
              <w:rPr>
                <w:bCs/>
                <w:snapToGrid w:val="0"/>
              </w:rPr>
              <w:t>r. 1 and 2: 30 Jun 2015 (see r. 2(a));</w:t>
            </w:r>
            <w:r>
              <w:rPr>
                <w:bCs/>
                <w:snapToGrid w:val="0"/>
              </w:rPr>
              <w:br/>
              <w:t xml:space="preserve">Regulations other than r. 1 and 2: 1 Jul 2015 </w:t>
            </w:r>
            <w:r>
              <w:t xml:space="preserve">(see r. 2 and </w:t>
            </w:r>
            <w:r>
              <w:rPr>
                <w:i/>
              </w:rPr>
              <w:t xml:space="preserve">Gazette </w:t>
            </w:r>
            <w:r>
              <w:t>30 Jun 2015 p. 2321)</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rPr>
                <w:i/>
              </w:rPr>
            </w:pPr>
            <w:r>
              <w:rPr>
                <w:i/>
              </w:rPr>
              <w:lastRenderedPageBreak/>
              <w:t>Petroleum (Submerged Lands) Amendment Regulations (No. 2) 2015</w:t>
            </w:r>
          </w:p>
        </w:tc>
        <w:tc>
          <w:tcPr>
            <w:tcW w:w="1276" w:type="dxa"/>
            <w:shd w:val="clear" w:color="auto" w:fill="auto"/>
          </w:tcPr>
          <w:p>
            <w:pPr>
              <w:pStyle w:val="nTable"/>
              <w:spacing w:after="40"/>
            </w:pPr>
            <w:r>
              <w:t>30 Jun 2015 p. 2348</w:t>
            </w:r>
            <w:r>
              <w:noBreakHyphen/>
              <w:t>9</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37" w:type="dxa"/>
          <w:cantSplit/>
        </w:trPr>
        <w:tc>
          <w:tcPr>
            <w:tcW w:w="3119" w:type="dxa"/>
            <w:shd w:val="clear" w:color="auto" w:fill="auto"/>
          </w:tcPr>
          <w:p>
            <w:pPr>
              <w:pStyle w:val="nTable"/>
              <w:spacing w:after="40"/>
              <w:ind w:right="113"/>
            </w:pPr>
            <w:r>
              <w:rPr>
                <w:i/>
              </w:rPr>
              <w:t>Mines and Petroleum Regulations Amendment (Fees and Levies) Regulations 2016</w:t>
            </w:r>
            <w:r>
              <w:t xml:space="preserve"> Pt. 8</w:t>
            </w:r>
          </w:p>
        </w:tc>
        <w:tc>
          <w:tcPr>
            <w:tcW w:w="1276" w:type="dxa"/>
            <w:shd w:val="clear" w:color="auto" w:fill="auto"/>
          </w:tcPr>
          <w:p>
            <w:pPr>
              <w:pStyle w:val="nTable"/>
              <w:spacing w:after="40"/>
            </w:pPr>
            <w:r>
              <w:t>24 Jun 2016 p. 2325</w:t>
            </w:r>
            <w:r>
              <w:noBreakHyphen/>
              <w:t>34</w:t>
            </w:r>
          </w:p>
        </w:tc>
        <w:tc>
          <w:tcPr>
            <w:tcW w:w="2693" w:type="dxa"/>
            <w:shd w:val="clear" w:color="auto" w:fill="auto"/>
          </w:tcPr>
          <w:p>
            <w:pPr>
              <w:pStyle w:val="nTable"/>
              <w:spacing w:after="40"/>
              <w:rPr>
                <w:bCs/>
                <w:snapToGrid w:val="0"/>
              </w:rPr>
            </w:pPr>
            <w:r>
              <w:rPr>
                <w:bCs/>
                <w:snapToGrid w:val="0"/>
              </w:rPr>
              <w:t>1 Jul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12</w:t>
            </w:r>
          </w:p>
        </w:tc>
        <w:tc>
          <w:tcPr>
            <w:tcW w:w="1276" w:type="dxa"/>
            <w:tcBorders>
              <w:top w:val="nil"/>
              <w:bottom w:val="nil"/>
            </w:tcBorders>
          </w:tcPr>
          <w:p>
            <w:pPr>
              <w:pStyle w:val="nTable"/>
              <w:spacing w:after="40"/>
            </w:pPr>
            <w:r>
              <w:t>23 Jun 2017 p. 3279</w:t>
            </w:r>
            <w:r>
              <w:noBreakHyphen/>
              <w:t>309</w:t>
            </w:r>
          </w:p>
        </w:tc>
        <w:tc>
          <w:tcPr>
            <w:tcW w:w="2730"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12</w:t>
            </w:r>
          </w:p>
        </w:tc>
        <w:tc>
          <w:tcPr>
            <w:tcW w:w="1276" w:type="dxa"/>
            <w:tcBorders>
              <w:top w:val="nil"/>
              <w:bottom w:val="nil"/>
            </w:tcBorders>
          </w:tcPr>
          <w:p>
            <w:pPr>
              <w:pStyle w:val="nTable"/>
              <w:spacing w:after="40"/>
            </w:pPr>
            <w:r>
              <w:t>25 Jun 2018 p. 2297</w:t>
            </w:r>
            <w:r>
              <w:noBreakHyphen/>
              <w:t>324</w:t>
            </w:r>
          </w:p>
        </w:tc>
        <w:tc>
          <w:tcPr>
            <w:tcW w:w="2730"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11</w:t>
            </w:r>
          </w:p>
        </w:tc>
        <w:tc>
          <w:tcPr>
            <w:tcW w:w="1276" w:type="dxa"/>
            <w:tcBorders>
              <w:top w:val="nil"/>
              <w:bottom w:val="nil"/>
            </w:tcBorders>
          </w:tcPr>
          <w:p>
            <w:pPr>
              <w:pStyle w:val="nTable"/>
              <w:spacing w:after="40"/>
            </w:pPr>
            <w:r>
              <w:t>18 Jun 2019 p. 2040</w:t>
            </w:r>
            <w:r>
              <w:noBreakHyphen/>
              <w:t>56</w:t>
            </w:r>
          </w:p>
        </w:tc>
        <w:tc>
          <w:tcPr>
            <w:tcW w:w="2730" w:type="dxa"/>
            <w:gridSpan w:val="2"/>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11</w:t>
            </w:r>
          </w:p>
        </w:tc>
        <w:tc>
          <w:tcPr>
            <w:tcW w:w="1276" w:type="dxa"/>
            <w:tcBorders>
              <w:top w:val="nil"/>
              <w:bottom w:val="nil"/>
            </w:tcBorders>
          </w:tcPr>
          <w:p>
            <w:pPr>
              <w:pStyle w:val="nTable"/>
              <w:spacing w:after="40"/>
            </w:pPr>
            <w:r>
              <w:t>SL 2020/93 26 Jun 2020</w:t>
            </w:r>
          </w:p>
        </w:tc>
        <w:tc>
          <w:tcPr>
            <w:tcW w:w="2730"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15</w:t>
            </w:r>
          </w:p>
        </w:tc>
        <w:tc>
          <w:tcPr>
            <w:tcW w:w="1276" w:type="dxa"/>
            <w:tcBorders>
              <w:top w:val="nil"/>
              <w:bottom w:val="nil"/>
            </w:tcBorders>
          </w:tcPr>
          <w:p>
            <w:pPr>
              <w:pStyle w:val="nTable"/>
              <w:spacing w:after="40"/>
            </w:pPr>
            <w:r>
              <w:t>SL 2021/85 21 Jun 2021</w:t>
            </w:r>
          </w:p>
        </w:tc>
        <w:tc>
          <w:tcPr>
            <w:tcW w:w="2730" w:type="dxa"/>
            <w:gridSpan w:val="2"/>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2022</w:t>
            </w:r>
            <w:r>
              <w:t xml:space="preserve"> Pt. 11</w:t>
            </w:r>
          </w:p>
        </w:tc>
        <w:tc>
          <w:tcPr>
            <w:tcW w:w="1276" w:type="dxa"/>
            <w:tcBorders>
              <w:top w:val="nil"/>
              <w:bottom w:val="nil"/>
            </w:tcBorders>
          </w:tcPr>
          <w:p>
            <w:pPr>
              <w:pStyle w:val="nTable"/>
              <w:spacing w:after="40"/>
            </w:pPr>
            <w:r>
              <w:t>SL 2022/58 20 May 2022</w:t>
            </w:r>
          </w:p>
        </w:tc>
        <w:tc>
          <w:tcPr>
            <w:tcW w:w="2730" w:type="dxa"/>
            <w:gridSpan w:val="2"/>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2023</w:t>
            </w:r>
            <w:r>
              <w:t xml:space="preserve"> Pt. 13</w:t>
            </w:r>
          </w:p>
        </w:tc>
        <w:tc>
          <w:tcPr>
            <w:tcW w:w="1276" w:type="dxa"/>
            <w:tcBorders>
              <w:top w:val="nil"/>
              <w:bottom w:val="single" w:sz="4" w:space="0" w:color="auto"/>
            </w:tcBorders>
          </w:tcPr>
          <w:p>
            <w:pPr>
              <w:pStyle w:val="nTable"/>
              <w:spacing w:after="40"/>
            </w:pPr>
            <w:r>
              <w:t>SL 2023/36 5 May 2023</w:t>
            </w:r>
          </w:p>
        </w:tc>
        <w:tc>
          <w:tcPr>
            <w:tcW w:w="2730" w:type="dxa"/>
            <w:gridSpan w:val="2"/>
            <w:tcBorders>
              <w:top w:val="nil"/>
              <w:bottom w:val="single" w:sz="4" w:space="0" w:color="auto"/>
            </w:tcBorders>
          </w:tcPr>
          <w:p>
            <w:pPr>
              <w:pStyle w:val="nTable"/>
              <w:spacing w:after="40"/>
            </w:pPr>
            <w:r>
              <w:t>1 Jul 2023 (see r. 2(b))</w:t>
            </w:r>
          </w:p>
        </w:tc>
      </w:tr>
    </w:tbl>
    <w:p>
      <w:pPr>
        <w:pStyle w:val="nHeading3"/>
      </w:pPr>
      <w:bookmarkStart w:id="31" w:name="_Toc138860129"/>
      <w:r>
        <w:t>Other notes</w:t>
      </w:r>
      <w:bookmarkEnd w:id="31"/>
    </w:p>
    <w:p>
      <w:pPr>
        <w:pStyle w:val="nNote"/>
        <w:spacing w:before="160"/>
      </w:pPr>
      <w:r>
        <w:rPr>
          <w:vertAlign w:val="superscript"/>
        </w:rPr>
        <w:t>1</w:t>
      </w:r>
      <w:r>
        <w:tab/>
        <w:t xml:space="preserve">Commencement day was 16 December 2000 (see </w:t>
      </w:r>
      <w:r>
        <w:rPr>
          <w:i/>
        </w:rPr>
        <w:t>Gazette</w:t>
      </w:r>
      <w:r>
        <w:t xml:space="preserve"> 15 Dec 2000 p. 7201).</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33" w:name="_Toc138680091"/>
      <w:bookmarkStart w:id="34" w:name="_Toc138680254"/>
      <w:bookmarkStart w:id="35" w:name="_Toc138680311"/>
      <w:bookmarkStart w:id="36" w:name="_Toc138860130"/>
      <w:r>
        <w:rPr>
          <w:sz w:val="28"/>
        </w:rPr>
        <w:lastRenderedPageBreak/>
        <w:t>Defined terms</w:t>
      </w:r>
      <w:bookmarkEnd w:id="33"/>
      <w:bookmarkEnd w:id="34"/>
      <w:bookmarkEnd w:id="35"/>
      <w:bookmarkEnd w:id="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AGD</w:t>
      </w:r>
      <w:r>
        <w:tab/>
        <w:t>2A</w:t>
      </w:r>
    </w:p>
    <w:p>
      <w:pPr>
        <w:pStyle w:val="DefinedTerms"/>
      </w:pPr>
      <w:r>
        <w:t>commencement day</w:t>
      </w:r>
      <w:r>
        <w:tab/>
        <w:t>10(4)</w:t>
      </w:r>
    </w:p>
    <w:p>
      <w:pPr>
        <w:pStyle w:val="DefinedTerms"/>
      </w:pPr>
      <w:r>
        <w:t>dealing</w:t>
      </w:r>
      <w:r>
        <w:tab/>
        <w:t>5(1)</w:t>
      </w:r>
    </w:p>
    <w:p>
      <w:pPr>
        <w:pStyle w:val="DefinedTerms"/>
      </w:pPr>
      <w:r>
        <w:t>federal duty</w:t>
      </w:r>
      <w:r>
        <w:tab/>
        <w:t>8</w:t>
      </w:r>
    </w:p>
    <w:p>
      <w:pPr>
        <w:pStyle w:val="DefinedTerms"/>
      </w:pPr>
      <w:r>
        <w:t>GDA</w:t>
      </w:r>
      <w:r>
        <w:tab/>
        <w:t>2A</w:t>
      </w:r>
    </w:p>
    <w:p>
      <w:pPr>
        <w:pStyle w:val="DefinedTerms"/>
      </w:pPr>
      <w:r>
        <w:t>GDA reference</w:t>
      </w:r>
      <w:r>
        <w:tab/>
        <w:t>10(1)</w:t>
      </w:r>
    </w:p>
    <w:p>
      <w:pPr>
        <w:pStyle w:val="DefinedTerms"/>
      </w:pPr>
      <w:r>
        <w:t>GRS80</w:t>
      </w:r>
      <w:r>
        <w:tab/>
        <w:t>9(2)</w:t>
      </w:r>
    </w:p>
    <w:p>
      <w:pPr>
        <w:pStyle w:val="DefinedTerms"/>
      </w:pPr>
      <w:r>
        <w:t>regulation 3</w:t>
      </w:r>
      <w:r>
        <w:tab/>
        <w:t>12(1)</w:t>
      </w:r>
    </w:p>
    <w:p>
      <w:pPr>
        <w:pStyle w:val="DefinedTerms"/>
      </w:pPr>
      <w:r>
        <w:t>related dealing</w:t>
      </w:r>
      <w:r>
        <w:tab/>
        <w:t>5(2)</w:t>
      </w:r>
    </w:p>
    <w:p>
      <w:pPr>
        <w:pStyle w:val="DefinedTerms"/>
        <w:sectPr>
          <w:headerReference w:type="even" r:id="rId31"/>
          <w:headerReference w:type="default" r:id="rId32"/>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03-n0-01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 w:name="Schedule"/>
    <w:bookmarkEnd w:id="2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 w:name="DefinedTerms"/>
    <w:bookmarkEnd w:id="3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 w:name="Coversheet"/>
    <w:bookmarkEnd w:id="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176E203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44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6113947"/>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 w:name="WAFER_20151109113828" w:val="UpdateStyles,UsedStyles"/>
    <w:docVar w:name="WAFER_20151109113828_GUID" w:val="ee8aa088-9d60-41a4-8bcd-c8ec6bd901d1"/>
    <w:docVar w:name="WAFER_20200626092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2820_GUID" w:val="c34ae22b-a623-433d-92d7-7dfd10ef12ea"/>
    <w:docVar w:name="WAFER_202106181538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3820_GUID" w:val="d72083f5-92b5-447b-a1fb-8cbc011931a5"/>
    <w:docVar w:name="WAFER_202106241339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04_GUID" w:val="18f7e6bf-c0b0-4782-8194-9ee79aa0cd3b"/>
    <w:docVar w:name="WAFER_202205171520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02_GUID" w:val="2fbf666c-5030-4ecb-870e-5fdf40e7cdbf"/>
    <w:docVar w:name="WAFER_202206230928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47_GUID" w:val="754951ce-7959-4c98-a648-eea0f1a2f73b"/>
    <w:docVar w:name="WAFER_2023050215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2733_GUID" w:val="e95fa8b2-e446-4d8b-85ff-9788b81e9126"/>
    <w:docVar w:name="WAFER_2023062611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47_GUID" w:val="15374d8f-8804-40ed-9c19-3d8d996296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NormalWeb">
    <w:name w:val="Normal (Web)"/>
    <w:basedOn w:val="Normal"/>
    <w:semiHidden/>
    <w:unhideWhenUsed/>
    <w:rPr>
      <w:szCs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09673-4649-4801-995A-E0D39B5A1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3430</Words>
  <Characters>16741</Characters>
  <Application>Microsoft Office Word</Application>
  <DocSecurity>0</DocSecurity>
  <Lines>669</Lines>
  <Paragraphs>448</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1990 - 03-n0-01</dc:title>
  <dc:subject/>
  <dc:creator/>
  <cp:keywords/>
  <dc:description/>
  <cp:lastModifiedBy>Master Repository Process</cp:lastModifiedBy>
  <cp:revision>4</cp:revision>
  <cp:lastPrinted>2014-11-25T02:07:00Z</cp:lastPrinted>
  <dcterms:created xsi:type="dcterms:W3CDTF">2025-06-06T07:37:00Z</dcterms:created>
  <dcterms:modified xsi:type="dcterms:W3CDTF">2025-06-06T07:37:00Z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DocumentType">
    <vt:lpwstr>Reg</vt:lpwstr>
  </property>
  <property fmtid="{D5CDD505-2E9C-101B-9397-08002B2CF9AE}" pid="4" name="OwlsUID">
    <vt:i4>4687</vt:i4>
  </property>
  <property fmtid="{D5CDD505-2E9C-101B-9397-08002B2CF9AE}" pid="5" name="ReprintNo">
    <vt:lpwstr>3</vt:lpwstr>
  </property>
  <property fmtid="{D5CDD505-2E9C-101B-9397-08002B2CF9AE}" pid="6" name="ReprintedAsAt">
    <vt:filetime>2014-11-13T16:00:00Z</vt:filetime>
  </property>
  <property fmtid="{D5CDD505-2E9C-101B-9397-08002B2CF9AE}" pid="7" name="AsAtDate">
    <vt:lpwstr>01 Jul 2023</vt:lpwstr>
  </property>
  <property fmtid="{D5CDD505-2E9C-101B-9397-08002B2CF9AE}" pid="8" name="Suffix">
    <vt:lpwstr>03-n0-01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